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B5637" w14:textId="56AF6552" w:rsidR="00BC491A" w:rsidRPr="008B262F" w:rsidRDefault="00A27435" w:rsidP="001F2E6C">
      <w:pPr>
        <w:pStyle w:val="Heading1"/>
        <w:ind w:right="0" w:firstLine="720"/>
        <w:rPr>
          <w:rFonts w:ascii="Times New Roman" w:hAnsi="Times New Roman"/>
          <w:color w:val="000000"/>
          <w:sz w:val="22"/>
          <w:szCs w:val="22"/>
        </w:rPr>
      </w:pPr>
      <w:r>
        <w:rPr>
          <w:rFonts w:ascii="Times New Roman" w:hAnsi="Times New Roman"/>
          <w:color w:val="000000"/>
          <w:sz w:val="22"/>
          <w:szCs w:val="22"/>
        </w:rPr>
        <w:t>Once More With Feeling</w:t>
      </w:r>
      <w:r w:rsidR="00F9737C" w:rsidRPr="008B262F">
        <w:rPr>
          <w:rFonts w:ascii="Times New Roman" w:hAnsi="Times New Roman"/>
          <w:color w:val="000000"/>
          <w:sz w:val="22"/>
          <w:szCs w:val="22"/>
        </w:rPr>
        <w:t xml:space="preserve">: </w:t>
      </w:r>
      <w:r w:rsidR="00465BF4">
        <w:rPr>
          <w:rFonts w:ascii="Times New Roman" w:hAnsi="Times New Roman"/>
          <w:color w:val="000000"/>
          <w:sz w:val="22"/>
          <w:szCs w:val="22"/>
        </w:rPr>
        <w:t xml:space="preserve">Queer Activist </w:t>
      </w:r>
      <w:r w:rsidR="0079530B">
        <w:rPr>
          <w:rFonts w:ascii="Times New Roman" w:hAnsi="Times New Roman"/>
          <w:color w:val="000000"/>
          <w:sz w:val="22"/>
          <w:szCs w:val="22"/>
        </w:rPr>
        <w:t xml:space="preserve">Legal </w:t>
      </w:r>
      <w:r w:rsidR="00C00327">
        <w:rPr>
          <w:rFonts w:ascii="Times New Roman" w:hAnsi="Times New Roman"/>
          <w:color w:val="000000"/>
          <w:sz w:val="22"/>
          <w:szCs w:val="22"/>
        </w:rPr>
        <w:t>Scholarship and</w:t>
      </w:r>
      <w:r w:rsidR="00063C8E">
        <w:rPr>
          <w:rFonts w:ascii="Times New Roman" w:hAnsi="Times New Roman"/>
          <w:color w:val="000000"/>
          <w:sz w:val="22"/>
          <w:szCs w:val="22"/>
        </w:rPr>
        <w:t xml:space="preserve"> Jurisprudence</w:t>
      </w:r>
      <w:r w:rsidR="00F9737C" w:rsidRPr="008B262F">
        <w:rPr>
          <w:rFonts w:ascii="Times New Roman" w:hAnsi="Times New Roman"/>
          <w:color w:val="000000"/>
          <w:sz w:val="22"/>
          <w:szCs w:val="22"/>
        </w:rPr>
        <w:t xml:space="preserve"> </w:t>
      </w:r>
    </w:p>
    <w:p w14:paraId="7C5EED27" w14:textId="08F0435C" w:rsidR="00BC491A" w:rsidRPr="008B262F" w:rsidRDefault="009E4E88" w:rsidP="00BC491A">
      <w:pPr>
        <w:pStyle w:val="Heading2"/>
        <w:rPr>
          <w:rFonts w:ascii="Times New Roman" w:hAnsi="Times New Roman"/>
          <w:sz w:val="22"/>
          <w:szCs w:val="22"/>
        </w:rPr>
      </w:pPr>
      <w:r>
        <w:rPr>
          <w:rFonts w:ascii="Times New Roman" w:hAnsi="Times New Roman"/>
          <w:sz w:val="22"/>
          <w:szCs w:val="22"/>
        </w:rPr>
        <w:t>Introduction</w:t>
      </w:r>
      <w:bookmarkStart w:id="0" w:name="_GoBack"/>
      <w:bookmarkEnd w:id="0"/>
    </w:p>
    <w:p w14:paraId="4CDAABF1" w14:textId="1AF025ED" w:rsidR="00BC491A" w:rsidRPr="008B262F" w:rsidRDefault="00090DCE" w:rsidP="00973E99">
      <w:pPr>
        <w:spacing w:line="480" w:lineRule="auto"/>
        <w:jc w:val="both"/>
        <w:rPr>
          <w:color w:val="000000"/>
          <w:sz w:val="22"/>
          <w:szCs w:val="22"/>
        </w:rPr>
      </w:pPr>
      <w:r w:rsidRPr="008B262F">
        <w:rPr>
          <w:color w:val="000000"/>
          <w:sz w:val="22"/>
          <w:szCs w:val="22"/>
        </w:rPr>
        <w:t>Movements for justice</w:t>
      </w:r>
      <w:r w:rsidR="008540B1" w:rsidRPr="008B262F">
        <w:rPr>
          <w:color w:val="000000"/>
          <w:sz w:val="22"/>
          <w:szCs w:val="22"/>
        </w:rPr>
        <w:t xml:space="preserve"> </w:t>
      </w:r>
      <w:r w:rsidR="00BC491A" w:rsidRPr="008B262F">
        <w:rPr>
          <w:color w:val="000000"/>
          <w:sz w:val="22"/>
          <w:szCs w:val="22"/>
        </w:rPr>
        <w:t xml:space="preserve">and equality generate emotion, particularly among those who participate in them. For many activists and scholars, justice and equality involve a turn to the </w:t>
      </w:r>
      <w:r w:rsidR="00973E99" w:rsidRPr="008B262F">
        <w:rPr>
          <w:color w:val="000000"/>
          <w:sz w:val="22"/>
          <w:szCs w:val="22"/>
        </w:rPr>
        <w:t>law</w:t>
      </w:r>
      <w:r w:rsidR="00BC491A" w:rsidRPr="008B262F">
        <w:rPr>
          <w:color w:val="000000"/>
          <w:sz w:val="22"/>
          <w:szCs w:val="22"/>
        </w:rPr>
        <w:t xml:space="preserve">. </w:t>
      </w:r>
      <w:r w:rsidR="00973E99" w:rsidRPr="008B262F">
        <w:rPr>
          <w:color w:val="000000"/>
          <w:sz w:val="22"/>
          <w:szCs w:val="22"/>
        </w:rPr>
        <w:t>Law is (or is</w:t>
      </w:r>
      <w:r w:rsidR="00BC491A" w:rsidRPr="008B262F">
        <w:rPr>
          <w:color w:val="000000"/>
          <w:sz w:val="22"/>
          <w:szCs w:val="22"/>
        </w:rPr>
        <w:t xml:space="preserve"> at least seen to be) </w:t>
      </w:r>
      <w:r w:rsidR="00973E99" w:rsidRPr="008B262F">
        <w:rPr>
          <w:color w:val="000000"/>
          <w:sz w:val="22"/>
          <w:szCs w:val="22"/>
        </w:rPr>
        <w:t xml:space="preserve">a space </w:t>
      </w:r>
      <w:r w:rsidR="00BC491A" w:rsidRPr="008B262F">
        <w:rPr>
          <w:color w:val="000000"/>
          <w:sz w:val="22"/>
          <w:szCs w:val="22"/>
        </w:rPr>
        <w:t>in whic</w:t>
      </w:r>
      <w:r w:rsidR="008C4010">
        <w:rPr>
          <w:color w:val="000000"/>
          <w:sz w:val="22"/>
          <w:szCs w:val="22"/>
        </w:rPr>
        <w:t>h minorities can claim what is ‘just’. Such justness</w:t>
      </w:r>
      <w:r w:rsidR="00BC491A" w:rsidRPr="008B262F">
        <w:rPr>
          <w:color w:val="000000"/>
          <w:sz w:val="22"/>
          <w:szCs w:val="22"/>
        </w:rPr>
        <w:t xml:space="preserve"> is rarely disembodied – it is often attributed to a sense of feeling (such as vindication or satisfaction) on the part of those who have been victimised. For minorities who occupy positions of potential vulnerability, whether on the basis of our sexual orientation or gender identity, it is not difficult to see and feel the emotions that arise </w:t>
      </w:r>
      <w:r w:rsidR="00C878C2">
        <w:rPr>
          <w:color w:val="000000"/>
          <w:sz w:val="22"/>
          <w:szCs w:val="22"/>
        </w:rPr>
        <w:t xml:space="preserve">in activism and scholarship </w:t>
      </w:r>
      <w:r w:rsidR="00BC491A" w:rsidRPr="008B262F">
        <w:rPr>
          <w:color w:val="000000"/>
          <w:sz w:val="22"/>
          <w:szCs w:val="22"/>
        </w:rPr>
        <w:t xml:space="preserve">when </w:t>
      </w:r>
      <w:r w:rsidR="00867612" w:rsidRPr="008B262F">
        <w:rPr>
          <w:color w:val="000000"/>
          <w:sz w:val="22"/>
          <w:szCs w:val="22"/>
        </w:rPr>
        <w:t>law</w:t>
      </w:r>
      <w:r w:rsidR="00A56272" w:rsidRPr="008B262F">
        <w:rPr>
          <w:color w:val="000000"/>
          <w:sz w:val="22"/>
          <w:szCs w:val="22"/>
        </w:rPr>
        <w:t xml:space="preserve"> </w:t>
      </w:r>
      <w:r w:rsidR="00C878C2">
        <w:rPr>
          <w:color w:val="000000"/>
          <w:sz w:val="22"/>
          <w:szCs w:val="22"/>
        </w:rPr>
        <w:t xml:space="preserve">reform </w:t>
      </w:r>
      <w:r w:rsidR="00A56272" w:rsidRPr="008B262F">
        <w:rPr>
          <w:color w:val="000000"/>
          <w:sz w:val="22"/>
          <w:szCs w:val="22"/>
        </w:rPr>
        <w:t xml:space="preserve">is heralded as </w:t>
      </w:r>
      <w:r w:rsidR="00C878C2">
        <w:rPr>
          <w:color w:val="000000"/>
          <w:sz w:val="22"/>
          <w:szCs w:val="22"/>
        </w:rPr>
        <w:t xml:space="preserve">a means to </w:t>
      </w:r>
      <w:r w:rsidR="00A56272" w:rsidRPr="008B262F">
        <w:rPr>
          <w:color w:val="000000"/>
          <w:sz w:val="22"/>
          <w:szCs w:val="22"/>
        </w:rPr>
        <w:t xml:space="preserve">remedy homophobic and </w:t>
      </w:r>
      <w:r w:rsidR="00BC491A" w:rsidRPr="008B262F">
        <w:rPr>
          <w:color w:val="000000"/>
          <w:sz w:val="22"/>
          <w:szCs w:val="22"/>
        </w:rPr>
        <w:t xml:space="preserve">transphobic injuries such as inequality, discrimination, and violence. This </w:t>
      </w:r>
      <w:r w:rsidR="00A6797F" w:rsidRPr="008B262F">
        <w:rPr>
          <w:color w:val="000000"/>
          <w:sz w:val="22"/>
          <w:szCs w:val="22"/>
        </w:rPr>
        <w:t xml:space="preserve">paper </w:t>
      </w:r>
      <w:r w:rsidR="00973E99" w:rsidRPr="008B262F">
        <w:rPr>
          <w:color w:val="000000"/>
          <w:sz w:val="22"/>
          <w:szCs w:val="22"/>
        </w:rPr>
        <w:t>takes up</w:t>
      </w:r>
      <w:r w:rsidR="008206BF">
        <w:rPr>
          <w:color w:val="000000"/>
          <w:sz w:val="22"/>
          <w:szCs w:val="22"/>
        </w:rPr>
        <w:t xml:space="preserve"> some of the</w:t>
      </w:r>
      <w:r w:rsidR="00973E99" w:rsidRPr="008B262F">
        <w:rPr>
          <w:color w:val="000000"/>
          <w:sz w:val="22"/>
          <w:szCs w:val="22"/>
        </w:rPr>
        <w:t xml:space="preserve"> </w:t>
      </w:r>
      <w:r w:rsidR="00370CCC" w:rsidRPr="008B262F">
        <w:rPr>
          <w:color w:val="000000"/>
          <w:sz w:val="22"/>
          <w:szCs w:val="22"/>
        </w:rPr>
        <w:t xml:space="preserve">emotional dimensions of </w:t>
      </w:r>
      <w:r w:rsidR="008206BF">
        <w:rPr>
          <w:color w:val="000000"/>
          <w:sz w:val="22"/>
          <w:szCs w:val="22"/>
        </w:rPr>
        <w:t xml:space="preserve">queer </w:t>
      </w:r>
      <w:r w:rsidR="001A7791">
        <w:rPr>
          <w:color w:val="000000"/>
          <w:sz w:val="22"/>
          <w:szCs w:val="22"/>
        </w:rPr>
        <w:t>legal progress</w:t>
      </w:r>
      <w:r w:rsidR="00C878C2">
        <w:rPr>
          <w:color w:val="000000"/>
          <w:sz w:val="22"/>
          <w:szCs w:val="22"/>
        </w:rPr>
        <w:t xml:space="preserve"> to expand the </w:t>
      </w:r>
      <w:r w:rsidR="008206BF">
        <w:rPr>
          <w:color w:val="000000"/>
          <w:sz w:val="22"/>
          <w:szCs w:val="22"/>
        </w:rPr>
        <w:t>scope</w:t>
      </w:r>
      <w:r w:rsidR="00C878C2">
        <w:rPr>
          <w:color w:val="000000"/>
          <w:sz w:val="22"/>
          <w:szCs w:val="22"/>
        </w:rPr>
        <w:t xml:space="preserve"> of queer activist legal scholarship. I develop this</w:t>
      </w:r>
      <w:r w:rsidR="00BC491A" w:rsidRPr="008B262F">
        <w:rPr>
          <w:color w:val="000000"/>
          <w:sz w:val="22"/>
          <w:szCs w:val="22"/>
        </w:rPr>
        <w:t xml:space="preserve"> </w:t>
      </w:r>
      <w:r w:rsidR="00C878C2">
        <w:rPr>
          <w:color w:val="000000"/>
          <w:sz w:val="22"/>
          <w:szCs w:val="22"/>
        </w:rPr>
        <w:t xml:space="preserve">analysis </w:t>
      </w:r>
      <w:r w:rsidR="00F521A2">
        <w:rPr>
          <w:color w:val="000000"/>
          <w:sz w:val="22"/>
          <w:szCs w:val="22"/>
        </w:rPr>
        <w:t xml:space="preserve">by </w:t>
      </w:r>
      <w:r w:rsidR="008820E9">
        <w:rPr>
          <w:color w:val="000000"/>
          <w:sz w:val="22"/>
          <w:szCs w:val="22"/>
        </w:rPr>
        <w:t xml:space="preserve">exploring </w:t>
      </w:r>
      <w:r w:rsidR="00F521A2">
        <w:rPr>
          <w:color w:val="000000"/>
          <w:sz w:val="22"/>
          <w:szCs w:val="22"/>
        </w:rPr>
        <w:t>how</w:t>
      </w:r>
      <w:r w:rsidR="008C604F">
        <w:rPr>
          <w:color w:val="000000"/>
          <w:sz w:val="22"/>
          <w:szCs w:val="22"/>
        </w:rPr>
        <w:t xml:space="preserve"> contemporary</w:t>
      </w:r>
      <w:r w:rsidR="008B262F" w:rsidRPr="008B262F">
        <w:rPr>
          <w:color w:val="000000"/>
          <w:sz w:val="22"/>
          <w:szCs w:val="22"/>
        </w:rPr>
        <w:t xml:space="preserve"> hate crime and marriage equality cases</w:t>
      </w:r>
      <w:r w:rsidR="00F521A2">
        <w:rPr>
          <w:color w:val="000000"/>
          <w:sz w:val="22"/>
          <w:szCs w:val="22"/>
        </w:rPr>
        <w:t xml:space="preserve"> in the United States (US)</w:t>
      </w:r>
      <w:r w:rsidR="008B262F" w:rsidRPr="008B262F">
        <w:rPr>
          <w:color w:val="000000"/>
          <w:sz w:val="22"/>
          <w:szCs w:val="22"/>
        </w:rPr>
        <w:t xml:space="preserve"> enact</w:t>
      </w:r>
      <w:r w:rsidR="00A56272" w:rsidRPr="008B262F">
        <w:rPr>
          <w:color w:val="000000"/>
          <w:sz w:val="22"/>
          <w:szCs w:val="22"/>
        </w:rPr>
        <w:t xml:space="preserve"> emotion to address homophobic and </w:t>
      </w:r>
      <w:r w:rsidR="00BC491A" w:rsidRPr="008B262F">
        <w:rPr>
          <w:color w:val="000000"/>
          <w:sz w:val="22"/>
          <w:szCs w:val="22"/>
        </w:rPr>
        <w:t>transphobic injurie</w:t>
      </w:r>
      <w:r w:rsidR="00F521A2">
        <w:rPr>
          <w:color w:val="000000"/>
          <w:sz w:val="22"/>
          <w:szCs w:val="22"/>
        </w:rPr>
        <w:t xml:space="preserve">s that limit the expression of queer </w:t>
      </w:r>
      <w:r w:rsidR="00BC491A" w:rsidRPr="008B262F">
        <w:rPr>
          <w:color w:val="000000"/>
          <w:sz w:val="22"/>
          <w:szCs w:val="22"/>
        </w:rPr>
        <w:t xml:space="preserve">intimacies and identities. </w:t>
      </w:r>
    </w:p>
    <w:p w14:paraId="2DB5BF97" w14:textId="114B1E00" w:rsidR="0013744A" w:rsidRPr="0013744A" w:rsidRDefault="00370CCC" w:rsidP="002B02AE">
      <w:pPr>
        <w:spacing w:line="480" w:lineRule="auto"/>
        <w:ind w:firstLine="720"/>
        <w:jc w:val="both"/>
        <w:rPr>
          <w:sz w:val="22"/>
          <w:szCs w:val="22"/>
        </w:rPr>
      </w:pPr>
      <w:r w:rsidRPr="008B262F">
        <w:rPr>
          <w:color w:val="000000"/>
          <w:sz w:val="22"/>
          <w:szCs w:val="22"/>
        </w:rPr>
        <w:t>I be</w:t>
      </w:r>
      <w:r w:rsidR="008C604F">
        <w:rPr>
          <w:color w:val="000000"/>
          <w:sz w:val="22"/>
          <w:szCs w:val="22"/>
        </w:rPr>
        <w:t xml:space="preserve">gin this paper by outlining </w:t>
      </w:r>
      <w:r w:rsidRPr="008B262F">
        <w:rPr>
          <w:color w:val="000000"/>
          <w:sz w:val="22"/>
          <w:szCs w:val="22"/>
        </w:rPr>
        <w:t xml:space="preserve">activist and scholarly </w:t>
      </w:r>
      <w:r w:rsidR="005F2DDD" w:rsidRPr="008B262F">
        <w:rPr>
          <w:color w:val="000000"/>
          <w:sz w:val="22"/>
          <w:szCs w:val="22"/>
        </w:rPr>
        <w:t>responses to</w:t>
      </w:r>
      <w:r w:rsidRPr="008B262F">
        <w:rPr>
          <w:color w:val="000000"/>
          <w:sz w:val="22"/>
          <w:szCs w:val="22"/>
        </w:rPr>
        <w:t xml:space="preserve"> progress made by sexual and gender minorities in recent years. </w:t>
      </w:r>
      <w:r w:rsidR="0079530B">
        <w:rPr>
          <w:color w:val="000000"/>
          <w:sz w:val="22"/>
          <w:szCs w:val="22"/>
        </w:rPr>
        <w:t>Specifically</w:t>
      </w:r>
      <w:r w:rsidRPr="008B262F">
        <w:rPr>
          <w:color w:val="000000"/>
          <w:sz w:val="22"/>
          <w:szCs w:val="22"/>
        </w:rPr>
        <w:t xml:space="preserve">, I note the ways in which </w:t>
      </w:r>
      <w:r w:rsidR="008820E9">
        <w:rPr>
          <w:color w:val="000000"/>
          <w:sz w:val="22"/>
          <w:szCs w:val="22"/>
        </w:rPr>
        <w:t xml:space="preserve">queer </w:t>
      </w:r>
      <w:r w:rsidRPr="008B262F">
        <w:rPr>
          <w:color w:val="000000"/>
          <w:sz w:val="22"/>
          <w:szCs w:val="22"/>
        </w:rPr>
        <w:t>activist</w:t>
      </w:r>
      <w:r w:rsidR="008820E9">
        <w:rPr>
          <w:color w:val="000000"/>
          <w:sz w:val="22"/>
          <w:szCs w:val="22"/>
        </w:rPr>
        <w:t xml:space="preserve"> legal </w:t>
      </w:r>
      <w:r w:rsidRPr="008B262F">
        <w:rPr>
          <w:color w:val="000000"/>
          <w:sz w:val="22"/>
          <w:szCs w:val="22"/>
        </w:rPr>
        <w:t xml:space="preserve">scholars define the terms of </w:t>
      </w:r>
      <w:r w:rsidR="007042BD" w:rsidRPr="008B262F">
        <w:rPr>
          <w:color w:val="000000"/>
          <w:sz w:val="22"/>
          <w:szCs w:val="22"/>
        </w:rPr>
        <w:t xml:space="preserve">legal </w:t>
      </w:r>
      <w:r w:rsidRPr="008B262F">
        <w:rPr>
          <w:color w:val="000000"/>
          <w:sz w:val="22"/>
          <w:szCs w:val="22"/>
        </w:rPr>
        <w:t xml:space="preserve">progress and how emotion, while present, has been obscured as both a </w:t>
      </w:r>
      <w:r w:rsidR="008B262F" w:rsidRPr="008B262F">
        <w:rPr>
          <w:color w:val="000000"/>
          <w:sz w:val="22"/>
          <w:szCs w:val="22"/>
        </w:rPr>
        <w:t>framework</w:t>
      </w:r>
      <w:r w:rsidRPr="008B262F">
        <w:rPr>
          <w:color w:val="000000"/>
          <w:sz w:val="22"/>
          <w:szCs w:val="22"/>
        </w:rPr>
        <w:t xml:space="preserve"> and object of analysis in these discussions.  </w:t>
      </w:r>
      <w:r w:rsidR="000338D2" w:rsidRPr="008B262F">
        <w:rPr>
          <w:color w:val="000000"/>
          <w:sz w:val="22"/>
          <w:szCs w:val="22"/>
        </w:rPr>
        <w:t xml:space="preserve">I then </w:t>
      </w:r>
      <w:r w:rsidR="00BD6D75" w:rsidRPr="008B262F">
        <w:rPr>
          <w:color w:val="000000"/>
          <w:sz w:val="22"/>
          <w:szCs w:val="22"/>
        </w:rPr>
        <w:t xml:space="preserve">offer two contributions to furthering </w:t>
      </w:r>
      <w:r w:rsidR="008820E9">
        <w:rPr>
          <w:color w:val="000000"/>
          <w:sz w:val="22"/>
          <w:szCs w:val="22"/>
        </w:rPr>
        <w:t xml:space="preserve">queer </w:t>
      </w:r>
      <w:r w:rsidR="00BD6D75" w:rsidRPr="008B262F">
        <w:rPr>
          <w:color w:val="000000"/>
          <w:sz w:val="22"/>
          <w:szCs w:val="22"/>
        </w:rPr>
        <w:t>activist</w:t>
      </w:r>
      <w:r w:rsidR="00C878C2">
        <w:rPr>
          <w:color w:val="000000"/>
          <w:sz w:val="22"/>
          <w:szCs w:val="22"/>
        </w:rPr>
        <w:t xml:space="preserve"> legal </w:t>
      </w:r>
      <w:r w:rsidR="00BD6D75" w:rsidRPr="008B262F">
        <w:rPr>
          <w:color w:val="000000"/>
          <w:sz w:val="22"/>
          <w:szCs w:val="22"/>
        </w:rPr>
        <w:t xml:space="preserve">scholarship in the area of </w:t>
      </w:r>
      <w:r w:rsidR="00306FF0" w:rsidRPr="008B262F">
        <w:rPr>
          <w:color w:val="000000"/>
          <w:sz w:val="22"/>
          <w:szCs w:val="22"/>
        </w:rPr>
        <w:t>lesbian, gay, bisexual, transgender, and intersex (</w:t>
      </w:r>
      <w:r w:rsidR="00BD6D75" w:rsidRPr="008B262F">
        <w:rPr>
          <w:color w:val="000000"/>
          <w:sz w:val="22"/>
          <w:szCs w:val="22"/>
        </w:rPr>
        <w:t>LGBTI</w:t>
      </w:r>
      <w:r w:rsidR="00306FF0" w:rsidRPr="008B262F">
        <w:rPr>
          <w:color w:val="000000"/>
          <w:sz w:val="22"/>
          <w:szCs w:val="22"/>
        </w:rPr>
        <w:t>)</w:t>
      </w:r>
      <w:r w:rsidR="00BD6D75" w:rsidRPr="008B262F">
        <w:rPr>
          <w:color w:val="000000"/>
          <w:sz w:val="22"/>
          <w:szCs w:val="22"/>
        </w:rPr>
        <w:t xml:space="preserve"> human rights. First, I </w:t>
      </w:r>
      <w:r w:rsidR="00E21384">
        <w:rPr>
          <w:color w:val="000000"/>
          <w:sz w:val="22"/>
          <w:szCs w:val="22"/>
        </w:rPr>
        <w:t>situate</w:t>
      </w:r>
      <w:r w:rsidR="00BD6D75" w:rsidRPr="008B262F">
        <w:rPr>
          <w:color w:val="000000"/>
          <w:sz w:val="22"/>
          <w:szCs w:val="22"/>
        </w:rPr>
        <w:t xml:space="preserve"> </w:t>
      </w:r>
      <w:r w:rsidR="00867612" w:rsidRPr="008B262F">
        <w:rPr>
          <w:color w:val="000000"/>
          <w:sz w:val="22"/>
          <w:szCs w:val="22"/>
        </w:rPr>
        <w:t>what I mean by</w:t>
      </w:r>
      <w:r w:rsidR="008C4010">
        <w:rPr>
          <w:color w:val="000000"/>
          <w:sz w:val="22"/>
          <w:szCs w:val="22"/>
        </w:rPr>
        <w:t xml:space="preserve"> ‘pro-LGBTI cases’</w:t>
      </w:r>
      <w:r w:rsidR="00BD6D75" w:rsidRPr="008B262F">
        <w:rPr>
          <w:color w:val="000000"/>
          <w:sz w:val="22"/>
          <w:szCs w:val="22"/>
        </w:rPr>
        <w:t xml:space="preserve"> – a category that </w:t>
      </w:r>
      <w:r w:rsidR="008820E9">
        <w:rPr>
          <w:color w:val="000000"/>
          <w:sz w:val="22"/>
          <w:szCs w:val="22"/>
        </w:rPr>
        <w:t>includes case law</w:t>
      </w:r>
      <w:r w:rsidR="00BD6D75" w:rsidRPr="008B262F">
        <w:rPr>
          <w:color w:val="000000"/>
          <w:sz w:val="22"/>
          <w:szCs w:val="22"/>
        </w:rPr>
        <w:t xml:space="preserve"> that </w:t>
      </w:r>
      <w:r w:rsidR="008820E9">
        <w:rPr>
          <w:color w:val="000000"/>
          <w:sz w:val="22"/>
          <w:szCs w:val="22"/>
        </w:rPr>
        <w:t>is</w:t>
      </w:r>
      <w:r w:rsidR="00BD6D75" w:rsidRPr="008B262F">
        <w:rPr>
          <w:color w:val="000000"/>
          <w:sz w:val="22"/>
          <w:szCs w:val="22"/>
        </w:rPr>
        <w:t xml:space="preserve"> held out by activists and scholars as </w:t>
      </w:r>
      <w:r w:rsidR="008820E9">
        <w:rPr>
          <w:color w:val="000000"/>
          <w:sz w:val="22"/>
          <w:szCs w:val="22"/>
        </w:rPr>
        <w:t xml:space="preserve">a </w:t>
      </w:r>
      <w:r w:rsidR="00BD6D75" w:rsidRPr="008B262F">
        <w:rPr>
          <w:color w:val="000000"/>
          <w:sz w:val="22"/>
          <w:szCs w:val="22"/>
        </w:rPr>
        <w:t>sign of legal progress for sexual and gender mino</w:t>
      </w:r>
      <w:r w:rsidR="00867612" w:rsidRPr="008B262F">
        <w:rPr>
          <w:color w:val="000000"/>
          <w:sz w:val="22"/>
          <w:szCs w:val="22"/>
        </w:rPr>
        <w:t>ri</w:t>
      </w:r>
      <w:r w:rsidR="008C4010">
        <w:rPr>
          <w:color w:val="000000"/>
          <w:sz w:val="22"/>
          <w:szCs w:val="22"/>
        </w:rPr>
        <w:t xml:space="preserve">ties. Second, I discuss how </w:t>
      </w:r>
      <w:r w:rsidR="008820E9">
        <w:rPr>
          <w:color w:val="000000"/>
          <w:sz w:val="22"/>
          <w:szCs w:val="22"/>
        </w:rPr>
        <w:t>to</w:t>
      </w:r>
      <w:r w:rsidR="008C4010">
        <w:rPr>
          <w:color w:val="000000"/>
          <w:sz w:val="22"/>
          <w:szCs w:val="22"/>
        </w:rPr>
        <w:t xml:space="preserve"> ‘</w:t>
      </w:r>
      <w:r w:rsidR="00867612" w:rsidRPr="008B262F">
        <w:rPr>
          <w:color w:val="000000"/>
          <w:sz w:val="22"/>
          <w:szCs w:val="22"/>
        </w:rPr>
        <w:t>read</w:t>
      </w:r>
      <w:r w:rsidR="008C4010">
        <w:rPr>
          <w:color w:val="000000"/>
          <w:sz w:val="22"/>
          <w:szCs w:val="22"/>
        </w:rPr>
        <w:t xml:space="preserve"> emotion’</w:t>
      </w:r>
      <w:r w:rsidR="00BD6D75" w:rsidRPr="008B262F">
        <w:rPr>
          <w:color w:val="000000"/>
          <w:sz w:val="22"/>
          <w:szCs w:val="22"/>
        </w:rPr>
        <w:t xml:space="preserve"> in </w:t>
      </w:r>
      <w:r w:rsidR="000E453C">
        <w:rPr>
          <w:color w:val="000000"/>
          <w:sz w:val="22"/>
          <w:szCs w:val="22"/>
        </w:rPr>
        <w:t>this jurisprudence</w:t>
      </w:r>
      <w:r w:rsidR="00BD6D75" w:rsidRPr="008B262F">
        <w:rPr>
          <w:color w:val="000000"/>
          <w:sz w:val="22"/>
          <w:szCs w:val="22"/>
        </w:rPr>
        <w:t xml:space="preserve"> and </w:t>
      </w:r>
      <w:r w:rsidR="00867612" w:rsidRPr="008B262F">
        <w:rPr>
          <w:color w:val="000000"/>
          <w:sz w:val="22"/>
          <w:szCs w:val="22"/>
        </w:rPr>
        <w:t>why</w:t>
      </w:r>
      <w:r w:rsidR="00BD6D75" w:rsidRPr="008B262F">
        <w:rPr>
          <w:color w:val="000000"/>
          <w:sz w:val="22"/>
          <w:szCs w:val="22"/>
        </w:rPr>
        <w:t xml:space="preserve"> </w:t>
      </w:r>
      <w:r w:rsidR="000E453C">
        <w:rPr>
          <w:color w:val="000000"/>
          <w:sz w:val="22"/>
          <w:szCs w:val="22"/>
        </w:rPr>
        <w:t xml:space="preserve">a </w:t>
      </w:r>
      <w:r w:rsidR="00E21384">
        <w:rPr>
          <w:color w:val="000000"/>
          <w:sz w:val="22"/>
          <w:szCs w:val="22"/>
        </w:rPr>
        <w:t>queer</w:t>
      </w:r>
      <w:r w:rsidR="00133BAA">
        <w:rPr>
          <w:color w:val="000000"/>
          <w:sz w:val="22"/>
          <w:szCs w:val="22"/>
        </w:rPr>
        <w:t xml:space="preserve"> </w:t>
      </w:r>
      <w:r w:rsidR="00BD6D75" w:rsidRPr="008B262F">
        <w:rPr>
          <w:color w:val="000000"/>
          <w:sz w:val="22"/>
          <w:szCs w:val="22"/>
        </w:rPr>
        <w:t>reading</w:t>
      </w:r>
      <w:r w:rsidR="00E21384">
        <w:rPr>
          <w:color w:val="000000"/>
          <w:sz w:val="22"/>
          <w:szCs w:val="22"/>
        </w:rPr>
        <w:t xml:space="preserve"> of law</w:t>
      </w:r>
      <w:r w:rsidR="000E453C">
        <w:rPr>
          <w:color w:val="000000"/>
          <w:sz w:val="22"/>
          <w:szCs w:val="22"/>
        </w:rPr>
        <w:t xml:space="preserve"> using emotion</w:t>
      </w:r>
      <w:r w:rsidR="00BD6D75" w:rsidRPr="008B262F">
        <w:rPr>
          <w:color w:val="000000"/>
          <w:sz w:val="22"/>
          <w:szCs w:val="22"/>
        </w:rPr>
        <w:t xml:space="preserve"> enable</w:t>
      </w:r>
      <w:r w:rsidR="00133BAA">
        <w:rPr>
          <w:color w:val="000000"/>
          <w:sz w:val="22"/>
          <w:szCs w:val="22"/>
        </w:rPr>
        <w:t>s</w:t>
      </w:r>
      <w:r w:rsidR="00483DF4" w:rsidRPr="008B262F">
        <w:rPr>
          <w:color w:val="000000"/>
          <w:sz w:val="22"/>
          <w:szCs w:val="22"/>
        </w:rPr>
        <w:t xml:space="preserve"> us, as activist-</w:t>
      </w:r>
      <w:r w:rsidR="00E53FDC" w:rsidRPr="008B262F">
        <w:rPr>
          <w:color w:val="000000"/>
          <w:sz w:val="22"/>
          <w:szCs w:val="22"/>
        </w:rPr>
        <w:t>scholars</w:t>
      </w:r>
      <w:r w:rsidR="00C878C2">
        <w:rPr>
          <w:color w:val="000000"/>
          <w:sz w:val="22"/>
          <w:szCs w:val="22"/>
        </w:rPr>
        <w:t xml:space="preserve"> working in law</w:t>
      </w:r>
      <w:r w:rsidR="00E53FDC" w:rsidRPr="008B262F">
        <w:rPr>
          <w:color w:val="000000"/>
          <w:sz w:val="22"/>
          <w:szCs w:val="22"/>
        </w:rPr>
        <w:t xml:space="preserve">, to </w:t>
      </w:r>
      <w:r w:rsidR="000E453C">
        <w:rPr>
          <w:color w:val="000000"/>
          <w:sz w:val="22"/>
          <w:szCs w:val="22"/>
        </w:rPr>
        <w:t xml:space="preserve">evaluate the </w:t>
      </w:r>
      <w:r w:rsidR="00501403">
        <w:rPr>
          <w:color w:val="000000"/>
          <w:sz w:val="22"/>
          <w:szCs w:val="22"/>
        </w:rPr>
        <w:t>nature</w:t>
      </w:r>
      <w:r w:rsidR="000E453C">
        <w:rPr>
          <w:color w:val="000000"/>
          <w:sz w:val="22"/>
          <w:szCs w:val="22"/>
        </w:rPr>
        <w:t xml:space="preserve"> of</w:t>
      </w:r>
      <w:r w:rsidR="00483DF4" w:rsidRPr="008B262F">
        <w:rPr>
          <w:color w:val="000000"/>
          <w:sz w:val="22"/>
          <w:szCs w:val="22"/>
        </w:rPr>
        <w:t xml:space="preserve"> </w:t>
      </w:r>
      <w:r w:rsidR="000E453C">
        <w:rPr>
          <w:color w:val="000000"/>
          <w:sz w:val="22"/>
          <w:szCs w:val="22"/>
        </w:rPr>
        <w:t>‘</w:t>
      </w:r>
      <w:r w:rsidR="00483DF4" w:rsidRPr="008B262F">
        <w:rPr>
          <w:color w:val="000000"/>
          <w:sz w:val="22"/>
          <w:szCs w:val="22"/>
        </w:rPr>
        <w:t>progress</w:t>
      </w:r>
      <w:r w:rsidR="000E453C">
        <w:rPr>
          <w:color w:val="000000"/>
          <w:sz w:val="22"/>
          <w:szCs w:val="22"/>
        </w:rPr>
        <w:t>’</w:t>
      </w:r>
      <w:r w:rsidR="00483DF4" w:rsidRPr="008B262F">
        <w:rPr>
          <w:color w:val="000000"/>
          <w:sz w:val="22"/>
          <w:szCs w:val="22"/>
        </w:rPr>
        <w:t xml:space="preserve"> </w:t>
      </w:r>
      <w:r w:rsidR="00E53FDC" w:rsidRPr="008B262F">
        <w:rPr>
          <w:color w:val="000000"/>
          <w:sz w:val="22"/>
          <w:szCs w:val="22"/>
        </w:rPr>
        <w:t>made</w:t>
      </w:r>
      <w:r w:rsidR="001A7791">
        <w:rPr>
          <w:color w:val="000000"/>
          <w:sz w:val="22"/>
          <w:szCs w:val="22"/>
        </w:rPr>
        <w:t xml:space="preserve"> possible</w:t>
      </w:r>
      <w:r w:rsidR="00E53FDC" w:rsidRPr="008B262F">
        <w:rPr>
          <w:color w:val="000000"/>
          <w:sz w:val="22"/>
          <w:szCs w:val="22"/>
        </w:rPr>
        <w:t xml:space="preserve"> </w:t>
      </w:r>
      <w:r w:rsidR="001A7791">
        <w:rPr>
          <w:color w:val="000000"/>
          <w:sz w:val="22"/>
          <w:szCs w:val="22"/>
        </w:rPr>
        <w:t>by</w:t>
      </w:r>
      <w:r w:rsidR="00483DF4" w:rsidRPr="008B262F">
        <w:rPr>
          <w:color w:val="000000"/>
          <w:sz w:val="22"/>
          <w:szCs w:val="22"/>
        </w:rPr>
        <w:t xml:space="preserve"> law</w:t>
      </w:r>
      <w:r w:rsidR="00306FF0" w:rsidRPr="008B262F">
        <w:rPr>
          <w:color w:val="000000"/>
          <w:sz w:val="22"/>
          <w:szCs w:val="22"/>
        </w:rPr>
        <w:t xml:space="preserve">. </w:t>
      </w:r>
      <w:r w:rsidR="00BD6D75" w:rsidRPr="008B262F">
        <w:rPr>
          <w:color w:val="000000"/>
          <w:sz w:val="22"/>
          <w:szCs w:val="22"/>
        </w:rPr>
        <w:t xml:space="preserve">In the </w:t>
      </w:r>
      <w:r w:rsidR="00483DF4" w:rsidRPr="008B262F">
        <w:rPr>
          <w:color w:val="000000"/>
          <w:sz w:val="22"/>
          <w:szCs w:val="22"/>
        </w:rPr>
        <w:t>latter</w:t>
      </w:r>
      <w:r w:rsidR="00BD6D75" w:rsidRPr="008B262F">
        <w:rPr>
          <w:color w:val="000000"/>
          <w:sz w:val="22"/>
          <w:szCs w:val="22"/>
        </w:rPr>
        <w:t xml:space="preserve"> parts of the paper, I develop </w:t>
      </w:r>
      <w:r w:rsidR="00E21384">
        <w:rPr>
          <w:color w:val="000000"/>
          <w:sz w:val="22"/>
          <w:szCs w:val="22"/>
        </w:rPr>
        <w:t xml:space="preserve">these </w:t>
      </w:r>
      <w:r w:rsidR="000E453C">
        <w:rPr>
          <w:color w:val="000000"/>
          <w:sz w:val="22"/>
          <w:szCs w:val="22"/>
        </w:rPr>
        <w:t>affective</w:t>
      </w:r>
      <w:r w:rsidR="000E453C" w:rsidRPr="008B262F">
        <w:rPr>
          <w:color w:val="000000"/>
          <w:sz w:val="22"/>
          <w:szCs w:val="22"/>
        </w:rPr>
        <w:t xml:space="preserve"> </w:t>
      </w:r>
      <w:r w:rsidR="002417E4" w:rsidRPr="008B262F">
        <w:rPr>
          <w:color w:val="000000"/>
          <w:sz w:val="22"/>
          <w:szCs w:val="22"/>
        </w:rPr>
        <w:t xml:space="preserve">contributions to </w:t>
      </w:r>
      <w:r w:rsidR="000E453C">
        <w:rPr>
          <w:color w:val="000000"/>
          <w:sz w:val="22"/>
          <w:szCs w:val="22"/>
        </w:rPr>
        <w:t xml:space="preserve">queer </w:t>
      </w:r>
      <w:r w:rsidR="00867612" w:rsidRPr="008B262F">
        <w:rPr>
          <w:color w:val="000000"/>
          <w:sz w:val="22"/>
          <w:szCs w:val="22"/>
        </w:rPr>
        <w:t>activist</w:t>
      </w:r>
      <w:r w:rsidR="00C878C2">
        <w:rPr>
          <w:color w:val="000000"/>
          <w:sz w:val="22"/>
          <w:szCs w:val="22"/>
        </w:rPr>
        <w:t xml:space="preserve"> legal </w:t>
      </w:r>
      <w:r w:rsidR="00867612" w:rsidRPr="008B262F">
        <w:rPr>
          <w:color w:val="000000"/>
          <w:sz w:val="22"/>
          <w:szCs w:val="22"/>
        </w:rPr>
        <w:t>scholar</w:t>
      </w:r>
      <w:r w:rsidR="002417E4" w:rsidRPr="008B262F">
        <w:rPr>
          <w:color w:val="000000"/>
          <w:sz w:val="22"/>
          <w:szCs w:val="22"/>
        </w:rPr>
        <w:t>ship</w:t>
      </w:r>
      <w:r w:rsidR="00483DF4" w:rsidRPr="008B262F">
        <w:rPr>
          <w:color w:val="000000"/>
          <w:sz w:val="22"/>
          <w:szCs w:val="22"/>
        </w:rPr>
        <w:t xml:space="preserve"> </w:t>
      </w:r>
      <w:r w:rsidR="00F752AB">
        <w:rPr>
          <w:color w:val="000000"/>
          <w:sz w:val="22"/>
          <w:szCs w:val="22"/>
        </w:rPr>
        <w:t xml:space="preserve">by </w:t>
      </w:r>
      <w:r w:rsidR="00F752AB">
        <w:rPr>
          <w:sz w:val="22"/>
          <w:szCs w:val="22"/>
        </w:rPr>
        <w:t>exploring</w:t>
      </w:r>
      <w:r w:rsidR="00BD6D75" w:rsidRPr="008B262F">
        <w:rPr>
          <w:sz w:val="22"/>
          <w:szCs w:val="22"/>
        </w:rPr>
        <w:t xml:space="preserve"> </w:t>
      </w:r>
      <w:r w:rsidR="000E453C">
        <w:rPr>
          <w:sz w:val="22"/>
          <w:szCs w:val="22"/>
        </w:rPr>
        <w:t>how</w:t>
      </w:r>
      <w:r w:rsidR="00BD6D75" w:rsidRPr="008B262F">
        <w:rPr>
          <w:sz w:val="22"/>
          <w:szCs w:val="22"/>
        </w:rPr>
        <w:t xml:space="preserve"> competing emotions, such as hate and love, structure </w:t>
      </w:r>
      <w:r w:rsidR="00133BAA">
        <w:rPr>
          <w:sz w:val="22"/>
          <w:szCs w:val="22"/>
        </w:rPr>
        <w:t>socio-</w:t>
      </w:r>
      <w:r w:rsidR="00F752AB">
        <w:rPr>
          <w:sz w:val="22"/>
          <w:szCs w:val="22"/>
        </w:rPr>
        <w:t>legal</w:t>
      </w:r>
      <w:r w:rsidR="008B262F" w:rsidRPr="008B262F">
        <w:rPr>
          <w:sz w:val="22"/>
          <w:szCs w:val="22"/>
        </w:rPr>
        <w:t xml:space="preserve"> claims of </w:t>
      </w:r>
      <w:r w:rsidR="00BD6D75" w:rsidRPr="008B262F">
        <w:rPr>
          <w:sz w:val="22"/>
          <w:szCs w:val="22"/>
        </w:rPr>
        <w:t>progress</w:t>
      </w:r>
      <w:r w:rsidR="00F752AB">
        <w:rPr>
          <w:sz w:val="22"/>
          <w:szCs w:val="22"/>
        </w:rPr>
        <w:t xml:space="preserve"> in</w:t>
      </w:r>
      <w:r w:rsidR="00E21384">
        <w:rPr>
          <w:sz w:val="22"/>
          <w:szCs w:val="22"/>
        </w:rPr>
        <w:t xml:space="preserve"> US</w:t>
      </w:r>
      <w:r w:rsidR="00F752AB">
        <w:rPr>
          <w:sz w:val="22"/>
          <w:szCs w:val="22"/>
        </w:rPr>
        <w:t xml:space="preserve"> hate crime and marriage equality cases</w:t>
      </w:r>
      <w:r w:rsidR="00BD6D75" w:rsidRPr="008B262F">
        <w:rPr>
          <w:sz w:val="22"/>
          <w:szCs w:val="22"/>
        </w:rPr>
        <w:t>.</w:t>
      </w:r>
      <w:bookmarkStart w:id="1" w:name="_Toc460623397"/>
    </w:p>
    <w:p w14:paraId="72770C9B" w14:textId="09CA9416" w:rsidR="00BC491A" w:rsidRPr="008B262F" w:rsidRDefault="00BC491A" w:rsidP="00F9737C">
      <w:pPr>
        <w:spacing w:line="480" w:lineRule="auto"/>
        <w:jc w:val="both"/>
        <w:rPr>
          <w:b/>
          <w:color w:val="000000"/>
          <w:sz w:val="22"/>
          <w:szCs w:val="22"/>
        </w:rPr>
      </w:pPr>
      <w:r w:rsidRPr="008B262F">
        <w:rPr>
          <w:b/>
          <w:color w:val="000000"/>
          <w:sz w:val="22"/>
          <w:szCs w:val="22"/>
        </w:rPr>
        <w:lastRenderedPageBreak/>
        <w:t>Que</w:t>
      </w:r>
      <w:r w:rsidR="003C1AE7">
        <w:rPr>
          <w:b/>
          <w:color w:val="000000"/>
          <w:sz w:val="22"/>
          <w:szCs w:val="22"/>
        </w:rPr>
        <w:t>(</w:t>
      </w:r>
      <w:r w:rsidRPr="008B262F">
        <w:rPr>
          <w:b/>
          <w:color w:val="000000"/>
          <w:sz w:val="22"/>
          <w:szCs w:val="22"/>
        </w:rPr>
        <w:t>e</w:t>
      </w:r>
      <w:r w:rsidR="003C1AE7">
        <w:rPr>
          <w:b/>
          <w:color w:val="000000"/>
          <w:sz w:val="22"/>
          <w:szCs w:val="22"/>
        </w:rPr>
        <w:t>)</w:t>
      </w:r>
      <w:r w:rsidRPr="008B262F">
        <w:rPr>
          <w:b/>
          <w:color w:val="000000"/>
          <w:sz w:val="22"/>
          <w:szCs w:val="22"/>
        </w:rPr>
        <w:t>r</w:t>
      </w:r>
      <w:r w:rsidR="003C1AE7">
        <w:rPr>
          <w:b/>
          <w:color w:val="000000"/>
          <w:sz w:val="22"/>
          <w:szCs w:val="22"/>
        </w:rPr>
        <w:t>ying</w:t>
      </w:r>
      <w:r w:rsidRPr="008B262F">
        <w:rPr>
          <w:b/>
          <w:color w:val="000000"/>
          <w:sz w:val="22"/>
          <w:szCs w:val="22"/>
        </w:rPr>
        <w:t xml:space="preserve"> </w:t>
      </w:r>
      <w:r w:rsidR="008C604F">
        <w:rPr>
          <w:b/>
          <w:color w:val="000000"/>
          <w:sz w:val="22"/>
          <w:szCs w:val="22"/>
        </w:rPr>
        <w:t xml:space="preserve">Activist </w:t>
      </w:r>
      <w:r w:rsidR="00465BF4">
        <w:rPr>
          <w:b/>
          <w:color w:val="000000"/>
          <w:sz w:val="22"/>
          <w:szCs w:val="22"/>
        </w:rPr>
        <w:t xml:space="preserve">Legal </w:t>
      </w:r>
      <w:r w:rsidRPr="008B262F">
        <w:rPr>
          <w:b/>
          <w:color w:val="000000"/>
          <w:sz w:val="22"/>
          <w:szCs w:val="22"/>
        </w:rPr>
        <w:t>Scholarship</w:t>
      </w:r>
      <w:bookmarkEnd w:id="1"/>
    </w:p>
    <w:p w14:paraId="77E7D241" w14:textId="7FA39BD5" w:rsidR="00A55C80" w:rsidRDefault="00C878C2" w:rsidP="005F2DDD">
      <w:pPr>
        <w:spacing w:line="480" w:lineRule="auto"/>
        <w:jc w:val="both"/>
        <w:rPr>
          <w:color w:val="000000"/>
          <w:sz w:val="22"/>
          <w:szCs w:val="22"/>
        </w:rPr>
      </w:pPr>
      <w:r>
        <w:rPr>
          <w:color w:val="000000"/>
          <w:sz w:val="22"/>
          <w:szCs w:val="22"/>
        </w:rPr>
        <w:t xml:space="preserve">Drawing from </w:t>
      </w:r>
      <w:r w:rsidR="00501403">
        <w:rPr>
          <w:color w:val="000000"/>
          <w:sz w:val="22"/>
          <w:szCs w:val="22"/>
        </w:rPr>
        <w:t>rich</w:t>
      </w:r>
      <w:r w:rsidR="00A55C80">
        <w:rPr>
          <w:color w:val="000000"/>
          <w:sz w:val="22"/>
          <w:szCs w:val="22"/>
        </w:rPr>
        <w:t xml:space="preserve"> tradition</w:t>
      </w:r>
      <w:r>
        <w:rPr>
          <w:color w:val="000000"/>
          <w:sz w:val="22"/>
          <w:szCs w:val="22"/>
        </w:rPr>
        <w:t>s</w:t>
      </w:r>
      <w:r w:rsidR="00501403">
        <w:rPr>
          <w:color w:val="000000"/>
          <w:sz w:val="22"/>
          <w:szCs w:val="22"/>
        </w:rPr>
        <w:t xml:space="preserve"> in</w:t>
      </w:r>
      <w:r w:rsidR="00A55C80">
        <w:rPr>
          <w:color w:val="000000"/>
          <w:sz w:val="22"/>
          <w:szCs w:val="22"/>
        </w:rPr>
        <w:t xml:space="preserve"> critical legal studies, I define ‘activist legal scholarship’ as intellectual inquiries aimed at exposing the ways in which legal systems oppress </w:t>
      </w:r>
      <w:r w:rsidR="001A0F50">
        <w:rPr>
          <w:color w:val="000000"/>
          <w:sz w:val="22"/>
          <w:szCs w:val="22"/>
        </w:rPr>
        <w:t>minorities and providing critiques and/or prescriptions</w:t>
      </w:r>
      <w:r w:rsidR="00A55C80">
        <w:rPr>
          <w:color w:val="000000"/>
          <w:sz w:val="22"/>
          <w:szCs w:val="22"/>
        </w:rPr>
        <w:t xml:space="preserve"> </w:t>
      </w:r>
      <w:r w:rsidR="001A0F50">
        <w:rPr>
          <w:color w:val="000000"/>
          <w:sz w:val="22"/>
          <w:szCs w:val="22"/>
        </w:rPr>
        <w:t>for remedying such injustices.</w:t>
      </w:r>
      <w:r w:rsidR="001A0F50">
        <w:rPr>
          <w:rStyle w:val="EndnoteReference"/>
          <w:color w:val="000000"/>
          <w:sz w:val="22"/>
          <w:szCs w:val="22"/>
        </w:rPr>
        <w:endnoteReference w:id="1"/>
      </w:r>
      <w:r w:rsidR="001A0F50">
        <w:rPr>
          <w:color w:val="000000"/>
          <w:sz w:val="22"/>
          <w:szCs w:val="22"/>
        </w:rPr>
        <w:t xml:space="preserve"> </w:t>
      </w:r>
      <w:r w:rsidR="00A55C80">
        <w:rPr>
          <w:color w:val="000000"/>
          <w:sz w:val="22"/>
          <w:szCs w:val="22"/>
        </w:rPr>
        <w:t xml:space="preserve">There are multiple forms of </w:t>
      </w:r>
      <w:r w:rsidR="005B6402">
        <w:rPr>
          <w:color w:val="000000"/>
          <w:sz w:val="22"/>
          <w:szCs w:val="22"/>
        </w:rPr>
        <w:t xml:space="preserve">such </w:t>
      </w:r>
      <w:r>
        <w:rPr>
          <w:color w:val="000000"/>
          <w:sz w:val="22"/>
          <w:szCs w:val="22"/>
        </w:rPr>
        <w:t xml:space="preserve">activist legal </w:t>
      </w:r>
      <w:r w:rsidR="00A55C80">
        <w:rPr>
          <w:color w:val="000000"/>
          <w:sz w:val="22"/>
          <w:szCs w:val="22"/>
        </w:rPr>
        <w:t xml:space="preserve">scholarship, which are beyond the scope of this paper. </w:t>
      </w:r>
      <w:r>
        <w:rPr>
          <w:color w:val="000000"/>
          <w:sz w:val="22"/>
          <w:szCs w:val="22"/>
        </w:rPr>
        <w:t>I</w:t>
      </w:r>
      <w:r w:rsidR="00501403">
        <w:rPr>
          <w:color w:val="000000"/>
          <w:sz w:val="22"/>
          <w:szCs w:val="22"/>
        </w:rPr>
        <w:t>n this section, I</w:t>
      </w:r>
      <w:r>
        <w:rPr>
          <w:color w:val="000000"/>
          <w:sz w:val="22"/>
          <w:szCs w:val="22"/>
        </w:rPr>
        <w:t xml:space="preserve"> focus my inquiry on how </w:t>
      </w:r>
      <w:r w:rsidR="00A55C80">
        <w:rPr>
          <w:color w:val="000000"/>
          <w:sz w:val="22"/>
          <w:szCs w:val="22"/>
        </w:rPr>
        <w:t>the demands of legal activism and scholarly inquiry can come into tension</w:t>
      </w:r>
      <w:r w:rsidR="002B02AE">
        <w:rPr>
          <w:color w:val="000000"/>
          <w:sz w:val="22"/>
          <w:szCs w:val="22"/>
        </w:rPr>
        <w:t>. As Frank Mu</w:t>
      </w:r>
      <w:r>
        <w:rPr>
          <w:color w:val="000000"/>
          <w:sz w:val="22"/>
          <w:szCs w:val="22"/>
        </w:rPr>
        <w:t xml:space="preserve">nger observes, this tension manifests </w:t>
      </w:r>
      <w:r w:rsidR="00A55C80">
        <w:rPr>
          <w:color w:val="000000"/>
          <w:sz w:val="22"/>
          <w:szCs w:val="22"/>
        </w:rPr>
        <w:t>when the call of</w:t>
      </w:r>
      <w:r>
        <w:rPr>
          <w:color w:val="000000"/>
          <w:sz w:val="22"/>
          <w:szCs w:val="22"/>
        </w:rPr>
        <w:t xml:space="preserve"> legal</w:t>
      </w:r>
      <w:r w:rsidR="00A55C80">
        <w:rPr>
          <w:color w:val="000000"/>
          <w:sz w:val="22"/>
          <w:szCs w:val="22"/>
        </w:rPr>
        <w:t xml:space="preserve"> activism to </w:t>
      </w:r>
      <w:r>
        <w:rPr>
          <w:color w:val="000000"/>
          <w:sz w:val="22"/>
          <w:szCs w:val="22"/>
        </w:rPr>
        <w:t>pursue</w:t>
      </w:r>
      <w:r w:rsidR="00A55C80">
        <w:rPr>
          <w:color w:val="000000"/>
          <w:sz w:val="22"/>
          <w:szCs w:val="22"/>
        </w:rPr>
        <w:t xml:space="preserve"> forms of action</w:t>
      </w:r>
      <w:r>
        <w:rPr>
          <w:color w:val="000000"/>
          <w:sz w:val="22"/>
          <w:szCs w:val="22"/>
        </w:rPr>
        <w:t xml:space="preserve"> (such as law reform)</w:t>
      </w:r>
      <w:r w:rsidR="00501403">
        <w:rPr>
          <w:color w:val="000000"/>
          <w:sz w:val="22"/>
          <w:szCs w:val="22"/>
        </w:rPr>
        <w:t xml:space="preserve"> that</w:t>
      </w:r>
      <w:r w:rsidR="00A55C80">
        <w:rPr>
          <w:color w:val="000000"/>
          <w:sz w:val="22"/>
          <w:szCs w:val="22"/>
        </w:rPr>
        <w:t xml:space="preserve"> </w:t>
      </w:r>
      <w:r>
        <w:rPr>
          <w:color w:val="000000"/>
          <w:sz w:val="22"/>
          <w:szCs w:val="22"/>
        </w:rPr>
        <w:t>address</w:t>
      </w:r>
      <w:r w:rsidR="00A55C80">
        <w:rPr>
          <w:color w:val="000000"/>
          <w:sz w:val="22"/>
          <w:szCs w:val="22"/>
        </w:rPr>
        <w:t xml:space="preserve"> </w:t>
      </w:r>
      <w:r>
        <w:rPr>
          <w:color w:val="000000"/>
          <w:sz w:val="22"/>
          <w:szCs w:val="22"/>
        </w:rPr>
        <w:t>pressing human rights abuses</w:t>
      </w:r>
      <w:r w:rsidR="00A55C80">
        <w:rPr>
          <w:color w:val="000000"/>
          <w:sz w:val="22"/>
          <w:szCs w:val="22"/>
        </w:rPr>
        <w:t xml:space="preserve"> </w:t>
      </w:r>
      <w:r w:rsidR="00501403">
        <w:rPr>
          <w:color w:val="000000"/>
          <w:sz w:val="22"/>
          <w:szCs w:val="22"/>
        </w:rPr>
        <w:t>brushes against</w:t>
      </w:r>
      <w:r w:rsidR="00A55C80">
        <w:rPr>
          <w:color w:val="000000"/>
          <w:sz w:val="22"/>
          <w:szCs w:val="22"/>
        </w:rPr>
        <w:t xml:space="preserve"> the call of scholarship </w:t>
      </w:r>
      <w:r w:rsidR="00501403">
        <w:rPr>
          <w:color w:val="000000"/>
          <w:sz w:val="22"/>
          <w:szCs w:val="22"/>
        </w:rPr>
        <w:t>that</w:t>
      </w:r>
      <w:r w:rsidR="00A55C80">
        <w:rPr>
          <w:color w:val="000000"/>
          <w:sz w:val="22"/>
          <w:szCs w:val="22"/>
        </w:rPr>
        <w:t xml:space="preserve"> lead</w:t>
      </w:r>
      <w:r w:rsidR="00501403">
        <w:rPr>
          <w:color w:val="000000"/>
          <w:sz w:val="22"/>
          <w:szCs w:val="22"/>
        </w:rPr>
        <w:t>s</w:t>
      </w:r>
      <w:r w:rsidR="00A55C80">
        <w:rPr>
          <w:color w:val="000000"/>
          <w:sz w:val="22"/>
          <w:szCs w:val="22"/>
        </w:rPr>
        <w:t xml:space="preserve"> to</w:t>
      </w:r>
      <w:r>
        <w:rPr>
          <w:color w:val="000000"/>
          <w:sz w:val="22"/>
          <w:szCs w:val="22"/>
        </w:rPr>
        <w:t xml:space="preserve"> pursuing</w:t>
      </w:r>
      <w:r w:rsidR="00A55C80">
        <w:rPr>
          <w:color w:val="000000"/>
          <w:sz w:val="22"/>
          <w:szCs w:val="22"/>
        </w:rPr>
        <w:t xml:space="preserve"> </w:t>
      </w:r>
      <w:r>
        <w:rPr>
          <w:color w:val="000000"/>
          <w:sz w:val="22"/>
          <w:szCs w:val="22"/>
        </w:rPr>
        <w:t xml:space="preserve">intellectual curiosities and undesirable </w:t>
      </w:r>
      <w:r w:rsidR="00A55C80">
        <w:rPr>
          <w:color w:val="000000"/>
          <w:sz w:val="22"/>
          <w:szCs w:val="22"/>
        </w:rPr>
        <w:t xml:space="preserve">questions </w:t>
      </w:r>
      <w:r>
        <w:rPr>
          <w:color w:val="000000"/>
          <w:sz w:val="22"/>
          <w:szCs w:val="22"/>
        </w:rPr>
        <w:t>that may require</w:t>
      </w:r>
      <w:r w:rsidR="00C02DE0">
        <w:rPr>
          <w:color w:val="000000"/>
          <w:sz w:val="22"/>
          <w:szCs w:val="22"/>
        </w:rPr>
        <w:t xml:space="preserve"> </w:t>
      </w:r>
      <w:r w:rsidR="00A55C80">
        <w:rPr>
          <w:color w:val="000000"/>
          <w:sz w:val="22"/>
          <w:szCs w:val="22"/>
        </w:rPr>
        <w:t>suspensions of</w:t>
      </w:r>
      <w:r>
        <w:rPr>
          <w:color w:val="000000"/>
          <w:sz w:val="22"/>
          <w:szCs w:val="22"/>
        </w:rPr>
        <w:t xml:space="preserve"> moral</w:t>
      </w:r>
      <w:r w:rsidR="00A55C80">
        <w:rPr>
          <w:color w:val="000000"/>
          <w:sz w:val="22"/>
          <w:szCs w:val="22"/>
        </w:rPr>
        <w:t xml:space="preserve"> judgement.</w:t>
      </w:r>
      <w:r w:rsidR="00A55C80">
        <w:rPr>
          <w:rStyle w:val="EndnoteReference"/>
          <w:color w:val="000000"/>
          <w:sz w:val="22"/>
          <w:szCs w:val="22"/>
        </w:rPr>
        <w:endnoteReference w:id="2"/>
      </w:r>
      <w:r w:rsidR="00A55C80">
        <w:rPr>
          <w:color w:val="000000"/>
          <w:sz w:val="22"/>
          <w:szCs w:val="22"/>
        </w:rPr>
        <w:t xml:space="preserve"> </w:t>
      </w:r>
    </w:p>
    <w:p w14:paraId="1D58BA76" w14:textId="5A435735" w:rsidR="004839E3" w:rsidRDefault="00306FF0" w:rsidP="00701F16">
      <w:pPr>
        <w:spacing w:line="480" w:lineRule="auto"/>
        <w:ind w:firstLine="720"/>
        <w:jc w:val="both"/>
        <w:rPr>
          <w:color w:val="000000"/>
          <w:sz w:val="22"/>
          <w:szCs w:val="22"/>
        </w:rPr>
      </w:pPr>
      <w:r w:rsidRPr="008B262F">
        <w:rPr>
          <w:color w:val="000000"/>
          <w:sz w:val="22"/>
          <w:szCs w:val="22"/>
        </w:rPr>
        <w:t>LGBTI</w:t>
      </w:r>
      <w:r w:rsidR="00BC491A" w:rsidRPr="008B262F">
        <w:rPr>
          <w:color w:val="000000"/>
          <w:sz w:val="22"/>
          <w:szCs w:val="22"/>
        </w:rPr>
        <w:t xml:space="preserve"> </w:t>
      </w:r>
      <w:r w:rsidR="00501403">
        <w:rPr>
          <w:color w:val="000000"/>
          <w:sz w:val="22"/>
          <w:szCs w:val="22"/>
        </w:rPr>
        <w:t>law reforms</w:t>
      </w:r>
      <w:r w:rsidR="00BC491A" w:rsidRPr="008B262F">
        <w:rPr>
          <w:color w:val="000000"/>
          <w:sz w:val="22"/>
          <w:szCs w:val="22"/>
        </w:rPr>
        <w:t xml:space="preserve"> reflect </w:t>
      </w:r>
      <w:r w:rsidR="00501403">
        <w:rPr>
          <w:color w:val="000000"/>
          <w:sz w:val="22"/>
          <w:szCs w:val="22"/>
        </w:rPr>
        <w:t>this tension through the</w:t>
      </w:r>
      <w:r w:rsidR="00BC491A" w:rsidRPr="008B262F">
        <w:rPr>
          <w:color w:val="000000"/>
          <w:sz w:val="22"/>
          <w:szCs w:val="22"/>
        </w:rPr>
        <w:t xml:space="preserve"> </w:t>
      </w:r>
      <w:r w:rsidR="008C4010">
        <w:rPr>
          <w:color w:val="000000"/>
          <w:sz w:val="22"/>
          <w:szCs w:val="22"/>
        </w:rPr>
        <w:t>emotional push by queers to be ‘seen’</w:t>
      </w:r>
      <w:r w:rsidR="00BC491A" w:rsidRPr="008B262F">
        <w:rPr>
          <w:color w:val="000000"/>
          <w:sz w:val="22"/>
          <w:szCs w:val="22"/>
        </w:rPr>
        <w:t>. Over the last 50 years, feelings such as despair, anger, hope, and happiness (to name just a few) have animated activist, academic, and advocacy debat</w:t>
      </w:r>
      <w:r w:rsidR="008C4010">
        <w:rPr>
          <w:color w:val="000000"/>
          <w:sz w:val="22"/>
          <w:szCs w:val="22"/>
        </w:rPr>
        <w:t xml:space="preserve">es over the capacity of law to </w:t>
      </w:r>
      <w:r w:rsidR="00501403">
        <w:rPr>
          <w:color w:val="000000"/>
          <w:sz w:val="22"/>
          <w:szCs w:val="22"/>
        </w:rPr>
        <w:t xml:space="preserve">recognise </w:t>
      </w:r>
      <w:r w:rsidR="00BC491A" w:rsidRPr="008B262F">
        <w:rPr>
          <w:color w:val="000000"/>
          <w:sz w:val="22"/>
          <w:szCs w:val="22"/>
        </w:rPr>
        <w:t xml:space="preserve">homophobic injuries, queer intimacies, and sexual identities. </w:t>
      </w:r>
      <w:r w:rsidR="00B75082">
        <w:rPr>
          <w:color w:val="000000"/>
          <w:sz w:val="22"/>
          <w:szCs w:val="22"/>
        </w:rPr>
        <w:t xml:space="preserve">Courts, as </w:t>
      </w:r>
      <w:r w:rsidR="00A55C80">
        <w:rPr>
          <w:color w:val="000000"/>
          <w:sz w:val="22"/>
          <w:szCs w:val="22"/>
        </w:rPr>
        <w:t>arenas</w:t>
      </w:r>
      <w:r w:rsidR="006B4DF2">
        <w:rPr>
          <w:color w:val="000000"/>
          <w:sz w:val="22"/>
          <w:szCs w:val="22"/>
        </w:rPr>
        <w:t xml:space="preserve"> for</w:t>
      </w:r>
      <w:r w:rsidR="00C878C2">
        <w:rPr>
          <w:color w:val="000000"/>
          <w:sz w:val="22"/>
          <w:szCs w:val="22"/>
        </w:rPr>
        <w:t xml:space="preserve"> LGBTI</w:t>
      </w:r>
      <w:r w:rsidR="006B4DF2">
        <w:rPr>
          <w:color w:val="000000"/>
          <w:sz w:val="22"/>
          <w:szCs w:val="22"/>
        </w:rPr>
        <w:t xml:space="preserve"> individuals to challenge the legality of </w:t>
      </w:r>
      <w:r w:rsidR="00B75082">
        <w:rPr>
          <w:color w:val="000000"/>
          <w:sz w:val="22"/>
          <w:szCs w:val="22"/>
        </w:rPr>
        <w:t>various forms of institutional</w:t>
      </w:r>
      <w:r w:rsidR="006B4DF2">
        <w:rPr>
          <w:color w:val="000000"/>
          <w:sz w:val="22"/>
          <w:szCs w:val="22"/>
        </w:rPr>
        <w:t xml:space="preserve"> discrimination, </w:t>
      </w:r>
      <w:r w:rsidR="00B75082">
        <w:rPr>
          <w:color w:val="000000"/>
          <w:sz w:val="22"/>
          <w:szCs w:val="22"/>
        </w:rPr>
        <w:t xml:space="preserve">have </w:t>
      </w:r>
      <w:r w:rsidR="006B4DF2">
        <w:rPr>
          <w:color w:val="000000"/>
          <w:sz w:val="22"/>
          <w:szCs w:val="22"/>
        </w:rPr>
        <w:t>been increasingly important for individuals wishing to vindicate their human rights.</w:t>
      </w:r>
      <w:r w:rsidR="006B4DF2">
        <w:rPr>
          <w:rStyle w:val="EndnoteReference"/>
          <w:color w:val="000000"/>
          <w:sz w:val="22"/>
          <w:szCs w:val="22"/>
        </w:rPr>
        <w:endnoteReference w:id="3"/>
      </w:r>
      <w:r w:rsidR="006B4DF2">
        <w:rPr>
          <w:color w:val="000000"/>
          <w:sz w:val="22"/>
          <w:szCs w:val="22"/>
        </w:rPr>
        <w:t xml:space="preserve"> </w:t>
      </w:r>
      <w:r w:rsidR="00560471">
        <w:rPr>
          <w:color w:val="000000"/>
          <w:sz w:val="22"/>
          <w:szCs w:val="22"/>
        </w:rPr>
        <w:t xml:space="preserve">For </w:t>
      </w:r>
      <w:r w:rsidR="00A55C80">
        <w:rPr>
          <w:color w:val="000000"/>
          <w:sz w:val="22"/>
          <w:szCs w:val="22"/>
        </w:rPr>
        <w:t xml:space="preserve">legal </w:t>
      </w:r>
      <w:r w:rsidR="00560471">
        <w:rPr>
          <w:color w:val="000000"/>
          <w:sz w:val="22"/>
          <w:szCs w:val="22"/>
        </w:rPr>
        <w:t>scholars int</w:t>
      </w:r>
      <w:r w:rsidR="00501403">
        <w:rPr>
          <w:color w:val="000000"/>
          <w:sz w:val="22"/>
          <w:szCs w:val="22"/>
        </w:rPr>
        <w:t xml:space="preserve">erested in, and motivated by </w:t>
      </w:r>
      <w:r w:rsidR="00560471">
        <w:rPr>
          <w:color w:val="000000"/>
          <w:sz w:val="22"/>
          <w:szCs w:val="22"/>
        </w:rPr>
        <w:t>concern</w:t>
      </w:r>
      <w:r w:rsidR="00A55C80">
        <w:rPr>
          <w:color w:val="000000"/>
          <w:sz w:val="22"/>
          <w:szCs w:val="22"/>
        </w:rPr>
        <w:t>s</w:t>
      </w:r>
      <w:r w:rsidR="00560471">
        <w:rPr>
          <w:color w:val="000000"/>
          <w:sz w:val="22"/>
          <w:szCs w:val="22"/>
        </w:rPr>
        <w:t xml:space="preserve"> for</w:t>
      </w:r>
      <w:r w:rsidR="00501403">
        <w:rPr>
          <w:color w:val="000000"/>
          <w:sz w:val="22"/>
          <w:szCs w:val="22"/>
        </w:rPr>
        <w:t>,</w:t>
      </w:r>
      <w:r w:rsidR="00560471">
        <w:rPr>
          <w:color w:val="000000"/>
          <w:sz w:val="22"/>
          <w:szCs w:val="22"/>
        </w:rPr>
        <w:t xml:space="preserve"> the wellbeing of minorities</w:t>
      </w:r>
      <w:r w:rsidR="00063C8E">
        <w:rPr>
          <w:color w:val="000000"/>
          <w:sz w:val="22"/>
          <w:szCs w:val="22"/>
        </w:rPr>
        <w:t xml:space="preserve"> in social and legal contexts</w:t>
      </w:r>
      <w:r w:rsidR="00560471">
        <w:rPr>
          <w:color w:val="000000"/>
          <w:sz w:val="22"/>
          <w:szCs w:val="22"/>
        </w:rPr>
        <w:t xml:space="preserve">, </w:t>
      </w:r>
      <w:r w:rsidR="00A55C80">
        <w:rPr>
          <w:color w:val="000000"/>
          <w:sz w:val="22"/>
          <w:szCs w:val="22"/>
        </w:rPr>
        <w:t>academic inquiry</w:t>
      </w:r>
      <w:r w:rsidR="00063C8E">
        <w:rPr>
          <w:color w:val="000000"/>
          <w:sz w:val="22"/>
          <w:szCs w:val="22"/>
        </w:rPr>
        <w:t xml:space="preserve"> </w:t>
      </w:r>
      <w:r w:rsidR="00A55C80">
        <w:rPr>
          <w:color w:val="000000"/>
          <w:sz w:val="22"/>
          <w:szCs w:val="22"/>
        </w:rPr>
        <w:t>has been directed at recognising</w:t>
      </w:r>
      <w:r w:rsidR="00063C8E">
        <w:rPr>
          <w:color w:val="000000"/>
          <w:sz w:val="22"/>
          <w:szCs w:val="22"/>
        </w:rPr>
        <w:t xml:space="preserve"> and address</w:t>
      </w:r>
      <w:r w:rsidR="00A55C80">
        <w:rPr>
          <w:color w:val="000000"/>
          <w:sz w:val="22"/>
          <w:szCs w:val="22"/>
        </w:rPr>
        <w:t>ing</w:t>
      </w:r>
      <w:r w:rsidR="00063C8E">
        <w:rPr>
          <w:color w:val="000000"/>
          <w:sz w:val="22"/>
          <w:szCs w:val="22"/>
        </w:rPr>
        <w:t xml:space="preserve"> how </w:t>
      </w:r>
      <w:r w:rsidR="00A55C80">
        <w:rPr>
          <w:color w:val="000000"/>
          <w:sz w:val="22"/>
          <w:szCs w:val="22"/>
        </w:rPr>
        <w:t xml:space="preserve">jurisprudence </w:t>
      </w:r>
      <w:r w:rsidR="00B75082">
        <w:rPr>
          <w:color w:val="000000"/>
          <w:sz w:val="22"/>
          <w:szCs w:val="22"/>
        </w:rPr>
        <w:t>pose</w:t>
      </w:r>
      <w:r w:rsidR="00A55C80">
        <w:rPr>
          <w:color w:val="000000"/>
          <w:sz w:val="22"/>
          <w:szCs w:val="22"/>
        </w:rPr>
        <w:t>s</w:t>
      </w:r>
      <w:r w:rsidR="00B75082">
        <w:rPr>
          <w:color w:val="000000"/>
          <w:sz w:val="22"/>
          <w:szCs w:val="22"/>
        </w:rPr>
        <w:t xml:space="preserve"> problems and promises</w:t>
      </w:r>
      <w:r w:rsidR="002C6B46">
        <w:rPr>
          <w:color w:val="000000"/>
          <w:sz w:val="22"/>
          <w:szCs w:val="22"/>
        </w:rPr>
        <w:t xml:space="preserve"> progress</w:t>
      </w:r>
      <w:r w:rsidR="004839E3">
        <w:rPr>
          <w:color w:val="000000"/>
          <w:sz w:val="22"/>
          <w:szCs w:val="22"/>
        </w:rPr>
        <w:t>.</w:t>
      </w:r>
      <w:r w:rsidR="004839E3">
        <w:rPr>
          <w:rStyle w:val="EndnoteReference"/>
          <w:color w:val="000000"/>
          <w:sz w:val="22"/>
          <w:szCs w:val="22"/>
        </w:rPr>
        <w:endnoteReference w:id="4"/>
      </w:r>
      <w:r w:rsidR="004839E3">
        <w:rPr>
          <w:color w:val="000000"/>
          <w:sz w:val="22"/>
          <w:szCs w:val="22"/>
        </w:rPr>
        <w:t xml:space="preserve"> </w:t>
      </w:r>
    </w:p>
    <w:p w14:paraId="0B7CBC7B" w14:textId="1D5A58B3" w:rsidR="00BC491A" w:rsidRPr="008B262F" w:rsidRDefault="00BC491A" w:rsidP="00701F16">
      <w:pPr>
        <w:spacing w:line="480" w:lineRule="auto"/>
        <w:ind w:firstLine="720"/>
        <w:jc w:val="both"/>
        <w:rPr>
          <w:color w:val="000000"/>
          <w:sz w:val="22"/>
          <w:szCs w:val="22"/>
        </w:rPr>
      </w:pPr>
      <w:r w:rsidRPr="008B262F">
        <w:rPr>
          <w:color w:val="000000"/>
          <w:sz w:val="22"/>
          <w:szCs w:val="22"/>
        </w:rPr>
        <w:t xml:space="preserve">In demands for social justice, equality-minded </w:t>
      </w:r>
      <w:r w:rsidR="004839E3">
        <w:rPr>
          <w:color w:val="000000"/>
          <w:sz w:val="22"/>
          <w:szCs w:val="22"/>
        </w:rPr>
        <w:t>socio-</w:t>
      </w:r>
      <w:r w:rsidRPr="008B262F">
        <w:rPr>
          <w:color w:val="000000"/>
          <w:sz w:val="22"/>
          <w:szCs w:val="22"/>
        </w:rPr>
        <w:t>legal scholars have regarded progres</w:t>
      </w:r>
      <w:r w:rsidR="005A07DA">
        <w:rPr>
          <w:color w:val="000000"/>
          <w:sz w:val="22"/>
          <w:szCs w:val="22"/>
        </w:rPr>
        <w:t xml:space="preserve">sive </w:t>
      </w:r>
      <w:r w:rsidR="00B75082">
        <w:rPr>
          <w:color w:val="000000"/>
          <w:sz w:val="22"/>
          <w:szCs w:val="22"/>
        </w:rPr>
        <w:t>judgments ushering in</w:t>
      </w:r>
      <w:r w:rsidR="005A07DA">
        <w:rPr>
          <w:color w:val="000000"/>
          <w:sz w:val="22"/>
          <w:szCs w:val="22"/>
        </w:rPr>
        <w:t xml:space="preserve"> law reform as positive</w:t>
      </w:r>
      <w:r w:rsidRPr="008B262F">
        <w:rPr>
          <w:color w:val="000000"/>
          <w:sz w:val="22"/>
          <w:szCs w:val="22"/>
        </w:rPr>
        <w:t xml:space="preserve"> outcomes, given the enormous purchase they have in society. For example, Yvonne Zylan</w:t>
      </w:r>
      <w:r w:rsidR="004E55F5" w:rsidRPr="008B262F">
        <w:rPr>
          <w:color w:val="000000"/>
          <w:sz w:val="22"/>
          <w:szCs w:val="22"/>
        </w:rPr>
        <w:t xml:space="preserve"> </w:t>
      </w:r>
      <w:r w:rsidRPr="008B262F">
        <w:rPr>
          <w:color w:val="000000"/>
          <w:sz w:val="22"/>
          <w:szCs w:val="22"/>
        </w:rPr>
        <w:t>argues that reforms directed at sexual or gender minorities not only confer legal recognition but also symbolise increased (public) acceptance of LGBTI visibility.</w:t>
      </w:r>
      <w:r w:rsidR="00191F6E">
        <w:rPr>
          <w:rStyle w:val="EndnoteReference"/>
          <w:color w:val="000000"/>
          <w:sz w:val="22"/>
          <w:szCs w:val="22"/>
        </w:rPr>
        <w:endnoteReference w:id="5"/>
      </w:r>
      <w:r w:rsidRPr="008B262F">
        <w:rPr>
          <w:color w:val="000000"/>
          <w:sz w:val="22"/>
          <w:szCs w:val="22"/>
        </w:rPr>
        <w:t xml:space="preserve"> Reflecting an instrumentalist idea of the relationship between law and social change, Chris Ashford suggests that statutes and case law provide an easily discernible benchmark for measuring the progress made towards recognising sexual minorities and exposing what remains to be done.</w:t>
      </w:r>
      <w:r w:rsidR="00191F6E">
        <w:rPr>
          <w:rStyle w:val="EndnoteReference"/>
          <w:color w:val="000000"/>
          <w:sz w:val="22"/>
          <w:szCs w:val="22"/>
        </w:rPr>
        <w:endnoteReference w:id="6"/>
      </w:r>
      <w:r w:rsidRPr="008B262F">
        <w:rPr>
          <w:color w:val="000000"/>
          <w:sz w:val="22"/>
          <w:szCs w:val="22"/>
        </w:rPr>
        <w:t xml:space="preserve"> These and other scholars have cast legal reforms as markers on a metaphorical ruler of social justice – markers that we still use to measure, and ultimately feel, the changes that have taken place in society. </w:t>
      </w:r>
    </w:p>
    <w:p w14:paraId="4B5772E1" w14:textId="40FE61BB" w:rsidR="00BC491A" w:rsidRPr="008B262F" w:rsidRDefault="00B75082" w:rsidP="00BC491A">
      <w:pPr>
        <w:spacing w:line="480" w:lineRule="auto"/>
        <w:ind w:firstLine="720"/>
        <w:jc w:val="both"/>
        <w:rPr>
          <w:color w:val="000000"/>
          <w:sz w:val="22"/>
          <w:szCs w:val="22"/>
        </w:rPr>
      </w:pPr>
      <w:r>
        <w:rPr>
          <w:color w:val="000000"/>
          <w:sz w:val="22"/>
          <w:szCs w:val="22"/>
        </w:rPr>
        <w:t>Progressive jurisprudence</w:t>
      </w:r>
      <w:r w:rsidR="00BC491A" w:rsidRPr="008B262F">
        <w:rPr>
          <w:color w:val="000000"/>
          <w:sz w:val="22"/>
          <w:szCs w:val="22"/>
        </w:rPr>
        <w:t xml:space="preserve">, </w:t>
      </w:r>
      <w:r w:rsidR="00910CB8">
        <w:rPr>
          <w:color w:val="000000"/>
          <w:sz w:val="22"/>
          <w:szCs w:val="22"/>
        </w:rPr>
        <w:t>however</w:t>
      </w:r>
      <w:r w:rsidR="00BC491A" w:rsidRPr="008B262F">
        <w:rPr>
          <w:color w:val="000000"/>
          <w:sz w:val="22"/>
          <w:szCs w:val="22"/>
        </w:rPr>
        <w:t xml:space="preserve">, operates as a paradox: </w:t>
      </w:r>
      <w:r w:rsidR="00133BAA">
        <w:rPr>
          <w:color w:val="000000"/>
          <w:sz w:val="22"/>
          <w:szCs w:val="22"/>
        </w:rPr>
        <w:t>it can represent the interests of</w:t>
      </w:r>
      <w:r w:rsidR="00BC491A" w:rsidRPr="008B262F">
        <w:rPr>
          <w:color w:val="000000"/>
          <w:sz w:val="22"/>
          <w:szCs w:val="22"/>
        </w:rPr>
        <w:t xml:space="preserve"> </w:t>
      </w:r>
      <w:r w:rsidR="00133BAA">
        <w:rPr>
          <w:color w:val="000000"/>
          <w:sz w:val="22"/>
          <w:szCs w:val="22"/>
        </w:rPr>
        <w:t>those who are</w:t>
      </w:r>
      <w:r w:rsidR="00BC491A" w:rsidRPr="008B262F">
        <w:rPr>
          <w:color w:val="000000"/>
          <w:sz w:val="22"/>
          <w:szCs w:val="22"/>
        </w:rPr>
        <w:t xml:space="preserve"> </w:t>
      </w:r>
      <w:r w:rsidR="00191F6E">
        <w:rPr>
          <w:color w:val="000000"/>
          <w:sz w:val="22"/>
          <w:szCs w:val="22"/>
        </w:rPr>
        <w:t>‘</w:t>
      </w:r>
      <w:r w:rsidR="00BC491A" w:rsidRPr="008B262F">
        <w:rPr>
          <w:color w:val="000000"/>
          <w:sz w:val="22"/>
          <w:szCs w:val="22"/>
        </w:rPr>
        <w:t>disempowered</w:t>
      </w:r>
      <w:r w:rsidR="00191F6E">
        <w:rPr>
          <w:color w:val="000000"/>
          <w:sz w:val="22"/>
          <w:szCs w:val="22"/>
        </w:rPr>
        <w:t>’</w:t>
      </w:r>
      <w:r w:rsidR="00BC491A" w:rsidRPr="008B262F">
        <w:rPr>
          <w:color w:val="000000"/>
          <w:sz w:val="22"/>
          <w:szCs w:val="22"/>
        </w:rPr>
        <w:t xml:space="preserve"> </w:t>
      </w:r>
      <w:r w:rsidR="00133BAA">
        <w:rPr>
          <w:color w:val="000000"/>
          <w:sz w:val="22"/>
          <w:szCs w:val="22"/>
        </w:rPr>
        <w:t>but only by limiting the terms of representation</w:t>
      </w:r>
      <w:r w:rsidR="00BC491A" w:rsidRPr="008B262F">
        <w:rPr>
          <w:color w:val="000000"/>
          <w:sz w:val="22"/>
          <w:szCs w:val="22"/>
        </w:rPr>
        <w:t xml:space="preserve">. Rather than </w:t>
      </w:r>
      <w:r w:rsidR="00133BAA">
        <w:rPr>
          <w:color w:val="000000"/>
          <w:sz w:val="22"/>
          <w:szCs w:val="22"/>
        </w:rPr>
        <w:t xml:space="preserve">pursuing </w:t>
      </w:r>
      <w:r w:rsidR="00BC491A" w:rsidRPr="008B262F">
        <w:rPr>
          <w:color w:val="000000"/>
          <w:sz w:val="22"/>
          <w:szCs w:val="22"/>
        </w:rPr>
        <w:t>abstract rights</w:t>
      </w:r>
      <w:r w:rsidR="00133BAA">
        <w:rPr>
          <w:color w:val="000000"/>
          <w:sz w:val="22"/>
          <w:szCs w:val="22"/>
        </w:rPr>
        <w:t xml:space="preserve"> claims</w:t>
      </w:r>
      <w:r w:rsidR="00BC491A" w:rsidRPr="008B262F">
        <w:rPr>
          <w:color w:val="000000"/>
          <w:sz w:val="22"/>
          <w:szCs w:val="22"/>
        </w:rPr>
        <w:t xml:space="preserve">, </w:t>
      </w:r>
      <w:r w:rsidR="00191F6E">
        <w:rPr>
          <w:color w:val="000000"/>
          <w:sz w:val="22"/>
          <w:szCs w:val="22"/>
        </w:rPr>
        <w:t>Lisa Bower advocates a ‘direct address’</w:t>
      </w:r>
      <w:r w:rsidR="00BC491A" w:rsidRPr="008B262F">
        <w:rPr>
          <w:color w:val="000000"/>
          <w:sz w:val="22"/>
          <w:szCs w:val="22"/>
        </w:rPr>
        <w:t xml:space="preserve"> to the courts – one that refuses static representations or legal language to shape new modes of recognition.</w:t>
      </w:r>
      <w:r w:rsidR="003229D2">
        <w:rPr>
          <w:rStyle w:val="EndnoteReference"/>
          <w:color w:val="000000"/>
          <w:sz w:val="22"/>
          <w:szCs w:val="22"/>
        </w:rPr>
        <w:endnoteReference w:id="7"/>
      </w:r>
      <w:r w:rsidR="00191F6E" w:rsidRPr="008B262F">
        <w:rPr>
          <w:color w:val="000000"/>
          <w:sz w:val="22"/>
          <w:szCs w:val="22"/>
        </w:rPr>
        <w:t xml:space="preserve"> </w:t>
      </w:r>
      <w:r w:rsidR="00BC491A" w:rsidRPr="008B262F">
        <w:rPr>
          <w:color w:val="000000"/>
          <w:sz w:val="22"/>
          <w:szCs w:val="22"/>
        </w:rPr>
        <w:t>Ruthann Robson</w:t>
      </w:r>
      <w:r w:rsidR="004E55F5" w:rsidRPr="008B262F">
        <w:rPr>
          <w:color w:val="000000"/>
          <w:sz w:val="22"/>
          <w:szCs w:val="22"/>
        </w:rPr>
        <w:t xml:space="preserve"> </w:t>
      </w:r>
      <w:r w:rsidR="00191F6E">
        <w:rPr>
          <w:color w:val="000000"/>
          <w:sz w:val="22"/>
          <w:szCs w:val="22"/>
        </w:rPr>
        <w:t>notes that ‘</w:t>
      </w:r>
      <w:r w:rsidR="00BC491A" w:rsidRPr="008B262F">
        <w:rPr>
          <w:color w:val="000000"/>
          <w:sz w:val="22"/>
          <w:szCs w:val="22"/>
        </w:rPr>
        <w:t>cont</w:t>
      </w:r>
      <w:r w:rsidR="00191F6E">
        <w:rPr>
          <w:color w:val="000000"/>
          <w:sz w:val="22"/>
          <w:szCs w:val="22"/>
        </w:rPr>
        <w:t>ext is a dominant consideration’</w:t>
      </w:r>
      <w:r w:rsidR="00BC491A" w:rsidRPr="008B262F">
        <w:rPr>
          <w:color w:val="000000"/>
          <w:sz w:val="22"/>
          <w:szCs w:val="22"/>
        </w:rPr>
        <w:t xml:space="preserve"> in any understanding of how judicial review operates.</w:t>
      </w:r>
      <w:r w:rsidR="00191F6E">
        <w:rPr>
          <w:rStyle w:val="EndnoteReference"/>
          <w:color w:val="000000"/>
          <w:sz w:val="22"/>
          <w:szCs w:val="22"/>
        </w:rPr>
        <w:endnoteReference w:id="8"/>
      </w:r>
      <w:r w:rsidR="004E55F5" w:rsidRPr="008B262F">
        <w:rPr>
          <w:color w:val="000000"/>
          <w:sz w:val="22"/>
          <w:szCs w:val="22"/>
        </w:rPr>
        <w:t xml:space="preserve"> </w:t>
      </w:r>
      <w:r w:rsidR="00BC491A" w:rsidRPr="008B262F">
        <w:rPr>
          <w:color w:val="000000"/>
          <w:sz w:val="22"/>
          <w:szCs w:val="22"/>
        </w:rPr>
        <w:t>I would add that understanding judicial reasoning in progressive cases requires more than a contextual consideration of what shapes changing legal norms.</w:t>
      </w:r>
      <w:r w:rsidR="00191F6E">
        <w:rPr>
          <w:rStyle w:val="EndnoteReference"/>
          <w:color w:val="000000"/>
          <w:sz w:val="22"/>
          <w:szCs w:val="22"/>
        </w:rPr>
        <w:endnoteReference w:id="9"/>
      </w:r>
      <w:r w:rsidR="00BC491A" w:rsidRPr="008B262F">
        <w:rPr>
          <w:color w:val="000000"/>
          <w:sz w:val="22"/>
          <w:szCs w:val="22"/>
        </w:rPr>
        <w:t xml:space="preserve"> John Fisher argues that queer cases r</w:t>
      </w:r>
      <w:r w:rsidR="00D13F93">
        <w:rPr>
          <w:color w:val="000000"/>
          <w:sz w:val="22"/>
          <w:szCs w:val="22"/>
        </w:rPr>
        <w:t>equire ‘queer contextualisation’</w:t>
      </w:r>
      <w:r w:rsidR="00BC491A" w:rsidRPr="008B262F">
        <w:rPr>
          <w:color w:val="000000"/>
          <w:sz w:val="22"/>
          <w:szCs w:val="22"/>
        </w:rPr>
        <w:t>.</w:t>
      </w:r>
      <w:r w:rsidR="00191F6E">
        <w:rPr>
          <w:rStyle w:val="EndnoteReference"/>
          <w:color w:val="000000"/>
          <w:sz w:val="22"/>
          <w:szCs w:val="22"/>
        </w:rPr>
        <w:endnoteReference w:id="10"/>
      </w:r>
      <w:r w:rsidR="00BC491A" w:rsidRPr="008B262F">
        <w:rPr>
          <w:color w:val="000000"/>
          <w:sz w:val="22"/>
          <w:szCs w:val="22"/>
        </w:rPr>
        <w:t xml:space="preserve"> </w:t>
      </w:r>
      <w:r w:rsidR="000E217D" w:rsidRPr="008B262F">
        <w:rPr>
          <w:color w:val="000000"/>
          <w:sz w:val="22"/>
          <w:szCs w:val="22"/>
        </w:rPr>
        <w:t>He</w:t>
      </w:r>
      <w:r w:rsidR="00BC491A" w:rsidRPr="008B262F">
        <w:rPr>
          <w:color w:val="000000"/>
          <w:sz w:val="22"/>
          <w:szCs w:val="22"/>
        </w:rPr>
        <w:t xml:space="preserve"> pursues this s</w:t>
      </w:r>
      <w:r w:rsidR="00D13F93">
        <w:rPr>
          <w:color w:val="000000"/>
          <w:sz w:val="22"/>
          <w:szCs w:val="22"/>
        </w:rPr>
        <w:t>trategy within a discussion of ‘substantive equality’</w:t>
      </w:r>
      <w:r w:rsidR="00BC491A" w:rsidRPr="008B262F">
        <w:rPr>
          <w:color w:val="000000"/>
          <w:sz w:val="22"/>
          <w:szCs w:val="22"/>
        </w:rPr>
        <w:t xml:space="preserve"> – a form of recognition that seeks to remedy socio-historical inequalities contributing to sexual minority marginalisation.</w:t>
      </w:r>
      <w:r w:rsidR="00191F6E">
        <w:rPr>
          <w:rStyle w:val="EndnoteReference"/>
          <w:color w:val="000000"/>
          <w:sz w:val="22"/>
          <w:szCs w:val="22"/>
        </w:rPr>
        <w:endnoteReference w:id="11"/>
      </w:r>
      <w:r w:rsidR="00BC491A" w:rsidRPr="008B262F">
        <w:rPr>
          <w:color w:val="000000"/>
          <w:sz w:val="22"/>
          <w:szCs w:val="22"/>
        </w:rPr>
        <w:t xml:space="preserve"> </w:t>
      </w:r>
      <w:r w:rsidR="007F02CC">
        <w:rPr>
          <w:color w:val="000000"/>
          <w:sz w:val="22"/>
          <w:szCs w:val="22"/>
        </w:rPr>
        <w:t>These scholars make visible the importance of parsing progressive legal claims</w:t>
      </w:r>
      <w:r w:rsidR="00F93CE3">
        <w:rPr>
          <w:color w:val="000000"/>
          <w:sz w:val="22"/>
          <w:szCs w:val="22"/>
        </w:rPr>
        <w:t xml:space="preserve"> </w:t>
      </w:r>
      <w:r w:rsidR="007F02CC">
        <w:rPr>
          <w:color w:val="000000"/>
          <w:sz w:val="22"/>
          <w:szCs w:val="22"/>
        </w:rPr>
        <w:t>through a queer critique of existing social norms.</w:t>
      </w:r>
    </w:p>
    <w:p w14:paraId="04F3726A" w14:textId="3B302F3C" w:rsidR="00910CB8" w:rsidRDefault="00501403" w:rsidP="00910CB8">
      <w:pPr>
        <w:spacing w:line="480" w:lineRule="auto"/>
        <w:ind w:firstLine="720"/>
        <w:jc w:val="both"/>
        <w:rPr>
          <w:color w:val="000000"/>
          <w:sz w:val="22"/>
          <w:szCs w:val="22"/>
        </w:rPr>
      </w:pPr>
      <w:r>
        <w:rPr>
          <w:color w:val="000000"/>
          <w:sz w:val="22"/>
          <w:szCs w:val="22"/>
        </w:rPr>
        <w:t>Moreover</w:t>
      </w:r>
      <w:r w:rsidR="00BC491A" w:rsidRPr="008B262F">
        <w:rPr>
          <w:color w:val="000000"/>
          <w:sz w:val="22"/>
          <w:szCs w:val="22"/>
        </w:rPr>
        <w:t>, queer legal scholars have drawn attention to how legal violence (</w:t>
      </w:r>
      <w:r w:rsidR="00CC32AB">
        <w:rPr>
          <w:color w:val="000000"/>
          <w:sz w:val="22"/>
          <w:szCs w:val="22"/>
        </w:rPr>
        <w:t xml:space="preserve">which includes punitive laws, administrative burdens, </w:t>
      </w:r>
      <w:r w:rsidR="00C878C2">
        <w:rPr>
          <w:color w:val="000000"/>
          <w:sz w:val="22"/>
          <w:szCs w:val="22"/>
        </w:rPr>
        <w:t>and ethnocentric</w:t>
      </w:r>
      <w:r w:rsidR="00CC32AB">
        <w:rPr>
          <w:color w:val="000000"/>
          <w:sz w:val="22"/>
          <w:szCs w:val="22"/>
        </w:rPr>
        <w:t xml:space="preserve"> representations of </w:t>
      </w:r>
      <w:r w:rsidR="00924038">
        <w:rPr>
          <w:color w:val="000000"/>
          <w:sz w:val="22"/>
          <w:szCs w:val="22"/>
        </w:rPr>
        <w:t>sexuality</w:t>
      </w:r>
      <w:r w:rsidR="00BC491A" w:rsidRPr="008B262F">
        <w:rPr>
          <w:color w:val="000000"/>
          <w:sz w:val="22"/>
          <w:szCs w:val="22"/>
        </w:rPr>
        <w:t>) has become justified in the pursuit of progressive legal projects.</w:t>
      </w:r>
      <w:r w:rsidR="00B95B5F">
        <w:rPr>
          <w:rStyle w:val="EndnoteReference"/>
          <w:color w:val="000000"/>
          <w:sz w:val="22"/>
          <w:szCs w:val="22"/>
        </w:rPr>
        <w:endnoteReference w:id="12"/>
      </w:r>
      <w:r w:rsidR="000E217D" w:rsidRPr="008B262F">
        <w:rPr>
          <w:color w:val="000000"/>
          <w:sz w:val="22"/>
          <w:szCs w:val="22"/>
        </w:rPr>
        <w:t xml:space="preserve"> </w:t>
      </w:r>
      <w:r w:rsidR="00D13F93">
        <w:rPr>
          <w:color w:val="000000"/>
          <w:sz w:val="22"/>
          <w:szCs w:val="22"/>
        </w:rPr>
        <w:t>As Marc Spindelman</w:t>
      </w:r>
      <w:r w:rsidR="000E217D" w:rsidRPr="008B262F">
        <w:rPr>
          <w:color w:val="000000"/>
          <w:sz w:val="22"/>
          <w:szCs w:val="22"/>
        </w:rPr>
        <w:t xml:space="preserve"> </w:t>
      </w:r>
      <w:r w:rsidR="00BC491A" w:rsidRPr="008B262F">
        <w:rPr>
          <w:color w:val="000000"/>
          <w:sz w:val="22"/>
          <w:szCs w:val="22"/>
        </w:rPr>
        <w:t>suggests, we should be cautious of using a homophobic legal system to remedy homophobic harms.</w:t>
      </w:r>
      <w:r w:rsidR="00B95B5F">
        <w:rPr>
          <w:rStyle w:val="EndnoteReference"/>
          <w:color w:val="000000"/>
          <w:sz w:val="22"/>
          <w:szCs w:val="22"/>
        </w:rPr>
        <w:endnoteReference w:id="13"/>
      </w:r>
      <w:r w:rsidR="00BC491A" w:rsidRPr="008B262F">
        <w:rPr>
          <w:color w:val="000000"/>
          <w:sz w:val="22"/>
          <w:szCs w:val="22"/>
        </w:rPr>
        <w:t xml:space="preserve"> </w:t>
      </w:r>
      <w:r w:rsidR="000E217D" w:rsidRPr="008B262F">
        <w:rPr>
          <w:color w:val="000000"/>
          <w:sz w:val="22"/>
          <w:szCs w:val="22"/>
        </w:rPr>
        <w:t>Q</w:t>
      </w:r>
      <w:r w:rsidR="00BC491A" w:rsidRPr="008B262F">
        <w:rPr>
          <w:color w:val="000000"/>
          <w:sz w:val="22"/>
          <w:szCs w:val="22"/>
        </w:rPr>
        <w:t>ueer sexual freedom cannot be sourced within the moral economy of the law – it develops in i</w:t>
      </w:r>
      <w:r w:rsidR="00D13F93">
        <w:rPr>
          <w:color w:val="000000"/>
          <w:sz w:val="22"/>
          <w:szCs w:val="22"/>
        </w:rPr>
        <w:t>ts ‘shadow’</w:t>
      </w:r>
      <w:r w:rsidR="00BC491A" w:rsidRPr="008B262F">
        <w:rPr>
          <w:color w:val="000000"/>
          <w:sz w:val="22"/>
          <w:szCs w:val="22"/>
        </w:rPr>
        <w:t>.</w:t>
      </w:r>
      <w:r w:rsidR="00B95B5F">
        <w:rPr>
          <w:rStyle w:val="EndnoteReference"/>
          <w:color w:val="000000"/>
          <w:sz w:val="22"/>
          <w:szCs w:val="22"/>
        </w:rPr>
        <w:endnoteReference w:id="14"/>
      </w:r>
      <w:r w:rsidR="00BC491A" w:rsidRPr="008B262F">
        <w:rPr>
          <w:color w:val="000000"/>
          <w:sz w:val="22"/>
          <w:szCs w:val="22"/>
        </w:rPr>
        <w:t xml:space="preserve"> Law reform privileges assim</w:t>
      </w:r>
      <w:r w:rsidR="00D13F93">
        <w:rPr>
          <w:color w:val="000000"/>
          <w:sz w:val="22"/>
          <w:szCs w:val="22"/>
        </w:rPr>
        <w:t>ilation into an existing legal ‘discipline’</w:t>
      </w:r>
      <w:r w:rsidR="00BC491A" w:rsidRPr="008B262F">
        <w:rPr>
          <w:color w:val="000000"/>
          <w:sz w:val="22"/>
          <w:szCs w:val="22"/>
        </w:rPr>
        <w:t>, rather than contesting the institutional violence that such orders produce</w:t>
      </w:r>
      <w:r w:rsidR="00A650DC" w:rsidRPr="008B262F">
        <w:rPr>
          <w:color w:val="000000"/>
          <w:sz w:val="22"/>
          <w:szCs w:val="22"/>
        </w:rPr>
        <w:t>.</w:t>
      </w:r>
      <w:r w:rsidR="00B95B5F">
        <w:rPr>
          <w:rStyle w:val="EndnoteReference"/>
          <w:color w:val="000000"/>
          <w:sz w:val="22"/>
          <w:szCs w:val="22"/>
        </w:rPr>
        <w:endnoteReference w:id="15"/>
      </w:r>
      <w:r w:rsidR="00A650DC" w:rsidRPr="008B262F">
        <w:rPr>
          <w:color w:val="000000"/>
          <w:sz w:val="22"/>
          <w:szCs w:val="22"/>
        </w:rPr>
        <w:t xml:space="preserve"> </w:t>
      </w:r>
    </w:p>
    <w:p w14:paraId="635702E0" w14:textId="4DF63055" w:rsidR="009C282E" w:rsidRPr="00701F16" w:rsidRDefault="00910CB8" w:rsidP="00F93CE3">
      <w:pPr>
        <w:spacing w:line="480" w:lineRule="auto"/>
        <w:ind w:firstLine="720"/>
        <w:jc w:val="both"/>
        <w:rPr>
          <w:color w:val="000000"/>
          <w:sz w:val="22"/>
          <w:szCs w:val="22"/>
        </w:rPr>
      </w:pPr>
      <w:r w:rsidRPr="008B262F">
        <w:rPr>
          <w:color w:val="000000"/>
          <w:sz w:val="22"/>
          <w:szCs w:val="22"/>
        </w:rPr>
        <w:t xml:space="preserve">Such a dynamic treatment of legal interventions raises the complex relationship law has to both individual and institutional concerns of advancing justice for </w:t>
      </w:r>
      <w:r>
        <w:rPr>
          <w:color w:val="000000"/>
          <w:sz w:val="22"/>
          <w:szCs w:val="22"/>
        </w:rPr>
        <w:t>LGBTI</w:t>
      </w:r>
      <w:r w:rsidRPr="008B262F">
        <w:rPr>
          <w:color w:val="000000"/>
          <w:sz w:val="22"/>
          <w:szCs w:val="22"/>
        </w:rPr>
        <w:t xml:space="preserve"> minorities. </w:t>
      </w:r>
      <w:r>
        <w:rPr>
          <w:color w:val="000000"/>
          <w:sz w:val="22"/>
          <w:szCs w:val="22"/>
        </w:rPr>
        <w:t>In order to navigate the limit</w:t>
      </w:r>
      <w:r w:rsidR="00D13F93">
        <w:rPr>
          <w:color w:val="000000"/>
          <w:sz w:val="22"/>
          <w:szCs w:val="22"/>
        </w:rPr>
        <w:t>s of legal progress, I want to ‘queer’</w:t>
      </w:r>
      <w:r w:rsidR="00A6797F" w:rsidRPr="008B262F">
        <w:rPr>
          <w:color w:val="000000"/>
          <w:sz w:val="22"/>
          <w:szCs w:val="22"/>
        </w:rPr>
        <w:t xml:space="preserve"> the affectiv</w:t>
      </w:r>
      <w:r w:rsidR="005F2DDD" w:rsidRPr="008B262F">
        <w:rPr>
          <w:color w:val="000000"/>
          <w:sz w:val="22"/>
          <w:szCs w:val="22"/>
        </w:rPr>
        <w:t>e recognition of</w:t>
      </w:r>
      <w:r w:rsidR="00A6797F" w:rsidRPr="008B262F">
        <w:rPr>
          <w:color w:val="000000"/>
          <w:sz w:val="22"/>
          <w:szCs w:val="22"/>
        </w:rPr>
        <w:t xml:space="preserve"> injury,</w:t>
      </w:r>
      <w:r w:rsidR="00BC491A" w:rsidRPr="008B262F">
        <w:rPr>
          <w:color w:val="000000"/>
          <w:sz w:val="22"/>
          <w:szCs w:val="22"/>
        </w:rPr>
        <w:t xml:space="preserve"> intimacy, and identity. </w:t>
      </w:r>
      <w:r>
        <w:rPr>
          <w:color w:val="000000"/>
          <w:sz w:val="22"/>
          <w:szCs w:val="22"/>
        </w:rPr>
        <w:t>I use queer</w:t>
      </w:r>
      <w:r w:rsidR="00973E99" w:rsidRPr="008B262F">
        <w:rPr>
          <w:color w:val="000000"/>
          <w:sz w:val="22"/>
          <w:szCs w:val="22"/>
        </w:rPr>
        <w:t xml:space="preserve"> as a critical theoretical tool alongside my analysis of emotion</w:t>
      </w:r>
      <w:r w:rsidR="005F2DDD" w:rsidRPr="008B262F">
        <w:rPr>
          <w:color w:val="000000"/>
          <w:sz w:val="22"/>
          <w:szCs w:val="22"/>
        </w:rPr>
        <w:t xml:space="preserve"> (outlined below)</w:t>
      </w:r>
      <w:r w:rsidR="00973E99" w:rsidRPr="008B262F">
        <w:rPr>
          <w:color w:val="000000"/>
          <w:sz w:val="22"/>
          <w:szCs w:val="22"/>
        </w:rPr>
        <w:t xml:space="preserve"> to draw out the discomfort, resistance, transition, and trouble in cases that seek to progress sexual and gender minorities from a position of injury and to enable their intimacies and identities.</w:t>
      </w:r>
      <w:r w:rsidR="00B95B5F">
        <w:rPr>
          <w:rStyle w:val="EndnoteReference"/>
          <w:color w:val="000000"/>
          <w:sz w:val="22"/>
          <w:szCs w:val="22"/>
        </w:rPr>
        <w:endnoteReference w:id="16"/>
      </w:r>
      <w:r w:rsidR="00973E99" w:rsidRPr="008B262F">
        <w:rPr>
          <w:color w:val="000000"/>
          <w:sz w:val="22"/>
          <w:szCs w:val="22"/>
        </w:rPr>
        <w:t xml:space="preserve"> </w:t>
      </w:r>
      <w:r w:rsidR="008820E9">
        <w:rPr>
          <w:color w:val="000000"/>
          <w:sz w:val="22"/>
          <w:szCs w:val="22"/>
        </w:rPr>
        <w:t xml:space="preserve">As activist legal </w:t>
      </w:r>
      <w:r w:rsidR="009C282E">
        <w:rPr>
          <w:color w:val="000000"/>
          <w:sz w:val="22"/>
          <w:szCs w:val="22"/>
        </w:rPr>
        <w:t xml:space="preserve">scholars, this </w:t>
      </w:r>
      <w:r w:rsidR="005A07DA">
        <w:rPr>
          <w:color w:val="000000"/>
          <w:sz w:val="22"/>
          <w:szCs w:val="22"/>
        </w:rPr>
        <w:t>analysis</w:t>
      </w:r>
      <w:r w:rsidR="00973E99" w:rsidRPr="008B262F">
        <w:rPr>
          <w:color w:val="000000"/>
          <w:sz w:val="22"/>
          <w:szCs w:val="22"/>
        </w:rPr>
        <w:t xml:space="preserve"> allows </w:t>
      </w:r>
      <w:r w:rsidR="009C282E">
        <w:rPr>
          <w:color w:val="000000"/>
          <w:sz w:val="22"/>
          <w:szCs w:val="22"/>
        </w:rPr>
        <w:t>us</w:t>
      </w:r>
      <w:r w:rsidR="009C282E" w:rsidRPr="008B262F">
        <w:rPr>
          <w:color w:val="000000"/>
          <w:sz w:val="22"/>
          <w:szCs w:val="22"/>
        </w:rPr>
        <w:t xml:space="preserve"> </w:t>
      </w:r>
      <w:r w:rsidR="00973E99" w:rsidRPr="008B262F">
        <w:rPr>
          <w:color w:val="000000"/>
          <w:sz w:val="22"/>
          <w:szCs w:val="22"/>
        </w:rPr>
        <w:t xml:space="preserve">to </w:t>
      </w:r>
      <w:r w:rsidR="00BE0D47" w:rsidRPr="008B262F">
        <w:rPr>
          <w:color w:val="000000"/>
          <w:sz w:val="22"/>
          <w:szCs w:val="22"/>
        </w:rPr>
        <w:t>deconstruct</w:t>
      </w:r>
      <w:r w:rsidR="009B4E9C">
        <w:rPr>
          <w:color w:val="000000"/>
          <w:sz w:val="22"/>
          <w:szCs w:val="22"/>
        </w:rPr>
        <w:t xml:space="preserve"> </w:t>
      </w:r>
      <w:r w:rsidR="00973E99" w:rsidRPr="008B262F">
        <w:rPr>
          <w:color w:val="000000"/>
          <w:sz w:val="22"/>
          <w:szCs w:val="22"/>
        </w:rPr>
        <w:t>emotional e</w:t>
      </w:r>
      <w:r w:rsidR="001279E3" w:rsidRPr="008B262F">
        <w:rPr>
          <w:color w:val="000000"/>
          <w:sz w:val="22"/>
          <w:szCs w:val="22"/>
        </w:rPr>
        <w:t xml:space="preserve">nactments of progressive cases </w:t>
      </w:r>
      <w:r w:rsidR="009B4E9C">
        <w:rPr>
          <w:color w:val="000000"/>
          <w:sz w:val="22"/>
          <w:szCs w:val="22"/>
        </w:rPr>
        <w:t>by troubling the socio-legal norms of injury, intimacy, and identity they</w:t>
      </w:r>
      <w:r w:rsidR="00973E99" w:rsidRPr="008B262F">
        <w:rPr>
          <w:color w:val="000000"/>
          <w:sz w:val="22"/>
          <w:szCs w:val="22"/>
        </w:rPr>
        <w:t xml:space="preserve"> shape. </w:t>
      </w:r>
      <w:r w:rsidR="009B4E9C">
        <w:rPr>
          <w:color w:val="000000"/>
          <w:sz w:val="22"/>
          <w:szCs w:val="22"/>
        </w:rPr>
        <w:t>Yet</w:t>
      </w:r>
      <w:r w:rsidR="00BE0D47" w:rsidRPr="008B262F">
        <w:rPr>
          <w:color w:val="000000"/>
          <w:sz w:val="22"/>
          <w:szCs w:val="22"/>
        </w:rPr>
        <w:t xml:space="preserve">, as Aleardo Zanghellini </w:t>
      </w:r>
      <w:r w:rsidR="009B4E9C">
        <w:rPr>
          <w:color w:val="000000"/>
          <w:sz w:val="22"/>
          <w:szCs w:val="22"/>
        </w:rPr>
        <w:t>observes</w:t>
      </w:r>
      <w:r w:rsidR="00D13F93">
        <w:rPr>
          <w:color w:val="000000"/>
          <w:sz w:val="22"/>
          <w:szCs w:val="22"/>
        </w:rPr>
        <w:t>, queer</w:t>
      </w:r>
      <w:r w:rsidR="00BE0D47" w:rsidRPr="008B262F">
        <w:rPr>
          <w:color w:val="000000"/>
          <w:sz w:val="22"/>
          <w:szCs w:val="22"/>
        </w:rPr>
        <w:t xml:space="preserve"> is not limited to deconstruction or antinormativity. The appeal of using queer theory to read</w:t>
      </w:r>
      <w:r w:rsidR="009B4E9C">
        <w:rPr>
          <w:color w:val="000000"/>
          <w:sz w:val="22"/>
          <w:szCs w:val="22"/>
        </w:rPr>
        <w:t xml:space="preserve"> emotion in</w:t>
      </w:r>
      <w:r w:rsidR="00BE0D47" w:rsidRPr="008B262F">
        <w:rPr>
          <w:color w:val="000000"/>
          <w:sz w:val="22"/>
          <w:szCs w:val="22"/>
        </w:rPr>
        <w:t xml:space="preserve"> jurisprudence</w:t>
      </w:r>
      <w:r w:rsidR="009B4E9C">
        <w:rPr>
          <w:color w:val="000000"/>
          <w:sz w:val="22"/>
          <w:szCs w:val="22"/>
        </w:rPr>
        <w:t>, then,</w:t>
      </w:r>
      <w:r w:rsidR="00BE0D47" w:rsidRPr="008B262F">
        <w:rPr>
          <w:color w:val="000000"/>
          <w:sz w:val="22"/>
          <w:szCs w:val="22"/>
        </w:rPr>
        <w:t xml:space="preserve"> lies in the normative, political commitments for justice that</w:t>
      </w:r>
      <w:r w:rsidR="009B4E9C">
        <w:rPr>
          <w:color w:val="000000"/>
          <w:sz w:val="22"/>
          <w:szCs w:val="22"/>
        </w:rPr>
        <w:t xml:space="preserve"> this</w:t>
      </w:r>
      <w:r w:rsidR="00BE0D47" w:rsidRPr="008B262F">
        <w:rPr>
          <w:color w:val="000000"/>
          <w:sz w:val="22"/>
          <w:szCs w:val="22"/>
        </w:rPr>
        <w:t xml:space="preserve"> </w:t>
      </w:r>
      <w:r w:rsidR="009B4E9C">
        <w:rPr>
          <w:color w:val="000000"/>
          <w:sz w:val="22"/>
          <w:szCs w:val="22"/>
        </w:rPr>
        <w:t>queer</w:t>
      </w:r>
      <w:r w:rsidR="00BE0D47" w:rsidRPr="008B262F">
        <w:rPr>
          <w:color w:val="000000"/>
          <w:sz w:val="22"/>
          <w:szCs w:val="22"/>
        </w:rPr>
        <w:t xml:space="preserve"> reading </w:t>
      </w:r>
      <w:r w:rsidR="00D13F93">
        <w:rPr>
          <w:color w:val="000000"/>
          <w:sz w:val="22"/>
          <w:szCs w:val="22"/>
        </w:rPr>
        <w:t>can affirm</w:t>
      </w:r>
      <w:r w:rsidR="00BE0D47" w:rsidRPr="008B262F">
        <w:rPr>
          <w:color w:val="000000"/>
          <w:sz w:val="22"/>
          <w:szCs w:val="22"/>
        </w:rPr>
        <w:t>.</w:t>
      </w:r>
      <w:r w:rsidR="00B95B5F">
        <w:rPr>
          <w:rStyle w:val="EndnoteReference"/>
          <w:color w:val="000000"/>
          <w:sz w:val="22"/>
          <w:szCs w:val="22"/>
        </w:rPr>
        <w:endnoteReference w:id="17"/>
      </w:r>
      <w:r w:rsidR="00FE2DE7">
        <w:rPr>
          <w:color w:val="000000"/>
          <w:sz w:val="22"/>
          <w:szCs w:val="22"/>
        </w:rPr>
        <w:t xml:space="preserve"> </w:t>
      </w:r>
      <w:r w:rsidR="009C282E">
        <w:rPr>
          <w:color w:val="000000"/>
          <w:sz w:val="22"/>
          <w:szCs w:val="22"/>
        </w:rPr>
        <w:t>In foregrounding these commitments, I want to urge those engaged in legal activism</w:t>
      </w:r>
      <w:r w:rsidR="00F93CE3">
        <w:rPr>
          <w:color w:val="000000"/>
          <w:sz w:val="22"/>
          <w:szCs w:val="22"/>
        </w:rPr>
        <w:t xml:space="preserve"> (such as judicial review and statutory reform)</w:t>
      </w:r>
      <w:r w:rsidR="00BD35D1">
        <w:rPr>
          <w:color w:val="000000"/>
          <w:sz w:val="22"/>
          <w:szCs w:val="22"/>
        </w:rPr>
        <w:t xml:space="preserve"> </w:t>
      </w:r>
      <w:r w:rsidR="009C282E">
        <w:rPr>
          <w:color w:val="000000"/>
          <w:sz w:val="22"/>
          <w:szCs w:val="22"/>
        </w:rPr>
        <w:t>and</w:t>
      </w:r>
      <w:r w:rsidR="00F93CE3">
        <w:rPr>
          <w:color w:val="000000"/>
          <w:sz w:val="22"/>
          <w:szCs w:val="22"/>
        </w:rPr>
        <w:t xml:space="preserve"> critical</w:t>
      </w:r>
      <w:r w:rsidR="009C282E">
        <w:rPr>
          <w:color w:val="000000"/>
          <w:sz w:val="22"/>
          <w:szCs w:val="22"/>
        </w:rPr>
        <w:t xml:space="preserve"> legal scholarship </w:t>
      </w:r>
      <w:r w:rsidR="00F93CE3">
        <w:rPr>
          <w:color w:val="000000"/>
          <w:sz w:val="22"/>
          <w:szCs w:val="22"/>
        </w:rPr>
        <w:t xml:space="preserve">(such as </w:t>
      </w:r>
      <w:r w:rsidR="00C878C2">
        <w:rPr>
          <w:color w:val="000000"/>
          <w:sz w:val="22"/>
          <w:szCs w:val="22"/>
        </w:rPr>
        <w:t>critical writing</w:t>
      </w:r>
      <w:r w:rsidR="00F93CE3">
        <w:rPr>
          <w:color w:val="000000"/>
          <w:sz w:val="22"/>
          <w:szCs w:val="22"/>
        </w:rPr>
        <w:t xml:space="preserve"> about law</w:t>
      </w:r>
      <w:r w:rsidR="00C878C2">
        <w:rPr>
          <w:color w:val="000000"/>
          <w:sz w:val="22"/>
          <w:szCs w:val="22"/>
        </w:rPr>
        <w:t xml:space="preserve"> reform</w:t>
      </w:r>
      <w:r w:rsidR="00F93CE3">
        <w:rPr>
          <w:color w:val="000000"/>
          <w:sz w:val="22"/>
          <w:szCs w:val="22"/>
        </w:rPr>
        <w:t xml:space="preserve"> and</w:t>
      </w:r>
      <w:r w:rsidR="00C878C2">
        <w:rPr>
          <w:color w:val="000000"/>
          <w:sz w:val="22"/>
          <w:szCs w:val="22"/>
        </w:rPr>
        <w:t xml:space="preserve"> legal</w:t>
      </w:r>
      <w:r w:rsidR="00F93CE3">
        <w:rPr>
          <w:color w:val="000000"/>
          <w:sz w:val="22"/>
          <w:szCs w:val="22"/>
        </w:rPr>
        <w:t xml:space="preserve"> rights) </w:t>
      </w:r>
      <w:r w:rsidR="009C282E">
        <w:rPr>
          <w:color w:val="000000"/>
          <w:sz w:val="22"/>
          <w:szCs w:val="22"/>
        </w:rPr>
        <w:t xml:space="preserve">about queer minorities to recognise how emotion shapes </w:t>
      </w:r>
      <w:r w:rsidR="009C282E" w:rsidRPr="00BD35D1">
        <w:rPr>
          <w:color w:val="000000"/>
          <w:sz w:val="22"/>
          <w:szCs w:val="22"/>
        </w:rPr>
        <w:t xml:space="preserve">specific legal claims and use emotion as a methodological lens to navigate the reach of legal progress aimed at supporting LGBTI people. </w:t>
      </w:r>
    </w:p>
    <w:p w14:paraId="1C163EEB" w14:textId="19A53FFF" w:rsidR="009C282E" w:rsidRPr="00701F16" w:rsidRDefault="00C02DE0" w:rsidP="009C282E">
      <w:pPr>
        <w:spacing w:line="480" w:lineRule="auto"/>
        <w:ind w:firstLine="720"/>
        <w:jc w:val="both"/>
        <w:rPr>
          <w:color w:val="000000"/>
          <w:sz w:val="22"/>
          <w:szCs w:val="22"/>
        </w:rPr>
      </w:pPr>
      <w:r>
        <w:rPr>
          <w:color w:val="000000"/>
          <w:sz w:val="22"/>
          <w:szCs w:val="22"/>
        </w:rPr>
        <w:t xml:space="preserve">As queer activist legal </w:t>
      </w:r>
      <w:r w:rsidR="009C282E" w:rsidRPr="00BD35D1">
        <w:rPr>
          <w:color w:val="000000"/>
          <w:sz w:val="22"/>
          <w:szCs w:val="22"/>
        </w:rPr>
        <w:t>scholar</w:t>
      </w:r>
      <w:r>
        <w:rPr>
          <w:color w:val="000000"/>
          <w:sz w:val="22"/>
          <w:szCs w:val="22"/>
        </w:rPr>
        <w:t>s seeking to simultaneously navigate</w:t>
      </w:r>
      <w:r w:rsidR="009C282E" w:rsidRPr="00BD35D1">
        <w:rPr>
          <w:color w:val="000000"/>
          <w:sz w:val="22"/>
          <w:szCs w:val="22"/>
        </w:rPr>
        <w:t xml:space="preserve"> demands for deconstruction and affirmation,</w:t>
      </w:r>
      <w:r w:rsidR="009C282E" w:rsidRPr="00F93CE3">
        <w:rPr>
          <w:color w:val="000000"/>
          <w:sz w:val="22"/>
          <w:szCs w:val="22"/>
        </w:rPr>
        <w:t xml:space="preserve"> </w:t>
      </w:r>
      <w:r>
        <w:rPr>
          <w:color w:val="000000"/>
          <w:sz w:val="22"/>
          <w:szCs w:val="22"/>
        </w:rPr>
        <w:t xml:space="preserve">we need </w:t>
      </w:r>
      <w:r w:rsidR="009C282E" w:rsidRPr="00F93CE3">
        <w:rPr>
          <w:color w:val="000000"/>
          <w:sz w:val="22"/>
          <w:szCs w:val="22"/>
        </w:rPr>
        <w:t>a theoretical framework to evaluate claims of state recognition in relation to queer minorities.</w:t>
      </w:r>
      <w:r w:rsidR="009C282E" w:rsidRPr="00BD35D1">
        <w:rPr>
          <w:rStyle w:val="EndnoteReference"/>
          <w:color w:val="000000"/>
          <w:sz w:val="22"/>
          <w:szCs w:val="22"/>
        </w:rPr>
        <w:endnoteReference w:id="18"/>
      </w:r>
      <w:r>
        <w:rPr>
          <w:color w:val="000000"/>
          <w:sz w:val="22"/>
          <w:szCs w:val="22"/>
        </w:rPr>
        <w:t xml:space="preserve"> I attempt to provide this by combining</w:t>
      </w:r>
      <w:r w:rsidR="009C282E" w:rsidRPr="00BD35D1">
        <w:rPr>
          <w:color w:val="000000"/>
          <w:sz w:val="22"/>
          <w:szCs w:val="22"/>
        </w:rPr>
        <w:t xml:space="preserve"> the use of queer as a critical mode of analysis with the category of</w:t>
      </w:r>
      <w:r w:rsidR="009C282E" w:rsidRPr="00F93CE3">
        <w:rPr>
          <w:color w:val="000000"/>
          <w:sz w:val="22"/>
          <w:szCs w:val="22"/>
        </w:rPr>
        <w:t xml:space="preserve"> ‘pro-LGBTI cases’ to offer an analytic lens for activist-scholars working within legal institutions, particularly those engaged with judicial review, to register the wa</w:t>
      </w:r>
      <w:r>
        <w:rPr>
          <w:color w:val="000000"/>
          <w:sz w:val="22"/>
          <w:szCs w:val="22"/>
        </w:rPr>
        <w:t xml:space="preserve">ys in which </w:t>
      </w:r>
      <w:r w:rsidR="00465BF4">
        <w:rPr>
          <w:color w:val="000000"/>
          <w:sz w:val="22"/>
          <w:szCs w:val="22"/>
        </w:rPr>
        <w:t>jurisprudence</w:t>
      </w:r>
      <w:r>
        <w:rPr>
          <w:color w:val="000000"/>
          <w:sz w:val="22"/>
          <w:szCs w:val="22"/>
        </w:rPr>
        <w:t xml:space="preserve"> </w:t>
      </w:r>
      <w:r w:rsidR="00465BF4">
        <w:rPr>
          <w:color w:val="000000"/>
          <w:sz w:val="22"/>
          <w:szCs w:val="22"/>
        </w:rPr>
        <w:t>remedies</w:t>
      </w:r>
      <w:r>
        <w:rPr>
          <w:color w:val="000000"/>
          <w:sz w:val="22"/>
          <w:szCs w:val="22"/>
        </w:rPr>
        <w:t xml:space="preserve"> queer injuries and enable intimacies and identities.</w:t>
      </w:r>
      <w:r w:rsidR="009C282E" w:rsidRPr="00F93CE3">
        <w:rPr>
          <w:color w:val="000000"/>
          <w:sz w:val="22"/>
          <w:szCs w:val="22"/>
        </w:rPr>
        <w:t xml:space="preserve"> As such, </w:t>
      </w:r>
      <w:r>
        <w:rPr>
          <w:color w:val="000000"/>
          <w:sz w:val="22"/>
          <w:szCs w:val="22"/>
        </w:rPr>
        <w:t xml:space="preserve">my </w:t>
      </w:r>
      <w:r w:rsidR="009C282E" w:rsidRPr="00F93CE3">
        <w:rPr>
          <w:color w:val="000000"/>
          <w:sz w:val="22"/>
          <w:szCs w:val="22"/>
        </w:rPr>
        <w:t>references to pro-LGBTI cases are not meant to be exh</w:t>
      </w:r>
      <w:r w:rsidR="009C282E" w:rsidRPr="00B543DF">
        <w:rPr>
          <w:color w:val="000000"/>
          <w:sz w:val="22"/>
          <w:szCs w:val="22"/>
        </w:rPr>
        <w:t>austive or doctrinally self-contained. Indeed, ‘LGBTI’ is an activist label that is culturally contingent.</w:t>
      </w:r>
      <w:r w:rsidR="009C282E" w:rsidRPr="00BD35D1">
        <w:rPr>
          <w:rStyle w:val="EndnoteReference"/>
          <w:color w:val="000000"/>
          <w:sz w:val="22"/>
          <w:szCs w:val="22"/>
        </w:rPr>
        <w:endnoteReference w:id="19"/>
      </w:r>
      <w:r w:rsidR="009C282E" w:rsidRPr="00BD35D1">
        <w:rPr>
          <w:color w:val="000000"/>
          <w:sz w:val="22"/>
          <w:szCs w:val="22"/>
        </w:rPr>
        <w:t xml:space="preserve"> I adopt the more inclusive label of pro-LGBTI rather than ‘pro-gay’ here because the cases discussed in this paper have doctrinal implications for b</w:t>
      </w:r>
      <w:r w:rsidR="009C282E" w:rsidRPr="00F93CE3">
        <w:rPr>
          <w:color w:val="000000"/>
          <w:sz w:val="22"/>
          <w:szCs w:val="22"/>
        </w:rPr>
        <w:t>isexual, lesbian, trans or gender-nonconforming, and intersex minorities. I focus on judgments here because they are data that evince the ways law reform goals, statutes, precedents, and parties come into contact.</w:t>
      </w:r>
      <w:r w:rsidR="009C282E" w:rsidRPr="00BD35D1">
        <w:rPr>
          <w:rStyle w:val="EndnoteReference"/>
          <w:color w:val="000000"/>
          <w:sz w:val="22"/>
          <w:szCs w:val="22"/>
        </w:rPr>
        <w:endnoteReference w:id="20"/>
      </w:r>
      <w:r w:rsidR="009C282E" w:rsidRPr="00BD35D1">
        <w:rPr>
          <w:color w:val="000000"/>
          <w:sz w:val="22"/>
          <w:szCs w:val="22"/>
        </w:rPr>
        <w:t xml:space="preserve"> They enable us to see the embodiment of law in both specific terms (the remedies for particular parties) and general terms (the precedents they establish and the social norms they express). I collate these</w:t>
      </w:r>
      <w:r w:rsidR="008820E9">
        <w:rPr>
          <w:color w:val="000000"/>
          <w:sz w:val="22"/>
          <w:szCs w:val="22"/>
        </w:rPr>
        <w:t xml:space="preserve"> cases on the basis of activist legal </w:t>
      </w:r>
      <w:r w:rsidR="009C282E" w:rsidRPr="00BD35D1">
        <w:rPr>
          <w:color w:val="000000"/>
          <w:sz w:val="22"/>
          <w:szCs w:val="22"/>
        </w:rPr>
        <w:t>scholars having celebrated them as progressive in the pursui</w:t>
      </w:r>
      <w:r w:rsidR="009C282E" w:rsidRPr="00F93CE3">
        <w:rPr>
          <w:color w:val="000000"/>
          <w:sz w:val="22"/>
          <w:szCs w:val="22"/>
        </w:rPr>
        <w:t>t of visibility and equality. Yet, this collation follows a queer call to move against ‘proper objects’.</w:t>
      </w:r>
      <w:r w:rsidR="009C282E" w:rsidRPr="00BD35D1">
        <w:rPr>
          <w:rStyle w:val="EndnoteReference"/>
          <w:color w:val="000000"/>
          <w:sz w:val="22"/>
          <w:szCs w:val="22"/>
        </w:rPr>
        <w:endnoteReference w:id="21"/>
      </w:r>
      <w:r w:rsidR="009C282E" w:rsidRPr="00BD35D1">
        <w:rPr>
          <w:color w:val="000000"/>
          <w:sz w:val="22"/>
          <w:szCs w:val="22"/>
        </w:rPr>
        <w:t xml:space="preserve"> Rather than ‘properly’ focus on judgments as a set of doctrines or style of legal writing within a specific jurisdiction, I look at how and why we sho</w:t>
      </w:r>
      <w:r w:rsidR="009C282E" w:rsidRPr="00F93CE3">
        <w:rPr>
          <w:color w:val="000000"/>
          <w:sz w:val="22"/>
          <w:szCs w:val="22"/>
        </w:rPr>
        <w:t>uld read pro-LGBTI cases in a (queer) register of emotion. In cases designed to progress the human rights of LGBTI minorities, judicial decisions do not only have to engage with the emotions that animate LGBTI individuals seeking progress, they also distil</w:t>
      </w:r>
      <w:r w:rsidR="009C282E" w:rsidRPr="00B543DF">
        <w:rPr>
          <w:color w:val="000000"/>
          <w:sz w:val="22"/>
          <w:szCs w:val="22"/>
        </w:rPr>
        <w:t xml:space="preserve"> these emotions through the </w:t>
      </w:r>
      <w:r w:rsidR="008820E9">
        <w:rPr>
          <w:color w:val="000000"/>
          <w:sz w:val="22"/>
          <w:szCs w:val="22"/>
        </w:rPr>
        <w:t xml:space="preserve">text of judgments that activist legal </w:t>
      </w:r>
      <w:r w:rsidR="009C282E" w:rsidRPr="00B543DF">
        <w:rPr>
          <w:color w:val="000000"/>
          <w:sz w:val="22"/>
          <w:szCs w:val="22"/>
        </w:rPr>
        <w:t xml:space="preserve">scholars subsequently hail as progressive. </w:t>
      </w:r>
    </w:p>
    <w:p w14:paraId="0EA10144" w14:textId="77777777" w:rsidR="00465BF4" w:rsidRPr="008B262F" w:rsidRDefault="00465BF4" w:rsidP="00465BF4">
      <w:pPr>
        <w:pStyle w:val="Heading2"/>
        <w:rPr>
          <w:rFonts w:ascii="Times New Roman" w:hAnsi="Times New Roman"/>
          <w:color w:val="000000"/>
          <w:sz w:val="22"/>
          <w:szCs w:val="22"/>
        </w:rPr>
      </w:pPr>
      <w:r>
        <w:rPr>
          <w:rFonts w:ascii="Times New Roman" w:hAnsi="Times New Roman"/>
          <w:color w:val="000000"/>
          <w:sz w:val="22"/>
          <w:szCs w:val="22"/>
        </w:rPr>
        <w:t>Reading Emotion</w:t>
      </w:r>
    </w:p>
    <w:p w14:paraId="17B79B44" w14:textId="78A90FDB" w:rsidR="00465BF4" w:rsidRDefault="00465BF4" w:rsidP="00701F16">
      <w:pPr>
        <w:spacing w:line="480" w:lineRule="auto"/>
        <w:jc w:val="both"/>
        <w:rPr>
          <w:color w:val="000000"/>
          <w:sz w:val="22"/>
          <w:szCs w:val="22"/>
        </w:rPr>
      </w:pPr>
      <w:r>
        <w:rPr>
          <w:color w:val="000000"/>
          <w:sz w:val="22"/>
          <w:szCs w:val="22"/>
        </w:rPr>
        <w:t xml:space="preserve">In writing about </w:t>
      </w:r>
      <w:r w:rsidR="00E933FF" w:rsidRPr="00701F16">
        <w:rPr>
          <w:color w:val="000000"/>
          <w:sz w:val="22"/>
          <w:szCs w:val="22"/>
        </w:rPr>
        <w:t>emotional</w:t>
      </w:r>
      <w:r w:rsidRPr="00465BF4">
        <w:rPr>
          <w:color w:val="000000"/>
          <w:sz w:val="22"/>
          <w:szCs w:val="22"/>
        </w:rPr>
        <w:t xml:space="preserve"> enactments in pro-LGBTI cases</w:t>
      </w:r>
      <w:r>
        <w:rPr>
          <w:color w:val="000000"/>
          <w:sz w:val="22"/>
          <w:szCs w:val="22"/>
        </w:rPr>
        <w:t>,</w:t>
      </w:r>
      <w:r w:rsidRPr="00465BF4">
        <w:rPr>
          <w:color w:val="000000"/>
          <w:sz w:val="22"/>
          <w:szCs w:val="22"/>
        </w:rPr>
        <w:t xml:space="preserve"> </w:t>
      </w:r>
      <w:r>
        <w:rPr>
          <w:color w:val="000000"/>
          <w:sz w:val="22"/>
          <w:szCs w:val="22"/>
        </w:rPr>
        <w:t>activist scholars must first recognise how</w:t>
      </w:r>
      <w:r w:rsidR="00E933FF" w:rsidRPr="00701F16">
        <w:rPr>
          <w:color w:val="000000"/>
          <w:sz w:val="22"/>
          <w:szCs w:val="22"/>
        </w:rPr>
        <w:t xml:space="preserve"> </w:t>
      </w:r>
      <w:r>
        <w:rPr>
          <w:color w:val="000000"/>
          <w:sz w:val="22"/>
          <w:szCs w:val="22"/>
        </w:rPr>
        <w:t>our scholarship</w:t>
      </w:r>
      <w:r w:rsidR="00E933FF" w:rsidRPr="00701F16">
        <w:rPr>
          <w:color w:val="000000"/>
          <w:sz w:val="22"/>
          <w:szCs w:val="22"/>
        </w:rPr>
        <w:t xml:space="preserve"> </w:t>
      </w:r>
      <w:r>
        <w:rPr>
          <w:color w:val="000000"/>
          <w:sz w:val="22"/>
          <w:szCs w:val="22"/>
        </w:rPr>
        <w:t xml:space="preserve">is </w:t>
      </w:r>
      <w:r w:rsidR="00E933FF" w:rsidRPr="00701F16">
        <w:rPr>
          <w:color w:val="000000"/>
          <w:sz w:val="22"/>
          <w:szCs w:val="22"/>
        </w:rPr>
        <w:t>a product of them as well. Pain, disgust, hate, anger, fear, and happiness have underpinned my</w:t>
      </w:r>
      <w:r w:rsidR="008820E9" w:rsidRPr="008820E9">
        <w:rPr>
          <w:color w:val="000000"/>
          <w:sz w:val="22"/>
          <w:szCs w:val="22"/>
        </w:rPr>
        <w:t xml:space="preserve"> own encounters, as an activist legal </w:t>
      </w:r>
      <w:r w:rsidR="00E933FF" w:rsidRPr="00701F16">
        <w:rPr>
          <w:color w:val="000000"/>
          <w:sz w:val="22"/>
          <w:szCs w:val="22"/>
        </w:rPr>
        <w:t xml:space="preserve">scholar, with the judicial texts that form my queer catalogue of case studies. It is important to position my own emotional investment in pro-LGBTI cases because, as a queer individual, I subscribe to the hope that legal progress will remedy experiences of injury and my intimacy and identity will be given greater support as a consequence of recognition. Yet, such emotional investments, as outlined below, can fail to address systemic queer subordination. In </w:t>
      </w:r>
      <w:r w:rsidR="00E933FF" w:rsidRPr="00701F16">
        <w:rPr>
          <w:i/>
          <w:color w:val="000000"/>
          <w:sz w:val="22"/>
          <w:szCs w:val="22"/>
        </w:rPr>
        <w:t>Object Lessons</w:t>
      </w:r>
      <w:r w:rsidR="00E933FF" w:rsidRPr="00701F16">
        <w:rPr>
          <w:color w:val="000000"/>
          <w:sz w:val="22"/>
          <w:szCs w:val="22"/>
        </w:rPr>
        <w:t>, Robyn Wiegman observes, ‘identity knowledges are animated by powerful political desires.’</w:t>
      </w:r>
      <w:r w:rsidR="00E933FF" w:rsidRPr="00701F16">
        <w:rPr>
          <w:rStyle w:val="EndnoteReference"/>
          <w:color w:val="000000"/>
          <w:sz w:val="22"/>
          <w:szCs w:val="22"/>
        </w:rPr>
        <w:endnoteReference w:id="22"/>
      </w:r>
      <w:r w:rsidR="00E933FF" w:rsidRPr="00701F16">
        <w:rPr>
          <w:color w:val="000000"/>
          <w:sz w:val="22"/>
          <w:szCs w:val="22"/>
        </w:rPr>
        <w:t xml:space="preserve"> Such disciplinary logics are informed by the desire to reveal the way in which norms and dominant knowledge systems shape particular objects of inquiry (in my case, jurisprudence). Like all activist scholars, it is difficult to separate </w:t>
      </w:r>
      <w:r>
        <w:rPr>
          <w:color w:val="000000"/>
          <w:sz w:val="22"/>
          <w:szCs w:val="22"/>
        </w:rPr>
        <w:t>my</w:t>
      </w:r>
      <w:r w:rsidR="00E933FF" w:rsidRPr="00701F16">
        <w:rPr>
          <w:color w:val="000000"/>
          <w:sz w:val="22"/>
          <w:szCs w:val="22"/>
        </w:rPr>
        <w:t xml:space="preserve"> investments in </w:t>
      </w:r>
      <w:r>
        <w:rPr>
          <w:color w:val="000000"/>
          <w:sz w:val="22"/>
          <w:szCs w:val="22"/>
        </w:rPr>
        <w:t xml:space="preserve">particular </w:t>
      </w:r>
      <w:r w:rsidR="00E933FF" w:rsidRPr="00701F16">
        <w:rPr>
          <w:color w:val="000000"/>
          <w:sz w:val="22"/>
          <w:szCs w:val="22"/>
        </w:rPr>
        <w:t>emotion</w:t>
      </w:r>
      <w:r w:rsidRPr="00465BF4">
        <w:rPr>
          <w:color w:val="000000"/>
          <w:sz w:val="22"/>
          <w:szCs w:val="22"/>
        </w:rPr>
        <w:t>s</w:t>
      </w:r>
      <w:r w:rsidR="00E933FF" w:rsidRPr="00701F16">
        <w:rPr>
          <w:color w:val="000000"/>
          <w:sz w:val="22"/>
          <w:szCs w:val="22"/>
        </w:rPr>
        <w:t xml:space="preserve"> from investments that reveal the emotions that form the object of </w:t>
      </w:r>
      <w:r w:rsidRPr="00465BF4">
        <w:rPr>
          <w:color w:val="000000"/>
          <w:sz w:val="22"/>
          <w:szCs w:val="22"/>
        </w:rPr>
        <w:t>my</w:t>
      </w:r>
      <w:r w:rsidR="00E933FF" w:rsidRPr="00701F16">
        <w:rPr>
          <w:color w:val="000000"/>
          <w:sz w:val="22"/>
          <w:szCs w:val="22"/>
        </w:rPr>
        <w:t xml:space="preserve"> </w:t>
      </w:r>
      <w:r w:rsidRPr="00465BF4">
        <w:rPr>
          <w:color w:val="000000"/>
          <w:sz w:val="22"/>
          <w:szCs w:val="22"/>
        </w:rPr>
        <w:t>scholarly inquiry</w:t>
      </w:r>
      <w:r w:rsidR="00E933FF" w:rsidRPr="00701F16">
        <w:rPr>
          <w:color w:val="000000"/>
          <w:sz w:val="22"/>
          <w:szCs w:val="22"/>
        </w:rPr>
        <w:t xml:space="preserve">. My own desires for justice animated this critical inquiry. Rather than eschew such desires, I have chosen to give effect to them by pursuing a reading of emotion at the intersections of law and queerness in order to contribute greater insights into how ideas of injury, intimacy, and identity are shaped in the pro-LGBTI cases that I bring together. </w:t>
      </w:r>
      <w:r w:rsidRPr="008B262F">
        <w:rPr>
          <w:color w:val="000000"/>
          <w:sz w:val="22"/>
          <w:szCs w:val="22"/>
        </w:rPr>
        <w:t>While I do not labour over personal emotions that arise, as I read pro-LGBTI hate crime and marriage equality cases</w:t>
      </w:r>
      <w:r>
        <w:rPr>
          <w:color w:val="000000"/>
          <w:sz w:val="22"/>
          <w:szCs w:val="22"/>
        </w:rPr>
        <w:t xml:space="preserve"> in the sections below</w:t>
      </w:r>
      <w:r w:rsidRPr="008B262F">
        <w:rPr>
          <w:color w:val="000000"/>
          <w:sz w:val="22"/>
          <w:szCs w:val="22"/>
        </w:rPr>
        <w:t xml:space="preserve">, I want to preface that reading emotion is an emotional process. It is a process that generates an array of, and sometimes contradictory, emotional responses from the </w:t>
      </w:r>
      <w:r>
        <w:rPr>
          <w:color w:val="000000"/>
          <w:sz w:val="22"/>
          <w:szCs w:val="22"/>
        </w:rPr>
        <w:t xml:space="preserve">activist-scholar </w:t>
      </w:r>
      <w:r w:rsidRPr="008B262F">
        <w:rPr>
          <w:color w:val="000000"/>
          <w:sz w:val="22"/>
          <w:szCs w:val="22"/>
        </w:rPr>
        <w:t xml:space="preserve">reader. Personal </w:t>
      </w:r>
      <w:r>
        <w:rPr>
          <w:color w:val="000000"/>
          <w:sz w:val="22"/>
          <w:szCs w:val="22"/>
        </w:rPr>
        <w:t xml:space="preserve">emotions inevitably shape </w:t>
      </w:r>
      <w:r w:rsidRPr="008B262F">
        <w:rPr>
          <w:color w:val="000000"/>
          <w:sz w:val="22"/>
          <w:szCs w:val="22"/>
        </w:rPr>
        <w:t xml:space="preserve">how I organise and analyse the following cases. I offer this as a caution, </w:t>
      </w:r>
      <w:r>
        <w:rPr>
          <w:color w:val="000000"/>
          <w:sz w:val="22"/>
          <w:szCs w:val="22"/>
        </w:rPr>
        <w:t>then, against attempts to turn the</w:t>
      </w:r>
      <w:r w:rsidRPr="008B262F">
        <w:rPr>
          <w:color w:val="000000"/>
          <w:sz w:val="22"/>
          <w:szCs w:val="22"/>
        </w:rPr>
        <w:t xml:space="preserve"> queer analysis of emotion in law</w:t>
      </w:r>
      <w:r>
        <w:rPr>
          <w:color w:val="000000"/>
          <w:sz w:val="22"/>
          <w:szCs w:val="22"/>
        </w:rPr>
        <w:t xml:space="preserve"> I offer</w:t>
      </w:r>
      <w:r w:rsidRPr="008B262F">
        <w:rPr>
          <w:color w:val="000000"/>
          <w:sz w:val="22"/>
          <w:szCs w:val="22"/>
        </w:rPr>
        <w:t xml:space="preserve"> into a disembodied or abstracted methodology. </w:t>
      </w:r>
    </w:p>
    <w:p w14:paraId="57173179" w14:textId="2DD7EB04" w:rsidR="00BC491A" w:rsidRPr="008B262F" w:rsidRDefault="00465BF4" w:rsidP="001905C1">
      <w:pPr>
        <w:spacing w:line="480" w:lineRule="auto"/>
        <w:jc w:val="both"/>
        <w:rPr>
          <w:color w:val="000000"/>
          <w:sz w:val="22"/>
          <w:szCs w:val="22"/>
        </w:rPr>
      </w:pPr>
      <w:r>
        <w:rPr>
          <w:color w:val="000000"/>
          <w:sz w:val="22"/>
          <w:szCs w:val="22"/>
        </w:rPr>
        <w:tab/>
      </w:r>
      <w:r w:rsidR="00BC491A" w:rsidRPr="008B262F">
        <w:rPr>
          <w:color w:val="000000"/>
          <w:sz w:val="22"/>
          <w:szCs w:val="22"/>
        </w:rPr>
        <w:t>Contributing to an activist</w:t>
      </w:r>
      <w:r w:rsidR="008820E9">
        <w:rPr>
          <w:color w:val="000000"/>
          <w:sz w:val="22"/>
          <w:szCs w:val="22"/>
        </w:rPr>
        <w:t xml:space="preserve"> legal </w:t>
      </w:r>
      <w:r w:rsidR="00BC491A" w:rsidRPr="008B262F">
        <w:rPr>
          <w:color w:val="000000"/>
          <w:sz w:val="22"/>
          <w:szCs w:val="22"/>
        </w:rPr>
        <w:t>scholarly community motivated by</w:t>
      </w:r>
      <w:r w:rsidR="001905C1" w:rsidRPr="008B262F">
        <w:rPr>
          <w:color w:val="000000"/>
          <w:sz w:val="22"/>
          <w:szCs w:val="22"/>
        </w:rPr>
        <w:t xml:space="preserve"> disparate</w:t>
      </w:r>
      <w:r w:rsidR="00BC491A" w:rsidRPr="008B262F">
        <w:rPr>
          <w:color w:val="000000"/>
          <w:sz w:val="22"/>
          <w:szCs w:val="22"/>
        </w:rPr>
        <w:t xml:space="preserve"> </w:t>
      </w:r>
      <w:r w:rsidR="009C282E">
        <w:rPr>
          <w:color w:val="000000"/>
          <w:sz w:val="22"/>
          <w:szCs w:val="22"/>
        </w:rPr>
        <w:t>emotions</w:t>
      </w:r>
      <w:r w:rsidR="009C282E" w:rsidRPr="008B262F">
        <w:rPr>
          <w:color w:val="000000"/>
          <w:sz w:val="22"/>
          <w:szCs w:val="22"/>
        </w:rPr>
        <w:t xml:space="preserve"> </w:t>
      </w:r>
      <w:r w:rsidR="00BC491A" w:rsidRPr="008B262F">
        <w:rPr>
          <w:color w:val="000000"/>
          <w:sz w:val="22"/>
          <w:szCs w:val="22"/>
        </w:rPr>
        <w:t xml:space="preserve">for social justice involves moving </w:t>
      </w:r>
      <w:r w:rsidR="00133BAA">
        <w:rPr>
          <w:color w:val="000000"/>
          <w:sz w:val="22"/>
          <w:szCs w:val="22"/>
        </w:rPr>
        <w:t>beyond</w:t>
      </w:r>
      <w:r w:rsidR="00BC491A" w:rsidRPr="008B262F">
        <w:rPr>
          <w:color w:val="000000"/>
          <w:sz w:val="22"/>
          <w:szCs w:val="22"/>
        </w:rPr>
        <w:t xml:space="preserve"> legal scholarship that diagnoses</w:t>
      </w:r>
      <w:r w:rsidR="00133BAA">
        <w:rPr>
          <w:color w:val="000000"/>
          <w:sz w:val="22"/>
          <w:szCs w:val="22"/>
        </w:rPr>
        <w:t xml:space="preserve"> individual</w:t>
      </w:r>
      <w:r w:rsidR="00BC491A" w:rsidRPr="008B262F">
        <w:rPr>
          <w:color w:val="000000"/>
          <w:sz w:val="22"/>
          <w:szCs w:val="22"/>
        </w:rPr>
        <w:t xml:space="preserve"> doctrines or </w:t>
      </w:r>
      <w:r w:rsidR="005F2DDD" w:rsidRPr="008B262F">
        <w:rPr>
          <w:color w:val="000000"/>
          <w:sz w:val="22"/>
          <w:szCs w:val="22"/>
        </w:rPr>
        <w:t xml:space="preserve">focuses on </w:t>
      </w:r>
      <w:r w:rsidR="00133BAA">
        <w:rPr>
          <w:color w:val="000000"/>
          <w:sz w:val="22"/>
          <w:szCs w:val="22"/>
        </w:rPr>
        <w:t>institutional</w:t>
      </w:r>
      <w:r w:rsidR="005F2DDD" w:rsidRPr="008B262F">
        <w:rPr>
          <w:color w:val="000000"/>
          <w:sz w:val="22"/>
          <w:szCs w:val="22"/>
        </w:rPr>
        <w:t xml:space="preserve"> reform</w:t>
      </w:r>
      <w:r w:rsidR="00BC491A" w:rsidRPr="008B262F">
        <w:rPr>
          <w:color w:val="000000"/>
          <w:sz w:val="22"/>
          <w:szCs w:val="22"/>
        </w:rPr>
        <w:t>. I</w:t>
      </w:r>
      <w:r w:rsidR="00372D82">
        <w:rPr>
          <w:color w:val="000000"/>
          <w:sz w:val="22"/>
          <w:szCs w:val="22"/>
        </w:rPr>
        <w:t>n a provocative article titled ‘</w:t>
      </w:r>
      <w:r w:rsidR="00BC491A" w:rsidRPr="008B262F">
        <w:rPr>
          <w:color w:val="000000"/>
          <w:sz w:val="22"/>
          <w:szCs w:val="22"/>
        </w:rPr>
        <w:t>On Wri</w:t>
      </w:r>
      <w:r w:rsidR="00372D82">
        <w:rPr>
          <w:color w:val="000000"/>
          <w:sz w:val="22"/>
          <w:szCs w:val="22"/>
        </w:rPr>
        <w:t>ting Dangerously’</w:t>
      </w:r>
      <w:r w:rsidR="00BC491A" w:rsidRPr="008B262F">
        <w:rPr>
          <w:color w:val="000000"/>
          <w:sz w:val="22"/>
          <w:szCs w:val="22"/>
        </w:rPr>
        <w:t>, Fleur Johns</w:t>
      </w:r>
      <w:r w:rsidR="00316ED2" w:rsidRPr="008B262F">
        <w:rPr>
          <w:color w:val="000000"/>
          <w:sz w:val="22"/>
          <w:szCs w:val="22"/>
        </w:rPr>
        <w:t xml:space="preserve"> </w:t>
      </w:r>
      <w:r w:rsidR="00BC491A" w:rsidRPr="008B262F">
        <w:rPr>
          <w:color w:val="000000"/>
          <w:sz w:val="22"/>
          <w:szCs w:val="22"/>
        </w:rPr>
        <w:t>articulates the need to engage in forms of</w:t>
      </w:r>
      <w:r w:rsidR="001905C1" w:rsidRPr="008B262F">
        <w:rPr>
          <w:color w:val="000000"/>
          <w:sz w:val="22"/>
          <w:szCs w:val="22"/>
        </w:rPr>
        <w:t xml:space="preserve"> </w:t>
      </w:r>
      <w:r w:rsidR="00BC491A" w:rsidRPr="008B262F">
        <w:rPr>
          <w:color w:val="000000"/>
          <w:sz w:val="22"/>
          <w:szCs w:val="22"/>
        </w:rPr>
        <w:t>legal research</w:t>
      </w:r>
      <w:r w:rsidR="00372D82">
        <w:rPr>
          <w:color w:val="000000"/>
          <w:sz w:val="22"/>
          <w:szCs w:val="22"/>
        </w:rPr>
        <w:t xml:space="preserve"> that interrupt the demand for ‘real world’</w:t>
      </w:r>
      <w:r w:rsidR="00BC491A" w:rsidRPr="008B262F">
        <w:rPr>
          <w:color w:val="000000"/>
          <w:sz w:val="22"/>
          <w:szCs w:val="22"/>
        </w:rPr>
        <w:t xml:space="preserve"> solutions.</w:t>
      </w:r>
      <w:r w:rsidR="00B95B5F">
        <w:rPr>
          <w:rStyle w:val="EndnoteReference"/>
          <w:color w:val="000000"/>
          <w:sz w:val="22"/>
          <w:szCs w:val="22"/>
        </w:rPr>
        <w:endnoteReference w:id="23"/>
      </w:r>
      <w:r w:rsidR="00BC491A" w:rsidRPr="008B262F">
        <w:rPr>
          <w:color w:val="000000"/>
          <w:sz w:val="22"/>
          <w:szCs w:val="22"/>
        </w:rPr>
        <w:t xml:space="preserve"> In a changing world, law is often invoked at moments of crisis that generate impulses for regulation. Legal scholars ofte</w:t>
      </w:r>
      <w:r w:rsidR="00372D82">
        <w:rPr>
          <w:color w:val="000000"/>
          <w:sz w:val="22"/>
          <w:szCs w:val="22"/>
        </w:rPr>
        <w:t xml:space="preserve">n arrive at such crises with a ‘problem-solving’ </w:t>
      </w:r>
      <w:r w:rsidR="008C4010">
        <w:rPr>
          <w:color w:val="000000"/>
          <w:sz w:val="22"/>
          <w:szCs w:val="22"/>
        </w:rPr>
        <w:t xml:space="preserve">mentality that imagines the </w:t>
      </w:r>
      <w:r w:rsidR="00C81808">
        <w:rPr>
          <w:color w:val="000000"/>
          <w:sz w:val="22"/>
          <w:szCs w:val="22"/>
        </w:rPr>
        <w:t>problem</w:t>
      </w:r>
      <w:r w:rsidR="00BC491A" w:rsidRPr="008B262F">
        <w:rPr>
          <w:color w:val="000000"/>
          <w:sz w:val="22"/>
          <w:szCs w:val="22"/>
        </w:rPr>
        <w:t xml:space="preserve"> as something external to the legal academic.</w:t>
      </w:r>
      <w:r w:rsidR="00B95B5F">
        <w:rPr>
          <w:rStyle w:val="EndnoteReference"/>
          <w:color w:val="000000"/>
          <w:sz w:val="22"/>
          <w:szCs w:val="22"/>
        </w:rPr>
        <w:endnoteReference w:id="24"/>
      </w:r>
      <w:r w:rsidR="00BC491A" w:rsidRPr="008B262F">
        <w:rPr>
          <w:color w:val="000000"/>
          <w:sz w:val="22"/>
          <w:szCs w:val="22"/>
        </w:rPr>
        <w:t xml:space="preserve"> </w:t>
      </w:r>
      <w:r w:rsidR="00316ED2" w:rsidRPr="008B262F">
        <w:rPr>
          <w:color w:val="000000"/>
          <w:sz w:val="22"/>
          <w:szCs w:val="22"/>
        </w:rPr>
        <w:t>F</w:t>
      </w:r>
      <w:r w:rsidR="00BC491A" w:rsidRPr="008B262F">
        <w:rPr>
          <w:color w:val="000000"/>
          <w:sz w:val="22"/>
          <w:szCs w:val="22"/>
        </w:rPr>
        <w:t>raming legal research in this way</w:t>
      </w:r>
      <w:r w:rsidR="00316ED2" w:rsidRPr="008B262F">
        <w:rPr>
          <w:color w:val="000000"/>
          <w:sz w:val="22"/>
          <w:szCs w:val="22"/>
        </w:rPr>
        <w:t>, however,</w:t>
      </w:r>
      <w:r w:rsidR="00BC491A" w:rsidRPr="008B262F">
        <w:rPr>
          <w:color w:val="000000"/>
          <w:sz w:val="22"/>
          <w:szCs w:val="22"/>
        </w:rPr>
        <w:t xml:space="preserve"> discourages more reflexive and adaptive legal analysis that addresses the orientations, attachments, and complicities that researchers have within legal institutions.</w:t>
      </w:r>
      <w:r w:rsidR="00316ED2" w:rsidRPr="008B262F">
        <w:rPr>
          <w:color w:val="000000"/>
          <w:sz w:val="22"/>
          <w:szCs w:val="22"/>
        </w:rPr>
        <w:t xml:space="preserve"> Pursuing this sort of analysis, </w:t>
      </w:r>
      <w:r w:rsidR="00BC491A" w:rsidRPr="008B262F">
        <w:rPr>
          <w:color w:val="000000"/>
          <w:sz w:val="22"/>
          <w:szCs w:val="22"/>
        </w:rPr>
        <w:t>in the</w:t>
      </w:r>
      <w:r w:rsidR="008C604F">
        <w:rPr>
          <w:color w:val="000000"/>
          <w:sz w:val="22"/>
          <w:szCs w:val="22"/>
        </w:rPr>
        <w:t xml:space="preserve"> </w:t>
      </w:r>
      <w:r w:rsidR="005F2DDD" w:rsidRPr="008B262F">
        <w:rPr>
          <w:color w:val="000000"/>
          <w:sz w:val="22"/>
          <w:szCs w:val="22"/>
        </w:rPr>
        <w:t>activist</w:t>
      </w:r>
      <w:r w:rsidR="008820E9">
        <w:rPr>
          <w:color w:val="000000"/>
          <w:sz w:val="22"/>
          <w:szCs w:val="22"/>
        </w:rPr>
        <w:t xml:space="preserve"> legal </w:t>
      </w:r>
      <w:r w:rsidR="00BC491A" w:rsidRPr="008B262F">
        <w:rPr>
          <w:color w:val="000000"/>
          <w:sz w:val="22"/>
          <w:szCs w:val="22"/>
        </w:rPr>
        <w:t>scholarship</w:t>
      </w:r>
      <w:r w:rsidR="00372D82">
        <w:rPr>
          <w:color w:val="000000"/>
          <w:sz w:val="22"/>
          <w:szCs w:val="22"/>
        </w:rPr>
        <w:t xml:space="preserve"> I wish to develop, requires a queer</w:t>
      </w:r>
      <w:r w:rsidR="00BC491A" w:rsidRPr="008B262F">
        <w:rPr>
          <w:color w:val="000000"/>
          <w:sz w:val="22"/>
          <w:szCs w:val="22"/>
        </w:rPr>
        <w:t xml:space="preserve"> focus on what it means to pursue progressive</w:t>
      </w:r>
      <w:r w:rsidR="00BD35D1">
        <w:rPr>
          <w:color w:val="000000"/>
          <w:sz w:val="22"/>
          <w:szCs w:val="22"/>
        </w:rPr>
        <w:t xml:space="preserve">, activist </w:t>
      </w:r>
      <w:r w:rsidR="00BC491A" w:rsidRPr="008B262F">
        <w:rPr>
          <w:color w:val="000000"/>
          <w:sz w:val="22"/>
          <w:szCs w:val="22"/>
        </w:rPr>
        <w:t>legal analysis. Ambivalence and hesitation</w:t>
      </w:r>
      <w:r w:rsidR="00BD35D1">
        <w:rPr>
          <w:color w:val="000000"/>
          <w:sz w:val="22"/>
          <w:szCs w:val="22"/>
        </w:rPr>
        <w:t xml:space="preserve"> in activist movements</w:t>
      </w:r>
      <w:r w:rsidR="00BC491A" w:rsidRPr="008B262F">
        <w:rPr>
          <w:color w:val="000000"/>
          <w:sz w:val="22"/>
          <w:szCs w:val="22"/>
        </w:rPr>
        <w:t xml:space="preserve"> engender their own risks</w:t>
      </w:r>
      <w:r w:rsidR="00276731" w:rsidRPr="008B262F">
        <w:rPr>
          <w:color w:val="000000"/>
          <w:sz w:val="22"/>
          <w:szCs w:val="22"/>
        </w:rPr>
        <w:t xml:space="preserve"> (such as delaying legislative or policy responses to anti-LGBTI violence or discrimination)</w:t>
      </w:r>
      <w:r w:rsidR="00BC491A" w:rsidRPr="008B262F">
        <w:rPr>
          <w:color w:val="000000"/>
          <w:sz w:val="22"/>
          <w:szCs w:val="22"/>
        </w:rPr>
        <w:t xml:space="preserve"> – this is</w:t>
      </w:r>
      <w:r w:rsidR="00372D82">
        <w:rPr>
          <w:color w:val="000000"/>
          <w:sz w:val="22"/>
          <w:szCs w:val="22"/>
        </w:rPr>
        <w:t xml:space="preserve"> precisely why such writing is dangerous</w:t>
      </w:r>
      <w:r w:rsidR="00BC491A" w:rsidRPr="008B262F">
        <w:rPr>
          <w:color w:val="000000"/>
          <w:sz w:val="22"/>
          <w:szCs w:val="22"/>
        </w:rPr>
        <w:t>.</w:t>
      </w:r>
      <w:r w:rsidR="00B95B5F">
        <w:rPr>
          <w:rStyle w:val="EndnoteReference"/>
          <w:color w:val="000000"/>
          <w:sz w:val="22"/>
          <w:szCs w:val="22"/>
        </w:rPr>
        <w:endnoteReference w:id="25"/>
      </w:r>
      <w:r w:rsidR="00BC491A" w:rsidRPr="008B262F">
        <w:rPr>
          <w:color w:val="000000"/>
          <w:sz w:val="22"/>
          <w:szCs w:val="22"/>
        </w:rPr>
        <w:t xml:space="preserve"> </w:t>
      </w:r>
      <w:r w:rsidR="005F2DDD" w:rsidRPr="008B262F">
        <w:rPr>
          <w:color w:val="000000"/>
          <w:sz w:val="22"/>
          <w:szCs w:val="22"/>
        </w:rPr>
        <w:t>As activist</w:t>
      </w:r>
      <w:r w:rsidR="00BD35D1">
        <w:rPr>
          <w:color w:val="000000"/>
          <w:sz w:val="22"/>
          <w:szCs w:val="22"/>
        </w:rPr>
        <w:t xml:space="preserve"> legal </w:t>
      </w:r>
      <w:r w:rsidR="005F2DDD" w:rsidRPr="008B262F">
        <w:rPr>
          <w:color w:val="000000"/>
          <w:sz w:val="22"/>
          <w:szCs w:val="22"/>
        </w:rPr>
        <w:t xml:space="preserve">scholars, </w:t>
      </w:r>
      <w:r w:rsidR="00BD35D1">
        <w:rPr>
          <w:color w:val="000000"/>
          <w:sz w:val="22"/>
          <w:szCs w:val="22"/>
        </w:rPr>
        <w:t xml:space="preserve">however, </w:t>
      </w:r>
      <w:r w:rsidR="005F2DDD" w:rsidRPr="008B262F">
        <w:rPr>
          <w:color w:val="000000"/>
          <w:sz w:val="22"/>
          <w:szCs w:val="22"/>
        </w:rPr>
        <w:t xml:space="preserve">we must </w:t>
      </w:r>
      <w:r w:rsidR="00BD35D1">
        <w:rPr>
          <w:color w:val="000000"/>
          <w:sz w:val="22"/>
          <w:szCs w:val="22"/>
        </w:rPr>
        <w:t xml:space="preserve">pursue legal agendas for social change while </w:t>
      </w:r>
      <w:r w:rsidR="005F2DDD" w:rsidRPr="008B262F">
        <w:rPr>
          <w:color w:val="000000"/>
          <w:sz w:val="22"/>
          <w:szCs w:val="22"/>
        </w:rPr>
        <w:t>emotionally reflect</w:t>
      </w:r>
      <w:r w:rsidR="00BD35D1">
        <w:rPr>
          <w:color w:val="000000"/>
          <w:sz w:val="22"/>
          <w:szCs w:val="22"/>
        </w:rPr>
        <w:t>ing</w:t>
      </w:r>
      <w:r w:rsidR="005F2DDD" w:rsidRPr="008B262F">
        <w:rPr>
          <w:color w:val="000000"/>
          <w:sz w:val="22"/>
          <w:szCs w:val="22"/>
        </w:rPr>
        <w:t xml:space="preserve"> on </w:t>
      </w:r>
      <w:r w:rsidR="001905C1" w:rsidRPr="008B262F">
        <w:rPr>
          <w:color w:val="000000"/>
          <w:sz w:val="22"/>
          <w:szCs w:val="22"/>
        </w:rPr>
        <w:t>what is at stake</w:t>
      </w:r>
      <w:r w:rsidR="00BD35D1">
        <w:rPr>
          <w:color w:val="000000"/>
          <w:sz w:val="22"/>
          <w:szCs w:val="22"/>
        </w:rPr>
        <w:t xml:space="preserve"> in the socio-legal claims we make. </w:t>
      </w:r>
    </w:p>
    <w:p w14:paraId="7711A077" w14:textId="3E9D66A0" w:rsidR="00960689" w:rsidRPr="008B262F" w:rsidRDefault="00BC491A" w:rsidP="001905C1">
      <w:pPr>
        <w:spacing w:line="480" w:lineRule="auto"/>
        <w:ind w:firstLine="720"/>
        <w:jc w:val="both"/>
        <w:rPr>
          <w:color w:val="000000"/>
          <w:sz w:val="22"/>
          <w:szCs w:val="22"/>
        </w:rPr>
      </w:pPr>
      <w:r w:rsidRPr="008B262F">
        <w:rPr>
          <w:color w:val="000000"/>
          <w:sz w:val="22"/>
          <w:szCs w:val="22"/>
        </w:rPr>
        <w:t>Emotion circulates ubiquitously in law: from the emoti</w:t>
      </w:r>
      <w:r w:rsidR="00372D82">
        <w:rPr>
          <w:color w:val="000000"/>
          <w:sz w:val="22"/>
          <w:szCs w:val="22"/>
        </w:rPr>
        <w:t>onal states of parties, to the gut</w:t>
      </w:r>
      <w:r w:rsidRPr="008B262F">
        <w:rPr>
          <w:color w:val="000000"/>
          <w:sz w:val="22"/>
          <w:szCs w:val="22"/>
        </w:rPr>
        <w:t xml:space="preserve"> reactions of juries or legal scholars, to passionate legislative debates. In thinking about emotion, rendering it into an object of</w:t>
      </w:r>
      <w:r w:rsidR="00372D82">
        <w:rPr>
          <w:color w:val="000000"/>
          <w:sz w:val="22"/>
          <w:szCs w:val="22"/>
        </w:rPr>
        <w:t xml:space="preserve"> scholarly inquiry, we seek to see what we (or others) feel</w:t>
      </w:r>
      <w:r w:rsidRPr="008B262F">
        <w:rPr>
          <w:color w:val="000000"/>
          <w:sz w:val="22"/>
          <w:szCs w:val="22"/>
        </w:rPr>
        <w:t>.</w:t>
      </w:r>
      <w:r w:rsidR="00B95B5F">
        <w:rPr>
          <w:rStyle w:val="EndnoteReference"/>
          <w:color w:val="000000"/>
          <w:sz w:val="22"/>
          <w:szCs w:val="22"/>
        </w:rPr>
        <w:endnoteReference w:id="26"/>
      </w:r>
      <w:r w:rsidRPr="008B262F">
        <w:rPr>
          <w:color w:val="000000"/>
          <w:sz w:val="22"/>
          <w:szCs w:val="22"/>
        </w:rPr>
        <w:t xml:space="preserve"> </w:t>
      </w:r>
      <w:r w:rsidR="00960689" w:rsidRPr="008B262F">
        <w:rPr>
          <w:color w:val="000000"/>
          <w:sz w:val="22"/>
          <w:szCs w:val="22"/>
        </w:rPr>
        <w:t xml:space="preserve">My use of emotion, however, does not seek to claim sense of the feelings of litigants, lawyers, and judges, nor do I try to diagnose the feelings of legal actors or institutions. </w:t>
      </w:r>
      <w:r w:rsidR="005F2DDD" w:rsidRPr="008B262F">
        <w:rPr>
          <w:color w:val="000000"/>
          <w:sz w:val="22"/>
          <w:szCs w:val="22"/>
        </w:rPr>
        <w:t>My</w:t>
      </w:r>
      <w:r w:rsidR="00960689" w:rsidRPr="008B262F">
        <w:rPr>
          <w:color w:val="000000"/>
          <w:sz w:val="22"/>
          <w:szCs w:val="22"/>
        </w:rPr>
        <w:t xml:space="preserve"> reading sits in contradistinction to </w:t>
      </w:r>
      <w:r w:rsidR="001A7791">
        <w:rPr>
          <w:color w:val="000000"/>
          <w:sz w:val="22"/>
          <w:szCs w:val="22"/>
        </w:rPr>
        <w:t>other</w:t>
      </w:r>
      <w:r w:rsidR="00960689" w:rsidRPr="008B262F">
        <w:rPr>
          <w:color w:val="000000"/>
          <w:sz w:val="22"/>
          <w:szCs w:val="22"/>
        </w:rPr>
        <w:t xml:space="preserve"> law and emotion scholarship; it does not pursue an analysis of emotion as a personal experience, social cultivation</w:t>
      </w:r>
      <w:r w:rsidR="00707422" w:rsidRPr="008B262F">
        <w:rPr>
          <w:color w:val="000000"/>
          <w:sz w:val="22"/>
          <w:szCs w:val="22"/>
        </w:rPr>
        <w:t>, and</w:t>
      </w:r>
      <w:r w:rsidR="009B4E9C">
        <w:rPr>
          <w:color w:val="000000"/>
          <w:sz w:val="22"/>
          <w:szCs w:val="22"/>
        </w:rPr>
        <w:t>/or</w:t>
      </w:r>
      <w:r w:rsidR="00707422" w:rsidRPr="008B262F">
        <w:rPr>
          <w:color w:val="000000"/>
          <w:sz w:val="22"/>
          <w:szCs w:val="22"/>
        </w:rPr>
        <w:t xml:space="preserve"> </w:t>
      </w:r>
      <w:r w:rsidR="00960689" w:rsidRPr="008B262F">
        <w:rPr>
          <w:color w:val="000000"/>
          <w:sz w:val="22"/>
          <w:szCs w:val="22"/>
        </w:rPr>
        <w:t>psychological process</w:t>
      </w:r>
      <w:r w:rsidR="0071146C" w:rsidRPr="008B262F">
        <w:rPr>
          <w:color w:val="000000"/>
          <w:sz w:val="22"/>
          <w:szCs w:val="22"/>
        </w:rPr>
        <w:t>.</w:t>
      </w:r>
      <w:r w:rsidR="00B95B5F">
        <w:rPr>
          <w:rStyle w:val="EndnoteReference"/>
          <w:color w:val="000000"/>
          <w:sz w:val="22"/>
          <w:szCs w:val="22"/>
        </w:rPr>
        <w:endnoteReference w:id="27"/>
      </w:r>
    </w:p>
    <w:p w14:paraId="67E4240D" w14:textId="4F5FB944" w:rsidR="00BC491A" w:rsidRPr="008B262F" w:rsidRDefault="00960689" w:rsidP="00960689">
      <w:pPr>
        <w:spacing w:line="480" w:lineRule="auto"/>
        <w:ind w:firstLine="720"/>
        <w:jc w:val="both"/>
        <w:rPr>
          <w:color w:val="000000"/>
          <w:sz w:val="22"/>
          <w:szCs w:val="22"/>
        </w:rPr>
      </w:pPr>
      <w:r w:rsidRPr="008B262F">
        <w:rPr>
          <w:color w:val="000000"/>
          <w:sz w:val="22"/>
          <w:szCs w:val="22"/>
        </w:rPr>
        <w:t xml:space="preserve">Bearing this in mind, </w:t>
      </w:r>
      <w:r w:rsidR="00BC491A" w:rsidRPr="008B262F">
        <w:rPr>
          <w:color w:val="000000"/>
          <w:sz w:val="22"/>
          <w:szCs w:val="22"/>
        </w:rPr>
        <w:t xml:space="preserve">I have chosen to </w:t>
      </w:r>
      <w:r w:rsidR="0007256A" w:rsidRPr="008B262F">
        <w:rPr>
          <w:color w:val="000000"/>
          <w:sz w:val="22"/>
          <w:szCs w:val="22"/>
        </w:rPr>
        <w:t>develop a</w:t>
      </w:r>
      <w:r w:rsidR="005F2DDD" w:rsidRPr="008B262F">
        <w:rPr>
          <w:color w:val="000000"/>
          <w:sz w:val="22"/>
          <w:szCs w:val="22"/>
        </w:rPr>
        <w:t xml:space="preserve"> queer</w:t>
      </w:r>
      <w:r w:rsidR="0007256A" w:rsidRPr="008B262F">
        <w:rPr>
          <w:color w:val="000000"/>
          <w:sz w:val="22"/>
          <w:szCs w:val="22"/>
        </w:rPr>
        <w:t xml:space="preserve"> reading of emotion that looks at it as a textual enactment of</w:t>
      </w:r>
      <w:r w:rsidR="00372D82">
        <w:rPr>
          <w:color w:val="000000"/>
          <w:sz w:val="22"/>
          <w:szCs w:val="22"/>
        </w:rPr>
        <w:t xml:space="preserve"> judicial decisions. I situate ‘law’ </w:t>
      </w:r>
      <w:r w:rsidR="00BC491A" w:rsidRPr="008B262F">
        <w:rPr>
          <w:color w:val="000000"/>
          <w:sz w:val="22"/>
          <w:szCs w:val="22"/>
        </w:rPr>
        <w:t>here as a field that exhibits literary or narrative tendencies. As James Boyd White</w:t>
      </w:r>
      <w:r w:rsidR="00276731" w:rsidRPr="008B262F">
        <w:rPr>
          <w:color w:val="000000"/>
          <w:sz w:val="22"/>
          <w:szCs w:val="22"/>
        </w:rPr>
        <w:t xml:space="preserve"> </w:t>
      </w:r>
      <w:r w:rsidR="00BC491A" w:rsidRPr="008B262F">
        <w:rPr>
          <w:color w:val="000000"/>
          <w:sz w:val="22"/>
          <w:szCs w:val="22"/>
        </w:rPr>
        <w:t>argues, law is a disciplinary terrain generated through disparate narrative acts that include legislative enactments, litigation, testimony, and judicial pronouncements.</w:t>
      </w:r>
      <w:r w:rsidR="00B95B5F">
        <w:rPr>
          <w:rStyle w:val="EndnoteReference"/>
          <w:color w:val="000000"/>
          <w:sz w:val="22"/>
          <w:szCs w:val="22"/>
        </w:rPr>
        <w:endnoteReference w:id="28"/>
      </w:r>
      <w:r w:rsidR="00276731" w:rsidRPr="008B262F">
        <w:rPr>
          <w:color w:val="000000"/>
          <w:sz w:val="22"/>
          <w:szCs w:val="22"/>
        </w:rPr>
        <w:t xml:space="preserve"> </w:t>
      </w:r>
      <w:r w:rsidR="00BC491A" w:rsidRPr="008B262F">
        <w:rPr>
          <w:color w:val="000000"/>
          <w:sz w:val="22"/>
          <w:szCs w:val="22"/>
        </w:rPr>
        <w:t>These acts develop</w:t>
      </w:r>
      <w:r w:rsidR="00372D82">
        <w:rPr>
          <w:color w:val="000000"/>
          <w:sz w:val="22"/>
          <w:szCs w:val="22"/>
        </w:rPr>
        <w:t xml:space="preserve"> a ‘textual community’</w:t>
      </w:r>
      <w:r w:rsidR="005A07DA">
        <w:rPr>
          <w:color w:val="000000"/>
          <w:sz w:val="22"/>
          <w:szCs w:val="22"/>
        </w:rPr>
        <w:t xml:space="preserve"> through officially</w:t>
      </w:r>
      <w:r w:rsidR="00BC491A" w:rsidRPr="008B262F">
        <w:rPr>
          <w:color w:val="000000"/>
          <w:sz w:val="22"/>
          <w:szCs w:val="22"/>
        </w:rPr>
        <w:t xml:space="preserve"> designated actors such as lawyers, judg</w:t>
      </w:r>
      <w:r w:rsidR="005A07DA">
        <w:rPr>
          <w:color w:val="000000"/>
          <w:sz w:val="22"/>
          <w:szCs w:val="22"/>
        </w:rPr>
        <w:t>es, and legislators working in official</w:t>
      </w:r>
      <w:r w:rsidR="00BC491A" w:rsidRPr="008B262F">
        <w:rPr>
          <w:color w:val="000000"/>
          <w:sz w:val="22"/>
          <w:szCs w:val="22"/>
        </w:rPr>
        <w:t xml:space="preserve"> institutions such as courts, tribunals, and parliaments. My reason for attending to emotion and law in terms of case law’s textual properties is that conversations about emotion in law tend to focus on the emotions of parties or the phenomenological experiences of judges, rather than exploring how emotion assumes legal significance through </w:t>
      </w:r>
      <w:r w:rsidR="009B4E9C">
        <w:rPr>
          <w:color w:val="000000"/>
          <w:sz w:val="22"/>
          <w:szCs w:val="22"/>
        </w:rPr>
        <w:t xml:space="preserve">embodiment in </w:t>
      </w:r>
      <w:r w:rsidR="00BC491A" w:rsidRPr="008B262F">
        <w:rPr>
          <w:color w:val="000000"/>
          <w:sz w:val="22"/>
          <w:szCs w:val="22"/>
        </w:rPr>
        <w:t xml:space="preserve">judicial </w:t>
      </w:r>
      <w:r w:rsidR="009B4E9C">
        <w:rPr>
          <w:color w:val="000000"/>
          <w:sz w:val="22"/>
          <w:szCs w:val="22"/>
        </w:rPr>
        <w:t>texts</w:t>
      </w:r>
      <w:r w:rsidR="00BC491A" w:rsidRPr="008B262F">
        <w:rPr>
          <w:color w:val="000000"/>
          <w:sz w:val="22"/>
          <w:szCs w:val="22"/>
        </w:rPr>
        <w:t>.</w:t>
      </w:r>
      <w:r w:rsidR="00B95B5F">
        <w:rPr>
          <w:rStyle w:val="EndnoteReference"/>
          <w:color w:val="000000"/>
          <w:sz w:val="22"/>
          <w:szCs w:val="22"/>
        </w:rPr>
        <w:endnoteReference w:id="29"/>
      </w:r>
      <w:r w:rsidR="00BC491A" w:rsidRPr="008B262F">
        <w:rPr>
          <w:color w:val="000000"/>
          <w:sz w:val="22"/>
          <w:szCs w:val="22"/>
        </w:rPr>
        <w:t xml:space="preserve"> Activist</w:t>
      </w:r>
      <w:r w:rsidR="008820E9">
        <w:rPr>
          <w:color w:val="000000"/>
          <w:sz w:val="22"/>
          <w:szCs w:val="22"/>
        </w:rPr>
        <w:t xml:space="preserve"> legal </w:t>
      </w:r>
      <w:r w:rsidR="00BC491A" w:rsidRPr="008B262F">
        <w:rPr>
          <w:color w:val="000000"/>
          <w:sz w:val="22"/>
          <w:szCs w:val="22"/>
        </w:rPr>
        <w:t xml:space="preserve">scholars concerned </w:t>
      </w:r>
      <w:r w:rsidR="008C604F">
        <w:rPr>
          <w:color w:val="000000"/>
          <w:sz w:val="22"/>
          <w:szCs w:val="22"/>
        </w:rPr>
        <w:t xml:space="preserve">with </w:t>
      </w:r>
      <w:r w:rsidR="00BC491A" w:rsidRPr="008B262F">
        <w:rPr>
          <w:color w:val="000000"/>
          <w:sz w:val="22"/>
          <w:szCs w:val="22"/>
        </w:rPr>
        <w:t xml:space="preserve">LGBTI minorities </w:t>
      </w:r>
      <w:r w:rsidR="008C604F">
        <w:rPr>
          <w:color w:val="000000"/>
          <w:sz w:val="22"/>
          <w:szCs w:val="22"/>
        </w:rPr>
        <w:t>must</w:t>
      </w:r>
      <w:r w:rsidR="00BC491A" w:rsidRPr="008B262F">
        <w:rPr>
          <w:color w:val="000000"/>
          <w:sz w:val="22"/>
          <w:szCs w:val="22"/>
        </w:rPr>
        <w:t xml:space="preserve"> take account of emotion at this level </w:t>
      </w:r>
      <w:r w:rsidR="008C604F">
        <w:rPr>
          <w:color w:val="000000"/>
          <w:sz w:val="22"/>
          <w:szCs w:val="22"/>
        </w:rPr>
        <w:t xml:space="preserve">– to address the legal politics of emotion – </w:t>
      </w:r>
      <w:r w:rsidR="00BC491A" w:rsidRPr="008B262F">
        <w:rPr>
          <w:color w:val="000000"/>
          <w:sz w:val="22"/>
          <w:szCs w:val="22"/>
        </w:rPr>
        <w:t>because</w:t>
      </w:r>
      <w:r w:rsidR="008C604F">
        <w:rPr>
          <w:color w:val="000000"/>
          <w:sz w:val="22"/>
          <w:szCs w:val="22"/>
        </w:rPr>
        <w:t xml:space="preserve"> these decisions function</w:t>
      </w:r>
      <w:r w:rsidR="00BC491A" w:rsidRPr="008B262F">
        <w:rPr>
          <w:color w:val="000000"/>
          <w:sz w:val="22"/>
          <w:szCs w:val="22"/>
        </w:rPr>
        <w:t xml:space="preserve"> as </w:t>
      </w:r>
      <w:r w:rsidR="0013744A">
        <w:rPr>
          <w:color w:val="000000"/>
          <w:sz w:val="22"/>
          <w:szCs w:val="22"/>
        </w:rPr>
        <w:t xml:space="preserve">both social and </w:t>
      </w:r>
      <w:r w:rsidR="005F2DDD" w:rsidRPr="008B262F">
        <w:rPr>
          <w:color w:val="000000"/>
          <w:sz w:val="22"/>
          <w:szCs w:val="22"/>
        </w:rPr>
        <w:t xml:space="preserve">legal </w:t>
      </w:r>
      <w:r w:rsidR="00BC491A" w:rsidRPr="008B262F">
        <w:rPr>
          <w:color w:val="000000"/>
          <w:sz w:val="22"/>
          <w:szCs w:val="22"/>
        </w:rPr>
        <w:t>measures of queer injury, intimacy, and identity</w:t>
      </w:r>
      <w:r w:rsidR="008C604F">
        <w:rPr>
          <w:color w:val="000000"/>
          <w:sz w:val="22"/>
          <w:szCs w:val="22"/>
        </w:rPr>
        <w:t xml:space="preserve">. </w:t>
      </w:r>
    </w:p>
    <w:p w14:paraId="7EFD404A" w14:textId="34B34F4C" w:rsidR="00BC491A" w:rsidRPr="008B262F" w:rsidRDefault="00BC491A" w:rsidP="00BC491A">
      <w:pPr>
        <w:spacing w:line="480" w:lineRule="auto"/>
        <w:ind w:firstLine="720"/>
        <w:jc w:val="both"/>
        <w:rPr>
          <w:color w:val="000000"/>
          <w:sz w:val="22"/>
          <w:szCs w:val="22"/>
        </w:rPr>
      </w:pPr>
      <w:r w:rsidRPr="008B262F">
        <w:rPr>
          <w:color w:val="000000"/>
          <w:sz w:val="22"/>
          <w:szCs w:val="22"/>
        </w:rPr>
        <w:t xml:space="preserve">My argument focuses on the performative dimensions of emotion, and the insights gained from this focus allow me to problematise how emotions shape (hetero)normative ideas of queer identity, intimacy, and injury in the pursuit of legal progress. </w:t>
      </w:r>
      <w:r w:rsidR="00560471">
        <w:rPr>
          <w:color w:val="000000"/>
          <w:sz w:val="22"/>
          <w:szCs w:val="22"/>
        </w:rPr>
        <w:t>I develop a queer reading of jurisprudence</w:t>
      </w:r>
      <w:r w:rsidR="002B02AE">
        <w:rPr>
          <w:color w:val="000000"/>
          <w:sz w:val="22"/>
          <w:szCs w:val="22"/>
        </w:rPr>
        <w:t>, as an activist legal scholar,</w:t>
      </w:r>
      <w:r w:rsidR="00560471">
        <w:rPr>
          <w:color w:val="000000"/>
          <w:sz w:val="22"/>
          <w:szCs w:val="22"/>
        </w:rPr>
        <w:t xml:space="preserve"> by foregrounding emotions instead of doctrines in order to rethink the claims of progress articulated through such emotions. </w:t>
      </w:r>
      <w:r w:rsidRPr="008B262F">
        <w:rPr>
          <w:color w:val="000000"/>
          <w:sz w:val="22"/>
          <w:szCs w:val="22"/>
        </w:rPr>
        <w:t>Eve Sedgwick</w:t>
      </w:r>
      <w:r w:rsidR="00611718" w:rsidRPr="008B262F">
        <w:rPr>
          <w:color w:val="000000"/>
          <w:sz w:val="22"/>
          <w:szCs w:val="22"/>
        </w:rPr>
        <w:t xml:space="preserve"> </w:t>
      </w:r>
      <w:r w:rsidRPr="008B262F">
        <w:rPr>
          <w:color w:val="000000"/>
          <w:sz w:val="22"/>
          <w:szCs w:val="22"/>
        </w:rPr>
        <w:t>describes the sort of reading strategy I adopt</w:t>
      </w:r>
      <w:r w:rsidR="00372D82">
        <w:rPr>
          <w:color w:val="000000"/>
          <w:sz w:val="22"/>
          <w:szCs w:val="22"/>
        </w:rPr>
        <w:t xml:space="preserve"> as an ‘affect theory’</w:t>
      </w:r>
      <w:r w:rsidRPr="008B262F">
        <w:rPr>
          <w:color w:val="000000"/>
          <w:sz w:val="22"/>
          <w:szCs w:val="22"/>
        </w:rPr>
        <w:t xml:space="preserve">. Such </w:t>
      </w:r>
      <w:r w:rsidR="00372D82">
        <w:rPr>
          <w:color w:val="000000"/>
          <w:sz w:val="22"/>
          <w:szCs w:val="22"/>
        </w:rPr>
        <w:t>a theory is</w:t>
      </w:r>
      <w:r w:rsidR="00B555AF">
        <w:rPr>
          <w:color w:val="000000"/>
          <w:sz w:val="22"/>
          <w:szCs w:val="22"/>
        </w:rPr>
        <w:t xml:space="preserve"> </w:t>
      </w:r>
      <w:r w:rsidR="0062088B">
        <w:rPr>
          <w:color w:val="000000"/>
          <w:sz w:val="22"/>
          <w:szCs w:val="22"/>
        </w:rPr>
        <w:t>‘</w:t>
      </w:r>
      <w:r w:rsidR="00B555AF">
        <w:rPr>
          <w:color w:val="000000"/>
          <w:sz w:val="22"/>
          <w:szCs w:val="22"/>
        </w:rPr>
        <w:t>queer</w:t>
      </w:r>
      <w:r w:rsidR="0062088B">
        <w:rPr>
          <w:color w:val="000000"/>
          <w:sz w:val="22"/>
          <w:szCs w:val="22"/>
        </w:rPr>
        <w:t>’</w:t>
      </w:r>
      <w:r w:rsidR="00B555AF">
        <w:rPr>
          <w:color w:val="000000"/>
          <w:sz w:val="22"/>
          <w:szCs w:val="22"/>
        </w:rPr>
        <w:t xml:space="preserve"> because it</w:t>
      </w:r>
      <w:r w:rsidR="00372D82">
        <w:rPr>
          <w:color w:val="000000"/>
          <w:sz w:val="22"/>
          <w:szCs w:val="22"/>
        </w:rPr>
        <w:t xml:space="preserve"> relies on ‘selective scanning’ and ‘amplification’ </w:t>
      </w:r>
      <w:r w:rsidRPr="008B262F">
        <w:rPr>
          <w:color w:val="000000"/>
          <w:sz w:val="22"/>
          <w:szCs w:val="22"/>
        </w:rPr>
        <w:t xml:space="preserve">in order to resist </w:t>
      </w:r>
      <w:r w:rsidR="002F3913">
        <w:rPr>
          <w:color w:val="000000"/>
          <w:sz w:val="22"/>
          <w:szCs w:val="22"/>
        </w:rPr>
        <w:t>normative</w:t>
      </w:r>
      <w:r w:rsidRPr="008B262F">
        <w:rPr>
          <w:color w:val="000000"/>
          <w:sz w:val="22"/>
          <w:szCs w:val="22"/>
        </w:rPr>
        <w:t xml:space="preserve"> scholarly tendenc</w:t>
      </w:r>
      <w:r w:rsidR="002F3913">
        <w:rPr>
          <w:color w:val="000000"/>
          <w:sz w:val="22"/>
          <w:szCs w:val="22"/>
        </w:rPr>
        <w:t>ies</w:t>
      </w:r>
      <w:r w:rsidRPr="008B262F">
        <w:rPr>
          <w:color w:val="000000"/>
          <w:sz w:val="22"/>
          <w:szCs w:val="22"/>
        </w:rPr>
        <w:t xml:space="preserve"> to ag</w:t>
      </w:r>
      <w:r w:rsidR="00372D82">
        <w:rPr>
          <w:color w:val="000000"/>
          <w:sz w:val="22"/>
          <w:szCs w:val="22"/>
        </w:rPr>
        <w:t>gregate or taxonomise so as to ‘prove’</w:t>
      </w:r>
      <w:r w:rsidRPr="008B262F">
        <w:rPr>
          <w:color w:val="000000"/>
          <w:sz w:val="22"/>
          <w:szCs w:val="22"/>
        </w:rPr>
        <w:t xml:space="preserve"> an object (such as injury, intimacy, or identity) of thought conclusively.</w:t>
      </w:r>
      <w:r w:rsidR="00B95B5F">
        <w:rPr>
          <w:rStyle w:val="EndnoteReference"/>
          <w:color w:val="000000"/>
          <w:sz w:val="22"/>
          <w:szCs w:val="22"/>
        </w:rPr>
        <w:endnoteReference w:id="30"/>
      </w:r>
      <w:r w:rsidRPr="008B262F">
        <w:rPr>
          <w:color w:val="000000"/>
          <w:sz w:val="22"/>
          <w:szCs w:val="22"/>
        </w:rPr>
        <w:t xml:space="preserve"> I transpose Sedgwick’s call to loosen the need for diagnostic analysis in fav</w:t>
      </w:r>
      <w:r w:rsidR="00C81808">
        <w:rPr>
          <w:color w:val="000000"/>
          <w:sz w:val="22"/>
          <w:szCs w:val="22"/>
        </w:rPr>
        <w:t>our of amplifying emotion when selectively</w:t>
      </w:r>
      <w:r w:rsidRPr="008B262F">
        <w:rPr>
          <w:color w:val="000000"/>
          <w:sz w:val="22"/>
          <w:szCs w:val="22"/>
        </w:rPr>
        <w:t xml:space="preserve"> reading how it emerges in pro</w:t>
      </w:r>
      <w:r w:rsidRPr="008B262F">
        <w:rPr>
          <w:color w:val="000000"/>
          <w:sz w:val="22"/>
          <w:szCs w:val="22"/>
        </w:rPr>
        <w:noBreakHyphen/>
        <w:t>LGBTI cases.</w:t>
      </w:r>
      <w:r w:rsidR="0062088B">
        <w:rPr>
          <w:color w:val="000000"/>
          <w:sz w:val="22"/>
          <w:szCs w:val="22"/>
        </w:rPr>
        <w:t xml:space="preserve"> I do not categorically define emotions nor do I exhaustively try to document how they manifest in law. Rather, I</w:t>
      </w:r>
      <w:r w:rsidRPr="008B262F">
        <w:rPr>
          <w:color w:val="000000"/>
          <w:sz w:val="22"/>
          <w:szCs w:val="22"/>
        </w:rPr>
        <w:t xml:space="preserve"> </w:t>
      </w:r>
      <w:r w:rsidR="0062088B">
        <w:rPr>
          <w:color w:val="000000"/>
          <w:sz w:val="22"/>
          <w:szCs w:val="22"/>
        </w:rPr>
        <w:t>register</w:t>
      </w:r>
      <w:r w:rsidRPr="008B262F">
        <w:rPr>
          <w:color w:val="000000"/>
          <w:sz w:val="22"/>
          <w:szCs w:val="22"/>
        </w:rPr>
        <w:t xml:space="preserve"> the enactment of </w:t>
      </w:r>
      <w:r w:rsidR="0062088B">
        <w:rPr>
          <w:color w:val="000000"/>
          <w:sz w:val="22"/>
          <w:szCs w:val="22"/>
        </w:rPr>
        <w:t xml:space="preserve">specific </w:t>
      </w:r>
      <w:r w:rsidRPr="008B262F">
        <w:rPr>
          <w:color w:val="000000"/>
          <w:sz w:val="22"/>
          <w:szCs w:val="22"/>
        </w:rPr>
        <w:t xml:space="preserve">emotions. Drawing from </w:t>
      </w:r>
      <w:r w:rsidR="00611718" w:rsidRPr="008B262F">
        <w:rPr>
          <w:color w:val="000000"/>
          <w:sz w:val="22"/>
          <w:szCs w:val="22"/>
        </w:rPr>
        <w:t xml:space="preserve">Sara </w:t>
      </w:r>
      <w:r w:rsidRPr="008B262F">
        <w:rPr>
          <w:color w:val="000000"/>
          <w:sz w:val="22"/>
          <w:szCs w:val="22"/>
        </w:rPr>
        <w:t>Ahmed</w:t>
      </w:r>
      <w:r w:rsidR="009B4E9C">
        <w:rPr>
          <w:color w:val="000000"/>
          <w:sz w:val="22"/>
          <w:szCs w:val="22"/>
        </w:rPr>
        <w:t>, this register takes emotions</w:t>
      </w:r>
      <w:r w:rsidRPr="008B262F">
        <w:rPr>
          <w:color w:val="000000"/>
          <w:sz w:val="22"/>
          <w:szCs w:val="22"/>
        </w:rPr>
        <w:t xml:space="preserve"> in terms of their textual features: they animate legal ideas and shape social norms in judgments.</w:t>
      </w:r>
      <w:r w:rsidR="00B95B5F">
        <w:rPr>
          <w:rStyle w:val="EndnoteReference"/>
          <w:color w:val="000000"/>
          <w:sz w:val="22"/>
          <w:szCs w:val="22"/>
        </w:rPr>
        <w:endnoteReference w:id="31"/>
      </w:r>
      <w:r w:rsidRPr="008B262F">
        <w:rPr>
          <w:color w:val="000000"/>
          <w:sz w:val="22"/>
          <w:szCs w:val="22"/>
        </w:rPr>
        <w:t xml:space="preserve"> These emotional enactments arise from the contact between objects.</w:t>
      </w:r>
      <w:r w:rsidR="00B95B5F">
        <w:rPr>
          <w:rStyle w:val="EndnoteReference"/>
          <w:color w:val="000000"/>
          <w:sz w:val="22"/>
          <w:szCs w:val="22"/>
        </w:rPr>
        <w:endnoteReference w:id="32"/>
      </w:r>
      <w:r w:rsidR="00A6797F" w:rsidRPr="008B262F">
        <w:rPr>
          <w:color w:val="000000"/>
          <w:sz w:val="22"/>
          <w:szCs w:val="22"/>
        </w:rPr>
        <w:t xml:space="preserve"> </w:t>
      </w:r>
      <w:r w:rsidR="003F6B39" w:rsidRPr="008B262F">
        <w:rPr>
          <w:color w:val="000000"/>
          <w:sz w:val="22"/>
          <w:szCs w:val="22"/>
        </w:rPr>
        <w:t>To read</w:t>
      </w:r>
      <w:r w:rsidR="00A6797F" w:rsidRPr="008B262F">
        <w:rPr>
          <w:color w:val="000000"/>
          <w:sz w:val="22"/>
          <w:szCs w:val="22"/>
        </w:rPr>
        <w:t xml:space="preserve"> emotion</w:t>
      </w:r>
      <w:r w:rsidRPr="008B262F">
        <w:rPr>
          <w:color w:val="000000"/>
          <w:sz w:val="22"/>
          <w:szCs w:val="22"/>
        </w:rPr>
        <w:t xml:space="preserve">, I follow the contact between objects (such as doctrines, facts, and norms) that shape queer injuries, intimacies, and identities and the remedies deemed to address or repair them. Attending to case law in terms of these contact zones, by focusing on their enactments, helps to expose </w:t>
      </w:r>
      <w:r w:rsidR="005A07DA">
        <w:rPr>
          <w:color w:val="000000"/>
          <w:sz w:val="22"/>
          <w:szCs w:val="22"/>
        </w:rPr>
        <w:t>legal</w:t>
      </w:r>
      <w:r w:rsidRPr="008B262F">
        <w:rPr>
          <w:color w:val="000000"/>
          <w:sz w:val="22"/>
          <w:szCs w:val="22"/>
        </w:rPr>
        <w:t xml:space="preserve"> biases an</w:t>
      </w:r>
      <w:r w:rsidR="005A07DA">
        <w:rPr>
          <w:color w:val="000000"/>
          <w:sz w:val="22"/>
          <w:szCs w:val="22"/>
        </w:rPr>
        <w:t>d (hetero)normative limits they give effect to</w:t>
      </w:r>
      <w:r w:rsidRPr="008B262F">
        <w:rPr>
          <w:color w:val="000000"/>
          <w:sz w:val="22"/>
          <w:szCs w:val="22"/>
        </w:rPr>
        <w:t>.</w:t>
      </w:r>
      <w:r w:rsidR="00B95B5F">
        <w:rPr>
          <w:rStyle w:val="EndnoteReference"/>
          <w:color w:val="000000"/>
          <w:sz w:val="22"/>
          <w:szCs w:val="22"/>
        </w:rPr>
        <w:endnoteReference w:id="33"/>
      </w:r>
      <w:r w:rsidR="00B555AF">
        <w:rPr>
          <w:color w:val="000000"/>
          <w:sz w:val="22"/>
          <w:szCs w:val="22"/>
        </w:rPr>
        <w:t xml:space="preserve"> </w:t>
      </w:r>
    </w:p>
    <w:p w14:paraId="559C6EDD" w14:textId="010A9DE5" w:rsidR="008B262F" w:rsidRDefault="00B543DF" w:rsidP="009B4E9C">
      <w:pPr>
        <w:spacing w:line="480" w:lineRule="auto"/>
        <w:ind w:firstLine="720"/>
        <w:jc w:val="both"/>
        <w:rPr>
          <w:color w:val="000000"/>
          <w:sz w:val="22"/>
          <w:szCs w:val="22"/>
        </w:rPr>
      </w:pPr>
      <w:r>
        <w:rPr>
          <w:color w:val="000000"/>
          <w:sz w:val="22"/>
          <w:szCs w:val="22"/>
        </w:rPr>
        <w:t>Reading emotion as a scholarly strategy is a form of activist engagement.</w:t>
      </w:r>
      <w:r>
        <w:rPr>
          <w:rStyle w:val="EndnoteReference"/>
          <w:color w:val="000000"/>
          <w:sz w:val="22"/>
          <w:szCs w:val="22"/>
        </w:rPr>
        <w:endnoteReference w:id="34"/>
      </w:r>
      <w:r>
        <w:rPr>
          <w:color w:val="000000"/>
          <w:sz w:val="22"/>
          <w:szCs w:val="22"/>
        </w:rPr>
        <w:t xml:space="preserve"> </w:t>
      </w:r>
      <w:r w:rsidR="00566DFD">
        <w:rPr>
          <w:color w:val="000000"/>
          <w:sz w:val="22"/>
          <w:szCs w:val="22"/>
        </w:rPr>
        <w:t>Using emotion as an analytic framework</w:t>
      </w:r>
      <w:r w:rsidR="00A977B8" w:rsidRPr="008B262F">
        <w:rPr>
          <w:color w:val="000000"/>
          <w:sz w:val="22"/>
          <w:szCs w:val="22"/>
        </w:rPr>
        <w:t xml:space="preserve"> to engage with pro-LGBTI cases allows us to register the particular ways these cases recognise queer i</w:t>
      </w:r>
      <w:r w:rsidR="005A07DA">
        <w:rPr>
          <w:color w:val="000000"/>
          <w:sz w:val="22"/>
          <w:szCs w:val="22"/>
        </w:rPr>
        <w:t>njury, intimacy, and identity and</w:t>
      </w:r>
      <w:r w:rsidR="00A977B8" w:rsidRPr="008B262F">
        <w:rPr>
          <w:color w:val="000000"/>
          <w:sz w:val="22"/>
          <w:szCs w:val="22"/>
        </w:rPr>
        <w:t xml:space="preserve"> this enables us to navigate the legal and social consequences of </w:t>
      </w:r>
      <w:r w:rsidR="003C1AE7">
        <w:rPr>
          <w:color w:val="000000"/>
          <w:sz w:val="22"/>
          <w:szCs w:val="22"/>
        </w:rPr>
        <w:t>these</w:t>
      </w:r>
      <w:r w:rsidR="00A977B8" w:rsidRPr="008B262F">
        <w:rPr>
          <w:color w:val="000000"/>
          <w:sz w:val="22"/>
          <w:szCs w:val="22"/>
        </w:rPr>
        <w:t xml:space="preserve"> forms of recognition. </w:t>
      </w:r>
      <w:r w:rsidR="00A04472" w:rsidRPr="008B262F">
        <w:rPr>
          <w:color w:val="000000"/>
          <w:sz w:val="22"/>
          <w:szCs w:val="22"/>
        </w:rPr>
        <w:t>As Kenji Yoshino argues, in relation to sexual minorities, ideas of gay visibility cannot be reduced to who is</w:t>
      </w:r>
      <w:r w:rsidR="007F77D6">
        <w:rPr>
          <w:color w:val="000000"/>
          <w:sz w:val="22"/>
          <w:szCs w:val="22"/>
        </w:rPr>
        <w:t xml:space="preserve"> ‘in’ or ‘out’ </w:t>
      </w:r>
      <w:r w:rsidR="00A04472" w:rsidRPr="008B262F">
        <w:rPr>
          <w:color w:val="000000"/>
          <w:sz w:val="22"/>
          <w:szCs w:val="22"/>
        </w:rPr>
        <w:t xml:space="preserve">of the proverbial closet. Rather, social norms allow sexual minorities to express some forms of their sexuality </w:t>
      </w:r>
      <w:r w:rsidR="007F77D6">
        <w:rPr>
          <w:color w:val="000000"/>
          <w:sz w:val="22"/>
          <w:szCs w:val="22"/>
        </w:rPr>
        <w:t>in public while urging them to ‘cover’</w:t>
      </w:r>
      <w:r w:rsidR="00A04472" w:rsidRPr="008B262F">
        <w:rPr>
          <w:color w:val="000000"/>
          <w:sz w:val="22"/>
          <w:szCs w:val="22"/>
        </w:rPr>
        <w:t xml:space="preserve"> more discomforting aspects of their sexual life.</w:t>
      </w:r>
      <w:r w:rsidR="00B95B5F">
        <w:rPr>
          <w:rStyle w:val="EndnoteReference"/>
          <w:color w:val="000000"/>
          <w:sz w:val="22"/>
          <w:szCs w:val="22"/>
        </w:rPr>
        <w:endnoteReference w:id="35"/>
      </w:r>
      <w:r w:rsidR="00A04472" w:rsidRPr="008B262F">
        <w:rPr>
          <w:color w:val="000000"/>
          <w:sz w:val="22"/>
          <w:szCs w:val="22"/>
        </w:rPr>
        <w:t xml:space="preserve"> Borrowing from Yoshino’s idea of covering in relation to sexual minorities, I argue that emotional </w:t>
      </w:r>
      <w:r w:rsidR="00A977B8" w:rsidRPr="008B262F">
        <w:rPr>
          <w:color w:val="000000"/>
          <w:sz w:val="22"/>
          <w:szCs w:val="22"/>
        </w:rPr>
        <w:t>norms</w:t>
      </w:r>
      <w:r w:rsidR="00A04472" w:rsidRPr="008B262F">
        <w:rPr>
          <w:color w:val="000000"/>
          <w:sz w:val="22"/>
          <w:szCs w:val="22"/>
        </w:rPr>
        <w:t xml:space="preserve"> in case law that enable new forms of </w:t>
      </w:r>
      <w:r w:rsidR="00A977B8" w:rsidRPr="008B262F">
        <w:rPr>
          <w:color w:val="000000"/>
          <w:sz w:val="22"/>
          <w:szCs w:val="22"/>
        </w:rPr>
        <w:t xml:space="preserve">individual </w:t>
      </w:r>
      <w:r w:rsidR="00A04472" w:rsidRPr="008B262F">
        <w:rPr>
          <w:color w:val="000000"/>
          <w:sz w:val="22"/>
          <w:szCs w:val="22"/>
        </w:rPr>
        <w:t>recognition and visibility can work, paradoxically, to cover over</w:t>
      </w:r>
      <w:r w:rsidR="00A56272" w:rsidRPr="008B262F">
        <w:rPr>
          <w:color w:val="000000"/>
          <w:sz w:val="22"/>
          <w:szCs w:val="22"/>
        </w:rPr>
        <w:t xml:space="preserve"> other</w:t>
      </w:r>
      <w:r w:rsidR="00A04472" w:rsidRPr="008B262F">
        <w:rPr>
          <w:color w:val="000000"/>
          <w:sz w:val="22"/>
          <w:szCs w:val="22"/>
        </w:rPr>
        <w:t xml:space="preserve"> </w:t>
      </w:r>
      <w:r w:rsidR="00A977B8" w:rsidRPr="008B262F">
        <w:rPr>
          <w:color w:val="000000"/>
          <w:sz w:val="22"/>
          <w:szCs w:val="22"/>
        </w:rPr>
        <w:t xml:space="preserve">institutional forms of </w:t>
      </w:r>
      <w:r w:rsidR="00A56272" w:rsidRPr="008B262F">
        <w:rPr>
          <w:color w:val="000000"/>
          <w:sz w:val="22"/>
          <w:szCs w:val="22"/>
        </w:rPr>
        <w:t>injury, intimacy, and identity</w:t>
      </w:r>
      <w:r w:rsidR="00A04472" w:rsidRPr="008B262F">
        <w:rPr>
          <w:color w:val="000000"/>
          <w:sz w:val="22"/>
          <w:szCs w:val="22"/>
        </w:rPr>
        <w:t xml:space="preserve">. </w:t>
      </w:r>
      <w:r w:rsidR="00A56272" w:rsidRPr="008B262F">
        <w:rPr>
          <w:color w:val="000000"/>
          <w:sz w:val="22"/>
          <w:szCs w:val="22"/>
        </w:rPr>
        <w:t xml:space="preserve">While this paper speaks to the </w:t>
      </w:r>
      <w:r w:rsidR="007F77D6">
        <w:rPr>
          <w:color w:val="000000"/>
          <w:sz w:val="22"/>
          <w:szCs w:val="22"/>
        </w:rPr>
        <w:t>institutional possibilities of better judgments,</w:t>
      </w:r>
      <w:r w:rsidR="00A56272" w:rsidRPr="008B262F">
        <w:rPr>
          <w:color w:val="000000"/>
          <w:sz w:val="22"/>
          <w:szCs w:val="22"/>
        </w:rPr>
        <w:t xml:space="preserve"> my purpose when reading emotion is to primarily</w:t>
      </w:r>
      <w:r w:rsidR="00A977B8" w:rsidRPr="008B262F">
        <w:rPr>
          <w:color w:val="000000"/>
          <w:sz w:val="22"/>
          <w:szCs w:val="22"/>
        </w:rPr>
        <w:t xml:space="preserve"> account for the affective reasons of </w:t>
      </w:r>
      <w:r w:rsidR="00A56272" w:rsidRPr="008B262F">
        <w:rPr>
          <w:color w:val="000000"/>
          <w:sz w:val="22"/>
          <w:szCs w:val="22"/>
        </w:rPr>
        <w:t>jurisprudential recognition in pro-LGBTI cases</w:t>
      </w:r>
      <w:r w:rsidR="00A977B8" w:rsidRPr="008B262F">
        <w:rPr>
          <w:color w:val="000000"/>
          <w:sz w:val="22"/>
          <w:szCs w:val="22"/>
        </w:rPr>
        <w:t xml:space="preserve"> without </w:t>
      </w:r>
      <w:r w:rsidR="002F3913">
        <w:rPr>
          <w:color w:val="000000"/>
          <w:sz w:val="22"/>
          <w:szCs w:val="22"/>
        </w:rPr>
        <w:t>critiquing</w:t>
      </w:r>
      <w:r w:rsidR="002F3913" w:rsidRPr="008B262F">
        <w:rPr>
          <w:color w:val="000000"/>
          <w:sz w:val="22"/>
          <w:szCs w:val="22"/>
        </w:rPr>
        <w:t xml:space="preserve"> </w:t>
      </w:r>
      <w:r w:rsidR="002F3913">
        <w:rPr>
          <w:color w:val="000000"/>
          <w:sz w:val="22"/>
          <w:szCs w:val="22"/>
        </w:rPr>
        <w:t xml:space="preserve">all </w:t>
      </w:r>
      <w:r w:rsidR="00A977B8" w:rsidRPr="008B262F">
        <w:rPr>
          <w:color w:val="000000"/>
          <w:sz w:val="22"/>
          <w:szCs w:val="22"/>
        </w:rPr>
        <w:t>emotion</w:t>
      </w:r>
      <w:r w:rsidR="002F3913">
        <w:rPr>
          <w:color w:val="000000"/>
          <w:sz w:val="22"/>
          <w:szCs w:val="22"/>
        </w:rPr>
        <w:t>s</w:t>
      </w:r>
      <w:r w:rsidR="00A977B8" w:rsidRPr="008B262F">
        <w:rPr>
          <w:color w:val="000000"/>
          <w:sz w:val="22"/>
          <w:szCs w:val="22"/>
        </w:rPr>
        <w:t xml:space="preserve"> or offering emotion as a prescription for securing </w:t>
      </w:r>
      <w:r w:rsidR="00A56272" w:rsidRPr="008B262F">
        <w:rPr>
          <w:color w:val="000000"/>
          <w:sz w:val="22"/>
          <w:szCs w:val="22"/>
        </w:rPr>
        <w:t>LGBTI human rights</w:t>
      </w:r>
      <w:r w:rsidR="00A977B8" w:rsidRPr="008B262F">
        <w:rPr>
          <w:color w:val="000000"/>
          <w:sz w:val="22"/>
          <w:szCs w:val="22"/>
        </w:rPr>
        <w:t xml:space="preserve">. </w:t>
      </w:r>
      <w:r w:rsidR="00566DFD">
        <w:rPr>
          <w:color w:val="000000"/>
          <w:sz w:val="22"/>
          <w:szCs w:val="22"/>
        </w:rPr>
        <w:t>This focus is significant for queer activist</w:t>
      </w:r>
      <w:r w:rsidR="002B02AE">
        <w:rPr>
          <w:color w:val="000000"/>
          <w:sz w:val="22"/>
          <w:szCs w:val="22"/>
        </w:rPr>
        <w:t xml:space="preserve"> legal </w:t>
      </w:r>
      <w:r w:rsidR="00566DFD">
        <w:rPr>
          <w:color w:val="000000"/>
          <w:sz w:val="22"/>
          <w:szCs w:val="22"/>
        </w:rPr>
        <w:t>scholars who seek to further legal projects concerned with human rights agendas while maintaining a deeper, critical, and affective engagement with the terms of those agendas.  In the following sections</w:t>
      </w:r>
      <w:r w:rsidR="00513223" w:rsidRPr="008B262F">
        <w:rPr>
          <w:color w:val="000000"/>
          <w:sz w:val="22"/>
          <w:szCs w:val="22"/>
        </w:rPr>
        <w:t xml:space="preserve">, I want to show </w:t>
      </w:r>
      <w:r w:rsidR="009D2ACF" w:rsidRPr="008B262F">
        <w:rPr>
          <w:color w:val="000000"/>
          <w:sz w:val="22"/>
          <w:szCs w:val="22"/>
        </w:rPr>
        <w:t>that</w:t>
      </w:r>
      <w:r w:rsidR="00513223" w:rsidRPr="008B262F">
        <w:rPr>
          <w:color w:val="000000"/>
          <w:sz w:val="22"/>
          <w:szCs w:val="22"/>
        </w:rPr>
        <w:t xml:space="preserve"> using emotion as an analytic lens </w:t>
      </w:r>
      <w:r w:rsidR="00566DFD">
        <w:rPr>
          <w:color w:val="000000"/>
          <w:sz w:val="22"/>
          <w:szCs w:val="22"/>
        </w:rPr>
        <w:t>allows</w:t>
      </w:r>
      <w:r w:rsidR="002B02AE">
        <w:rPr>
          <w:color w:val="000000"/>
          <w:sz w:val="22"/>
          <w:szCs w:val="22"/>
        </w:rPr>
        <w:t xml:space="preserve"> us, as</w:t>
      </w:r>
      <w:r w:rsidR="00566DFD">
        <w:rPr>
          <w:color w:val="000000"/>
          <w:sz w:val="22"/>
          <w:szCs w:val="22"/>
        </w:rPr>
        <w:t xml:space="preserve"> activist</w:t>
      </w:r>
      <w:r w:rsidR="002B02AE">
        <w:rPr>
          <w:color w:val="000000"/>
          <w:sz w:val="22"/>
          <w:szCs w:val="22"/>
        </w:rPr>
        <w:t xml:space="preserve"> legal </w:t>
      </w:r>
      <w:r w:rsidR="00566DFD">
        <w:rPr>
          <w:color w:val="000000"/>
          <w:sz w:val="22"/>
          <w:szCs w:val="22"/>
        </w:rPr>
        <w:t>scholars</w:t>
      </w:r>
      <w:r w:rsidR="002B02AE">
        <w:rPr>
          <w:color w:val="000000"/>
          <w:sz w:val="22"/>
          <w:szCs w:val="22"/>
        </w:rPr>
        <w:t>,</w:t>
      </w:r>
      <w:r w:rsidR="00566DFD">
        <w:rPr>
          <w:color w:val="000000"/>
          <w:sz w:val="22"/>
          <w:szCs w:val="22"/>
        </w:rPr>
        <w:t xml:space="preserve"> to more</w:t>
      </w:r>
      <w:r w:rsidR="00133BAA">
        <w:rPr>
          <w:color w:val="000000"/>
          <w:sz w:val="22"/>
          <w:szCs w:val="22"/>
        </w:rPr>
        <w:t xml:space="preserve"> richly </w:t>
      </w:r>
      <w:r w:rsidR="009D2ACF" w:rsidRPr="008B262F">
        <w:rPr>
          <w:color w:val="000000"/>
          <w:sz w:val="22"/>
          <w:szCs w:val="22"/>
        </w:rPr>
        <w:t>register</w:t>
      </w:r>
      <w:r w:rsidR="00566DFD">
        <w:rPr>
          <w:color w:val="000000"/>
          <w:sz w:val="22"/>
          <w:szCs w:val="22"/>
        </w:rPr>
        <w:t xml:space="preserve"> </w:t>
      </w:r>
      <w:r w:rsidR="009D2ACF" w:rsidRPr="008B262F">
        <w:rPr>
          <w:color w:val="000000"/>
          <w:sz w:val="22"/>
          <w:szCs w:val="22"/>
        </w:rPr>
        <w:t>the c</w:t>
      </w:r>
      <w:r w:rsidR="00566DFD">
        <w:rPr>
          <w:color w:val="000000"/>
          <w:sz w:val="22"/>
          <w:szCs w:val="22"/>
        </w:rPr>
        <w:t>onsequences of ‘progress’</w:t>
      </w:r>
      <w:r w:rsidR="00910CB8">
        <w:rPr>
          <w:color w:val="000000"/>
          <w:sz w:val="22"/>
          <w:szCs w:val="22"/>
        </w:rPr>
        <w:t xml:space="preserve"> </w:t>
      </w:r>
      <w:r w:rsidR="00566DFD">
        <w:rPr>
          <w:color w:val="000000"/>
          <w:sz w:val="22"/>
          <w:szCs w:val="22"/>
        </w:rPr>
        <w:t>in order</w:t>
      </w:r>
      <w:r w:rsidR="00910CB8">
        <w:rPr>
          <w:color w:val="000000"/>
          <w:sz w:val="22"/>
          <w:szCs w:val="22"/>
        </w:rPr>
        <w:t xml:space="preserve"> </w:t>
      </w:r>
      <w:r w:rsidR="00566DFD">
        <w:rPr>
          <w:color w:val="000000"/>
          <w:sz w:val="22"/>
          <w:szCs w:val="22"/>
        </w:rPr>
        <w:t xml:space="preserve">for </w:t>
      </w:r>
      <w:r w:rsidR="002F3913">
        <w:rPr>
          <w:color w:val="000000"/>
          <w:sz w:val="22"/>
          <w:szCs w:val="22"/>
        </w:rPr>
        <w:t>us</w:t>
      </w:r>
      <w:r w:rsidR="00566DFD">
        <w:rPr>
          <w:color w:val="000000"/>
          <w:sz w:val="22"/>
          <w:szCs w:val="22"/>
        </w:rPr>
        <w:t xml:space="preserve"> </w:t>
      </w:r>
      <w:r w:rsidR="00910CB8">
        <w:rPr>
          <w:color w:val="000000"/>
          <w:sz w:val="22"/>
          <w:szCs w:val="22"/>
        </w:rPr>
        <w:t xml:space="preserve">to </w:t>
      </w:r>
      <w:r w:rsidR="009D2ACF" w:rsidRPr="008B262F">
        <w:rPr>
          <w:color w:val="000000"/>
          <w:sz w:val="22"/>
          <w:szCs w:val="22"/>
        </w:rPr>
        <w:t>explore</w:t>
      </w:r>
      <w:r w:rsidR="00133BAA">
        <w:rPr>
          <w:color w:val="000000"/>
          <w:sz w:val="22"/>
          <w:szCs w:val="22"/>
        </w:rPr>
        <w:t xml:space="preserve"> or critique</w:t>
      </w:r>
      <w:r w:rsidR="009D2ACF" w:rsidRPr="008B262F">
        <w:rPr>
          <w:color w:val="000000"/>
          <w:sz w:val="22"/>
          <w:szCs w:val="22"/>
        </w:rPr>
        <w:t xml:space="preserve"> </w:t>
      </w:r>
      <w:r w:rsidR="00566DFD">
        <w:rPr>
          <w:color w:val="000000"/>
          <w:sz w:val="22"/>
          <w:szCs w:val="22"/>
        </w:rPr>
        <w:t xml:space="preserve">the </w:t>
      </w:r>
      <w:r w:rsidR="009D2ACF" w:rsidRPr="008B262F">
        <w:rPr>
          <w:color w:val="000000"/>
          <w:sz w:val="22"/>
          <w:szCs w:val="22"/>
        </w:rPr>
        <w:t>affective</w:t>
      </w:r>
      <w:r w:rsidR="00513223" w:rsidRPr="008B262F">
        <w:rPr>
          <w:color w:val="000000"/>
          <w:sz w:val="22"/>
          <w:szCs w:val="22"/>
        </w:rPr>
        <w:t xml:space="preserve"> trouble queer injury, intimacy, and identity pose </w:t>
      </w:r>
      <w:r w:rsidR="009D2ACF" w:rsidRPr="008B262F">
        <w:rPr>
          <w:color w:val="000000"/>
          <w:sz w:val="22"/>
          <w:szCs w:val="22"/>
        </w:rPr>
        <w:t xml:space="preserve">in </w:t>
      </w:r>
      <w:r w:rsidR="00F752AB">
        <w:rPr>
          <w:color w:val="000000"/>
          <w:sz w:val="22"/>
          <w:szCs w:val="22"/>
        </w:rPr>
        <w:t>cases</w:t>
      </w:r>
      <w:r w:rsidR="00513223" w:rsidRPr="008B262F">
        <w:rPr>
          <w:color w:val="000000"/>
          <w:sz w:val="22"/>
          <w:szCs w:val="22"/>
        </w:rPr>
        <w:t xml:space="preserve"> concerned with healing hate and liberating love.</w:t>
      </w:r>
    </w:p>
    <w:p w14:paraId="52F4ACA5" w14:textId="77777777" w:rsidR="0013744A" w:rsidRPr="008B262F" w:rsidRDefault="0013744A" w:rsidP="00566DFD">
      <w:pPr>
        <w:spacing w:line="480" w:lineRule="auto"/>
        <w:jc w:val="both"/>
        <w:rPr>
          <w:color w:val="000000"/>
          <w:sz w:val="22"/>
          <w:szCs w:val="22"/>
        </w:rPr>
      </w:pPr>
    </w:p>
    <w:p w14:paraId="356E2507" w14:textId="339B5907" w:rsidR="00A6797F" w:rsidRPr="008B262F" w:rsidRDefault="00A6797F" w:rsidP="00A6797F">
      <w:pPr>
        <w:spacing w:line="480" w:lineRule="auto"/>
        <w:jc w:val="both"/>
        <w:rPr>
          <w:b/>
          <w:color w:val="000000"/>
          <w:sz w:val="22"/>
          <w:szCs w:val="22"/>
        </w:rPr>
      </w:pPr>
      <w:r w:rsidRPr="008B262F">
        <w:rPr>
          <w:b/>
          <w:color w:val="000000"/>
          <w:sz w:val="22"/>
          <w:szCs w:val="22"/>
        </w:rPr>
        <w:t>Healing Hate</w:t>
      </w:r>
      <w:r w:rsidR="00C878C2">
        <w:rPr>
          <w:b/>
          <w:color w:val="000000"/>
          <w:sz w:val="22"/>
          <w:szCs w:val="22"/>
        </w:rPr>
        <w:t xml:space="preserve"> and Hate Crime Jurisprudence</w:t>
      </w:r>
    </w:p>
    <w:p w14:paraId="54CD9B5B" w14:textId="0284CD15" w:rsidR="0007256A" w:rsidRPr="008B262F" w:rsidRDefault="0007256A" w:rsidP="00760B76">
      <w:pPr>
        <w:spacing w:line="480" w:lineRule="auto"/>
        <w:jc w:val="both"/>
        <w:rPr>
          <w:color w:val="000000"/>
          <w:sz w:val="22"/>
          <w:szCs w:val="22"/>
        </w:rPr>
      </w:pPr>
      <w:r w:rsidRPr="008B262F">
        <w:rPr>
          <w:color w:val="000000"/>
          <w:sz w:val="22"/>
          <w:szCs w:val="22"/>
        </w:rPr>
        <w:t xml:space="preserve">In order to </w:t>
      </w:r>
      <w:r w:rsidR="00960689" w:rsidRPr="008B262F">
        <w:rPr>
          <w:color w:val="000000"/>
          <w:sz w:val="22"/>
          <w:szCs w:val="22"/>
        </w:rPr>
        <w:t>tease out how we can read emotion in pro-LGBTI cases</w:t>
      </w:r>
      <w:r w:rsidRPr="008B262F">
        <w:rPr>
          <w:color w:val="000000"/>
          <w:sz w:val="22"/>
          <w:szCs w:val="22"/>
        </w:rPr>
        <w:t>, I now turn to the way criminal law functions to address queer injury</w:t>
      </w:r>
      <w:r w:rsidR="003E633A" w:rsidRPr="008B262F">
        <w:rPr>
          <w:color w:val="000000"/>
          <w:sz w:val="22"/>
          <w:szCs w:val="22"/>
        </w:rPr>
        <w:t xml:space="preserve"> through the </w:t>
      </w:r>
      <w:r w:rsidR="003E633A" w:rsidRPr="008B262F">
        <w:rPr>
          <w:i/>
          <w:color w:val="000000"/>
          <w:sz w:val="22"/>
          <w:szCs w:val="22"/>
        </w:rPr>
        <w:t>Hate Crimes Prevention Act of 2009</w:t>
      </w:r>
      <w:r w:rsidR="003E633A" w:rsidRPr="008B262F">
        <w:rPr>
          <w:color w:val="000000"/>
          <w:sz w:val="22"/>
          <w:szCs w:val="22"/>
        </w:rPr>
        <w:t xml:space="preserve"> and associated jurisprudence in the US</w:t>
      </w:r>
      <w:r w:rsidRPr="008B262F">
        <w:rPr>
          <w:color w:val="000000"/>
          <w:sz w:val="22"/>
          <w:szCs w:val="22"/>
        </w:rPr>
        <w:t>. Specifically, the</w:t>
      </w:r>
      <w:r w:rsidR="00A6797F" w:rsidRPr="008B262F">
        <w:rPr>
          <w:color w:val="000000"/>
          <w:sz w:val="22"/>
          <w:szCs w:val="22"/>
        </w:rPr>
        <w:t xml:space="preserve"> marking out of identity differences, acts of injury, and the intimacy between victims and offenders</w:t>
      </w:r>
      <w:r w:rsidR="00867612" w:rsidRPr="008B262F">
        <w:rPr>
          <w:color w:val="000000"/>
          <w:sz w:val="22"/>
          <w:szCs w:val="22"/>
        </w:rPr>
        <w:t>,</w:t>
      </w:r>
      <w:r w:rsidR="007F77D6">
        <w:rPr>
          <w:color w:val="000000"/>
          <w:sz w:val="22"/>
          <w:szCs w:val="22"/>
        </w:rPr>
        <w:t xml:space="preserve"> is key to the construction of hate</w:t>
      </w:r>
      <w:r w:rsidR="00A6797F" w:rsidRPr="008B262F">
        <w:rPr>
          <w:color w:val="000000"/>
          <w:sz w:val="22"/>
          <w:szCs w:val="22"/>
        </w:rPr>
        <w:t xml:space="preserve"> in pro-LGBTI criminal law reform. In recent decades</w:t>
      </w:r>
      <w:r w:rsidR="00A56272" w:rsidRPr="008B262F">
        <w:rPr>
          <w:color w:val="000000"/>
          <w:sz w:val="22"/>
          <w:szCs w:val="22"/>
        </w:rPr>
        <w:t xml:space="preserve">, the recognition of homophobic and </w:t>
      </w:r>
      <w:r w:rsidR="00A6797F" w:rsidRPr="008B262F">
        <w:rPr>
          <w:color w:val="000000"/>
          <w:sz w:val="22"/>
          <w:szCs w:val="22"/>
        </w:rPr>
        <w:t>transphobic violence has precipitated public demands for criminalisation to deal with what is oft</w:t>
      </w:r>
      <w:r w:rsidR="007F77D6">
        <w:rPr>
          <w:color w:val="000000"/>
          <w:sz w:val="22"/>
          <w:szCs w:val="22"/>
        </w:rPr>
        <w:t>en colloquially referred to as ‘hate crimes’</w:t>
      </w:r>
      <w:r w:rsidR="00A6797F" w:rsidRPr="008B262F">
        <w:rPr>
          <w:color w:val="000000"/>
          <w:sz w:val="22"/>
          <w:szCs w:val="22"/>
        </w:rPr>
        <w:t xml:space="preserve">. This demand reflects a remarkable shift in the positioning of queer bodies in the criminal law: homosexual criminalisation is replaced by a criminalisation of (some) homophobes. </w:t>
      </w:r>
      <w:r w:rsidR="00437EC6">
        <w:rPr>
          <w:color w:val="000000"/>
          <w:sz w:val="22"/>
          <w:szCs w:val="22"/>
        </w:rPr>
        <w:t>T</w:t>
      </w:r>
      <w:r w:rsidR="000B07BA">
        <w:rPr>
          <w:color w:val="000000"/>
          <w:sz w:val="22"/>
          <w:szCs w:val="22"/>
        </w:rPr>
        <w:t xml:space="preserve">he violent homophobe is a queer body because they disturb a social order purporting to ‘tolerate’ sexual difference. Like the formerly criminalised homosexual, criminalised homophobes act in ways that cannot be socially assimilated. </w:t>
      </w:r>
      <w:r w:rsidR="00A6797F" w:rsidRPr="008B262F">
        <w:rPr>
          <w:color w:val="000000"/>
          <w:sz w:val="22"/>
          <w:szCs w:val="22"/>
        </w:rPr>
        <w:t xml:space="preserve">As Ely Aharonson observes, </w:t>
      </w:r>
      <w:r w:rsidR="00437EC6">
        <w:rPr>
          <w:color w:val="000000"/>
          <w:sz w:val="22"/>
          <w:szCs w:val="22"/>
        </w:rPr>
        <w:t>this</w:t>
      </w:r>
      <w:r w:rsidR="00A6797F" w:rsidRPr="008B262F">
        <w:rPr>
          <w:color w:val="000000"/>
          <w:sz w:val="22"/>
          <w:szCs w:val="22"/>
        </w:rPr>
        <w:t xml:space="preserve"> shift towards criminalisation </w:t>
      </w:r>
      <w:r w:rsidR="00437EC6">
        <w:rPr>
          <w:color w:val="000000"/>
          <w:sz w:val="22"/>
          <w:szCs w:val="22"/>
        </w:rPr>
        <w:t>is about</w:t>
      </w:r>
      <w:r w:rsidR="00A6797F" w:rsidRPr="008B262F">
        <w:rPr>
          <w:color w:val="000000"/>
          <w:sz w:val="22"/>
          <w:szCs w:val="22"/>
        </w:rPr>
        <w:t xml:space="preserve"> citizenship: hate crimes are imagined as a threat to the state’s </w:t>
      </w:r>
      <w:r w:rsidR="007F77D6">
        <w:rPr>
          <w:color w:val="000000"/>
          <w:sz w:val="22"/>
          <w:szCs w:val="22"/>
        </w:rPr>
        <w:t xml:space="preserve">interest in equality, and thus ‘pro-minority criminalisation’ </w:t>
      </w:r>
      <w:r w:rsidR="00A6797F" w:rsidRPr="008B262F">
        <w:rPr>
          <w:color w:val="000000"/>
          <w:sz w:val="22"/>
          <w:szCs w:val="22"/>
        </w:rPr>
        <w:t>becomes a strategy for reasserting i</w:t>
      </w:r>
      <w:r w:rsidR="007F77D6">
        <w:rPr>
          <w:color w:val="000000"/>
          <w:sz w:val="22"/>
          <w:szCs w:val="22"/>
        </w:rPr>
        <w:t>deals of egalitarian citizenship</w:t>
      </w:r>
      <w:r w:rsidR="00A6797F" w:rsidRPr="008B262F">
        <w:rPr>
          <w:color w:val="000000"/>
          <w:sz w:val="22"/>
          <w:szCs w:val="22"/>
        </w:rPr>
        <w:t>.</w:t>
      </w:r>
      <w:r w:rsidR="00B95B5F">
        <w:rPr>
          <w:rStyle w:val="EndnoteReference"/>
          <w:color w:val="000000"/>
          <w:sz w:val="22"/>
          <w:szCs w:val="22"/>
        </w:rPr>
        <w:endnoteReference w:id="36"/>
      </w:r>
      <w:r w:rsidR="00A6797F" w:rsidRPr="008B262F">
        <w:rPr>
          <w:color w:val="000000"/>
          <w:sz w:val="22"/>
          <w:szCs w:val="22"/>
        </w:rPr>
        <w:t xml:space="preserve"> Communities, in addition to in</w:t>
      </w:r>
      <w:r w:rsidR="007F77D6">
        <w:rPr>
          <w:color w:val="000000"/>
          <w:sz w:val="22"/>
          <w:szCs w:val="22"/>
        </w:rPr>
        <w:t>dividual citizens, are seen as injured</w:t>
      </w:r>
      <w:r w:rsidR="00A6797F" w:rsidRPr="008B262F">
        <w:rPr>
          <w:color w:val="000000"/>
          <w:sz w:val="22"/>
          <w:szCs w:val="22"/>
        </w:rPr>
        <w:t xml:space="preserve"> by </w:t>
      </w:r>
      <w:r w:rsidR="000B07BA">
        <w:rPr>
          <w:color w:val="000000"/>
          <w:sz w:val="22"/>
          <w:szCs w:val="22"/>
        </w:rPr>
        <w:t>hate</w:t>
      </w:r>
      <w:r w:rsidR="000B07BA" w:rsidRPr="008B262F">
        <w:rPr>
          <w:color w:val="000000"/>
          <w:sz w:val="22"/>
          <w:szCs w:val="22"/>
        </w:rPr>
        <w:t xml:space="preserve"> </w:t>
      </w:r>
      <w:r w:rsidR="00A6797F" w:rsidRPr="008B262F">
        <w:rPr>
          <w:color w:val="000000"/>
          <w:sz w:val="22"/>
          <w:szCs w:val="22"/>
        </w:rPr>
        <w:t xml:space="preserve">crimes. </w:t>
      </w:r>
    </w:p>
    <w:p w14:paraId="48F23DC3" w14:textId="2D4DDEBB" w:rsidR="00A6797F" w:rsidRPr="008B262F" w:rsidRDefault="00A6797F" w:rsidP="0007256A">
      <w:pPr>
        <w:spacing w:line="480" w:lineRule="auto"/>
        <w:ind w:firstLine="720"/>
        <w:jc w:val="both"/>
        <w:rPr>
          <w:color w:val="000000"/>
          <w:sz w:val="22"/>
          <w:szCs w:val="22"/>
        </w:rPr>
      </w:pPr>
      <w:r w:rsidRPr="008B262F">
        <w:rPr>
          <w:color w:val="000000"/>
          <w:sz w:val="22"/>
          <w:szCs w:val="22"/>
        </w:rPr>
        <w:t xml:space="preserve">In the </w:t>
      </w:r>
      <w:r w:rsidR="00202EE4" w:rsidRPr="008B262F">
        <w:rPr>
          <w:color w:val="000000"/>
          <w:sz w:val="22"/>
          <w:szCs w:val="22"/>
        </w:rPr>
        <w:t>US</w:t>
      </w:r>
      <w:r w:rsidRPr="008B262F">
        <w:rPr>
          <w:color w:val="000000"/>
          <w:sz w:val="22"/>
          <w:szCs w:val="22"/>
        </w:rPr>
        <w:t>, following the brutal murders of James Byrd Jr. and Matthew Shepard, there was overwhelming activist mobilisation demanding federal penalties for racist and homophobic violence.</w:t>
      </w:r>
      <w:r w:rsidR="00B95B5F">
        <w:rPr>
          <w:rStyle w:val="EndnoteReference"/>
          <w:color w:val="000000"/>
          <w:sz w:val="22"/>
          <w:szCs w:val="22"/>
        </w:rPr>
        <w:endnoteReference w:id="37"/>
      </w:r>
      <w:r w:rsidR="006B27B5" w:rsidRPr="008B262F">
        <w:rPr>
          <w:color w:val="000000"/>
          <w:sz w:val="22"/>
          <w:szCs w:val="22"/>
        </w:rPr>
        <w:t xml:space="preserve"> </w:t>
      </w:r>
      <w:r w:rsidRPr="008B262F">
        <w:rPr>
          <w:color w:val="000000"/>
          <w:sz w:val="22"/>
          <w:szCs w:val="22"/>
        </w:rPr>
        <w:t xml:space="preserve">It is important to note that while the US Congress had previously enacted the </w:t>
      </w:r>
      <w:r w:rsidRPr="008B262F">
        <w:rPr>
          <w:i/>
          <w:color w:val="000000"/>
          <w:sz w:val="22"/>
          <w:szCs w:val="22"/>
        </w:rPr>
        <w:t>Hate Crimes Statistics Act of 1990</w:t>
      </w:r>
      <w:r w:rsidRPr="008B262F">
        <w:rPr>
          <w:color w:val="000000"/>
          <w:sz w:val="22"/>
          <w:szCs w:val="22"/>
        </w:rPr>
        <w:t xml:space="preserve">, the federal impetus to investigate hate crimes was </w:t>
      </w:r>
      <w:r w:rsidR="00846DF9">
        <w:rPr>
          <w:color w:val="000000"/>
          <w:sz w:val="22"/>
          <w:szCs w:val="22"/>
        </w:rPr>
        <w:t>limited</w:t>
      </w:r>
      <w:r w:rsidRPr="008B262F">
        <w:rPr>
          <w:color w:val="000000"/>
          <w:sz w:val="22"/>
          <w:szCs w:val="22"/>
        </w:rPr>
        <w:t xml:space="preserve"> to data collection rather than individual prosecutions (as the acts in question were otherwise criminal already). Such legislation was subject to enormous critique for its discretionary application and lack of punitive effects.</w:t>
      </w:r>
      <w:r w:rsidR="00B95B5F">
        <w:rPr>
          <w:rStyle w:val="EndnoteReference"/>
          <w:color w:val="000000"/>
          <w:sz w:val="22"/>
          <w:szCs w:val="22"/>
        </w:rPr>
        <w:endnoteReference w:id="38"/>
      </w:r>
      <w:r w:rsidR="00C8594A" w:rsidRPr="008B262F">
        <w:rPr>
          <w:color w:val="000000"/>
          <w:sz w:val="22"/>
          <w:szCs w:val="22"/>
        </w:rPr>
        <w:t xml:space="preserve"> </w:t>
      </w:r>
      <w:r w:rsidRPr="008B262F">
        <w:rPr>
          <w:color w:val="000000"/>
          <w:sz w:val="22"/>
          <w:szCs w:val="22"/>
        </w:rPr>
        <w:t>The legislation also failed to account for gender-identity-motivated violence. Hate crime was being recorded, but little was being done at a federal level to prevent it. Legislation was introduced following those two highly publicised homicides as an attempt to supplement the perceived statutory deficiencies.</w:t>
      </w:r>
      <w:r w:rsidR="00B95B5F">
        <w:rPr>
          <w:rStyle w:val="EndnoteReference"/>
          <w:color w:val="000000"/>
          <w:sz w:val="22"/>
          <w:szCs w:val="22"/>
        </w:rPr>
        <w:endnoteReference w:id="39"/>
      </w:r>
      <w:r w:rsidRPr="008B262F">
        <w:rPr>
          <w:color w:val="000000"/>
          <w:sz w:val="22"/>
          <w:szCs w:val="22"/>
        </w:rPr>
        <w:t xml:space="preserve"> </w:t>
      </w:r>
      <w:r w:rsidR="008B162B" w:rsidRPr="008B262F">
        <w:rPr>
          <w:color w:val="000000"/>
          <w:sz w:val="22"/>
          <w:szCs w:val="22"/>
        </w:rPr>
        <w:t xml:space="preserve">Former </w:t>
      </w:r>
      <w:r w:rsidRPr="008B262F">
        <w:rPr>
          <w:color w:val="000000"/>
          <w:sz w:val="22"/>
          <w:szCs w:val="22"/>
        </w:rPr>
        <w:t xml:space="preserve">US President Barack Obama, in commemorating the enactment of the </w:t>
      </w:r>
      <w:r w:rsidRPr="008B262F">
        <w:rPr>
          <w:i/>
          <w:color w:val="000000"/>
          <w:sz w:val="22"/>
          <w:szCs w:val="22"/>
        </w:rPr>
        <w:t>Hate Crimes Prevention Act</w:t>
      </w:r>
      <w:r w:rsidRPr="008B262F">
        <w:rPr>
          <w:color w:val="000000"/>
          <w:sz w:val="22"/>
          <w:szCs w:val="22"/>
        </w:rPr>
        <w:t>,</w:t>
      </w:r>
      <w:r w:rsidRPr="008B262F">
        <w:rPr>
          <w:i/>
          <w:color w:val="000000"/>
          <w:sz w:val="22"/>
          <w:szCs w:val="22"/>
        </w:rPr>
        <w:t xml:space="preserve"> </w:t>
      </w:r>
      <w:r w:rsidR="007F77D6">
        <w:rPr>
          <w:color w:val="000000"/>
          <w:sz w:val="22"/>
          <w:szCs w:val="22"/>
        </w:rPr>
        <w:t>emphasised that ‘</w:t>
      </w:r>
      <w:r w:rsidRPr="008B262F">
        <w:rPr>
          <w:color w:val="000000"/>
          <w:sz w:val="22"/>
          <w:szCs w:val="22"/>
        </w:rPr>
        <w:t>no one in America should ever be afraid to walk down the street holding th</w:t>
      </w:r>
      <w:r w:rsidR="007F77D6">
        <w:rPr>
          <w:color w:val="000000"/>
          <w:sz w:val="22"/>
          <w:szCs w:val="22"/>
        </w:rPr>
        <w:t>e hands of the person they love’</w:t>
      </w:r>
      <w:r w:rsidRPr="008B262F">
        <w:rPr>
          <w:color w:val="000000"/>
          <w:sz w:val="22"/>
          <w:szCs w:val="22"/>
        </w:rPr>
        <w:t>.</w:t>
      </w:r>
      <w:r w:rsidR="00B95B5F">
        <w:rPr>
          <w:rStyle w:val="EndnoteReference"/>
          <w:color w:val="000000"/>
          <w:sz w:val="22"/>
          <w:szCs w:val="22"/>
        </w:rPr>
        <w:endnoteReference w:id="40"/>
      </w:r>
      <w:r w:rsidR="007F77D6">
        <w:rPr>
          <w:color w:val="000000"/>
          <w:sz w:val="22"/>
          <w:szCs w:val="22"/>
        </w:rPr>
        <w:t xml:space="preserve"> He continued, ‘</w:t>
      </w:r>
      <w:r w:rsidRPr="008B262F">
        <w:rPr>
          <w:color w:val="000000"/>
          <w:sz w:val="22"/>
          <w:szCs w:val="22"/>
        </w:rPr>
        <w:t>we must stand against crimes that are meant not only to br</w:t>
      </w:r>
      <w:r w:rsidR="007F77D6">
        <w:rPr>
          <w:color w:val="000000"/>
          <w:sz w:val="22"/>
          <w:szCs w:val="22"/>
        </w:rPr>
        <w:t>eak bones, but to break spirits’</w:t>
      </w:r>
      <w:r w:rsidRPr="008B262F">
        <w:rPr>
          <w:color w:val="000000"/>
          <w:sz w:val="22"/>
          <w:szCs w:val="22"/>
        </w:rPr>
        <w:t>.</w:t>
      </w:r>
      <w:r w:rsidR="00B95B5F">
        <w:rPr>
          <w:rStyle w:val="EndnoteReference"/>
          <w:color w:val="000000"/>
          <w:sz w:val="22"/>
          <w:szCs w:val="22"/>
        </w:rPr>
        <w:endnoteReference w:id="41"/>
      </w:r>
      <w:r w:rsidRPr="008B262F">
        <w:rPr>
          <w:color w:val="000000"/>
          <w:sz w:val="22"/>
          <w:szCs w:val="22"/>
        </w:rPr>
        <w:t xml:space="preserve"> Here,</w:t>
      </w:r>
      <w:r w:rsidR="007F77D6">
        <w:rPr>
          <w:color w:val="000000"/>
          <w:sz w:val="22"/>
          <w:szCs w:val="22"/>
        </w:rPr>
        <w:t xml:space="preserve"> love and hope were invoked to ‘stand’ </w:t>
      </w:r>
      <w:r w:rsidRPr="008B262F">
        <w:rPr>
          <w:color w:val="000000"/>
          <w:sz w:val="22"/>
          <w:szCs w:val="22"/>
        </w:rPr>
        <w:t xml:space="preserve">against the fears and injuries generated by hate crime. </w:t>
      </w:r>
    </w:p>
    <w:p w14:paraId="10383A42" w14:textId="405DF16A" w:rsidR="00A6797F" w:rsidRPr="008B262F" w:rsidRDefault="00A6797F" w:rsidP="00A6797F">
      <w:pPr>
        <w:spacing w:line="480" w:lineRule="auto"/>
        <w:ind w:firstLine="720"/>
        <w:jc w:val="both"/>
        <w:rPr>
          <w:color w:val="000000"/>
          <w:sz w:val="22"/>
          <w:szCs w:val="22"/>
        </w:rPr>
      </w:pPr>
      <w:r w:rsidRPr="008B262F">
        <w:rPr>
          <w:color w:val="000000"/>
          <w:sz w:val="22"/>
          <w:szCs w:val="22"/>
        </w:rPr>
        <w:t>Reading this presidential pronouncement</w:t>
      </w:r>
      <w:r w:rsidR="00760B76" w:rsidRPr="008B262F">
        <w:rPr>
          <w:color w:val="000000"/>
          <w:sz w:val="22"/>
          <w:szCs w:val="22"/>
        </w:rPr>
        <w:t xml:space="preserve"> affectively</w:t>
      </w:r>
      <w:r w:rsidRPr="008B262F">
        <w:rPr>
          <w:color w:val="000000"/>
          <w:sz w:val="22"/>
          <w:szCs w:val="22"/>
        </w:rPr>
        <w:t>, we can observe how the claim to optimism and futurity marks a contrast to the treat</w:t>
      </w:r>
      <w:r w:rsidR="003F6B39" w:rsidRPr="008B262F">
        <w:rPr>
          <w:color w:val="000000"/>
          <w:sz w:val="22"/>
          <w:szCs w:val="22"/>
        </w:rPr>
        <w:t>ment of homosexuality as threat</w:t>
      </w:r>
      <w:r w:rsidR="00760B76" w:rsidRPr="008B262F">
        <w:rPr>
          <w:color w:val="000000"/>
          <w:sz w:val="22"/>
          <w:szCs w:val="22"/>
        </w:rPr>
        <w:t>.</w:t>
      </w:r>
      <w:r w:rsidRPr="008B262F">
        <w:rPr>
          <w:color w:val="000000"/>
          <w:sz w:val="22"/>
          <w:szCs w:val="22"/>
        </w:rPr>
        <w:t xml:space="preserve"> Instead of (partially) locating responsibility for death on the </w:t>
      </w:r>
      <w:r w:rsidR="007F77D6">
        <w:rPr>
          <w:color w:val="000000"/>
          <w:sz w:val="22"/>
          <w:szCs w:val="22"/>
        </w:rPr>
        <w:t>victim’s sexually assertive or ‘threatening’</w:t>
      </w:r>
      <w:r w:rsidRPr="008B262F">
        <w:rPr>
          <w:color w:val="000000"/>
          <w:sz w:val="22"/>
          <w:szCs w:val="22"/>
        </w:rPr>
        <w:t xml:space="preserve"> behaviour, hate crime laws work to refuse what Obama refer</w:t>
      </w:r>
      <w:r w:rsidR="007F77D6">
        <w:rPr>
          <w:color w:val="000000"/>
          <w:sz w:val="22"/>
          <w:szCs w:val="22"/>
        </w:rPr>
        <w:t>red to here as the crimes that ‘break spirits’</w:t>
      </w:r>
      <w:r w:rsidRPr="008B262F">
        <w:rPr>
          <w:color w:val="000000"/>
          <w:sz w:val="22"/>
          <w:szCs w:val="22"/>
        </w:rPr>
        <w:t xml:space="preserve">. </w:t>
      </w:r>
      <w:r w:rsidR="00846DF9">
        <w:rPr>
          <w:color w:val="000000"/>
          <w:sz w:val="22"/>
          <w:szCs w:val="22"/>
        </w:rPr>
        <w:t>Obama</w:t>
      </w:r>
      <w:r w:rsidRPr="008B262F">
        <w:rPr>
          <w:color w:val="000000"/>
          <w:sz w:val="22"/>
          <w:szCs w:val="22"/>
        </w:rPr>
        <w:t xml:space="preserve"> invoked</w:t>
      </w:r>
      <w:r w:rsidR="00846DF9">
        <w:rPr>
          <w:color w:val="000000"/>
          <w:sz w:val="22"/>
          <w:szCs w:val="22"/>
        </w:rPr>
        <w:t xml:space="preserve"> hate crime law</w:t>
      </w:r>
      <w:r w:rsidRPr="008B262F">
        <w:rPr>
          <w:color w:val="000000"/>
          <w:sz w:val="22"/>
          <w:szCs w:val="22"/>
        </w:rPr>
        <w:t xml:space="preserve"> </w:t>
      </w:r>
      <w:r w:rsidR="007F77D6">
        <w:rPr>
          <w:color w:val="000000"/>
          <w:sz w:val="22"/>
          <w:szCs w:val="22"/>
        </w:rPr>
        <w:t>as both the recognition of the ‘seriousness’</w:t>
      </w:r>
      <w:r w:rsidRPr="008B262F">
        <w:rPr>
          <w:color w:val="000000"/>
          <w:sz w:val="22"/>
          <w:szCs w:val="22"/>
        </w:rPr>
        <w:t xml:space="preserve"> of such viol</w:t>
      </w:r>
      <w:r w:rsidR="007F77D6">
        <w:rPr>
          <w:color w:val="000000"/>
          <w:sz w:val="22"/>
          <w:szCs w:val="22"/>
        </w:rPr>
        <w:t>ence and the remedy capable of ‘healing’</w:t>
      </w:r>
      <w:r w:rsidRPr="008B262F">
        <w:rPr>
          <w:color w:val="000000"/>
          <w:sz w:val="22"/>
          <w:szCs w:val="22"/>
        </w:rPr>
        <w:t xml:space="preserve"> insecurity within the community (in this instance, the gay and lesbian community). Obama’s celebration of hate crime legislation operated at the level of metaphor: </w:t>
      </w:r>
      <w:r w:rsidR="00846DF9">
        <w:rPr>
          <w:color w:val="000000"/>
          <w:sz w:val="22"/>
          <w:szCs w:val="22"/>
        </w:rPr>
        <w:t>non-heterosexuality</w:t>
      </w:r>
      <w:r w:rsidRPr="008B262F">
        <w:rPr>
          <w:color w:val="000000"/>
          <w:sz w:val="22"/>
          <w:szCs w:val="22"/>
        </w:rPr>
        <w:t xml:space="preserve"> was particularised through sentimental and uncontrov</w:t>
      </w:r>
      <w:r w:rsidR="007F77D6">
        <w:rPr>
          <w:color w:val="000000"/>
          <w:sz w:val="22"/>
          <w:szCs w:val="22"/>
        </w:rPr>
        <w:t>ersial tropes such as love and ‘holding hands’</w:t>
      </w:r>
      <w:r w:rsidRPr="008B262F">
        <w:rPr>
          <w:color w:val="000000"/>
          <w:sz w:val="22"/>
          <w:szCs w:val="22"/>
        </w:rPr>
        <w:t>. The non</w:t>
      </w:r>
      <w:r w:rsidRPr="008B262F">
        <w:rPr>
          <w:color w:val="000000"/>
          <w:sz w:val="22"/>
          <w:szCs w:val="22"/>
        </w:rPr>
        <w:noBreakHyphen/>
        <w:t>explicit intimate bonds between two people were marked out as worthy of protecti</w:t>
      </w:r>
      <w:r w:rsidR="007F77D6">
        <w:rPr>
          <w:color w:val="000000"/>
          <w:sz w:val="22"/>
          <w:szCs w:val="22"/>
        </w:rPr>
        <w:t>on. In other words, queers who love</w:t>
      </w:r>
      <w:r w:rsidRPr="008B262F">
        <w:rPr>
          <w:color w:val="000000"/>
          <w:sz w:val="22"/>
          <w:szCs w:val="22"/>
        </w:rPr>
        <w:t xml:space="preserve"> by exhibiting romantic intimacies or domesticated identities were to be protected from the brutality of injury. </w:t>
      </w:r>
    </w:p>
    <w:p w14:paraId="581FB657" w14:textId="58911236" w:rsidR="00A6797F" w:rsidRPr="008B262F" w:rsidRDefault="00A6797F" w:rsidP="00A6797F">
      <w:pPr>
        <w:spacing w:line="480" w:lineRule="auto"/>
        <w:ind w:firstLine="720"/>
        <w:jc w:val="both"/>
        <w:rPr>
          <w:color w:val="000000"/>
          <w:sz w:val="22"/>
          <w:szCs w:val="22"/>
        </w:rPr>
      </w:pPr>
      <w:r w:rsidRPr="008B262F">
        <w:rPr>
          <w:color w:val="000000"/>
          <w:sz w:val="22"/>
          <w:szCs w:val="22"/>
        </w:rPr>
        <w:t>Criminalising hate crime requires more than holding individual offenders accountable for ill feeling or acts of violence. Legislative responses seek to secure the civil rights of subordinated groups through punitive sanctions directed against violent bigots. They signify a number of emotional investments primarily by invoking a public urgency to address homophobia and restore social order.</w:t>
      </w:r>
      <w:r w:rsidR="000E4BF6">
        <w:rPr>
          <w:rStyle w:val="EndnoteReference"/>
          <w:color w:val="000000"/>
          <w:sz w:val="22"/>
          <w:szCs w:val="22"/>
        </w:rPr>
        <w:endnoteReference w:id="42"/>
      </w:r>
      <w:r w:rsidRPr="008B262F">
        <w:rPr>
          <w:color w:val="000000"/>
          <w:sz w:val="22"/>
          <w:szCs w:val="22"/>
        </w:rPr>
        <w:t xml:space="preserve"> In the </w:t>
      </w:r>
      <w:r w:rsidRPr="008B262F">
        <w:rPr>
          <w:i/>
          <w:color w:val="000000"/>
          <w:sz w:val="22"/>
          <w:szCs w:val="22"/>
        </w:rPr>
        <w:t>Hate Crimes Prevention Act</w:t>
      </w:r>
      <w:r w:rsidR="007F77D6">
        <w:rPr>
          <w:color w:val="000000"/>
          <w:sz w:val="22"/>
          <w:szCs w:val="22"/>
        </w:rPr>
        <w:t>, the ‘findings’</w:t>
      </w:r>
      <w:r w:rsidRPr="008B262F">
        <w:rPr>
          <w:color w:val="000000"/>
          <w:sz w:val="22"/>
          <w:szCs w:val="22"/>
        </w:rPr>
        <w:t xml:space="preserve"> </w:t>
      </w:r>
      <w:r w:rsidR="00846DF9">
        <w:rPr>
          <w:color w:val="000000"/>
          <w:sz w:val="22"/>
          <w:szCs w:val="22"/>
        </w:rPr>
        <w:t xml:space="preserve">preamble </w:t>
      </w:r>
      <w:r w:rsidRPr="008B262F">
        <w:rPr>
          <w:color w:val="000000"/>
          <w:sz w:val="22"/>
          <w:szCs w:val="22"/>
        </w:rPr>
        <w:t>note</w:t>
      </w:r>
      <w:r w:rsidR="00846DF9">
        <w:rPr>
          <w:color w:val="000000"/>
          <w:sz w:val="22"/>
          <w:szCs w:val="22"/>
        </w:rPr>
        <w:t>s</w:t>
      </w:r>
      <w:r w:rsidR="007F77D6">
        <w:rPr>
          <w:color w:val="000000"/>
          <w:sz w:val="22"/>
          <w:szCs w:val="22"/>
        </w:rPr>
        <w:t xml:space="preserve"> that hate crime ‘</w:t>
      </w:r>
      <w:r w:rsidRPr="008B262F">
        <w:rPr>
          <w:color w:val="000000"/>
          <w:sz w:val="22"/>
          <w:szCs w:val="22"/>
        </w:rPr>
        <w:t>disrupts the tranqui</w:t>
      </w:r>
      <w:r w:rsidR="007F77D6">
        <w:rPr>
          <w:color w:val="000000"/>
          <w:sz w:val="22"/>
          <w:szCs w:val="22"/>
        </w:rPr>
        <w:t>llity and safety of communities’</w:t>
      </w:r>
      <w:r w:rsidRPr="008B262F">
        <w:rPr>
          <w:color w:val="000000"/>
          <w:sz w:val="22"/>
          <w:szCs w:val="22"/>
        </w:rPr>
        <w:t>.</w:t>
      </w:r>
      <w:r w:rsidR="000E4BF6">
        <w:rPr>
          <w:rStyle w:val="EndnoteReference"/>
          <w:color w:val="000000"/>
          <w:sz w:val="22"/>
          <w:szCs w:val="22"/>
        </w:rPr>
        <w:endnoteReference w:id="43"/>
      </w:r>
      <w:r w:rsidRPr="008B262F">
        <w:rPr>
          <w:color w:val="000000"/>
          <w:sz w:val="22"/>
          <w:szCs w:val="22"/>
        </w:rPr>
        <w:t xml:space="preserve"> The findings also go </w:t>
      </w:r>
      <w:r w:rsidR="007F77D6">
        <w:rPr>
          <w:color w:val="000000"/>
          <w:sz w:val="22"/>
          <w:szCs w:val="22"/>
        </w:rPr>
        <w:t>on to state that such violence ‘</w:t>
      </w:r>
      <w:r w:rsidRPr="008B262F">
        <w:rPr>
          <w:color w:val="000000"/>
          <w:sz w:val="22"/>
          <w:szCs w:val="22"/>
        </w:rPr>
        <w:t>devastates not just the actual victim and the family and friends of the victim, but frequently savages the community sharing the traits that c</w:t>
      </w:r>
      <w:r w:rsidR="007F77D6">
        <w:rPr>
          <w:color w:val="000000"/>
          <w:sz w:val="22"/>
          <w:szCs w:val="22"/>
        </w:rPr>
        <w:t>aused the victim to be selected’</w:t>
      </w:r>
      <w:r w:rsidRPr="008B262F">
        <w:rPr>
          <w:color w:val="000000"/>
          <w:sz w:val="22"/>
          <w:szCs w:val="22"/>
        </w:rPr>
        <w:t>.</w:t>
      </w:r>
      <w:r w:rsidR="000E4BF6">
        <w:rPr>
          <w:rStyle w:val="EndnoteReference"/>
          <w:color w:val="000000"/>
          <w:sz w:val="22"/>
          <w:szCs w:val="22"/>
        </w:rPr>
        <w:endnoteReference w:id="44"/>
      </w:r>
      <w:r w:rsidRPr="008B262F">
        <w:rPr>
          <w:color w:val="000000"/>
          <w:sz w:val="22"/>
          <w:szCs w:val="22"/>
        </w:rPr>
        <w:t xml:space="preserve"> The legislation purports to recognise the intimate associations between the victims, their families, and the broader community to which the victims belong. In doing so, it imagines the national community as tolerant and inclusive and casts those who would be liable under the Act as violent interlopers in the community. </w:t>
      </w:r>
    </w:p>
    <w:p w14:paraId="53A30291" w14:textId="6DAA8173" w:rsidR="00A6797F" w:rsidRPr="008B262F" w:rsidRDefault="00A6797F" w:rsidP="00A6797F">
      <w:pPr>
        <w:spacing w:line="480" w:lineRule="auto"/>
        <w:ind w:firstLine="720"/>
        <w:jc w:val="both"/>
        <w:rPr>
          <w:color w:val="000000"/>
          <w:sz w:val="22"/>
          <w:szCs w:val="22"/>
        </w:rPr>
      </w:pPr>
      <w:r w:rsidRPr="008B262F">
        <w:rPr>
          <w:color w:val="000000"/>
          <w:sz w:val="22"/>
          <w:szCs w:val="22"/>
        </w:rPr>
        <w:t xml:space="preserve">This is a process in which homophobes, instead of homosexuals, are made queer </w:t>
      </w:r>
      <w:r w:rsidR="0073437D">
        <w:rPr>
          <w:color w:val="000000"/>
          <w:sz w:val="22"/>
          <w:szCs w:val="22"/>
        </w:rPr>
        <w:t xml:space="preserve">(in the sense that they are socially deviant) </w:t>
      </w:r>
      <w:r w:rsidRPr="008B262F">
        <w:rPr>
          <w:color w:val="000000"/>
          <w:sz w:val="22"/>
          <w:szCs w:val="22"/>
        </w:rPr>
        <w:t xml:space="preserve">to the community. In discussing the </w:t>
      </w:r>
      <w:r w:rsidRPr="008B262F">
        <w:rPr>
          <w:i/>
          <w:color w:val="000000"/>
          <w:sz w:val="22"/>
          <w:szCs w:val="22"/>
        </w:rPr>
        <w:t>Hate Crimes Prevention Act</w:t>
      </w:r>
      <w:r w:rsidRPr="008B262F">
        <w:rPr>
          <w:color w:val="000000"/>
          <w:sz w:val="22"/>
          <w:szCs w:val="22"/>
        </w:rPr>
        <w:t xml:space="preserve">, Obama’s </w:t>
      </w:r>
      <w:r w:rsidR="007F77D6">
        <w:rPr>
          <w:color w:val="000000"/>
          <w:sz w:val="22"/>
          <w:szCs w:val="22"/>
        </w:rPr>
        <w:t>analogising of hate crime with ‘</w:t>
      </w:r>
      <w:r w:rsidRPr="008B262F">
        <w:rPr>
          <w:color w:val="000000"/>
          <w:sz w:val="22"/>
          <w:szCs w:val="22"/>
        </w:rPr>
        <w:t>sava</w:t>
      </w:r>
      <w:r w:rsidR="007F77D6">
        <w:rPr>
          <w:color w:val="000000"/>
          <w:sz w:val="22"/>
          <w:szCs w:val="22"/>
        </w:rPr>
        <w:t>gery’</w:t>
      </w:r>
      <w:r w:rsidRPr="008B262F">
        <w:rPr>
          <w:color w:val="000000"/>
          <w:sz w:val="22"/>
          <w:szCs w:val="22"/>
        </w:rPr>
        <w:t xml:space="preserve"> stigmatised offenders as barbaric or uncivilised, while his comments sentimentalised the com</w:t>
      </w:r>
      <w:r w:rsidR="007F77D6">
        <w:rPr>
          <w:color w:val="000000"/>
          <w:sz w:val="22"/>
          <w:szCs w:val="22"/>
        </w:rPr>
        <w:t>munity as a homogenous site of ‘tranquillity’</w:t>
      </w:r>
      <w:r w:rsidRPr="008B262F">
        <w:rPr>
          <w:color w:val="000000"/>
          <w:sz w:val="22"/>
          <w:szCs w:val="22"/>
        </w:rPr>
        <w:t>. In sentimentalising the community as always already safe and welcoming, Obama deemed those who ex</w:t>
      </w:r>
      <w:r w:rsidR="00707422" w:rsidRPr="008B262F">
        <w:rPr>
          <w:color w:val="000000"/>
          <w:sz w:val="22"/>
          <w:szCs w:val="22"/>
        </w:rPr>
        <w:t>pressed violent homophobia as lacking</w:t>
      </w:r>
      <w:r w:rsidRPr="008B262F">
        <w:rPr>
          <w:color w:val="000000"/>
          <w:sz w:val="22"/>
          <w:szCs w:val="22"/>
        </w:rPr>
        <w:t xml:space="preserve"> self</w:t>
      </w:r>
      <w:r w:rsidR="003F6B39" w:rsidRPr="008B262F">
        <w:rPr>
          <w:color w:val="000000"/>
          <w:sz w:val="22"/>
          <w:szCs w:val="22"/>
        </w:rPr>
        <w:noBreakHyphen/>
        <w:t>control. These individuals beca</w:t>
      </w:r>
      <w:r w:rsidRPr="008B262F">
        <w:rPr>
          <w:color w:val="000000"/>
          <w:sz w:val="22"/>
          <w:szCs w:val="22"/>
        </w:rPr>
        <w:t>me emotional</w:t>
      </w:r>
      <w:r w:rsidR="007F77D6">
        <w:rPr>
          <w:color w:val="000000"/>
          <w:sz w:val="22"/>
          <w:szCs w:val="22"/>
        </w:rPr>
        <w:t>ly aberrant by virtue of their savage</w:t>
      </w:r>
      <w:r w:rsidRPr="008B262F">
        <w:rPr>
          <w:color w:val="000000"/>
          <w:sz w:val="22"/>
          <w:szCs w:val="22"/>
        </w:rPr>
        <w:t xml:space="preserve"> ill feeling towards homosexuality</w:t>
      </w:r>
      <w:r w:rsidR="003F6B39" w:rsidRPr="008B262F">
        <w:rPr>
          <w:color w:val="000000"/>
          <w:sz w:val="22"/>
          <w:szCs w:val="22"/>
        </w:rPr>
        <w:t>, and that ill feeling threatened</w:t>
      </w:r>
      <w:r w:rsidR="007F77D6">
        <w:rPr>
          <w:color w:val="000000"/>
          <w:sz w:val="22"/>
          <w:szCs w:val="22"/>
        </w:rPr>
        <w:t xml:space="preserve"> an otherwise tranquil</w:t>
      </w:r>
      <w:r w:rsidRPr="008B262F">
        <w:rPr>
          <w:color w:val="000000"/>
          <w:sz w:val="22"/>
          <w:szCs w:val="22"/>
        </w:rPr>
        <w:t xml:space="preserve"> community. In </w:t>
      </w:r>
      <w:r w:rsidRPr="008B262F">
        <w:rPr>
          <w:i/>
          <w:color w:val="000000"/>
          <w:sz w:val="22"/>
          <w:szCs w:val="22"/>
        </w:rPr>
        <w:t>Bennett v Texas</w:t>
      </w:r>
      <w:r w:rsidRPr="008B262F">
        <w:rPr>
          <w:color w:val="000000"/>
          <w:sz w:val="22"/>
          <w:szCs w:val="22"/>
        </w:rPr>
        <w:t xml:space="preserve"> (1992), for example, the defendant appealed his sentence for murdering a gay man on the basis that it was excessive. On appeal, </w:t>
      </w:r>
      <w:r w:rsidR="00C8594A" w:rsidRPr="008B262F">
        <w:rPr>
          <w:color w:val="000000"/>
          <w:sz w:val="22"/>
          <w:szCs w:val="22"/>
        </w:rPr>
        <w:t xml:space="preserve">Barajas J </w:t>
      </w:r>
      <w:r w:rsidRPr="008B262F">
        <w:rPr>
          <w:color w:val="000000"/>
          <w:sz w:val="22"/>
          <w:szCs w:val="22"/>
        </w:rPr>
        <w:t>affirmed the t</w:t>
      </w:r>
      <w:r w:rsidR="007F77D6">
        <w:rPr>
          <w:color w:val="000000"/>
          <w:sz w:val="22"/>
          <w:szCs w:val="22"/>
        </w:rPr>
        <w:t xml:space="preserve">rial decision, noting that the ‘excessive’ </w:t>
      </w:r>
      <w:r w:rsidRPr="008B262F">
        <w:rPr>
          <w:color w:val="000000"/>
          <w:sz w:val="22"/>
          <w:szCs w:val="22"/>
        </w:rPr>
        <w:t>violence (in this case, anal injuries) was punished with a term of incarceration of 60 years – a sentenc</w:t>
      </w:r>
      <w:r w:rsidR="007F77D6">
        <w:rPr>
          <w:color w:val="000000"/>
          <w:sz w:val="22"/>
          <w:szCs w:val="22"/>
        </w:rPr>
        <w:t>e held appropriate rather than excessive</w:t>
      </w:r>
      <w:r w:rsidRPr="008B262F">
        <w:rPr>
          <w:color w:val="000000"/>
          <w:sz w:val="22"/>
          <w:szCs w:val="22"/>
        </w:rPr>
        <w:t>.</w:t>
      </w:r>
      <w:r w:rsidR="000E4BF6">
        <w:rPr>
          <w:rStyle w:val="EndnoteReference"/>
          <w:color w:val="000000"/>
          <w:sz w:val="22"/>
          <w:szCs w:val="22"/>
        </w:rPr>
        <w:endnoteReference w:id="45"/>
      </w:r>
      <w:r w:rsidRPr="008B262F">
        <w:rPr>
          <w:color w:val="000000"/>
          <w:sz w:val="22"/>
          <w:szCs w:val="22"/>
        </w:rPr>
        <w:t xml:space="preserve"> While the case predated the existence of specific hate crime legislation,</w:t>
      </w:r>
      <w:r w:rsidR="007F77D6">
        <w:rPr>
          <w:color w:val="000000"/>
          <w:sz w:val="22"/>
          <w:szCs w:val="22"/>
        </w:rPr>
        <w:t xml:space="preserve"> it is interesting to note how excessive</w:t>
      </w:r>
      <w:r w:rsidRPr="008B262F">
        <w:rPr>
          <w:color w:val="000000"/>
          <w:sz w:val="22"/>
          <w:szCs w:val="22"/>
        </w:rPr>
        <w:t xml:space="preserve"> violence was construed as disruptive</w:t>
      </w:r>
      <w:r w:rsidR="003F6B39" w:rsidRPr="008B262F">
        <w:rPr>
          <w:color w:val="000000"/>
          <w:sz w:val="22"/>
          <w:szCs w:val="22"/>
        </w:rPr>
        <w:t xml:space="preserve"> to the social order and needed</w:t>
      </w:r>
      <w:r w:rsidRPr="008B262F">
        <w:rPr>
          <w:color w:val="000000"/>
          <w:sz w:val="22"/>
          <w:szCs w:val="22"/>
        </w:rPr>
        <w:t xml:space="preserve"> to be contained through enhanced (but legally appropriate) penalties. By redirecting hostility from the victim to the perpetrator, </w:t>
      </w:r>
      <w:r w:rsidRPr="008B262F">
        <w:rPr>
          <w:i/>
          <w:color w:val="000000"/>
          <w:sz w:val="22"/>
          <w:szCs w:val="22"/>
        </w:rPr>
        <w:t xml:space="preserve">Bennett </w:t>
      </w:r>
      <w:r w:rsidRPr="008B262F">
        <w:rPr>
          <w:color w:val="000000"/>
          <w:sz w:val="22"/>
          <w:szCs w:val="22"/>
        </w:rPr>
        <w:t xml:space="preserve">showed how homophobia was relatively easy to delineate when described in terms of a single offence and offender. </w:t>
      </w:r>
    </w:p>
    <w:p w14:paraId="3F48D84F" w14:textId="4E1A39C7" w:rsidR="00760B76" w:rsidRPr="008B262F" w:rsidRDefault="00A6797F" w:rsidP="00760B76">
      <w:pPr>
        <w:spacing w:line="480" w:lineRule="auto"/>
        <w:ind w:firstLine="720"/>
        <w:jc w:val="both"/>
        <w:rPr>
          <w:color w:val="000000"/>
          <w:sz w:val="22"/>
          <w:szCs w:val="22"/>
        </w:rPr>
      </w:pPr>
      <w:r w:rsidRPr="008B262F">
        <w:rPr>
          <w:color w:val="000000"/>
          <w:sz w:val="22"/>
          <w:szCs w:val="22"/>
        </w:rPr>
        <w:t>However, these emotional enactments do not correspond with material change. Symbolic references in pro-LGBTI hate crime cases to both violent excess and calculated sentencing place greater emphasis on the criminal law rationale of individual responsibility, rather than taking account of different political and social structures of subordination.</w:t>
      </w:r>
      <w:r w:rsidR="000E4BF6">
        <w:rPr>
          <w:rStyle w:val="EndnoteReference"/>
          <w:color w:val="000000"/>
          <w:sz w:val="22"/>
          <w:szCs w:val="22"/>
        </w:rPr>
        <w:endnoteReference w:id="46"/>
      </w:r>
      <w:r w:rsidRPr="008B262F">
        <w:rPr>
          <w:color w:val="000000"/>
          <w:sz w:val="22"/>
          <w:szCs w:val="22"/>
        </w:rPr>
        <w:t xml:space="preserve"> The </w:t>
      </w:r>
      <w:r w:rsidRPr="008B262F">
        <w:rPr>
          <w:i/>
          <w:color w:val="000000"/>
          <w:sz w:val="22"/>
          <w:szCs w:val="22"/>
        </w:rPr>
        <w:t xml:space="preserve">Hate Crimes Prevention Act </w:t>
      </w:r>
      <w:r w:rsidRPr="008B262F">
        <w:rPr>
          <w:color w:val="000000"/>
          <w:sz w:val="22"/>
          <w:szCs w:val="22"/>
        </w:rPr>
        <w:t>positions homophobic violence (among other forms of minoritarian identity-based violence) as something antithetical to a national order, rather than as a phenomenon implicated directly within it.</w:t>
      </w:r>
      <w:r w:rsidR="000E4BF6">
        <w:rPr>
          <w:rStyle w:val="EndnoteReference"/>
          <w:color w:val="000000"/>
          <w:sz w:val="22"/>
          <w:szCs w:val="22"/>
        </w:rPr>
        <w:endnoteReference w:id="47"/>
      </w:r>
      <w:r w:rsidRPr="008B262F">
        <w:rPr>
          <w:color w:val="000000"/>
          <w:sz w:val="22"/>
          <w:szCs w:val="22"/>
        </w:rPr>
        <w:t xml:space="preserve"> The exceptionalism invoked in legal responses to hate crime is </w:t>
      </w:r>
      <w:r w:rsidR="00760B76" w:rsidRPr="008B262F">
        <w:rPr>
          <w:color w:val="000000"/>
          <w:sz w:val="22"/>
          <w:szCs w:val="22"/>
        </w:rPr>
        <w:t>important to note</w:t>
      </w:r>
      <w:r w:rsidRPr="008B262F">
        <w:rPr>
          <w:color w:val="000000"/>
          <w:sz w:val="22"/>
          <w:szCs w:val="22"/>
        </w:rPr>
        <w:t xml:space="preserve"> because we must consider the symbolic effects of hate crime legislation and the excessive violence that it enacts. The </w:t>
      </w:r>
      <w:r w:rsidRPr="008B262F">
        <w:rPr>
          <w:i/>
          <w:color w:val="000000"/>
          <w:sz w:val="22"/>
          <w:szCs w:val="22"/>
        </w:rPr>
        <w:t xml:space="preserve">Hate Crimes Prevention Act </w:t>
      </w:r>
      <w:r w:rsidRPr="008B262F">
        <w:rPr>
          <w:color w:val="000000"/>
          <w:sz w:val="22"/>
          <w:szCs w:val="22"/>
        </w:rPr>
        <w:t>institutes assump</w:t>
      </w:r>
      <w:r w:rsidR="007F77D6">
        <w:rPr>
          <w:color w:val="000000"/>
          <w:sz w:val="22"/>
          <w:szCs w:val="22"/>
        </w:rPr>
        <w:t>tions that homophobes are both ‘wilful’</w:t>
      </w:r>
      <w:r w:rsidRPr="008B262F">
        <w:rPr>
          <w:color w:val="000000"/>
          <w:sz w:val="22"/>
          <w:szCs w:val="22"/>
        </w:rPr>
        <w:t xml:space="preserve"> and exceptional in the community. </w:t>
      </w:r>
    </w:p>
    <w:p w14:paraId="4A826E7F" w14:textId="26C6534F" w:rsidR="00A6797F" w:rsidRPr="008B262F" w:rsidRDefault="00A6797F" w:rsidP="00760B76">
      <w:pPr>
        <w:spacing w:line="480" w:lineRule="auto"/>
        <w:ind w:firstLine="720"/>
        <w:jc w:val="both"/>
        <w:rPr>
          <w:color w:val="000000"/>
          <w:sz w:val="22"/>
          <w:szCs w:val="22"/>
        </w:rPr>
      </w:pPr>
      <w:r w:rsidRPr="008B262F">
        <w:rPr>
          <w:color w:val="000000"/>
          <w:sz w:val="22"/>
          <w:szCs w:val="22"/>
        </w:rPr>
        <w:t>The emotional interests of the state in delineating definitional narrowness for hate crime laws are privileged over the queer experiences of both p</w:t>
      </w:r>
      <w:r w:rsidR="00A56272" w:rsidRPr="008B262F">
        <w:rPr>
          <w:color w:val="000000"/>
          <w:sz w:val="22"/>
          <w:szCs w:val="22"/>
        </w:rPr>
        <w:t xml:space="preserve">erpetrators and victims of homophobic and </w:t>
      </w:r>
      <w:r w:rsidRPr="008B262F">
        <w:rPr>
          <w:color w:val="000000"/>
          <w:sz w:val="22"/>
          <w:szCs w:val="22"/>
        </w:rPr>
        <w:t xml:space="preserve">transphobic violence. By transposing my earlier political discussion of the </w:t>
      </w:r>
      <w:r w:rsidRPr="008B262F">
        <w:rPr>
          <w:i/>
          <w:color w:val="000000"/>
          <w:sz w:val="22"/>
          <w:szCs w:val="22"/>
        </w:rPr>
        <w:t xml:space="preserve">Hate Crimes Prevention Act </w:t>
      </w:r>
      <w:r w:rsidRPr="008B262F">
        <w:rPr>
          <w:color w:val="000000"/>
          <w:sz w:val="22"/>
          <w:szCs w:val="22"/>
        </w:rPr>
        <w:t xml:space="preserve">into the judicial arena, </w:t>
      </w:r>
      <w:r w:rsidR="003D7DC2">
        <w:rPr>
          <w:color w:val="000000"/>
          <w:sz w:val="22"/>
          <w:szCs w:val="22"/>
        </w:rPr>
        <w:t>we can observe how the</w:t>
      </w:r>
      <w:r w:rsidRPr="008B262F">
        <w:rPr>
          <w:color w:val="000000"/>
          <w:sz w:val="22"/>
          <w:szCs w:val="22"/>
        </w:rPr>
        <w:t xml:space="preserve"> leg</w:t>
      </w:r>
      <w:r w:rsidR="007F77D6">
        <w:rPr>
          <w:color w:val="000000"/>
          <w:sz w:val="22"/>
          <w:szCs w:val="22"/>
        </w:rPr>
        <w:t>islation has criminalised wilful bodily injury (and death) because of</w:t>
      </w:r>
      <w:r w:rsidRPr="008B262F">
        <w:rPr>
          <w:color w:val="000000"/>
          <w:sz w:val="22"/>
          <w:szCs w:val="22"/>
        </w:rPr>
        <w:t xml:space="preserve"> the victim’s actual or perceived sexual orientation or gender identity.</w:t>
      </w:r>
      <w:r w:rsidR="000E4BF6">
        <w:rPr>
          <w:rStyle w:val="EndnoteReference"/>
          <w:color w:val="000000"/>
          <w:sz w:val="22"/>
          <w:szCs w:val="22"/>
        </w:rPr>
        <w:endnoteReference w:id="48"/>
      </w:r>
      <w:r w:rsidR="00C8594A" w:rsidRPr="008B262F">
        <w:rPr>
          <w:color w:val="000000"/>
          <w:sz w:val="22"/>
          <w:szCs w:val="22"/>
        </w:rPr>
        <w:t xml:space="preserve"> </w:t>
      </w:r>
      <w:r w:rsidRPr="008B262F">
        <w:rPr>
          <w:color w:val="000000"/>
          <w:sz w:val="22"/>
          <w:szCs w:val="22"/>
        </w:rPr>
        <w:t>This hate crime l</w:t>
      </w:r>
      <w:r w:rsidR="007F77D6">
        <w:rPr>
          <w:color w:val="000000"/>
          <w:sz w:val="22"/>
          <w:szCs w:val="22"/>
        </w:rPr>
        <w:t>aw mobilises hostility against wilful</w:t>
      </w:r>
      <w:r w:rsidRPr="008B262F">
        <w:rPr>
          <w:color w:val="000000"/>
          <w:sz w:val="22"/>
          <w:szCs w:val="22"/>
        </w:rPr>
        <w:t xml:space="preserve"> offenders while leaving the social will untouched in terms of responsibility for queer exclusion. It is interesti</w:t>
      </w:r>
      <w:r w:rsidR="007F77D6">
        <w:rPr>
          <w:color w:val="000000"/>
          <w:sz w:val="22"/>
          <w:szCs w:val="22"/>
        </w:rPr>
        <w:t>ng to note the use of the word ‘wilful’ here – it designates wilfulness</w:t>
      </w:r>
      <w:r w:rsidRPr="008B262F">
        <w:rPr>
          <w:color w:val="000000"/>
          <w:sz w:val="22"/>
          <w:szCs w:val="22"/>
        </w:rPr>
        <w:t xml:space="preserve"> on the part of t</w:t>
      </w:r>
      <w:r w:rsidR="007F77D6">
        <w:rPr>
          <w:color w:val="000000"/>
          <w:sz w:val="22"/>
          <w:szCs w:val="22"/>
        </w:rPr>
        <w:t>he individual or offender. The wilful</w:t>
      </w:r>
      <w:r w:rsidRPr="008B262F">
        <w:rPr>
          <w:color w:val="000000"/>
          <w:sz w:val="22"/>
          <w:szCs w:val="22"/>
        </w:rPr>
        <w:t xml:space="preserve"> offender is one who obstructs the harmonious social fabric by bringing social intolerance into the fold.</w:t>
      </w:r>
      <w:r w:rsidR="000E4BF6">
        <w:rPr>
          <w:rStyle w:val="EndnoteReference"/>
          <w:color w:val="000000"/>
          <w:sz w:val="22"/>
          <w:szCs w:val="22"/>
        </w:rPr>
        <w:endnoteReference w:id="49"/>
      </w:r>
      <w:r w:rsidRPr="008B262F">
        <w:rPr>
          <w:color w:val="000000"/>
          <w:sz w:val="22"/>
          <w:szCs w:val="22"/>
        </w:rPr>
        <w:t xml:space="preserve"> In doing so, such offenders</w:t>
      </w:r>
      <w:r w:rsidR="00C8594A" w:rsidRPr="008B262F">
        <w:rPr>
          <w:color w:val="000000"/>
          <w:sz w:val="22"/>
          <w:szCs w:val="22"/>
        </w:rPr>
        <w:t xml:space="preserve"> </w:t>
      </w:r>
      <w:r w:rsidR="00846DF9">
        <w:rPr>
          <w:color w:val="000000"/>
          <w:sz w:val="22"/>
          <w:szCs w:val="22"/>
        </w:rPr>
        <w:t>who hate (sexual minorities)</w:t>
      </w:r>
      <w:r w:rsidRPr="008B262F">
        <w:rPr>
          <w:color w:val="000000"/>
          <w:sz w:val="22"/>
          <w:szCs w:val="22"/>
        </w:rPr>
        <w:t xml:space="preserve"> are made inassimilable – queer to a purportedly tolerant society. </w:t>
      </w:r>
    </w:p>
    <w:p w14:paraId="08D5DE93" w14:textId="56297371" w:rsidR="00A6797F" w:rsidRPr="008B262F" w:rsidRDefault="00A6797F" w:rsidP="00A6797F">
      <w:pPr>
        <w:spacing w:line="480" w:lineRule="auto"/>
        <w:ind w:firstLine="720"/>
        <w:jc w:val="both"/>
        <w:rPr>
          <w:color w:val="000000"/>
          <w:sz w:val="22"/>
          <w:szCs w:val="22"/>
        </w:rPr>
      </w:pPr>
      <w:r w:rsidRPr="008B262F">
        <w:rPr>
          <w:color w:val="000000"/>
          <w:sz w:val="22"/>
          <w:szCs w:val="22"/>
        </w:rPr>
        <w:t xml:space="preserve">In the leading case upholding the validity of the law, </w:t>
      </w:r>
      <w:r w:rsidRPr="008B262F">
        <w:rPr>
          <w:i/>
          <w:color w:val="000000"/>
          <w:sz w:val="22"/>
          <w:szCs w:val="22"/>
        </w:rPr>
        <w:t>Glenn v Holder</w:t>
      </w:r>
      <w:r w:rsidRPr="008B262F">
        <w:rPr>
          <w:color w:val="000000"/>
          <w:sz w:val="22"/>
          <w:szCs w:val="22"/>
        </w:rPr>
        <w:t xml:space="preserve"> (2010), the US District Court refused standing to a conservative family associa</w:t>
      </w:r>
      <w:r w:rsidR="007F77D6">
        <w:rPr>
          <w:color w:val="000000"/>
          <w:sz w:val="22"/>
          <w:szCs w:val="22"/>
        </w:rPr>
        <w:t>tion on the basis that causing ‘</w:t>
      </w:r>
      <w:r w:rsidR="0064645D">
        <w:rPr>
          <w:color w:val="000000"/>
          <w:sz w:val="22"/>
          <w:szCs w:val="22"/>
        </w:rPr>
        <w:t xml:space="preserve">headaches and stomachaches’ </w:t>
      </w:r>
      <w:r w:rsidRPr="008B262F">
        <w:rPr>
          <w:color w:val="000000"/>
          <w:sz w:val="22"/>
          <w:szCs w:val="22"/>
        </w:rPr>
        <w:t xml:space="preserve">to sexual minorities (a risk posed by the views that this </w:t>
      </w:r>
      <w:r w:rsidR="008C4010">
        <w:rPr>
          <w:color w:val="000000"/>
          <w:sz w:val="22"/>
          <w:szCs w:val="22"/>
        </w:rPr>
        <w:t>group espoused) did not form a ‘particular interest’</w:t>
      </w:r>
      <w:r w:rsidRPr="008B262F">
        <w:rPr>
          <w:color w:val="000000"/>
          <w:sz w:val="22"/>
          <w:szCs w:val="22"/>
        </w:rPr>
        <w:t xml:space="preserve"> that would generate a threat of prosecution</w:t>
      </w:r>
      <w:r w:rsidR="003F6B39" w:rsidRPr="008B262F">
        <w:rPr>
          <w:color w:val="000000"/>
          <w:sz w:val="22"/>
          <w:szCs w:val="22"/>
        </w:rPr>
        <w:t xml:space="preserve"> under the Act</w:t>
      </w:r>
      <w:r w:rsidRPr="008B262F">
        <w:rPr>
          <w:color w:val="000000"/>
          <w:sz w:val="22"/>
          <w:szCs w:val="22"/>
        </w:rPr>
        <w:t>.</w:t>
      </w:r>
      <w:r w:rsidR="000E4BF6">
        <w:rPr>
          <w:rStyle w:val="EndnoteReference"/>
          <w:color w:val="000000"/>
          <w:sz w:val="22"/>
          <w:szCs w:val="22"/>
        </w:rPr>
        <w:endnoteReference w:id="50"/>
      </w:r>
      <w:r w:rsidRPr="008B262F">
        <w:rPr>
          <w:color w:val="000000"/>
          <w:sz w:val="22"/>
          <w:szCs w:val="22"/>
        </w:rPr>
        <w:t xml:space="preserve"> It is interesting to note that in opposing the legislation, the family association recognised the emotional dimensions of homophobic injury (including speech) – particularly ones causing bodily discomfort. While the Court upheld the validity of the federal hate crime statute, it did so noting that, for any federal prosecutions to succeed, federal authorities would need to demonstrate a malicious intent to cause bodily injury that excluded emotional shock or disorienting queasiness. Moreover, the judgment </w:t>
      </w:r>
      <w:r w:rsidR="003D7DC2">
        <w:rPr>
          <w:color w:val="000000"/>
          <w:sz w:val="22"/>
          <w:szCs w:val="22"/>
        </w:rPr>
        <w:t>held</w:t>
      </w:r>
      <w:r w:rsidRPr="008B262F">
        <w:rPr>
          <w:color w:val="000000"/>
          <w:sz w:val="22"/>
          <w:szCs w:val="22"/>
        </w:rPr>
        <w:t xml:space="preserve"> that prosecutions must prove that the violence was attributable to a victim’s (purported) sexual orientation or gender identity. </w:t>
      </w:r>
      <w:r w:rsidR="0064645D" w:rsidRPr="008B262F">
        <w:rPr>
          <w:color w:val="000000"/>
          <w:sz w:val="22"/>
          <w:szCs w:val="22"/>
        </w:rPr>
        <w:t>Gwin J affirmed this position</w:t>
      </w:r>
      <w:r w:rsidR="006A78A8" w:rsidRPr="008B262F">
        <w:rPr>
          <w:color w:val="000000"/>
          <w:sz w:val="22"/>
          <w:szCs w:val="22"/>
        </w:rPr>
        <w:t xml:space="preserve"> </w:t>
      </w:r>
      <w:r w:rsidRPr="008B262F">
        <w:rPr>
          <w:color w:val="000000"/>
          <w:sz w:val="22"/>
          <w:szCs w:val="22"/>
        </w:rPr>
        <w:t>on appeal to the US Sixth Circuit Court of Appeals, where the majority held that the appellant’s fear of prosecution</w:t>
      </w:r>
      <w:r w:rsidR="00846DF9">
        <w:rPr>
          <w:color w:val="000000"/>
          <w:sz w:val="22"/>
          <w:szCs w:val="22"/>
        </w:rPr>
        <w:t xml:space="preserve"> for its views on homosexuality</w:t>
      </w:r>
      <w:r w:rsidRPr="008B262F">
        <w:rPr>
          <w:color w:val="000000"/>
          <w:sz w:val="22"/>
          <w:szCs w:val="22"/>
        </w:rPr>
        <w:t xml:space="preserve"> was misplaced.</w:t>
      </w:r>
      <w:r w:rsidR="000E4BF6">
        <w:rPr>
          <w:rStyle w:val="EndnoteReference"/>
          <w:color w:val="000000"/>
          <w:sz w:val="22"/>
          <w:szCs w:val="22"/>
        </w:rPr>
        <w:endnoteReference w:id="51"/>
      </w:r>
      <w:r w:rsidRPr="008B262F">
        <w:rPr>
          <w:color w:val="000000"/>
          <w:sz w:val="22"/>
          <w:szCs w:val="22"/>
        </w:rPr>
        <w:t xml:space="preserve"> In fact, in a footnote, </w:t>
      </w:r>
      <w:r w:rsidR="006A78A8" w:rsidRPr="008B262F">
        <w:rPr>
          <w:color w:val="000000"/>
          <w:sz w:val="22"/>
          <w:szCs w:val="22"/>
        </w:rPr>
        <w:t>Gwin J</w:t>
      </w:r>
      <w:r w:rsidRPr="008B262F">
        <w:rPr>
          <w:color w:val="000000"/>
          <w:sz w:val="22"/>
          <w:szCs w:val="22"/>
        </w:rPr>
        <w:t xml:space="preserve"> held that </w:t>
      </w:r>
      <w:r w:rsidR="0064645D">
        <w:rPr>
          <w:color w:val="000000"/>
          <w:sz w:val="22"/>
          <w:szCs w:val="22"/>
        </w:rPr>
        <w:t>the appellant had undertaken a ‘tortured’</w:t>
      </w:r>
      <w:r w:rsidRPr="008B262F">
        <w:rPr>
          <w:color w:val="000000"/>
          <w:sz w:val="22"/>
          <w:szCs w:val="22"/>
        </w:rPr>
        <w:t xml:space="preserve"> reading of the Act.</w:t>
      </w:r>
      <w:r w:rsidR="000E4BF6">
        <w:rPr>
          <w:rStyle w:val="EndnoteReference"/>
          <w:color w:val="000000"/>
          <w:sz w:val="22"/>
          <w:szCs w:val="22"/>
        </w:rPr>
        <w:endnoteReference w:id="52"/>
      </w:r>
      <w:r w:rsidRPr="008B262F">
        <w:rPr>
          <w:color w:val="000000"/>
          <w:sz w:val="22"/>
          <w:szCs w:val="22"/>
        </w:rPr>
        <w:t xml:space="preserve"> The Court’s fleeting reference to pain </w:t>
      </w:r>
      <w:r w:rsidR="0064645D">
        <w:rPr>
          <w:color w:val="000000"/>
          <w:sz w:val="22"/>
          <w:szCs w:val="22"/>
        </w:rPr>
        <w:t>worked to separate the ‘less serious’</w:t>
      </w:r>
      <w:r w:rsidR="00846DF9">
        <w:rPr>
          <w:color w:val="000000"/>
          <w:sz w:val="22"/>
          <w:szCs w:val="22"/>
        </w:rPr>
        <w:t xml:space="preserve"> forms of</w:t>
      </w:r>
      <w:r w:rsidRPr="008B262F">
        <w:rPr>
          <w:color w:val="000000"/>
          <w:sz w:val="22"/>
          <w:szCs w:val="22"/>
        </w:rPr>
        <w:t xml:space="preserve"> homophobic speech </w:t>
      </w:r>
      <w:r w:rsidR="00846DF9">
        <w:rPr>
          <w:color w:val="000000"/>
          <w:sz w:val="22"/>
          <w:szCs w:val="22"/>
        </w:rPr>
        <w:t>from the recognition of</w:t>
      </w:r>
      <w:r w:rsidRPr="008B262F">
        <w:rPr>
          <w:color w:val="000000"/>
          <w:sz w:val="22"/>
          <w:szCs w:val="22"/>
        </w:rPr>
        <w:t xml:space="preserve"> homophobic violence. </w:t>
      </w:r>
      <w:r w:rsidR="00846DF9">
        <w:rPr>
          <w:color w:val="000000"/>
          <w:sz w:val="22"/>
          <w:szCs w:val="22"/>
        </w:rPr>
        <w:t xml:space="preserve">While the </w:t>
      </w:r>
      <w:r w:rsidRPr="008B262F">
        <w:rPr>
          <w:color w:val="000000"/>
          <w:sz w:val="22"/>
          <w:szCs w:val="22"/>
        </w:rPr>
        <w:t xml:space="preserve">appellant accepted that </w:t>
      </w:r>
      <w:r w:rsidR="00846DF9">
        <w:rPr>
          <w:color w:val="000000"/>
          <w:sz w:val="22"/>
          <w:szCs w:val="22"/>
        </w:rPr>
        <w:t xml:space="preserve">their </w:t>
      </w:r>
      <w:r w:rsidRPr="008B262F">
        <w:rPr>
          <w:color w:val="000000"/>
          <w:sz w:val="22"/>
          <w:szCs w:val="22"/>
        </w:rPr>
        <w:t>homop</w:t>
      </w:r>
      <w:r w:rsidR="00846DF9">
        <w:rPr>
          <w:color w:val="000000"/>
          <w:sz w:val="22"/>
          <w:szCs w:val="22"/>
        </w:rPr>
        <w:t xml:space="preserve">hobic speech was violent, </w:t>
      </w:r>
      <w:r w:rsidRPr="008B262F">
        <w:rPr>
          <w:color w:val="000000"/>
          <w:sz w:val="22"/>
          <w:szCs w:val="22"/>
        </w:rPr>
        <w:t xml:space="preserve">the Court was quick to </w:t>
      </w:r>
      <w:r w:rsidR="00846DF9">
        <w:rPr>
          <w:color w:val="000000"/>
          <w:sz w:val="22"/>
          <w:szCs w:val="22"/>
        </w:rPr>
        <w:t>refuse that assertion to sustain the constitutional validity of the Act</w:t>
      </w:r>
      <w:r w:rsidRPr="008B262F">
        <w:rPr>
          <w:color w:val="000000"/>
          <w:sz w:val="22"/>
          <w:szCs w:val="22"/>
        </w:rPr>
        <w:t>. Criminalising hate crime was given limited scope: it extended to intentional physical violence while expressly excluding pernicious forms of hate speech and other psychic injuries.</w:t>
      </w:r>
      <w:r w:rsidR="000E4BF6">
        <w:rPr>
          <w:rStyle w:val="EndnoteReference"/>
          <w:color w:val="000000"/>
          <w:sz w:val="22"/>
          <w:szCs w:val="22"/>
        </w:rPr>
        <w:endnoteReference w:id="53"/>
      </w:r>
      <w:r w:rsidRPr="008B262F">
        <w:rPr>
          <w:color w:val="000000"/>
          <w:sz w:val="22"/>
          <w:szCs w:val="22"/>
        </w:rPr>
        <w:t xml:space="preserve"> Such queer references in the appell</w:t>
      </w:r>
      <w:r w:rsidR="003D7DC2">
        <w:rPr>
          <w:color w:val="000000"/>
          <w:sz w:val="22"/>
          <w:szCs w:val="22"/>
        </w:rPr>
        <w:t>ant’s argument were dismissed in</w:t>
      </w:r>
      <w:r w:rsidRPr="008B262F">
        <w:rPr>
          <w:color w:val="000000"/>
          <w:sz w:val="22"/>
          <w:szCs w:val="22"/>
        </w:rPr>
        <w:t xml:space="preserve"> the appellate ju</w:t>
      </w:r>
      <w:r w:rsidR="00017531">
        <w:rPr>
          <w:color w:val="000000"/>
          <w:sz w:val="22"/>
          <w:szCs w:val="22"/>
        </w:rPr>
        <w:t>dgment. The Court privileged</w:t>
      </w:r>
      <w:r w:rsidRPr="008B262F">
        <w:rPr>
          <w:color w:val="000000"/>
          <w:sz w:val="22"/>
          <w:szCs w:val="22"/>
        </w:rPr>
        <w:t xml:space="preserve"> </w:t>
      </w:r>
      <w:r w:rsidR="00017531">
        <w:rPr>
          <w:color w:val="000000"/>
          <w:sz w:val="22"/>
          <w:szCs w:val="22"/>
        </w:rPr>
        <w:t>physical</w:t>
      </w:r>
      <w:r w:rsidRPr="008B262F">
        <w:rPr>
          <w:color w:val="000000"/>
          <w:sz w:val="22"/>
          <w:szCs w:val="22"/>
        </w:rPr>
        <w:t xml:space="preserve"> </w:t>
      </w:r>
      <w:r w:rsidR="00017531">
        <w:rPr>
          <w:color w:val="000000"/>
          <w:sz w:val="22"/>
          <w:szCs w:val="22"/>
        </w:rPr>
        <w:t>scars over</w:t>
      </w:r>
      <w:r w:rsidRPr="008B262F">
        <w:rPr>
          <w:color w:val="000000"/>
          <w:sz w:val="22"/>
          <w:szCs w:val="22"/>
        </w:rPr>
        <w:t xml:space="preserve"> emotional </w:t>
      </w:r>
      <w:r w:rsidR="00017531">
        <w:rPr>
          <w:color w:val="000000"/>
          <w:sz w:val="22"/>
          <w:szCs w:val="22"/>
        </w:rPr>
        <w:t xml:space="preserve">hurt </w:t>
      </w:r>
      <w:r w:rsidRPr="008B262F">
        <w:rPr>
          <w:color w:val="000000"/>
          <w:sz w:val="22"/>
          <w:szCs w:val="22"/>
        </w:rPr>
        <w:t xml:space="preserve">when it came to </w:t>
      </w:r>
      <w:r w:rsidR="00017531">
        <w:rPr>
          <w:color w:val="000000"/>
          <w:sz w:val="22"/>
          <w:szCs w:val="22"/>
        </w:rPr>
        <w:t xml:space="preserve">recognising </w:t>
      </w:r>
      <w:r w:rsidRPr="008B262F">
        <w:rPr>
          <w:color w:val="000000"/>
          <w:sz w:val="22"/>
          <w:szCs w:val="22"/>
        </w:rPr>
        <w:t>injury</w:t>
      </w:r>
      <w:r w:rsidR="00017531">
        <w:rPr>
          <w:color w:val="000000"/>
          <w:sz w:val="22"/>
          <w:szCs w:val="22"/>
        </w:rPr>
        <w:t>.</w:t>
      </w:r>
      <w:r w:rsidRPr="008B262F">
        <w:rPr>
          <w:color w:val="000000"/>
          <w:sz w:val="22"/>
          <w:szCs w:val="22"/>
        </w:rPr>
        <w:t xml:space="preserve"> </w:t>
      </w:r>
    </w:p>
    <w:p w14:paraId="705F5553" w14:textId="7651D332" w:rsidR="00A6797F" w:rsidRPr="008B262F" w:rsidRDefault="00A6797F" w:rsidP="00A6797F">
      <w:pPr>
        <w:spacing w:line="480" w:lineRule="auto"/>
        <w:ind w:firstLine="720"/>
        <w:jc w:val="both"/>
        <w:rPr>
          <w:color w:val="000000"/>
          <w:sz w:val="22"/>
          <w:szCs w:val="22"/>
        </w:rPr>
      </w:pPr>
      <w:r w:rsidRPr="008B262F">
        <w:rPr>
          <w:color w:val="000000"/>
          <w:sz w:val="22"/>
          <w:szCs w:val="22"/>
        </w:rPr>
        <w:t>Despite the casual tendency to refer to homoph</w:t>
      </w:r>
      <w:r w:rsidR="0064645D">
        <w:rPr>
          <w:color w:val="000000"/>
          <w:sz w:val="22"/>
          <w:szCs w:val="22"/>
        </w:rPr>
        <w:t xml:space="preserve">obic violence as necessarily a </w:t>
      </w:r>
      <w:r w:rsidRPr="008B262F">
        <w:rPr>
          <w:color w:val="000000"/>
          <w:sz w:val="22"/>
          <w:szCs w:val="22"/>
        </w:rPr>
        <w:t>hate cr</w:t>
      </w:r>
      <w:r w:rsidR="0064645D">
        <w:rPr>
          <w:color w:val="000000"/>
          <w:sz w:val="22"/>
          <w:szCs w:val="22"/>
        </w:rPr>
        <w:t>ime</w:t>
      </w:r>
      <w:r w:rsidRPr="008B262F">
        <w:rPr>
          <w:color w:val="000000"/>
          <w:sz w:val="22"/>
          <w:szCs w:val="22"/>
        </w:rPr>
        <w:t>, a number of legal commen</w:t>
      </w:r>
      <w:r w:rsidR="00017531">
        <w:rPr>
          <w:color w:val="000000"/>
          <w:sz w:val="22"/>
          <w:szCs w:val="22"/>
        </w:rPr>
        <w:t>tators have expressed caution regarding</w:t>
      </w:r>
      <w:r w:rsidR="0064645D">
        <w:rPr>
          <w:color w:val="000000"/>
          <w:sz w:val="22"/>
          <w:szCs w:val="22"/>
        </w:rPr>
        <w:t xml:space="preserve"> the conceptual ‘cleanliness’</w:t>
      </w:r>
      <w:r w:rsidRPr="008B262F">
        <w:rPr>
          <w:color w:val="000000"/>
          <w:sz w:val="22"/>
          <w:szCs w:val="22"/>
        </w:rPr>
        <w:t xml:space="preserve"> of, and the vociferous demand to use, the term. As James Jacobs and Kimberley </w:t>
      </w:r>
      <w:r w:rsidR="0064645D" w:rsidRPr="008B262F">
        <w:rPr>
          <w:color w:val="000000"/>
          <w:sz w:val="22"/>
          <w:szCs w:val="22"/>
        </w:rPr>
        <w:t>Potter argue</w:t>
      </w:r>
      <w:r w:rsidRPr="008B262F">
        <w:rPr>
          <w:color w:val="000000"/>
          <w:sz w:val="22"/>
          <w:szCs w:val="22"/>
        </w:rPr>
        <w:t>, reading anti-gay violence by reference to a causal explanation of individual hatred confuses the complex interaction of opportunities and institutions.</w:t>
      </w:r>
      <w:r w:rsidR="000E4BF6">
        <w:rPr>
          <w:rStyle w:val="EndnoteReference"/>
          <w:color w:val="000000"/>
          <w:sz w:val="22"/>
          <w:szCs w:val="22"/>
        </w:rPr>
        <w:endnoteReference w:id="54"/>
      </w:r>
      <w:r w:rsidRPr="008B262F">
        <w:rPr>
          <w:color w:val="000000"/>
          <w:sz w:val="22"/>
          <w:szCs w:val="22"/>
        </w:rPr>
        <w:t xml:space="preserve"> The emphasis on hate alone tends to obscure the complex economy of emotions: the violence produces identities of vulnerability by spreading intimidation and fear to those who identify with the social position of the victim.</w:t>
      </w:r>
    </w:p>
    <w:p w14:paraId="14594046" w14:textId="089C015D" w:rsidR="00A6797F" w:rsidRPr="008B262F" w:rsidRDefault="00A6797F" w:rsidP="00A6797F">
      <w:pPr>
        <w:spacing w:line="480" w:lineRule="auto"/>
        <w:ind w:firstLine="720"/>
        <w:jc w:val="both"/>
        <w:rPr>
          <w:color w:val="000000"/>
          <w:sz w:val="22"/>
          <w:szCs w:val="22"/>
        </w:rPr>
      </w:pPr>
      <w:r w:rsidRPr="008B262F">
        <w:rPr>
          <w:color w:val="000000"/>
          <w:sz w:val="22"/>
          <w:szCs w:val="22"/>
        </w:rPr>
        <w:t xml:space="preserve">These emotions become more apparent in institutional support. For example, the failure to appreciate this emotional point was illustrated in </w:t>
      </w:r>
      <w:r w:rsidRPr="008B262F">
        <w:rPr>
          <w:i/>
          <w:color w:val="000000"/>
          <w:sz w:val="22"/>
          <w:szCs w:val="22"/>
        </w:rPr>
        <w:t xml:space="preserve">United States v Jenkins </w:t>
      </w:r>
      <w:r w:rsidRPr="008B262F">
        <w:rPr>
          <w:color w:val="000000"/>
          <w:sz w:val="22"/>
          <w:szCs w:val="22"/>
        </w:rPr>
        <w:t>(2012), where Van Tatenh</w:t>
      </w:r>
      <w:r w:rsidR="0064645D">
        <w:rPr>
          <w:color w:val="000000"/>
          <w:sz w:val="22"/>
          <w:szCs w:val="22"/>
        </w:rPr>
        <w:t>ove J held that ‘</w:t>
      </w:r>
      <w:r w:rsidRPr="008B262F">
        <w:rPr>
          <w:color w:val="000000"/>
          <w:sz w:val="22"/>
          <w:szCs w:val="22"/>
        </w:rPr>
        <w:t xml:space="preserve">there is no significant economic </w:t>
      </w:r>
      <w:r w:rsidR="0064645D">
        <w:rPr>
          <w:color w:val="000000"/>
          <w:sz w:val="22"/>
          <w:szCs w:val="22"/>
        </w:rPr>
        <w:t>market for bias motivated crime’</w:t>
      </w:r>
      <w:r w:rsidR="006A78A8" w:rsidRPr="008B262F">
        <w:rPr>
          <w:color w:val="000000"/>
          <w:sz w:val="22"/>
          <w:szCs w:val="22"/>
        </w:rPr>
        <w:t>.</w:t>
      </w:r>
      <w:r w:rsidR="000E4BF6">
        <w:rPr>
          <w:rStyle w:val="EndnoteReference"/>
          <w:color w:val="000000"/>
          <w:sz w:val="22"/>
          <w:szCs w:val="22"/>
        </w:rPr>
        <w:endnoteReference w:id="55"/>
      </w:r>
      <w:r w:rsidRPr="008B262F">
        <w:rPr>
          <w:color w:val="000000"/>
          <w:sz w:val="22"/>
          <w:szCs w:val="22"/>
        </w:rPr>
        <w:t xml:space="preserve"> While the reasoning in the case concentrated on the constitutional validity of using the commerce clause to criminalise hate crime federally, his point affirmed the way in which hate crimes were read as individual acts of aberrant violence rather than as an institutionally entrenched (in this case economic) phenomenon. Hate crimes may be socially injurious, but the responsibility for such injuries lay with individual rather than other inst</w:t>
      </w:r>
      <w:r w:rsidR="007E44FB">
        <w:rPr>
          <w:color w:val="000000"/>
          <w:sz w:val="22"/>
          <w:szCs w:val="22"/>
        </w:rPr>
        <w:t xml:space="preserve">itutional actors. In this case, the Court </w:t>
      </w:r>
      <w:r w:rsidRPr="008B262F">
        <w:rPr>
          <w:color w:val="000000"/>
          <w:sz w:val="22"/>
          <w:szCs w:val="22"/>
        </w:rPr>
        <w:t xml:space="preserve">held that the </w:t>
      </w:r>
      <w:r w:rsidRPr="008B262F">
        <w:rPr>
          <w:i/>
          <w:color w:val="000000"/>
          <w:sz w:val="22"/>
          <w:szCs w:val="22"/>
        </w:rPr>
        <w:t xml:space="preserve">Hate Crimes Prevention Act </w:t>
      </w:r>
      <w:r w:rsidR="0064645D">
        <w:rPr>
          <w:color w:val="000000"/>
          <w:sz w:val="22"/>
          <w:szCs w:val="22"/>
        </w:rPr>
        <w:t>must be expressed in a ‘limited fashion’</w:t>
      </w:r>
      <w:r w:rsidRPr="008B262F">
        <w:rPr>
          <w:color w:val="000000"/>
          <w:sz w:val="22"/>
          <w:szCs w:val="22"/>
        </w:rPr>
        <w:t xml:space="preserve"> to avoid overreaching into state jurisdiction</w:t>
      </w:r>
      <w:r w:rsidR="006A78A8" w:rsidRPr="008B262F">
        <w:rPr>
          <w:color w:val="000000"/>
          <w:sz w:val="22"/>
          <w:szCs w:val="22"/>
        </w:rPr>
        <w:t>.</w:t>
      </w:r>
      <w:r w:rsidR="000E4BF6">
        <w:rPr>
          <w:rStyle w:val="EndnoteReference"/>
          <w:color w:val="000000"/>
          <w:sz w:val="22"/>
          <w:szCs w:val="22"/>
        </w:rPr>
        <w:endnoteReference w:id="56"/>
      </w:r>
      <w:r w:rsidRPr="008B262F">
        <w:rPr>
          <w:color w:val="000000"/>
          <w:sz w:val="22"/>
          <w:szCs w:val="22"/>
        </w:rPr>
        <w:t xml:space="preserve"> Hate crime violence was localised to mean physical acts that were, in some way, detrimental to federal commerce. </w:t>
      </w:r>
    </w:p>
    <w:p w14:paraId="3F037F4B" w14:textId="29DBF928" w:rsidR="00A6797F" w:rsidRPr="008B262F" w:rsidRDefault="00A6797F" w:rsidP="00A6797F">
      <w:pPr>
        <w:spacing w:line="480" w:lineRule="auto"/>
        <w:ind w:firstLine="720"/>
        <w:jc w:val="both"/>
        <w:rPr>
          <w:color w:val="000000"/>
          <w:sz w:val="22"/>
          <w:szCs w:val="22"/>
        </w:rPr>
      </w:pPr>
      <w:r w:rsidRPr="008B262F">
        <w:rPr>
          <w:color w:val="000000"/>
          <w:sz w:val="22"/>
          <w:szCs w:val="22"/>
        </w:rPr>
        <w:t xml:space="preserve">We can describe the emotional economies of victimhood and offending in pro-LGBTI hate crime cases quite simply: the pitied victimised queer object has its value pitted against the hated homophobic object, and the law works as the instrument to emotionally measure the value of both objects. Bringing together the jurisprudence surrounding the </w:t>
      </w:r>
      <w:r w:rsidRPr="008B262F">
        <w:rPr>
          <w:i/>
          <w:color w:val="000000"/>
          <w:sz w:val="22"/>
          <w:szCs w:val="22"/>
        </w:rPr>
        <w:t xml:space="preserve">Hate Crimes Prevention Act </w:t>
      </w:r>
      <w:r w:rsidRPr="008B262F">
        <w:rPr>
          <w:color w:val="000000"/>
          <w:sz w:val="22"/>
          <w:szCs w:val="22"/>
        </w:rPr>
        <w:t>with a broader public i</w:t>
      </w:r>
      <w:r w:rsidR="00A56272" w:rsidRPr="008B262F">
        <w:rPr>
          <w:color w:val="000000"/>
          <w:sz w:val="22"/>
          <w:szCs w:val="22"/>
        </w:rPr>
        <w:t xml:space="preserve">nsistence on criminalising homophobic and </w:t>
      </w:r>
      <w:r w:rsidRPr="008B262F">
        <w:rPr>
          <w:color w:val="000000"/>
          <w:sz w:val="22"/>
          <w:szCs w:val="22"/>
        </w:rPr>
        <w:t>transphobic violence, we can observe how hate crime functions as a</w:t>
      </w:r>
      <w:r w:rsidR="0064645D">
        <w:rPr>
          <w:color w:val="000000"/>
          <w:sz w:val="22"/>
          <w:szCs w:val="22"/>
        </w:rPr>
        <w:t xml:space="preserve"> moral category that generates ‘emotional thinking’</w:t>
      </w:r>
      <w:r w:rsidRPr="008B262F">
        <w:rPr>
          <w:color w:val="000000"/>
          <w:sz w:val="22"/>
          <w:szCs w:val="22"/>
        </w:rPr>
        <w:t xml:space="preserve"> among the public as part of a call for social justice</w:t>
      </w:r>
      <w:bookmarkStart w:id="2" w:name="_Ref458808878"/>
      <w:r w:rsidR="00B15C4E" w:rsidRPr="008B262F">
        <w:rPr>
          <w:color w:val="000000"/>
          <w:sz w:val="22"/>
          <w:szCs w:val="22"/>
        </w:rPr>
        <w:t>.</w:t>
      </w:r>
      <w:bookmarkEnd w:id="2"/>
      <w:r w:rsidR="000E4BF6">
        <w:rPr>
          <w:rStyle w:val="EndnoteReference"/>
          <w:color w:val="000000"/>
          <w:sz w:val="22"/>
          <w:szCs w:val="22"/>
        </w:rPr>
        <w:endnoteReference w:id="57"/>
      </w:r>
      <w:r w:rsidRPr="008B262F">
        <w:rPr>
          <w:color w:val="000000"/>
          <w:sz w:val="22"/>
          <w:szCs w:val="22"/>
        </w:rPr>
        <w:t xml:space="preserve"> Legal intervent</w:t>
      </w:r>
      <w:r w:rsidR="00A56272" w:rsidRPr="008B262F">
        <w:rPr>
          <w:color w:val="000000"/>
          <w:sz w:val="22"/>
          <w:szCs w:val="22"/>
        </w:rPr>
        <w:t xml:space="preserve">ions directed at punishing homophobic and </w:t>
      </w:r>
      <w:r w:rsidRPr="008B262F">
        <w:rPr>
          <w:color w:val="000000"/>
          <w:sz w:val="22"/>
          <w:szCs w:val="22"/>
        </w:rPr>
        <w:t>transphobic v</w:t>
      </w:r>
      <w:r w:rsidR="0064645D">
        <w:rPr>
          <w:color w:val="000000"/>
          <w:sz w:val="22"/>
          <w:szCs w:val="22"/>
        </w:rPr>
        <w:t>iolence become a/effective ‘morality plays’</w:t>
      </w:r>
      <w:r w:rsidRPr="008B262F">
        <w:rPr>
          <w:color w:val="000000"/>
          <w:sz w:val="22"/>
          <w:szCs w:val="22"/>
        </w:rPr>
        <w:t xml:space="preserve"> that involve rejecting the injurious prejudice exhibited by offenders and respecting the intimacy and identity of the victims.</w:t>
      </w:r>
      <w:r w:rsidR="000E4BF6">
        <w:rPr>
          <w:rStyle w:val="EndnoteReference"/>
          <w:color w:val="000000"/>
          <w:sz w:val="22"/>
          <w:szCs w:val="22"/>
        </w:rPr>
        <w:endnoteReference w:id="58"/>
      </w:r>
      <w:r w:rsidR="00B15C4E" w:rsidRPr="008B262F">
        <w:rPr>
          <w:color w:val="000000"/>
          <w:sz w:val="22"/>
          <w:szCs w:val="22"/>
        </w:rPr>
        <w:t xml:space="preserve"> </w:t>
      </w:r>
      <w:r w:rsidRPr="008B262F">
        <w:rPr>
          <w:color w:val="000000"/>
          <w:sz w:val="22"/>
          <w:szCs w:val="22"/>
        </w:rPr>
        <w:t xml:space="preserve">In particular, </w:t>
      </w:r>
      <w:r w:rsidR="0064645D">
        <w:rPr>
          <w:color w:val="000000"/>
          <w:sz w:val="22"/>
          <w:szCs w:val="22"/>
        </w:rPr>
        <w:t>the labelling of violence as a hate crime</w:t>
      </w:r>
      <w:r w:rsidRPr="008B262F">
        <w:rPr>
          <w:color w:val="000000"/>
          <w:sz w:val="22"/>
          <w:szCs w:val="22"/>
        </w:rPr>
        <w:t xml:space="preserve"> is contingent on</w:t>
      </w:r>
      <w:r w:rsidR="0064645D">
        <w:rPr>
          <w:color w:val="000000"/>
          <w:sz w:val="22"/>
          <w:szCs w:val="22"/>
        </w:rPr>
        <w:t xml:space="preserve"> the capacity to recognise the hate</w:t>
      </w:r>
      <w:r w:rsidRPr="008B262F">
        <w:rPr>
          <w:color w:val="000000"/>
          <w:sz w:val="22"/>
          <w:szCs w:val="22"/>
        </w:rPr>
        <w:t xml:space="preserve"> of perpetrators while generating compassion or pity for the victim who is subject to such hate.</w:t>
      </w:r>
      <w:r w:rsidR="000E4BF6">
        <w:rPr>
          <w:rStyle w:val="EndnoteReference"/>
          <w:color w:val="000000"/>
          <w:sz w:val="22"/>
          <w:szCs w:val="22"/>
        </w:rPr>
        <w:endnoteReference w:id="59"/>
      </w:r>
      <w:r w:rsidRPr="008B262F">
        <w:rPr>
          <w:color w:val="000000"/>
          <w:sz w:val="22"/>
          <w:szCs w:val="22"/>
        </w:rPr>
        <w:t xml:space="preserve"> Obama’s words welcoming the </w:t>
      </w:r>
      <w:r w:rsidRPr="008B262F">
        <w:rPr>
          <w:i/>
          <w:color w:val="000000"/>
          <w:sz w:val="22"/>
          <w:szCs w:val="22"/>
        </w:rPr>
        <w:t xml:space="preserve">Hate Crimes Prevention Act </w:t>
      </w:r>
      <w:r w:rsidR="0064645D">
        <w:rPr>
          <w:color w:val="000000"/>
          <w:sz w:val="22"/>
          <w:szCs w:val="22"/>
        </w:rPr>
        <w:t>are apt here: ‘</w:t>
      </w:r>
      <w:r w:rsidRPr="008B262F">
        <w:rPr>
          <w:color w:val="000000"/>
          <w:sz w:val="22"/>
          <w:szCs w:val="22"/>
        </w:rPr>
        <w:t>we sense where such cruelty begins … the moment we fail to see</w:t>
      </w:r>
      <w:r w:rsidR="0064645D">
        <w:rPr>
          <w:color w:val="000000"/>
          <w:sz w:val="22"/>
          <w:szCs w:val="22"/>
        </w:rPr>
        <w:t xml:space="preserve"> in another our common humanity’</w:t>
      </w:r>
      <w:r w:rsidRPr="008B262F">
        <w:rPr>
          <w:color w:val="000000"/>
          <w:sz w:val="22"/>
          <w:szCs w:val="22"/>
        </w:rPr>
        <w:t>.</w:t>
      </w:r>
      <w:r w:rsidR="000E4BF6">
        <w:rPr>
          <w:rStyle w:val="EndnoteReference"/>
          <w:color w:val="000000"/>
          <w:sz w:val="22"/>
          <w:szCs w:val="22"/>
        </w:rPr>
        <w:endnoteReference w:id="60"/>
      </w:r>
      <w:r w:rsidRPr="008B262F">
        <w:rPr>
          <w:color w:val="000000"/>
          <w:sz w:val="22"/>
          <w:szCs w:val="22"/>
        </w:rPr>
        <w:t xml:space="preserve"> Compassion becomes a key emotional enactment for securing moral claims for respect and recognition. Victims must be palatable objects amenable to becoming the subject of sent</w:t>
      </w:r>
      <w:r w:rsidR="0064645D">
        <w:rPr>
          <w:color w:val="000000"/>
          <w:sz w:val="22"/>
          <w:szCs w:val="22"/>
        </w:rPr>
        <w:t>imental narratives involving a ‘common humanity’</w:t>
      </w:r>
      <w:r w:rsidRPr="008B262F">
        <w:rPr>
          <w:color w:val="000000"/>
          <w:sz w:val="22"/>
          <w:szCs w:val="22"/>
        </w:rPr>
        <w:t xml:space="preserve"> in order to garner support.</w:t>
      </w:r>
      <w:r w:rsidR="000E4BF6">
        <w:rPr>
          <w:rStyle w:val="EndnoteReference"/>
          <w:color w:val="000000"/>
          <w:sz w:val="22"/>
          <w:szCs w:val="22"/>
        </w:rPr>
        <w:endnoteReference w:id="61"/>
      </w:r>
      <w:r w:rsidRPr="008B262F">
        <w:rPr>
          <w:color w:val="000000"/>
          <w:sz w:val="22"/>
          <w:szCs w:val="22"/>
        </w:rPr>
        <w:t xml:space="preserve"> The characterisation of a</w:t>
      </w:r>
      <w:r w:rsidR="0064645D">
        <w:rPr>
          <w:color w:val="000000"/>
          <w:sz w:val="22"/>
          <w:szCs w:val="22"/>
        </w:rPr>
        <w:t xml:space="preserve"> particular act of injury as a hate crime is ‘compelled’</w:t>
      </w:r>
      <w:r w:rsidRPr="008B262F">
        <w:rPr>
          <w:color w:val="000000"/>
          <w:sz w:val="22"/>
          <w:szCs w:val="22"/>
        </w:rPr>
        <w:t xml:space="preserve"> by the extent to which perpetrators and victims can subscribe to social archetypes and generate the emotional resonances stereotypically associated with their respective identities. Hate crimes and the judicial responses that deal with them perform a public theatre involving claims for inclusion and recognition. Neither vic</w:t>
      </w:r>
      <w:r w:rsidR="0064645D">
        <w:rPr>
          <w:color w:val="000000"/>
          <w:sz w:val="22"/>
          <w:szCs w:val="22"/>
        </w:rPr>
        <w:t xml:space="preserve">tim nor perpetrator can be too queer </w:t>
      </w:r>
      <w:r w:rsidRPr="008B262F">
        <w:rPr>
          <w:color w:val="000000"/>
          <w:sz w:val="22"/>
          <w:szCs w:val="22"/>
        </w:rPr>
        <w:t xml:space="preserve">or they risk being (emotionally) excluded from the narrative. </w:t>
      </w:r>
    </w:p>
    <w:p w14:paraId="04372D20" w14:textId="0ED2BE79" w:rsidR="00A6797F" w:rsidRPr="008B262F" w:rsidRDefault="00A6797F" w:rsidP="00A6797F">
      <w:pPr>
        <w:spacing w:line="480" w:lineRule="auto"/>
        <w:ind w:firstLine="720"/>
        <w:jc w:val="both"/>
        <w:rPr>
          <w:color w:val="000000"/>
          <w:sz w:val="22"/>
          <w:szCs w:val="22"/>
        </w:rPr>
      </w:pPr>
      <w:r w:rsidRPr="008B262F">
        <w:rPr>
          <w:color w:val="000000"/>
          <w:sz w:val="22"/>
          <w:szCs w:val="22"/>
        </w:rPr>
        <w:t xml:space="preserve">In this context, it becomes apparent how emotions serve as the anchoring points for legislative and political visibility. In contrast to </w:t>
      </w:r>
      <w:r w:rsidR="00DA3866" w:rsidRPr="008B262F">
        <w:rPr>
          <w:color w:val="000000"/>
          <w:sz w:val="22"/>
          <w:szCs w:val="22"/>
        </w:rPr>
        <w:t>laws</w:t>
      </w:r>
      <w:r w:rsidRPr="008B262F">
        <w:rPr>
          <w:color w:val="000000"/>
          <w:sz w:val="22"/>
          <w:szCs w:val="22"/>
        </w:rPr>
        <w:t xml:space="preserve"> </w:t>
      </w:r>
      <w:r w:rsidR="00DA3866" w:rsidRPr="008B262F">
        <w:rPr>
          <w:color w:val="000000"/>
          <w:sz w:val="22"/>
          <w:szCs w:val="22"/>
        </w:rPr>
        <w:t>criminalising</w:t>
      </w:r>
      <w:r w:rsidRPr="008B262F">
        <w:rPr>
          <w:color w:val="000000"/>
          <w:sz w:val="22"/>
          <w:szCs w:val="22"/>
        </w:rPr>
        <w:t xml:space="preserve"> sodomy, pro-LGBTI hate crime cases redirect the meanings of criminality, anxiety, and deviance from homosexuals to homophobes.</w:t>
      </w:r>
      <w:r w:rsidR="000E4BF6">
        <w:rPr>
          <w:rStyle w:val="EndnoteReference"/>
          <w:color w:val="000000"/>
          <w:sz w:val="22"/>
          <w:szCs w:val="22"/>
        </w:rPr>
        <w:endnoteReference w:id="62"/>
      </w:r>
      <w:r w:rsidRPr="008B262F">
        <w:rPr>
          <w:color w:val="000000"/>
          <w:sz w:val="22"/>
          <w:szCs w:val="22"/>
        </w:rPr>
        <w:t xml:space="preserve"> Yet, the progressive emotional redirection in cases such as </w:t>
      </w:r>
      <w:r w:rsidRPr="008B262F">
        <w:rPr>
          <w:i/>
          <w:color w:val="000000"/>
          <w:sz w:val="22"/>
          <w:szCs w:val="22"/>
        </w:rPr>
        <w:t xml:space="preserve">Glenn </w:t>
      </w:r>
      <w:r w:rsidR="00DA3866" w:rsidRPr="008B262F">
        <w:rPr>
          <w:color w:val="000000"/>
          <w:sz w:val="22"/>
          <w:szCs w:val="22"/>
        </w:rPr>
        <w:t>and</w:t>
      </w:r>
      <w:r w:rsidRPr="008B262F">
        <w:rPr>
          <w:color w:val="000000"/>
          <w:sz w:val="22"/>
          <w:szCs w:val="22"/>
        </w:rPr>
        <w:t xml:space="preserve"> </w:t>
      </w:r>
      <w:r w:rsidRPr="008B262F">
        <w:rPr>
          <w:i/>
          <w:color w:val="000000"/>
          <w:sz w:val="22"/>
          <w:szCs w:val="22"/>
        </w:rPr>
        <w:t xml:space="preserve">Jenkins </w:t>
      </w:r>
      <w:r w:rsidRPr="008B262F">
        <w:rPr>
          <w:color w:val="000000"/>
          <w:sz w:val="22"/>
          <w:szCs w:val="22"/>
        </w:rPr>
        <w:t xml:space="preserve">relied on a personalising narrative of hate that limited the scope for recognising the banal institutional entrenchment of homophobia. Accommodating queer claims for inclusion relied on personalising homophobic hatred and its remedies, rather than reshaping existing institutional practices. Hate crime laws may render queer victims visible and punish anti-queer offenders, but they do so at a cost – the covering over of institutional accountability. </w:t>
      </w:r>
    </w:p>
    <w:p w14:paraId="1819A5AB" w14:textId="0F3E9104" w:rsidR="008B262F" w:rsidRPr="008B262F" w:rsidRDefault="00A6797F" w:rsidP="002B02AE">
      <w:pPr>
        <w:spacing w:line="480" w:lineRule="auto"/>
        <w:ind w:firstLine="720"/>
        <w:jc w:val="both"/>
        <w:rPr>
          <w:color w:val="000000"/>
          <w:sz w:val="22"/>
          <w:szCs w:val="22"/>
        </w:rPr>
      </w:pPr>
      <w:r w:rsidRPr="008B262F">
        <w:rPr>
          <w:color w:val="000000"/>
          <w:sz w:val="22"/>
          <w:szCs w:val="22"/>
        </w:rPr>
        <w:t xml:space="preserve">Judicial decisions (when giving effect to particular statutes) play an instrumental role in emotionally construing homosexuality in contradictory ways. Queers can be rendered objects of scorn, revulsion, and/or pity for the public. </w:t>
      </w:r>
      <w:r w:rsidR="00960689" w:rsidRPr="008B262F">
        <w:rPr>
          <w:color w:val="000000"/>
          <w:sz w:val="22"/>
          <w:szCs w:val="22"/>
        </w:rPr>
        <w:t xml:space="preserve">The </w:t>
      </w:r>
      <w:r w:rsidR="00960689" w:rsidRPr="008B262F">
        <w:rPr>
          <w:i/>
          <w:color w:val="000000"/>
          <w:sz w:val="22"/>
          <w:szCs w:val="22"/>
        </w:rPr>
        <w:t xml:space="preserve">Hate Crimes Prevention </w:t>
      </w:r>
      <w:r w:rsidR="00A56272" w:rsidRPr="008B262F">
        <w:rPr>
          <w:color w:val="000000"/>
          <w:sz w:val="22"/>
          <w:szCs w:val="22"/>
        </w:rPr>
        <w:t xml:space="preserve">recognises homophobic and </w:t>
      </w:r>
      <w:r w:rsidR="00960689" w:rsidRPr="008B262F">
        <w:rPr>
          <w:color w:val="000000"/>
          <w:sz w:val="22"/>
          <w:szCs w:val="22"/>
        </w:rPr>
        <w:t>transphobic inj</w:t>
      </w:r>
      <w:r w:rsidR="0064645D">
        <w:rPr>
          <w:color w:val="000000"/>
          <w:sz w:val="22"/>
          <w:szCs w:val="22"/>
        </w:rPr>
        <w:t>ury insofar as it results in a ‘</w:t>
      </w:r>
      <w:r w:rsidR="00960689" w:rsidRPr="008B262F">
        <w:rPr>
          <w:color w:val="000000"/>
          <w:sz w:val="22"/>
          <w:szCs w:val="22"/>
        </w:rPr>
        <w:t xml:space="preserve">bodily </w:t>
      </w:r>
      <w:r w:rsidR="0064645D">
        <w:rPr>
          <w:color w:val="000000"/>
          <w:sz w:val="22"/>
          <w:szCs w:val="22"/>
        </w:rPr>
        <w:t>injury’</w:t>
      </w:r>
      <w:r w:rsidR="00960689" w:rsidRPr="008B262F">
        <w:rPr>
          <w:color w:val="000000"/>
          <w:sz w:val="22"/>
          <w:szCs w:val="22"/>
        </w:rPr>
        <w:t xml:space="preserve"> defined against psychic or identity traumas</w:t>
      </w:r>
      <w:r w:rsidR="0064645D">
        <w:rPr>
          <w:color w:val="000000"/>
          <w:sz w:val="22"/>
          <w:szCs w:val="22"/>
        </w:rPr>
        <w:t>. The preambular references to ‘free speech’</w:t>
      </w:r>
      <w:r w:rsidR="00960689" w:rsidRPr="008B262F">
        <w:rPr>
          <w:color w:val="000000"/>
          <w:sz w:val="22"/>
          <w:szCs w:val="22"/>
        </w:rPr>
        <w:t xml:space="preserve"> in the legislation work to disassociate ho</w:t>
      </w:r>
      <w:r w:rsidR="00A56272" w:rsidRPr="008B262F">
        <w:rPr>
          <w:color w:val="000000"/>
          <w:sz w:val="22"/>
          <w:szCs w:val="22"/>
        </w:rPr>
        <w:t xml:space="preserve">mophobic and </w:t>
      </w:r>
      <w:r w:rsidR="00960689" w:rsidRPr="008B262F">
        <w:rPr>
          <w:color w:val="000000"/>
          <w:sz w:val="22"/>
          <w:szCs w:val="22"/>
        </w:rPr>
        <w:t xml:space="preserve">transphobic violence from hateful speech. The law </w:t>
      </w:r>
      <w:r w:rsidR="00A56272" w:rsidRPr="008B262F">
        <w:rPr>
          <w:color w:val="000000"/>
          <w:sz w:val="22"/>
          <w:szCs w:val="22"/>
        </w:rPr>
        <w:t xml:space="preserve">maintains certain kinds of homophobic and </w:t>
      </w:r>
      <w:r w:rsidR="00960689" w:rsidRPr="008B262F">
        <w:rPr>
          <w:color w:val="000000"/>
          <w:sz w:val="22"/>
          <w:szCs w:val="22"/>
        </w:rPr>
        <w:t xml:space="preserve">transphobic injuries (verbal taunts and psychological damage) and disregards them in its attempt to remedy or eradicate them. </w:t>
      </w:r>
      <w:r w:rsidRPr="008B262F">
        <w:rPr>
          <w:color w:val="000000"/>
          <w:sz w:val="22"/>
          <w:szCs w:val="22"/>
        </w:rPr>
        <w:t xml:space="preserve">By </w:t>
      </w:r>
      <w:r w:rsidR="00DA3866" w:rsidRPr="008B262F">
        <w:rPr>
          <w:color w:val="000000"/>
          <w:sz w:val="22"/>
          <w:szCs w:val="22"/>
        </w:rPr>
        <w:t>enacting</w:t>
      </w:r>
      <w:r w:rsidRPr="008B262F">
        <w:rPr>
          <w:color w:val="000000"/>
          <w:sz w:val="22"/>
          <w:szCs w:val="22"/>
        </w:rPr>
        <w:t xml:space="preserve"> hate </w:t>
      </w:r>
      <w:r w:rsidR="003E633A" w:rsidRPr="008B262F">
        <w:rPr>
          <w:color w:val="000000"/>
          <w:sz w:val="22"/>
          <w:szCs w:val="22"/>
        </w:rPr>
        <w:t>in pro-LGBTI cases</w:t>
      </w:r>
      <w:r w:rsidRPr="008B262F">
        <w:rPr>
          <w:color w:val="000000"/>
          <w:sz w:val="22"/>
          <w:szCs w:val="22"/>
        </w:rPr>
        <w:t xml:space="preserve">, as referenced in the </w:t>
      </w:r>
      <w:r w:rsidRPr="008B262F">
        <w:rPr>
          <w:i/>
          <w:color w:val="000000"/>
          <w:sz w:val="22"/>
          <w:szCs w:val="22"/>
        </w:rPr>
        <w:t xml:space="preserve">Hate Crimes Prevention Act </w:t>
      </w:r>
      <w:r w:rsidR="003E633A" w:rsidRPr="008B262F">
        <w:rPr>
          <w:color w:val="000000"/>
          <w:sz w:val="22"/>
          <w:szCs w:val="22"/>
        </w:rPr>
        <w:t>and associated jurisprudence</w:t>
      </w:r>
      <w:r w:rsidRPr="008B262F">
        <w:rPr>
          <w:color w:val="000000"/>
          <w:sz w:val="22"/>
          <w:szCs w:val="22"/>
        </w:rPr>
        <w:t xml:space="preserve">, the state is able to exhibit a formal </w:t>
      </w:r>
      <w:r w:rsidR="00A56272" w:rsidRPr="008B262F">
        <w:rPr>
          <w:color w:val="000000"/>
          <w:sz w:val="22"/>
          <w:szCs w:val="22"/>
        </w:rPr>
        <w:t xml:space="preserve">condemnation of homophobic and </w:t>
      </w:r>
      <w:r w:rsidR="00DA3866" w:rsidRPr="008B262F">
        <w:rPr>
          <w:color w:val="000000"/>
          <w:sz w:val="22"/>
          <w:szCs w:val="22"/>
        </w:rPr>
        <w:t>transphobic injury</w:t>
      </w:r>
      <w:r w:rsidRPr="008B262F">
        <w:rPr>
          <w:color w:val="000000"/>
          <w:sz w:val="22"/>
          <w:szCs w:val="22"/>
        </w:rPr>
        <w:t xml:space="preserve"> – </w:t>
      </w:r>
      <w:r w:rsidR="00DA3866" w:rsidRPr="008B262F">
        <w:rPr>
          <w:color w:val="000000"/>
          <w:sz w:val="22"/>
          <w:szCs w:val="22"/>
        </w:rPr>
        <w:t>while covering structural aspects of its existence</w:t>
      </w:r>
      <w:r w:rsidRPr="008B262F">
        <w:rPr>
          <w:color w:val="000000"/>
          <w:sz w:val="22"/>
          <w:szCs w:val="22"/>
        </w:rPr>
        <w:t xml:space="preserve">. </w:t>
      </w:r>
      <w:r w:rsidR="001C372B">
        <w:rPr>
          <w:color w:val="000000"/>
          <w:sz w:val="22"/>
          <w:szCs w:val="22"/>
        </w:rPr>
        <w:t xml:space="preserve">For activist legal scholars wishing to counteract the impacts of homophobia, reading emotion offers a way to register the socio-legal consequences of hate crime law while reflecting on whether the pursuit of heightened criminal penalties will secure the safety of queer minorities and/or minimise the ways the state participates in the marginalisation of queers. This approach does not abandon activist demands to hold homophobes accountable for violence but rather provides a </w:t>
      </w:r>
      <w:r w:rsidR="0073437D">
        <w:rPr>
          <w:color w:val="000000"/>
          <w:sz w:val="22"/>
          <w:szCs w:val="22"/>
        </w:rPr>
        <w:t>lens</w:t>
      </w:r>
      <w:r w:rsidR="001C372B">
        <w:rPr>
          <w:color w:val="000000"/>
          <w:sz w:val="22"/>
          <w:szCs w:val="22"/>
        </w:rPr>
        <w:t xml:space="preserve"> to navigate how those demands are emotionally a</w:t>
      </w:r>
      <w:r w:rsidR="005142FB">
        <w:rPr>
          <w:color w:val="000000"/>
          <w:sz w:val="22"/>
          <w:szCs w:val="22"/>
        </w:rPr>
        <w:t>rticulated through progressive jurisprudence</w:t>
      </w:r>
      <w:r w:rsidR="001C372B">
        <w:rPr>
          <w:color w:val="000000"/>
          <w:sz w:val="22"/>
          <w:szCs w:val="22"/>
        </w:rPr>
        <w:t xml:space="preserve">. </w:t>
      </w:r>
    </w:p>
    <w:p w14:paraId="7A6BED81" w14:textId="6E2C468C" w:rsidR="00A6797F" w:rsidRPr="008B262F" w:rsidRDefault="00A6797F" w:rsidP="00A6797F">
      <w:pPr>
        <w:spacing w:line="480" w:lineRule="auto"/>
        <w:jc w:val="both"/>
        <w:rPr>
          <w:b/>
          <w:color w:val="000000"/>
          <w:sz w:val="22"/>
          <w:szCs w:val="22"/>
        </w:rPr>
      </w:pPr>
      <w:r w:rsidRPr="008B262F">
        <w:rPr>
          <w:b/>
          <w:color w:val="000000"/>
          <w:sz w:val="22"/>
          <w:szCs w:val="22"/>
        </w:rPr>
        <w:t>L</w:t>
      </w:r>
      <w:r w:rsidR="001F1839" w:rsidRPr="008B262F">
        <w:rPr>
          <w:b/>
          <w:color w:val="000000"/>
          <w:sz w:val="22"/>
          <w:szCs w:val="22"/>
        </w:rPr>
        <w:t>iberating</w:t>
      </w:r>
      <w:r w:rsidRPr="008B262F">
        <w:rPr>
          <w:b/>
          <w:color w:val="000000"/>
          <w:sz w:val="22"/>
          <w:szCs w:val="22"/>
        </w:rPr>
        <w:t xml:space="preserve"> Love</w:t>
      </w:r>
      <w:r w:rsidR="00C878C2">
        <w:rPr>
          <w:b/>
          <w:color w:val="000000"/>
          <w:sz w:val="22"/>
          <w:szCs w:val="22"/>
        </w:rPr>
        <w:t xml:space="preserve"> and Marriage Equality Jurisprudence</w:t>
      </w:r>
    </w:p>
    <w:p w14:paraId="17B25FA5" w14:textId="4134FC95" w:rsidR="00A6797F" w:rsidRPr="008B262F" w:rsidRDefault="00E528AA" w:rsidP="00E528AA">
      <w:pPr>
        <w:spacing w:line="480" w:lineRule="auto"/>
        <w:jc w:val="both"/>
        <w:rPr>
          <w:color w:val="000000"/>
          <w:sz w:val="22"/>
          <w:szCs w:val="22"/>
        </w:rPr>
      </w:pPr>
      <w:r w:rsidRPr="008B262F">
        <w:rPr>
          <w:color w:val="000000"/>
          <w:sz w:val="22"/>
          <w:szCs w:val="22"/>
        </w:rPr>
        <w:t xml:space="preserve">In contrast to criminal law and the </w:t>
      </w:r>
      <w:r w:rsidR="00DA3866" w:rsidRPr="008B262F">
        <w:rPr>
          <w:color w:val="000000"/>
          <w:sz w:val="22"/>
          <w:szCs w:val="22"/>
        </w:rPr>
        <w:t>enactment</w:t>
      </w:r>
      <w:r w:rsidR="00960689" w:rsidRPr="008B262F">
        <w:rPr>
          <w:color w:val="000000"/>
          <w:sz w:val="22"/>
          <w:szCs w:val="22"/>
        </w:rPr>
        <w:t xml:space="preserve"> of hate </w:t>
      </w:r>
      <w:r w:rsidR="00DA3866" w:rsidRPr="008B262F">
        <w:rPr>
          <w:color w:val="000000"/>
          <w:sz w:val="22"/>
          <w:szCs w:val="22"/>
        </w:rPr>
        <w:t>to punish homophobes</w:t>
      </w:r>
      <w:r w:rsidRPr="008B262F">
        <w:rPr>
          <w:color w:val="000000"/>
          <w:sz w:val="22"/>
          <w:szCs w:val="22"/>
        </w:rPr>
        <w:t xml:space="preserve">, </w:t>
      </w:r>
      <w:r w:rsidR="00960689" w:rsidRPr="008B262F">
        <w:rPr>
          <w:color w:val="000000"/>
          <w:sz w:val="22"/>
          <w:szCs w:val="22"/>
        </w:rPr>
        <w:t xml:space="preserve">LGBTI people have simultaneously turned to </w:t>
      </w:r>
      <w:r w:rsidR="009F7E13">
        <w:rPr>
          <w:color w:val="000000"/>
          <w:sz w:val="22"/>
          <w:szCs w:val="22"/>
        </w:rPr>
        <w:t>constitutional</w:t>
      </w:r>
      <w:r w:rsidR="00DF3AD0" w:rsidRPr="008B262F">
        <w:rPr>
          <w:color w:val="000000"/>
          <w:sz w:val="22"/>
          <w:szCs w:val="22"/>
        </w:rPr>
        <w:t xml:space="preserve"> law</w:t>
      </w:r>
      <w:r w:rsidRPr="008B262F">
        <w:rPr>
          <w:color w:val="000000"/>
          <w:sz w:val="22"/>
          <w:szCs w:val="22"/>
        </w:rPr>
        <w:t xml:space="preserve"> </w:t>
      </w:r>
      <w:r w:rsidR="00960689" w:rsidRPr="008B262F">
        <w:rPr>
          <w:color w:val="000000"/>
          <w:sz w:val="22"/>
          <w:szCs w:val="22"/>
        </w:rPr>
        <w:t>to affirm their intimacies and identities</w:t>
      </w:r>
      <w:r w:rsidR="00DF3AD0" w:rsidRPr="008B262F">
        <w:rPr>
          <w:color w:val="000000"/>
          <w:sz w:val="22"/>
          <w:szCs w:val="22"/>
        </w:rPr>
        <w:t xml:space="preserve">. </w:t>
      </w:r>
      <w:r w:rsidR="0038751E" w:rsidRPr="008B262F">
        <w:rPr>
          <w:color w:val="000000"/>
          <w:sz w:val="22"/>
          <w:szCs w:val="22"/>
        </w:rPr>
        <w:t xml:space="preserve">Marriage, in particular, is prized as the ultimate affirmation of </w:t>
      </w:r>
      <w:r w:rsidR="0064645D">
        <w:rPr>
          <w:color w:val="000000"/>
          <w:sz w:val="22"/>
          <w:szCs w:val="22"/>
        </w:rPr>
        <w:t>social inclusion</w:t>
      </w:r>
      <w:r w:rsidR="0038751E" w:rsidRPr="008B262F">
        <w:rPr>
          <w:color w:val="000000"/>
          <w:sz w:val="22"/>
          <w:szCs w:val="22"/>
        </w:rPr>
        <w:t>.</w:t>
      </w:r>
      <w:r w:rsidR="000E4BF6">
        <w:rPr>
          <w:rStyle w:val="EndnoteReference"/>
          <w:color w:val="000000"/>
          <w:sz w:val="22"/>
          <w:szCs w:val="22"/>
        </w:rPr>
        <w:endnoteReference w:id="63"/>
      </w:r>
      <w:r w:rsidR="0038751E" w:rsidRPr="008B262F">
        <w:rPr>
          <w:color w:val="000000"/>
          <w:sz w:val="22"/>
          <w:szCs w:val="22"/>
        </w:rPr>
        <w:t xml:space="preserve"> In taking this further, I want to look at how p</w:t>
      </w:r>
      <w:r w:rsidR="00DF3AD0" w:rsidRPr="008B262F">
        <w:rPr>
          <w:color w:val="000000"/>
          <w:sz w:val="22"/>
          <w:szCs w:val="22"/>
        </w:rPr>
        <w:t>ro-LGBTI m</w:t>
      </w:r>
      <w:r w:rsidRPr="008B262F">
        <w:rPr>
          <w:color w:val="000000"/>
          <w:sz w:val="22"/>
          <w:szCs w:val="22"/>
        </w:rPr>
        <w:t>arriage equality</w:t>
      </w:r>
      <w:r w:rsidR="0038751E" w:rsidRPr="008B262F">
        <w:rPr>
          <w:color w:val="000000"/>
          <w:sz w:val="22"/>
          <w:szCs w:val="22"/>
        </w:rPr>
        <w:t xml:space="preserve"> cases enact</w:t>
      </w:r>
      <w:r w:rsidR="00960689" w:rsidRPr="008B262F">
        <w:rPr>
          <w:color w:val="000000"/>
          <w:sz w:val="22"/>
          <w:szCs w:val="22"/>
        </w:rPr>
        <w:t xml:space="preserve"> love </w:t>
      </w:r>
      <w:r w:rsidR="0038751E" w:rsidRPr="008B262F">
        <w:rPr>
          <w:color w:val="000000"/>
          <w:sz w:val="22"/>
          <w:szCs w:val="22"/>
        </w:rPr>
        <w:t>to circumscribe</w:t>
      </w:r>
      <w:r w:rsidR="00960689" w:rsidRPr="008B262F">
        <w:rPr>
          <w:color w:val="000000"/>
          <w:sz w:val="22"/>
          <w:szCs w:val="22"/>
        </w:rPr>
        <w:t xml:space="preserve"> </w:t>
      </w:r>
      <w:r w:rsidRPr="008B262F">
        <w:rPr>
          <w:color w:val="000000"/>
          <w:sz w:val="22"/>
          <w:szCs w:val="22"/>
        </w:rPr>
        <w:t>legal recognition</w:t>
      </w:r>
      <w:r w:rsidR="0073437D">
        <w:rPr>
          <w:color w:val="000000"/>
          <w:sz w:val="22"/>
          <w:szCs w:val="22"/>
        </w:rPr>
        <w:t xml:space="preserve"> in problematic ways</w:t>
      </w:r>
      <w:r w:rsidRPr="008B262F">
        <w:rPr>
          <w:color w:val="000000"/>
          <w:sz w:val="22"/>
          <w:szCs w:val="22"/>
        </w:rPr>
        <w:t xml:space="preserve">. </w:t>
      </w:r>
      <w:r w:rsidR="008B162B" w:rsidRPr="008B262F">
        <w:rPr>
          <w:color w:val="000000"/>
          <w:sz w:val="22"/>
          <w:szCs w:val="22"/>
        </w:rPr>
        <w:t>California offers us a rich example of this</w:t>
      </w:r>
      <w:r w:rsidR="00A6797F" w:rsidRPr="008B262F">
        <w:rPr>
          <w:color w:val="000000"/>
          <w:sz w:val="22"/>
          <w:szCs w:val="22"/>
        </w:rPr>
        <w:t xml:space="preserve">. California’s move towards marriage equality began in 2004. Following </w:t>
      </w:r>
      <w:r w:rsidR="00DF3AD0" w:rsidRPr="008B262F">
        <w:rPr>
          <w:color w:val="000000"/>
          <w:sz w:val="22"/>
          <w:szCs w:val="22"/>
        </w:rPr>
        <w:t>the legalisation of marriage equality in Massachusetts</w:t>
      </w:r>
      <w:r w:rsidR="00A6797F" w:rsidRPr="008B262F">
        <w:rPr>
          <w:color w:val="000000"/>
          <w:sz w:val="22"/>
          <w:szCs w:val="22"/>
        </w:rPr>
        <w:t>, San Francisco Mayor Gavin Newsom ordered that county clerks issue same-sex couples with marriage licences.</w:t>
      </w:r>
      <w:r w:rsidR="000E4BF6">
        <w:rPr>
          <w:rStyle w:val="EndnoteReference"/>
          <w:color w:val="000000"/>
          <w:sz w:val="22"/>
          <w:szCs w:val="22"/>
        </w:rPr>
        <w:endnoteReference w:id="64"/>
      </w:r>
      <w:r w:rsidR="00A6797F" w:rsidRPr="008B262F">
        <w:rPr>
          <w:color w:val="000000"/>
          <w:sz w:val="22"/>
          <w:szCs w:val="22"/>
        </w:rPr>
        <w:t xml:space="preserve"> A few years earlier, the </w:t>
      </w:r>
      <w:r w:rsidR="00A6797F" w:rsidRPr="008B262F">
        <w:rPr>
          <w:i/>
          <w:color w:val="000000"/>
          <w:sz w:val="22"/>
          <w:szCs w:val="22"/>
        </w:rPr>
        <w:t>California Family Code</w:t>
      </w:r>
      <w:r w:rsidR="00A6797F" w:rsidRPr="008B262F">
        <w:rPr>
          <w:color w:val="000000"/>
          <w:sz w:val="22"/>
          <w:szCs w:val="22"/>
        </w:rPr>
        <w:t xml:space="preserve"> had been amended by a public ballot to restrict the definition of marriage to opposite-sex couples. Newsom believed, however, given the outcome in Massachusetts, that such a ban was inconsistent with Californ</w:t>
      </w:r>
      <w:r w:rsidR="00D436E3">
        <w:rPr>
          <w:color w:val="000000"/>
          <w:sz w:val="22"/>
          <w:szCs w:val="22"/>
        </w:rPr>
        <w:t>ia’s (similarly drafted) state c</w:t>
      </w:r>
      <w:r w:rsidR="00A6797F" w:rsidRPr="008B262F">
        <w:rPr>
          <w:color w:val="000000"/>
          <w:sz w:val="22"/>
          <w:szCs w:val="22"/>
        </w:rPr>
        <w:t>onstitution. In response, he opened up the city to solemnising same</w:t>
      </w:r>
      <w:r w:rsidR="00A6797F" w:rsidRPr="008B262F">
        <w:rPr>
          <w:color w:val="000000"/>
          <w:sz w:val="22"/>
          <w:szCs w:val="22"/>
        </w:rPr>
        <w:noBreakHyphen/>
        <w:t>sex marriages. Same-sex couples flocked from around the state (and from other parts of the country) to get married. Within weeks, the Supreme Court of California nullified the marriages that had taken place.</w:t>
      </w:r>
      <w:r w:rsidR="000E4BF6">
        <w:rPr>
          <w:rStyle w:val="EndnoteReference"/>
          <w:color w:val="000000"/>
          <w:sz w:val="22"/>
          <w:szCs w:val="22"/>
        </w:rPr>
        <w:endnoteReference w:id="65"/>
      </w:r>
    </w:p>
    <w:p w14:paraId="310C09AC" w14:textId="403E0CFA" w:rsidR="00A6797F" w:rsidRPr="008B262F" w:rsidRDefault="00A6797F" w:rsidP="00A6797F">
      <w:pPr>
        <w:spacing w:line="480" w:lineRule="auto"/>
        <w:ind w:firstLine="720"/>
        <w:jc w:val="both"/>
        <w:rPr>
          <w:color w:val="000000"/>
          <w:sz w:val="22"/>
          <w:szCs w:val="22"/>
        </w:rPr>
      </w:pPr>
      <w:r w:rsidRPr="008B262F">
        <w:rPr>
          <w:color w:val="000000"/>
          <w:sz w:val="22"/>
          <w:szCs w:val="22"/>
        </w:rPr>
        <w:t xml:space="preserve">Bolstered by the promise of </w:t>
      </w:r>
      <w:r w:rsidR="00E528AA" w:rsidRPr="008B262F">
        <w:rPr>
          <w:color w:val="000000"/>
          <w:sz w:val="22"/>
          <w:szCs w:val="22"/>
        </w:rPr>
        <w:t>love</w:t>
      </w:r>
      <w:r w:rsidR="0073437D">
        <w:rPr>
          <w:color w:val="000000"/>
          <w:sz w:val="22"/>
          <w:szCs w:val="22"/>
        </w:rPr>
        <w:t xml:space="preserve"> (alongside desires for equality)</w:t>
      </w:r>
      <w:r w:rsidRPr="008B262F">
        <w:rPr>
          <w:color w:val="000000"/>
          <w:sz w:val="22"/>
          <w:szCs w:val="22"/>
        </w:rPr>
        <w:t>, the lead plaintiff couples and the City of San Francisco sought a declaration that the statutory definition of marriage breached the liberty and equa</w:t>
      </w:r>
      <w:r w:rsidR="00D436E3">
        <w:rPr>
          <w:color w:val="000000"/>
          <w:sz w:val="22"/>
          <w:szCs w:val="22"/>
        </w:rPr>
        <w:t>lity guarantees of the state’s c</w:t>
      </w:r>
      <w:r w:rsidRPr="008B262F">
        <w:rPr>
          <w:color w:val="000000"/>
          <w:sz w:val="22"/>
          <w:szCs w:val="22"/>
        </w:rPr>
        <w:t>onstitution.</w:t>
      </w:r>
      <w:r w:rsidR="000E4BF6">
        <w:rPr>
          <w:rStyle w:val="EndnoteReference"/>
          <w:color w:val="000000"/>
          <w:sz w:val="22"/>
          <w:szCs w:val="22"/>
        </w:rPr>
        <w:endnoteReference w:id="66"/>
      </w:r>
      <w:r w:rsidRPr="008B262F">
        <w:rPr>
          <w:color w:val="000000"/>
          <w:sz w:val="22"/>
          <w:szCs w:val="22"/>
        </w:rPr>
        <w:t xml:space="preserve"> The </w:t>
      </w:r>
      <w:r w:rsidRPr="008B262F">
        <w:rPr>
          <w:i/>
          <w:color w:val="000000"/>
          <w:sz w:val="22"/>
          <w:szCs w:val="22"/>
        </w:rPr>
        <w:t xml:space="preserve">In Re Marriage Cases </w:t>
      </w:r>
      <w:r w:rsidRPr="008B262F">
        <w:rPr>
          <w:color w:val="000000"/>
          <w:sz w:val="22"/>
          <w:szCs w:val="22"/>
        </w:rPr>
        <w:t>consolidated</w:t>
      </w:r>
      <w:r w:rsidRPr="008B262F">
        <w:rPr>
          <w:i/>
          <w:color w:val="000000"/>
          <w:sz w:val="22"/>
          <w:szCs w:val="22"/>
        </w:rPr>
        <w:t xml:space="preserve"> </w:t>
      </w:r>
      <w:r w:rsidRPr="008B262F">
        <w:rPr>
          <w:color w:val="000000"/>
          <w:sz w:val="22"/>
          <w:szCs w:val="22"/>
        </w:rPr>
        <w:t>six appeals from various couples across the state. At the California Court of Appeal, the claims were dismissed on the basis that the gend</w:t>
      </w:r>
      <w:r w:rsidR="0064645D">
        <w:rPr>
          <w:color w:val="000000"/>
          <w:sz w:val="22"/>
          <w:szCs w:val="22"/>
        </w:rPr>
        <w:t>er-specific marriage laws were ‘</w:t>
      </w:r>
      <w:r w:rsidRPr="008B262F">
        <w:rPr>
          <w:color w:val="000000"/>
          <w:sz w:val="22"/>
          <w:szCs w:val="22"/>
        </w:rPr>
        <w:t>ration</w:t>
      </w:r>
      <w:r w:rsidR="0064645D">
        <w:rPr>
          <w:color w:val="000000"/>
          <w:sz w:val="22"/>
          <w:szCs w:val="22"/>
        </w:rPr>
        <w:t>ally’ enacted and there was no ‘fundamental right’</w:t>
      </w:r>
      <w:r w:rsidRPr="008B262F">
        <w:rPr>
          <w:color w:val="000000"/>
          <w:sz w:val="22"/>
          <w:szCs w:val="22"/>
        </w:rPr>
        <w:t xml:space="preserve"> to a same-sex marriage. In delivering the majority opinion, McGuiness PJ subordinated private expr</w:t>
      </w:r>
      <w:r w:rsidR="0064645D">
        <w:rPr>
          <w:color w:val="000000"/>
          <w:sz w:val="22"/>
          <w:szCs w:val="22"/>
        </w:rPr>
        <w:t>essions of love to the ‘public role’ marriage played in ‘</w:t>
      </w:r>
      <w:r w:rsidRPr="008B262F">
        <w:rPr>
          <w:color w:val="000000"/>
          <w:sz w:val="22"/>
          <w:szCs w:val="22"/>
        </w:rPr>
        <w:t>organizing fun</w:t>
      </w:r>
      <w:r w:rsidR="0064645D">
        <w:rPr>
          <w:color w:val="000000"/>
          <w:sz w:val="22"/>
          <w:szCs w:val="22"/>
        </w:rPr>
        <w:t>damental aspects of our society’</w:t>
      </w:r>
      <w:r w:rsidRPr="008B262F">
        <w:rPr>
          <w:color w:val="000000"/>
          <w:sz w:val="22"/>
          <w:szCs w:val="22"/>
        </w:rPr>
        <w:t>.</w:t>
      </w:r>
      <w:r w:rsidR="000E4BF6">
        <w:rPr>
          <w:rStyle w:val="EndnoteReference"/>
          <w:color w:val="000000"/>
          <w:sz w:val="22"/>
          <w:szCs w:val="22"/>
        </w:rPr>
        <w:endnoteReference w:id="67"/>
      </w:r>
      <w:r w:rsidRPr="008B262F">
        <w:rPr>
          <w:color w:val="000000"/>
          <w:sz w:val="22"/>
          <w:szCs w:val="22"/>
        </w:rPr>
        <w:t xml:space="preserve"> Denying same-sex marriage was not a denial of privacy, but rather amounted to a rational decision by the public to preserve the institution for its traditional procreative purposes.</w:t>
      </w:r>
      <w:r w:rsidR="000E4BF6">
        <w:rPr>
          <w:rStyle w:val="EndnoteReference"/>
          <w:color w:val="000000"/>
          <w:sz w:val="22"/>
          <w:szCs w:val="22"/>
        </w:rPr>
        <w:endnoteReference w:id="68"/>
      </w:r>
      <w:r w:rsidRPr="008B262F">
        <w:rPr>
          <w:color w:val="000000"/>
          <w:sz w:val="22"/>
          <w:szCs w:val="22"/>
        </w:rPr>
        <w:t xml:space="preserve"> Rather than consider the issue as one of (denying) liberty, the majority focused on the unique institutional features of marriage to justify exclusion. </w:t>
      </w:r>
    </w:p>
    <w:p w14:paraId="35DBD5F7" w14:textId="1E8815AB" w:rsidR="00A6797F" w:rsidRPr="008B262F" w:rsidRDefault="00A6797F" w:rsidP="00A6797F">
      <w:pPr>
        <w:spacing w:line="480" w:lineRule="auto"/>
        <w:ind w:firstLine="720"/>
        <w:jc w:val="both"/>
        <w:rPr>
          <w:color w:val="000000"/>
          <w:sz w:val="22"/>
          <w:szCs w:val="22"/>
        </w:rPr>
      </w:pPr>
      <w:r w:rsidRPr="008B262F">
        <w:rPr>
          <w:color w:val="000000"/>
          <w:sz w:val="22"/>
          <w:szCs w:val="22"/>
        </w:rPr>
        <w:t xml:space="preserve">Moreover, in the California Court of Appeal, love and privacy were decoupled from marriage and publicity, respectively, to distinguish same-sex and heterosexual forms of love. </w:t>
      </w:r>
      <w:r w:rsidR="00775421" w:rsidRPr="008B262F">
        <w:rPr>
          <w:color w:val="000000"/>
          <w:sz w:val="22"/>
          <w:szCs w:val="22"/>
        </w:rPr>
        <w:t>The Court held that s</w:t>
      </w:r>
      <w:r w:rsidRPr="008B262F">
        <w:rPr>
          <w:color w:val="000000"/>
          <w:sz w:val="22"/>
          <w:szCs w:val="22"/>
        </w:rPr>
        <w:t>ame-sex couples were not seeking to end government interference or criminalisation; they were aspiring for government imprimatur of their intimacies.</w:t>
      </w:r>
      <w:r w:rsidR="000E4BF6">
        <w:rPr>
          <w:rStyle w:val="EndnoteReference"/>
          <w:color w:val="000000"/>
          <w:sz w:val="22"/>
          <w:szCs w:val="22"/>
        </w:rPr>
        <w:endnoteReference w:id="69"/>
      </w:r>
      <w:r w:rsidRPr="008B262F">
        <w:rPr>
          <w:color w:val="000000"/>
          <w:sz w:val="22"/>
          <w:szCs w:val="22"/>
        </w:rPr>
        <w:t xml:space="preserve"> That was not a constitutional issue of privacy or l</w:t>
      </w:r>
      <w:r w:rsidR="0064645D">
        <w:rPr>
          <w:color w:val="000000"/>
          <w:sz w:val="22"/>
          <w:szCs w:val="22"/>
        </w:rPr>
        <w:t>iberty, but one of permissible ‘state interests’</w:t>
      </w:r>
      <w:r w:rsidRPr="008B262F">
        <w:rPr>
          <w:color w:val="000000"/>
          <w:sz w:val="22"/>
          <w:szCs w:val="22"/>
        </w:rPr>
        <w:t>. If same-sex marriage was to become legal, the issue needed to be decided by the people and their elected representatives – not the courts.</w:t>
      </w:r>
      <w:r w:rsidR="000E4BF6">
        <w:rPr>
          <w:rStyle w:val="EndnoteReference"/>
          <w:color w:val="000000"/>
          <w:sz w:val="22"/>
          <w:szCs w:val="22"/>
        </w:rPr>
        <w:endnoteReference w:id="70"/>
      </w:r>
    </w:p>
    <w:p w14:paraId="4DAC2D56" w14:textId="2ADDFF94" w:rsidR="00A6797F" w:rsidRPr="008B262F" w:rsidRDefault="00A6797F" w:rsidP="00A6797F">
      <w:pPr>
        <w:spacing w:line="480" w:lineRule="auto"/>
        <w:jc w:val="both"/>
        <w:rPr>
          <w:color w:val="000000"/>
          <w:sz w:val="22"/>
          <w:szCs w:val="22"/>
        </w:rPr>
      </w:pPr>
      <w:r w:rsidRPr="008B262F">
        <w:rPr>
          <w:color w:val="000000"/>
          <w:sz w:val="22"/>
          <w:szCs w:val="22"/>
        </w:rPr>
        <w:tab/>
        <w:t>In the dissent, however, marriage was cast as a love of liberty (not just of a partner). Kline J</w:t>
      </w:r>
      <w:r w:rsidR="00037F36">
        <w:rPr>
          <w:color w:val="000000"/>
          <w:sz w:val="22"/>
          <w:szCs w:val="22"/>
        </w:rPr>
        <w:t>,</w:t>
      </w:r>
      <w:r w:rsidRPr="008B262F">
        <w:rPr>
          <w:color w:val="000000"/>
          <w:sz w:val="22"/>
          <w:szCs w:val="22"/>
        </w:rPr>
        <w:t xml:space="preserve"> in dissent</w:t>
      </w:r>
      <w:r w:rsidR="00037F36">
        <w:rPr>
          <w:color w:val="000000"/>
          <w:sz w:val="22"/>
          <w:szCs w:val="22"/>
        </w:rPr>
        <w:t>,</w:t>
      </w:r>
      <w:r w:rsidRPr="008B262F">
        <w:rPr>
          <w:color w:val="000000"/>
          <w:sz w:val="22"/>
          <w:szCs w:val="22"/>
        </w:rPr>
        <w:t xml:space="preserve"> </w:t>
      </w:r>
      <w:r w:rsidR="00DA3866" w:rsidRPr="008B262F">
        <w:rPr>
          <w:color w:val="000000"/>
          <w:sz w:val="22"/>
          <w:szCs w:val="22"/>
        </w:rPr>
        <w:t>held</w:t>
      </w:r>
      <w:r w:rsidRPr="008B262F">
        <w:rPr>
          <w:color w:val="000000"/>
          <w:sz w:val="22"/>
          <w:szCs w:val="22"/>
        </w:rPr>
        <w:t xml:space="preserve"> tha</w:t>
      </w:r>
      <w:r w:rsidR="0064645D">
        <w:rPr>
          <w:color w:val="000000"/>
          <w:sz w:val="22"/>
          <w:szCs w:val="22"/>
        </w:rPr>
        <w:t>t pursuing marriage was a ‘self-defining’</w:t>
      </w:r>
      <w:r w:rsidRPr="008B262F">
        <w:rPr>
          <w:color w:val="000000"/>
          <w:sz w:val="22"/>
          <w:szCs w:val="22"/>
        </w:rPr>
        <w:t xml:space="preserve"> feature of personal integrity. Kline J refuted the majority’s framing of privacy and forcefully argued for a more expansive view of privacy that encompassed the intimacy of same-sex couples. Kline J held:</w:t>
      </w:r>
    </w:p>
    <w:p w14:paraId="61541674" w14:textId="243260F6" w:rsidR="00A6797F" w:rsidRPr="008B262F" w:rsidRDefault="00A6797F" w:rsidP="00A6797F">
      <w:pPr>
        <w:pStyle w:val="BQ"/>
        <w:rPr>
          <w:rFonts w:ascii="Times New Roman" w:hAnsi="Times New Roman"/>
          <w:color w:val="000000"/>
          <w:szCs w:val="22"/>
        </w:rPr>
      </w:pPr>
      <w:r w:rsidRPr="008B262F">
        <w:rPr>
          <w:rFonts w:ascii="Times New Roman" w:hAnsi="Times New Roman"/>
          <w:color w:val="000000"/>
          <w:szCs w:val="22"/>
        </w:rPr>
        <w:t>The marital relationship is within the zone of autonomy protected by the right of privacy not just because of the profound nature of the attachment and commitment that marriage represents, the material benefits it provides, and the social ordering it furthers, but also because the decision to marry represents one of the most self</w:t>
      </w:r>
      <w:r w:rsidRPr="008B262F">
        <w:rPr>
          <w:rFonts w:ascii="Times New Roman" w:hAnsi="Times New Roman"/>
          <w:color w:val="000000"/>
          <w:szCs w:val="22"/>
        </w:rPr>
        <w:noBreakHyphen/>
        <w:t>defining decisions an individual can make.</w:t>
      </w:r>
      <w:r w:rsidR="00C912C9">
        <w:rPr>
          <w:rStyle w:val="EndnoteReference"/>
          <w:rFonts w:ascii="Times New Roman" w:hAnsi="Times New Roman"/>
          <w:color w:val="000000"/>
          <w:szCs w:val="22"/>
        </w:rPr>
        <w:endnoteReference w:id="71"/>
      </w:r>
    </w:p>
    <w:p w14:paraId="71EE54A7" w14:textId="3BBE8E37" w:rsidR="00A6797F" w:rsidRPr="008B262F" w:rsidRDefault="00A6797F" w:rsidP="00A6797F">
      <w:pPr>
        <w:spacing w:line="480" w:lineRule="auto"/>
        <w:jc w:val="both"/>
        <w:rPr>
          <w:color w:val="000000"/>
          <w:sz w:val="22"/>
          <w:szCs w:val="22"/>
        </w:rPr>
      </w:pPr>
      <w:r w:rsidRPr="008B262F">
        <w:rPr>
          <w:color w:val="000000"/>
          <w:sz w:val="22"/>
          <w:szCs w:val="22"/>
        </w:rPr>
        <w:t>In Kline J’s account, marriage not only ordered intimacy, but also provided the basis through which individuals could define their identities. The private and public blurred together: personal attachment and commitment could be publicly recognised both materially and socially. By denying same-sex couples the right to pursue marriage, the state interfered with the private expression of intimacy. Marital exclusion was an arbitrary state obstacle to couples seeking to express love. Moreover, treating expressions of same-sex love (such as declarations of commitment or decisions to have children) as different from heterosexual love for the purpose of public regulation suppressed individuals’ public expression.</w:t>
      </w:r>
      <w:r w:rsidR="00C912C9">
        <w:rPr>
          <w:rStyle w:val="EndnoteReference"/>
          <w:color w:val="000000"/>
          <w:sz w:val="22"/>
          <w:szCs w:val="22"/>
        </w:rPr>
        <w:endnoteReference w:id="72"/>
      </w:r>
      <w:r w:rsidRPr="008B262F">
        <w:rPr>
          <w:color w:val="000000"/>
          <w:sz w:val="22"/>
          <w:szCs w:val="22"/>
        </w:rPr>
        <w:t xml:space="preserve"> </w:t>
      </w:r>
      <w:r w:rsidR="00B70557" w:rsidRPr="008B262F">
        <w:rPr>
          <w:color w:val="000000"/>
          <w:sz w:val="22"/>
          <w:szCs w:val="22"/>
        </w:rPr>
        <w:t>C</w:t>
      </w:r>
      <w:r w:rsidRPr="008B262F">
        <w:rPr>
          <w:color w:val="000000"/>
          <w:sz w:val="22"/>
          <w:szCs w:val="22"/>
        </w:rPr>
        <w:t xml:space="preserve">hildren also figured </w:t>
      </w:r>
      <w:r w:rsidR="00752D33" w:rsidRPr="008B262F">
        <w:rPr>
          <w:color w:val="000000"/>
          <w:sz w:val="22"/>
          <w:szCs w:val="22"/>
        </w:rPr>
        <w:t>in this expression of ordered liberty</w:t>
      </w:r>
      <w:r w:rsidRPr="008B262F">
        <w:rPr>
          <w:color w:val="000000"/>
          <w:sz w:val="22"/>
          <w:szCs w:val="22"/>
        </w:rPr>
        <w:t xml:space="preserve">. Denying children the formality of married parents perniciously impacted on their lives by disallowing their families the social and legal security of marriage. </w:t>
      </w:r>
    </w:p>
    <w:p w14:paraId="5F3275D0" w14:textId="0C704F68" w:rsidR="00A6797F" w:rsidRPr="008B262F" w:rsidRDefault="00A6797F" w:rsidP="00A6797F">
      <w:pPr>
        <w:spacing w:line="480" w:lineRule="auto"/>
        <w:jc w:val="both"/>
        <w:rPr>
          <w:color w:val="000000"/>
          <w:sz w:val="22"/>
          <w:szCs w:val="22"/>
        </w:rPr>
      </w:pPr>
      <w:r w:rsidRPr="008B262F">
        <w:rPr>
          <w:color w:val="000000"/>
          <w:sz w:val="22"/>
          <w:szCs w:val="22"/>
        </w:rPr>
        <w:tab/>
        <w:t>The Court of Appeal’s decision was overturned on appeal to the California Supreme Court. Kline J’s dissent about the connections between liberty, love, and family was more favourably received than th</w:t>
      </w:r>
      <w:r w:rsidR="0064645D">
        <w:rPr>
          <w:color w:val="000000"/>
          <w:sz w:val="22"/>
          <w:szCs w:val="22"/>
        </w:rPr>
        <w:t>e majority’s holding about the ‘rational basis’ of ‘traditional marriage’</w:t>
      </w:r>
      <w:r w:rsidRPr="008B262F">
        <w:rPr>
          <w:color w:val="000000"/>
          <w:sz w:val="22"/>
          <w:szCs w:val="22"/>
        </w:rPr>
        <w:t>. George CJ concluded:</w:t>
      </w:r>
    </w:p>
    <w:p w14:paraId="2DDEA32D" w14:textId="4BA2F8BC" w:rsidR="00A6797F" w:rsidRPr="008B262F" w:rsidRDefault="00A6797F" w:rsidP="00A6797F">
      <w:pPr>
        <w:pStyle w:val="BQ"/>
        <w:rPr>
          <w:rFonts w:ascii="Times New Roman" w:hAnsi="Times New Roman"/>
          <w:color w:val="000000"/>
          <w:szCs w:val="22"/>
        </w:rPr>
      </w:pPr>
      <w:r w:rsidRPr="008B262F">
        <w:rPr>
          <w:rFonts w:ascii="Times New Roman" w:hAnsi="Times New Roman"/>
          <w:color w:val="000000"/>
          <w:szCs w:val="22"/>
        </w:rPr>
        <w:t>In view of the substance and significance of the fundamental constitutional right to form a family relationship, the California Constitution properly must be interpreted to guarantee this basic civil right to all Californians, whether gay or heterosexual, and to same-sex couples as well as opposite-sex couples.</w:t>
      </w:r>
      <w:r w:rsidR="00C912C9">
        <w:rPr>
          <w:rStyle w:val="EndnoteReference"/>
          <w:rFonts w:ascii="Times New Roman" w:hAnsi="Times New Roman"/>
          <w:color w:val="000000"/>
          <w:szCs w:val="22"/>
        </w:rPr>
        <w:endnoteReference w:id="73"/>
      </w:r>
    </w:p>
    <w:p w14:paraId="5126BD6E" w14:textId="61536B6A" w:rsidR="00A6797F" w:rsidRPr="008B262F" w:rsidRDefault="00A6797F" w:rsidP="00A6797F">
      <w:pPr>
        <w:spacing w:line="480" w:lineRule="auto"/>
        <w:jc w:val="both"/>
        <w:rPr>
          <w:color w:val="000000"/>
          <w:sz w:val="22"/>
          <w:szCs w:val="22"/>
        </w:rPr>
      </w:pPr>
      <w:r w:rsidRPr="008B262F">
        <w:rPr>
          <w:color w:val="000000"/>
          <w:sz w:val="22"/>
          <w:szCs w:val="22"/>
        </w:rPr>
        <w:t xml:space="preserve">In the California Supreme Court, liberty was tied to intimacy: a right to formulate relationships. </w:t>
      </w:r>
      <w:r w:rsidR="00DA3866" w:rsidRPr="008B262F">
        <w:rPr>
          <w:color w:val="000000"/>
          <w:sz w:val="22"/>
          <w:szCs w:val="22"/>
        </w:rPr>
        <w:t>T</w:t>
      </w:r>
      <w:r w:rsidRPr="008B262F">
        <w:rPr>
          <w:color w:val="000000"/>
          <w:sz w:val="22"/>
          <w:szCs w:val="22"/>
        </w:rPr>
        <w:t>he Court refused to distinguish privacy and kinship.</w:t>
      </w:r>
      <w:r w:rsidR="00C912C9">
        <w:rPr>
          <w:rStyle w:val="EndnoteReference"/>
          <w:color w:val="000000"/>
          <w:sz w:val="22"/>
          <w:szCs w:val="22"/>
        </w:rPr>
        <w:endnoteReference w:id="74"/>
      </w:r>
      <w:r w:rsidRPr="008B262F">
        <w:rPr>
          <w:color w:val="000000"/>
          <w:sz w:val="22"/>
          <w:szCs w:val="22"/>
        </w:rPr>
        <w:t xml:space="preserve"> The autonomy to form a family was blocked by the state’s refusal to grant a marriage licence. Marriage was not a privilege granted by the government but a civil right mandated by the Constitution. Yet, the continued invocation of family was also used to sustain the intimacy between liberty and </w:t>
      </w:r>
      <w:r w:rsidR="00F34DCA" w:rsidRPr="008B262F">
        <w:rPr>
          <w:color w:val="000000"/>
          <w:sz w:val="22"/>
          <w:szCs w:val="22"/>
        </w:rPr>
        <w:t>living well</w:t>
      </w:r>
      <w:r w:rsidRPr="008B262F">
        <w:rPr>
          <w:color w:val="000000"/>
          <w:sz w:val="22"/>
          <w:szCs w:val="22"/>
        </w:rPr>
        <w:t>. In particular, marriage was not simply a subpart of the right to intimate association.</w:t>
      </w:r>
      <w:r w:rsidR="00C912C9">
        <w:rPr>
          <w:rStyle w:val="EndnoteReference"/>
          <w:color w:val="000000"/>
          <w:sz w:val="22"/>
          <w:szCs w:val="22"/>
        </w:rPr>
        <w:endnoteReference w:id="75"/>
      </w:r>
      <w:r w:rsidRPr="008B262F">
        <w:rPr>
          <w:color w:val="000000"/>
          <w:sz w:val="22"/>
          <w:szCs w:val="22"/>
        </w:rPr>
        <w:t xml:space="preserve"> Rather, it remained a</w:t>
      </w:r>
      <w:r w:rsidR="008C4010">
        <w:rPr>
          <w:color w:val="000000"/>
          <w:sz w:val="22"/>
          <w:szCs w:val="22"/>
        </w:rPr>
        <w:t>n opportunity to be recognised ‘</w:t>
      </w:r>
      <w:r w:rsidRPr="008B262F">
        <w:rPr>
          <w:color w:val="000000"/>
          <w:sz w:val="22"/>
          <w:szCs w:val="22"/>
        </w:rPr>
        <w:t>wit</w:t>
      </w:r>
      <w:r w:rsidR="008C4010">
        <w:rPr>
          <w:color w:val="000000"/>
          <w:sz w:val="22"/>
          <w:szCs w:val="22"/>
        </w:rPr>
        <w:t>h a loved one’</w:t>
      </w:r>
      <w:r w:rsidR="0064645D">
        <w:rPr>
          <w:color w:val="000000"/>
          <w:sz w:val="22"/>
          <w:szCs w:val="22"/>
        </w:rPr>
        <w:t xml:space="preserve"> that was of the ‘deepest and utmost importance’</w:t>
      </w:r>
      <w:r w:rsidRPr="008B262F">
        <w:rPr>
          <w:color w:val="000000"/>
          <w:sz w:val="22"/>
          <w:szCs w:val="22"/>
        </w:rPr>
        <w:t xml:space="preserve"> to the individual or couple.</w:t>
      </w:r>
      <w:r w:rsidR="00C912C9">
        <w:rPr>
          <w:rStyle w:val="EndnoteReference"/>
          <w:color w:val="000000"/>
          <w:sz w:val="22"/>
          <w:szCs w:val="22"/>
        </w:rPr>
        <w:endnoteReference w:id="76"/>
      </w:r>
      <w:r w:rsidRPr="008B262F">
        <w:rPr>
          <w:color w:val="000000"/>
          <w:sz w:val="22"/>
          <w:szCs w:val="22"/>
        </w:rPr>
        <w:t xml:space="preserve"> </w:t>
      </w:r>
      <w:r w:rsidR="00E528AA" w:rsidRPr="008B262F">
        <w:rPr>
          <w:color w:val="000000"/>
          <w:sz w:val="22"/>
          <w:szCs w:val="22"/>
        </w:rPr>
        <w:t>S</w:t>
      </w:r>
      <w:r w:rsidRPr="008B262F">
        <w:rPr>
          <w:color w:val="000000"/>
          <w:sz w:val="22"/>
          <w:szCs w:val="22"/>
        </w:rPr>
        <w:t xml:space="preserve">uch liberty was about securing love. </w:t>
      </w:r>
    </w:p>
    <w:p w14:paraId="563DF4C2" w14:textId="7FA8F700" w:rsidR="00A6797F" w:rsidRPr="008B262F" w:rsidRDefault="00A6797F" w:rsidP="00A6797F">
      <w:pPr>
        <w:spacing w:line="480" w:lineRule="auto"/>
        <w:jc w:val="both"/>
        <w:rPr>
          <w:color w:val="000000"/>
          <w:sz w:val="22"/>
          <w:szCs w:val="22"/>
        </w:rPr>
      </w:pPr>
      <w:r w:rsidRPr="008B262F">
        <w:rPr>
          <w:color w:val="000000"/>
          <w:sz w:val="22"/>
          <w:szCs w:val="22"/>
        </w:rPr>
        <w:tab/>
        <w:t xml:space="preserve">Loving liberty </w:t>
      </w:r>
      <w:r w:rsidR="00E528AA" w:rsidRPr="008B262F">
        <w:rPr>
          <w:color w:val="000000"/>
          <w:sz w:val="22"/>
          <w:szCs w:val="22"/>
        </w:rPr>
        <w:t>secured</w:t>
      </w:r>
      <w:r w:rsidRPr="008B262F">
        <w:rPr>
          <w:color w:val="000000"/>
          <w:sz w:val="22"/>
          <w:szCs w:val="22"/>
        </w:rPr>
        <w:t xml:space="preserve"> loving same-sex intimacies. In bringing together liberty and intimacy, George CJ held that marri</w:t>
      </w:r>
      <w:r w:rsidR="0064645D">
        <w:rPr>
          <w:color w:val="000000"/>
          <w:sz w:val="22"/>
          <w:szCs w:val="22"/>
        </w:rPr>
        <w:t>age afforded the plaintiffs an ‘</w:t>
      </w:r>
      <w:r w:rsidRPr="008B262F">
        <w:rPr>
          <w:color w:val="000000"/>
          <w:sz w:val="22"/>
          <w:szCs w:val="22"/>
        </w:rPr>
        <w:t xml:space="preserve">opportunity to live a happy, meaningful, and satisfying life as </w:t>
      </w:r>
      <w:r w:rsidR="0064645D">
        <w:rPr>
          <w:color w:val="000000"/>
          <w:sz w:val="22"/>
          <w:szCs w:val="22"/>
        </w:rPr>
        <w:t>a full member of society’</w:t>
      </w:r>
      <w:r w:rsidRPr="008B262F">
        <w:rPr>
          <w:color w:val="000000"/>
          <w:sz w:val="22"/>
          <w:szCs w:val="22"/>
        </w:rPr>
        <w:t>.</w:t>
      </w:r>
      <w:r w:rsidR="00C912C9">
        <w:rPr>
          <w:rStyle w:val="EndnoteReference"/>
          <w:color w:val="000000"/>
          <w:sz w:val="22"/>
          <w:szCs w:val="22"/>
        </w:rPr>
        <w:endnoteReference w:id="77"/>
      </w:r>
      <w:r w:rsidR="006B27B5" w:rsidRPr="008B262F">
        <w:rPr>
          <w:color w:val="000000"/>
          <w:sz w:val="22"/>
          <w:szCs w:val="22"/>
        </w:rPr>
        <w:t xml:space="preserve"> </w:t>
      </w:r>
      <w:r w:rsidRPr="008B262F">
        <w:rPr>
          <w:color w:val="000000"/>
          <w:sz w:val="22"/>
          <w:szCs w:val="22"/>
        </w:rPr>
        <w:t>By enacting marital love in terms of wellbeing and satisfaction, marriage accrued value by enabling the liberty of those seeking access to the institution. This also had a productive potential: it channelled same-sex intimacies from the injury of exclusion into satisfying partnerships. While the majority opinion in the case eschewed the contention that mar</w:t>
      </w:r>
      <w:r w:rsidR="0064645D">
        <w:rPr>
          <w:color w:val="000000"/>
          <w:sz w:val="22"/>
          <w:szCs w:val="22"/>
        </w:rPr>
        <w:t>riage could be restricted to a ‘responsible’</w:t>
      </w:r>
      <w:r w:rsidRPr="008B262F">
        <w:rPr>
          <w:color w:val="000000"/>
          <w:sz w:val="22"/>
          <w:szCs w:val="22"/>
        </w:rPr>
        <w:t xml:space="preserve"> reproductive purpose, the claim of love (re)enacted in this case rendered marital love synonymous with the notion of relationship stability.</w:t>
      </w:r>
      <w:r w:rsidR="00752D33" w:rsidRPr="008B262F">
        <w:rPr>
          <w:color w:val="000000"/>
          <w:sz w:val="22"/>
          <w:szCs w:val="22"/>
        </w:rPr>
        <w:t xml:space="preserve"> </w:t>
      </w:r>
      <w:r w:rsidRPr="008B262F">
        <w:rPr>
          <w:color w:val="000000"/>
          <w:sz w:val="22"/>
          <w:szCs w:val="22"/>
        </w:rPr>
        <w:t xml:space="preserve">Liberty was invoked through love to help overturn the statutory bar on same-sex marriage. </w:t>
      </w:r>
      <w:r w:rsidR="00F34DCA" w:rsidRPr="008B262F">
        <w:rPr>
          <w:color w:val="000000"/>
          <w:sz w:val="22"/>
          <w:szCs w:val="22"/>
        </w:rPr>
        <w:t xml:space="preserve">While hate consigned homophobes to criminality, love badged gay relationships with respectability. </w:t>
      </w:r>
    </w:p>
    <w:p w14:paraId="21E3A17A" w14:textId="178A2A04" w:rsidR="00A6797F" w:rsidRPr="008B262F" w:rsidRDefault="00A6797F" w:rsidP="00A6797F">
      <w:pPr>
        <w:spacing w:line="480" w:lineRule="auto"/>
        <w:jc w:val="both"/>
        <w:rPr>
          <w:color w:val="000000"/>
          <w:sz w:val="22"/>
          <w:szCs w:val="22"/>
        </w:rPr>
      </w:pPr>
      <w:r w:rsidRPr="008B262F">
        <w:rPr>
          <w:color w:val="000000"/>
          <w:sz w:val="22"/>
          <w:szCs w:val="22"/>
        </w:rPr>
        <w:tab/>
        <w:t>Following the decision of the California Supreme Court, a number of groups petitioned the state to give the public the final say on same-sex marriage by subjecting it to a popular vote. Dubbed Proposition 8, an amendment was put at the 2008 election to constitutionally define marriage as the union between a man and a woman.</w:t>
      </w:r>
      <w:r w:rsidR="00C912C9">
        <w:rPr>
          <w:rStyle w:val="EndnoteReference"/>
          <w:color w:val="000000"/>
          <w:sz w:val="22"/>
          <w:szCs w:val="22"/>
        </w:rPr>
        <w:endnoteReference w:id="78"/>
      </w:r>
      <w:r w:rsidRPr="008B262F">
        <w:rPr>
          <w:color w:val="000000"/>
          <w:sz w:val="22"/>
          <w:szCs w:val="22"/>
        </w:rPr>
        <w:t xml:space="preserve"> Both sides, in a vicious public campaign, spent millions of dollars to sway Californian voters. Proposition 8 passed narrowly, with 52 per cent of the public vote. Proponents of the measure were successful largely by framing the issue in t</w:t>
      </w:r>
      <w:r w:rsidR="0064645D">
        <w:rPr>
          <w:color w:val="000000"/>
          <w:sz w:val="22"/>
          <w:szCs w:val="22"/>
        </w:rPr>
        <w:t>erms of (threats to) children: ‘</w:t>
      </w:r>
      <w:r w:rsidRPr="008B262F">
        <w:rPr>
          <w:color w:val="000000"/>
          <w:sz w:val="22"/>
          <w:szCs w:val="22"/>
        </w:rPr>
        <w:t>We should not accept a court decision that may result in public schools teaching our o</w:t>
      </w:r>
      <w:r w:rsidR="00752D33" w:rsidRPr="008B262F">
        <w:rPr>
          <w:color w:val="000000"/>
          <w:sz w:val="22"/>
          <w:szCs w:val="22"/>
        </w:rPr>
        <w:t>wn kids that gay marriage is ok</w:t>
      </w:r>
      <w:r w:rsidR="0064645D">
        <w:rPr>
          <w:color w:val="000000"/>
          <w:sz w:val="22"/>
          <w:szCs w:val="22"/>
        </w:rPr>
        <w:t>’</w:t>
      </w:r>
      <w:r w:rsidR="00752D33" w:rsidRPr="008B262F">
        <w:rPr>
          <w:color w:val="000000"/>
          <w:sz w:val="22"/>
          <w:szCs w:val="22"/>
        </w:rPr>
        <w:t>.</w:t>
      </w:r>
      <w:r w:rsidR="00C912C9">
        <w:rPr>
          <w:rStyle w:val="EndnoteReference"/>
          <w:color w:val="000000"/>
          <w:sz w:val="22"/>
          <w:szCs w:val="22"/>
        </w:rPr>
        <w:endnoteReference w:id="79"/>
      </w:r>
      <w:r w:rsidRPr="008B262F">
        <w:rPr>
          <w:color w:val="000000"/>
          <w:sz w:val="22"/>
          <w:szCs w:val="22"/>
        </w:rPr>
        <w:t xml:space="preserve"> The amendment created a precarious legal environment for same-sex couples in the state. As the amendment was designed to have only prospective effect, the 18,000 same-sex marriages solemnised prior to its passage remained valid. Yet, same-sex couples were now unable to get married. This created a situation where some same</w:t>
      </w:r>
      <w:r w:rsidRPr="008B262F">
        <w:rPr>
          <w:color w:val="000000"/>
          <w:sz w:val="22"/>
          <w:szCs w:val="22"/>
        </w:rPr>
        <w:noBreakHyphen/>
        <w:t xml:space="preserve">sex relationships were recognised as marriages, while others were not. </w:t>
      </w:r>
    </w:p>
    <w:p w14:paraId="34B6877C" w14:textId="633BB81E" w:rsidR="00A6797F" w:rsidRPr="008B262F" w:rsidRDefault="00A6797F" w:rsidP="00A6797F">
      <w:pPr>
        <w:spacing w:line="480" w:lineRule="auto"/>
        <w:jc w:val="both"/>
        <w:rPr>
          <w:color w:val="000000"/>
          <w:sz w:val="22"/>
          <w:szCs w:val="22"/>
        </w:rPr>
      </w:pPr>
      <w:r w:rsidRPr="008B262F">
        <w:rPr>
          <w:color w:val="000000"/>
          <w:sz w:val="22"/>
          <w:szCs w:val="22"/>
        </w:rPr>
        <w:tab/>
        <w:t>Divergences in recognition prompted an immediate challenge on procedural grounds relating to the constitutional amendments. These appeals were dismissed on the basis tha</w:t>
      </w:r>
      <w:r w:rsidR="008C4010">
        <w:rPr>
          <w:color w:val="000000"/>
          <w:sz w:val="22"/>
          <w:szCs w:val="22"/>
        </w:rPr>
        <w:t>t the Constitution was validly amended</w:t>
      </w:r>
      <w:r w:rsidRPr="008B262F">
        <w:rPr>
          <w:color w:val="000000"/>
          <w:sz w:val="22"/>
          <w:szCs w:val="22"/>
        </w:rPr>
        <w:t xml:space="preserve"> by a proper process.</w:t>
      </w:r>
      <w:r w:rsidR="00C912C9">
        <w:rPr>
          <w:rStyle w:val="EndnoteReference"/>
          <w:color w:val="000000"/>
          <w:sz w:val="22"/>
          <w:szCs w:val="22"/>
        </w:rPr>
        <w:endnoteReference w:id="80"/>
      </w:r>
      <w:r w:rsidRPr="008B262F">
        <w:rPr>
          <w:color w:val="000000"/>
          <w:sz w:val="22"/>
          <w:szCs w:val="22"/>
        </w:rPr>
        <w:t xml:space="preserve"> This then led to a challenge on</w:t>
      </w:r>
      <w:r w:rsidR="00752D33" w:rsidRPr="008B262F">
        <w:rPr>
          <w:color w:val="000000"/>
          <w:sz w:val="22"/>
          <w:szCs w:val="22"/>
        </w:rPr>
        <w:t xml:space="preserve"> federal constitutional grounds in </w:t>
      </w:r>
      <w:r w:rsidRPr="008B262F">
        <w:rPr>
          <w:i/>
          <w:color w:val="000000"/>
          <w:sz w:val="22"/>
          <w:szCs w:val="22"/>
        </w:rPr>
        <w:t xml:space="preserve">Perry v Schwarzenegger </w:t>
      </w:r>
      <w:r w:rsidRPr="008B262F">
        <w:rPr>
          <w:color w:val="000000"/>
          <w:sz w:val="22"/>
          <w:szCs w:val="22"/>
        </w:rPr>
        <w:t xml:space="preserve">(2010). </w:t>
      </w:r>
      <w:r w:rsidR="00752D33" w:rsidRPr="008B262F">
        <w:rPr>
          <w:color w:val="000000"/>
          <w:sz w:val="22"/>
          <w:szCs w:val="22"/>
        </w:rPr>
        <w:t>This case involved</w:t>
      </w:r>
      <w:r w:rsidRPr="008B262F">
        <w:rPr>
          <w:color w:val="000000"/>
          <w:sz w:val="22"/>
          <w:szCs w:val="22"/>
        </w:rPr>
        <w:t xml:space="preserve"> a group of same-sex couples (who came from different cultural backgrounds and had been together for different lengths of time) to resolve a constitutional question: did the bar on same-sex marriage violate the Due Process Clause of the Fourteenth Amendment of the US Constitution?</w:t>
      </w:r>
      <w:r w:rsidR="00C912C9">
        <w:rPr>
          <w:rStyle w:val="EndnoteReference"/>
          <w:color w:val="000000"/>
          <w:sz w:val="22"/>
          <w:szCs w:val="22"/>
        </w:rPr>
        <w:endnoteReference w:id="81"/>
      </w:r>
    </w:p>
    <w:p w14:paraId="5978626F" w14:textId="77777777" w:rsidR="00A6797F" w:rsidRPr="008B262F" w:rsidRDefault="00A6797F" w:rsidP="00A6797F">
      <w:pPr>
        <w:spacing w:line="480" w:lineRule="auto"/>
        <w:jc w:val="both"/>
        <w:rPr>
          <w:color w:val="000000"/>
          <w:sz w:val="22"/>
          <w:szCs w:val="22"/>
        </w:rPr>
      </w:pPr>
      <w:r w:rsidRPr="008B262F">
        <w:rPr>
          <w:color w:val="000000"/>
          <w:sz w:val="22"/>
          <w:szCs w:val="22"/>
        </w:rPr>
        <w:tab/>
        <w:t xml:space="preserve">At trial, the plaintiffs testified about what marriage meant to them as a matter of love. Lead plaintiff Sandy Stier distinguished between domestic partnerships and marriage: </w:t>
      </w:r>
    </w:p>
    <w:p w14:paraId="7A65139D" w14:textId="1F0FEA1A" w:rsidR="00A6797F" w:rsidRPr="008B262F" w:rsidRDefault="00A6797F" w:rsidP="00A6797F">
      <w:pPr>
        <w:pStyle w:val="BQ"/>
        <w:rPr>
          <w:rFonts w:ascii="Times New Roman" w:hAnsi="Times New Roman"/>
          <w:color w:val="000000"/>
          <w:szCs w:val="22"/>
        </w:rPr>
      </w:pPr>
      <w:r w:rsidRPr="008B262F">
        <w:rPr>
          <w:rFonts w:ascii="Times New Roman" w:hAnsi="Times New Roman"/>
          <w:color w:val="000000"/>
          <w:szCs w:val="22"/>
        </w:rPr>
        <w:t>There is certainly nothing about domestic partnership as an institution – not even as an institution, but as a legal agreement that indicates the love and commitment that are inherent in marriage and [domestic partnership] doesn’t have anything to do for us with the nature of our relationship and the type of enduring relationship we want it to be.</w:t>
      </w:r>
      <w:r w:rsidR="00C912C9">
        <w:rPr>
          <w:rStyle w:val="EndnoteReference"/>
          <w:rFonts w:ascii="Times New Roman" w:hAnsi="Times New Roman"/>
          <w:color w:val="000000"/>
          <w:szCs w:val="22"/>
        </w:rPr>
        <w:endnoteReference w:id="82"/>
      </w:r>
      <w:r w:rsidRPr="008B262F">
        <w:rPr>
          <w:rFonts w:ascii="Times New Roman" w:hAnsi="Times New Roman"/>
          <w:color w:val="000000"/>
          <w:szCs w:val="22"/>
        </w:rPr>
        <w:t xml:space="preserve"> </w:t>
      </w:r>
    </w:p>
    <w:p w14:paraId="12AE5F54" w14:textId="30185EFB" w:rsidR="00A6797F" w:rsidRPr="008B262F" w:rsidRDefault="00A6797F" w:rsidP="00A6797F">
      <w:pPr>
        <w:spacing w:line="480" w:lineRule="auto"/>
        <w:jc w:val="both"/>
        <w:rPr>
          <w:color w:val="000000"/>
          <w:sz w:val="22"/>
          <w:szCs w:val="22"/>
        </w:rPr>
      </w:pPr>
      <w:r w:rsidRPr="008B262F">
        <w:rPr>
          <w:color w:val="000000"/>
          <w:sz w:val="22"/>
          <w:szCs w:val="22"/>
        </w:rPr>
        <w:t>Stier’s plea for recognition concentrated on the liberty to define the relationship in the terms that she (and her partner</w:t>
      </w:r>
      <w:r w:rsidR="0064645D">
        <w:rPr>
          <w:color w:val="000000"/>
          <w:sz w:val="22"/>
          <w:szCs w:val="22"/>
        </w:rPr>
        <w:t>) deemed appropriate. The term ‘domestic partnership’</w:t>
      </w:r>
      <w:r w:rsidRPr="008B262F">
        <w:rPr>
          <w:color w:val="000000"/>
          <w:sz w:val="22"/>
          <w:szCs w:val="22"/>
        </w:rPr>
        <w:t xml:space="preserve"> may have offered equivalent legal benefits, but it was not imbued with the love and commitment that were promised</w:t>
      </w:r>
      <w:r w:rsidR="00E528AA" w:rsidRPr="008B262F">
        <w:rPr>
          <w:color w:val="000000"/>
          <w:sz w:val="22"/>
          <w:szCs w:val="22"/>
        </w:rPr>
        <w:t xml:space="preserve"> by marriage. The enactment </w:t>
      </w:r>
      <w:r w:rsidR="00760B76" w:rsidRPr="008B262F">
        <w:rPr>
          <w:color w:val="000000"/>
          <w:sz w:val="22"/>
          <w:szCs w:val="22"/>
        </w:rPr>
        <w:t>of love</w:t>
      </w:r>
      <w:r w:rsidR="00E528AA" w:rsidRPr="008B262F">
        <w:rPr>
          <w:color w:val="000000"/>
          <w:sz w:val="22"/>
          <w:szCs w:val="22"/>
        </w:rPr>
        <w:t xml:space="preserve"> </w:t>
      </w:r>
      <w:r w:rsidRPr="008B262F">
        <w:rPr>
          <w:color w:val="000000"/>
          <w:sz w:val="22"/>
          <w:szCs w:val="22"/>
        </w:rPr>
        <w:t xml:space="preserve">– realised in an enduring relationship – was the main reason why the plaintiffs sought (and were granted) injunctive relief from the Court against Proposition 8: they wanted the </w:t>
      </w:r>
      <w:r w:rsidR="006F1DC8" w:rsidRPr="008B262F">
        <w:rPr>
          <w:color w:val="000000"/>
          <w:sz w:val="22"/>
          <w:szCs w:val="22"/>
        </w:rPr>
        <w:t xml:space="preserve">liberty to proclaim their love. </w:t>
      </w:r>
    </w:p>
    <w:p w14:paraId="4210CE31" w14:textId="7EE7933B" w:rsidR="00E528AA" w:rsidRPr="008B262F" w:rsidRDefault="00E528AA" w:rsidP="009A2ABB">
      <w:pPr>
        <w:spacing w:line="480" w:lineRule="auto"/>
        <w:jc w:val="both"/>
        <w:rPr>
          <w:color w:val="000000"/>
          <w:sz w:val="22"/>
          <w:szCs w:val="22"/>
        </w:rPr>
      </w:pPr>
      <w:r w:rsidRPr="008B262F">
        <w:rPr>
          <w:color w:val="000000"/>
          <w:sz w:val="22"/>
          <w:szCs w:val="22"/>
        </w:rPr>
        <w:tab/>
        <w:t xml:space="preserve">Marital love </w:t>
      </w:r>
      <w:r w:rsidR="0064645D">
        <w:rPr>
          <w:color w:val="000000"/>
          <w:sz w:val="22"/>
          <w:szCs w:val="22"/>
        </w:rPr>
        <w:t>also created a sense of ‘weightiness’</w:t>
      </w:r>
      <w:r w:rsidR="00A6797F" w:rsidRPr="008B262F">
        <w:rPr>
          <w:color w:val="000000"/>
          <w:sz w:val="22"/>
          <w:szCs w:val="22"/>
        </w:rPr>
        <w:t xml:space="preserve"> to legal recognition. Walker CJ found that the denial of same-sex marriage interfered with the right to intimate expression. As a matter of law, neither side conteste</w:t>
      </w:r>
      <w:r w:rsidR="0064645D">
        <w:rPr>
          <w:color w:val="000000"/>
          <w:sz w:val="22"/>
          <w:szCs w:val="22"/>
        </w:rPr>
        <w:t>d the idea that marriage was a ‘fundamental right’</w:t>
      </w:r>
      <w:r w:rsidR="00A6797F" w:rsidRPr="008B262F">
        <w:rPr>
          <w:color w:val="000000"/>
          <w:sz w:val="22"/>
          <w:szCs w:val="22"/>
        </w:rPr>
        <w:t>.</w:t>
      </w:r>
      <w:r w:rsidR="00C912C9">
        <w:rPr>
          <w:rStyle w:val="EndnoteReference"/>
          <w:color w:val="000000"/>
          <w:sz w:val="22"/>
          <w:szCs w:val="22"/>
        </w:rPr>
        <w:endnoteReference w:id="83"/>
      </w:r>
      <w:r w:rsidR="00A6797F" w:rsidRPr="008B262F">
        <w:rPr>
          <w:color w:val="000000"/>
          <w:sz w:val="22"/>
          <w:szCs w:val="22"/>
        </w:rPr>
        <w:t xml:space="preserve"> Rather, the dispute hinged on what characteristics made the right fundamental. Drawing on the language from the California Supreme Court’s earlier decision in the </w:t>
      </w:r>
      <w:r w:rsidR="00A6797F" w:rsidRPr="008B262F">
        <w:rPr>
          <w:i/>
          <w:color w:val="000000"/>
          <w:sz w:val="22"/>
          <w:szCs w:val="22"/>
        </w:rPr>
        <w:t xml:space="preserve">In Re Marriage Cases </w:t>
      </w:r>
      <w:r w:rsidR="00A6797F" w:rsidRPr="008B262F">
        <w:rPr>
          <w:color w:val="000000"/>
          <w:sz w:val="22"/>
          <w:szCs w:val="22"/>
        </w:rPr>
        <w:t>and expert testimony provided to the Court, Walker CJ h</w:t>
      </w:r>
      <w:r w:rsidR="0064645D">
        <w:rPr>
          <w:color w:val="000000"/>
          <w:sz w:val="22"/>
          <w:szCs w:val="22"/>
        </w:rPr>
        <w:t>eld that same-sex couples were ‘identical’</w:t>
      </w:r>
      <w:r w:rsidR="00A6797F" w:rsidRPr="008B262F">
        <w:rPr>
          <w:color w:val="000000"/>
          <w:sz w:val="22"/>
          <w:szCs w:val="22"/>
        </w:rPr>
        <w:t xml:space="preserve"> to their opposite-sex counte</w:t>
      </w:r>
      <w:r w:rsidR="0064645D">
        <w:rPr>
          <w:color w:val="000000"/>
          <w:sz w:val="22"/>
          <w:szCs w:val="22"/>
        </w:rPr>
        <w:t>rparts when it came to forming ‘</w:t>
      </w:r>
      <w:r w:rsidR="00A6797F" w:rsidRPr="008B262F">
        <w:rPr>
          <w:color w:val="000000"/>
          <w:sz w:val="22"/>
          <w:szCs w:val="22"/>
        </w:rPr>
        <w:t>deep emotion</w:t>
      </w:r>
      <w:r w:rsidR="0064645D">
        <w:rPr>
          <w:color w:val="000000"/>
          <w:sz w:val="22"/>
          <w:szCs w:val="22"/>
        </w:rPr>
        <w:t>al bonds and strong commitments’</w:t>
      </w:r>
      <w:r w:rsidR="00A6797F" w:rsidRPr="008B262F">
        <w:rPr>
          <w:color w:val="000000"/>
          <w:sz w:val="22"/>
          <w:szCs w:val="22"/>
        </w:rPr>
        <w:t>.</w:t>
      </w:r>
      <w:r w:rsidR="00C912C9">
        <w:rPr>
          <w:rStyle w:val="EndnoteReference"/>
          <w:color w:val="000000"/>
          <w:sz w:val="22"/>
          <w:szCs w:val="22"/>
        </w:rPr>
        <w:endnoteReference w:id="84"/>
      </w:r>
      <w:r w:rsidR="00A6797F" w:rsidRPr="008B262F">
        <w:rPr>
          <w:color w:val="000000"/>
          <w:sz w:val="22"/>
          <w:szCs w:val="22"/>
        </w:rPr>
        <w:t xml:space="preserve"> Legal recognition of same-sex marriage, therefore, provided an additional dimension of legitimacy and integration to existing cultural practices (such as same-sex commitment ceremonies). Same-sex couples</w:t>
      </w:r>
      <w:r w:rsidR="0064645D">
        <w:rPr>
          <w:color w:val="000000"/>
          <w:sz w:val="22"/>
          <w:szCs w:val="22"/>
        </w:rPr>
        <w:t xml:space="preserve"> were not seeking to acquire a </w:t>
      </w:r>
      <w:r w:rsidR="00A6797F" w:rsidRPr="008B262F">
        <w:rPr>
          <w:color w:val="000000"/>
          <w:sz w:val="22"/>
          <w:szCs w:val="22"/>
        </w:rPr>
        <w:t>n</w:t>
      </w:r>
      <w:r w:rsidR="0064645D">
        <w:rPr>
          <w:color w:val="000000"/>
          <w:sz w:val="22"/>
          <w:szCs w:val="22"/>
        </w:rPr>
        <w:t>ew right</w:t>
      </w:r>
      <w:r w:rsidR="00A6797F" w:rsidRPr="008B262F">
        <w:rPr>
          <w:color w:val="000000"/>
          <w:sz w:val="22"/>
          <w:szCs w:val="22"/>
        </w:rPr>
        <w:t>; they were merely asserting their existing right to marry a partner of their choice. By making this claim, Walker CJ used love t</w:t>
      </w:r>
      <w:r w:rsidR="0064645D">
        <w:rPr>
          <w:color w:val="000000"/>
          <w:sz w:val="22"/>
          <w:szCs w:val="22"/>
        </w:rPr>
        <w:t>o show that marriage could not rationally</w:t>
      </w:r>
      <w:r w:rsidR="00A6797F" w:rsidRPr="008B262F">
        <w:rPr>
          <w:color w:val="000000"/>
          <w:sz w:val="22"/>
          <w:szCs w:val="22"/>
        </w:rPr>
        <w:t xml:space="preserve"> be considered a gendered issue. Yet, while the foundations of marital love were no longer gendered, the wort</w:t>
      </w:r>
      <w:r w:rsidR="0064645D">
        <w:rPr>
          <w:color w:val="000000"/>
          <w:sz w:val="22"/>
          <w:szCs w:val="22"/>
        </w:rPr>
        <w:t>hiness of its foundations as a ‘shiny’</w:t>
      </w:r>
      <w:r w:rsidR="00A6797F" w:rsidRPr="008B262F">
        <w:rPr>
          <w:color w:val="000000"/>
          <w:sz w:val="22"/>
          <w:szCs w:val="22"/>
        </w:rPr>
        <w:t xml:space="preserve"> or noble expression of intimacy remained uncontested. </w:t>
      </w:r>
    </w:p>
    <w:p w14:paraId="52699692" w14:textId="6E4E0D8F" w:rsidR="00752D33" w:rsidRPr="008B262F" w:rsidRDefault="009A2ABB" w:rsidP="00752D33">
      <w:pPr>
        <w:spacing w:line="480" w:lineRule="auto"/>
        <w:ind w:firstLine="720"/>
        <w:jc w:val="both"/>
        <w:rPr>
          <w:color w:val="000000"/>
          <w:sz w:val="22"/>
          <w:szCs w:val="22"/>
        </w:rPr>
      </w:pPr>
      <w:r w:rsidRPr="008B262F">
        <w:rPr>
          <w:color w:val="000000"/>
          <w:sz w:val="22"/>
          <w:szCs w:val="22"/>
        </w:rPr>
        <w:t xml:space="preserve">Marriage equality is a powerful love story – one that </w:t>
      </w:r>
      <w:r w:rsidR="00752D33" w:rsidRPr="008B262F">
        <w:rPr>
          <w:color w:val="000000"/>
          <w:sz w:val="22"/>
          <w:szCs w:val="22"/>
        </w:rPr>
        <w:t>the Californian courts</w:t>
      </w:r>
      <w:r w:rsidR="00E528AA" w:rsidRPr="008B262F">
        <w:rPr>
          <w:color w:val="000000"/>
          <w:sz w:val="22"/>
          <w:szCs w:val="22"/>
        </w:rPr>
        <w:t xml:space="preserve"> script</w:t>
      </w:r>
      <w:r w:rsidR="00752D33" w:rsidRPr="008B262F">
        <w:rPr>
          <w:color w:val="000000"/>
          <w:sz w:val="22"/>
          <w:szCs w:val="22"/>
        </w:rPr>
        <w:t>ed</w:t>
      </w:r>
      <w:r w:rsidR="00E528AA" w:rsidRPr="008B262F">
        <w:rPr>
          <w:color w:val="000000"/>
          <w:sz w:val="22"/>
          <w:szCs w:val="22"/>
        </w:rPr>
        <w:t xml:space="preserve"> </w:t>
      </w:r>
      <w:r w:rsidRPr="008B262F">
        <w:rPr>
          <w:color w:val="000000"/>
          <w:sz w:val="22"/>
          <w:szCs w:val="22"/>
        </w:rPr>
        <w:t xml:space="preserve">through a plot of order, maturity, and commitment. </w:t>
      </w:r>
      <w:r w:rsidR="00F34DCA" w:rsidRPr="008B262F">
        <w:rPr>
          <w:color w:val="000000"/>
          <w:sz w:val="22"/>
          <w:szCs w:val="22"/>
        </w:rPr>
        <w:t xml:space="preserve">Unlike pro-LGBTI hate crime cases that work to police (homophobic) subjects, pro-LGBTI marriage equality cases seek to </w:t>
      </w:r>
      <w:r w:rsidR="00DA3866" w:rsidRPr="008B262F">
        <w:rPr>
          <w:color w:val="000000"/>
          <w:sz w:val="22"/>
          <w:szCs w:val="22"/>
        </w:rPr>
        <w:t>privilege</w:t>
      </w:r>
      <w:r w:rsidR="00F34DCA" w:rsidRPr="008B262F">
        <w:rPr>
          <w:color w:val="000000"/>
          <w:sz w:val="22"/>
          <w:szCs w:val="22"/>
        </w:rPr>
        <w:t xml:space="preserve"> the intimacies of (gay) </w:t>
      </w:r>
      <w:r w:rsidR="00A27435">
        <w:rPr>
          <w:color w:val="000000"/>
          <w:sz w:val="22"/>
          <w:szCs w:val="22"/>
        </w:rPr>
        <w:t>subjects</w:t>
      </w:r>
      <w:r w:rsidR="00F34DCA" w:rsidRPr="008B262F">
        <w:rPr>
          <w:color w:val="000000"/>
          <w:sz w:val="22"/>
          <w:szCs w:val="22"/>
        </w:rPr>
        <w:t xml:space="preserve">. </w:t>
      </w:r>
      <w:r w:rsidRPr="008B262F">
        <w:rPr>
          <w:color w:val="000000"/>
          <w:sz w:val="22"/>
          <w:szCs w:val="22"/>
        </w:rPr>
        <w:t xml:space="preserve">As Walker CJ held in </w:t>
      </w:r>
      <w:r w:rsidRPr="008B262F">
        <w:rPr>
          <w:i/>
          <w:color w:val="000000"/>
          <w:sz w:val="22"/>
          <w:szCs w:val="22"/>
        </w:rPr>
        <w:t>Perry</w:t>
      </w:r>
      <w:r w:rsidRPr="008B262F">
        <w:rPr>
          <w:color w:val="000000"/>
          <w:sz w:val="22"/>
          <w:szCs w:val="22"/>
        </w:rPr>
        <w:t xml:space="preserve">, marriage provided a social order through which same-sex couples could find </w:t>
      </w:r>
      <w:r w:rsidR="00E528AA" w:rsidRPr="008B262F">
        <w:rPr>
          <w:color w:val="000000"/>
          <w:sz w:val="22"/>
          <w:szCs w:val="22"/>
        </w:rPr>
        <w:t>love</w:t>
      </w:r>
      <w:r w:rsidR="0064645D">
        <w:rPr>
          <w:color w:val="000000"/>
          <w:sz w:val="22"/>
          <w:szCs w:val="22"/>
        </w:rPr>
        <w:t xml:space="preserve"> from ‘</w:t>
      </w:r>
      <w:r w:rsidRPr="008B262F">
        <w:rPr>
          <w:color w:val="000000"/>
          <w:sz w:val="22"/>
          <w:szCs w:val="22"/>
        </w:rPr>
        <w:t>deep emotional</w:t>
      </w:r>
      <w:r w:rsidR="0064645D">
        <w:rPr>
          <w:color w:val="000000"/>
          <w:sz w:val="22"/>
          <w:szCs w:val="22"/>
        </w:rPr>
        <w:t xml:space="preserve"> bonds’ and ‘strong commitments’</w:t>
      </w:r>
      <w:r w:rsidRPr="008B262F">
        <w:rPr>
          <w:color w:val="000000"/>
          <w:sz w:val="22"/>
          <w:szCs w:val="22"/>
        </w:rPr>
        <w:t>.</w:t>
      </w:r>
      <w:r w:rsidR="00C912C9">
        <w:rPr>
          <w:rStyle w:val="EndnoteReference"/>
          <w:color w:val="000000"/>
          <w:sz w:val="22"/>
          <w:szCs w:val="22"/>
        </w:rPr>
        <w:endnoteReference w:id="85"/>
      </w:r>
      <w:r w:rsidRPr="008B262F">
        <w:rPr>
          <w:color w:val="000000"/>
          <w:sz w:val="22"/>
          <w:szCs w:val="22"/>
        </w:rPr>
        <w:t xml:space="preserve"> Love made way here for couples </w:t>
      </w:r>
      <w:r w:rsidR="00760B76" w:rsidRPr="008B262F">
        <w:rPr>
          <w:color w:val="000000"/>
          <w:sz w:val="22"/>
          <w:szCs w:val="22"/>
        </w:rPr>
        <w:t>that</w:t>
      </w:r>
      <w:r w:rsidRPr="008B262F">
        <w:rPr>
          <w:color w:val="000000"/>
          <w:sz w:val="22"/>
          <w:szCs w:val="22"/>
        </w:rPr>
        <w:t xml:space="preserve"> had their ability to express such commitment blocked by gendered definitions of marriage. </w:t>
      </w:r>
    </w:p>
    <w:p w14:paraId="34537362" w14:textId="77777777" w:rsidR="00437EC6" w:rsidRDefault="00E03CFF" w:rsidP="00E03CFF">
      <w:pPr>
        <w:spacing w:line="480" w:lineRule="auto"/>
        <w:ind w:firstLine="720"/>
        <w:jc w:val="both"/>
        <w:rPr>
          <w:color w:val="000000"/>
          <w:sz w:val="22"/>
          <w:szCs w:val="22"/>
        </w:rPr>
      </w:pPr>
      <w:r>
        <w:rPr>
          <w:color w:val="000000"/>
          <w:sz w:val="22"/>
          <w:szCs w:val="22"/>
        </w:rPr>
        <w:t>Insidiously</w:t>
      </w:r>
      <w:r w:rsidR="00752D33" w:rsidRPr="008B262F">
        <w:rPr>
          <w:color w:val="000000"/>
          <w:sz w:val="22"/>
          <w:szCs w:val="22"/>
        </w:rPr>
        <w:t>,</w:t>
      </w:r>
      <w:r w:rsidR="00DF3AD0" w:rsidRPr="008B262F">
        <w:rPr>
          <w:color w:val="000000"/>
          <w:sz w:val="22"/>
          <w:szCs w:val="22"/>
        </w:rPr>
        <w:t xml:space="preserve"> these en</w:t>
      </w:r>
      <w:r>
        <w:rPr>
          <w:color w:val="000000"/>
          <w:sz w:val="22"/>
          <w:szCs w:val="22"/>
        </w:rPr>
        <w:t xml:space="preserve">actments of love work </w:t>
      </w:r>
      <w:r w:rsidR="00F34DCA" w:rsidRPr="008B262F">
        <w:rPr>
          <w:color w:val="000000"/>
          <w:sz w:val="22"/>
          <w:szCs w:val="22"/>
        </w:rPr>
        <w:t xml:space="preserve">to police queer intimacies. </w:t>
      </w:r>
      <w:r w:rsidR="009A2ABB" w:rsidRPr="008B262F">
        <w:rPr>
          <w:color w:val="000000"/>
          <w:sz w:val="22"/>
          <w:szCs w:val="22"/>
        </w:rPr>
        <w:t>As Casey Charles</w:t>
      </w:r>
      <w:r w:rsidR="0064645D">
        <w:rPr>
          <w:color w:val="000000"/>
          <w:sz w:val="22"/>
          <w:szCs w:val="22"/>
        </w:rPr>
        <w:t xml:space="preserve"> </w:t>
      </w:r>
      <w:r w:rsidR="009A2ABB" w:rsidRPr="008B262F">
        <w:rPr>
          <w:color w:val="000000"/>
          <w:sz w:val="22"/>
          <w:szCs w:val="22"/>
        </w:rPr>
        <w:t>notes, queers have survived by protesting reproductive sexual assimilation.</w:t>
      </w:r>
      <w:r w:rsidR="00C912C9">
        <w:rPr>
          <w:rStyle w:val="EndnoteReference"/>
          <w:color w:val="000000"/>
          <w:sz w:val="22"/>
          <w:szCs w:val="22"/>
        </w:rPr>
        <w:endnoteReference w:id="86"/>
      </w:r>
      <w:r w:rsidR="009A2ABB" w:rsidRPr="008B262F">
        <w:rPr>
          <w:color w:val="000000"/>
          <w:sz w:val="22"/>
          <w:szCs w:val="22"/>
        </w:rPr>
        <w:t xml:space="preserve"> Mutually supportive communities and associations have been encouraged (in varied erotic, intergenerational, caring, platonic forms) ov</w:t>
      </w:r>
      <w:r w:rsidR="0064645D">
        <w:rPr>
          <w:color w:val="000000"/>
          <w:sz w:val="22"/>
          <w:szCs w:val="22"/>
        </w:rPr>
        <w:t>er recognition that privileges the couple</w:t>
      </w:r>
      <w:r w:rsidR="009A2ABB" w:rsidRPr="008B262F">
        <w:rPr>
          <w:color w:val="000000"/>
          <w:sz w:val="22"/>
          <w:szCs w:val="22"/>
        </w:rPr>
        <w:t xml:space="preserve"> as the primary vehicle for recognising intimacy.</w:t>
      </w:r>
      <w:r w:rsidR="00C912C9">
        <w:rPr>
          <w:rStyle w:val="EndnoteReference"/>
          <w:color w:val="000000"/>
          <w:sz w:val="22"/>
          <w:szCs w:val="22"/>
        </w:rPr>
        <w:endnoteReference w:id="87"/>
      </w:r>
      <w:r w:rsidR="009A2ABB" w:rsidRPr="008B262F">
        <w:rPr>
          <w:color w:val="000000"/>
          <w:sz w:val="22"/>
          <w:szCs w:val="22"/>
        </w:rPr>
        <w:t xml:space="preserve"> In </w:t>
      </w:r>
      <w:r w:rsidR="009A2ABB" w:rsidRPr="008B262F">
        <w:rPr>
          <w:i/>
          <w:color w:val="000000"/>
          <w:sz w:val="22"/>
          <w:szCs w:val="22"/>
        </w:rPr>
        <w:t>Perry</w:t>
      </w:r>
      <w:r w:rsidR="009A2ABB" w:rsidRPr="008B262F">
        <w:rPr>
          <w:color w:val="000000"/>
          <w:sz w:val="22"/>
          <w:szCs w:val="22"/>
        </w:rPr>
        <w:t xml:space="preserve">, Sandy Stier invoked love as the means </w:t>
      </w:r>
      <w:r w:rsidR="008C4010">
        <w:rPr>
          <w:color w:val="000000"/>
          <w:sz w:val="22"/>
          <w:szCs w:val="22"/>
        </w:rPr>
        <w:t>by which to claim the right to ‘self-define’</w:t>
      </w:r>
      <w:r w:rsidR="009A2ABB" w:rsidRPr="008B262F">
        <w:rPr>
          <w:color w:val="000000"/>
          <w:sz w:val="22"/>
          <w:szCs w:val="22"/>
        </w:rPr>
        <w:t xml:space="preserve"> her relationship with her partner, Kristin Perry.</w:t>
      </w:r>
      <w:r w:rsidR="00C912C9">
        <w:rPr>
          <w:rStyle w:val="EndnoteReference"/>
          <w:color w:val="000000"/>
          <w:sz w:val="22"/>
          <w:szCs w:val="22"/>
        </w:rPr>
        <w:endnoteReference w:id="88"/>
      </w:r>
      <w:r w:rsidR="009A2ABB" w:rsidRPr="008B262F">
        <w:rPr>
          <w:color w:val="000000"/>
          <w:sz w:val="22"/>
          <w:szCs w:val="22"/>
        </w:rPr>
        <w:t xml:space="preserve"> The Court’s love of liberty – as a principle central to US constitutionalism – granted her that right. Law had the power to provide a (marital) way for people to determine their </w:t>
      </w:r>
      <w:r w:rsidR="006B27B5" w:rsidRPr="008B262F">
        <w:rPr>
          <w:color w:val="000000"/>
          <w:sz w:val="22"/>
          <w:szCs w:val="22"/>
        </w:rPr>
        <w:t>happy endings</w:t>
      </w:r>
      <w:r w:rsidR="009A2ABB" w:rsidRPr="008B262F">
        <w:rPr>
          <w:color w:val="000000"/>
          <w:sz w:val="22"/>
          <w:szCs w:val="22"/>
        </w:rPr>
        <w:t xml:space="preserve">. </w:t>
      </w:r>
      <w:r w:rsidR="00DF3AD0" w:rsidRPr="008B262F">
        <w:rPr>
          <w:color w:val="000000"/>
          <w:sz w:val="22"/>
          <w:szCs w:val="22"/>
        </w:rPr>
        <w:t>Yet,</w:t>
      </w:r>
      <w:r w:rsidR="00DA3866" w:rsidRPr="008B262F">
        <w:rPr>
          <w:color w:val="000000"/>
          <w:sz w:val="22"/>
          <w:szCs w:val="22"/>
        </w:rPr>
        <w:t xml:space="preserve"> reading </w:t>
      </w:r>
      <w:r w:rsidR="009A2ABB" w:rsidRPr="008B262F">
        <w:rPr>
          <w:color w:val="000000"/>
          <w:sz w:val="22"/>
          <w:szCs w:val="22"/>
        </w:rPr>
        <w:t>pro-LGBTI marriage equality cases</w:t>
      </w:r>
      <w:r w:rsidR="00DF3AD0" w:rsidRPr="008B262F">
        <w:rPr>
          <w:color w:val="000000"/>
          <w:sz w:val="22"/>
          <w:szCs w:val="22"/>
        </w:rPr>
        <w:t xml:space="preserve"> </w:t>
      </w:r>
      <w:r w:rsidR="00DA3866" w:rsidRPr="008B262F">
        <w:rPr>
          <w:color w:val="000000"/>
          <w:sz w:val="22"/>
          <w:szCs w:val="22"/>
        </w:rPr>
        <w:t>in a register of emotion</w:t>
      </w:r>
      <w:r w:rsidR="009A2ABB" w:rsidRPr="008B262F">
        <w:rPr>
          <w:color w:val="000000"/>
          <w:sz w:val="22"/>
          <w:szCs w:val="22"/>
        </w:rPr>
        <w:t xml:space="preserve"> </w:t>
      </w:r>
      <w:r w:rsidR="00DA3866" w:rsidRPr="008B262F">
        <w:rPr>
          <w:color w:val="000000"/>
          <w:sz w:val="22"/>
          <w:szCs w:val="22"/>
        </w:rPr>
        <w:t>can expose</w:t>
      </w:r>
      <w:r w:rsidR="009A2ABB" w:rsidRPr="008B262F">
        <w:rPr>
          <w:color w:val="000000"/>
          <w:sz w:val="22"/>
          <w:szCs w:val="22"/>
        </w:rPr>
        <w:t xml:space="preserve"> their </w:t>
      </w:r>
      <w:r w:rsidR="00DF3AD0" w:rsidRPr="008B262F">
        <w:rPr>
          <w:color w:val="000000"/>
          <w:sz w:val="22"/>
          <w:szCs w:val="22"/>
        </w:rPr>
        <w:t>inability</w:t>
      </w:r>
      <w:r w:rsidR="009A2ABB" w:rsidRPr="008B262F">
        <w:rPr>
          <w:color w:val="000000"/>
          <w:sz w:val="22"/>
          <w:szCs w:val="22"/>
        </w:rPr>
        <w:t xml:space="preserve"> to </w:t>
      </w:r>
      <w:r w:rsidR="00DF3AD0" w:rsidRPr="008B262F">
        <w:rPr>
          <w:color w:val="000000"/>
          <w:sz w:val="22"/>
          <w:szCs w:val="22"/>
        </w:rPr>
        <w:t>liberate</w:t>
      </w:r>
      <w:r w:rsidR="008C4010">
        <w:rPr>
          <w:color w:val="000000"/>
          <w:sz w:val="22"/>
          <w:szCs w:val="22"/>
        </w:rPr>
        <w:t xml:space="preserve"> self-defining</w:t>
      </w:r>
      <w:r w:rsidR="009A2ABB" w:rsidRPr="008B262F">
        <w:rPr>
          <w:color w:val="000000"/>
          <w:sz w:val="22"/>
          <w:szCs w:val="22"/>
        </w:rPr>
        <w:t xml:space="preserve"> intimacies that disrupt </w:t>
      </w:r>
      <w:r w:rsidR="00E528AA" w:rsidRPr="008B262F">
        <w:rPr>
          <w:color w:val="000000"/>
          <w:sz w:val="22"/>
          <w:szCs w:val="22"/>
        </w:rPr>
        <w:t>enactments of</w:t>
      </w:r>
      <w:r w:rsidR="009A2ABB" w:rsidRPr="008B262F">
        <w:rPr>
          <w:color w:val="000000"/>
          <w:sz w:val="22"/>
          <w:szCs w:val="22"/>
        </w:rPr>
        <w:t xml:space="preserve"> love </w:t>
      </w:r>
      <w:r w:rsidR="00E528AA" w:rsidRPr="008B262F">
        <w:rPr>
          <w:color w:val="000000"/>
          <w:sz w:val="22"/>
          <w:szCs w:val="22"/>
        </w:rPr>
        <w:t>that centre</w:t>
      </w:r>
      <w:r w:rsidR="009A2ABB" w:rsidRPr="008B262F">
        <w:rPr>
          <w:color w:val="000000"/>
          <w:sz w:val="22"/>
          <w:szCs w:val="22"/>
        </w:rPr>
        <w:t xml:space="preserve"> on notions of monogamy and fidelity. In </w:t>
      </w:r>
      <w:r w:rsidR="009A2ABB" w:rsidRPr="008B262F">
        <w:rPr>
          <w:i/>
          <w:color w:val="000000"/>
          <w:sz w:val="22"/>
          <w:szCs w:val="22"/>
        </w:rPr>
        <w:t>Why Love Leads to Justice</w:t>
      </w:r>
      <w:r w:rsidR="009A2ABB" w:rsidRPr="008B262F">
        <w:rPr>
          <w:color w:val="000000"/>
          <w:sz w:val="22"/>
          <w:szCs w:val="22"/>
        </w:rPr>
        <w:t>,</w:t>
      </w:r>
      <w:r w:rsidR="009A2ABB" w:rsidRPr="008B262F">
        <w:rPr>
          <w:i/>
          <w:color w:val="000000"/>
          <w:sz w:val="22"/>
          <w:szCs w:val="22"/>
        </w:rPr>
        <w:t xml:space="preserve"> </w:t>
      </w:r>
      <w:r w:rsidR="009A2ABB" w:rsidRPr="008B262F">
        <w:rPr>
          <w:color w:val="000000"/>
          <w:sz w:val="22"/>
          <w:szCs w:val="22"/>
        </w:rPr>
        <w:t>David Richards a</w:t>
      </w:r>
      <w:r w:rsidR="0064645D">
        <w:rPr>
          <w:color w:val="000000"/>
          <w:sz w:val="22"/>
          <w:szCs w:val="22"/>
        </w:rPr>
        <w:t>rgues that love creates a ‘resisting voice’</w:t>
      </w:r>
      <w:r w:rsidR="009A2ABB" w:rsidRPr="008B262F">
        <w:rPr>
          <w:color w:val="000000"/>
          <w:sz w:val="22"/>
          <w:szCs w:val="22"/>
        </w:rPr>
        <w:t xml:space="preserve"> to free us from the oppressive force of patriarchy.</w:t>
      </w:r>
      <w:r w:rsidR="00C912C9">
        <w:rPr>
          <w:rStyle w:val="EndnoteReference"/>
          <w:color w:val="000000"/>
          <w:sz w:val="22"/>
          <w:szCs w:val="22"/>
        </w:rPr>
        <w:endnoteReference w:id="89"/>
      </w:r>
      <w:r w:rsidR="009A2ABB" w:rsidRPr="008B262F">
        <w:rPr>
          <w:color w:val="000000"/>
          <w:sz w:val="22"/>
          <w:szCs w:val="22"/>
        </w:rPr>
        <w:t xml:space="preserve"> By loving across racial and gendered boundaries, </w:t>
      </w:r>
      <w:r w:rsidR="006B27B5" w:rsidRPr="008B262F">
        <w:rPr>
          <w:color w:val="000000"/>
          <w:sz w:val="22"/>
          <w:szCs w:val="22"/>
        </w:rPr>
        <w:t>he</w:t>
      </w:r>
      <w:r w:rsidR="009A2ABB" w:rsidRPr="008B262F">
        <w:rPr>
          <w:color w:val="000000"/>
          <w:sz w:val="22"/>
          <w:szCs w:val="22"/>
        </w:rPr>
        <w:t xml:space="preserve"> notes that </w:t>
      </w:r>
      <w:r w:rsidR="0064645D">
        <w:rPr>
          <w:color w:val="000000"/>
          <w:sz w:val="22"/>
          <w:szCs w:val="22"/>
        </w:rPr>
        <w:t>we can free ourselves from the ‘moral slavery’</w:t>
      </w:r>
      <w:r w:rsidR="009A2ABB" w:rsidRPr="008B262F">
        <w:rPr>
          <w:color w:val="000000"/>
          <w:sz w:val="22"/>
          <w:szCs w:val="22"/>
        </w:rPr>
        <w:t xml:space="preserve"> of norms and institutions that deny us our autonomy and integrity.</w:t>
      </w:r>
      <w:r w:rsidR="00C912C9">
        <w:rPr>
          <w:rStyle w:val="EndnoteReference"/>
          <w:color w:val="000000"/>
          <w:sz w:val="22"/>
          <w:szCs w:val="22"/>
        </w:rPr>
        <w:endnoteReference w:id="90"/>
      </w:r>
      <w:r w:rsidR="009A2ABB" w:rsidRPr="008B262F">
        <w:rPr>
          <w:color w:val="000000"/>
          <w:sz w:val="22"/>
          <w:szCs w:val="22"/>
        </w:rPr>
        <w:t xml:space="preserve"> However, as my reading of pro-LGBTI marriage equality cases </w:t>
      </w:r>
      <w:r w:rsidR="00B80B54">
        <w:rPr>
          <w:color w:val="000000"/>
          <w:sz w:val="22"/>
          <w:szCs w:val="22"/>
        </w:rPr>
        <w:t>cautions</w:t>
      </w:r>
      <w:r w:rsidR="0064645D">
        <w:rPr>
          <w:color w:val="000000"/>
          <w:sz w:val="22"/>
          <w:szCs w:val="22"/>
        </w:rPr>
        <w:t>, love can create an ‘affective slavery’</w:t>
      </w:r>
      <w:r w:rsidR="009A2ABB" w:rsidRPr="008B262F">
        <w:rPr>
          <w:color w:val="000000"/>
          <w:sz w:val="22"/>
          <w:szCs w:val="22"/>
        </w:rPr>
        <w:t xml:space="preserve"> – where love works</w:t>
      </w:r>
      <w:r w:rsidR="00B80B54">
        <w:rPr>
          <w:color w:val="000000"/>
          <w:sz w:val="22"/>
          <w:szCs w:val="22"/>
        </w:rPr>
        <w:t xml:space="preserve"> to bind same-sex couples into specific heteronormative fantasies</w:t>
      </w:r>
      <w:r w:rsidR="009A2ABB" w:rsidRPr="008B262F">
        <w:rPr>
          <w:color w:val="000000"/>
          <w:sz w:val="22"/>
          <w:szCs w:val="22"/>
        </w:rPr>
        <w:t xml:space="preserve"> of constitutional liberty. Marriage becomes a pairing of two people who purportedly commit by forsaking all others. The push to exclude others from marriage (such as those in non-dyadic relationships) was an act of subordination and non-recognition.</w:t>
      </w:r>
      <w:r w:rsidR="00C912C9">
        <w:rPr>
          <w:rStyle w:val="EndnoteReference"/>
          <w:color w:val="000000"/>
          <w:sz w:val="22"/>
          <w:szCs w:val="22"/>
        </w:rPr>
        <w:endnoteReference w:id="91"/>
      </w:r>
      <w:r w:rsidR="009A2ABB" w:rsidRPr="008B262F">
        <w:rPr>
          <w:color w:val="000000"/>
          <w:sz w:val="22"/>
          <w:szCs w:val="22"/>
        </w:rPr>
        <w:t xml:space="preserve"> By distinguishing polyamory (and polygamy) from marriage equality, these </w:t>
      </w:r>
      <w:r w:rsidR="0064645D">
        <w:rPr>
          <w:color w:val="000000"/>
          <w:sz w:val="22"/>
          <w:szCs w:val="22"/>
        </w:rPr>
        <w:t>cases closed off the purported ‘slippery slope’</w:t>
      </w:r>
      <w:r w:rsidR="009A2ABB" w:rsidRPr="008B262F">
        <w:rPr>
          <w:color w:val="000000"/>
          <w:sz w:val="22"/>
          <w:szCs w:val="22"/>
        </w:rPr>
        <w:t xml:space="preserve"> invoked by opponents.</w:t>
      </w:r>
      <w:r w:rsidR="00C912C9">
        <w:rPr>
          <w:rStyle w:val="EndnoteReference"/>
          <w:color w:val="000000"/>
          <w:sz w:val="22"/>
          <w:szCs w:val="22"/>
        </w:rPr>
        <w:endnoteReference w:id="92"/>
      </w:r>
      <w:r w:rsidR="009A2ABB" w:rsidRPr="008B262F">
        <w:rPr>
          <w:color w:val="000000"/>
          <w:sz w:val="22"/>
          <w:szCs w:val="22"/>
        </w:rPr>
        <w:t xml:space="preserve"> Put simply, the </w:t>
      </w:r>
      <w:r w:rsidR="00B273AB" w:rsidRPr="008B262F">
        <w:rPr>
          <w:color w:val="000000"/>
          <w:sz w:val="22"/>
          <w:szCs w:val="22"/>
        </w:rPr>
        <w:t>love</w:t>
      </w:r>
      <w:r w:rsidR="009A2ABB" w:rsidRPr="008B262F">
        <w:rPr>
          <w:color w:val="000000"/>
          <w:sz w:val="22"/>
          <w:szCs w:val="22"/>
        </w:rPr>
        <w:t xml:space="preserve"> to affirm and maintain an exclusive commitment with one person </w:t>
      </w:r>
      <w:r w:rsidR="00B273AB" w:rsidRPr="008B262F">
        <w:rPr>
          <w:color w:val="000000"/>
          <w:sz w:val="22"/>
          <w:szCs w:val="22"/>
        </w:rPr>
        <w:t xml:space="preserve">evident in </w:t>
      </w:r>
      <w:r w:rsidR="00B273AB" w:rsidRPr="008B262F">
        <w:rPr>
          <w:i/>
          <w:color w:val="000000"/>
          <w:sz w:val="22"/>
          <w:szCs w:val="22"/>
        </w:rPr>
        <w:t xml:space="preserve">Perry </w:t>
      </w:r>
      <w:r w:rsidR="00B273AB" w:rsidRPr="008B262F">
        <w:rPr>
          <w:color w:val="000000"/>
          <w:sz w:val="22"/>
          <w:szCs w:val="22"/>
        </w:rPr>
        <w:t xml:space="preserve">and </w:t>
      </w:r>
      <w:r w:rsidR="00B273AB" w:rsidRPr="008B262F">
        <w:rPr>
          <w:i/>
          <w:color w:val="000000"/>
          <w:sz w:val="22"/>
          <w:szCs w:val="22"/>
        </w:rPr>
        <w:t xml:space="preserve">In Re Marriage Cases </w:t>
      </w:r>
      <w:r w:rsidR="00B273AB" w:rsidRPr="008B262F">
        <w:rPr>
          <w:color w:val="000000"/>
          <w:sz w:val="22"/>
          <w:szCs w:val="22"/>
        </w:rPr>
        <w:t>(</w:t>
      </w:r>
      <w:r w:rsidR="009F7E13">
        <w:rPr>
          <w:color w:val="000000"/>
          <w:sz w:val="22"/>
          <w:szCs w:val="22"/>
        </w:rPr>
        <w:t xml:space="preserve">2006, </w:t>
      </w:r>
      <w:r w:rsidR="00B273AB" w:rsidRPr="008B262F">
        <w:rPr>
          <w:color w:val="000000"/>
          <w:sz w:val="22"/>
          <w:szCs w:val="22"/>
        </w:rPr>
        <w:t>2008)</w:t>
      </w:r>
      <w:r w:rsidR="00B273AB" w:rsidRPr="008B262F">
        <w:rPr>
          <w:i/>
          <w:color w:val="000000"/>
          <w:sz w:val="22"/>
          <w:szCs w:val="22"/>
        </w:rPr>
        <w:t xml:space="preserve"> </w:t>
      </w:r>
      <w:r w:rsidR="009A2ABB" w:rsidRPr="008B262F">
        <w:rPr>
          <w:color w:val="000000"/>
          <w:sz w:val="22"/>
          <w:szCs w:val="22"/>
        </w:rPr>
        <w:t>was distinct from the desire to marry multiple people. Love did not cross boundaries. Instead, it solidified intimacy into a pair.</w:t>
      </w:r>
      <w:r w:rsidR="001A7791">
        <w:rPr>
          <w:color w:val="000000"/>
          <w:sz w:val="22"/>
          <w:szCs w:val="22"/>
        </w:rPr>
        <w:t xml:space="preserve"> </w:t>
      </w:r>
      <w:r w:rsidR="009A2ABB" w:rsidRPr="008B262F">
        <w:rPr>
          <w:color w:val="000000"/>
          <w:sz w:val="22"/>
          <w:szCs w:val="22"/>
        </w:rPr>
        <w:t>Here, I</w:t>
      </w:r>
      <w:r w:rsidR="00C81808">
        <w:rPr>
          <w:color w:val="000000"/>
          <w:sz w:val="22"/>
          <w:szCs w:val="22"/>
        </w:rPr>
        <w:t xml:space="preserve"> would</w:t>
      </w:r>
      <w:r w:rsidR="009A2ABB" w:rsidRPr="008B262F">
        <w:rPr>
          <w:color w:val="000000"/>
          <w:sz w:val="22"/>
          <w:szCs w:val="22"/>
        </w:rPr>
        <w:t xml:space="preserve"> add that non-recognition </w:t>
      </w:r>
      <w:r>
        <w:rPr>
          <w:color w:val="000000"/>
          <w:sz w:val="22"/>
          <w:szCs w:val="22"/>
        </w:rPr>
        <w:t>is</w:t>
      </w:r>
      <w:r w:rsidR="009A2ABB" w:rsidRPr="008B262F">
        <w:rPr>
          <w:color w:val="000000"/>
          <w:sz w:val="22"/>
          <w:szCs w:val="22"/>
        </w:rPr>
        <w:t xml:space="preserve"> an emotional matter</w:t>
      </w:r>
      <w:r>
        <w:rPr>
          <w:color w:val="000000"/>
          <w:sz w:val="22"/>
          <w:szCs w:val="22"/>
        </w:rPr>
        <w:t xml:space="preserve"> of law</w:t>
      </w:r>
      <w:r w:rsidR="009A2ABB" w:rsidRPr="008B262F">
        <w:rPr>
          <w:color w:val="000000"/>
          <w:sz w:val="22"/>
          <w:szCs w:val="22"/>
        </w:rPr>
        <w:t>: queer intimacies that dis</w:t>
      </w:r>
      <w:r w:rsidR="009F7E13">
        <w:rPr>
          <w:color w:val="000000"/>
          <w:sz w:val="22"/>
          <w:szCs w:val="22"/>
        </w:rPr>
        <w:t>turb, disgust, or threaten the ‘</w:t>
      </w:r>
      <w:r w:rsidR="006B27B5" w:rsidRPr="008B262F">
        <w:rPr>
          <w:color w:val="000000"/>
          <w:sz w:val="22"/>
          <w:szCs w:val="22"/>
        </w:rPr>
        <w:t xml:space="preserve">loving </w:t>
      </w:r>
      <w:r w:rsidR="009F7E13">
        <w:rPr>
          <w:color w:val="000000"/>
          <w:sz w:val="22"/>
          <w:szCs w:val="22"/>
        </w:rPr>
        <w:t xml:space="preserve">definitions’ </w:t>
      </w:r>
      <w:r w:rsidR="009A2ABB" w:rsidRPr="008B262F">
        <w:rPr>
          <w:color w:val="000000"/>
          <w:sz w:val="22"/>
          <w:szCs w:val="22"/>
        </w:rPr>
        <w:t xml:space="preserve">of marriage (such as polygamy or </w:t>
      </w:r>
      <w:r w:rsidR="005B3C7D" w:rsidRPr="008B262F">
        <w:rPr>
          <w:color w:val="000000"/>
          <w:sz w:val="22"/>
          <w:szCs w:val="22"/>
        </w:rPr>
        <w:t>promiscuity</w:t>
      </w:r>
      <w:r w:rsidR="009A2ABB" w:rsidRPr="008B262F">
        <w:rPr>
          <w:color w:val="000000"/>
          <w:sz w:val="22"/>
          <w:szCs w:val="22"/>
        </w:rPr>
        <w:t>) are covered</w:t>
      </w:r>
      <w:r>
        <w:rPr>
          <w:color w:val="000000"/>
          <w:sz w:val="22"/>
          <w:szCs w:val="22"/>
        </w:rPr>
        <w:t xml:space="preserve"> over</w:t>
      </w:r>
      <w:r w:rsidR="009A2ABB" w:rsidRPr="008B262F">
        <w:rPr>
          <w:color w:val="000000"/>
          <w:sz w:val="22"/>
          <w:szCs w:val="22"/>
        </w:rPr>
        <w:t xml:space="preserve"> in the same moment that the doctrinal definiti</w:t>
      </w:r>
      <w:r w:rsidR="008C4010">
        <w:rPr>
          <w:color w:val="000000"/>
          <w:sz w:val="22"/>
          <w:szCs w:val="22"/>
        </w:rPr>
        <w:t>ons are partially opened up to</w:t>
      </w:r>
      <w:r>
        <w:rPr>
          <w:color w:val="000000"/>
          <w:sz w:val="22"/>
          <w:szCs w:val="22"/>
        </w:rPr>
        <w:t xml:space="preserve"> affirm</w:t>
      </w:r>
      <w:r w:rsidR="008C4010">
        <w:rPr>
          <w:color w:val="000000"/>
          <w:sz w:val="22"/>
          <w:szCs w:val="22"/>
        </w:rPr>
        <w:t xml:space="preserve"> loving</w:t>
      </w:r>
      <w:r w:rsidR="009A2ABB" w:rsidRPr="008B262F">
        <w:rPr>
          <w:color w:val="000000"/>
          <w:sz w:val="22"/>
          <w:szCs w:val="22"/>
        </w:rPr>
        <w:t xml:space="preserve"> same-sex couples. </w:t>
      </w:r>
    </w:p>
    <w:p w14:paraId="46B1AE60" w14:textId="7039225F" w:rsidR="00170FE5" w:rsidRDefault="00C81808" w:rsidP="00701F16">
      <w:pPr>
        <w:spacing w:line="480" w:lineRule="auto"/>
        <w:ind w:firstLine="720"/>
        <w:jc w:val="both"/>
        <w:rPr>
          <w:color w:val="000000"/>
          <w:sz w:val="22"/>
          <w:szCs w:val="22"/>
        </w:rPr>
      </w:pPr>
      <w:r>
        <w:rPr>
          <w:color w:val="000000"/>
          <w:sz w:val="22"/>
          <w:szCs w:val="22"/>
        </w:rPr>
        <w:t xml:space="preserve">By attending to emotion – registering the enactments of love – </w:t>
      </w:r>
      <w:r w:rsidR="002B02AE">
        <w:rPr>
          <w:color w:val="000000"/>
          <w:sz w:val="22"/>
          <w:szCs w:val="22"/>
        </w:rPr>
        <w:t xml:space="preserve">activist legal </w:t>
      </w:r>
      <w:r w:rsidR="0073437D">
        <w:rPr>
          <w:color w:val="000000"/>
          <w:sz w:val="22"/>
          <w:szCs w:val="22"/>
        </w:rPr>
        <w:t>scholars</w:t>
      </w:r>
      <w:r>
        <w:rPr>
          <w:color w:val="000000"/>
          <w:sz w:val="22"/>
          <w:szCs w:val="22"/>
        </w:rPr>
        <w:t xml:space="preserve"> can observe how courts circumscribe the limits of what love makes possible in terms of </w:t>
      </w:r>
      <w:r w:rsidR="00A27435">
        <w:rPr>
          <w:color w:val="000000"/>
          <w:sz w:val="22"/>
          <w:szCs w:val="22"/>
        </w:rPr>
        <w:t xml:space="preserve">legal </w:t>
      </w:r>
      <w:r>
        <w:rPr>
          <w:color w:val="000000"/>
          <w:sz w:val="22"/>
          <w:szCs w:val="22"/>
        </w:rPr>
        <w:t>recognition of same-sex relationships.</w:t>
      </w:r>
      <w:r w:rsidR="00170FE5">
        <w:rPr>
          <w:color w:val="000000"/>
          <w:sz w:val="22"/>
          <w:szCs w:val="22"/>
        </w:rPr>
        <w:t xml:space="preserve"> Jurisprudential claims of love cover over the ways in which the state marginalises queers.</w:t>
      </w:r>
      <w:r w:rsidR="0073437D">
        <w:rPr>
          <w:color w:val="000000"/>
          <w:sz w:val="22"/>
          <w:szCs w:val="22"/>
        </w:rPr>
        <w:t xml:space="preserve"> </w:t>
      </w:r>
      <w:r w:rsidR="00170FE5">
        <w:rPr>
          <w:color w:val="000000"/>
          <w:sz w:val="22"/>
          <w:szCs w:val="22"/>
        </w:rPr>
        <w:t>Making this visible is</w:t>
      </w:r>
      <w:r w:rsidR="0073437D">
        <w:rPr>
          <w:color w:val="000000"/>
          <w:sz w:val="22"/>
          <w:szCs w:val="22"/>
        </w:rPr>
        <w:t xml:space="preserve"> critical at a time when </w:t>
      </w:r>
      <w:r w:rsidR="007B0156">
        <w:rPr>
          <w:color w:val="000000"/>
          <w:sz w:val="22"/>
          <w:szCs w:val="22"/>
        </w:rPr>
        <w:t xml:space="preserve">activists and </w:t>
      </w:r>
      <w:r w:rsidR="0073437D">
        <w:rPr>
          <w:color w:val="000000"/>
          <w:sz w:val="22"/>
          <w:szCs w:val="22"/>
        </w:rPr>
        <w:t xml:space="preserve">lawyers </w:t>
      </w:r>
      <w:r w:rsidR="007B0156">
        <w:rPr>
          <w:color w:val="000000"/>
          <w:sz w:val="22"/>
          <w:szCs w:val="22"/>
        </w:rPr>
        <w:t>turn to courts to secure</w:t>
      </w:r>
      <w:r w:rsidR="0073437D">
        <w:rPr>
          <w:color w:val="000000"/>
          <w:sz w:val="22"/>
          <w:szCs w:val="22"/>
        </w:rPr>
        <w:t xml:space="preserve"> greater </w:t>
      </w:r>
      <w:r w:rsidR="00111FB7">
        <w:rPr>
          <w:color w:val="000000"/>
          <w:sz w:val="22"/>
          <w:szCs w:val="22"/>
        </w:rPr>
        <w:t>liberties</w:t>
      </w:r>
      <w:r w:rsidR="0073437D">
        <w:rPr>
          <w:color w:val="000000"/>
          <w:sz w:val="22"/>
          <w:szCs w:val="22"/>
        </w:rPr>
        <w:t xml:space="preserve">. By taking account of how love functions to shape a specific idea of </w:t>
      </w:r>
      <w:r w:rsidR="00111FB7">
        <w:rPr>
          <w:color w:val="000000"/>
          <w:sz w:val="22"/>
          <w:szCs w:val="22"/>
        </w:rPr>
        <w:t>kinship</w:t>
      </w:r>
      <w:r w:rsidR="0073437D">
        <w:rPr>
          <w:color w:val="000000"/>
          <w:sz w:val="22"/>
          <w:szCs w:val="22"/>
        </w:rPr>
        <w:t xml:space="preserve">, activist scholars </w:t>
      </w:r>
      <w:r w:rsidR="00111FB7">
        <w:rPr>
          <w:color w:val="000000"/>
          <w:sz w:val="22"/>
          <w:szCs w:val="22"/>
        </w:rPr>
        <w:t>can pause to reflect on the queer intimacies erased</w:t>
      </w:r>
      <w:r w:rsidR="0073437D">
        <w:rPr>
          <w:color w:val="000000"/>
          <w:sz w:val="22"/>
          <w:szCs w:val="22"/>
        </w:rPr>
        <w:t xml:space="preserve"> by such enactments of love. This does not require us to abandon marriage equality as a way to provide rights and recognition to same-sex couples. However, </w:t>
      </w:r>
      <w:r w:rsidR="00170FE5">
        <w:rPr>
          <w:color w:val="000000"/>
          <w:sz w:val="22"/>
          <w:szCs w:val="22"/>
        </w:rPr>
        <w:t>reading emotion</w:t>
      </w:r>
      <w:r w:rsidR="00111FB7">
        <w:rPr>
          <w:color w:val="000000"/>
          <w:sz w:val="22"/>
          <w:szCs w:val="22"/>
        </w:rPr>
        <w:t xml:space="preserve"> allow</w:t>
      </w:r>
      <w:r w:rsidR="00170FE5">
        <w:rPr>
          <w:color w:val="000000"/>
          <w:sz w:val="22"/>
          <w:szCs w:val="22"/>
        </w:rPr>
        <w:t>s</w:t>
      </w:r>
      <w:r w:rsidR="00111FB7">
        <w:rPr>
          <w:color w:val="000000"/>
          <w:sz w:val="22"/>
          <w:szCs w:val="22"/>
        </w:rPr>
        <w:t xml:space="preserve"> us to emotionally (re)think</w:t>
      </w:r>
      <w:r w:rsidR="0073437D">
        <w:rPr>
          <w:color w:val="000000"/>
          <w:sz w:val="22"/>
          <w:szCs w:val="22"/>
        </w:rPr>
        <w:t xml:space="preserve"> how we </w:t>
      </w:r>
      <w:r w:rsidR="00111FB7">
        <w:rPr>
          <w:color w:val="000000"/>
          <w:sz w:val="22"/>
          <w:szCs w:val="22"/>
        </w:rPr>
        <w:t>advance</w:t>
      </w:r>
      <w:r w:rsidR="0073437D">
        <w:rPr>
          <w:color w:val="000000"/>
          <w:sz w:val="22"/>
          <w:szCs w:val="22"/>
        </w:rPr>
        <w:t xml:space="preserve"> claims for </w:t>
      </w:r>
      <w:r w:rsidR="00111FB7">
        <w:rPr>
          <w:color w:val="000000"/>
          <w:sz w:val="22"/>
          <w:szCs w:val="22"/>
        </w:rPr>
        <w:t>relationship</w:t>
      </w:r>
      <w:r w:rsidR="0073437D">
        <w:rPr>
          <w:color w:val="000000"/>
          <w:sz w:val="22"/>
          <w:szCs w:val="22"/>
        </w:rPr>
        <w:t xml:space="preserve"> recognition </w:t>
      </w:r>
      <w:r w:rsidR="00111FB7">
        <w:rPr>
          <w:color w:val="000000"/>
          <w:sz w:val="22"/>
          <w:szCs w:val="22"/>
        </w:rPr>
        <w:t xml:space="preserve">and </w:t>
      </w:r>
      <w:r w:rsidR="0073437D">
        <w:rPr>
          <w:color w:val="000000"/>
          <w:sz w:val="22"/>
          <w:szCs w:val="22"/>
        </w:rPr>
        <w:t>make</w:t>
      </w:r>
      <w:r w:rsidR="00170FE5">
        <w:rPr>
          <w:color w:val="000000"/>
          <w:sz w:val="22"/>
          <w:szCs w:val="22"/>
        </w:rPr>
        <w:t>s</w:t>
      </w:r>
      <w:r w:rsidR="0073437D">
        <w:rPr>
          <w:color w:val="000000"/>
          <w:sz w:val="22"/>
          <w:szCs w:val="22"/>
        </w:rPr>
        <w:t xml:space="preserve"> space for queer intimacies that do not conform to </w:t>
      </w:r>
      <w:r w:rsidR="00111FB7">
        <w:rPr>
          <w:color w:val="000000"/>
          <w:sz w:val="22"/>
          <w:szCs w:val="22"/>
        </w:rPr>
        <w:t xml:space="preserve">existing </w:t>
      </w:r>
      <w:r w:rsidR="008206BF">
        <w:rPr>
          <w:color w:val="000000"/>
          <w:sz w:val="22"/>
          <w:szCs w:val="22"/>
        </w:rPr>
        <w:t xml:space="preserve">(hetero)normative </w:t>
      </w:r>
      <w:r w:rsidR="00111FB7">
        <w:rPr>
          <w:color w:val="000000"/>
          <w:sz w:val="22"/>
          <w:szCs w:val="22"/>
        </w:rPr>
        <w:t>legal</w:t>
      </w:r>
      <w:r w:rsidR="0073437D">
        <w:rPr>
          <w:color w:val="000000"/>
          <w:sz w:val="22"/>
          <w:szCs w:val="22"/>
        </w:rPr>
        <w:t xml:space="preserve"> formulations of </w:t>
      </w:r>
      <w:r w:rsidR="00111FB7">
        <w:rPr>
          <w:color w:val="000000"/>
          <w:sz w:val="22"/>
          <w:szCs w:val="22"/>
        </w:rPr>
        <w:t>love</w:t>
      </w:r>
      <w:r w:rsidR="0073437D">
        <w:rPr>
          <w:color w:val="000000"/>
          <w:sz w:val="22"/>
          <w:szCs w:val="22"/>
        </w:rPr>
        <w:t xml:space="preserve">. </w:t>
      </w:r>
    </w:p>
    <w:p w14:paraId="7E701A4E" w14:textId="77777777" w:rsidR="00170FE5" w:rsidRDefault="00170FE5" w:rsidP="00701F16">
      <w:pPr>
        <w:spacing w:line="480" w:lineRule="auto"/>
        <w:ind w:firstLine="720"/>
        <w:jc w:val="both"/>
        <w:rPr>
          <w:b/>
          <w:color w:val="000000"/>
          <w:sz w:val="22"/>
          <w:szCs w:val="22"/>
        </w:rPr>
      </w:pPr>
    </w:p>
    <w:p w14:paraId="6A63E26F" w14:textId="77777777" w:rsidR="00701F16" w:rsidRDefault="00701F16" w:rsidP="00701F16">
      <w:pPr>
        <w:spacing w:line="480" w:lineRule="auto"/>
        <w:ind w:firstLine="720"/>
        <w:jc w:val="both"/>
        <w:rPr>
          <w:b/>
          <w:color w:val="000000"/>
          <w:sz w:val="22"/>
          <w:szCs w:val="22"/>
        </w:rPr>
      </w:pPr>
    </w:p>
    <w:p w14:paraId="14F2BB68" w14:textId="77777777" w:rsidR="00701F16" w:rsidRDefault="00701F16" w:rsidP="00701F16">
      <w:pPr>
        <w:spacing w:line="480" w:lineRule="auto"/>
        <w:ind w:firstLine="720"/>
        <w:jc w:val="both"/>
        <w:rPr>
          <w:b/>
          <w:color w:val="000000"/>
          <w:sz w:val="22"/>
          <w:szCs w:val="22"/>
        </w:rPr>
      </w:pPr>
    </w:p>
    <w:p w14:paraId="2BDEA82F" w14:textId="0ECB7953" w:rsidR="00A04472" w:rsidRPr="008B262F" w:rsidRDefault="00A04472" w:rsidP="00A6797F">
      <w:pPr>
        <w:spacing w:line="480" w:lineRule="auto"/>
        <w:jc w:val="both"/>
        <w:rPr>
          <w:b/>
          <w:color w:val="000000"/>
          <w:sz w:val="22"/>
          <w:szCs w:val="22"/>
        </w:rPr>
      </w:pPr>
      <w:r w:rsidRPr="008B262F">
        <w:rPr>
          <w:b/>
          <w:color w:val="000000"/>
          <w:sz w:val="22"/>
          <w:szCs w:val="22"/>
        </w:rPr>
        <w:t>Conclusion</w:t>
      </w:r>
    </w:p>
    <w:p w14:paraId="1D97263B" w14:textId="03489248" w:rsidR="00F67316" w:rsidRDefault="008206BF" w:rsidP="00B80B54">
      <w:pPr>
        <w:spacing w:line="480" w:lineRule="auto"/>
        <w:jc w:val="both"/>
        <w:rPr>
          <w:color w:val="000000"/>
          <w:sz w:val="22"/>
          <w:szCs w:val="22"/>
        </w:rPr>
      </w:pPr>
      <w:r>
        <w:rPr>
          <w:color w:val="000000"/>
          <w:sz w:val="22"/>
          <w:szCs w:val="22"/>
        </w:rPr>
        <w:t>Activist legal s</w:t>
      </w:r>
      <w:r w:rsidR="00F67316">
        <w:rPr>
          <w:color w:val="000000"/>
          <w:sz w:val="22"/>
          <w:szCs w:val="22"/>
        </w:rPr>
        <w:t>cholars animated by claims for queer justice must register emotion in jurisprudential claims of progress. By</w:t>
      </w:r>
      <w:r w:rsidR="00A04472" w:rsidRPr="008B262F">
        <w:rPr>
          <w:color w:val="000000"/>
          <w:sz w:val="22"/>
          <w:szCs w:val="22"/>
        </w:rPr>
        <w:t xml:space="preserve"> </w:t>
      </w:r>
      <w:r w:rsidR="005B3C7D" w:rsidRPr="008B262F">
        <w:rPr>
          <w:color w:val="000000"/>
          <w:sz w:val="22"/>
          <w:szCs w:val="22"/>
        </w:rPr>
        <w:t>reading</w:t>
      </w:r>
      <w:r w:rsidR="00F752AB">
        <w:rPr>
          <w:color w:val="000000"/>
          <w:sz w:val="22"/>
          <w:szCs w:val="22"/>
        </w:rPr>
        <w:t xml:space="preserve"> emotion, this</w:t>
      </w:r>
      <w:r w:rsidR="00A04472" w:rsidRPr="008B262F">
        <w:rPr>
          <w:color w:val="000000"/>
          <w:sz w:val="22"/>
          <w:szCs w:val="22"/>
        </w:rPr>
        <w:t xml:space="preserve"> </w:t>
      </w:r>
      <w:r w:rsidR="005B3C7D" w:rsidRPr="008B262F">
        <w:rPr>
          <w:color w:val="000000"/>
          <w:sz w:val="22"/>
          <w:szCs w:val="22"/>
        </w:rPr>
        <w:t>paper does</w:t>
      </w:r>
      <w:r w:rsidR="009F7E13">
        <w:rPr>
          <w:color w:val="000000"/>
          <w:sz w:val="22"/>
          <w:szCs w:val="22"/>
        </w:rPr>
        <w:t xml:space="preserve"> not suggest that</w:t>
      </w:r>
      <w:r w:rsidR="00C878C2">
        <w:rPr>
          <w:color w:val="000000"/>
          <w:sz w:val="22"/>
          <w:szCs w:val="22"/>
        </w:rPr>
        <w:t xml:space="preserve"> </w:t>
      </w:r>
      <w:r w:rsidR="009F7E13">
        <w:rPr>
          <w:color w:val="000000"/>
          <w:sz w:val="22"/>
          <w:szCs w:val="22"/>
        </w:rPr>
        <w:t>courts let go</w:t>
      </w:r>
      <w:r w:rsidR="00A04472" w:rsidRPr="008B262F">
        <w:rPr>
          <w:color w:val="000000"/>
          <w:sz w:val="22"/>
          <w:szCs w:val="22"/>
        </w:rPr>
        <w:t xml:space="preserve"> of their responsibilities to adjudicate, or that the law remove itself from attempting to remedy queer exclusions.</w:t>
      </w:r>
      <w:r w:rsidR="00F67316">
        <w:rPr>
          <w:color w:val="000000"/>
          <w:sz w:val="22"/>
          <w:szCs w:val="22"/>
        </w:rPr>
        <w:t xml:space="preserve"> </w:t>
      </w:r>
      <w:r w:rsidR="0038751E" w:rsidRPr="008B262F">
        <w:rPr>
          <w:color w:val="000000"/>
          <w:sz w:val="22"/>
          <w:szCs w:val="22"/>
        </w:rPr>
        <w:t>Taking</w:t>
      </w:r>
      <w:r w:rsidR="00B273AB" w:rsidRPr="008B262F">
        <w:rPr>
          <w:color w:val="000000"/>
          <w:sz w:val="22"/>
          <w:szCs w:val="22"/>
        </w:rPr>
        <w:t xml:space="preserve"> emotion</w:t>
      </w:r>
      <w:r w:rsidR="0038751E" w:rsidRPr="008B262F">
        <w:rPr>
          <w:color w:val="000000"/>
          <w:sz w:val="22"/>
          <w:szCs w:val="22"/>
        </w:rPr>
        <w:t xml:space="preserve"> seriously</w:t>
      </w:r>
      <w:r w:rsidR="00F67316">
        <w:rPr>
          <w:color w:val="000000"/>
          <w:sz w:val="22"/>
          <w:szCs w:val="22"/>
        </w:rPr>
        <w:t xml:space="preserve"> in </w:t>
      </w:r>
      <w:r>
        <w:rPr>
          <w:color w:val="000000"/>
          <w:sz w:val="22"/>
          <w:szCs w:val="22"/>
        </w:rPr>
        <w:t xml:space="preserve">activist </w:t>
      </w:r>
      <w:r w:rsidR="00F67316">
        <w:rPr>
          <w:color w:val="000000"/>
          <w:sz w:val="22"/>
          <w:szCs w:val="22"/>
        </w:rPr>
        <w:t>legal scholarship</w:t>
      </w:r>
      <w:r w:rsidR="00B273AB" w:rsidRPr="008B262F">
        <w:rPr>
          <w:color w:val="000000"/>
          <w:sz w:val="22"/>
          <w:szCs w:val="22"/>
        </w:rPr>
        <w:t xml:space="preserve"> is not about choosing</w:t>
      </w:r>
      <w:r w:rsidR="0038751E" w:rsidRPr="008B262F">
        <w:rPr>
          <w:color w:val="000000"/>
          <w:sz w:val="22"/>
          <w:szCs w:val="22"/>
        </w:rPr>
        <w:t xml:space="preserve"> </w:t>
      </w:r>
      <w:r w:rsidR="00A04472" w:rsidRPr="008B262F">
        <w:rPr>
          <w:color w:val="000000"/>
          <w:sz w:val="22"/>
          <w:szCs w:val="22"/>
        </w:rPr>
        <w:t>side</w:t>
      </w:r>
      <w:r w:rsidR="0038751E" w:rsidRPr="008B262F">
        <w:rPr>
          <w:color w:val="000000"/>
          <w:sz w:val="22"/>
          <w:szCs w:val="22"/>
        </w:rPr>
        <w:t>s</w:t>
      </w:r>
      <w:r w:rsidR="00A04472" w:rsidRPr="008B262F">
        <w:rPr>
          <w:color w:val="000000"/>
          <w:sz w:val="22"/>
          <w:szCs w:val="22"/>
        </w:rPr>
        <w:t xml:space="preserve"> among </w:t>
      </w:r>
      <w:r w:rsidR="00B273AB" w:rsidRPr="008B262F">
        <w:rPr>
          <w:color w:val="000000"/>
          <w:sz w:val="22"/>
          <w:szCs w:val="22"/>
        </w:rPr>
        <w:t>activist</w:t>
      </w:r>
      <w:r w:rsidR="00F67316">
        <w:rPr>
          <w:color w:val="000000"/>
          <w:sz w:val="22"/>
          <w:szCs w:val="22"/>
        </w:rPr>
        <w:t>s</w:t>
      </w:r>
      <w:r w:rsidR="00A04472" w:rsidRPr="008B262F">
        <w:rPr>
          <w:color w:val="000000"/>
          <w:sz w:val="22"/>
          <w:szCs w:val="22"/>
        </w:rPr>
        <w:t xml:space="preserve"> who condemn the law, those who urge us to embrace it, or even those who sit in between this ever-expanding spectrum of opinions (after all, existing</w:t>
      </w:r>
      <w:r w:rsidR="003C1AE7">
        <w:rPr>
          <w:color w:val="000000"/>
          <w:sz w:val="22"/>
          <w:szCs w:val="22"/>
        </w:rPr>
        <w:t xml:space="preserve"> </w:t>
      </w:r>
      <w:r w:rsidR="00A04472" w:rsidRPr="008B262F">
        <w:rPr>
          <w:color w:val="000000"/>
          <w:sz w:val="22"/>
          <w:szCs w:val="22"/>
        </w:rPr>
        <w:t>activist</w:t>
      </w:r>
      <w:r w:rsidR="002B02AE">
        <w:rPr>
          <w:color w:val="000000"/>
          <w:sz w:val="22"/>
          <w:szCs w:val="22"/>
        </w:rPr>
        <w:t xml:space="preserve"> legal </w:t>
      </w:r>
      <w:r w:rsidR="00A04472" w:rsidRPr="008B262F">
        <w:rPr>
          <w:color w:val="000000"/>
          <w:sz w:val="22"/>
          <w:szCs w:val="22"/>
        </w:rPr>
        <w:t>scholarship does not sit in neat binaries). Instead, my reading in a register of emotion</w:t>
      </w:r>
      <w:r w:rsidR="00DF3AD0" w:rsidRPr="008B262F">
        <w:rPr>
          <w:color w:val="000000"/>
          <w:sz w:val="22"/>
          <w:szCs w:val="22"/>
        </w:rPr>
        <w:t>, borne through an exploration of US hate crime and marriage</w:t>
      </w:r>
      <w:r w:rsidR="005B3C7D" w:rsidRPr="008B262F">
        <w:rPr>
          <w:color w:val="000000"/>
          <w:sz w:val="22"/>
          <w:szCs w:val="22"/>
        </w:rPr>
        <w:t xml:space="preserve"> equality jurisprudence, exposes</w:t>
      </w:r>
      <w:r w:rsidR="00DF3AD0" w:rsidRPr="008B262F">
        <w:rPr>
          <w:color w:val="000000"/>
          <w:sz w:val="22"/>
          <w:szCs w:val="22"/>
        </w:rPr>
        <w:t xml:space="preserve"> </w:t>
      </w:r>
      <w:r w:rsidR="001F42FB" w:rsidRPr="008B262F">
        <w:rPr>
          <w:color w:val="000000"/>
          <w:sz w:val="22"/>
          <w:szCs w:val="22"/>
        </w:rPr>
        <w:t>what is</w:t>
      </w:r>
      <w:r w:rsidR="00A04472" w:rsidRPr="008B262F">
        <w:rPr>
          <w:color w:val="000000"/>
          <w:sz w:val="22"/>
          <w:szCs w:val="22"/>
        </w:rPr>
        <w:t xml:space="preserve"> made visible and what is covered over in pro-LGBTI cases that purport to repair queer injury and further queer intimac</w:t>
      </w:r>
      <w:r w:rsidR="00DF3AD0" w:rsidRPr="008B262F">
        <w:rPr>
          <w:color w:val="000000"/>
          <w:sz w:val="22"/>
          <w:szCs w:val="22"/>
        </w:rPr>
        <w:t xml:space="preserve">y and identity. </w:t>
      </w:r>
      <w:r w:rsidR="00513223" w:rsidRPr="008B262F">
        <w:rPr>
          <w:color w:val="000000"/>
          <w:sz w:val="22"/>
          <w:szCs w:val="22"/>
        </w:rPr>
        <w:t xml:space="preserve">In the pursuit to criminalise and punish violent homophobes, pro-LGBTI hate crime cases risk </w:t>
      </w:r>
      <w:r w:rsidR="009D2ACF" w:rsidRPr="008B262F">
        <w:rPr>
          <w:color w:val="000000"/>
          <w:sz w:val="22"/>
          <w:szCs w:val="22"/>
        </w:rPr>
        <w:t xml:space="preserve">covering the emotional, as well social, conditions that make </w:t>
      </w:r>
      <w:r w:rsidR="00F521A2">
        <w:rPr>
          <w:color w:val="000000"/>
          <w:sz w:val="22"/>
          <w:szCs w:val="22"/>
        </w:rPr>
        <w:t>queer</w:t>
      </w:r>
      <w:r w:rsidR="009D2ACF" w:rsidRPr="008B262F">
        <w:rPr>
          <w:color w:val="000000"/>
          <w:sz w:val="22"/>
          <w:szCs w:val="22"/>
        </w:rPr>
        <w:t xml:space="preserve"> injury possible. Alternatively, pursuits to anchor love to relationship recognition produce sentimental formulations of kinship that risk covering over transient, abject or socially unproductive</w:t>
      </w:r>
      <w:r w:rsidR="00F521A2">
        <w:rPr>
          <w:color w:val="000000"/>
          <w:sz w:val="22"/>
          <w:szCs w:val="22"/>
        </w:rPr>
        <w:t xml:space="preserve"> queer</w:t>
      </w:r>
      <w:r w:rsidR="009D2ACF" w:rsidRPr="008B262F">
        <w:rPr>
          <w:color w:val="000000"/>
          <w:sz w:val="22"/>
          <w:szCs w:val="22"/>
        </w:rPr>
        <w:t xml:space="preserve"> intimacies</w:t>
      </w:r>
      <w:r w:rsidR="00F521A2">
        <w:rPr>
          <w:color w:val="000000"/>
          <w:sz w:val="22"/>
          <w:szCs w:val="22"/>
        </w:rPr>
        <w:t xml:space="preserve"> and identities</w:t>
      </w:r>
      <w:r w:rsidR="009D2ACF" w:rsidRPr="008B262F">
        <w:rPr>
          <w:color w:val="000000"/>
          <w:sz w:val="22"/>
          <w:szCs w:val="22"/>
        </w:rPr>
        <w:t xml:space="preserve">. </w:t>
      </w:r>
    </w:p>
    <w:p w14:paraId="24A3E0E8" w14:textId="53A13C0B" w:rsidR="00C917AB" w:rsidRDefault="00B80B54" w:rsidP="00701F16">
      <w:pPr>
        <w:spacing w:line="480" w:lineRule="auto"/>
        <w:ind w:firstLine="720"/>
        <w:jc w:val="both"/>
        <w:rPr>
          <w:color w:val="000000"/>
          <w:sz w:val="22"/>
          <w:szCs w:val="22"/>
        </w:rPr>
      </w:pPr>
      <w:r w:rsidRPr="008B262F">
        <w:rPr>
          <w:color w:val="000000"/>
          <w:sz w:val="22"/>
          <w:szCs w:val="22"/>
        </w:rPr>
        <w:t xml:space="preserve">By analysing queer injury, intimacy, and identity in two different sites of pro-LGBTI cases, </w:t>
      </w:r>
      <w:r w:rsidR="00F67316">
        <w:rPr>
          <w:color w:val="000000"/>
          <w:sz w:val="22"/>
          <w:szCs w:val="22"/>
        </w:rPr>
        <w:t>this paper</w:t>
      </w:r>
      <w:r w:rsidRPr="008B262F">
        <w:rPr>
          <w:color w:val="000000"/>
          <w:sz w:val="22"/>
          <w:szCs w:val="22"/>
        </w:rPr>
        <w:t xml:space="preserve">  </w:t>
      </w:r>
      <w:r w:rsidR="00F67316">
        <w:rPr>
          <w:color w:val="000000"/>
          <w:sz w:val="22"/>
          <w:szCs w:val="22"/>
        </w:rPr>
        <w:t>has shown</w:t>
      </w:r>
      <w:r w:rsidRPr="008B262F">
        <w:rPr>
          <w:color w:val="000000"/>
          <w:sz w:val="22"/>
          <w:szCs w:val="22"/>
        </w:rPr>
        <w:t xml:space="preserve"> how both hate crime and marriage equality jurisprudence in the US</w:t>
      </w:r>
      <w:r w:rsidR="00F67316">
        <w:rPr>
          <w:color w:val="000000"/>
          <w:sz w:val="22"/>
          <w:szCs w:val="22"/>
        </w:rPr>
        <w:t xml:space="preserve"> has</w:t>
      </w:r>
      <w:r w:rsidRPr="008B262F">
        <w:rPr>
          <w:color w:val="000000"/>
          <w:sz w:val="22"/>
          <w:szCs w:val="22"/>
        </w:rPr>
        <w:t xml:space="preserve"> </w:t>
      </w:r>
      <w:r w:rsidR="00655C6E">
        <w:rPr>
          <w:color w:val="000000"/>
          <w:sz w:val="22"/>
          <w:szCs w:val="22"/>
        </w:rPr>
        <w:t>worked to deny the recognition of those who were</w:t>
      </w:r>
      <w:r w:rsidRPr="008B262F">
        <w:rPr>
          <w:color w:val="000000"/>
          <w:sz w:val="22"/>
          <w:szCs w:val="22"/>
        </w:rPr>
        <w:t xml:space="preserve"> emotionally quee</w:t>
      </w:r>
      <w:r w:rsidR="00655C6E">
        <w:rPr>
          <w:color w:val="000000"/>
          <w:sz w:val="22"/>
          <w:szCs w:val="22"/>
        </w:rPr>
        <w:t>r to a legal order that sustained</w:t>
      </w:r>
      <w:r w:rsidRPr="008B262F">
        <w:rPr>
          <w:color w:val="000000"/>
          <w:sz w:val="22"/>
          <w:szCs w:val="22"/>
        </w:rPr>
        <w:t xml:space="preserve"> certain emo</w:t>
      </w:r>
      <w:r w:rsidR="009F7E13">
        <w:rPr>
          <w:color w:val="000000"/>
          <w:sz w:val="22"/>
          <w:szCs w:val="22"/>
        </w:rPr>
        <w:t>tional sentiments (such as the ‘</w:t>
      </w:r>
      <w:r>
        <w:rPr>
          <w:color w:val="000000"/>
          <w:sz w:val="22"/>
          <w:szCs w:val="22"/>
        </w:rPr>
        <w:t>homop</w:t>
      </w:r>
      <w:r w:rsidR="009F7E13">
        <w:rPr>
          <w:color w:val="000000"/>
          <w:sz w:val="22"/>
          <w:szCs w:val="22"/>
        </w:rPr>
        <w:t>hobic hater’ or ‘loving couple’</w:t>
      </w:r>
      <w:r w:rsidRPr="008B262F">
        <w:rPr>
          <w:color w:val="000000"/>
          <w:sz w:val="22"/>
          <w:szCs w:val="22"/>
        </w:rPr>
        <w:t xml:space="preserve">). </w:t>
      </w:r>
      <w:r w:rsidR="00655C6E">
        <w:rPr>
          <w:color w:val="000000"/>
          <w:sz w:val="22"/>
          <w:szCs w:val="22"/>
        </w:rPr>
        <w:t>In other words, the emotional enactments in each area of jurisprudence allowed certain forms of queer injury, intimacy, or identity to be made visible while also covering over more structural or sustained forms of exclusions that queers face</w:t>
      </w:r>
      <w:r w:rsidR="00A27435">
        <w:rPr>
          <w:color w:val="000000"/>
          <w:sz w:val="22"/>
          <w:szCs w:val="22"/>
        </w:rPr>
        <w:t>d</w:t>
      </w:r>
      <w:r w:rsidR="00655C6E">
        <w:rPr>
          <w:color w:val="000000"/>
          <w:sz w:val="22"/>
          <w:szCs w:val="22"/>
        </w:rPr>
        <w:t xml:space="preserve"> on a daily basis. </w:t>
      </w:r>
    </w:p>
    <w:p w14:paraId="7C524944" w14:textId="20472E23" w:rsidR="00C917AB" w:rsidRPr="00C917AB" w:rsidRDefault="008206BF" w:rsidP="0073437D">
      <w:pPr>
        <w:spacing w:line="480" w:lineRule="auto"/>
        <w:ind w:firstLine="720"/>
        <w:jc w:val="both"/>
        <w:rPr>
          <w:sz w:val="22"/>
          <w:szCs w:val="22"/>
        </w:rPr>
      </w:pPr>
      <w:r>
        <w:rPr>
          <w:color w:val="000000"/>
          <w:sz w:val="22"/>
          <w:szCs w:val="22"/>
        </w:rPr>
        <w:t>R</w:t>
      </w:r>
      <w:r w:rsidR="00C917AB">
        <w:rPr>
          <w:color w:val="000000"/>
          <w:sz w:val="22"/>
          <w:szCs w:val="22"/>
        </w:rPr>
        <w:t xml:space="preserve">eading </w:t>
      </w:r>
      <w:r w:rsidR="00F67316">
        <w:rPr>
          <w:color w:val="000000"/>
          <w:sz w:val="22"/>
          <w:szCs w:val="22"/>
        </w:rPr>
        <w:t xml:space="preserve">emotions </w:t>
      </w:r>
      <w:r w:rsidR="00C917AB">
        <w:rPr>
          <w:color w:val="000000"/>
          <w:sz w:val="22"/>
          <w:szCs w:val="22"/>
        </w:rPr>
        <w:t xml:space="preserve">as </w:t>
      </w:r>
      <w:r w:rsidR="00655C6E">
        <w:rPr>
          <w:color w:val="000000"/>
          <w:sz w:val="22"/>
          <w:szCs w:val="22"/>
        </w:rPr>
        <w:t>legal enactment</w:t>
      </w:r>
      <w:r w:rsidR="00C917AB">
        <w:rPr>
          <w:color w:val="000000"/>
          <w:sz w:val="22"/>
          <w:szCs w:val="22"/>
        </w:rPr>
        <w:t>s</w:t>
      </w:r>
      <w:r>
        <w:rPr>
          <w:color w:val="000000"/>
          <w:sz w:val="22"/>
          <w:szCs w:val="22"/>
        </w:rPr>
        <w:t xml:space="preserve"> better equips us, as </w:t>
      </w:r>
      <w:r w:rsidR="00655C6E">
        <w:rPr>
          <w:color w:val="000000"/>
          <w:sz w:val="22"/>
          <w:szCs w:val="22"/>
        </w:rPr>
        <w:t>activist</w:t>
      </w:r>
      <w:r w:rsidR="008820E9">
        <w:rPr>
          <w:color w:val="000000"/>
          <w:sz w:val="22"/>
          <w:szCs w:val="22"/>
        </w:rPr>
        <w:t xml:space="preserve"> legal </w:t>
      </w:r>
      <w:r w:rsidR="00655C6E">
        <w:rPr>
          <w:color w:val="000000"/>
          <w:sz w:val="22"/>
          <w:szCs w:val="22"/>
        </w:rPr>
        <w:t>scholars</w:t>
      </w:r>
      <w:r>
        <w:rPr>
          <w:color w:val="000000"/>
          <w:sz w:val="22"/>
          <w:szCs w:val="22"/>
        </w:rPr>
        <w:t>,</w:t>
      </w:r>
      <w:r w:rsidR="00655C6E">
        <w:rPr>
          <w:color w:val="000000"/>
          <w:sz w:val="22"/>
          <w:szCs w:val="22"/>
        </w:rPr>
        <w:t xml:space="preserve"> to address their </w:t>
      </w:r>
      <w:r w:rsidR="00C917AB">
        <w:rPr>
          <w:color w:val="000000"/>
          <w:sz w:val="22"/>
          <w:szCs w:val="22"/>
        </w:rPr>
        <w:t>socio-legal</w:t>
      </w:r>
      <w:r w:rsidR="00655C6E">
        <w:rPr>
          <w:color w:val="000000"/>
          <w:sz w:val="22"/>
          <w:szCs w:val="22"/>
        </w:rPr>
        <w:t xml:space="preserve"> consequences</w:t>
      </w:r>
      <w:r>
        <w:rPr>
          <w:color w:val="000000"/>
          <w:sz w:val="22"/>
          <w:szCs w:val="22"/>
        </w:rPr>
        <w:t xml:space="preserve"> in progressive activist agendas</w:t>
      </w:r>
      <w:r w:rsidR="00655C6E">
        <w:rPr>
          <w:color w:val="000000"/>
          <w:sz w:val="22"/>
          <w:szCs w:val="22"/>
        </w:rPr>
        <w:t xml:space="preserve">. </w:t>
      </w:r>
      <w:r w:rsidR="008820E9">
        <w:rPr>
          <w:sz w:val="22"/>
          <w:szCs w:val="22"/>
        </w:rPr>
        <w:t>We</w:t>
      </w:r>
      <w:r w:rsidR="00B80B54" w:rsidRPr="008B262F">
        <w:rPr>
          <w:color w:val="000000"/>
          <w:sz w:val="22"/>
          <w:szCs w:val="22"/>
        </w:rPr>
        <w:t xml:space="preserve"> </w:t>
      </w:r>
      <w:r w:rsidR="00B80B54">
        <w:rPr>
          <w:color w:val="000000"/>
          <w:sz w:val="22"/>
          <w:szCs w:val="22"/>
        </w:rPr>
        <w:t>do not have to</w:t>
      </w:r>
      <w:r w:rsidR="00B80B54" w:rsidRPr="008B262F">
        <w:rPr>
          <w:color w:val="000000"/>
          <w:sz w:val="22"/>
          <w:szCs w:val="22"/>
        </w:rPr>
        <w:t xml:space="preserve"> expel or embrace emotion (as if either were possible) in law to </w:t>
      </w:r>
      <w:r w:rsidR="00C917AB">
        <w:rPr>
          <w:color w:val="000000"/>
          <w:sz w:val="22"/>
          <w:szCs w:val="22"/>
        </w:rPr>
        <w:t>further the rights of</w:t>
      </w:r>
      <w:r w:rsidR="00B80B54" w:rsidRPr="008B262F">
        <w:rPr>
          <w:color w:val="000000"/>
          <w:sz w:val="22"/>
          <w:szCs w:val="22"/>
        </w:rPr>
        <w:t xml:space="preserve"> </w:t>
      </w:r>
      <w:r w:rsidR="00655C6E">
        <w:rPr>
          <w:color w:val="000000"/>
          <w:sz w:val="22"/>
          <w:szCs w:val="22"/>
        </w:rPr>
        <w:t>LGBTI people</w:t>
      </w:r>
      <w:r w:rsidR="00B80B54" w:rsidRPr="008B262F">
        <w:rPr>
          <w:color w:val="000000"/>
          <w:sz w:val="22"/>
          <w:szCs w:val="22"/>
        </w:rPr>
        <w:t xml:space="preserve">. </w:t>
      </w:r>
      <w:r w:rsidR="00C917AB">
        <w:rPr>
          <w:color w:val="000000"/>
          <w:sz w:val="22"/>
          <w:szCs w:val="22"/>
        </w:rPr>
        <w:t>Rather</w:t>
      </w:r>
      <w:r w:rsidR="00B80B54" w:rsidRPr="008B262F">
        <w:rPr>
          <w:color w:val="000000"/>
          <w:sz w:val="22"/>
          <w:szCs w:val="22"/>
        </w:rPr>
        <w:t xml:space="preserve">, we must contend with emotion in </w:t>
      </w:r>
      <w:r w:rsidR="00C917AB">
        <w:rPr>
          <w:color w:val="000000"/>
          <w:sz w:val="22"/>
          <w:szCs w:val="22"/>
        </w:rPr>
        <w:t xml:space="preserve">our </w:t>
      </w:r>
      <w:r w:rsidR="00B80B54" w:rsidRPr="008B262F">
        <w:rPr>
          <w:color w:val="000000"/>
          <w:sz w:val="22"/>
          <w:szCs w:val="22"/>
        </w:rPr>
        <w:t>pursuits of</w:t>
      </w:r>
      <w:r w:rsidR="00664EC1">
        <w:rPr>
          <w:color w:val="000000"/>
          <w:sz w:val="22"/>
          <w:szCs w:val="22"/>
        </w:rPr>
        <w:t xml:space="preserve"> </w:t>
      </w:r>
      <w:r w:rsidR="00C917AB">
        <w:rPr>
          <w:color w:val="000000"/>
          <w:sz w:val="22"/>
          <w:szCs w:val="22"/>
        </w:rPr>
        <w:t>recognition</w:t>
      </w:r>
      <w:r w:rsidR="00B80B54" w:rsidRPr="008B262F">
        <w:rPr>
          <w:color w:val="000000"/>
          <w:sz w:val="22"/>
          <w:szCs w:val="22"/>
        </w:rPr>
        <w:t>.</w:t>
      </w:r>
      <w:r w:rsidR="00B80B54">
        <w:rPr>
          <w:color w:val="000000"/>
          <w:sz w:val="22"/>
          <w:szCs w:val="22"/>
        </w:rPr>
        <w:t xml:space="preserve"> </w:t>
      </w:r>
      <w:r w:rsidR="00C917AB">
        <w:rPr>
          <w:color w:val="000000"/>
          <w:sz w:val="22"/>
          <w:szCs w:val="22"/>
        </w:rPr>
        <w:t xml:space="preserve">This is not limited to LGBTI issues. </w:t>
      </w:r>
      <w:r w:rsidR="001279E3" w:rsidRPr="008B262F">
        <w:rPr>
          <w:color w:val="000000"/>
          <w:sz w:val="22"/>
          <w:szCs w:val="22"/>
        </w:rPr>
        <w:t>Using emotion</w:t>
      </w:r>
      <w:r w:rsidR="00C917AB">
        <w:rPr>
          <w:color w:val="000000"/>
          <w:sz w:val="22"/>
          <w:szCs w:val="22"/>
        </w:rPr>
        <w:t xml:space="preserve"> to queer progress</w:t>
      </w:r>
      <w:r w:rsidR="00F521A2">
        <w:rPr>
          <w:color w:val="000000"/>
          <w:sz w:val="22"/>
          <w:szCs w:val="22"/>
        </w:rPr>
        <w:t xml:space="preserve"> </w:t>
      </w:r>
      <w:r w:rsidR="00B80B54">
        <w:rPr>
          <w:color w:val="000000"/>
          <w:sz w:val="22"/>
          <w:szCs w:val="22"/>
        </w:rPr>
        <w:t>will also enable</w:t>
      </w:r>
      <w:r w:rsidR="001279E3" w:rsidRPr="008B262F">
        <w:rPr>
          <w:color w:val="000000"/>
          <w:sz w:val="22"/>
          <w:szCs w:val="22"/>
        </w:rPr>
        <w:t xml:space="preserve"> activist-scholars </w:t>
      </w:r>
      <w:r w:rsidR="009D2ACF" w:rsidRPr="008B262F">
        <w:rPr>
          <w:color w:val="000000"/>
          <w:sz w:val="22"/>
          <w:szCs w:val="22"/>
        </w:rPr>
        <w:t xml:space="preserve">in </w:t>
      </w:r>
      <w:r w:rsidR="00C917AB">
        <w:rPr>
          <w:color w:val="000000"/>
          <w:sz w:val="22"/>
          <w:szCs w:val="22"/>
        </w:rPr>
        <w:t>other areas</w:t>
      </w:r>
      <w:r w:rsidR="00F521A2">
        <w:rPr>
          <w:color w:val="000000"/>
          <w:sz w:val="22"/>
          <w:szCs w:val="22"/>
        </w:rPr>
        <w:t xml:space="preserve"> to expose the</w:t>
      </w:r>
      <w:r w:rsidR="009D2ACF" w:rsidRPr="008B262F">
        <w:rPr>
          <w:color w:val="000000"/>
          <w:sz w:val="22"/>
          <w:szCs w:val="22"/>
        </w:rPr>
        <w:t xml:space="preserve"> insidious consequences</w:t>
      </w:r>
      <w:r w:rsidR="00F521A2">
        <w:rPr>
          <w:color w:val="000000"/>
          <w:sz w:val="22"/>
          <w:szCs w:val="22"/>
        </w:rPr>
        <w:t xml:space="preserve"> of </w:t>
      </w:r>
      <w:r w:rsidR="00B80B54">
        <w:rPr>
          <w:color w:val="000000"/>
          <w:sz w:val="22"/>
          <w:szCs w:val="22"/>
        </w:rPr>
        <w:t xml:space="preserve">law </w:t>
      </w:r>
      <w:r w:rsidR="00F521A2">
        <w:rPr>
          <w:color w:val="000000"/>
          <w:sz w:val="22"/>
          <w:szCs w:val="22"/>
        </w:rPr>
        <w:t xml:space="preserve">reform and </w:t>
      </w:r>
      <w:r w:rsidR="00B80B54">
        <w:rPr>
          <w:color w:val="000000"/>
          <w:sz w:val="22"/>
          <w:szCs w:val="22"/>
        </w:rPr>
        <w:t>nuance our</w:t>
      </w:r>
      <w:r w:rsidR="00F521A2">
        <w:rPr>
          <w:color w:val="000000"/>
          <w:sz w:val="22"/>
          <w:szCs w:val="22"/>
        </w:rPr>
        <w:t xml:space="preserve"> responses to emotion</w:t>
      </w:r>
      <w:r w:rsidR="009D2ACF" w:rsidRPr="008B262F">
        <w:rPr>
          <w:color w:val="000000"/>
          <w:sz w:val="22"/>
          <w:szCs w:val="22"/>
        </w:rPr>
        <w:t xml:space="preserve"> when seeking to</w:t>
      </w:r>
      <w:r w:rsidR="00F521A2">
        <w:rPr>
          <w:color w:val="000000"/>
          <w:sz w:val="22"/>
          <w:szCs w:val="22"/>
        </w:rPr>
        <w:t xml:space="preserve"> </w:t>
      </w:r>
      <w:r w:rsidR="00B80B54">
        <w:rPr>
          <w:color w:val="000000"/>
          <w:sz w:val="22"/>
          <w:szCs w:val="22"/>
        </w:rPr>
        <w:t>advance</w:t>
      </w:r>
      <w:r w:rsidR="001279E3" w:rsidRPr="008B262F">
        <w:rPr>
          <w:color w:val="000000"/>
          <w:sz w:val="22"/>
          <w:szCs w:val="22"/>
        </w:rPr>
        <w:t xml:space="preserve"> the rights of minorities </w:t>
      </w:r>
      <w:r w:rsidR="00F521A2">
        <w:rPr>
          <w:color w:val="000000"/>
          <w:sz w:val="22"/>
          <w:szCs w:val="22"/>
        </w:rPr>
        <w:t xml:space="preserve">through </w:t>
      </w:r>
      <w:r w:rsidR="00B80B54">
        <w:rPr>
          <w:color w:val="000000"/>
          <w:sz w:val="22"/>
          <w:szCs w:val="22"/>
        </w:rPr>
        <w:t>law</w:t>
      </w:r>
      <w:r w:rsidR="001279E3" w:rsidRPr="008B262F">
        <w:rPr>
          <w:color w:val="000000"/>
          <w:sz w:val="22"/>
          <w:szCs w:val="22"/>
        </w:rPr>
        <w:t>.</w:t>
      </w:r>
    </w:p>
    <w:sectPr w:rsidR="00C917AB" w:rsidRPr="00C917AB" w:rsidSect="008B262F">
      <w:headerReference w:type="default" r:id="rId8"/>
      <w:footerReference w:type="default" r:id="rId9"/>
      <w:footerReference w:type="first" r:id="rId10"/>
      <w:endnotePr>
        <w:numFmt w:val="decimal"/>
      </w:endnotePr>
      <w:pgSz w:w="11900" w:h="16840"/>
      <w:pgMar w:top="1170" w:right="1800" w:bottom="90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26E2D" w14:textId="77777777" w:rsidR="00A27435" w:rsidRDefault="00A27435" w:rsidP="00BC491A">
      <w:r>
        <w:separator/>
      </w:r>
    </w:p>
  </w:endnote>
  <w:endnote w:type="continuationSeparator" w:id="0">
    <w:p w14:paraId="2F5D06F3" w14:textId="77777777" w:rsidR="00A27435" w:rsidRDefault="00A27435" w:rsidP="00BC491A">
      <w:r>
        <w:continuationSeparator/>
      </w:r>
    </w:p>
  </w:endnote>
  <w:endnote w:id="1">
    <w:p w14:paraId="7B230392" w14:textId="28248F90" w:rsidR="00A27435" w:rsidRPr="00701F16" w:rsidRDefault="00A27435" w:rsidP="00701F16">
      <w:pPr>
        <w:pStyle w:val="EndnoteText"/>
        <w:jc w:val="both"/>
        <w:rPr>
          <w:sz w:val="22"/>
          <w:szCs w:val="22"/>
          <w:lang w:val="en-US"/>
        </w:rPr>
      </w:pPr>
      <w:r w:rsidRPr="00701F16">
        <w:rPr>
          <w:rStyle w:val="EndnoteReference"/>
          <w:sz w:val="22"/>
          <w:szCs w:val="22"/>
        </w:rPr>
        <w:endnoteRef/>
      </w:r>
      <w:r w:rsidRPr="00701F16">
        <w:rPr>
          <w:sz w:val="22"/>
          <w:szCs w:val="22"/>
        </w:rPr>
        <w:t xml:space="preserve"> This is a rich body of literature. I take inspiration from critical race and feminist scholarship, See </w:t>
      </w:r>
      <w:r w:rsidRPr="005B6402">
        <w:rPr>
          <w:sz w:val="22"/>
          <w:szCs w:val="22"/>
        </w:rPr>
        <w:t xml:space="preserve">Kimberle Crenshaw, </w:t>
      </w:r>
      <w:r>
        <w:rPr>
          <w:sz w:val="22"/>
          <w:szCs w:val="22"/>
        </w:rPr>
        <w:t>‘</w:t>
      </w:r>
      <w:r w:rsidRPr="00701F16">
        <w:rPr>
          <w:sz w:val="22"/>
          <w:szCs w:val="22"/>
        </w:rPr>
        <w:t>Race, Reform, and Retrenchment: Transformation and Legitim</w:t>
      </w:r>
      <w:r w:rsidRPr="005B6402">
        <w:rPr>
          <w:sz w:val="22"/>
          <w:szCs w:val="22"/>
        </w:rPr>
        <w:t>ation in Antidiscrimination Law</w:t>
      </w:r>
      <w:r>
        <w:rPr>
          <w:sz w:val="22"/>
          <w:szCs w:val="22"/>
        </w:rPr>
        <w:t>’</w:t>
      </w:r>
      <w:r w:rsidRPr="00701F16">
        <w:rPr>
          <w:sz w:val="22"/>
          <w:szCs w:val="22"/>
        </w:rPr>
        <w:t xml:space="preserve"> </w:t>
      </w:r>
      <w:r w:rsidRPr="00195D21">
        <w:rPr>
          <w:i/>
          <w:sz w:val="22"/>
          <w:szCs w:val="22"/>
        </w:rPr>
        <w:t>Harvard Law Review</w:t>
      </w:r>
      <w:r w:rsidRPr="00195D21">
        <w:rPr>
          <w:sz w:val="22"/>
          <w:szCs w:val="22"/>
        </w:rPr>
        <w:t xml:space="preserve"> </w:t>
      </w:r>
      <w:r w:rsidRPr="00701F16">
        <w:rPr>
          <w:sz w:val="22"/>
          <w:szCs w:val="22"/>
        </w:rPr>
        <w:t>101</w:t>
      </w:r>
      <w:r>
        <w:rPr>
          <w:sz w:val="22"/>
          <w:szCs w:val="22"/>
        </w:rPr>
        <w:t xml:space="preserve">, no. </w:t>
      </w:r>
      <w:r w:rsidRPr="005B6402">
        <w:rPr>
          <w:sz w:val="22"/>
          <w:szCs w:val="22"/>
        </w:rPr>
        <w:t xml:space="preserve">3 (1988): </w:t>
      </w:r>
      <w:r w:rsidRPr="00701F16">
        <w:rPr>
          <w:sz w:val="22"/>
          <w:szCs w:val="22"/>
        </w:rPr>
        <w:t>1331</w:t>
      </w:r>
      <w:r>
        <w:rPr>
          <w:sz w:val="22"/>
          <w:szCs w:val="22"/>
        </w:rPr>
        <w:t>-87</w:t>
      </w:r>
      <w:r w:rsidRPr="00701F16">
        <w:rPr>
          <w:sz w:val="22"/>
          <w:szCs w:val="22"/>
        </w:rPr>
        <w:t xml:space="preserve">; </w:t>
      </w:r>
      <w:r w:rsidRPr="005B6402">
        <w:rPr>
          <w:sz w:val="22"/>
          <w:szCs w:val="22"/>
        </w:rPr>
        <w:t xml:space="preserve">Kimberle Crenshaw, </w:t>
      </w:r>
      <w:r>
        <w:rPr>
          <w:sz w:val="22"/>
          <w:szCs w:val="22"/>
        </w:rPr>
        <w:t>‘</w:t>
      </w:r>
      <w:r w:rsidRPr="00701F16">
        <w:rPr>
          <w:sz w:val="22"/>
          <w:szCs w:val="22"/>
        </w:rPr>
        <w:t>Mapping the Margins: Intersectionality, Identity Politics, and Violenc</w:t>
      </w:r>
      <w:r w:rsidRPr="005B6402">
        <w:rPr>
          <w:sz w:val="22"/>
          <w:szCs w:val="22"/>
        </w:rPr>
        <w:t>e Against Women of Colour</w:t>
      </w:r>
      <w:r>
        <w:rPr>
          <w:sz w:val="22"/>
          <w:szCs w:val="22"/>
        </w:rPr>
        <w:t xml:space="preserve">’, </w:t>
      </w:r>
      <w:r w:rsidRPr="00195D21">
        <w:rPr>
          <w:i/>
          <w:sz w:val="22"/>
          <w:szCs w:val="22"/>
        </w:rPr>
        <w:t xml:space="preserve">Connecticut Law Review </w:t>
      </w:r>
      <w:r w:rsidRPr="005B6402">
        <w:rPr>
          <w:sz w:val="22"/>
          <w:szCs w:val="22"/>
        </w:rPr>
        <w:t xml:space="preserve">43, no. </w:t>
      </w:r>
      <w:r w:rsidRPr="00701F16">
        <w:rPr>
          <w:sz w:val="22"/>
          <w:szCs w:val="22"/>
        </w:rPr>
        <w:t>5</w:t>
      </w:r>
      <w:r w:rsidRPr="005B6402">
        <w:rPr>
          <w:sz w:val="22"/>
          <w:szCs w:val="22"/>
        </w:rPr>
        <w:t xml:space="preserve"> (1991):</w:t>
      </w:r>
      <w:r>
        <w:rPr>
          <w:sz w:val="22"/>
          <w:szCs w:val="22"/>
        </w:rPr>
        <w:t xml:space="preserve"> 1241-99</w:t>
      </w:r>
      <w:r w:rsidRPr="00701F16">
        <w:rPr>
          <w:sz w:val="22"/>
          <w:szCs w:val="22"/>
        </w:rPr>
        <w:t xml:space="preserve">; and </w:t>
      </w:r>
      <w:r w:rsidRPr="005B6402">
        <w:rPr>
          <w:sz w:val="22"/>
          <w:szCs w:val="22"/>
        </w:rPr>
        <w:t xml:space="preserve">Mari Matsuda, </w:t>
      </w:r>
      <w:r>
        <w:rPr>
          <w:sz w:val="22"/>
          <w:szCs w:val="22"/>
        </w:rPr>
        <w:t>‘</w:t>
      </w:r>
      <w:r w:rsidRPr="00701F16">
        <w:rPr>
          <w:sz w:val="22"/>
          <w:szCs w:val="22"/>
        </w:rPr>
        <w:t>Looking to the Bottom: Critical</w:t>
      </w:r>
      <w:r w:rsidRPr="005B6402">
        <w:rPr>
          <w:sz w:val="22"/>
          <w:szCs w:val="22"/>
        </w:rPr>
        <w:t xml:space="preserve"> Legal Studies and Reparations</w:t>
      </w:r>
      <w:r>
        <w:rPr>
          <w:sz w:val="22"/>
          <w:szCs w:val="22"/>
        </w:rPr>
        <w:t xml:space="preserve">’, </w:t>
      </w:r>
      <w:r w:rsidRPr="00195D21">
        <w:rPr>
          <w:i/>
          <w:sz w:val="22"/>
          <w:szCs w:val="22"/>
        </w:rPr>
        <w:t>Harvard Civil Rights-Civil Liberties Law Revie</w:t>
      </w:r>
      <w:r>
        <w:rPr>
          <w:sz w:val="22"/>
          <w:szCs w:val="22"/>
        </w:rPr>
        <w:t xml:space="preserve">w </w:t>
      </w:r>
      <w:r w:rsidRPr="00701F16">
        <w:rPr>
          <w:sz w:val="22"/>
          <w:szCs w:val="22"/>
        </w:rPr>
        <w:t xml:space="preserve">22 </w:t>
      </w:r>
      <w:r>
        <w:rPr>
          <w:sz w:val="22"/>
          <w:szCs w:val="22"/>
        </w:rPr>
        <w:t>(1987):</w:t>
      </w:r>
      <w:r w:rsidRPr="00701F16">
        <w:rPr>
          <w:i/>
          <w:sz w:val="22"/>
          <w:szCs w:val="22"/>
        </w:rPr>
        <w:t xml:space="preserve"> </w:t>
      </w:r>
      <w:r w:rsidRPr="00701F16">
        <w:rPr>
          <w:sz w:val="22"/>
          <w:szCs w:val="22"/>
        </w:rPr>
        <w:t>323</w:t>
      </w:r>
    </w:p>
  </w:endnote>
  <w:endnote w:id="2">
    <w:p w14:paraId="4B66777B" w14:textId="20984546" w:rsidR="00A27435" w:rsidRPr="00BC0A03" w:rsidRDefault="00A27435" w:rsidP="00A55C80">
      <w:pPr>
        <w:pStyle w:val="EndnoteText"/>
        <w:jc w:val="both"/>
        <w:rPr>
          <w:sz w:val="22"/>
          <w:szCs w:val="22"/>
          <w:lang w:val="en-US"/>
        </w:rPr>
      </w:pPr>
      <w:r w:rsidRPr="00BC0A03">
        <w:rPr>
          <w:rStyle w:val="EndnoteReference"/>
          <w:sz w:val="22"/>
          <w:szCs w:val="22"/>
        </w:rPr>
        <w:endnoteRef/>
      </w:r>
      <w:r w:rsidRPr="00BC0A03">
        <w:rPr>
          <w:sz w:val="22"/>
          <w:szCs w:val="22"/>
        </w:rPr>
        <w:t xml:space="preserve"> </w:t>
      </w:r>
      <w:r w:rsidRPr="00195D21">
        <w:rPr>
          <w:sz w:val="22"/>
          <w:szCs w:val="22"/>
        </w:rPr>
        <w:t xml:space="preserve">Frank Munger, ‘Inquiry and Activism in Law and Society’, </w:t>
      </w:r>
      <w:r w:rsidRPr="00195D21">
        <w:rPr>
          <w:i/>
          <w:sz w:val="22"/>
          <w:szCs w:val="22"/>
        </w:rPr>
        <w:t xml:space="preserve">Law &amp; Society Review </w:t>
      </w:r>
      <w:r>
        <w:rPr>
          <w:sz w:val="22"/>
          <w:szCs w:val="22"/>
        </w:rPr>
        <w:t xml:space="preserve">35 (2001): 9. </w:t>
      </w:r>
    </w:p>
  </w:endnote>
  <w:endnote w:id="3">
    <w:p w14:paraId="1786C323" w14:textId="3E0CF249" w:rsidR="00A27435" w:rsidRPr="00701F16" w:rsidRDefault="00A27435" w:rsidP="00701F16">
      <w:pPr>
        <w:pStyle w:val="EndnoteText"/>
        <w:jc w:val="both"/>
        <w:rPr>
          <w:sz w:val="22"/>
          <w:szCs w:val="22"/>
          <w:lang w:val="en-US"/>
        </w:rPr>
      </w:pPr>
      <w:r w:rsidRPr="00701F16">
        <w:rPr>
          <w:rStyle w:val="EndnoteReference"/>
          <w:sz w:val="22"/>
          <w:szCs w:val="22"/>
        </w:rPr>
        <w:endnoteRef/>
      </w:r>
      <w:r w:rsidRPr="00701F16">
        <w:rPr>
          <w:sz w:val="22"/>
          <w:szCs w:val="22"/>
        </w:rPr>
        <w:t xml:space="preserve"> </w:t>
      </w:r>
      <w:r w:rsidRPr="00F67316">
        <w:rPr>
          <w:color w:val="000000"/>
          <w:sz w:val="22"/>
          <w:szCs w:val="22"/>
        </w:rPr>
        <w:t xml:space="preserve">Jane Schacter, ‘Sexual Orientation, Social Change, and the Courts’, </w:t>
      </w:r>
      <w:r w:rsidRPr="00F67316">
        <w:rPr>
          <w:i/>
          <w:color w:val="000000"/>
          <w:sz w:val="22"/>
          <w:szCs w:val="22"/>
        </w:rPr>
        <w:t xml:space="preserve">Drake Law Review </w:t>
      </w:r>
      <w:r w:rsidRPr="00F67316">
        <w:rPr>
          <w:color w:val="000000"/>
          <w:sz w:val="22"/>
          <w:szCs w:val="22"/>
        </w:rPr>
        <w:t xml:space="preserve">54 (2005): 863. </w:t>
      </w:r>
    </w:p>
  </w:endnote>
  <w:endnote w:id="4">
    <w:p w14:paraId="3A0D98D0" w14:textId="23929680" w:rsidR="00A27435" w:rsidRPr="00701F16" w:rsidRDefault="00A27435" w:rsidP="00701F16">
      <w:pPr>
        <w:pStyle w:val="EndnoteText"/>
        <w:jc w:val="both"/>
        <w:rPr>
          <w:sz w:val="22"/>
          <w:szCs w:val="22"/>
          <w:lang w:val="en-US"/>
        </w:rPr>
      </w:pPr>
      <w:r w:rsidRPr="00701F16">
        <w:rPr>
          <w:rStyle w:val="EndnoteReference"/>
          <w:sz w:val="22"/>
          <w:szCs w:val="22"/>
        </w:rPr>
        <w:endnoteRef/>
      </w:r>
      <w:r w:rsidRPr="00701F16">
        <w:rPr>
          <w:sz w:val="22"/>
          <w:szCs w:val="22"/>
        </w:rPr>
        <w:t xml:space="preserve"> </w:t>
      </w:r>
      <w:r>
        <w:rPr>
          <w:sz w:val="22"/>
          <w:szCs w:val="22"/>
        </w:rPr>
        <w:t>Ibid</w:t>
      </w:r>
      <w:r w:rsidRPr="00701F16">
        <w:rPr>
          <w:sz w:val="22"/>
          <w:szCs w:val="22"/>
        </w:rPr>
        <w:t xml:space="preserve">. </w:t>
      </w:r>
    </w:p>
  </w:endnote>
  <w:endnote w:id="5">
    <w:p w14:paraId="4A91DA2D" w14:textId="40D95475" w:rsidR="00A27435" w:rsidRPr="00A55C80" w:rsidRDefault="00A27435" w:rsidP="00F67316">
      <w:pPr>
        <w:pStyle w:val="EndnoteText"/>
        <w:jc w:val="both"/>
        <w:rPr>
          <w:sz w:val="22"/>
          <w:szCs w:val="22"/>
          <w:lang w:val="en-US"/>
        </w:rPr>
      </w:pPr>
      <w:r w:rsidRPr="00F67316">
        <w:rPr>
          <w:rStyle w:val="EndnoteReference"/>
          <w:sz w:val="22"/>
          <w:szCs w:val="22"/>
        </w:rPr>
        <w:endnoteRef/>
      </w:r>
      <w:r w:rsidRPr="00F67316">
        <w:rPr>
          <w:sz w:val="22"/>
          <w:szCs w:val="22"/>
        </w:rPr>
        <w:t xml:space="preserve"> </w:t>
      </w:r>
      <w:r w:rsidRPr="00F67316">
        <w:rPr>
          <w:color w:val="000000"/>
          <w:sz w:val="22"/>
          <w:szCs w:val="22"/>
        </w:rPr>
        <w:t xml:space="preserve">Yvonne Zylan, </w:t>
      </w:r>
      <w:r w:rsidRPr="00F67316">
        <w:rPr>
          <w:i/>
          <w:color w:val="000000"/>
          <w:sz w:val="22"/>
          <w:szCs w:val="22"/>
        </w:rPr>
        <w:t>States of Passion: Law, Identity and the Social Construction of Desire</w:t>
      </w:r>
      <w:r w:rsidRPr="00F67316">
        <w:rPr>
          <w:color w:val="000000"/>
          <w:sz w:val="22"/>
          <w:szCs w:val="22"/>
        </w:rPr>
        <w:t>. (Oxford: Oxford Univ</w:t>
      </w:r>
      <w:r w:rsidRPr="00A55C80">
        <w:rPr>
          <w:color w:val="000000"/>
          <w:sz w:val="22"/>
          <w:szCs w:val="22"/>
        </w:rPr>
        <w:t>ersity Press, 2000), 5.</w:t>
      </w:r>
    </w:p>
  </w:endnote>
  <w:endnote w:id="6">
    <w:p w14:paraId="3D501A45" w14:textId="20FB2274" w:rsidR="00A27435" w:rsidRPr="00F67316" w:rsidRDefault="00A27435" w:rsidP="00F67316">
      <w:pPr>
        <w:pStyle w:val="EndnoteText"/>
        <w:jc w:val="both"/>
        <w:rPr>
          <w:sz w:val="22"/>
          <w:szCs w:val="22"/>
          <w:lang w:val="en-US"/>
        </w:rPr>
      </w:pPr>
      <w:r w:rsidRPr="00F67316">
        <w:rPr>
          <w:rStyle w:val="EndnoteReference"/>
          <w:sz w:val="22"/>
          <w:szCs w:val="22"/>
        </w:rPr>
        <w:endnoteRef/>
      </w:r>
      <w:r w:rsidRPr="00F67316">
        <w:rPr>
          <w:sz w:val="22"/>
          <w:szCs w:val="22"/>
        </w:rPr>
        <w:t xml:space="preserve"> </w:t>
      </w:r>
      <w:r w:rsidRPr="00F67316">
        <w:rPr>
          <w:color w:val="000000"/>
          <w:sz w:val="22"/>
          <w:szCs w:val="22"/>
        </w:rPr>
        <w:t xml:space="preserve">Chris Ashford, ‘Sexualities and the Law’, </w:t>
      </w:r>
      <w:r w:rsidRPr="00F67316">
        <w:rPr>
          <w:i/>
          <w:color w:val="000000"/>
          <w:sz w:val="22"/>
          <w:szCs w:val="22"/>
        </w:rPr>
        <w:t xml:space="preserve">Sexualities </w:t>
      </w:r>
      <w:r w:rsidRPr="00F67316">
        <w:rPr>
          <w:color w:val="000000"/>
          <w:sz w:val="22"/>
          <w:szCs w:val="22"/>
        </w:rPr>
        <w:t>14, no. 3 (2000): 265.</w:t>
      </w:r>
    </w:p>
  </w:endnote>
  <w:endnote w:id="7">
    <w:p w14:paraId="160EA305" w14:textId="77777777" w:rsidR="00A27435" w:rsidRPr="00A55C80" w:rsidRDefault="00A27435" w:rsidP="00F67316">
      <w:pPr>
        <w:pStyle w:val="EndnoteText"/>
        <w:jc w:val="both"/>
        <w:rPr>
          <w:sz w:val="22"/>
          <w:szCs w:val="22"/>
          <w:lang w:val="en-US"/>
        </w:rPr>
      </w:pPr>
      <w:r w:rsidRPr="00F67316">
        <w:rPr>
          <w:rStyle w:val="EndnoteReference"/>
          <w:sz w:val="22"/>
          <w:szCs w:val="22"/>
        </w:rPr>
        <w:endnoteRef/>
      </w:r>
      <w:r w:rsidRPr="00F67316">
        <w:rPr>
          <w:sz w:val="22"/>
          <w:szCs w:val="22"/>
        </w:rPr>
        <w:t xml:space="preserve"> </w:t>
      </w:r>
      <w:r w:rsidRPr="00F67316">
        <w:rPr>
          <w:color w:val="000000"/>
          <w:sz w:val="22"/>
          <w:szCs w:val="22"/>
        </w:rPr>
        <w:t xml:space="preserve">Lisa Bower, ‘Queer Acts and the Politics of Direct Address: Rethinking Law, Culture and Community’, </w:t>
      </w:r>
      <w:r w:rsidRPr="00A55C80">
        <w:rPr>
          <w:i/>
          <w:color w:val="000000"/>
          <w:sz w:val="22"/>
          <w:szCs w:val="22"/>
        </w:rPr>
        <w:t xml:space="preserve">Law &amp; Society Review </w:t>
      </w:r>
      <w:r w:rsidRPr="00A55C80">
        <w:rPr>
          <w:color w:val="000000"/>
          <w:sz w:val="22"/>
          <w:szCs w:val="22"/>
        </w:rPr>
        <w:t>28, no. 5 (1994): 1010.</w:t>
      </w:r>
    </w:p>
  </w:endnote>
  <w:endnote w:id="8">
    <w:p w14:paraId="3A91B05A" w14:textId="1AB3ACD4" w:rsidR="00A27435" w:rsidRPr="00A55C80" w:rsidRDefault="00A27435" w:rsidP="00F67316">
      <w:pPr>
        <w:pStyle w:val="EndnoteText"/>
        <w:jc w:val="both"/>
        <w:rPr>
          <w:sz w:val="22"/>
          <w:szCs w:val="22"/>
          <w:lang w:val="en-US"/>
        </w:rPr>
      </w:pPr>
      <w:r w:rsidRPr="00F67316">
        <w:rPr>
          <w:rStyle w:val="EndnoteReference"/>
          <w:sz w:val="22"/>
          <w:szCs w:val="22"/>
        </w:rPr>
        <w:endnoteRef/>
      </w:r>
      <w:r w:rsidRPr="00F67316">
        <w:rPr>
          <w:sz w:val="22"/>
          <w:szCs w:val="22"/>
        </w:rPr>
        <w:t xml:space="preserve"> </w:t>
      </w:r>
      <w:r w:rsidRPr="00F67316">
        <w:rPr>
          <w:color w:val="000000"/>
          <w:sz w:val="22"/>
          <w:szCs w:val="22"/>
        </w:rPr>
        <w:t xml:space="preserve">Ruthann Robson, ‘Judicial Review and Sexual Freedom’, </w:t>
      </w:r>
      <w:r w:rsidRPr="00F67316">
        <w:rPr>
          <w:i/>
          <w:color w:val="000000"/>
          <w:sz w:val="22"/>
          <w:szCs w:val="22"/>
        </w:rPr>
        <w:t>University of Hawai’i Law Review </w:t>
      </w:r>
      <w:r w:rsidRPr="00F67316">
        <w:rPr>
          <w:color w:val="000000"/>
          <w:sz w:val="22"/>
          <w:szCs w:val="22"/>
        </w:rPr>
        <w:t>30 (2007):</w:t>
      </w:r>
      <w:r w:rsidRPr="00A55C80">
        <w:rPr>
          <w:color w:val="000000"/>
          <w:sz w:val="22"/>
          <w:szCs w:val="22"/>
        </w:rPr>
        <w:t xml:space="preserve"> 46.</w:t>
      </w:r>
    </w:p>
  </w:endnote>
  <w:endnote w:id="9">
    <w:p w14:paraId="60655124" w14:textId="05701416" w:rsidR="00A27435" w:rsidRPr="00A55C80" w:rsidRDefault="00A27435" w:rsidP="00F67316">
      <w:pPr>
        <w:jc w:val="both"/>
        <w:rPr>
          <w:color w:val="000000"/>
          <w:sz w:val="22"/>
          <w:szCs w:val="22"/>
        </w:rPr>
      </w:pPr>
      <w:r w:rsidRPr="00F67316">
        <w:rPr>
          <w:rStyle w:val="EndnoteReference"/>
          <w:sz w:val="22"/>
          <w:szCs w:val="22"/>
        </w:rPr>
        <w:endnoteRef/>
      </w:r>
      <w:r w:rsidRPr="00F67316">
        <w:rPr>
          <w:sz w:val="22"/>
          <w:szCs w:val="22"/>
        </w:rPr>
        <w:t xml:space="preserve"> </w:t>
      </w:r>
      <w:r w:rsidRPr="00F67316">
        <w:rPr>
          <w:color w:val="000000"/>
          <w:sz w:val="22"/>
          <w:szCs w:val="22"/>
        </w:rPr>
        <w:t xml:space="preserve">Darren Hutchinson ‘The Majoritarian Difficulty: Affirmative Action, Sodomy, and Supreme Court Politics’, </w:t>
      </w:r>
      <w:r w:rsidRPr="00A55C80">
        <w:rPr>
          <w:i/>
          <w:color w:val="000000"/>
          <w:sz w:val="22"/>
          <w:szCs w:val="22"/>
        </w:rPr>
        <w:t xml:space="preserve">Law and Inequality </w:t>
      </w:r>
      <w:r w:rsidRPr="00A55C80">
        <w:rPr>
          <w:color w:val="000000"/>
          <w:sz w:val="22"/>
          <w:szCs w:val="22"/>
        </w:rPr>
        <w:t>23 (2005):</w:t>
      </w:r>
      <w:r w:rsidRPr="00A55C80">
        <w:rPr>
          <w:i/>
          <w:color w:val="000000"/>
          <w:sz w:val="22"/>
          <w:szCs w:val="22"/>
        </w:rPr>
        <w:t xml:space="preserve"> </w:t>
      </w:r>
      <w:r w:rsidRPr="00A55C80">
        <w:rPr>
          <w:color w:val="000000"/>
          <w:sz w:val="22"/>
          <w:szCs w:val="22"/>
        </w:rPr>
        <w:t>29-30.</w:t>
      </w:r>
    </w:p>
  </w:endnote>
  <w:endnote w:id="10">
    <w:p w14:paraId="6455EAFE" w14:textId="40AB9755" w:rsidR="00A27435" w:rsidRPr="00A55C80" w:rsidRDefault="00A27435" w:rsidP="00F67316">
      <w:pPr>
        <w:jc w:val="both"/>
        <w:rPr>
          <w:color w:val="000000"/>
          <w:sz w:val="22"/>
          <w:szCs w:val="22"/>
        </w:rPr>
      </w:pPr>
      <w:r w:rsidRPr="00F67316">
        <w:rPr>
          <w:rStyle w:val="EndnoteReference"/>
          <w:sz w:val="22"/>
          <w:szCs w:val="22"/>
        </w:rPr>
        <w:endnoteRef/>
      </w:r>
      <w:r w:rsidRPr="00F67316">
        <w:rPr>
          <w:sz w:val="22"/>
          <w:szCs w:val="22"/>
        </w:rPr>
        <w:t xml:space="preserve"> </w:t>
      </w:r>
      <w:r w:rsidRPr="00F67316">
        <w:rPr>
          <w:color w:val="000000"/>
          <w:sz w:val="22"/>
          <w:szCs w:val="22"/>
        </w:rPr>
        <w:t xml:space="preserve">John Fisher, ‘Outlaws or In-laws? Successes and Challenges in the Struggle for LGBT Equality’, </w:t>
      </w:r>
      <w:r w:rsidRPr="00F67316">
        <w:rPr>
          <w:i/>
          <w:color w:val="000000"/>
          <w:sz w:val="22"/>
          <w:szCs w:val="22"/>
        </w:rPr>
        <w:t xml:space="preserve">McGill Law Journal </w:t>
      </w:r>
      <w:r w:rsidRPr="00A55C80">
        <w:rPr>
          <w:color w:val="000000"/>
          <w:sz w:val="22"/>
          <w:szCs w:val="22"/>
        </w:rPr>
        <w:t xml:space="preserve">49 (2003): 1190-2. </w:t>
      </w:r>
    </w:p>
  </w:endnote>
  <w:endnote w:id="11">
    <w:p w14:paraId="03D5293D" w14:textId="32A0BCC0" w:rsidR="00A27435" w:rsidRPr="00F67316" w:rsidRDefault="00A27435" w:rsidP="00F67316">
      <w:pPr>
        <w:pStyle w:val="EndnoteText"/>
        <w:jc w:val="both"/>
        <w:rPr>
          <w:sz w:val="22"/>
          <w:szCs w:val="22"/>
          <w:lang w:val="en-US"/>
        </w:rPr>
      </w:pPr>
      <w:r w:rsidRPr="00F67316">
        <w:rPr>
          <w:rStyle w:val="EndnoteReference"/>
          <w:sz w:val="22"/>
          <w:szCs w:val="22"/>
        </w:rPr>
        <w:endnoteRef/>
      </w:r>
      <w:r w:rsidRPr="00F67316">
        <w:rPr>
          <w:sz w:val="22"/>
          <w:szCs w:val="22"/>
        </w:rPr>
        <w:t xml:space="preserve"> </w:t>
      </w:r>
      <w:r w:rsidRPr="00F67316">
        <w:rPr>
          <w:color w:val="000000"/>
          <w:sz w:val="22"/>
          <w:szCs w:val="22"/>
        </w:rPr>
        <w:t>Ibid., 1993-4.</w:t>
      </w:r>
    </w:p>
  </w:endnote>
  <w:endnote w:id="12">
    <w:p w14:paraId="51579776" w14:textId="5F56A138" w:rsidR="00A27435" w:rsidRPr="00A55C80" w:rsidRDefault="00A27435" w:rsidP="00F67316">
      <w:pPr>
        <w:pStyle w:val="FootnoteText"/>
        <w:rPr>
          <w:rFonts w:ascii="Times New Roman" w:eastAsia="MS Mincho" w:hAnsi="Times New Roman"/>
          <w:color w:val="000000"/>
          <w:sz w:val="22"/>
          <w:szCs w:val="22"/>
        </w:rPr>
      </w:pPr>
      <w:r w:rsidRPr="00F67316">
        <w:rPr>
          <w:rStyle w:val="EndnoteReference"/>
          <w:rFonts w:ascii="Times New Roman" w:hAnsi="Times New Roman"/>
          <w:sz w:val="22"/>
          <w:szCs w:val="22"/>
        </w:rPr>
        <w:endnoteRef/>
      </w:r>
      <w:r w:rsidRPr="00F67316">
        <w:rPr>
          <w:rFonts w:ascii="Times New Roman" w:hAnsi="Times New Roman"/>
          <w:sz w:val="22"/>
          <w:szCs w:val="22"/>
        </w:rPr>
        <w:t xml:space="preserve"> </w:t>
      </w:r>
      <w:r w:rsidRPr="00F67316">
        <w:rPr>
          <w:rStyle w:val="st"/>
          <w:rFonts w:ascii="Times New Roman" w:eastAsia="MS Mincho" w:hAnsi="Times New Roman"/>
          <w:color w:val="000000"/>
          <w:sz w:val="22"/>
          <w:szCs w:val="22"/>
        </w:rPr>
        <w:t xml:space="preserve">Leslie Moran, ‘What Kind of Field Is “Law, Gender and Sexuality”? Achievements, Concerns and Possible Futures’, </w:t>
      </w:r>
      <w:r w:rsidRPr="00A55C80">
        <w:rPr>
          <w:rStyle w:val="st"/>
          <w:rFonts w:ascii="Times New Roman" w:eastAsia="MS Mincho" w:hAnsi="Times New Roman"/>
          <w:i/>
          <w:color w:val="000000"/>
          <w:sz w:val="22"/>
          <w:szCs w:val="22"/>
        </w:rPr>
        <w:t xml:space="preserve">Feminist Legal Studies </w:t>
      </w:r>
      <w:r w:rsidRPr="00A55C80">
        <w:rPr>
          <w:rStyle w:val="st"/>
          <w:rFonts w:ascii="Times New Roman" w:eastAsia="MS Mincho" w:hAnsi="Times New Roman"/>
          <w:color w:val="000000"/>
          <w:sz w:val="22"/>
          <w:szCs w:val="22"/>
        </w:rPr>
        <w:t xml:space="preserve">17 (2009): 309-13. </w:t>
      </w:r>
    </w:p>
  </w:endnote>
  <w:endnote w:id="13">
    <w:p w14:paraId="68ED8040" w14:textId="0A7BADBF" w:rsidR="00A27435" w:rsidRPr="00F67316" w:rsidRDefault="00A27435" w:rsidP="00F67316">
      <w:pPr>
        <w:jc w:val="both"/>
        <w:rPr>
          <w:color w:val="000000"/>
          <w:sz w:val="22"/>
          <w:szCs w:val="22"/>
        </w:rPr>
      </w:pPr>
      <w:r w:rsidRPr="00F67316">
        <w:rPr>
          <w:rStyle w:val="EndnoteReference"/>
          <w:sz w:val="22"/>
          <w:szCs w:val="22"/>
        </w:rPr>
        <w:endnoteRef/>
      </w:r>
      <w:r w:rsidRPr="00F67316">
        <w:rPr>
          <w:sz w:val="22"/>
          <w:szCs w:val="22"/>
        </w:rPr>
        <w:t xml:space="preserve"> Marc </w:t>
      </w:r>
      <w:r w:rsidRPr="00F67316">
        <w:rPr>
          <w:color w:val="000000"/>
          <w:sz w:val="22"/>
          <w:szCs w:val="22"/>
        </w:rPr>
        <w:t xml:space="preserve">Spindelman, ‘Sexuality’s Law’, </w:t>
      </w:r>
      <w:r w:rsidRPr="00F67316">
        <w:rPr>
          <w:i/>
          <w:color w:val="000000"/>
          <w:sz w:val="22"/>
          <w:szCs w:val="22"/>
        </w:rPr>
        <w:t xml:space="preserve">Columbia Journal of Gender and Law </w:t>
      </w:r>
      <w:r w:rsidRPr="00F67316">
        <w:rPr>
          <w:color w:val="000000"/>
          <w:sz w:val="22"/>
          <w:szCs w:val="22"/>
        </w:rPr>
        <w:t xml:space="preserve">24 no. 2 (2013): 87. </w:t>
      </w:r>
    </w:p>
  </w:endnote>
  <w:endnote w:id="14">
    <w:p w14:paraId="424FDBE5" w14:textId="385E3CAB" w:rsidR="00A27435" w:rsidRPr="00F67316" w:rsidRDefault="00A27435" w:rsidP="00F67316">
      <w:pPr>
        <w:jc w:val="both"/>
        <w:rPr>
          <w:color w:val="000000"/>
          <w:sz w:val="22"/>
          <w:szCs w:val="22"/>
        </w:rPr>
      </w:pPr>
      <w:r w:rsidRPr="00F67316">
        <w:rPr>
          <w:rStyle w:val="EndnoteReference"/>
          <w:sz w:val="22"/>
          <w:szCs w:val="22"/>
        </w:rPr>
        <w:endnoteRef/>
      </w:r>
      <w:r w:rsidRPr="00F67316">
        <w:rPr>
          <w:sz w:val="22"/>
          <w:szCs w:val="22"/>
        </w:rPr>
        <w:t xml:space="preserve"> </w:t>
      </w:r>
      <w:r w:rsidRPr="00F67316">
        <w:rPr>
          <w:color w:val="000000"/>
          <w:sz w:val="22"/>
          <w:szCs w:val="22"/>
        </w:rPr>
        <w:t>Ibid., 103.</w:t>
      </w:r>
    </w:p>
  </w:endnote>
  <w:endnote w:id="15">
    <w:p w14:paraId="2699943A" w14:textId="4E73AD4B" w:rsidR="00A27435" w:rsidRPr="00A55C80" w:rsidRDefault="00A27435" w:rsidP="00F67316">
      <w:pPr>
        <w:pStyle w:val="FootnoteText"/>
        <w:rPr>
          <w:rFonts w:ascii="Times New Roman" w:hAnsi="Times New Roman"/>
          <w:sz w:val="22"/>
          <w:szCs w:val="22"/>
        </w:rPr>
      </w:pPr>
      <w:r w:rsidRPr="00F67316">
        <w:rPr>
          <w:rStyle w:val="EndnoteReference"/>
          <w:rFonts w:ascii="Times New Roman" w:hAnsi="Times New Roman"/>
          <w:sz w:val="22"/>
          <w:szCs w:val="22"/>
        </w:rPr>
        <w:endnoteRef/>
      </w:r>
      <w:r w:rsidRPr="00F67316">
        <w:rPr>
          <w:rFonts w:ascii="Times New Roman" w:hAnsi="Times New Roman"/>
          <w:sz w:val="22"/>
          <w:szCs w:val="22"/>
        </w:rPr>
        <w:t xml:space="preserve"> Joey L</w:t>
      </w:r>
      <w:r>
        <w:rPr>
          <w:rFonts w:ascii="Times New Roman" w:hAnsi="Times New Roman"/>
          <w:sz w:val="22"/>
          <w:szCs w:val="22"/>
        </w:rPr>
        <w:t>.</w:t>
      </w:r>
      <w:r w:rsidRPr="00F67316">
        <w:rPr>
          <w:rFonts w:ascii="Times New Roman" w:hAnsi="Times New Roman"/>
          <w:sz w:val="22"/>
          <w:szCs w:val="22"/>
        </w:rPr>
        <w:t xml:space="preserve"> Mogul, Andrea Ritchie and Kay Whitlock, </w:t>
      </w:r>
      <w:r w:rsidRPr="00F67316">
        <w:rPr>
          <w:rFonts w:ascii="Times New Roman" w:hAnsi="Times New Roman"/>
          <w:i/>
          <w:sz w:val="22"/>
          <w:szCs w:val="22"/>
        </w:rPr>
        <w:t>Queer (In)Justice: The Criminalization of LGBT People in the United States</w:t>
      </w:r>
      <w:r w:rsidRPr="00A55C80">
        <w:rPr>
          <w:rFonts w:ascii="Times New Roman" w:hAnsi="Times New Roman"/>
          <w:sz w:val="22"/>
          <w:szCs w:val="22"/>
        </w:rPr>
        <w:t xml:space="preserve"> (Boston: Beacon Press, 2011), xviii. </w:t>
      </w:r>
    </w:p>
  </w:endnote>
  <w:endnote w:id="16">
    <w:p w14:paraId="3A86918C" w14:textId="65C1AA5D" w:rsidR="00A27435" w:rsidRPr="00A55C80" w:rsidRDefault="00A27435" w:rsidP="00F67316">
      <w:pPr>
        <w:pStyle w:val="FootnoteText"/>
        <w:rPr>
          <w:rFonts w:ascii="Times New Roman" w:hAnsi="Times New Roman"/>
          <w:color w:val="000000"/>
          <w:sz w:val="22"/>
          <w:szCs w:val="22"/>
        </w:rPr>
      </w:pPr>
      <w:r w:rsidRPr="00F67316">
        <w:rPr>
          <w:rStyle w:val="EndnoteReference"/>
          <w:rFonts w:ascii="Times New Roman" w:hAnsi="Times New Roman"/>
          <w:sz w:val="22"/>
          <w:szCs w:val="22"/>
        </w:rPr>
        <w:endnoteRef/>
      </w:r>
      <w:r w:rsidRPr="00F67316">
        <w:rPr>
          <w:rFonts w:ascii="Times New Roman" w:hAnsi="Times New Roman"/>
          <w:sz w:val="22"/>
          <w:szCs w:val="22"/>
        </w:rPr>
        <w:t xml:space="preserve"> </w:t>
      </w:r>
      <w:r w:rsidRPr="00F67316">
        <w:rPr>
          <w:rFonts w:ascii="Times New Roman" w:hAnsi="Times New Roman"/>
          <w:color w:val="000000"/>
          <w:sz w:val="22"/>
          <w:szCs w:val="22"/>
        </w:rPr>
        <w:t xml:space="preserve">Lauren G Berlant and Michael Warner, ‘Sex in Public’ in </w:t>
      </w:r>
      <w:r w:rsidRPr="00F67316">
        <w:rPr>
          <w:rFonts w:ascii="Times New Roman" w:hAnsi="Times New Roman"/>
          <w:i/>
          <w:color w:val="000000"/>
          <w:sz w:val="22"/>
          <w:szCs w:val="22"/>
        </w:rPr>
        <w:t>Intimacy</w:t>
      </w:r>
      <w:r w:rsidRPr="00F67316">
        <w:rPr>
          <w:rFonts w:ascii="Times New Roman" w:hAnsi="Times New Roman"/>
          <w:color w:val="000000"/>
          <w:sz w:val="22"/>
          <w:szCs w:val="22"/>
        </w:rPr>
        <w:t>, ed. L. Berlant (Chicago: Chicago Univ</w:t>
      </w:r>
      <w:r w:rsidRPr="00A55C80">
        <w:rPr>
          <w:rFonts w:ascii="Times New Roman" w:hAnsi="Times New Roman"/>
          <w:color w:val="000000"/>
          <w:sz w:val="22"/>
          <w:szCs w:val="22"/>
        </w:rPr>
        <w:t xml:space="preserve">ersity Press, 2000), 322.  </w:t>
      </w:r>
    </w:p>
  </w:endnote>
  <w:endnote w:id="17">
    <w:p w14:paraId="2F2CF3FC" w14:textId="5F4336AD" w:rsidR="00A27435" w:rsidRPr="00A55C80" w:rsidRDefault="00A27435" w:rsidP="00F67316">
      <w:pPr>
        <w:jc w:val="both"/>
        <w:rPr>
          <w:color w:val="000000"/>
          <w:sz w:val="22"/>
          <w:szCs w:val="22"/>
        </w:rPr>
      </w:pPr>
      <w:r w:rsidRPr="00F67316">
        <w:rPr>
          <w:rStyle w:val="EndnoteReference"/>
          <w:sz w:val="22"/>
          <w:szCs w:val="22"/>
        </w:rPr>
        <w:endnoteRef/>
      </w:r>
      <w:r w:rsidRPr="00F67316">
        <w:rPr>
          <w:sz w:val="22"/>
          <w:szCs w:val="22"/>
        </w:rPr>
        <w:t xml:space="preserve"> </w:t>
      </w:r>
      <w:r w:rsidRPr="00F67316">
        <w:rPr>
          <w:color w:val="000000"/>
          <w:sz w:val="22"/>
          <w:szCs w:val="22"/>
        </w:rPr>
        <w:t xml:space="preserve">Aleardo Zanghellini, ‘Queer, Antinormativity, Counter-Normativity and Abjection’, </w:t>
      </w:r>
      <w:r w:rsidRPr="00A55C80">
        <w:rPr>
          <w:i/>
          <w:color w:val="000000"/>
          <w:sz w:val="22"/>
          <w:szCs w:val="22"/>
        </w:rPr>
        <w:t xml:space="preserve">Griffith Law Review </w:t>
      </w:r>
      <w:r w:rsidRPr="00A55C80">
        <w:rPr>
          <w:color w:val="000000"/>
          <w:sz w:val="22"/>
          <w:szCs w:val="22"/>
        </w:rPr>
        <w:t xml:space="preserve">18, no. 1 (2008): 4.  </w:t>
      </w:r>
    </w:p>
  </w:endnote>
  <w:endnote w:id="18">
    <w:p w14:paraId="5412408E" w14:textId="77777777" w:rsidR="00A27435" w:rsidRPr="00F67316" w:rsidRDefault="00A27435" w:rsidP="00701F16">
      <w:pPr>
        <w:pStyle w:val="EndnoteText"/>
        <w:jc w:val="both"/>
        <w:rPr>
          <w:sz w:val="22"/>
          <w:szCs w:val="22"/>
          <w:lang w:val="en-US"/>
        </w:rPr>
      </w:pPr>
      <w:r w:rsidRPr="00F67316">
        <w:rPr>
          <w:rStyle w:val="EndnoteReference"/>
          <w:sz w:val="22"/>
          <w:szCs w:val="22"/>
        </w:rPr>
        <w:endnoteRef/>
      </w:r>
      <w:r w:rsidRPr="00F67316">
        <w:rPr>
          <w:sz w:val="22"/>
          <w:szCs w:val="22"/>
        </w:rPr>
        <w:t xml:space="preserve"> </w:t>
      </w:r>
      <w:r w:rsidRPr="00F67316">
        <w:rPr>
          <w:sz w:val="22"/>
          <w:szCs w:val="22"/>
          <w:lang w:val="en-US"/>
        </w:rPr>
        <w:t xml:space="preserve">Robert Lecky, ‘Introduction: After Legal Equality’ in </w:t>
      </w:r>
      <w:r w:rsidRPr="00F67316">
        <w:rPr>
          <w:i/>
          <w:sz w:val="22"/>
          <w:szCs w:val="22"/>
          <w:lang w:val="en-US"/>
        </w:rPr>
        <w:t xml:space="preserve">After Legal Equality: Family, Sex, Kinship </w:t>
      </w:r>
      <w:r w:rsidRPr="00F67316">
        <w:rPr>
          <w:sz w:val="22"/>
          <w:szCs w:val="22"/>
          <w:lang w:val="en-US"/>
        </w:rPr>
        <w:t xml:space="preserve">(London and New York: Routledge, 2015), 12. </w:t>
      </w:r>
    </w:p>
  </w:endnote>
  <w:endnote w:id="19">
    <w:p w14:paraId="5B436339" w14:textId="77777777" w:rsidR="00A27435" w:rsidRPr="00A55C80" w:rsidRDefault="00A27435" w:rsidP="00F67316">
      <w:pPr>
        <w:jc w:val="both"/>
        <w:rPr>
          <w:color w:val="000000"/>
          <w:sz w:val="22"/>
          <w:szCs w:val="22"/>
        </w:rPr>
      </w:pPr>
      <w:r w:rsidRPr="00F67316">
        <w:rPr>
          <w:rStyle w:val="EndnoteReference"/>
          <w:sz w:val="22"/>
          <w:szCs w:val="22"/>
        </w:rPr>
        <w:endnoteRef/>
      </w:r>
      <w:r w:rsidRPr="00F67316">
        <w:rPr>
          <w:sz w:val="22"/>
          <w:szCs w:val="22"/>
        </w:rPr>
        <w:t xml:space="preserve"> </w:t>
      </w:r>
      <w:r w:rsidRPr="00F67316">
        <w:rPr>
          <w:rStyle w:val="st"/>
          <w:color w:val="000000"/>
          <w:sz w:val="22"/>
          <w:szCs w:val="22"/>
        </w:rPr>
        <w:t xml:space="preserve">Ryan Thoreson, </w:t>
      </w:r>
      <w:r w:rsidRPr="00F67316">
        <w:rPr>
          <w:rStyle w:val="st"/>
          <w:i/>
          <w:color w:val="000000"/>
          <w:sz w:val="22"/>
          <w:szCs w:val="22"/>
        </w:rPr>
        <w:t xml:space="preserve">Transnational LGBT Activism: Working for Sexual Rights Worldwide </w:t>
      </w:r>
      <w:r w:rsidRPr="00A55C80">
        <w:rPr>
          <w:rStyle w:val="st"/>
          <w:color w:val="000000"/>
          <w:sz w:val="22"/>
          <w:szCs w:val="22"/>
        </w:rPr>
        <w:t>(Minneapolis: Minnesota University Press, 2014).</w:t>
      </w:r>
    </w:p>
  </w:endnote>
  <w:endnote w:id="20">
    <w:p w14:paraId="4342612A" w14:textId="77777777" w:rsidR="00A27435" w:rsidRPr="00A55C80" w:rsidRDefault="00A27435" w:rsidP="00F67316">
      <w:pPr>
        <w:pStyle w:val="FootnoteText"/>
        <w:rPr>
          <w:rFonts w:ascii="Times New Roman" w:hAnsi="Times New Roman"/>
          <w:color w:val="000000"/>
          <w:sz w:val="22"/>
          <w:szCs w:val="22"/>
        </w:rPr>
      </w:pPr>
      <w:r w:rsidRPr="00F67316">
        <w:rPr>
          <w:rStyle w:val="EndnoteReference"/>
          <w:rFonts w:ascii="Times New Roman" w:hAnsi="Times New Roman"/>
          <w:sz w:val="22"/>
          <w:szCs w:val="22"/>
        </w:rPr>
        <w:endnoteRef/>
      </w:r>
      <w:r w:rsidRPr="00F67316">
        <w:rPr>
          <w:rFonts w:ascii="Times New Roman" w:hAnsi="Times New Roman"/>
          <w:sz w:val="22"/>
          <w:szCs w:val="22"/>
        </w:rPr>
        <w:t xml:space="preserve"> </w:t>
      </w:r>
      <w:r w:rsidRPr="00F67316">
        <w:rPr>
          <w:rFonts w:ascii="Times New Roman" w:hAnsi="Times New Roman"/>
          <w:color w:val="000000"/>
          <w:sz w:val="22"/>
          <w:szCs w:val="22"/>
        </w:rPr>
        <w:t xml:space="preserve">Jane Schacter, ‘Sexual Orientation, Social Change, and the Courts’, </w:t>
      </w:r>
      <w:r w:rsidRPr="00F67316">
        <w:rPr>
          <w:rFonts w:ascii="Times New Roman" w:hAnsi="Times New Roman"/>
          <w:i/>
          <w:color w:val="000000"/>
          <w:sz w:val="22"/>
          <w:szCs w:val="22"/>
        </w:rPr>
        <w:t xml:space="preserve">Drake Law Review </w:t>
      </w:r>
      <w:r w:rsidRPr="00F67316">
        <w:rPr>
          <w:rFonts w:ascii="Times New Roman" w:hAnsi="Times New Roman"/>
          <w:color w:val="000000"/>
          <w:sz w:val="22"/>
          <w:szCs w:val="22"/>
        </w:rPr>
        <w:t>54 (2005): 861-</w:t>
      </w:r>
      <w:r w:rsidRPr="00A55C80">
        <w:rPr>
          <w:rFonts w:ascii="Times New Roman" w:hAnsi="Times New Roman"/>
          <w:color w:val="000000"/>
          <w:sz w:val="22"/>
          <w:szCs w:val="22"/>
        </w:rPr>
        <w:t xml:space="preserve">93. </w:t>
      </w:r>
    </w:p>
  </w:endnote>
  <w:endnote w:id="21">
    <w:p w14:paraId="649671D4" w14:textId="77777777" w:rsidR="00A27435" w:rsidRPr="00A55C80" w:rsidRDefault="00A27435" w:rsidP="00F67316">
      <w:pPr>
        <w:pStyle w:val="FootnoteText"/>
        <w:rPr>
          <w:rFonts w:ascii="Times New Roman" w:hAnsi="Times New Roman"/>
          <w:sz w:val="22"/>
          <w:szCs w:val="22"/>
        </w:rPr>
      </w:pPr>
      <w:r w:rsidRPr="00F67316">
        <w:rPr>
          <w:rStyle w:val="EndnoteReference"/>
          <w:rFonts w:ascii="Times New Roman" w:hAnsi="Times New Roman"/>
          <w:sz w:val="22"/>
          <w:szCs w:val="22"/>
        </w:rPr>
        <w:endnoteRef/>
      </w:r>
      <w:r w:rsidRPr="00F67316">
        <w:rPr>
          <w:rFonts w:ascii="Times New Roman" w:hAnsi="Times New Roman"/>
          <w:sz w:val="22"/>
          <w:szCs w:val="22"/>
        </w:rPr>
        <w:t xml:space="preserve"> </w:t>
      </w:r>
      <w:r w:rsidRPr="00F67316">
        <w:rPr>
          <w:rFonts w:ascii="Times New Roman" w:hAnsi="Times New Roman"/>
          <w:color w:val="000000"/>
          <w:sz w:val="22"/>
          <w:szCs w:val="22"/>
        </w:rPr>
        <w:t xml:space="preserve">Judith Butler, ‘Against Proper Objects’, </w:t>
      </w:r>
      <w:r w:rsidRPr="00F67316">
        <w:rPr>
          <w:rFonts w:ascii="Times New Roman" w:hAnsi="Times New Roman"/>
          <w:i/>
          <w:color w:val="000000"/>
          <w:sz w:val="22"/>
          <w:szCs w:val="22"/>
        </w:rPr>
        <w:t>differences: A Journal of Feminist Cultural Studies </w:t>
      </w:r>
      <w:r w:rsidRPr="00F67316">
        <w:rPr>
          <w:rFonts w:ascii="Times New Roman" w:hAnsi="Times New Roman"/>
          <w:color w:val="000000"/>
          <w:sz w:val="22"/>
          <w:szCs w:val="22"/>
        </w:rPr>
        <w:t>6 (1994):</w:t>
      </w:r>
      <w:r w:rsidRPr="00A55C80">
        <w:rPr>
          <w:rFonts w:ascii="Times New Roman" w:hAnsi="Times New Roman"/>
          <w:color w:val="000000"/>
          <w:sz w:val="22"/>
          <w:szCs w:val="22"/>
        </w:rPr>
        <w:t xml:space="preserve"> 4. </w:t>
      </w:r>
    </w:p>
  </w:endnote>
  <w:endnote w:id="22">
    <w:p w14:paraId="4B4C4FAE" w14:textId="77777777" w:rsidR="00A27435" w:rsidRPr="00F67316" w:rsidRDefault="00A27435" w:rsidP="00701F16">
      <w:pPr>
        <w:pStyle w:val="EndnoteText"/>
        <w:jc w:val="both"/>
        <w:rPr>
          <w:sz w:val="22"/>
          <w:szCs w:val="22"/>
          <w:lang w:val="en-US"/>
        </w:rPr>
      </w:pPr>
      <w:r w:rsidRPr="00F67316">
        <w:rPr>
          <w:rStyle w:val="EndnoteReference"/>
          <w:sz w:val="22"/>
          <w:szCs w:val="22"/>
        </w:rPr>
        <w:endnoteRef/>
      </w:r>
      <w:r w:rsidRPr="00F67316">
        <w:rPr>
          <w:sz w:val="22"/>
          <w:szCs w:val="22"/>
        </w:rPr>
        <w:t xml:space="preserve"> </w:t>
      </w:r>
      <w:r w:rsidRPr="00F67316">
        <w:rPr>
          <w:sz w:val="22"/>
          <w:szCs w:val="22"/>
          <w:lang w:val="en-US"/>
        </w:rPr>
        <w:t xml:space="preserve">Robyn Wiegman, </w:t>
      </w:r>
      <w:r w:rsidRPr="00F67316">
        <w:rPr>
          <w:i/>
          <w:sz w:val="22"/>
          <w:szCs w:val="22"/>
          <w:lang w:val="en-US"/>
        </w:rPr>
        <w:t>Object Lessons</w:t>
      </w:r>
      <w:r w:rsidRPr="00F67316">
        <w:rPr>
          <w:sz w:val="22"/>
          <w:szCs w:val="22"/>
          <w:lang w:val="en-US"/>
        </w:rPr>
        <w:t xml:space="preserve"> (Durham: Duke University Press, 2012), 4. </w:t>
      </w:r>
    </w:p>
  </w:endnote>
  <w:endnote w:id="23">
    <w:p w14:paraId="5481ECB7" w14:textId="3ABBB59F" w:rsidR="00A27435" w:rsidRPr="00F67316" w:rsidRDefault="00A27435">
      <w:pPr>
        <w:jc w:val="both"/>
        <w:rPr>
          <w:color w:val="000000"/>
          <w:sz w:val="22"/>
          <w:szCs w:val="22"/>
        </w:rPr>
      </w:pPr>
      <w:r w:rsidRPr="00F67316">
        <w:rPr>
          <w:rStyle w:val="EndnoteReference"/>
          <w:sz w:val="22"/>
          <w:szCs w:val="22"/>
        </w:rPr>
        <w:endnoteRef/>
      </w:r>
      <w:r w:rsidRPr="00F67316">
        <w:rPr>
          <w:sz w:val="22"/>
          <w:szCs w:val="22"/>
        </w:rPr>
        <w:t xml:space="preserve"> </w:t>
      </w:r>
      <w:r w:rsidRPr="00F67316">
        <w:rPr>
          <w:color w:val="000000"/>
          <w:sz w:val="22"/>
          <w:szCs w:val="22"/>
        </w:rPr>
        <w:t xml:space="preserve">Fleur Johns, ‘On Writing Dangerously’, </w:t>
      </w:r>
      <w:r w:rsidRPr="00F67316">
        <w:rPr>
          <w:i/>
          <w:color w:val="000000"/>
          <w:sz w:val="22"/>
          <w:szCs w:val="22"/>
        </w:rPr>
        <w:t xml:space="preserve">Sydney Law Review </w:t>
      </w:r>
      <w:r w:rsidRPr="00F67316">
        <w:rPr>
          <w:color w:val="000000"/>
          <w:sz w:val="22"/>
          <w:szCs w:val="22"/>
        </w:rPr>
        <w:t xml:space="preserve">26 (2003): 473. </w:t>
      </w:r>
    </w:p>
  </w:endnote>
  <w:endnote w:id="24">
    <w:p w14:paraId="03583546" w14:textId="124A3E66" w:rsidR="00A27435" w:rsidRPr="00F67316" w:rsidRDefault="00A27435">
      <w:pPr>
        <w:jc w:val="both"/>
        <w:rPr>
          <w:color w:val="000000"/>
          <w:sz w:val="22"/>
          <w:szCs w:val="22"/>
        </w:rPr>
      </w:pPr>
      <w:r w:rsidRPr="00F67316">
        <w:rPr>
          <w:rStyle w:val="EndnoteReference"/>
          <w:sz w:val="22"/>
          <w:szCs w:val="22"/>
        </w:rPr>
        <w:endnoteRef/>
      </w:r>
      <w:r w:rsidRPr="00F67316">
        <w:rPr>
          <w:sz w:val="22"/>
          <w:szCs w:val="22"/>
        </w:rPr>
        <w:t xml:space="preserve"> </w:t>
      </w:r>
      <w:r w:rsidRPr="00F67316">
        <w:rPr>
          <w:color w:val="000000"/>
          <w:sz w:val="22"/>
          <w:szCs w:val="22"/>
        </w:rPr>
        <w:t>Ibid., 475.</w:t>
      </w:r>
    </w:p>
  </w:endnote>
  <w:endnote w:id="25">
    <w:p w14:paraId="009653D5" w14:textId="4548841B" w:rsidR="00A27435" w:rsidRPr="00F67316" w:rsidRDefault="00A27435">
      <w:pPr>
        <w:jc w:val="both"/>
        <w:rPr>
          <w:color w:val="000000"/>
          <w:sz w:val="22"/>
          <w:szCs w:val="22"/>
        </w:rPr>
      </w:pPr>
      <w:r w:rsidRPr="00F67316">
        <w:rPr>
          <w:rStyle w:val="EndnoteReference"/>
          <w:sz w:val="22"/>
          <w:szCs w:val="22"/>
        </w:rPr>
        <w:endnoteRef/>
      </w:r>
      <w:r w:rsidRPr="00F67316">
        <w:rPr>
          <w:sz w:val="22"/>
          <w:szCs w:val="22"/>
        </w:rPr>
        <w:t xml:space="preserve"> </w:t>
      </w:r>
      <w:r w:rsidRPr="00F67316">
        <w:rPr>
          <w:color w:val="000000"/>
          <w:sz w:val="22"/>
          <w:szCs w:val="22"/>
        </w:rPr>
        <w:t>Ibid., 479.</w:t>
      </w:r>
    </w:p>
  </w:endnote>
  <w:endnote w:id="26">
    <w:p w14:paraId="17BEBEC9" w14:textId="3F2718F8" w:rsidR="00A27435" w:rsidRPr="00A55C80" w:rsidRDefault="00A27435">
      <w:pPr>
        <w:jc w:val="both"/>
        <w:rPr>
          <w:color w:val="000000"/>
          <w:sz w:val="22"/>
          <w:szCs w:val="22"/>
        </w:rPr>
      </w:pPr>
      <w:r w:rsidRPr="00F67316">
        <w:rPr>
          <w:rStyle w:val="EndnoteReference"/>
          <w:sz w:val="22"/>
          <w:szCs w:val="22"/>
        </w:rPr>
        <w:endnoteRef/>
      </w:r>
      <w:r w:rsidRPr="00F67316">
        <w:rPr>
          <w:sz w:val="22"/>
          <w:szCs w:val="22"/>
        </w:rPr>
        <w:t xml:space="preserve"> </w:t>
      </w:r>
      <w:r w:rsidRPr="00F67316">
        <w:rPr>
          <w:color w:val="000000"/>
          <w:sz w:val="22"/>
          <w:szCs w:val="22"/>
        </w:rPr>
        <w:t xml:space="preserve">Kathryn Abrams, ‘Seeking Emotional Ends with Legal Means’, </w:t>
      </w:r>
      <w:r w:rsidRPr="00F67316">
        <w:rPr>
          <w:i/>
          <w:color w:val="000000"/>
          <w:sz w:val="22"/>
          <w:szCs w:val="22"/>
        </w:rPr>
        <w:t xml:space="preserve">California Law Review </w:t>
      </w:r>
      <w:r w:rsidRPr="00F67316">
        <w:rPr>
          <w:color w:val="000000"/>
          <w:sz w:val="22"/>
          <w:szCs w:val="22"/>
        </w:rPr>
        <w:t>103 (2015):</w:t>
      </w:r>
      <w:r w:rsidRPr="00A55C80">
        <w:rPr>
          <w:color w:val="000000"/>
          <w:sz w:val="22"/>
          <w:szCs w:val="22"/>
        </w:rPr>
        <w:t xml:space="preserve"> 1670. </w:t>
      </w:r>
    </w:p>
  </w:endnote>
  <w:endnote w:id="27">
    <w:p w14:paraId="3F860F03" w14:textId="46CBF362" w:rsidR="00A27435" w:rsidRPr="001A0F50" w:rsidRDefault="00A27435">
      <w:pPr>
        <w:jc w:val="both"/>
        <w:rPr>
          <w:color w:val="000000"/>
          <w:sz w:val="22"/>
          <w:szCs w:val="22"/>
        </w:rPr>
      </w:pPr>
      <w:r w:rsidRPr="00F67316">
        <w:rPr>
          <w:rStyle w:val="EndnoteReference"/>
          <w:sz w:val="22"/>
          <w:szCs w:val="22"/>
        </w:rPr>
        <w:endnoteRef/>
      </w:r>
      <w:r w:rsidRPr="00F67316">
        <w:rPr>
          <w:sz w:val="22"/>
          <w:szCs w:val="22"/>
        </w:rPr>
        <w:t xml:space="preserve"> </w:t>
      </w:r>
      <w:r w:rsidRPr="00F67316">
        <w:rPr>
          <w:color w:val="000000"/>
          <w:sz w:val="22"/>
          <w:szCs w:val="22"/>
        </w:rPr>
        <w:t xml:space="preserve">Arlie </w:t>
      </w:r>
      <w:r>
        <w:rPr>
          <w:color w:val="000000"/>
          <w:sz w:val="22"/>
          <w:szCs w:val="22"/>
        </w:rPr>
        <w:t xml:space="preserve">R. </w:t>
      </w:r>
      <w:r w:rsidRPr="00F67316">
        <w:rPr>
          <w:color w:val="000000"/>
          <w:sz w:val="22"/>
          <w:szCs w:val="22"/>
        </w:rPr>
        <w:t xml:space="preserve">Hochschild, </w:t>
      </w:r>
      <w:r w:rsidRPr="00F67316">
        <w:rPr>
          <w:i/>
          <w:color w:val="000000"/>
          <w:sz w:val="22"/>
          <w:szCs w:val="22"/>
        </w:rPr>
        <w:t xml:space="preserve">The Managed Heart: Commercialization of Human Feeling </w:t>
      </w:r>
      <w:r w:rsidRPr="00F67316">
        <w:rPr>
          <w:color w:val="000000"/>
          <w:sz w:val="22"/>
          <w:szCs w:val="22"/>
        </w:rPr>
        <w:t>(Berkeley: Univ</w:t>
      </w:r>
      <w:r w:rsidRPr="00A55C80">
        <w:rPr>
          <w:color w:val="000000"/>
          <w:sz w:val="22"/>
          <w:szCs w:val="22"/>
        </w:rPr>
        <w:t xml:space="preserve">ersity California Press, 1983); Terry Maroney, ‘Law and Emotion: A Proposed Taxonomy of an Emerging Field’ </w:t>
      </w:r>
      <w:r w:rsidRPr="00A55C80">
        <w:rPr>
          <w:i/>
          <w:color w:val="000000"/>
          <w:sz w:val="22"/>
          <w:szCs w:val="22"/>
        </w:rPr>
        <w:t xml:space="preserve">Law and Human Behaviour </w:t>
      </w:r>
      <w:r w:rsidRPr="00A55C80">
        <w:rPr>
          <w:color w:val="000000"/>
          <w:sz w:val="22"/>
          <w:szCs w:val="22"/>
        </w:rPr>
        <w:t xml:space="preserve">30 (2006): 119-42; Eric Posner, ‘Law and the Emotions’, </w:t>
      </w:r>
      <w:r w:rsidRPr="001A0F50">
        <w:rPr>
          <w:i/>
          <w:color w:val="000000"/>
          <w:sz w:val="22"/>
          <w:szCs w:val="22"/>
        </w:rPr>
        <w:t xml:space="preserve">Georgetown Law Journal </w:t>
      </w:r>
      <w:r w:rsidRPr="001A0F50">
        <w:rPr>
          <w:color w:val="000000"/>
          <w:sz w:val="22"/>
          <w:szCs w:val="22"/>
        </w:rPr>
        <w:t>89, no. 6 (2001):</w:t>
      </w:r>
      <w:r w:rsidRPr="001A0F50">
        <w:rPr>
          <w:i/>
          <w:color w:val="000000"/>
          <w:sz w:val="22"/>
          <w:szCs w:val="22"/>
        </w:rPr>
        <w:t xml:space="preserve"> </w:t>
      </w:r>
      <w:r w:rsidRPr="001A0F50">
        <w:rPr>
          <w:color w:val="000000"/>
          <w:sz w:val="22"/>
          <w:szCs w:val="22"/>
        </w:rPr>
        <w:t>1977-2012.</w:t>
      </w:r>
    </w:p>
  </w:endnote>
  <w:endnote w:id="28">
    <w:p w14:paraId="676250E2" w14:textId="59F5C705" w:rsidR="00A27435" w:rsidRPr="00A55C80" w:rsidRDefault="00A27435">
      <w:pPr>
        <w:jc w:val="both"/>
        <w:rPr>
          <w:color w:val="000000"/>
          <w:sz w:val="22"/>
          <w:szCs w:val="22"/>
        </w:rPr>
      </w:pPr>
      <w:r w:rsidRPr="00F67316">
        <w:rPr>
          <w:rStyle w:val="EndnoteReference"/>
          <w:sz w:val="22"/>
          <w:szCs w:val="22"/>
        </w:rPr>
        <w:endnoteRef/>
      </w:r>
      <w:r w:rsidRPr="00F67316">
        <w:rPr>
          <w:sz w:val="22"/>
          <w:szCs w:val="22"/>
        </w:rPr>
        <w:t xml:space="preserve"> </w:t>
      </w:r>
      <w:r w:rsidRPr="00F67316">
        <w:rPr>
          <w:color w:val="000000"/>
          <w:sz w:val="22"/>
          <w:szCs w:val="22"/>
        </w:rPr>
        <w:t xml:space="preserve">James B. White, </w:t>
      </w:r>
      <w:r w:rsidRPr="00F67316">
        <w:rPr>
          <w:i/>
          <w:color w:val="000000"/>
          <w:sz w:val="22"/>
          <w:szCs w:val="22"/>
        </w:rPr>
        <w:t>Heracles’ Bow: Essays on the Rhetoric and Poetics of the Law</w:t>
      </w:r>
      <w:r w:rsidRPr="00F67316">
        <w:rPr>
          <w:color w:val="000000"/>
          <w:sz w:val="22"/>
          <w:szCs w:val="22"/>
        </w:rPr>
        <w:t xml:space="preserve"> (Madison: Univ</w:t>
      </w:r>
      <w:r w:rsidRPr="00A55C80">
        <w:rPr>
          <w:color w:val="000000"/>
          <w:sz w:val="22"/>
          <w:szCs w:val="22"/>
        </w:rPr>
        <w:t xml:space="preserve">ersity Wisconsin Press, 1985), xi. </w:t>
      </w:r>
    </w:p>
  </w:endnote>
  <w:endnote w:id="29">
    <w:p w14:paraId="45C23613" w14:textId="5A25262B" w:rsidR="00A27435" w:rsidRPr="00A55C80" w:rsidRDefault="00A27435">
      <w:pPr>
        <w:jc w:val="both"/>
        <w:rPr>
          <w:color w:val="000000"/>
          <w:sz w:val="22"/>
          <w:szCs w:val="22"/>
        </w:rPr>
      </w:pPr>
      <w:r w:rsidRPr="00F67316">
        <w:rPr>
          <w:rStyle w:val="EndnoteReference"/>
          <w:sz w:val="22"/>
          <w:szCs w:val="22"/>
        </w:rPr>
        <w:endnoteRef/>
      </w:r>
      <w:r w:rsidRPr="00F67316">
        <w:rPr>
          <w:sz w:val="22"/>
          <w:szCs w:val="22"/>
        </w:rPr>
        <w:t xml:space="preserve"> </w:t>
      </w:r>
      <w:r w:rsidRPr="00F67316">
        <w:rPr>
          <w:color w:val="000000"/>
          <w:sz w:val="22"/>
          <w:szCs w:val="22"/>
        </w:rPr>
        <w:t xml:space="preserve">Duncan Kennedy, ‘Freedom and Constraint in Adjudication: A Critical Phenomenology’, </w:t>
      </w:r>
      <w:r w:rsidRPr="00A55C80">
        <w:rPr>
          <w:i/>
          <w:color w:val="000000"/>
          <w:sz w:val="22"/>
          <w:szCs w:val="22"/>
        </w:rPr>
        <w:t>Journal of Legal Education</w:t>
      </w:r>
      <w:r w:rsidRPr="00A55C80">
        <w:rPr>
          <w:color w:val="000000"/>
          <w:sz w:val="22"/>
          <w:szCs w:val="22"/>
        </w:rPr>
        <w:t xml:space="preserve"> 36 (1986): 518-62. Kennedy provides a phenomenological account of judicial decision-making.  </w:t>
      </w:r>
    </w:p>
  </w:endnote>
  <w:endnote w:id="30">
    <w:p w14:paraId="18696EE0" w14:textId="76BDB324" w:rsidR="00A27435" w:rsidRPr="00A55C80" w:rsidRDefault="00A27435">
      <w:pPr>
        <w:pStyle w:val="FootnoteText"/>
        <w:rPr>
          <w:rFonts w:ascii="Times New Roman" w:hAnsi="Times New Roman"/>
          <w:color w:val="000000"/>
          <w:sz w:val="22"/>
          <w:szCs w:val="22"/>
        </w:rPr>
      </w:pPr>
      <w:r w:rsidRPr="00F67316">
        <w:rPr>
          <w:rStyle w:val="EndnoteReference"/>
          <w:rFonts w:ascii="Times New Roman" w:hAnsi="Times New Roman"/>
          <w:sz w:val="22"/>
          <w:szCs w:val="22"/>
        </w:rPr>
        <w:endnoteRef/>
      </w:r>
      <w:r w:rsidRPr="00F67316">
        <w:rPr>
          <w:rFonts w:ascii="Times New Roman" w:hAnsi="Times New Roman"/>
          <w:sz w:val="22"/>
          <w:szCs w:val="22"/>
        </w:rPr>
        <w:t xml:space="preserve"> Eve </w:t>
      </w:r>
      <w:r w:rsidRPr="00F67316">
        <w:rPr>
          <w:rFonts w:ascii="Times New Roman" w:hAnsi="Times New Roman"/>
          <w:color w:val="000000"/>
          <w:sz w:val="22"/>
          <w:szCs w:val="22"/>
        </w:rPr>
        <w:t xml:space="preserve">Sedgwick, </w:t>
      </w:r>
      <w:r w:rsidRPr="00F67316">
        <w:rPr>
          <w:rFonts w:ascii="Times New Roman" w:hAnsi="Times New Roman"/>
          <w:i/>
          <w:color w:val="000000"/>
          <w:sz w:val="22"/>
          <w:szCs w:val="22"/>
        </w:rPr>
        <w:t xml:space="preserve">Touching Feeling: Affect, Pedagogy, Performativity </w:t>
      </w:r>
      <w:r w:rsidRPr="00F67316">
        <w:rPr>
          <w:rFonts w:ascii="Times New Roman" w:hAnsi="Times New Roman"/>
          <w:color w:val="000000"/>
          <w:sz w:val="22"/>
          <w:szCs w:val="22"/>
        </w:rPr>
        <w:t>(Durham: Duke University Press, 2003), 135-</w:t>
      </w:r>
      <w:r w:rsidRPr="00A55C80">
        <w:rPr>
          <w:rFonts w:ascii="Times New Roman" w:hAnsi="Times New Roman"/>
          <w:color w:val="000000"/>
          <w:sz w:val="22"/>
          <w:szCs w:val="22"/>
        </w:rPr>
        <w:t xml:space="preserve">6. </w:t>
      </w:r>
    </w:p>
  </w:endnote>
  <w:endnote w:id="31">
    <w:p w14:paraId="6B200152" w14:textId="2046E3A1" w:rsidR="00A27435" w:rsidRPr="00F67316" w:rsidRDefault="00A27435">
      <w:pPr>
        <w:pStyle w:val="FootnoteText"/>
        <w:rPr>
          <w:rFonts w:ascii="Times New Roman" w:hAnsi="Times New Roman"/>
          <w:sz w:val="22"/>
          <w:szCs w:val="22"/>
          <w:lang w:val="en-US"/>
        </w:rPr>
      </w:pPr>
      <w:r w:rsidRPr="00F67316">
        <w:rPr>
          <w:rStyle w:val="EndnoteReference"/>
          <w:rFonts w:ascii="Times New Roman" w:hAnsi="Times New Roman"/>
          <w:sz w:val="22"/>
          <w:szCs w:val="22"/>
        </w:rPr>
        <w:endnoteRef/>
      </w:r>
      <w:r w:rsidRPr="00F67316">
        <w:rPr>
          <w:rFonts w:ascii="Times New Roman" w:hAnsi="Times New Roman"/>
          <w:sz w:val="22"/>
          <w:szCs w:val="22"/>
        </w:rPr>
        <w:t xml:space="preserve"> Sara Ahmed, </w:t>
      </w:r>
      <w:r w:rsidRPr="00F67316">
        <w:rPr>
          <w:rFonts w:ascii="Times New Roman" w:hAnsi="Times New Roman"/>
          <w:i/>
          <w:iCs/>
          <w:sz w:val="22"/>
          <w:szCs w:val="22"/>
        </w:rPr>
        <w:t>The Cultural Politics of Emotion</w:t>
      </w:r>
      <w:r w:rsidRPr="00F67316">
        <w:rPr>
          <w:rFonts w:ascii="Times New Roman" w:hAnsi="Times New Roman"/>
          <w:sz w:val="22"/>
          <w:szCs w:val="22"/>
        </w:rPr>
        <w:t xml:space="preserve"> (New York and London: Routledge, 2004), 5.</w:t>
      </w:r>
    </w:p>
  </w:endnote>
  <w:endnote w:id="32">
    <w:p w14:paraId="196F6E1C" w14:textId="40D96186" w:rsidR="00A27435" w:rsidRPr="00F67316" w:rsidRDefault="00A27435">
      <w:pPr>
        <w:pStyle w:val="FootnoteText"/>
        <w:rPr>
          <w:rFonts w:ascii="Times New Roman" w:hAnsi="Times New Roman"/>
          <w:sz w:val="22"/>
          <w:szCs w:val="22"/>
          <w:lang w:val="en-US"/>
        </w:rPr>
      </w:pPr>
      <w:r w:rsidRPr="00F67316">
        <w:rPr>
          <w:rStyle w:val="EndnoteReference"/>
          <w:rFonts w:ascii="Times New Roman" w:hAnsi="Times New Roman"/>
          <w:sz w:val="22"/>
          <w:szCs w:val="22"/>
        </w:rPr>
        <w:endnoteRef/>
      </w:r>
      <w:r w:rsidRPr="00F67316">
        <w:rPr>
          <w:rFonts w:ascii="Times New Roman" w:hAnsi="Times New Roman"/>
          <w:sz w:val="22"/>
          <w:szCs w:val="22"/>
        </w:rPr>
        <w:t xml:space="preserve"> Ibid., 5. </w:t>
      </w:r>
    </w:p>
  </w:endnote>
  <w:endnote w:id="33">
    <w:p w14:paraId="61296744" w14:textId="6BA321D4" w:rsidR="00A27435" w:rsidRPr="00A55C80" w:rsidRDefault="00A27435">
      <w:pPr>
        <w:pStyle w:val="FootnoteText"/>
        <w:rPr>
          <w:rFonts w:ascii="Times New Roman" w:hAnsi="Times New Roman"/>
          <w:sz w:val="22"/>
          <w:szCs w:val="22"/>
          <w:lang w:val="en-US"/>
        </w:rPr>
      </w:pPr>
      <w:r w:rsidRPr="00F67316">
        <w:rPr>
          <w:rStyle w:val="EndnoteReference"/>
          <w:rFonts w:ascii="Times New Roman" w:hAnsi="Times New Roman"/>
          <w:sz w:val="22"/>
          <w:szCs w:val="22"/>
        </w:rPr>
        <w:endnoteRef/>
      </w:r>
      <w:r w:rsidRPr="00F67316">
        <w:rPr>
          <w:rFonts w:ascii="Times New Roman" w:hAnsi="Times New Roman"/>
          <w:sz w:val="22"/>
          <w:szCs w:val="22"/>
        </w:rPr>
        <w:t xml:space="preserve"> Sara Ahmed, </w:t>
      </w:r>
      <w:r w:rsidRPr="00F67316">
        <w:rPr>
          <w:rFonts w:ascii="Times New Roman" w:hAnsi="Times New Roman"/>
          <w:i/>
          <w:iCs/>
          <w:sz w:val="22"/>
          <w:szCs w:val="22"/>
        </w:rPr>
        <w:t>Queer Phenomenology</w:t>
      </w:r>
      <w:r w:rsidRPr="00F67316">
        <w:rPr>
          <w:rFonts w:ascii="Times New Roman" w:hAnsi="Times New Roman"/>
          <w:i/>
          <w:sz w:val="22"/>
          <w:szCs w:val="22"/>
        </w:rPr>
        <w:t>: Orientations, Objects, Others</w:t>
      </w:r>
      <w:r w:rsidRPr="00F67316">
        <w:rPr>
          <w:rFonts w:ascii="Times New Roman" w:hAnsi="Times New Roman"/>
          <w:sz w:val="22"/>
          <w:szCs w:val="22"/>
        </w:rPr>
        <w:t xml:space="preserve"> (Durham: Duke University Press, 2006), 23. </w:t>
      </w:r>
      <w:r>
        <w:rPr>
          <w:rFonts w:ascii="Times New Roman" w:hAnsi="Times New Roman"/>
          <w:sz w:val="22"/>
          <w:szCs w:val="22"/>
        </w:rPr>
        <w:t xml:space="preserve">This approach dovetails with ‘frame analysis’ in social movement scholarship, which seeks to understand symbolic meanings generated through social justice claims. See </w:t>
      </w:r>
      <w:r>
        <w:rPr>
          <w:rFonts w:ascii="Times New Roman" w:hAnsi="Times New Roman"/>
          <w:color w:val="000000"/>
          <w:sz w:val="22"/>
          <w:szCs w:val="22"/>
        </w:rPr>
        <w:t>David A. Snow and Catherine Corrigall-Brown</w:t>
      </w:r>
      <w:r w:rsidRPr="00F67316">
        <w:rPr>
          <w:rFonts w:ascii="Times New Roman" w:hAnsi="Times New Roman"/>
          <w:color w:val="000000"/>
          <w:sz w:val="22"/>
          <w:szCs w:val="22"/>
        </w:rPr>
        <w:t>, ‘</w:t>
      </w:r>
      <w:r>
        <w:rPr>
          <w:rFonts w:ascii="Times New Roman" w:hAnsi="Times New Roman"/>
          <w:color w:val="000000"/>
          <w:sz w:val="22"/>
          <w:szCs w:val="22"/>
        </w:rPr>
        <w:t>Falling on Deaf Ears: Confronting the Prospect of Nonresonant Frames</w:t>
      </w:r>
      <w:r w:rsidRPr="00F67316">
        <w:rPr>
          <w:rFonts w:ascii="Times New Roman" w:hAnsi="Times New Roman"/>
          <w:color w:val="000000"/>
          <w:sz w:val="22"/>
          <w:szCs w:val="22"/>
        </w:rPr>
        <w:t xml:space="preserve">’ in </w:t>
      </w:r>
      <w:r>
        <w:rPr>
          <w:rFonts w:ascii="Times New Roman" w:hAnsi="Times New Roman"/>
          <w:i/>
          <w:color w:val="000000"/>
          <w:sz w:val="22"/>
          <w:szCs w:val="22"/>
        </w:rPr>
        <w:t>Rhyming Hope and History: Activists, Academics, and Social Movement Scholarship</w:t>
      </w:r>
      <w:r w:rsidRPr="00F67316">
        <w:rPr>
          <w:rFonts w:ascii="Times New Roman" w:hAnsi="Times New Roman"/>
          <w:color w:val="000000"/>
          <w:sz w:val="22"/>
          <w:szCs w:val="22"/>
        </w:rPr>
        <w:t xml:space="preserve"> ed. </w:t>
      </w:r>
      <w:r>
        <w:rPr>
          <w:rFonts w:ascii="Times New Roman" w:hAnsi="Times New Roman"/>
          <w:color w:val="000000"/>
          <w:sz w:val="22"/>
          <w:szCs w:val="22"/>
        </w:rPr>
        <w:t>D. Croteau, W. Hoynes and C. Ryan</w:t>
      </w:r>
      <w:r w:rsidRPr="00F67316">
        <w:rPr>
          <w:rFonts w:ascii="Times New Roman" w:hAnsi="Times New Roman"/>
          <w:color w:val="000000"/>
          <w:sz w:val="22"/>
          <w:szCs w:val="22"/>
        </w:rPr>
        <w:t xml:space="preserve"> (</w:t>
      </w:r>
      <w:r>
        <w:rPr>
          <w:rFonts w:ascii="Times New Roman" w:hAnsi="Times New Roman"/>
          <w:color w:val="000000"/>
          <w:sz w:val="22"/>
          <w:szCs w:val="22"/>
        </w:rPr>
        <w:t>Minneapolis</w:t>
      </w:r>
      <w:r w:rsidRPr="00F67316">
        <w:rPr>
          <w:rFonts w:ascii="Times New Roman" w:hAnsi="Times New Roman"/>
          <w:color w:val="000000"/>
          <w:sz w:val="22"/>
          <w:szCs w:val="22"/>
        </w:rPr>
        <w:t xml:space="preserve">: </w:t>
      </w:r>
      <w:r>
        <w:rPr>
          <w:rFonts w:ascii="Times New Roman" w:hAnsi="Times New Roman"/>
          <w:color w:val="000000"/>
          <w:sz w:val="22"/>
          <w:szCs w:val="22"/>
        </w:rPr>
        <w:t>University of Minnesota Press, 2000), 222-39</w:t>
      </w:r>
      <w:r w:rsidRPr="00A55C80">
        <w:rPr>
          <w:rFonts w:ascii="Times New Roman" w:hAnsi="Times New Roman"/>
          <w:color w:val="000000"/>
          <w:sz w:val="22"/>
          <w:szCs w:val="22"/>
        </w:rPr>
        <w:t xml:space="preserve">.  </w:t>
      </w:r>
    </w:p>
  </w:endnote>
  <w:endnote w:id="34">
    <w:p w14:paraId="22CF1F14" w14:textId="6EF880D7" w:rsidR="00A27435" w:rsidRPr="00701F16" w:rsidRDefault="00A27435" w:rsidP="00701F16">
      <w:pPr>
        <w:pStyle w:val="EndnoteText"/>
        <w:jc w:val="both"/>
        <w:rPr>
          <w:sz w:val="22"/>
          <w:szCs w:val="22"/>
          <w:lang w:val="en-US"/>
        </w:rPr>
      </w:pPr>
      <w:r w:rsidRPr="00701F16">
        <w:rPr>
          <w:rStyle w:val="EndnoteReference"/>
          <w:sz w:val="22"/>
          <w:szCs w:val="22"/>
        </w:rPr>
        <w:endnoteRef/>
      </w:r>
      <w:r w:rsidRPr="00701F16">
        <w:rPr>
          <w:sz w:val="22"/>
          <w:szCs w:val="22"/>
        </w:rPr>
        <w:t xml:space="preserve"> </w:t>
      </w:r>
      <w:r w:rsidRPr="00F67316">
        <w:rPr>
          <w:sz w:val="22"/>
          <w:szCs w:val="22"/>
        </w:rPr>
        <w:t xml:space="preserve">I share </w:t>
      </w:r>
      <w:r w:rsidRPr="00701F16">
        <w:rPr>
          <w:sz w:val="22"/>
          <w:szCs w:val="22"/>
        </w:rPr>
        <w:t>Richard O</w:t>
      </w:r>
      <w:r>
        <w:rPr>
          <w:sz w:val="22"/>
          <w:szCs w:val="22"/>
        </w:rPr>
        <w:t>.</w:t>
      </w:r>
      <w:r w:rsidRPr="00701F16">
        <w:rPr>
          <w:sz w:val="22"/>
          <w:szCs w:val="22"/>
        </w:rPr>
        <w:t xml:space="preserve"> Lempert</w:t>
      </w:r>
      <w:r w:rsidRPr="00F67316">
        <w:rPr>
          <w:sz w:val="22"/>
          <w:szCs w:val="22"/>
        </w:rPr>
        <w:t>’s view that scholarship can be a form of activism by generating new ideas to challenge injustice. See Richard O</w:t>
      </w:r>
      <w:r>
        <w:rPr>
          <w:sz w:val="22"/>
          <w:szCs w:val="22"/>
        </w:rPr>
        <w:t>.</w:t>
      </w:r>
      <w:r w:rsidRPr="00F67316">
        <w:rPr>
          <w:sz w:val="22"/>
          <w:szCs w:val="22"/>
        </w:rPr>
        <w:t xml:space="preserve"> Lempert’s </w:t>
      </w:r>
      <w:r w:rsidRPr="00701F16">
        <w:rPr>
          <w:sz w:val="22"/>
          <w:szCs w:val="22"/>
        </w:rPr>
        <w:t xml:space="preserve">‘Activist Scholarship’, </w:t>
      </w:r>
      <w:r w:rsidRPr="00F67316">
        <w:rPr>
          <w:i/>
          <w:sz w:val="22"/>
          <w:szCs w:val="22"/>
        </w:rPr>
        <w:t xml:space="preserve">Law &amp; Society Review </w:t>
      </w:r>
      <w:r w:rsidRPr="00F67316">
        <w:rPr>
          <w:sz w:val="22"/>
          <w:szCs w:val="22"/>
        </w:rPr>
        <w:t xml:space="preserve">35 (2001): 26. </w:t>
      </w:r>
    </w:p>
  </w:endnote>
  <w:endnote w:id="35">
    <w:p w14:paraId="48D1F6B4" w14:textId="7778CCEC" w:rsidR="00A27435" w:rsidRPr="00F67316" w:rsidRDefault="00A27435" w:rsidP="00F67316">
      <w:pPr>
        <w:jc w:val="both"/>
        <w:rPr>
          <w:color w:val="000000"/>
          <w:sz w:val="22"/>
          <w:szCs w:val="22"/>
        </w:rPr>
      </w:pPr>
      <w:r w:rsidRPr="00F67316">
        <w:rPr>
          <w:rStyle w:val="EndnoteReference"/>
          <w:sz w:val="22"/>
          <w:szCs w:val="22"/>
        </w:rPr>
        <w:endnoteRef/>
      </w:r>
      <w:r w:rsidRPr="00F67316">
        <w:rPr>
          <w:color w:val="000000"/>
          <w:sz w:val="22"/>
          <w:szCs w:val="22"/>
        </w:rPr>
        <w:t xml:space="preserve"> Kenji Yoshino, ‘Covering’, </w:t>
      </w:r>
      <w:r w:rsidRPr="00F67316">
        <w:rPr>
          <w:i/>
          <w:color w:val="000000"/>
          <w:sz w:val="22"/>
          <w:szCs w:val="22"/>
        </w:rPr>
        <w:t xml:space="preserve">Yale Law Journal </w:t>
      </w:r>
      <w:r w:rsidRPr="00F67316">
        <w:rPr>
          <w:color w:val="000000"/>
          <w:sz w:val="22"/>
          <w:szCs w:val="22"/>
        </w:rPr>
        <w:t xml:space="preserve">111, no. 4 (2002): 837. </w:t>
      </w:r>
    </w:p>
  </w:endnote>
  <w:endnote w:id="36">
    <w:p w14:paraId="64502E88" w14:textId="33A751A2" w:rsidR="00A27435" w:rsidRPr="00A55C80" w:rsidRDefault="00A27435" w:rsidP="00F67316">
      <w:pPr>
        <w:jc w:val="both"/>
        <w:rPr>
          <w:color w:val="000000"/>
          <w:sz w:val="22"/>
          <w:szCs w:val="22"/>
        </w:rPr>
      </w:pPr>
      <w:r w:rsidRPr="00F67316">
        <w:rPr>
          <w:rStyle w:val="EndnoteReference"/>
          <w:sz w:val="22"/>
          <w:szCs w:val="22"/>
        </w:rPr>
        <w:endnoteRef/>
      </w:r>
      <w:r w:rsidRPr="00F67316">
        <w:rPr>
          <w:sz w:val="22"/>
          <w:szCs w:val="22"/>
        </w:rPr>
        <w:t xml:space="preserve"> </w:t>
      </w:r>
      <w:r w:rsidRPr="00F67316">
        <w:rPr>
          <w:color w:val="000000"/>
          <w:sz w:val="22"/>
          <w:szCs w:val="22"/>
        </w:rPr>
        <w:t>Ely Aharonson, ‘“Pro</w:t>
      </w:r>
      <w:r w:rsidRPr="00F67316">
        <w:rPr>
          <w:color w:val="000000"/>
          <w:sz w:val="22"/>
          <w:szCs w:val="22"/>
        </w:rPr>
        <w:noBreakHyphen/>
        <w:t xml:space="preserve">Minority” Criminalization and the Transformation of Visions of Citizenship in Contemporary Liberal Democracies: A Critique’, </w:t>
      </w:r>
      <w:r w:rsidRPr="00A55C80">
        <w:rPr>
          <w:i/>
          <w:color w:val="000000"/>
          <w:sz w:val="22"/>
          <w:szCs w:val="22"/>
        </w:rPr>
        <w:t xml:space="preserve">New Criminal Law Review </w:t>
      </w:r>
      <w:r w:rsidRPr="00A55C80">
        <w:rPr>
          <w:color w:val="000000"/>
          <w:sz w:val="22"/>
          <w:szCs w:val="22"/>
        </w:rPr>
        <w:t xml:space="preserve">13, no. 2 (2010): 289. </w:t>
      </w:r>
    </w:p>
  </w:endnote>
  <w:endnote w:id="37">
    <w:p w14:paraId="6C6BF43C" w14:textId="1F43B1B0" w:rsidR="00A27435" w:rsidRPr="001C372B" w:rsidRDefault="00A27435" w:rsidP="00F67316">
      <w:pPr>
        <w:pStyle w:val="FootnoteText"/>
        <w:rPr>
          <w:rFonts w:ascii="Times New Roman" w:hAnsi="Times New Roman"/>
          <w:sz w:val="22"/>
          <w:szCs w:val="22"/>
        </w:rPr>
      </w:pPr>
      <w:r w:rsidRPr="00F67316">
        <w:rPr>
          <w:rStyle w:val="EndnoteReference"/>
          <w:rFonts w:ascii="Times New Roman" w:hAnsi="Times New Roman"/>
          <w:sz w:val="22"/>
          <w:szCs w:val="22"/>
        </w:rPr>
        <w:endnoteRef/>
      </w:r>
      <w:r w:rsidRPr="00F67316">
        <w:rPr>
          <w:rFonts w:ascii="Times New Roman" w:hAnsi="Times New Roman"/>
          <w:sz w:val="22"/>
          <w:szCs w:val="22"/>
        </w:rPr>
        <w:t xml:space="preserve"> </w:t>
      </w:r>
      <w:r w:rsidRPr="00F67316">
        <w:rPr>
          <w:rStyle w:val="st"/>
          <w:rFonts w:ascii="Times New Roman" w:eastAsia="MS Mincho" w:hAnsi="Times New Roman"/>
          <w:color w:val="000000"/>
          <w:sz w:val="22"/>
          <w:szCs w:val="22"/>
        </w:rPr>
        <w:t xml:space="preserve">Bernard Haggerty, ‘Hate Crimes: A View from Laramie, Wyoming’s First Bias Crime Law, the Fight against Discriminatory Crime, and a New </w:t>
      </w:r>
      <w:r w:rsidRPr="00A55C80">
        <w:rPr>
          <w:rStyle w:val="st"/>
          <w:rFonts w:ascii="Times New Roman" w:eastAsia="MS Mincho" w:hAnsi="Times New Roman"/>
          <w:color w:val="000000"/>
          <w:sz w:val="22"/>
          <w:szCs w:val="22"/>
        </w:rPr>
        <w:t xml:space="preserve">Cooperative Federalism’, </w:t>
      </w:r>
      <w:r w:rsidRPr="00A55C80">
        <w:rPr>
          <w:rStyle w:val="st"/>
          <w:rFonts w:ascii="Times New Roman" w:eastAsia="MS Mincho" w:hAnsi="Times New Roman"/>
          <w:i/>
          <w:color w:val="000000"/>
          <w:sz w:val="22"/>
          <w:szCs w:val="22"/>
        </w:rPr>
        <w:t xml:space="preserve">Howard Law Journal </w:t>
      </w:r>
      <w:r w:rsidRPr="001A0F50">
        <w:rPr>
          <w:rStyle w:val="st"/>
          <w:rFonts w:ascii="Times New Roman" w:eastAsia="MS Mincho" w:hAnsi="Times New Roman"/>
          <w:color w:val="000000"/>
          <w:sz w:val="22"/>
          <w:szCs w:val="22"/>
        </w:rPr>
        <w:t>45 (2001):</w:t>
      </w:r>
      <w:r w:rsidRPr="001A0F50">
        <w:rPr>
          <w:rStyle w:val="st"/>
          <w:rFonts w:ascii="Times New Roman" w:eastAsia="MS Mincho" w:hAnsi="Times New Roman"/>
          <w:i/>
          <w:color w:val="000000"/>
          <w:sz w:val="22"/>
          <w:szCs w:val="22"/>
        </w:rPr>
        <w:t xml:space="preserve"> </w:t>
      </w:r>
      <w:r w:rsidRPr="001A0F50">
        <w:rPr>
          <w:rStyle w:val="st"/>
          <w:rFonts w:ascii="Times New Roman" w:eastAsia="MS Mincho" w:hAnsi="Times New Roman"/>
          <w:color w:val="000000"/>
          <w:sz w:val="22"/>
          <w:szCs w:val="22"/>
        </w:rPr>
        <w:t>1-75. Matthew Shepard was a young gay man who was murdered by Aaron McKinney and Russell Henderson</w:t>
      </w:r>
      <w:r w:rsidRPr="005B6402">
        <w:rPr>
          <w:rStyle w:val="st"/>
          <w:rFonts w:ascii="Times New Roman" w:eastAsia="MS Mincho" w:hAnsi="Times New Roman"/>
          <w:color w:val="000000"/>
          <w:sz w:val="22"/>
          <w:szCs w:val="22"/>
        </w:rPr>
        <w:t xml:space="preserve">. McKinney and Henderson tortured Shepard, tied </w:t>
      </w:r>
      <w:r w:rsidRPr="00C02DE0">
        <w:rPr>
          <w:rStyle w:val="st"/>
          <w:rFonts w:ascii="Times New Roman" w:eastAsia="MS Mincho" w:hAnsi="Times New Roman"/>
          <w:color w:val="000000"/>
          <w:sz w:val="22"/>
          <w:szCs w:val="22"/>
        </w:rPr>
        <w:t>him up</w:t>
      </w:r>
      <w:r w:rsidRPr="00465BF4">
        <w:rPr>
          <w:rStyle w:val="st"/>
          <w:rFonts w:ascii="Times New Roman" w:eastAsia="MS Mincho" w:hAnsi="Times New Roman"/>
          <w:color w:val="000000"/>
          <w:sz w:val="22"/>
          <w:szCs w:val="22"/>
        </w:rPr>
        <w:t xml:space="preserve">, and then left him to die on a fence in a remote area near Laramie. </w:t>
      </w:r>
    </w:p>
  </w:endnote>
  <w:endnote w:id="38">
    <w:p w14:paraId="394A4A2C" w14:textId="74E6E59E" w:rsidR="00A27435" w:rsidRPr="00A55C80" w:rsidRDefault="00A27435" w:rsidP="00F67316">
      <w:pPr>
        <w:jc w:val="both"/>
        <w:rPr>
          <w:color w:val="000000"/>
          <w:sz w:val="22"/>
          <w:szCs w:val="22"/>
        </w:rPr>
      </w:pPr>
      <w:r w:rsidRPr="00F67316">
        <w:rPr>
          <w:rStyle w:val="EndnoteReference"/>
          <w:sz w:val="22"/>
          <w:szCs w:val="22"/>
        </w:rPr>
        <w:endnoteRef/>
      </w:r>
      <w:r w:rsidRPr="00F67316">
        <w:rPr>
          <w:sz w:val="22"/>
          <w:szCs w:val="22"/>
        </w:rPr>
        <w:t xml:space="preserve"> </w:t>
      </w:r>
      <w:r w:rsidRPr="00F67316">
        <w:rPr>
          <w:color w:val="000000"/>
          <w:sz w:val="22"/>
          <w:szCs w:val="22"/>
        </w:rPr>
        <w:t xml:space="preserve">James Jacobs and Kimberley Potter, ‘Hate Crimes: A Critical Perspective’, </w:t>
      </w:r>
      <w:r w:rsidRPr="00F67316">
        <w:rPr>
          <w:i/>
          <w:color w:val="000000"/>
          <w:sz w:val="22"/>
          <w:szCs w:val="22"/>
        </w:rPr>
        <w:t xml:space="preserve">Crime &amp; Justice </w:t>
      </w:r>
      <w:r w:rsidRPr="00A55C80">
        <w:rPr>
          <w:color w:val="000000"/>
          <w:sz w:val="22"/>
          <w:szCs w:val="22"/>
        </w:rPr>
        <w:t xml:space="preserve">22 (1997): 1-50. </w:t>
      </w:r>
    </w:p>
  </w:endnote>
  <w:endnote w:id="39">
    <w:p w14:paraId="0832E9DC" w14:textId="777E1D3C" w:rsidR="00A27435" w:rsidRPr="00F67316" w:rsidRDefault="00A27435" w:rsidP="00F67316">
      <w:pPr>
        <w:pStyle w:val="FootnoteText"/>
        <w:rPr>
          <w:rFonts w:ascii="Times New Roman" w:hAnsi="Times New Roman"/>
          <w:color w:val="000000"/>
          <w:sz w:val="22"/>
          <w:szCs w:val="22"/>
        </w:rPr>
      </w:pPr>
      <w:r w:rsidRPr="00F67316">
        <w:rPr>
          <w:rStyle w:val="EndnoteReference"/>
          <w:rFonts w:ascii="Times New Roman" w:hAnsi="Times New Roman"/>
          <w:sz w:val="22"/>
          <w:szCs w:val="22"/>
        </w:rPr>
        <w:endnoteRef/>
      </w:r>
      <w:r w:rsidRPr="00F67316">
        <w:rPr>
          <w:rFonts w:ascii="Times New Roman" w:hAnsi="Times New Roman"/>
          <w:sz w:val="22"/>
          <w:szCs w:val="22"/>
        </w:rPr>
        <w:t xml:space="preserve"> </w:t>
      </w:r>
      <w:r w:rsidRPr="00F67316">
        <w:rPr>
          <w:rFonts w:ascii="Times New Roman" w:hAnsi="Times New Roman"/>
          <w:color w:val="000000"/>
          <w:sz w:val="22"/>
          <w:szCs w:val="22"/>
        </w:rPr>
        <w:t xml:space="preserve">18 USC § 249. </w:t>
      </w:r>
    </w:p>
  </w:endnote>
  <w:endnote w:id="40">
    <w:p w14:paraId="1532B489" w14:textId="37C8A323" w:rsidR="00A27435" w:rsidRPr="00F67316" w:rsidRDefault="00A27435" w:rsidP="00F67316">
      <w:pPr>
        <w:pStyle w:val="FootnoteText"/>
        <w:rPr>
          <w:rFonts w:ascii="Times New Roman" w:hAnsi="Times New Roman"/>
          <w:color w:val="000000"/>
          <w:sz w:val="22"/>
          <w:szCs w:val="22"/>
        </w:rPr>
      </w:pPr>
      <w:r w:rsidRPr="00F67316">
        <w:rPr>
          <w:rStyle w:val="EndnoteReference"/>
          <w:rFonts w:ascii="Times New Roman" w:hAnsi="Times New Roman"/>
          <w:sz w:val="22"/>
          <w:szCs w:val="22"/>
        </w:rPr>
        <w:endnoteRef/>
      </w:r>
      <w:r w:rsidRPr="00F67316">
        <w:rPr>
          <w:rFonts w:ascii="Times New Roman" w:hAnsi="Times New Roman"/>
          <w:sz w:val="22"/>
          <w:szCs w:val="22"/>
        </w:rPr>
        <w:t xml:space="preserve"> </w:t>
      </w:r>
      <w:r w:rsidRPr="00F67316">
        <w:rPr>
          <w:rFonts w:ascii="Times New Roman" w:hAnsi="Times New Roman"/>
          <w:color w:val="000000"/>
          <w:sz w:val="22"/>
          <w:szCs w:val="22"/>
        </w:rPr>
        <w:t>White House Press Release, ‘Remarks by the President at Reception Commemorating the Enactment of the Matth</w:t>
      </w:r>
      <w:r w:rsidRPr="00A55C80">
        <w:rPr>
          <w:rFonts w:ascii="Times New Roman" w:hAnsi="Times New Roman"/>
          <w:color w:val="000000"/>
          <w:sz w:val="22"/>
          <w:szCs w:val="22"/>
        </w:rPr>
        <w:t xml:space="preserve">ew Shepard and James Byrd, Jr. Hate Crimes Prevention Act’ (28 October 2009), </w:t>
      </w:r>
      <w:hyperlink r:id="rId1" w:history="1">
        <w:r w:rsidRPr="00F67316">
          <w:rPr>
            <w:rStyle w:val="Hyperlink"/>
            <w:rFonts w:ascii="Times New Roman" w:hAnsi="Times New Roman"/>
            <w:sz w:val="22"/>
            <w:szCs w:val="22"/>
          </w:rPr>
          <w:t>http://www.whitehouse.gov/the-press-office/remarks-president-reception-commemorating-enactment-matthew-shepard-and-james-byrd-</w:t>
        </w:r>
      </w:hyperlink>
      <w:r w:rsidRPr="00F67316">
        <w:rPr>
          <w:rFonts w:ascii="Times New Roman" w:hAnsi="Times New Roman"/>
          <w:color w:val="000000"/>
          <w:sz w:val="22"/>
          <w:szCs w:val="22"/>
        </w:rPr>
        <w:t xml:space="preserve"> (accessed 5 August 2016).</w:t>
      </w:r>
      <w:r>
        <w:rPr>
          <w:rFonts w:ascii="Times New Roman" w:hAnsi="Times New Roman"/>
          <w:color w:val="000000"/>
          <w:sz w:val="22"/>
          <w:szCs w:val="22"/>
        </w:rPr>
        <w:t xml:space="preserve"> </w:t>
      </w:r>
    </w:p>
  </w:endnote>
  <w:endnote w:id="41">
    <w:p w14:paraId="45C22BAD" w14:textId="03604D5A" w:rsidR="00A27435" w:rsidRPr="00F67316" w:rsidRDefault="00A27435" w:rsidP="00A55C80">
      <w:pPr>
        <w:pStyle w:val="FootnoteText"/>
        <w:rPr>
          <w:rFonts w:ascii="Times New Roman" w:eastAsia="MS Mincho" w:hAnsi="Times New Roman"/>
          <w:color w:val="000000"/>
          <w:sz w:val="22"/>
          <w:szCs w:val="22"/>
        </w:rPr>
      </w:pPr>
      <w:r w:rsidRPr="00F67316">
        <w:rPr>
          <w:rStyle w:val="EndnoteReference"/>
          <w:rFonts w:ascii="Times New Roman" w:hAnsi="Times New Roman"/>
          <w:sz w:val="22"/>
          <w:szCs w:val="22"/>
        </w:rPr>
        <w:endnoteRef/>
      </w:r>
      <w:r w:rsidRPr="00F67316">
        <w:rPr>
          <w:rFonts w:ascii="Times New Roman" w:hAnsi="Times New Roman"/>
          <w:sz w:val="22"/>
          <w:szCs w:val="22"/>
        </w:rPr>
        <w:t xml:space="preserve"> </w:t>
      </w:r>
      <w:r w:rsidRPr="00F67316">
        <w:rPr>
          <w:rFonts w:ascii="Times New Roman" w:hAnsi="Times New Roman"/>
          <w:color w:val="000000"/>
          <w:sz w:val="22"/>
          <w:szCs w:val="22"/>
        </w:rPr>
        <w:t>Ibid.</w:t>
      </w:r>
    </w:p>
  </w:endnote>
  <w:endnote w:id="42">
    <w:p w14:paraId="7C897148" w14:textId="013288A5" w:rsidR="00A27435" w:rsidRPr="00A55C80" w:rsidRDefault="00A27435" w:rsidP="00A55C80">
      <w:pPr>
        <w:pStyle w:val="EndnoteText"/>
        <w:jc w:val="both"/>
        <w:rPr>
          <w:sz w:val="22"/>
          <w:szCs w:val="22"/>
          <w:lang w:val="en-US"/>
        </w:rPr>
      </w:pPr>
      <w:r w:rsidRPr="00F67316">
        <w:rPr>
          <w:rStyle w:val="EndnoteReference"/>
          <w:sz w:val="22"/>
          <w:szCs w:val="22"/>
        </w:rPr>
        <w:endnoteRef/>
      </w:r>
      <w:r w:rsidRPr="00F67316">
        <w:rPr>
          <w:sz w:val="22"/>
          <w:szCs w:val="22"/>
        </w:rPr>
        <w:t xml:space="preserve"> </w:t>
      </w:r>
      <w:r w:rsidRPr="00F67316">
        <w:rPr>
          <w:rStyle w:val="st"/>
          <w:color w:val="000000"/>
          <w:sz w:val="22"/>
          <w:szCs w:val="22"/>
        </w:rPr>
        <w:t xml:space="preserve">Leslie Moran, ‘The Emotional Dimensions of Lesbian and Gay Demands for Hate Crime Reform’, </w:t>
      </w:r>
      <w:r w:rsidRPr="00A55C80">
        <w:rPr>
          <w:rStyle w:val="st"/>
          <w:i/>
          <w:color w:val="000000"/>
          <w:sz w:val="22"/>
          <w:szCs w:val="22"/>
        </w:rPr>
        <w:t xml:space="preserve">McGill Law Journal </w:t>
      </w:r>
      <w:r w:rsidRPr="00A55C80">
        <w:rPr>
          <w:rStyle w:val="st"/>
          <w:color w:val="000000"/>
          <w:sz w:val="22"/>
          <w:szCs w:val="22"/>
        </w:rPr>
        <w:t>49 (2004): 928-9.</w:t>
      </w:r>
    </w:p>
  </w:endnote>
  <w:endnote w:id="43">
    <w:p w14:paraId="4D86F478" w14:textId="3EE3C56E" w:rsidR="00A27435" w:rsidRPr="00F67316" w:rsidRDefault="00A27435" w:rsidP="001A0F50">
      <w:pPr>
        <w:pStyle w:val="EndnoteText"/>
        <w:jc w:val="both"/>
        <w:rPr>
          <w:sz w:val="22"/>
          <w:szCs w:val="22"/>
          <w:lang w:val="en-US"/>
        </w:rPr>
      </w:pPr>
      <w:r w:rsidRPr="00F67316">
        <w:rPr>
          <w:rStyle w:val="EndnoteReference"/>
          <w:sz w:val="22"/>
          <w:szCs w:val="22"/>
        </w:rPr>
        <w:endnoteRef/>
      </w:r>
      <w:r w:rsidRPr="00F67316">
        <w:rPr>
          <w:sz w:val="22"/>
          <w:szCs w:val="22"/>
        </w:rPr>
        <w:t xml:space="preserve"> </w:t>
      </w:r>
      <w:r w:rsidRPr="00F67316">
        <w:rPr>
          <w:color w:val="000000"/>
          <w:sz w:val="22"/>
          <w:szCs w:val="22"/>
        </w:rPr>
        <w:t xml:space="preserve">See note 32.  </w:t>
      </w:r>
    </w:p>
  </w:endnote>
  <w:endnote w:id="44">
    <w:p w14:paraId="7EF21659" w14:textId="2E1FD7C8" w:rsidR="00A27435" w:rsidRPr="00F67316" w:rsidRDefault="00A27435" w:rsidP="001A0F50">
      <w:pPr>
        <w:pStyle w:val="EndnoteText"/>
        <w:jc w:val="both"/>
        <w:rPr>
          <w:sz w:val="22"/>
          <w:szCs w:val="22"/>
          <w:lang w:val="en-US"/>
        </w:rPr>
      </w:pPr>
      <w:r w:rsidRPr="00F67316">
        <w:rPr>
          <w:rStyle w:val="EndnoteReference"/>
          <w:sz w:val="22"/>
          <w:szCs w:val="22"/>
        </w:rPr>
        <w:endnoteRef/>
      </w:r>
      <w:r w:rsidRPr="00F67316">
        <w:rPr>
          <w:sz w:val="22"/>
          <w:szCs w:val="22"/>
        </w:rPr>
        <w:t xml:space="preserve"> </w:t>
      </w:r>
      <w:r w:rsidRPr="00F67316">
        <w:rPr>
          <w:color w:val="000000"/>
          <w:sz w:val="22"/>
          <w:szCs w:val="22"/>
        </w:rPr>
        <w:t xml:space="preserve">Ibid. </w:t>
      </w:r>
    </w:p>
  </w:endnote>
  <w:endnote w:id="45">
    <w:p w14:paraId="7835F71F" w14:textId="76783419" w:rsidR="00A27435" w:rsidRPr="00F67316" w:rsidRDefault="00A27435" w:rsidP="005B6402">
      <w:pPr>
        <w:jc w:val="both"/>
        <w:rPr>
          <w:color w:val="000000"/>
          <w:sz w:val="22"/>
          <w:szCs w:val="22"/>
        </w:rPr>
      </w:pPr>
      <w:r w:rsidRPr="00F67316">
        <w:rPr>
          <w:rStyle w:val="EndnoteReference"/>
          <w:sz w:val="22"/>
          <w:szCs w:val="22"/>
        </w:rPr>
        <w:endnoteRef/>
      </w:r>
      <w:r w:rsidRPr="00F67316">
        <w:rPr>
          <w:sz w:val="22"/>
          <w:szCs w:val="22"/>
        </w:rPr>
        <w:t xml:space="preserve"> </w:t>
      </w:r>
      <w:r w:rsidRPr="00F67316">
        <w:rPr>
          <w:i/>
          <w:color w:val="000000"/>
          <w:sz w:val="22"/>
          <w:szCs w:val="22"/>
        </w:rPr>
        <w:t>Bennett v Texas</w:t>
      </w:r>
      <w:r w:rsidRPr="00F67316">
        <w:rPr>
          <w:color w:val="000000"/>
          <w:sz w:val="22"/>
          <w:szCs w:val="22"/>
        </w:rPr>
        <w:t>,</w:t>
      </w:r>
      <w:r w:rsidRPr="00F67316">
        <w:rPr>
          <w:i/>
          <w:color w:val="000000"/>
          <w:sz w:val="22"/>
          <w:szCs w:val="22"/>
        </w:rPr>
        <w:t xml:space="preserve"> </w:t>
      </w:r>
      <w:r w:rsidRPr="00F67316">
        <w:rPr>
          <w:color w:val="000000"/>
          <w:sz w:val="22"/>
          <w:szCs w:val="22"/>
        </w:rPr>
        <w:t xml:space="preserve">831 SW 2d 20 at 22 (1992), 22. </w:t>
      </w:r>
    </w:p>
  </w:endnote>
  <w:endnote w:id="46">
    <w:p w14:paraId="54CBD387" w14:textId="5340CD79" w:rsidR="00A27435" w:rsidRPr="00A55C80" w:rsidRDefault="00A27435" w:rsidP="00F67316">
      <w:pPr>
        <w:jc w:val="both"/>
        <w:rPr>
          <w:color w:val="000000"/>
          <w:sz w:val="22"/>
          <w:szCs w:val="22"/>
        </w:rPr>
      </w:pPr>
      <w:r w:rsidRPr="00F67316">
        <w:rPr>
          <w:rStyle w:val="EndnoteReference"/>
          <w:sz w:val="22"/>
          <w:szCs w:val="22"/>
        </w:rPr>
        <w:endnoteRef/>
      </w:r>
      <w:r w:rsidRPr="00F67316">
        <w:rPr>
          <w:sz w:val="22"/>
          <w:szCs w:val="22"/>
        </w:rPr>
        <w:t xml:space="preserve"> </w:t>
      </w:r>
      <w:r w:rsidRPr="00F67316">
        <w:rPr>
          <w:color w:val="000000"/>
          <w:sz w:val="22"/>
          <w:szCs w:val="22"/>
        </w:rPr>
        <w:t xml:space="preserve">Morris Kaplan, ‘Hate Crime and the Privatization of Political Responsibility: Protecting Queer Citizens in the United States?’, </w:t>
      </w:r>
      <w:r w:rsidRPr="00A55C80">
        <w:rPr>
          <w:i/>
          <w:color w:val="000000"/>
          <w:sz w:val="22"/>
          <w:szCs w:val="22"/>
        </w:rPr>
        <w:t xml:space="preserve">Liverpool Law Review </w:t>
      </w:r>
      <w:r w:rsidRPr="00A55C80">
        <w:rPr>
          <w:color w:val="000000"/>
          <w:sz w:val="22"/>
          <w:szCs w:val="22"/>
        </w:rPr>
        <w:t xml:space="preserve">29 (2008): 40. </w:t>
      </w:r>
    </w:p>
  </w:endnote>
  <w:endnote w:id="47">
    <w:p w14:paraId="4A495492" w14:textId="2396C72E" w:rsidR="00A27435" w:rsidRPr="00A55C80" w:rsidRDefault="00A27435" w:rsidP="00A55C80">
      <w:pPr>
        <w:pStyle w:val="EndnoteText"/>
        <w:jc w:val="both"/>
        <w:rPr>
          <w:sz w:val="22"/>
          <w:szCs w:val="22"/>
          <w:lang w:val="en-US"/>
        </w:rPr>
      </w:pPr>
      <w:r w:rsidRPr="00F67316">
        <w:rPr>
          <w:rStyle w:val="EndnoteReference"/>
          <w:sz w:val="22"/>
          <w:szCs w:val="22"/>
        </w:rPr>
        <w:endnoteRef/>
      </w:r>
      <w:r w:rsidRPr="00F67316">
        <w:rPr>
          <w:sz w:val="22"/>
          <w:szCs w:val="22"/>
        </w:rPr>
        <w:t xml:space="preserve"> </w:t>
      </w:r>
      <w:r w:rsidRPr="00F67316">
        <w:rPr>
          <w:color w:val="000000"/>
          <w:sz w:val="22"/>
          <w:szCs w:val="22"/>
        </w:rPr>
        <w:t xml:space="preserve">See note </w:t>
      </w:r>
      <w:r>
        <w:rPr>
          <w:color w:val="000000"/>
          <w:sz w:val="22"/>
          <w:szCs w:val="22"/>
        </w:rPr>
        <w:t>42</w:t>
      </w:r>
      <w:r w:rsidRPr="00F67316">
        <w:rPr>
          <w:color w:val="000000"/>
          <w:sz w:val="22"/>
          <w:szCs w:val="22"/>
        </w:rPr>
        <w:t xml:space="preserve">.  </w:t>
      </w:r>
    </w:p>
  </w:endnote>
  <w:endnote w:id="48">
    <w:p w14:paraId="40CCC05C" w14:textId="25B575E7" w:rsidR="00A27435" w:rsidRPr="00F67316" w:rsidRDefault="00A27435" w:rsidP="00A55C80">
      <w:pPr>
        <w:pStyle w:val="EndnoteText"/>
        <w:jc w:val="both"/>
        <w:rPr>
          <w:sz w:val="22"/>
          <w:szCs w:val="22"/>
          <w:lang w:val="en-US"/>
        </w:rPr>
      </w:pPr>
      <w:r w:rsidRPr="00F67316">
        <w:rPr>
          <w:rStyle w:val="EndnoteReference"/>
          <w:sz w:val="22"/>
          <w:szCs w:val="22"/>
        </w:rPr>
        <w:endnoteRef/>
      </w:r>
      <w:r w:rsidRPr="00F67316">
        <w:rPr>
          <w:sz w:val="22"/>
          <w:szCs w:val="22"/>
        </w:rPr>
        <w:t xml:space="preserve"> </w:t>
      </w:r>
      <w:r w:rsidRPr="00F67316">
        <w:rPr>
          <w:color w:val="000000"/>
          <w:sz w:val="22"/>
          <w:szCs w:val="22"/>
        </w:rPr>
        <w:t xml:space="preserve">Ibid. </w:t>
      </w:r>
    </w:p>
  </w:endnote>
  <w:endnote w:id="49">
    <w:p w14:paraId="7E275078" w14:textId="35373118" w:rsidR="00A27435" w:rsidRPr="00F67316" w:rsidRDefault="00A27435" w:rsidP="001A0F50">
      <w:pPr>
        <w:pStyle w:val="FootnoteText"/>
        <w:rPr>
          <w:rFonts w:ascii="Times New Roman" w:hAnsi="Times New Roman"/>
          <w:sz w:val="22"/>
          <w:szCs w:val="22"/>
        </w:rPr>
      </w:pPr>
      <w:r w:rsidRPr="00F67316">
        <w:rPr>
          <w:rStyle w:val="EndnoteReference"/>
          <w:rFonts w:ascii="Times New Roman" w:hAnsi="Times New Roman"/>
          <w:sz w:val="22"/>
          <w:szCs w:val="22"/>
        </w:rPr>
        <w:endnoteRef/>
      </w:r>
      <w:r w:rsidRPr="00F67316">
        <w:rPr>
          <w:rFonts w:ascii="Times New Roman" w:hAnsi="Times New Roman"/>
          <w:sz w:val="22"/>
          <w:szCs w:val="22"/>
        </w:rPr>
        <w:t xml:space="preserve"> Sara Ahmed, </w:t>
      </w:r>
      <w:r w:rsidRPr="00F67316">
        <w:rPr>
          <w:rFonts w:ascii="Times New Roman" w:hAnsi="Times New Roman"/>
          <w:i/>
          <w:sz w:val="22"/>
          <w:szCs w:val="22"/>
        </w:rPr>
        <w:t>Willful Subjects</w:t>
      </w:r>
      <w:r w:rsidRPr="00F67316">
        <w:rPr>
          <w:rFonts w:ascii="Times New Roman" w:hAnsi="Times New Roman"/>
          <w:sz w:val="22"/>
          <w:szCs w:val="22"/>
        </w:rPr>
        <w:t xml:space="preserve"> (London and Durham: Duke University Press, 2014), 42. </w:t>
      </w:r>
    </w:p>
  </w:endnote>
  <w:endnote w:id="50">
    <w:p w14:paraId="5F281CED" w14:textId="3D3D427A" w:rsidR="00A27435" w:rsidRPr="00F67316" w:rsidRDefault="00A27435" w:rsidP="00F67316">
      <w:pPr>
        <w:pStyle w:val="FootnoteText"/>
        <w:rPr>
          <w:rFonts w:ascii="Times New Roman" w:hAnsi="Times New Roman"/>
          <w:color w:val="000000"/>
          <w:sz w:val="22"/>
          <w:szCs w:val="22"/>
        </w:rPr>
      </w:pPr>
      <w:r w:rsidRPr="00F67316">
        <w:rPr>
          <w:rStyle w:val="EndnoteReference"/>
          <w:rFonts w:ascii="Times New Roman" w:hAnsi="Times New Roman"/>
          <w:sz w:val="22"/>
          <w:szCs w:val="22"/>
        </w:rPr>
        <w:endnoteRef/>
      </w:r>
      <w:r w:rsidRPr="00F67316">
        <w:rPr>
          <w:rFonts w:ascii="Times New Roman" w:hAnsi="Times New Roman"/>
          <w:sz w:val="22"/>
          <w:szCs w:val="22"/>
        </w:rPr>
        <w:t xml:space="preserve"> </w:t>
      </w:r>
      <w:r w:rsidRPr="00F67316">
        <w:rPr>
          <w:rFonts w:ascii="Times New Roman" w:hAnsi="Times New Roman"/>
          <w:i/>
          <w:color w:val="000000"/>
          <w:sz w:val="22"/>
          <w:szCs w:val="22"/>
        </w:rPr>
        <w:t>Glenn v Holder</w:t>
      </w:r>
      <w:r w:rsidRPr="00F67316">
        <w:rPr>
          <w:rFonts w:ascii="Times New Roman" w:hAnsi="Times New Roman"/>
          <w:color w:val="000000"/>
          <w:sz w:val="22"/>
          <w:szCs w:val="22"/>
        </w:rPr>
        <w:t>,</w:t>
      </w:r>
      <w:r w:rsidRPr="00F67316">
        <w:rPr>
          <w:rFonts w:ascii="Times New Roman" w:hAnsi="Times New Roman"/>
          <w:i/>
          <w:color w:val="000000"/>
          <w:sz w:val="22"/>
          <w:szCs w:val="22"/>
        </w:rPr>
        <w:t xml:space="preserve"> </w:t>
      </w:r>
      <w:r w:rsidRPr="00F67316">
        <w:rPr>
          <w:rFonts w:ascii="Times New Roman" w:hAnsi="Times New Roman"/>
          <w:color w:val="000000"/>
          <w:sz w:val="22"/>
          <w:szCs w:val="22"/>
        </w:rPr>
        <w:t xml:space="preserve">738 F Supp 2d 718 (2010), 21. </w:t>
      </w:r>
    </w:p>
  </w:endnote>
  <w:endnote w:id="51">
    <w:p w14:paraId="21805B85" w14:textId="722C29F2" w:rsidR="00A27435" w:rsidRPr="00F67316" w:rsidRDefault="00A27435" w:rsidP="00A55C80">
      <w:pPr>
        <w:jc w:val="both"/>
        <w:rPr>
          <w:color w:val="000000"/>
          <w:sz w:val="22"/>
          <w:szCs w:val="22"/>
        </w:rPr>
      </w:pPr>
      <w:r w:rsidRPr="00F67316">
        <w:rPr>
          <w:rStyle w:val="EndnoteReference"/>
          <w:sz w:val="22"/>
          <w:szCs w:val="22"/>
        </w:rPr>
        <w:endnoteRef/>
      </w:r>
      <w:r w:rsidRPr="00F67316">
        <w:rPr>
          <w:sz w:val="22"/>
          <w:szCs w:val="22"/>
        </w:rPr>
        <w:t xml:space="preserve"> </w:t>
      </w:r>
      <w:r w:rsidRPr="00F67316">
        <w:rPr>
          <w:i/>
          <w:color w:val="000000"/>
          <w:sz w:val="22"/>
          <w:szCs w:val="22"/>
        </w:rPr>
        <w:t>Glenn v Holder</w:t>
      </w:r>
      <w:r w:rsidRPr="00F67316">
        <w:rPr>
          <w:color w:val="000000"/>
          <w:sz w:val="22"/>
          <w:szCs w:val="22"/>
        </w:rPr>
        <w:t>,</w:t>
      </w:r>
      <w:r w:rsidRPr="00F67316">
        <w:rPr>
          <w:i/>
          <w:color w:val="000000"/>
          <w:sz w:val="22"/>
          <w:szCs w:val="22"/>
        </w:rPr>
        <w:t xml:space="preserve"> </w:t>
      </w:r>
      <w:r w:rsidRPr="00F67316">
        <w:rPr>
          <w:color w:val="000000"/>
          <w:sz w:val="22"/>
          <w:szCs w:val="22"/>
        </w:rPr>
        <w:t>690 F 3d 417 (2012), 425.</w:t>
      </w:r>
    </w:p>
  </w:endnote>
  <w:endnote w:id="52">
    <w:p w14:paraId="3D251768" w14:textId="6C3A3693" w:rsidR="00A27435" w:rsidRPr="00F67316" w:rsidRDefault="00A27435" w:rsidP="00A55C80">
      <w:pPr>
        <w:jc w:val="both"/>
        <w:rPr>
          <w:color w:val="000000"/>
          <w:sz w:val="22"/>
          <w:szCs w:val="22"/>
        </w:rPr>
      </w:pPr>
      <w:r w:rsidRPr="00F67316">
        <w:rPr>
          <w:rStyle w:val="EndnoteReference"/>
          <w:sz w:val="22"/>
          <w:szCs w:val="22"/>
        </w:rPr>
        <w:endnoteRef/>
      </w:r>
      <w:r w:rsidRPr="00F67316">
        <w:rPr>
          <w:sz w:val="22"/>
          <w:szCs w:val="22"/>
        </w:rPr>
        <w:t xml:space="preserve"> </w:t>
      </w:r>
      <w:r w:rsidRPr="00F67316">
        <w:rPr>
          <w:color w:val="000000"/>
          <w:sz w:val="22"/>
          <w:szCs w:val="22"/>
        </w:rPr>
        <w:t xml:space="preserve">Ibid., 427. </w:t>
      </w:r>
    </w:p>
  </w:endnote>
  <w:endnote w:id="53">
    <w:p w14:paraId="7F27FC5B" w14:textId="1025A9E4" w:rsidR="00A27435" w:rsidRPr="00F67316" w:rsidRDefault="00A27435" w:rsidP="001A0F50">
      <w:pPr>
        <w:pStyle w:val="FootnoteText"/>
        <w:rPr>
          <w:rFonts w:ascii="Times New Roman" w:hAnsi="Times New Roman"/>
          <w:color w:val="000000"/>
          <w:sz w:val="22"/>
          <w:szCs w:val="22"/>
        </w:rPr>
      </w:pPr>
      <w:r w:rsidRPr="00F67316">
        <w:rPr>
          <w:rStyle w:val="EndnoteReference"/>
          <w:rFonts w:ascii="Times New Roman" w:hAnsi="Times New Roman"/>
          <w:sz w:val="22"/>
          <w:szCs w:val="22"/>
        </w:rPr>
        <w:endnoteRef/>
      </w:r>
      <w:r w:rsidRPr="00F67316">
        <w:rPr>
          <w:rFonts w:ascii="Times New Roman" w:hAnsi="Times New Roman"/>
          <w:sz w:val="22"/>
          <w:szCs w:val="22"/>
        </w:rPr>
        <w:t xml:space="preserve"> </w:t>
      </w:r>
      <w:r w:rsidRPr="00F67316">
        <w:rPr>
          <w:rFonts w:ascii="Times New Roman" w:hAnsi="Times New Roman"/>
          <w:i/>
          <w:color w:val="000000"/>
          <w:sz w:val="22"/>
          <w:szCs w:val="22"/>
        </w:rPr>
        <w:t xml:space="preserve">Glenn </w:t>
      </w:r>
      <w:r w:rsidRPr="00F67316">
        <w:rPr>
          <w:rFonts w:ascii="Times New Roman" w:hAnsi="Times New Roman"/>
          <w:color w:val="000000"/>
          <w:sz w:val="22"/>
          <w:szCs w:val="22"/>
        </w:rPr>
        <w:t xml:space="preserve">(2010), 24. </w:t>
      </w:r>
    </w:p>
  </w:endnote>
  <w:endnote w:id="54">
    <w:p w14:paraId="7119D3A7" w14:textId="66AB065D" w:rsidR="00A27435" w:rsidRPr="00A55C80" w:rsidRDefault="00A27435" w:rsidP="001A0F50">
      <w:pPr>
        <w:jc w:val="both"/>
        <w:rPr>
          <w:color w:val="000000"/>
          <w:sz w:val="22"/>
          <w:szCs w:val="22"/>
        </w:rPr>
      </w:pPr>
      <w:r w:rsidRPr="00F67316">
        <w:rPr>
          <w:rStyle w:val="EndnoteReference"/>
          <w:sz w:val="22"/>
          <w:szCs w:val="22"/>
        </w:rPr>
        <w:endnoteRef/>
      </w:r>
      <w:r w:rsidRPr="00F67316">
        <w:rPr>
          <w:sz w:val="22"/>
          <w:szCs w:val="22"/>
        </w:rPr>
        <w:t xml:space="preserve"> </w:t>
      </w:r>
      <w:r w:rsidRPr="00F67316">
        <w:rPr>
          <w:color w:val="000000"/>
          <w:sz w:val="22"/>
          <w:szCs w:val="22"/>
        </w:rPr>
        <w:t xml:space="preserve">James Jacobs and Kimberley Potter, ‘Hate Crimes: A Critical Perspective’, </w:t>
      </w:r>
      <w:r w:rsidRPr="00F67316">
        <w:rPr>
          <w:i/>
          <w:color w:val="000000"/>
          <w:sz w:val="22"/>
          <w:szCs w:val="22"/>
        </w:rPr>
        <w:t xml:space="preserve">Crime &amp; Justice </w:t>
      </w:r>
      <w:r w:rsidRPr="00A55C80">
        <w:rPr>
          <w:color w:val="000000"/>
          <w:sz w:val="22"/>
          <w:szCs w:val="22"/>
        </w:rPr>
        <w:t>22 (1997): 2.</w:t>
      </w:r>
    </w:p>
  </w:endnote>
  <w:endnote w:id="55">
    <w:p w14:paraId="70C45C39" w14:textId="7A7BE368" w:rsidR="00A27435" w:rsidRPr="00F67316" w:rsidRDefault="00A27435" w:rsidP="005B6402">
      <w:pPr>
        <w:jc w:val="both"/>
        <w:rPr>
          <w:color w:val="000000"/>
          <w:sz w:val="22"/>
          <w:szCs w:val="22"/>
          <w:lang w:bidi="en-US"/>
        </w:rPr>
      </w:pPr>
      <w:r w:rsidRPr="00F67316">
        <w:rPr>
          <w:rStyle w:val="EndnoteReference"/>
          <w:sz w:val="22"/>
          <w:szCs w:val="22"/>
        </w:rPr>
        <w:endnoteRef/>
      </w:r>
      <w:r w:rsidRPr="00F67316">
        <w:rPr>
          <w:sz w:val="22"/>
          <w:szCs w:val="22"/>
        </w:rPr>
        <w:t xml:space="preserve"> </w:t>
      </w:r>
      <w:r w:rsidRPr="00F67316">
        <w:rPr>
          <w:i/>
          <w:color w:val="000000"/>
          <w:sz w:val="22"/>
          <w:szCs w:val="22"/>
          <w:lang w:bidi="en-US"/>
        </w:rPr>
        <w:t>United States v Jenkins</w:t>
      </w:r>
      <w:r w:rsidRPr="00F67316">
        <w:rPr>
          <w:color w:val="000000"/>
          <w:sz w:val="22"/>
          <w:szCs w:val="22"/>
          <w:lang w:bidi="en-US"/>
        </w:rPr>
        <w:t>, 909 F Supp 2d 758 (2012), 773.</w:t>
      </w:r>
    </w:p>
  </w:endnote>
  <w:endnote w:id="56">
    <w:p w14:paraId="562658A2" w14:textId="7DCFF36E" w:rsidR="00A27435" w:rsidRPr="00F67316" w:rsidRDefault="00A27435" w:rsidP="00C02DE0">
      <w:pPr>
        <w:jc w:val="both"/>
        <w:rPr>
          <w:color w:val="000000"/>
          <w:sz w:val="22"/>
          <w:szCs w:val="22"/>
          <w:lang w:bidi="en-US"/>
        </w:rPr>
      </w:pPr>
      <w:r w:rsidRPr="00F67316">
        <w:rPr>
          <w:rStyle w:val="EndnoteReference"/>
          <w:sz w:val="22"/>
          <w:szCs w:val="22"/>
        </w:rPr>
        <w:endnoteRef/>
      </w:r>
      <w:r w:rsidRPr="00F67316">
        <w:rPr>
          <w:sz w:val="22"/>
          <w:szCs w:val="22"/>
        </w:rPr>
        <w:t xml:space="preserve"> </w:t>
      </w:r>
      <w:r w:rsidRPr="00F67316">
        <w:rPr>
          <w:color w:val="000000"/>
          <w:sz w:val="22"/>
          <w:szCs w:val="22"/>
          <w:lang w:bidi="en-US"/>
        </w:rPr>
        <w:t>Ibid.</w:t>
      </w:r>
      <w:r w:rsidRPr="00F67316">
        <w:rPr>
          <w:i/>
          <w:color w:val="000000"/>
          <w:sz w:val="22"/>
          <w:szCs w:val="22"/>
          <w:lang w:bidi="en-US"/>
        </w:rPr>
        <w:t xml:space="preserve"> </w:t>
      </w:r>
    </w:p>
  </w:endnote>
  <w:endnote w:id="57">
    <w:p w14:paraId="560024B2" w14:textId="74789CDF" w:rsidR="00A27435" w:rsidRPr="00A55C80" w:rsidRDefault="00A27435" w:rsidP="00465BF4">
      <w:pPr>
        <w:pStyle w:val="FootnoteText"/>
        <w:rPr>
          <w:rFonts w:ascii="Times New Roman" w:hAnsi="Times New Roman"/>
          <w:color w:val="000000"/>
          <w:sz w:val="22"/>
          <w:szCs w:val="22"/>
        </w:rPr>
      </w:pPr>
      <w:r w:rsidRPr="00F67316">
        <w:rPr>
          <w:rStyle w:val="EndnoteReference"/>
          <w:rFonts w:ascii="Times New Roman" w:hAnsi="Times New Roman"/>
          <w:sz w:val="22"/>
          <w:szCs w:val="22"/>
        </w:rPr>
        <w:endnoteRef/>
      </w:r>
      <w:r w:rsidRPr="00F67316">
        <w:rPr>
          <w:rFonts w:ascii="Times New Roman" w:hAnsi="Times New Roman"/>
          <w:sz w:val="22"/>
          <w:szCs w:val="22"/>
        </w:rPr>
        <w:t xml:space="preserve"> </w:t>
      </w:r>
      <w:r w:rsidRPr="00F67316">
        <w:rPr>
          <w:rFonts w:ascii="Times New Roman" w:hAnsi="Times New Roman"/>
          <w:color w:val="000000"/>
          <w:sz w:val="22"/>
          <w:szCs w:val="22"/>
        </w:rPr>
        <w:t xml:space="preserve">Gail Mason, ‘The Symbolic Purpose of Hate Crime Law: Ideal Victims and Emotion’, </w:t>
      </w:r>
      <w:r w:rsidRPr="00A55C80">
        <w:rPr>
          <w:rFonts w:ascii="Times New Roman" w:hAnsi="Times New Roman"/>
          <w:i/>
          <w:color w:val="000000"/>
          <w:sz w:val="22"/>
          <w:szCs w:val="22"/>
        </w:rPr>
        <w:t xml:space="preserve">Theoretical Criminology </w:t>
      </w:r>
      <w:r w:rsidRPr="00A55C80">
        <w:rPr>
          <w:rFonts w:ascii="Times New Roman" w:hAnsi="Times New Roman"/>
          <w:color w:val="000000"/>
          <w:sz w:val="22"/>
          <w:szCs w:val="22"/>
        </w:rPr>
        <w:t xml:space="preserve">18, no. 1 (2014): 76. </w:t>
      </w:r>
    </w:p>
  </w:endnote>
  <w:endnote w:id="58">
    <w:p w14:paraId="06B4399E" w14:textId="431DCC10" w:rsidR="00A27435" w:rsidRPr="00A55C80" w:rsidRDefault="00A27435" w:rsidP="001C372B">
      <w:pPr>
        <w:pStyle w:val="FootnoteText"/>
        <w:rPr>
          <w:rFonts w:ascii="Times New Roman" w:hAnsi="Times New Roman"/>
          <w:sz w:val="22"/>
          <w:szCs w:val="22"/>
          <w:lang w:val="en-US"/>
        </w:rPr>
      </w:pPr>
      <w:r w:rsidRPr="00F67316">
        <w:rPr>
          <w:rStyle w:val="EndnoteReference"/>
          <w:rFonts w:ascii="Times New Roman" w:hAnsi="Times New Roman"/>
          <w:sz w:val="22"/>
          <w:szCs w:val="22"/>
        </w:rPr>
        <w:endnoteRef/>
      </w:r>
      <w:r w:rsidRPr="00F67316">
        <w:rPr>
          <w:rFonts w:ascii="Times New Roman" w:hAnsi="Times New Roman"/>
          <w:sz w:val="22"/>
          <w:szCs w:val="22"/>
        </w:rPr>
        <w:t xml:space="preserve"> </w:t>
      </w:r>
      <w:r w:rsidRPr="00F67316">
        <w:rPr>
          <w:rFonts w:ascii="Times New Roman" w:hAnsi="Times New Roman"/>
          <w:color w:val="000000"/>
          <w:sz w:val="22"/>
          <w:szCs w:val="22"/>
        </w:rPr>
        <w:t xml:space="preserve">Gail Mason, ‘Not Our Kind of Hate Crime’, </w:t>
      </w:r>
      <w:r w:rsidRPr="00F67316">
        <w:rPr>
          <w:rFonts w:ascii="Times New Roman" w:hAnsi="Times New Roman"/>
          <w:i/>
          <w:color w:val="000000"/>
          <w:sz w:val="22"/>
          <w:szCs w:val="22"/>
        </w:rPr>
        <w:t xml:space="preserve">Law and Critique </w:t>
      </w:r>
      <w:r w:rsidRPr="00F67316">
        <w:rPr>
          <w:rFonts w:ascii="Times New Roman" w:hAnsi="Times New Roman"/>
          <w:color w:val="000000"/>
          <w:sz w:val="22"/>
          <w:szCs w:val="22"/>
        </w:rPr>
        <w:t>12 (2001):</w:t>
      </w:r>
      <w:r w:rsidRPr="00A55C80">
        <w:rPr>
          <w:rFonts w:ascii="Times New Roman" w:hAnsi="Times New Roman"/>
          <w:color w:val="000000"/>
          <w:sz w:val="22"/>
          <w:szCs w:val="22"/>
        </w:rPr>
        <w:t xml:space="preserve"> 255. </w:t>
      </w:r>
    </w:p>
  </w:endnote>
  <w:endnote w:id="59">
    <w:p w14:paraId="5DE180B6" w14:textId="4B2B3E96" w:rsidR="00A27435" w:rsidRPr="00F67316" w:rsidRDefault="00A27435" w:rsidP="0073437D">
      <w:pPr>
        <w:pStyle w:val="FootnoteText"/>
        <w:rPr>
          <w:rFonts w:ascii="Times New Roman" w:hAnsi="Times New Roman"/>
          <w:sz w:val="22"/>
          <w:szCs w:val="22"/>
          <w:lang w:val="en-US"/>
        </w:rPr>
      </w:pPr>
      <w:r w:rsidRPr="00F67316">
        <w:rPr>
          <w:rStyle w:val="EndnoteReference"/>
          <w:rFonts w:ascii="Times New Roman" w:hAnsi="Times New Roman"/>
          <w:sz w:val="22"/>
          <w:szCs w:val="22"/>
        </w:rPr>
        <w:endnoteRef/>
      </w:r>
      <w:r w:rsidRPr="00F67316">
        <w:rPr>
          <w:rFonts w:ascii="Times New Roman" w:hAnsi="Times New Roman"/>
          <w:sz w:val="22"/>
          <w:szCs w:val="22"/>
        </w:rPr>
        <w:t xml:space="preserve"> </w:t>
      </w:r>
      <w:r w:rsidRPr="00F67316">
        <w:rPr>
          <w:rFonts w:ascii="Times New Roman" w:hAnsi="Times New Roman"/>
          <w:color w:val="000000"/>
          <w:sz w:val="22"/>
          <w:szCs w:val="22"/>
        </w:rPr>
        <w:t xml:space="preserve">Ibid. </w:t>
      </w:r>
    </w:p>
  </w:endnote>
  <w:endnote w:id="60">
    <w:p w14:paraId="62E952E4" w14:textId="52271F9B" w:rsidR="00A27435" w:rsidRPr="00F67316" w:rsidRDefault="00A27435" w:rsidP="00111FB7">
      <w:pPr>
        <w:pStyle w:val="EndnoteText"/>
        <w:jc w:val="both"/>
        <w:rPr>
          <w:sz w:val="22"/>
          <w:szCs w:val="22"/>
          <w:lang w:val="en-US"/>
        </w:rPr>
      </w:pPr>
      <w:r w:rsidRPr="00F67316">
        <w:rPr>
          <w:rStyle w:val="EndnoteReference"/>
          <w:sz w:val="22"/>
          <w:szCs w:val="22"/>
        </w:rPr>
        <w:endnoteRef/>
      </w:r>
      <w:r w:rsidRPr="00F67316">
        <w:rPr>
          <w:sz w:val="22"/>
          <w:szCs w:val="22"/>
        </w:rPr>
        <w:t xml:space="preserve"> </w:t>
      </w:r>
      <w:r w:rsidRPr="00F67316">
        <w:rPr>
          <w:color w:val="000000"/>
          <w:sz w:val="22"/>
          <w:szCs w:val="22"/>
        </w:rPr>
        <w:t>White House Press Release, ‘Remarks by the President’.</w:t>
      </w:r>
    </w:p>
  </w:endnote>
  <w:endnote w:id="61">
    <w:p w14:paraId="2AEA8A69" w14:textId="3A44A677" w:rsidR="00A27435" w:rsidRPr="00F67316" w:rsidRDefault="00A27435" w:rsidP="005F313F">
      <w:pPr>
        <w:pStyle w:val="EndnoteText"/>
        <w:jc w:val="both"/>
        <w:rPr>
          <w:sz w:val="22"/>
          <w:szCs w:val="22"/>
          <w:lang w:val="en-US"/>
        </w:rPr>
      </w:pPr>
      <w:r w:rsidRPr="00F67316">
        <w:rPr>
          <w:rStyle w:val="EndnoteReference"/>
          <w:sz w:val="22"/>
          <w:szCs w:val="22"/>
        </w:rPr>
        <w:endnoteRef/>
      </w:r>
      <w:r w:rsidRPr="00F67316">
        <w:rPr>
          <w:sz w:val="22"/>
          <w:szCs w:val="22"/>
        </w:rPr>
        <w:t xml:space="preserve"> </w:t>
      </w:r>
      <w:r w:rsidRPr="00F67316">
        <w:rPr>
          <w:color w:val="000000"/>
          <w:sz w:val="22"/>
          <w:szCs w:val="22"/>
        </w:rPr>
        <w:t xml:space="preserve">Mason, ‘The Symbolic Purpose of Hate Crime Law: Ideal Victims and Emotion’, 80-2. </w:t>
      </w:r>
    </w:p>
  </w:endnote>
  <w:endnote w:id="62">
    <w:p w14:paraId="31BF68FE" w14:textId="0CC41983" w:rsidR="00A27435" w:rsidRPr="00A55C80" w:rsidRDefault="00A27435">
      <w:pPr>
        <w:jc w:val="both"/>
        <w:rPr>
          <w:color w:val="000000"/>
          <w:sz w:val="22"/>
          <w:szCs w:val="22"/>
        </w:rPr>
      </w:pPr>
      <w:r w:rsidRPr="00F67316">
        <w:rPr>
          <w:rStyle w:val="EndnoteReference"/>
          <w:sz w:val="22"/>
          <w:szCs w:val="22"/>
        </w:rPr>
        <w:endnoteRef/>
      </w:r>
      <w:r w:rsidRPr="00F67316">
        <w:rPr>
          <w:sz w:val="22"/>
          <w:szCs w:val="22"/>
        </w:rPr>
        <w:t xml:space="preserve"> </w:t>
      </w:r>
      <w:r w:rsidRPr="00F67316">
        <w:rPr>
          <w:rStyle w:val="st"/>
          <w:color w:val="000000"/>
          <w:sz w:val="22"/>
          <w:szCs w:val="22"/>
        </w:rPr>
        <w:t xml:space="preserve">Stephen Tomsen, </w:t>
      </w:r>
      <w:r w:rsidRPr="00F67316">
        <w:rPr>
          <w:rStyle w:val="st"/>
          <w:i/>
          <w:color w:val="000000"/>
          <w:sz w:val="22"/>
          <w:szCs w:val="22"/>
        </w:rPr>
        <w:t>Violence, Prejudice &amp; Sexuality</w:t>
      </w:r>
      <w:r w:rsidRPr="00A55C80">
        <w:rPr>
          <w:rStyle w:val="st"/>
          <w:color w:val="000000"/>
          <w:sz w:val="22"/>
          <w:szCs w:val="22"/>
        </w:rPr>
        <w:t xml:space="preserve"> (New York: Routledge, 2009), 46. </w:t>
      </w:r>
    </w:p>
  </w:endnote>
  <w:endnote w:id="63">
    <w:p w14:paraId="0A751DEE" w14:textId="1CD07677" w:rsidR="00A27435" w:rsidRPr="001A0F50" w:rsidRDefault="00A27435">
      <w:pPr>
        <w:jc w:val="both"/>
        <w:rPr>
          <w:sz w:val="22"/>
          <w:szCs w:val="22"/>
        </w:rPr>
      </w:pPr>
      <w:r w:rsidRPr="00F67316">
        <w:rPr>
          <w:rStyle w:val="EndnoteReference"/>
          <w:sz w:val="22"/>
          <w:szCs w:val="22"/>
        </w:rPr>
        <w:endnoteRef/>
      </w:r>
      <w:r w:rsidRPr="00F67316">
        <w:rPr>
          <w:sz w:val="22"/>
          <w:szCs w:val="22"/>
        </w:rPr>
        <w:t xml:space="preserve"> See for example Nancy D.</w:t>
      </w:r>
      <w:r w:rsidRPr="00A55C80">
        <w:rPr>
          <w:sz w:val="22"/>
          <w:szCs w:val="22"/>
        </w:rPr>
        <w:t xml:space="preserve"> Polikoff, </w:t>
      </w:r>
      <w:r w:rsidRPr="00A55C80">
        <w:rPr>
          <w:i/>
          <w:sz w:val="22"/>
          <w:szCs w:val="22"/>
        </w:rPr>
        <w:t>Beyond (Straight and Gay) Marriage: Valuing All Families under the Law</w:t>
      </w:r>
      <w:r w:rsidRPr="001A0F50">
        <w:rPr>
          <w:sz w:val="22"/>
          <w:szCs w:val="22"/>
        </w:rPr>
        <w:t xml:space="preserve"> (Boston: Beacon Press, 2008). </w:t>
      </w:r>
    </w:p>
  </w:endnote>
  <w:endnote w:id="64">
    <w:p w14:paraId="5829561E" w14:textId="47EED7E3" w:rsidR="00A27435" w:rsidRPr="00F67316" w:rsidRDefault="00A27435">
      <w:pPr>
        <w:jc w:val="both"/>
        <w:rPr>
          <w:sz w:val="22"/>
          <w:szCs w:val="22"/>
          <w:lang w:bidi="en-US"/>
        </w:rPr>
      </w:pPr>
      <w:r w:rsidRPr="00F67316">
        <w:rPr>
          <w:rStyle w:val="EndnoteReference"/>
          <w:sz w:val="22"/>
          <w:szCs w:val="22"/>
        </w:rPr>
        <w:endnoteRef/>
      </w:r>
      <w:r w:rsidRPr="00F67316">
        <w:rPr>
          <w:sz w:val="22"/>
          <w:szCs w:val="22"/>
        </w:rPr>
        <w:t xml:space="preserve"> </w:t>
      </w:r>
      <w:r w:rsidRPr="00F67316">
        <w:rPr>
          <w:i/>
          <w:sz w:val="22"/>
          <w:szCs w:val="22"/>
        </w:rPr>
        <w:t xml:space="preserve">In Re Marriage Cases </w:t>
      </w:r>
      <w:r w:rsidRPr="00F67316">
        <w:rPr>
          <w:sz w:val="22"/>
          <w:szCs w:val="22"/>
          <w:lang w:bidi="en-US"/>
        </w:rPr>
        <w:t>49 Cal.Rptr.3d 675 (2006), 685.</w:t>
      </w:r>
    </w:p>
  </w:endnote>
  <w:endnote w:id="65">
    <w:p w14:paraId="5C2038CE" w14:textId="30DD0A17" w:rsidR="00A27435" w:rsidRPr="00A55C80" w:rsidRDefault="00A27435">
      <w:pPr>
        <w:jc w:val="both"/>
        <w:rPr>
          <w:sz w:val="22"/>
          <w:szCs w:val="22"/>
        </w:rPr>
      </w:pPr>
      <w:r w:rsidRPr="00F67316">
        <w:rPr>
          <w:rStyle w:val="EndnoteReference"/>
          <w:sz w:val="22"/>
          <w:szCs w:val="22"/>
        </w:rPr>
        <w:endnoteRef/>
      </w:r>
      <w:r w:rsidRPr="00F67316">
        <w:rPr>
          <w:sz w:val="22"/>
          <w:szCs w:val="22"/>
        </w:rPr>
        <w:t xml:space="preserve"> </w:t>
      </w:r>
      <w:r w:rsidRPr="00F67316">
        <w:rPr>
          <w:i/>
          <w:sz w:val="22"/>
          <w:szCs w:val="22"/>
        </w:rPr>
        <w:t>Lockyer v City and County of San Francisco</w:t>
      </w:r>
      <w:r w:rsidRPr="00F67316">
        <w:rPr>
          <w:sz w:val="22"/>
          <w:szCs w:val="22"/>
        </w:rPr>
        <w:t xml:space="preserve"> 33 Cal.4</w:t>
      </w:r>
      <w:r w:rsidRPr="00F67316">
        <w:rPr>
          <w:sz w:val="22"/>
          <w:szCs w:val="22"/>
          <w:vertAlign w:val="superscript"/>
        </w:rPr>
        <w:t>th</w:t>
      </w:r>
      <w:r w:rsidRPr="00A55C80">
        <w:rPr>
          <w:sz w:val="22"/>
          <w:szCs w:val="22"/>
        </w:rPr>
        <w:t xml:space="preserve"> 1055 (2004). </w:t>
      </w:r>
    </w:p>
  </w:endnote>
  <w:endnote w:id="66">
    <w:p w14:paraId="338B01E8" w14:textId="5C3188A0" w:rsidR="00A27435" w:rsidRPr="00F67316" w:rsidRDefault="00A27435">
      <w:pPr>
        <w:pStyle w:val="EndnoteText"/>
        <w:jc w:val="both"/>
        <w:rPr>
          <w:sz w:val="22"/>
          <w:szCs w:val="22"/>
          <w:lang w:val="en-US"/>
        </w:rPr>
      </w:pPr>
      <w:r w:rsidRPr="00F67316">
        <w:rPr>
          <w:rStyle w:val="EndnoteReference"/>
          <w:sz w:val="22"/>
          <w:szCs w:val="22"/>
        </w:rPr>
        <w:endnoteRef/>
      </w:r>
      <w:r w:rsidRPr="00F67316">
        <w:rPr>
          <w:sz w:val="22"/>
          <w:szCs w:val="22"/>
        </w:rPr>
        <w:t xml:space="preserve"> </w:t>
      </w:r>
      <w:r w:rsidRPr="00F67316">
        <w:rPr>
          <w:i/>
          <w:sz w:val="22"/>
          <w:szCs w:val="22"/>
        </w:rPr>
        <w:t xml:space="preserve">In Re Marriage Cases </w:t>
      </w:r>
      <w:r w:rsidRPr="00F67316">
        <w:rPr>
          <w:sz w:val="22"/>
          <w:szCs w:val="22"/>
          <w:lang w:bidi="en-US"/>
        </w:rPr>
        <w:t>(2006), 687.</w:t>
      </w:r>
    </w:p>
  </w:endnote>
  <w:endnote w:id="67">
    <w:p w14:paraId="7F047FEA" w14:textId="045D85B1" w:rsidR="00A27435" w:rsidRPr="00F67316" w:rsidRDefault="00A27435">
      <w:pPr>
        <w:pStyle w:val="EndnoteText"/>
        <w:jc w:val="both"/>
        <w:rPr>
          <w:sz w:val="22"/>
          <w:szCs w:val="22"/>
          <w:lang w:val="en-US"/>
        </w:rPr>
      </w:pPr>
      <w:r w:rsidRPr="00F67316">
        <w:rPr>
          <w:rStyle w:val="EndnoteReference"/>
          <w:sz w:val="22"/>
          <w:szCs w:val="22"/>
        </w:rPr>
        <w:endnoteRef/>
      </w:r>
      <w:r w:rsidRPr="00F67316">
        <w:rPr>
          <w:sz w:val="22"/>
          <w:szCs w:val="22"/>
        </w:rPr>
        <w:t xml:space="preserve"> Ibid.</w:t>
      </w:r>
      <w:r w:rsidRPr="00F67316">
        <w:rPr>
          <w:sz w:val="22"/>
          <w:szCs w:val="22"/>
          <w:lang w:bidi="en-US"/>
        </w:rPr>
        <w:t>, 715.</w:t>
      </w:r>
    </w:p>
  </w:endnote>
  <w:endnote w:id="68">
    <w:p w14:paraId="443BB0DE" w14:textId="12DE99F4" w:rsidR="00A27435" w:rsidRPr="00F67316" w:rsidRDefault="00A27435">
      <w:pPr>
        <w:pStyle w:val="EndnoteText"/>
        <w:jc w:val="both"/>
        <w:rPr>
          <w:sz w:val="22"/>
          <w:szCs w:val="22"/>
          <w:lang w:val="en-US"/>
        </w:rPr>
      </w:pPr>
      <w:r w:rsidRPr="00F67316">
        <w:rPr>
          <w:rStyle w:val="EndnoteReference"/>
          <w:sz w:val="22"/>
          <w:szCs w:val="22"/>
        </w:rPr>
        <w:endnoteRef/>
      </w:r>
      <w:r w:rsidRPr="00F67316">
        <w:rPr>
          <w:sz w:val="22"/>
          <w:szCs w:val="22"/>
        </w:rPr>
        <w:t xml:space="preserve"> Ibid.</w:t>
      </w:r>
      <w:r w:rsidRPr="00F67316">
        <w:rPr>
          <w:sz w:val="22"/>
          <w:szCs w:val="22"/>
          <w:lang w:bidi="en-US"/>
        </w:rPr>
        <w:t>, 719.</w:t>
      </w:r>
    </w:p>
  </w:endnote>
  <w:endnote w:id="69">
    <w:p w14:paraId="04977027" w14:textId="00C4DBC8" w:rsidR="00A27435" w:rsidRPr="00F67316" w:rsidRDefault="00A27435">
      <w:pPr>
        <w:pStyle w:val="EndnoteText"/>
        <w:jc w:val="both"/>
        <w:rPr>
          <w:sz w:val="22"/>
          <w:szCs w:val="22"/>
          <w:lang w:val="en-US"/>
        </w:rPr>
      </w:pPr>
      <w:r w:rsidRPr="00F67316">
        <w:rPr>
          <w:rStyle w:val="EndnoteReference"/>
          <w:sz w:val="22"/>
          <w:szCs w:val="22"/>
        </w:rPr>
        <w:endnoteRef/>
      </w:r>
      <w:r w:rsidRPr="00F67316">
        <w:rPr>
          <w:sz w:val="22"/>
          <w:szCs w:val="22"/>
        </w:rPr>
        <w:t xml:space="preserve"> Ibid.</w:t>
      </w:r>
      <w:r w:rsidRPr="00F67316">
        <w:rPr>
          <w:sz w:val="22"/>
          <w:szCs w:val="22"/>
          <w:lang w:bidi="en-US"/>
        </w:rPr>
        <w:t>, 723.</w:t>
      </w:r>
    </w:p>
  </w:endnote>
  <w:endnote w:id="70">
    <w:p w14:paraId="2A9D6463" w14:textId="1B3030FB" w:rsidR="00A27435" w:rsidRPr="00F67316" w:rsidRDefault="00A27435">
      <w:pPr>
        <w:pStyle w:val="EndnoteText"/>
        <w:jc w:val="both"/>
        <w:rPr>
          <w:sz w:val="22"/>
          <w:szCs w:val="22"/>
          <w:lang w:val="en-US"/>
        </w:rPr>
      </w:pPr>
      <w:r w:rsidRPr="00F67316">
        <w:rPr>
          <w:rStyle w:val="EndnoteReference"/>
          <w:sz w:val="22"/>
          <w:szCs w:val="22"/>
        </w:rPr>
        <w:endnoteRef/>
      </w:r>
      <w:r w:rsidRPr="00F67316">
        <w:rPr>
          <w:sz w:val="22"/>
          <w:szCs w:val="22"/>
        </w:rPr>
        <w:t xml:space="preserve"> Ibid.</w:t>
      </w:r>
      <w:r w:rsidRPr="00F67316">
        <w:rPr>
          <w:sz w:val="22"/>
          <w:szCs w:val="22"/>
          <w:lang w:bidi="en-US"/>
        </w:rPr>
        <w:t>, 730.</w:t>
      </w:r>
    </w:p>
  </w:endnote>
  <w:endnote w:id="71">
    <w:p w14:paraId="29F1E22A" w14:textId="22D3DA8D" w:rsidR="00A27435" w:rsidRPr="00F67316" w:rsidRDefault="00A27435">
      <w:pPr>
        <w:pStyle w:val="EndnoteText"/>
        <w:jc w:val="both"/>
        <w:rPr>
          <w:sz w:val="22"/>
          <w:szCs w:val="22"/>
          <w:lang w:val="en-US"/>
        </w:rPr>
      </w:pPr>
      <w:r w:rsidRPr="00F67316">
        <w:rPr>
          <w:rStyle w:val="EndnoteReference"/>
          <w:sz w:val="22"/>
          <w:szCs w:val="22"/>
        </w:rPr>
        <w:endnoteRef/>
      </w:r>
      <w:r w:rsidRPr="00F67316">
        <w:rPr>
          <w:sz w:val="22"/>
          <w:szCs w:val="22"/>
        </w:rPr>
        <w:t xml:space="preserve"> Ibid.</w:t>
      </w:r>
      <w:r w:rsidRPr="00F67316">
        <w:rPr>
          <w:sz w:val="22"/>
          <w:szCs w:val="22"/>
          <w:lang w:bidi="en-US"/>
        </w:rPr>
        <w:t>, 736.</w:t>
      </w:r>
    </w:p>
  </w:endnote>
  <w:endnote w:id="72">
    <w:p w14:paraId="3C720D12" w14:textId="347413E3" w:rsidR="00A27435" w:rsidRPr="00F67316" w:rsidRDefault="00A27435">
      <w:pPr>
        <w:pStyle w:val="EndnoteText"/>
        <w:jc w:val="both"/>
        <w:rPr>
          <w:sz w:val="22"/>
          <w:szCs w:val="22"/>
          <w:lang w:val="en-US"/>
        </w:rPr>
      </w:pPr>
      <w:r w:rsidRPr="00F67316">
        <w:rPr>
          <w:rStyle w:val="EndnoteReference"/>
          <w:sz w:val="22"/>
          <w:szCs w:val="22"/>
        </w:rPr>
        <w:endnoteRef/>
      </w:r>
      <w:r w:rsidRPr="00F67316">
        <w:rPr>
          <w:sz w:val="22"/>
          <w:szCs w:val="22"/>
        </w:rPr>
        <w:t xml:space="preserve"> Ibid.</w:t>
      </w:r>
      <w:r w:rsidRPr="00F67316">
        <w:rPr>
          <w:sz w:val="22"/>
          <w:szCs w:val="22"/>
          <w:lang w:bidi="en-US"/>
        </w:rPr>
        <w:t xml:space="preserve">, 744, 749. </w:t>
      </w:r>
    </w:p>
  </w:endnote>
  <w:endnote w:id="73">
    <w:p w14:paraId="4B224A5D" w14:textId="359253F9" w:rsidR="00A27435" w:rsidRPr="00A55C80" w:rsidRDefault="00A27435">
      <w:pPr>
        <w:jc w:val="both"/>
        <w:rPr>
          <w:sz w:val="22"/>
          <w:szCs w:val="22"/>
          <w:lang w:bidi="en-US"/>
        </w:rPr>
      </w:pPr>
      <w:r w:rsidRPr="00F67316">
        <w:rPr>
          <w:rStyle w:val="EndnoteReference"/>
          <w:sz w:val="22"/>
          <w:szCs w:val="22"/>
        </w:rPr>
        <w:endnoteRef/>
      </w:r>
      <w:r w:rsidRPr="00F67316">
        <w:rPr>
          <w:sz w:val="22"/>
          <w:szCs w:val="22"/>
        </w:rPr>
        <w:t xml:space="preserve"> </w:t>
      </w:r>
      <w:r w:rsidRPr="00F67316">
        <w:rPr>
          <w:i/>
          <w:sz w:val="22"/>
          <w:szCs w:val="22"/>
        </w:rPr>
        <w:t>In Re Marriage Cases</w:t>
      </w:r>
      <w:r w:rsidRPr="00F67316">
        <w:rPr>
          <w:sz w:val="22"/>
          <w:szCs w:val="22"/>
        </w:rPr>
        <w:t xml:space="preserve"> </w:t>
      </w:r>
      <w:r w:rsidRPr="00F67316">
        <w:rPr>
          <w:sz w:val="22"/>
          <w:szCs w:val="22"/>
          <w:lang w:bidi="en-US"/>
        </w:rPr>
        <w:t xml:space="preserve">43 Cal.4th 757 </w:t>
      </w:r>
      <w:r w:rsidRPr="00A55C80">
        <w:rPr>
          <w:sz w:val="22"/>
          <w:szCs w:val="22"/>
        </w:rPr>
        <w:t>(2008)</w:t>
      </w:r>
      <w:r w:rsidRPr="00A55C80">
        <w:rPr>
          <w:sz w:val="22"/>
          <w:szCs w:val="22"/>
          <w:lang w:bidi="en-US"/>
        </w:rPr>
        <w:t xml:space="preserve">, 782. </w:t>
      </w:r>
    </w:p>
  </w:endnote>
  <w:endnote w:id="74">
    <w:p w14:paraId="40F88143" w14:textId="642BBBF0" w:rsidR="00A27435" w:rsidRPr="00F67316" w:rsidRDefault="00A27435">
      <w:pPr>
        <w:pStyle w:val="EndnoteText"/>
        <w:jc w:val="both"/>
        <w:rPr>
          <w:sz w:val="22"/>
          <w:szCs w:val="22"/>
          <w:lang w:val="en-US"/>
        </w:rPr>
      </w:pPr>
      <w:r w:rsidRPr="00F67316">
        <w:rPr>
          <w:rStyle w:val="EndnoteReference"/>
          <w:sz w:val="22"/>
          <w:szCs w:val="22"/>
        </w:rPr>
        <w:endnoteRef/>
      </w:r>
      <w:r w:rsidRPr="00F67316">
        <w:rPr>
          <w:sz w:val="22"/>
          <w:szCs w:val="22"/>
        </w:rPr>
        <w:t xml:space="preserve"> Ibid.</w:t>
      </w:r>
      <w:r w:rsidRPr="00F67316">
        <w:rPr>
          <w:sz w:val="22"/>
          <w:szCs w:val="22"/>
          <w:lang w:bidi="en-US"/>
        </w:rPr>
        <w:t>, 814.</w:t>
      </w:r>
    </w:p>
  </w:endnote>
  <w:endnote w:id="75">
    <w:p w14:paraId="7D3902EA" w14:textId="7CD5C32C" w:rsidR="00A27435" w:rsidRPr="00F67316" w:rsidRDefault="00A27435">
      <w:pPr>
        <w:pStyle w:val="EndnoteText"/>
        <w:jc w:val="both"/>
        <w:rPr>
          <w:sz w:val="22"/>
          <w:szCs w:val="22"/>
          <w:lang w:val="en-US"/>
        </w:rPr>
      </w:pPr>
      <w:r w:rsidRPr="00F67316">
        <w:rPr>
          <w:rStyle w:val="EndnoteReference"/>
          <w:sz w:val="22"/>
          <w:szCs w:val="22"/>
        </w:rPr>
        <w:endnoteRef/>
      </w:r>
      <w:r w:rsidRPr="00F67316">
        <w:rPr>
          <w:sz w:val="22"/>
          <w:szCs w:val="22"/>
        </w:rPr>
        <w:t xml:space="preserve"> Ibid.</w:t>
      </w:r>
      <w:r w:rsidRPr="00F67316">
        <w:rPr>
          <w:sz w:val="22"/>
          <w:szCs w:val="22"/>
          <w:lang w:bidi="en-US"/>
        </w:rPr>
        <w:t>, 782.</w:t>
      </w:r>
    </w:p>
  </w:endnote>
  <w:endnote w:id="76">
    <w:p w14:paraId="015EAC63" w14:textId="2FAD58C9" w:rsidR="00A27435" w:rsidRPr="00F67316" w:rsidRDefault="00A27435">
      <w:pPr>
        <w:pStyle w:val="EndnoteText"/>
        <w:jc w:val="both"/>
        <w:rPr>
          <w:sz w:val="22"/>
          <w:szCs w:val="22"/>
          <w:lang w:val="en-US"/>
        </w:rPr>
      </w:pPr>
      <w:r w:rsidRPr="00F67316">
        <w:rPr>
          <w:rStyle w:val="EndnoteReference"/>
          <w:sz w:val="22"/>
          <w:szCs w:val="22"/>
        </w:rPr>
        <w:endnoteRef/>
      </w:r>
      <w:r w:rsidRPr="00F67316">
        <w:rPr>
          <w:sz w:val="22"/>
          <w:szCs w:val="22"/>
        </w:rPr>
        <w:t xml:space="preserve"> Ibid.</w:t>
      </w:r>
      <w:r w:rsidRPr="00F67316">
        <w:rPr>
          <w:sz w:val="22"/>
          <w:szCs w:val="22"/>
          <w:lang w:bidi="en-US"/>
        </w:rPr>
        <w:t>, 818.</w:t>
      </w:r>
    </w:p>
  </w:endnote>
  <w:endnote w:id="77">
    <w:p w14:paraId="14038DCD" w14:textId="2833DCC8" w:rsidR="00A27435" w:rsidRPr="00F67316" w:rsidRDefault="00A27435">
      <w:pPr>
        <w:pStyle w:val="EndnoteText"/>
        <w:jc w:val="both"/>
        <w:rPr>
          <w:sz w:val="22"/>
          <w:szCs w:val="22"/>
          <w:lang w:val="en-US"/>
        </w:rPr>
      </w:pPr>
      <w:r w:rsidRPr="00F67316">
        <w:rPr>
          <w:rStyle w:val="EndnoteReference"/>
          <w:sz w:val="22"/>
          <w:szCs w:val="22"/>
        </w:rPr>
        <w:endnoteRef/>
      </w:r>
      <w:r w:rsidRPr="00F67316">
        <w:rPr>
          <w:sz w:val="22"/>
          <w:szCs w:val="22"/>
        </w:rPr>
        <w:t xml:space="preserve"> Ibid.</w:t>
      </w:r>
      <w:r w:rsidRPr="00F67316">
        <w:rPr>
          <w:sz w:val="22"/>
          <w:szCs w:val="22"/>
          <w:lang w:bidi="en-US"/>
        </w:rPr>
        <w:t xml:space="preserve">, 820. </w:t>
      </w:r>
    </w:p>
  </w:endnote>
  <w:endnote w:id="78">
    <w:p w14:paraId="59A912E7" w14:textId="11CEE2CF" w:rsidR="00A27435" w:rsidRPr="00F67316" w:rsidRDefault="00A27435">
      <w:pPr>
        <w:jc w:val="both"/>
        <w:rPr>
          <w:sz w:val="22"/>
          <w:szCs w:val="22"/>
          <w:lang w:bidi="en-US"/>
        </w:rPr>
      </w:pPr>
      <w:r w:rsidRPr="00F67316">
        <w:rPr>
          <w:rStyle w:val="EndnoteReference"/>
          <w:sz w:val="22"/>
          <w:szCs w:val="22"/>
        </w:rPr>
        <w:endnoteRef/>
      </w:r>
      <w:r w:rsidRPr="00F67316">
        <w:rPr>
          <w:sz w:val="22"/>
          <w:szCs w:val="22"/>
        </w:rPr>
        <w:t xml:space="preserve"> </w:t>
      </w:r>
      <w:r w:rsidRPr="00F67316">
        <w:rPr>
          <w:i/>
          <w:sz w:val="22"/>
          <w:szCs w:val="22"/>
          <w:lang w:bidi="en-US"/>
        </w:rPr>
        <w:t>Perry v Schwarzenegger</w:t>
      </w:r>
      <w:r w:rsidRPr="00F67316">
        <w:rPr>
          <w:sz w:val="22"/>
          <w:szCs w:val="22"/>
          <w:lang w:bidi="en-US"/>
        </w:rPr>
        <w:t xml:space="preserve"> 704 F.Supp.2d 921 (2010), 928. </w:t>
      </w:r>
    </w:p>
  </w:endnote>
  <w:endnote w:id="79">
    <w:p w14:paraId="79029056" w14:textId="68A99C40" w:rsidR="00A27435" w:rsidRPr="00A55C80" w:rsidRDefault="00A27435">
      <w:pPr>
        <w:jc w:val="both"/>
        <w:rPr>
          <w:sz w:val="22"/>
          <w:szCs w:val="22"/>
          <w:lang w:bidi="en-US"/>
        </w:rPr>
      </w:pPr>
      <w:r w:rsidRPr="00F67316">
        <w:rPr>
          <w:rStyle w:val="EndnoteReference"/>
          <w:sz w:val="22"/>
          <w:szCs w:val="22"/>
        </w:rPr>
        <w:endnoteRef/>
      </w:r>
      <w:r w:rsidRPr="00F67316">
        <w:rPr>
          <w:sz w:val="22"/>
          <w:szCs w:val="22"/>
        </w:rPr>
        <w:t xml:space="preserve"> </w:t>
      </w:r>
      <w:r w:rsidRPr="00F67316">
        <w:rPr>
          <w:sz w:val="22"/>
          <w:szCs w:val="22"/>
          <w:lang w:bidi="en-US"/>
        </w:rPr>
        <w:t>Ibid.,</w:t>
      </w:r>
      <w:r w:rsidRPr="00A55C80">
        <w:rPr>
          <w:i/>
          <w:sz w:val="22"/>
          <w:szCs w:val="22"/>
          <w:lang w:bidi="en-US"/>
        </w:rPr>
        <w:t xml:space="preserve"> </w:t>
      </w:r>
      <w:r w:rsidRPr="00A55C80">
        <w:rPr>
          <w:sz w:val="22"/>
          <w:szCs w:val="22"/>
          <w:lang w:bidi="en-US"/>
        </w:rPr>
        <w:t xml:space="preserve">930. </w:t>
      </w:r>
    </w:p>
  </w:endnote>
  <w:endnote w:id="80">
    <w:p w14:paraId="52F0B2D9" w14:textId="5A86AC08" w:rsidR="00A27435" w:rsidRPr="00F67316" w:rsidRDefault="00A27435">
      <w:pPr>
        <w:jc w:val="both"/>
        <w:rPr>
          <w:color w:val="000000"/>
          <w:sz w:val="22"/>
          <w:szCs w:val="22"/>
          <w:lang w:bidi="en-US"/>
        </w:rPr>
      </w:pPr>
      <w:r w:rsidRPr="00F67316">
        <w:rPr>
          <w:rStyle w:val="EndnoteReference"/>
          <w:sz w:val="22"/>
          <w:szCs w:val="22"/>
        </w:rPr>
        <w:endnoteRef/>
      </w:r>
      <w:r w:rsidRPr="00F67316">
        <w:rPr>
          <w:sz w:val="22"/>
          <w:szCs w:val="22"/>
        </w:rPr>
        <w:t xml:space="preserve"> </w:t>
      </w:r>
      <w:r w:rsidRPr="00F67316">
        <w:rPr>
          <w:i/>
          <w:color w:val="000000"/>
          <w:sz w:val="22"/>
          <w:szCs w:val="22"/>
          <w:lang w:bidi="en-US"/>
        </w:rPr>
        <w:t>Strauss v Horton</w:t>
      </w:r>
      <w:r w:rsidRPr="00F67316">
        <w:rPr>
          <w:color w:val="000000"/>
          <w:sz w:val="22"/>
          <w:szCs w:val="22"/>
          <w:lang w:bidi="en-US"/>
        </w:rPr>
        <w:t>, 46 Cal 4th 364 (2009).</w:t>
      </w:r>
    </w:p>
  </w:endnote>
  <w:endnote w:id="81">
    <w:p w14:paraId="600AECC8" w14:textId="5BA7C355" w:rsidR="00A27435" w:rsidRPr="00F67316" w:rsidRDefault="00A27435">
      <w:pPr>
        <w:jc w:val="both"/>
        <w:rPr>
          <w:sz w:val="22"/>
          <w:szCs w:val="22"/>
          <w:lang w:bidi="en-US"/>
        </w:rPr>
      </w:pPr>
      <w:r w:rsidRPr="00F67316">
        <w:rPr>
          <w:rStyle w:val="EndnoteReference"/>
          <w:sz w:val="22"/>
          <w:szCs w:val="22"/>
        </w:rPr>
        <w:endnoteRef/>
      </w:r>
      <w:r w:rsidRPr="00F67316">
        <w:rPr>
          <w:sz w:val="22"/>
          <w:szCs w:val="22"/>
        </w:rPr>
        <w:t xml:space="preserve"> </w:t>
      </w:r>
      <w:r w:rsidRPr="00F67316">
        <w:rPr>
          <w:i/>
          <w:sz w:val="22"/>
          <w:szCs w:val="22"/>
          <w:lang w:bidi="en-US"/>
        </w:rPr>
        <w:t xml:space="preserve">Perry </w:t>
      </w:r>
      <w:r w:rsidRPr="00F67316">
        <w:rPr>
          <w:sz w:val="22"/>
          <w:szCs w:val="22"/>
          <w:lang w:bidi="en-US"/>
        </w:rPr>
        <w:t>(2010).</w:t>
      </w:r>
    </w:p>
  </w:endnote>
  <w:endnote w:id="82">
    <w:p w14:paraId="50C04754" w14:textId="4DDC3AE9" w:rsidR="00A27435" w:rsidRPr="00F67316" w:rsidRDefault="00A27435">
      <w:pPr>
        <w:jc w:val="both"/>
        <w:rPr>
          <w:sz w:val="22"/>
          <w:szCs w:val="22"/>
          <w:lang w:bidi="en-US"/>
        </w:rPr>
      </w:pPr>
      <w:r w:rsidRPr="00F67316">
        <w:rPr>
          <w:rStyle w:val="EndnoteReference"/>
          <w:sz w:val="22"/>
          <w:szCs w:val="22"/>
        </w:rPr>
        <w:endnoteRef/>
      </w:r>
      <w:r w:rsidRPr="00F67316">
        <w:rPr>
          <w:sz w:val="22"/>
          <w:szCs w:val="22"/>
        </w:rPr>
        <w:t xml:space="preserve"> </w:t>
      </w:r>
      <w:r w:rsidRPr="00F67316">
        <w:rPr>
          <w:sz w:val="22"/>
          <w:szCs w:val="22"/>
          <w:lang w:bidi="en-US"/>
        </w:rPr>
        <w:t xml:space="preserve">Ibid., 939. </w:t>
      </w:r>
    </w:p>
  </w:endnote>
  <w:endnote w:id="83">
    <w:p w14:paraId="7D73A5BC" w14:textId="14CCD98F" w:rsidR="00A27435" w:rsidRPr="00F67316" w:rsidRDefault="00A27435">
      <w:pPr>
        <w:jc w:val="both"/>
        <w:rPr>
          <w:sz w:val="22"/>
          <w:szCs w:val="22"/>
          <w:lang w:bidi="en-US"/>
        </w:rPr>
      </w:pPr>
      <w:r w:rsidRPr="00F67316">
        <w:rPr>
          <w:rStyle w:val="EndnoteReference"/>
          <w:sz w:val="22"/>
          <w:szCs w:val="22"/>
        </w:rPr>
        <w:endnoteRef/>
      </w:r>
      <w:r w:rsidRPr="00F67316">
        <w:rPr>
          <w:sz w:val="22"/>
          <w:szCs w:val="22"/>
        </w:rPr>
        <w:t xml:space="preserve"> </w:t>
      </w:r>
      <w:r w:rsidRPr="00F67316">
        <w:rPr>
          <w:sz w:val="22"/>
          <w:szCs w:val="22"/>
          <w:lang w:bidi="en-US"/>
        </w:rPr>
        <w:t>Ibid., 992.</w:t>
      </w:r>
    </w:p>
  </w:endnote>
  <w:endnote w:id="84">
    <w:p w14:paraId="7B708AE6" w14:textId="11C2FF6B" w:rsidR="00A27435" w:rsidRPr="00F67316" w:rsidRDefault="00A27435">
      <w:pPr>
        <w:jc w:val="both"/>
        <w:rPr>
          <w:sz w:val="22"/>
          <w:szCs w:val="22"/>
          <w:lang w:bidi="en-US"/>
        </w:rPr>
      </w:pPr>
      <w:r w:rsidRPr="00F67316">
        <w:rPr>
          <w:rStyle w:val="EndnoteReference"/>
          <w:sz w:val="22"/>
          <w:szCs w:val="22"/>
        </w:rPr>
        <w:endnoteRef/>
      </w:r>
      <w:r w:rsidRPr="00F67316">
        <w:rPr>
          <w:sz w:val="22"/>
          <w:szCs w:val="22"/>
        </w:rPr>
        <w:t xml:space="preserve"> </w:t>
      </w:r>
      <w:r w:rsidRPr="00F67316">
        <w:rPr>
          <w:sz w:val="22"/>
          <w:szCs w:val="22"/>
          <w:lang w:bidi="en-US"/>
        </w:rPr>
        <w:t xml:space="preserve">Ibid., 967. </w:t>
      </w:r>
    </w:p>
  </w:endnote>
  <w:endnote w:id="85">
    <w:p w14:paraId="4FA753D7" w14:textId="12DF0BA8" w:rsidR="00A27435" w:rsidRPr="00F67316" w:rsidRDefault="00A27435">
      <w:pPr>
        <w:jc w:val="both"/>
        <w:rPr>
          <w:sz w:val="22"/>
          <w:szCs w:val="22"/>
          <w:lang w:bidi="en-US"/>
        </w:rPr>
      </w:pPr>
      <w:r w:rsidRPr="00F67316">
        <w:rPr>
          <w:rStyle w:val="EndnoteReference"/>
          <w:sz w:val="22"/>
          <w:szCs w:val="22"/>
        </w:rPr>
        <w:endnoteRef/>
      </w:r>
      <w:r w:rsidRPr="00F67316">
        <w:rPr>
          <w:sz w:val="22"/>
          <w:szCs w:val="22"/>
        </w:rPr>
        <w:t xml:space="preserve"> </w:t>
      </w:r>
      <w:r w:rsidRPr="00F67316">
        <w:rPr>
          <w:sz w:val="22"/>
          <w:szCs w:val="22"/>
          <w:lang w:bidi="en-US"/>
        </w:rPr>
        <w:t xml:space="preserve">Ibid. </w:t>
      </w:r>
    </w:p>
  </w:endnote>
  <w:endnote w:id="86">
    <w:p w14:paraId="3572FBF2" w14:textId="48DFCA35" w:rsidR="00A27435" w:rsidRPr="00A55C80" w:rsidRDefault="00A27435">
      <w:pPr>
        <w:jc w:val="both"/>
        <w:rPr>
          <w:color w:val="000000"/>
          <w:sz w:val="22"/>
          <w:szCs w:val="22"/>
        </w:rPr>
      </w:pPr>
      <w:r w:rsidRPr="00F67316">
        <w:rPr>
          <w:rStyle w:val="EndnoteReference"/>
          <w:sz w:val="22"/>
          <w:szCs w:val="22"/>
        </w:rPr>
        <w:endnoteRef/>
      </w:r>
      <w:r w:rsidRPr="00F67316">
        <w:rPr>
          <w:sz w:val="22"/>
          <w:szCs w:val="22"/>
        </w:rPr>
        <w:t xml:space="preserve"> </w:t>
      </w:r>
      <w:r w:rsidRPr="00F67316">
        <w:rPr>
          <w:color w:val="000000"/>
          <w:sz w:val="22"/>
          <w:szCs w:val="22"/>
        </w:rPr>
        <w:t xml:space="preserve">Casey Charles, </w:t>
      </w:r>
      <w:r w:rsidRPr="00F67316">
        <w:rPr>
          <w:i/>
          <w:color w:val="000000"/>
          <w:sz w:val="22"/>
          <w:szCs w:val="22"/>
        </w:rPr>
        <w:t xml:space="preserve">Critical Queer Studies: Law, Film, and Fiction in Contemporary American Culture </w:t>
      </w:r>
      <w:r w:rsidRPr="00A55C80">
        <w:rPr>
          <w:color w:val="000000"/>
          <w:sz w:val="22"/>
          <w:szCs w:val="22"/>
        </w:rPr>
        <w:t xml:space="preserve">(New York, Ashgate, 2012), 154. </w:t>
      </w:r>
    </w:p>
  </w:endnote>
  <w:endnote w:id="87">
    <w:p w14:paraId="27EA82F9" w14:textId="1944C7FA" w:rsidR="00A27435" w:rsidRPr="00A55C80" w:rsidRDefault="00A27435">
      <w:pPr>
        <w:pStyle w:val="FootnoteText"/>
        <w:rPr>
          <w:rFonts w:ascii="Times New Roman" w:hAnsi="Times New Roman"/>
          <w:sz w:val="22"/>
          <w:szCs w:val="22"/>
        </w:rPr>
      </w:pPr>
      <w:r w:rsidRPr="00F67316">
        <w:rPr>
          <w:rStyle w:val="EndnoteReference"/>
          <w:rFonts w:ascii="Times New Roman" w:hAnsi="Times New Roman"/>
          <w:sz w:val="22"/>
          <w:szCs w:val="22"/>
        </w:rPr>
        <w:endnoteRef/>
      </w:r>
      <w:r w:rsidRPr="00F67316">
        <w:rPr>
          <w:rFonts w:ascii="Times New Roman" w:hAnsi="Times New Roman"/>
          <w:sz w:val="22"/>
          <w:szCs w:val="22"/>
        </w:rPr>
        <w:t xml:space="preserve"> Lauren G</w:t>
      </w:r>
      <w:r>
        <w:rPr>
          <w:rFonts w:ascii="Times New Roman" w:hAnsi="Times New Roman"/>
          <w:sz w:val="22"/>
          <w:szCs w:val="22"/>
        </w:rPr>
        <w:t>.</w:t>
      </w:r>
      <w:r w:rsidRPr="00F67316">
        <w:rPr>
          <w:rFonts w:ascii="Times New Roman" w:hAnsi="Times New Roman"/>
          <w:sz w:val="22"/>
          <w:szCs w:val="22"/>
        </w:rPr>
        <w:t xml:space="preserve"> </w:t>
      </w:r>
      <w:r w:rsidRPr="00F67316">
        <w:rPr>
          <w:rFonts w:ascii="Times New Roman" w:hAnsi="Times New Roman"/>
          <w:sz w:val="22"/>
          <w:szCs w:val="22"/>
          <w:lang w:bidi="en-US"/>
        </w:rPr>
        <w:t xml:space="preserve">Berlant, </w:t>
      </w:r>
      <w:r w:rsidRPr="00F67316">
        <w:rPr>
          <w:rFonts w:ascii="Times New Roman" w:hAnsi="Times New Roman"/>
          <w:i/>
          <w:sz w:val="22"/>
          <w:szCs w:val="22"/>
        </w:rPr>
        <w:t>The Queen of America Goes to Washington City: Essays on Sex and Citizenship</w:t>
      </w:r>
      <w:r w:rsidRPr="00A55C80">
        <w:rPr>
          <w:rFonts w:ascii="Times New Roman" w:hAnsi="Times New Roman"/>
          <w:sz w:val="22"/>
          <w:szCs w:val="22"/>
        </w:rPr>
        <w:t xml:space="preserve"> (Durham: Duke University Press, 1997), 209. </w:t>
      </w:r>
    </w:p>
  </w:endnote>
  <w:endnote w:id="88">
    <w:p w14:paraId="31160562" w14:textId="2099196E" w:rsidR="00A27435" w:rsidRPr="00F67316" w:rsidRDefault="00A27435">
      <w:pPr>
        <w:jc w:val="both"/>
        <w:rPr>
          <w:sz w:val="22"/>
          <w:szCs w:val="22"/>
          <w:lang w:bidi="en-US"/>
        </w:rPr>
      </w:pPr>
      <w:r w:rsidRPr="00F67316">
        <w:rPr>
          <w:rStyle w:val="EndnoteReference"/>
          <w:sz w:val="22"/>
          <w:szCs w:val="22"/>
        </w:rPr>
        <w:endnoteRef/>
      </w:r>
      <w:r w:rsidRPr="00F67316">
        <w:rPr>
          <w:sz w:val="22"/>
          <w:szCs w:val="22"/>
        </w:rPr>
        <w:t xml:space="preserve"> </w:t>
      </w:r>
      <w:r w:rsidRPr="00F67316">
        <w:rPr>
          <w:i/>
          <w:sz w:val="22"/>
          <w:szCs w:val="22"/>
          <w:lang w:bidi="en-US"/>
        </w:rPr>
        <w:t xml:space="preserve">Perry </w:t>
      </w:r>
      <w:r w:rsidRPr="00F67316">
        <w:rPr>
          <w:sz w:val="22"/>
          <w:szCs w:val="22"/>
          <w:lang w:bidi="en-US"/>
        </w:rPr>
        <w:t xml:space="preserve">(2010), 939. </w:t>
      </w:r>
    </w:p>
  </w:endnote>
  <w:endnote w:id="89">
    <w:p w14:paraId="48F28369" w14:textId="670A28D9" w:rsidR="00A27435" w:rsidRPr="00A55C80" w:rsidRDefault="00A27435">
      <w:pPr>
        <w:jc w:val="both"/>
        <w:rPr>
          <w:color w:val="000000"/>
          <w:sz w:val="22"/>
          <w:szCs w:val="22"/>
        </w:rPr>
      </w:pPr>
      <w:r w:rsidRPr="00F67316">
        <w:rPr>
          <w:rStyle w:val="EndnoteReference"/>
          <w:sz w:val="22"/>
          <w:szCs w:val="22"/>
        </w:rPr>
        <w:endnoteRef/>
      </w:r>
      <w:r w:rsidRPr="00F67316">
        <w:rPr>
          <w:sz w:val="22"/>
          <w:szCs w:val="22"/>
        </w:rPr>
        <w:t xml:space="preserve"> </w:t>
      </w:r>
      <w:r w:rsidRPr="00F67316">
        <w:rPr>
          <w:color w:val="000000"/>
          <w:sz w:val="22"/>
          <w:szCs w:val="22"/>
        </w:rPr>
        <w:t xml:space="preserve">David Richards, </w:t>
      </w:r>
      <w:r w:rsidRPr="00F67316">
        <w:rPr>
          <w:i/>
          <w:color w:val="000000"/>
          <w:sz w:val="22"/>
          <w:szCs w:val="22"/>
        </w:rPr>
        <w:t xml:space="preserve">Why Love Leads to Justice: Love across the Boundaries </w:t>
      </w:r>
      <w:r w:rsidRPr="00F67316">
        <w:rPr>
          <w:color w:val="000000"/>
          <w:sz w:val="22"/>
          <w:szCs w:val="22"/>
        </w:rPr>
        <w:t>(Cambridge, Cambridge University</w:t>
      </w:r>
      <w:r w:rsidRPr="00A55C80">
        <w:rPr>
          <w:color w:val="000000"/>
          <w:sz w:val="22"/>
          <w:szCs w:val="22"/>
        </w:rPr>
        <w:t xml:space="preserve"> Press 2016), 2.</w:t>
      </w:r>
    </w:p>
  </w:endnote>
  <w:endnote w:id="90">
    <w:p w14:paraId="135658B1" w14:textId="00CD75C1" w:rsidR="00A27435" w:rsidRPr="00F67316" w:rsidRDefault="00A27435">
      <w:pPr>
        <w:jc w:val="both"/>
        <w:rPr>
          <w:color w:val="000000"/>
          <w:sz w:val="22"/>
          <w:szCs w:val="22"/>
        </w:rPr>
      </w:pPr>
      <w:r w:rsidRPr="00F67316">
        <w:rPr>
          <w:rStyle w:val="EndnoteReference"/>
          <w:sz w:val="22"/>
          <w:szCs w:val="22"/>
        </w:rPr>
        <w:endnoteRef/>
      </w:r>
      <w:r w:rsidRPr="00F67316">
        <w:rPr>
          <w:sz w:val="22"/>
          <w:szCs w:val="22"/>
        </w:rPr>
        <w:t xml:space="preserve"> </w:t>
      </w:r>
      <w:r w:rsidRPr="00F67316">
        <w:rPr>
          <w:color w:val="000000"/>
          <w:sz w:val="22"/>
          <w:szCs w:val="22"/>
        </w:rPr>
        <w:t xml:space="preserve">Ibid., 25. </w:t>
      </w:r>
    </w:p>
  </w:endnote>
  <w:endnote w:id="91">
    <w:p w14:paraId="457C168D" w14:textId="723AD6D2" w:rsidR="00A27435" w:rsidRPr="00F67316" w:rsidRDefault="00A27435">
      <w:pPr>
        <w:jc w:val="both"/>
        <w:rPr>
          <w:sz w:val="22"/>
          <w:szCs w:val="22"/>
        </w:rPr>
      </w:pPr>
      <w:r w:rsidRPr="00F67316">
        <w:rPr>
          <w:rStyle w:val="EndnoteReference"/>
          <w:sz w:val="22"/>
          <w:szCs w:val="22"/>
        </w:rPr>
        <w:endnoteRef/>
      </w:r>
      <w:r w:rsidRPr="00F67316">
        <w:rPr>
          <w:sz w:val="22"/>
          <w:szCs w:val="22"/>
        </w:rPr>
        <w:t xml:space="preserve"> Polikoff, </w:t>
      </w:r>
      <w:r w:rsidRPr="00F67316">
        <w:rPr>
          <w:i/>
          <w:sz w:val="22"/>
          <w:szCs w:val="22"/>
        </w:rPr>
        <w:t>Beyond (Straight and Gay) Marriage</w:t>
      </w:r>
      <w:r w:rsidRPr="00F67316">
        <w:rPr>
          <w:sz w:val="22"/>
          <w:szCs w:val="22"/>
        </w:rPr>
        <w:t xml:space="preserve">, 108. </w:t>
      </w:r>
    </w:p>
  </w:endnote>
  <w:endnote w:id="92">
    <w:p w14:paraId="661D262C" w14:textId="7EB87F55" w:rsidR="00A27435" w:rsidRPr="00E17439" w:rsidRDefault="00A27435">
      <w:pPr>
        <w:pStyle w:val="FootnoteText"/>
        <w:rPr>
          <w:rFonts w:ascii="Times New Roman" w:hAnsi="Times New Roman"/>
        </w:rPr>
      </w:pPr>
      <w:r w:rsidRPr="00F67316">
        <w:rPr>
          <w:rStyle w:val="EndnoteReference"/>
          <w:rFonts w:ascii="Times New Roman" w:hAnsi="Times New Roman"/>
          <w:sz w:val="22"/>
          <w:szCs w:val="22"/>
        </w:rPr>
        <w:endnoteRef/>
      </w:r>
      <w:r w:rsidRPr="00F67316">
        <w:rPr>
          <w:rFonts w:ascii="Times New Roman" w:hAnsi="Times New Roman"/>
          <w:sz w:val="22"/>
          <w:szCs w:val="22"/>
        </w:rPr>
        <w:t xml:space="preserve"> Courtney M</w:t>
      </w:r>
      <w:r>
        <w:rPr>
          <w:rFonts w:ascii="Times New Roman" w:hAnsi="Times New Roman"/>
          <w:sz w:val="22"/>
          <w:szCs w:val="22"/>
        </w:rPr>
        <w:t>.</w:t>
      </w:r>
      <w:r w:rsidRPr="00F67316">
        <w:rPr>
          <w:rFonts w:ascii="Times New Roman" w:hAnsi="Times New Roman"/>
          <w:sz w:val="22"/>
          <w:szCs w:val="22"/>
        </w:rPr>
        <w:t xml:space="preserve"> Cahill, ‘“If Sex Offenders Can Marry, Then Why Not Gays and Lesbians?”: An Essay on the Progressive Comparative Argument’, </w:t>
      </w:r>
      <w:r w:rsidRPr="00F67316">
        <w:rPr>
          <w:rFonts w:ascii="Times New Roman" w:hAnsi="Times New Roman"/>
          <w:i/>
          <w:sz w:val="22"/>
          <w:szCs w:val="22"/>
        </w:rPr>
        <w:t xml:space="preserve">Buffalo Law Review </w:t>
      </w:r>
      <w:r w:rsidRPr="00F67316">
        <w:rPr>
          <w:rFonts w:ascii="Times New Roman" w:hAnsi="Times New Roman"/>
          <w:sz w:val="22"/>
          <w:szCs w:val="22"/>
        </w:rPr>
        <w:t>55 (2007)</w:t>
      </w:r>
      <w:r w:rsidRPr="00A55C80">
        <w:rPr>
          <w:rFonts w:ascii="Times New Roman" w:hAnsi="Times New Roman"/>
          <w:sz w:val="22"/>
          <w:szCs w:val="22"/>
        </w:rPr>
        <w:t>:</w:t>
      </w:r>
      <w:r w:rsidRPr="00A55C80">
        <w:rPr>
          <w:rFonts w:ascii="Times New Roman" w:hAnsi="Times New Roman"/>
          <w:i/>
          <w:sz w:val="22"/>
          <w:szCs w:val="22"/>
        </w:rPr>
        <w:t xml:space="preserve"> </w:t>
      </w:r>
      <w:r w:rsidRPr="00A55C80">
        <w:rPr>
          <w:rFonts w:ascii="Times New Roman" w:hAnsi="Times New Roman"/>
          <w:sz w:val="22"/>
          <w:szCs w:val="22"/>
        </w:rPr>
        <w:t>780</w:t>
      </w:r>
      <w:r w:rsidRPr="00701F16">
        <w:rPr>
          <w:rFonts w:ascii="Times New Roman" w:hAnsi="Times New Roman"/>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MingLiU">
    <w:altName w:val="新細明體"/>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6648C" w14:textId="77777777" w:rsidR="00A27435" w:rsidRPr="00787A5D" w:rsidRDefault="00A27435" w:rsidP="00787A5D">
    <w:pPr>
      <w:pStyle w:val="Footer"/>
      <w:jc w:val="right"/>
      <w:rPr>
        <w:rFonts w:ascii="Calisto MT" w:hAnsi="Calisto MT"/>
        <w:color w:val="808080"/>
        <w:sz w:val="20"/>
        <w:szCs w:val="20"/>
      </w:rPr>
    </w:pPr>
    <w:r w:rsidRPr="00787A5D">
      <w:rPr>
        <w:rFonts w:ascii="Calisto MT" w:hAnsi="Calisto MT"/>
        <w:color w:val="808080"/>
        <w:sz w:val="20"/>
        <w:szCs w:val="20"/>
      </w:rPr>
      <w:fldChar w:fldCharType="begin"/>
    </w:r>
    <w:r w:rsidRPr="00787A5D">
      <w:rPr>
        <w:rFonts w:ascii="Calisto MT" w:hAnsi="Calisto MT"/>
        <w:color w:val="808080"/>
        <w:sz w:val="20"/>
        <w:szCs w:val="20"/>
      </w:rPr>
      <w:instrText xml:space="preserve"> PAGE   \* MERGEFORMAT </w:instrText>
    </w:r>
    <w:r w:rsidRPr="00787A5D">
      <w:rPr>
        <w:rFonts w:ascii="Calisto MT" w:hAnsi="Calisto MT"/>
        <w:color w:val="808080"/>
        <w:sz w:val="20"/>
        <w:szCs w:val="20"/>
      </w:rPr>
      <w:fldChar w:fldCharType="separate"/>
    </w:r>
    <w:r w:rsidR="009E4E88">
      <w:rPr>
        <w:rFonts w:ascii="Calisto MT" w:hAnsi="Calisto MT"/>
        <w:noProof/>
        <w:color w:val="808080"/>
        <w:sz w:val="20"/>
        <w:szCs w:val="20"/>
      </w:rPr>
      <w:t>1</w:t>
    </w:r>
    <w:r w:rsidRPr="00787A5D">
      <w:rPr>
        <w:rFonts w:ascii="Calisto MT" w:hAnsi="Calisto MT"/>
        <w:noProof/>
        <w:color w:val="808080"/>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9B272" w14:textId="77777777" w:rsidR="00A27435" w:rsidRPr="009C3263" w:rsidRDefault="00A27435" w:rsidP="00A6797F">
    <w:pPr>
      <w:pStyle w:val="Footer"/>
      <w:spacing w:before="240"/>
      <w:jc w:val="center"/>
      <w:rPr>
        <w:sz w:val="32"/>
      </w:rPr>
    </w:pPr>
    <w:r w:rsidRPr="009C3263">
      <w:rPr>
        <w:rFonts w:ascii="Calisto MT" w:hAnsi="Calisto MT"/>
        <w:color w:val="808080"/>
      </w:rPr>
      <w:fldChar w:fldCharType="begin"/>
    </w:r>
    <w:r w:rsidRPr="009C3263">
      <w:rPr>
        <w:rFonts w:ascii="Calisto MT" w:hAnsi="Calisto MT"/>
        <w:color w:val="808080"/>
      </w:rPr>
      <w:instrText xml:space="preserve"> PAGE   \* MERGEFORMAT </w:instrText>
    </w:r>
    <w:r w:rsidRPr="009C3263">
      <w:rPr>
        <w:rFonts w:ascii="Calisto MT" w:hAnsi="Calisto MT"/>
        <w:color w:val="808080"/>
      </w:rPr>
      <w:fldChar w:fldCharType="separate"/>
    </w:r>
    <w:r>
      <w:rPr>
        <w:rFonts w:ascii="Calisto MT" w:hAnsi="Calisto MT"/>
        <w:noProof/>
        <w:color w:val="808080"/>
      </w:rPr>
      <w:t>1</w:t>
    </w:r>
    <w:r w:rsidRPr="009C3263">
      <w:rPr>
        <w:rFonts w:ascii="Calisto MT" w:hAnsi="Calisto MT"/>
        <w:noProof/>
        <w:color w:val="80808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B3FDA" w14:textId="77777777" w:rsidR="00A27435" w:rsidRDefault="00A27435" w:rsidP="00BC491A">
      <w:r>
        <w:separator/>
      </w:r>
    </w:p>
  </w:footnote>
  <w:footnote w:type="continuationSeparator" w:id="0">
    <w:p w14:paraId="238EFF91" w14:textId="77777777" w:rsidR="00A27435" w:rsidRDefault="00A27435" w:rsidP="00BC49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923" w:type="pct"/>
      <w:tblLook w:val="04A0" w:firstRow="1" w:lastRow="0" w:firstColumn="1" w:lastColumn="0" w:noHBand="0" w:noVBand="1"/>
    </w:tblPr>
    <w:tblGrid>
      <w:gridCol w:w="3192"/>
    </w:tblGrid>
    <w:tr w:rsidR="00A27435" w:rsidRPr="00837A68" w14:paraId="59BE30A8" w14:textId="77777777" w:rsidTr="00960689">
      <w:tc>
        <w:tcPr>
          <w:tcW w:w="3192" w:type="dxa"/>
          <w:shd w:val="clear" w:color="auto" w:fill="auto"/>
          <w:tcMar>
            <w:left w:w="0" w:type="dxa"/>
            <w:right w:w="0" w:type="dxa"/>
          </w:tcMar>
        </w:tcPr>
        <w:p w14:paraId="208FDCB7" w14:textId="2CE3E4E8" w:rsidR="00A27435" w:rsidRPr="00960689" w:rsidRDefault="00A27435" w:rsidP="000E1416">
          <w:pPr>
            <w:pStyle w:val="Header"/>
            <w:ind w:right="-5268"/>
            <w:jc w:val="right"/>
            <w:rPr>
              <w:rFonts w:ascii="Calisto MT" w:hAnsi="Calisto MT"/>
              <w:b/>
              <w:color w:val="808080"/>
              <w:sz w:val="20"/>
              <w:szCs w:val="20"/>
            </w:rPr>
          </w:pPr>
          <w:r>
            <w:rPr>
              <w:rFonts w:ascii="Calisto MT" w:hAnsi="Calisto MT"/>
              <w:b/>
              <w:color w:val="808080"/>
              <w:sz w:val="20"/>
              <w:szCs w:val="20"/>
            </w:rPr>
            <w:t>Sent</w:t>
          </w:r>
        </w:p>
      </w:tc>
    </w:tr>
  </w:tbl>
  <w:p w14:paraId="705D71C6" w14:textId="548C647E" w:rsidR="00A27435" w:rsidRPr="00787A5D" w:rsidRDefault="00A27435" w:rsidP="00A6797F">
    <w:pPr>
      <w:pStyle w:val="Header"/>
      <w:jc w:val="right"/>
      <w:rPr>
        <w:rFonts w:ascii="Calisto MT" w:hAnsi="Calisto MT"/>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8093C"/>
    <w:multiLevelType w:val="hybridMultilevel"/>
    <w:tmpl w:val="753A8D8A"/>
    <w:lvl w:ilvl="0" w:tplc="A450021E">
      <w:numFmt w:val="bullet"/>
      <w:lvlText w:val="-"/>
      <w:lvlJc w:val="left"/>
      <w:pPr>
        <w:ind w:left="720" w:hanging="360"/>
      </w:pPr>
      <w:rPr>
        <w:rFonts w:ascii="Calisto MT" w:eastAsia="MS Mincho" w:hAnsi="Calisto M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1A"/>
    <w:rsid w:val="00017531"/>
    <w:rsid w:val="000338D2"/>
    <w:rsid w:val="00037F36"/>
    <w:rsid w:val="00054584"/>
    <w:rsid w:val="00063C8E"/>
    <w:rsid w:val="0006586C"/>
    <w:rsid w:val="0007256A"/>
    <w:rsid w:val="00090DCE"/>
    <w:rsid w:val="00094452"/>
    <w:rsid w:val="000A2975"/>
    <w:rsid w:val="000B07BA"/>
    <w:rsid w:val="000E1416"/>
    <w:rsid w:val="000E217D"/>
    <w:rsid w:val="000E453C"/>
    <w:rsid w:val="000E4BF6"/>
    <w:rsid w:val="000F33FF"/>
    <w:rsid w:val="001006F5"/>
    <w:rsid w:val="00111FB7"/>
    <w:rsid w:val="00126924"/>
    <w:rsid w:val="001279E3"/>
    <w:rsid w:val="00133BAA"/>
    <w:rsid w:val="0013744A"/>
    <w:rsid w:val="00170FE5"/>
    <w:rsid w:val="001905C1"/>
    <w:rsid w:val="00191F6E"/>
    <w:rsid w:val="001977DD"/>
    <w:rsid w:val="001A0F50"/>
    <w:rsid w:val="001A7791"/>
    <w:rsid w:val="001C372B"/>
    <w:rsid w:val="001F1839"/>
    <w:rsid w:val="001F2E6C"/>
    <w:rsid w:val="001F34C7"/>
    <w:rsid w:val="001F42FB"/>
    <w:rsid w:val="00202DB4"/>
    <w:rsid w:val="00202EE4"/>
    <w:rsid w:val="002232D2"/>
    <w:rsid w:val="002417E4"/>
    <w:rsid w:val="002649F4"/>
    <w:rsid w:val="00276731"/>
    <w:rsid w:val="002A2B55"/>
    <w:rsid w:val="002B02AE"/>
    <w:rsid w:val="002B472A"/>
    <w:rsid w:val="002C6B46"/>
    <w:rsid w:val="002F3913"/>
    <w:rsid w:val="002F7D4F"/>
    <w:rsid w:val="00306FF0"/>
    <w:rsid w:val="003127EE"/>
    <w:rsid w:val="00316ED2"/>
    <w:rsid w:val="003229D2"/>
    <w:rsid w:val="00333109"/>
    <w:rsid w:val="00370CCC"/>
    <w:rsid w:val="00372D82"/>
    <w:rsid w:val="0038751E"/>
    <w:rsid w:val="00393CC6"/>
    <w:rsid w:val="003A31A5"/>
    <w:rsid w:val="003C1AE7"/>
    <w:rsid w:val="003D7DC2"/>
    <w:rsid w:val="003E633A"/>
    <w:rsid w:val="003F6B39"/>
    <w:rsid w:val="00403A71"/>
    <w:rsid w:val="00437EC6"/>
    <w:rsid w:val="00440684"/>
    <w:rsid w:val="00465BF4"/>
    <w:rsid w:val="004839E3"/>
    <w:rsid w:val="00483DF4"/>
    <w:rsid w:val="004844FA"/>
    <w:rsid w:val="004A2820"/>
    <w:rsid w:val="004B40A0"/>
    <w:rsid w:val="004E55F5"/>
    <w:rsid w:val="00501403"/>
    <w:rsid w:val="00513223"/>
    <w:rsid w:val="005142FB"/>
    <w:rsid w:val="00560471"/>
    <w:rsid w:val="00564655"/>
    <w:rsid w:val="00566DFD"/>
    <w:rsid w:val="005951A4"/>
    <w:rsid w:val="005A07DA"/>
    <w:rsid w:val="005B2519"/>
    <w:rsid w:val="005B3C7D"/>
    <w:rsid w:val="005B6402"/>
    <w:rsid w:val="005C0C1C"/>
    <w:rsid w:val="005C72BF"/>
    <w:rsid w:val="005F2DDD"/>
    <w:rsid w:val="005F313F"/>
    <w:rsid w:val="005F33F7"/>
    <w:rsid w:val="00611718"/>
    <w:rsid w:val="0062088B"/>
    <w:rsid w:val="00623EB9"/>
    <w:rsid w:val="0064645D"/>
    <w:rsid w:val="00655C6E"/>
    <w:rsid w:val="00657D48"/>
    <w:rsid w:val="00664EC1"/>
    <w:rsid w:val="00670B17"/>
    <w:rsid w:val="006A24EA"/>
    <w:rsid w:val="006A78A8"/>
    <w:rsid w:val="006B27B5"/>
    <w:rsid w:val="006B4DF2"/>
    <w:rsid w:val="006C6FC5"/>
    <w:rsid w:val="006F1DC8"/>
    <w:rsid w:val="006F7A77"/>
    <w:rsid w:val="00701F16"/>
    <w:rsid w:val="00702450"/>
    <w:rsid w:val="007042BD"/>
    <w:rsid w:val="00707422"/>
    <w:rsid w:val="0071146C"/>
    <w:rsid w:val="0073437D"/>
    <w:rsid w:val="00752D33"/>
    <w:rsid w:val="00760B76"/>
    <w:rsid w:val="00775421"/>
    <w:rsid w:val="00787A5D"/>
    <w:rsid w:val="0079530B"/>
    <w:rsid w:val="007A5062"/>
    <w:rsid w:val="007B0156"/>
    <w:rsid w:val="007C6515"/>
    <w:rsid w:val="007E44FB"/>
    <w:rsid w:val="007F02CC"/>
    <w:rsid w:val="007F77D6"/>
    <w:rsid w:val="008206BF"/>
    <w:rsid w:val="00846DF9"/>
    <w:rsid w:val="008540B1"/>
    <w:rsid w:val="00867612"/>
    <w:rsid w:val="008820E9"/>
    <w:rsid w:val="0088516E"/>
    <w:rsid w:val="008865E6"/>
    <w:rsid w:val="0089576E"/>
    <w:rsid w:val="008B162B"/>
    <w:rsid w:val="008B262F"/>
    <w:rsid w:val="008C4010"/>
    <w:rsid w:val="008C604F"/>
    <w:rsid w:val="00910CB8"/>
    <w:rsid w:val="00924038"/>
    <w:rsid w:val="00950E47"/>
    <w:rsid w:val="00956500"/>
    <w:rsid w:val="00957DB1"/>
    <w:rsid w:val="00960689"/>
    <w:rsid w:val="009736E1"/>
    <w:rsid w:val="00973E99"/>
    <w:rsid w:val="00976353"/>
    <w:rsid w:val="0098692C"/>
    <w:rsid w:val="009952FE"/>
    <w:rsid w:val="009A2ABB"/>
    <w:rsid w:val="009B4E9C"/>
    <w:rsid w:val="009C282E"/>
    <w:rsid w:val="009D2ACF"/>
    <w:rsid w:val="009E4E88"/>
    <w:rsid w:val="009E67E9"/>
    <w:rsid w:val="009F7E13"/>
    <w:rsid w:val="00A04472"/>
    <w:rsid w:val="00A27435"/>
    <w:rsid w:val="00A55C80"/>
    <w:rsid w:val="00A56272"/>
    <w:rsid w:val="00A650DC"/>
    <w:rsid w:val="00A6797F"/>
    <w:rsid w:val="00A73939"/>
    <w:rsid w:val="00A8268C"/>
    <w:rsid w:val="00A977B8"/>
    <w:rsid w:val="00AE2A95"/>
    <w:rsid w:val="00AE2DCD"/>
    <w:rsid w:val="00B15C4E"/>
    <w:rsid w:val="00B273AB"/>
    <w:rsid w:val="00B543DF"/>
    <w:rsid w:val="00B555AF"/>
    <w:rsid w:val="00B56351"/>
    <w:rsid w:val="00B70557"/>
    <w:rsid w:val="00B75082"/>
    <w:rsid w:val="00B80B54"/>
    <w:rsid w:val="00B95B5F"/>
    <w:rsid w:val="00B9659D"/>
    <w:rsid w:val="00BB31E5"/>
    <w:rsid w:val="00BC491A"/>
    <w:rsid w:val="00BD2472"/>
    <w:rsid w:val="00BD35D1"/>
    <w:rsid w:val="00BD6D75"/>
    <w:rsid w:val="00BE0D47"/>
    <w:rsid w:val="00BE12A5"/>
    <w:rsid w:val="00BF443C"/>
    <w:rsid w:val="00C00327"/>
    <w:rsid w:val="00C028FA"/>
    <w:rsid w:val="00C02DE0"/>
    <w:rsid w:val="00C16CC7"/>
    <w:rsid w:val="00C26EB8"/>
    <w:rsid w:val="00C603A2"/>
    <w:rsid w:val="00C81808"/>
    <w:rsid w:val="00C8594A"/>
    <w:rsid w:val="00C878C2"/>
    <w:rsid w:val="00C912C9"/>
    <w:rsid w:val="00C917AB"/>
    <w:rsid w:val="00CC32AB"/>
    <w:rsid w:val="00CD2665"/>
    <w:rsid w:val="00CF1F81"/>
    <w:rsid w:val="00CF5150"/>
    <w:rsid w:val="00D13F93"/>
    <w:rsid w:val="00D436E3"/>
    <w:rsid w:val="00D64748"/>
    <w:rsid w:val="00DA3866"/>
    <w:rsid w:val="00DB62D5"/>
    <w:rsid w:val="00DC1883"/>
    <w:rsid w:val="00DC7467"/>
    <w:rsid w:val="00DF3AD0"/>
    <w:rsid w:val="00E03CFF"/>
    <w:rsid w:val="00E058BA"/>
    <w:rsid w:val="00E17439"/>
    <w:rsid w:val="00E21384"/>
    <w:rsid w:val="00E526FD"/>
    <w:rsid w:val="00E528AA"/>
    <w:rsid w:val="00E53FDC"/>
    <w:rsid w:val="00E675D0"/>
    <w:rsid w:val="00E933FF"/>
    <w:rsid w:val="00EB038B"/>
    <w:rsid w:val="00F2057C"/>
    <w:rsid w:val="00F34DCA"/>
    <w:rsid w:val="00F521A2"/>
    <w:rsid w:val="00F67316"/>
    <w:rsid w:val="00F752AB"/>
    <w:rsid w:val="00F93CE3"/>
    <w:rsid w:val="00F94460"/>
    <w:rsid w:val="00F9737C"/>
    <w:rsid w:val="00FD072E"/>
    <w:rsid w:val="00FE2DE7"/>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1C33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1A"/>
    <w:rPr>
      <w:rFonts w:ascii="Times New Roman" w:eastAsia="MS Mincho" w:hAnsi="Times New Roman" w:cs="Times New Roman"/>
      <w:lang w:val="en-AU"/>
    </w:rPr>
  </w:style>
  <w:style w:type="paragraph" w:styleId="Heading1">
    <w:name w:val="heading 1"/>
    <w:basedOn w:val="Normal"/>
    <w:next w:val="Normal"/>
    <w:link w:val="Heading1Char"/>
    <w:uiPriority w:val="9"/>
    <w:qFormat/>
    <w:rsid w:val="00BC491A"/>
    <w:pPr>
      <w:pBdr>
        <w:bottom w:val="single" w:sz="4" w:space="1" w:color="auto"/>
      </w:pBdr>
      <w:spacing w:after="360" w:line="480" w:lineRule="auto"/>
      <w:ind w:right="78"/>
      <w:jc w:val="center"/>
      <w:outlineLvl w:val="0"/>
    </w:pPr>
    <w:rPr>
      <w:rFonts w:ascii="Calisto MT" w:hAnsi="Calisto MT"/>
      <w:b/>
      <w:sz w:val="26"/>
    </w:rPr>
  </w:style>
  <w:style w:type="paragraph" w:styleId="Heading2">
    <w:name w:val="heading 2"/>
    <w:basedOn w:val="Normal"/>
    <w:next w:val="Normal"/>
    <w:link w:val="Heading2Char"/>
    <w:uiPriority w:val="9"/>
    <w:unhideWhenUsed/>
    <w:qFormat/>
    <w:rsid w:val="00BC491A"/>
    <w:pPr>
      <w:keepNext/>
      <w:keepLines/>
      <w:spacing w:before="480" w:line="480" w:lineRule="auto"/>
      <w:jc w:val="both"/>
      <w:outlineLvl w:val="1"/>
    </w:pPr>
    <w:rPr>
      <w:rFonts w:ascii="Calisto MT" w:hAnsi="Calisto MT"/>
      <w:b/>
      <w:sz w:val="26"/>
    </w:rPr>
  </w:style>
  <w:style w:type="paragraph" w:styleId="Heading3">
    <w:name w:val="heading 3"/>
    <w:basedOn w:val="Normal"/>
    <w:next w:val="Normal"/>
    <w:link w:val="Heading3Char"/>
    <w:uiPriority w:val="9"/>
    <w:unhideWhenUsed/>
    <w:qFormat/>
    <w:rsid w:val="00BC491A"/>
    <w:pPr>
      <w:keepNext/>
      <w:keepLines/>
      <w:spacing w:before="360" w:line="480" w:lineRule="auto"/>
      <w:jc w:val="both"/>
      <w:outlineLvl w:val="2"/>
    </w:pPr>
    <w:rPr>
      <w:rFonts w:ascii="Calisto MT" w:hAnsi="Calisto MT"/>
      <w:sz w:val="26"/>
      <w:u w:val="single"/>
    </w:rPr>
  </w:style>
  <w:style w:type="paragraph" w:styleId="Heading4">
    <w:name w:val="heading 4"/>
    <w:basedOn w:val="Normal"/>
    <w:next w:val="Normal"/>
    <w:link w:val="Heading4Char"/>
    <w:uiPriority w:val="9"/>
    <w:unhideWhenUsed/>
    <w:qFormat/>
    <w:rsid w:val="00BC491A"/>
    <w:pPr>
      <w:keepNext/>
      <w:keepLines/>
      <w:spacing w:before="360" w:line="480" w:lineRule="auto"/>
      <w:jc w:val="both"/>
      <w:outlineLvl w:val="3"/>
    </w:pPr>
    <w:rPr>
      <w:rFonts w:ascii="Calisto MT" w:hAnsi="Calisto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91A"/>
    <w:rPr>
      <w:rFonts w:ascii="Calisto MT" w:eastAsia="MS Mincho" w:hAnsi="Calisto MT" w:cs="Times New Roman"/>
      <w:b/>
      <w:sz w:val="26"/>
      <w:lang w:val="en-AU"/>
    </w:rPr>
  </w:style>
  <w:style w:type="character" w:customStyle="1" w:styleId="Heading2Char">
    <w:name w:val="Heading 2 Char"/>
    <w:basedOn w:val="DefaultParagraphFont"/>
    <w:link w:val="Heading2"/>
    <w:uiPriority w:val="9"/>
    <w:rsid w:val="00BC491A"/>
    <w:rPr>
      <w:rFonts w:ascii="Calisto MT" w:eastAsia="MS Mincho" w:hAnsi="Calisto MT" w:cs="Times New Roman"/>
      <w:b/>
      <w:sz w:val="26"/>
      <w:lang w:val="en-AU"/>
    </w:rPr>
  </w:style>
  <w:style w:type="character" w:customStyle="1" w:styleId="Heading3Char">
    <w:name w:val="Heading 3 Char"/>
    <w:basedOn w:val="DefaultParagraphFont"/>
    <w:link w:val="Heading3"/>
    <w:uiPriority w:val="9"/>
    <w:rsid w:val="00BC491A"/>
    <w:rPr>
      <w:rFonts w:ascii="Calisto MT" w:eastAsia="MS Mincho" w:hAnsi="Calisto MT" w:cs="Times New Roman"/>
      <w:sz w:val="26"/>
      <w:u w:val="single"/>
      <w:lang w:val="en-AU"/>
    </w:rPr>
  </w:style>
  <w:style w:type="character" w:customStyle="1" w:styleId="Heading4Char">
    <w:name w:val="Heading 4 Char"/>
    <w:basedOn w:val="DefaultParagraphFont"/>
    <w:link w:val="Heading4"/>
    <w:uiPriority w:val="9"/>
    <w:rsid w:val="00BC491A"/>
    <w:rPr>
      <w:rFonts w:ascii="Calisto MT" w:eastAsia="MS Mincho" w:hAnsi="Calisto MT" w:cs="Times New Roman"/>
      <w:b/>
      <w:lang w:val="en-AU"/>
    </w:rPr>
  </w:style>
  <w:style w:type="paragraph" w:customStyle="1" w:styleId="ColorfulList-Accent11">
    <w:name w:val="Colorful List - Accent 11"/>
    <w:basedOn w:val="Normal"/>
    <w:uiPriority w:val="99"/>
    <w:qFormat/>
    <w:rsid w:val="00BC491A"/>
    <w:pPr>
      <w:spacing w:after="200" w:line="276" w:lineRule="auto"/>
      <w:ind w:left="720"/>
      <w:contextualSpacing/>
    </w:pPr>
    <w:rPr>
      <w:rFonts w:ascii="Calibri" w:eastAsia="Times New Roman" w:hAnsi="Calibri"/>
      <w:sz w:val="22"/>
      <w:szCs w:val="22"/>
    </w:rPr>
  </w:style>
  <w:style w:type="character" w:customStyle="1" w:styleId="uistorymessage">
    <w:name w:val="uistory_message"/>
    <w:basedOn w:val="DefaultParagraphFont"/>
    <w:rsid w:val="00BC491A"/>
  </w:style>
  <w:style w:type="paragraph" w:styleId="FootnoteText">
    <w:name w:val="footnote text"/>
    <w:aliases w:val="FN,Footnote Text Char1 Char,Footnote Text Char Char Char,Footnote Text Char1 Char Char Char,Footnote Text Char Char Char Char Char,Footnote Text Char2 Char Char Char Char Char,Footnote Text Char Char,Ca"/>
    <w:basedOn w:val="Normal"/>
    <w:link w:val="FootnoteTextChar"/>
    <w:uiPriority w:val="99"/>
    <w:rsid w:val="00BC491A"/>
    <w:pPr>
      <w:spacing w:after="60"/>
      <w:jc w:val="both"/>
    </w:pPr>
    <w:rPr>
      <w:rFonts w:ascii="Calisto MT" w:eastAsia="Times New Roman" w:hAnsi="Calisto MT"/>
      <w:sz w:val="20"/>
      <w:szCs w:val="20"/>
    </w:rPr>
  </w:style>
  <w:style w:type="character" w:customStyle="1" w:styleId="FootnoteTextChar">
    <w:name w:val="Footnote Text Char"/>
    <w:aliases w:val="FN Char,Footnote Text Char1 Char Char,Footnote Text Char Char Char Char,Footnote Text Char1 Char Char Char Char,Footnote Text Char Char Char Char Char Char,Footnote Text Char2 Char Char Char Char Char Char,Ca Char"/>
    <w:basedOn w:val="DefaultParagraphFont"/>
    <w:link w:val="FootnoteText"/>
    <w:uiPriority w:val="99"/>
    <w:rsid w:val="00BC491A"/>
    <w:rPr>
      <w:rFonts w:ascii="Calisto MT" w:eastAsia="Times New Roman" w:hAnsi="Calisto MT" w:cs="Times New Roman"/>
      <w:sz w:val="20"/>
      <w:szCs w:val="20"/>
      <w:lang w:val="en-AU"/>
    </w:rPr>
  </w:style>
  <w:style w:type="character" w:styleId="FootnoteReference">
    <w:name w:val="footnote reference"/>
    <w:uiPriority w:val="99"/>
    <w:rsid w:val="00BC491A"/>
    <w:rPr>
      <w:vertAlign w:val="superscript"/>
    </w:rPr>
  </w:style>
  <w:style w:type="character" w:customStyle="1" w:styleId="CommentTextChar">
    <w:name w:val="Comment Text Char"/>
    <w:link w:val="CommentText"/>
    <w:uiPriority w:val="99"/>
    <w:semiHidden/>
    <w:rsid w:val="00BC491A"/>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BC491A"/>
    <w:rPr>
      <w:rFonts w:eastAsia="Times New Roman"/>
      <w:sz w:val="20"/>
      <w:szCs w:val="20"/>
      <w:lang w:val="en-US"/>
    </w:rPr>
  </w:style>
  <w:style w:type="character" w:customStyle="1" w:styleId="CommentTextChar1">
    <w:name w:val="Comment Text Char1"/>
    <w:basedOn w:val="DefaultParagraphFont"/>
    <w:uiPriority w:val="99"/>
    <w:semiHidden/>
    <w:rsid w:val="00BC491A"/>
    <w:rPr>
      <w:rFonts w:ascii="Times New Roman" w:eastAsia="MS Mincho" w:hAnsi="Times New Roman" w:cs="Times New Roman"/>
      <w:lang w:val="en-AU"/>
    </w:rPr>
  </w:style>
  <w:style w:type="character" w:customStyle="1" w:styleId="CommentSubjectChar">
    <w:name w:val="Comment Subject Char"/>
    <w:link w:val="CommentSubject"/>
    <w:uiPriority w:val="99"/>
    <w:semiHidden/>
    <w:rsid w:val="00BC491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BC491A"/>
    <w:rPr>
      <w:b/>
      <w:bCs/>
    </w:rPr>
  </w:style>
  <w:style w:type="character" w:customStyle="1" w:styleId="CommentSubjectChar1">
    <w:name w:val="Comment Subject Char1"/>
    <w:basedOn w:val="CommentTextChar1"/>
    <w:uiPriority w:val="99"/>
    <w:semiHidden/>
    <w:rsid w:val="00BC491A"/>
    <w:rPr>
      <w:rFonts w:ascii="Times New Roman" w:eastAsia="MS Mincho" w:hAnsi="Times New Roman" w:cs="Times New Roman"/>
      <w:b/>
      <w:bCs/>
      <w:sz w:val="20"/>
      <w:szCs w:val="20"/>
      <w:lang w:val="en-AU"/>
    </w:rPr>
  </w:style>
  <w:style w:type="character" w:customStyle="1" w:styleId="BalloonTextChar">
    <w:name w:val="Balloon Text Char"/>
    <w:link w:val="BalloonText"/>
    <w:uiPriority w:val="99"/>
    <w:semiHidden/>
    <w:rsid w:val="00BC491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C491A"/>
    <w:rPr>
      <w:rFonts w:ascii="Tahoma" w:eastAsia="Times New Roman" w:hAnsi="Tahoma" w:cs="Tahoma"/>
      <w:sz w:val="16"/>
      <w:szCs w:val="16"/>
      <w:lang w:val="en-US"/>
    </w:rPr>
  </w:style>
  <w:style w:type="character" w:customStyle="1" w:styleId="BalloonTextChar1">
    <w:name w:val="Balloon Text Char1"/>
    <w:basedOn w:val="DefaultParagraphFont"/>
    <w:uiPriority w:val="99"/>
    <w:semiHidden/>
    <w:rsid w:val="00BC491A"/>
    <w:rPr>
      <w:rFonts w:ascii="Lucida Grande" w:eastAsia="MS Mincho" w:hAnsi="Lucida Grande" w:cs="Lucida Grande"/>
      <w:sz w:val="18"/>
      <w:szCs w:val="18"/>
      <w:lang w:val="en-AU"/>
    </w:rPr>
  </w:style>
  <w:style w:type="character" w:customStyle="1" w:styleId="FooterChar">
    <w:name w:val="Footer Char"/>
    <w:link w:val="Footer"/>
    <w:uiPriority w:val="99"/>
    <w:rsid w:val="00BC491A"/>
    <w:rPr>
      <w:rFonts w:ascii="Times New Roman" w:eastAsia="Times New Roman" w:hAnsi="Times New Roman" w:cs="Times New Roman"/>
    </w:rPr>
  </w:style>
  <w:style w:type="paragraph" w:styleId="Footer">
    <w:name w:val="footer"/>
    <w:basedOn w:val="Normal"/>
    <w:link w:val="FooterChar"/>
    <w:uiPriority w:val="99"/>
    <w:unhideWhenUsed/>
    <w:rsid w:val="00BC491A"/>
    <w:pPr>
      <w:tabs>
        <w:tab w:val="center" w:pos="4320"/>
        <w:tab w:val="right" w:pos="8640"/>
      </w:tabs>
    </w:pPr>
    <w:rPr>
      <w:rFonts w:eastAsia="Times New Roman"/>
      <w:lang w:val="en-US"/>
    </w:rPr>
  </w:style>
  <w:style w:type="character" w:customStyle="1" w:styleId="FooterChar1">
    <w:name w:val="Footer Char1"/>
    <w:basedOn w:val="DefaultParagraphFont"/>
    <w:uiPriority w:val="99"/>
    <w:semiHidden/>
    <w:rsid w:val="00BC491A"/>
    <w:rPr>
      <w:rFonts w:ascii="Times New Roman" w:eastAsia="MS Mincho" w:hAnsi="Times New Roman" w:cs="Times New Roman"/>
      <w:lang w:val="en-AU"/>
    </w:rPr>
  </w:style>
  <w:style w:type="character" w:customStyle="1" w:styleId="HeaderChar">
    <w:name w:val="Header Char"/>
    <w:link w:val="Header"/>
    <w:uiPriority w:val="99"/>
    <w:rsid w:val="00BC491A"/>
    <w:rPr>
      <w:rFonts w:ascii="Times New Roman" w:eastAsia="Times New Roman" w:hAnsi="Times New Roman" w:cs="Times New Roman"/>
    </w:rPr>
  </w:style>
  <w:style w:type="paragraph" w:styleId="Header">
    <w:name w:val="header"/>
    <w:basedOn w:val="Normal"/>
    <w:link w:val="HeaderChar"/>
    <w:uiPriority w:val="99"/>
    <w:unhideWhenUsed/>
    <w:rsid w:val="00BC491A"/>
    <w:pPr>
      <w:tabs>
        <w:tab w:val="center" w:pos="4320"/>
        <w:tab w:val="right" w:pos="8640"/>
      </w:tabs>
    </w:pPr>
    <w:rPr>
      <w:rFonts w:eastAsia="Times New Roman"/>
      <w:lang w:val="en-US"/>
    </w:rPr>
  </w:style>
  <w:style w:type="character" w:customStyle="1" w:styleId="HeaderChar1">
    <w:name w:val="Header Char1"/>
    <w:basedOn w:val="DefaultParagraphFont"/>
    <w:uiPriority w:val="99"/>
    <w:semiHidden/>
    <w:rsid w:val="00BC491A"/>
    <w:rPr>
      <w:rFonts w:ascii="Times New Roman" w:eastAsia="MS Mincho" w:hAnsi="Times New Roman" w:cs="Times New Roman"/>
      <w:lang w:val="en-AU"/>
    </w:rPr>
  </w:style>
  <w:style w:type="paragraph" w:styleId="TOC1">
    <w:name w:val="toc 1"/>
    <w:basedOn w:val="Normal"/>
    <w:next w:val="Normal"/>
    <w:autoRedefine/>
    <w:uiPriority w:val="39"/>
    <w:unhideWhenUsed/>
    <w:rsid w:val="00BC491A"/>
    <w:pPr>
      <w:tabs>
        <w:tab w:val="right" w:leader="dot" w:pos="8488"/>
      </w:tabs>
      <w:spacing w:before="240"/>
    </w:pPr>
    <w:rPr>
      <w:rFonts w:ascii="Calisto MT" w:hAnsi="Calisto MT"/>
      <w:b/>
    </w:rPr>
  </w:style>
  <w:style w:type="paragraph" w:styleId="TOC2">
    <w:name w:val="toc 2"/>
    <w:basedOn w:val="Normal"/>
    <w:next w:val="Normal"/>
    <w:autoRedefine/>
    <w:uiPriority w:val="39"/>
    <w:unhideWhenUsed/>
    <w:rsid w:val="00BC491A"/>
    <w:pPr>
      <w:spacing w:before="120" w:after="120"/>
      <w:ind w:left="357"/>
    </w:pPr>
    <w:rPr>
      <w:rFonts w:ascii="Calisto MT" w:hAnsi="Calisto MT"/>
    </w:rPr>
  </w:style>
  <w:style w:type="paragraph" w:styleId="TOC3">
    <w:name w:val="toc 3"/>
    <w:basedOn w:val="Normal"/>
    <w:next w:val="Normal"/>
    <w:autoRedefine/>
    <w:uiPriority w:val="39"/>
    <w:unhideWhenUsed/>
    <w:rsid w:val="00BC491A"/>
    <w:pPr>
      <w:ind w:left="720"/>
    </w:pPr>
    <w:rPr>
      <w:rFonts w:ascii="Calisto MT" w:hAnsi="Calisto MT"/>
    </w:rPr>
  </w:style>
  <w:style w:type="paragraph" w:styleId="TOC4">
    <w:name w:val="toc 4"/>
    <w:basedOn w:val="Normal"/>
    <w:next w:val="Normal"/>
    <w:autoRedefine/>
    <w:uiPriority w:val="39"/>
    <w:unhideWhenUsed/>
    <w:rsid w:val="00BC491A"/>
    <w:pPr>
      <w:ind w:left="720"/>
    </w:pPr>
  </w:style>
  <w:style w:type="paragraph" w:styleId="TOC5">
    <w:name w:val="toc 5"/>
    <w:basedOn w:val="Normal"/>
    <w:next w:val="Normal"/>
    <w:autoRedefine/>
    <w:uiPriority w:val="39"/>
    <w:unhideWhenUsed/>
    <w:rsid w:val="00BC491A"/>
    <w:pPr>
      <w:ind w:left="960"/>
    </w:pPr>
  </w:style>
  <w:style w:type="paragraph" w:styleId="TOC6">
    <w:name w:val="toc 6"/>
    <w:basedOn w:val="Normal"/>
    <w:next w:val="Normal"/>
    <w:autoRedefine/>
    <w:uiPriority w:val="39"/>
    <w:unhideWhenUsed/>
    <w:rsid w:val="00BC491A"/>
    <w:pPr>
      <w:ind w:left="1200"/>
    </w:pPr>
  </w:style>
  <w:style w:type="paragraph" w:styleId="TOC7">
    <w:name w:val="toc 7"/>
    <w:basedOn w:val="Normal"/>
    <w:next w:val="Normal"/>
    <w:autoRedefine/>
    <w:uiPriority w:val="39"/>
    <w:unhideWhenUsed/>
    <w:rsid w:val="00BC491A"/>
    <w:pPr>
      <w:ind w:left="1440"/>
    </w:pPr>
  </w:style>
  <w:style w:type="paragraph" w:styleId="TOC8">
    <w:name w:val="toc 8"/>
    <w:basedOn w:val="Normal"/>
    <w:next w:val="Normal"/>
    <w:autoRedefine/>
    <w:uiPriority w:val="39"/>
    <w:unhideWhenUsed/>
    <w:rsid w:val="00BC491A"/>
    <w:pPr>
      <w:ind w:left="1680"/>
    </w:pPr>
  </w:style>
  <w:style w:type="paragraph" w:styleId="TOC9">
    <w:name w:val="toc 9"/>
    <w:basedOn w:val="Normal"/>
    <w:next w:val="Normal"/>
    <w:autoRedefine/>
    <w:uiPriority w:val="39"/>
    <w:unhideWhenUsed/>
    <w:rsid w:val="00BC491A"/>
    <w:pPr>
      <w:ind w:left="1920"/>
    </w:pPr>
  </w:style>
  <w:style w:type="character" w:customStyle="1" w:styleId="BodyTextChar">
    <w:name w:val="Body Text Char"/>
    <w:link w:val="BodyText"/>
    <w:rsid w:val="00BC491A"/>
    <w:rPr>
      <w:rFonts w:ascii="Arial" w:eastAsia="Times New Roman" w:hAnsi="Arial" w:cs="Arial"/>
      <w:szCs w:val="20"/>
    </w:rPr>
  </w:style>
  <w:style w:type="paragraph" w:styleId="BodyText">
    <w:name w:val="Body Text"/>
    <w:basedOn w:val="Normal"/>
    <w:link w:val="BodyTextChar"/>
    <w:rsid w:val="00BC491A"/>
    <w:pPr>
      <w:overflowPunct w:val="0"/>
      <w:autoSpaceDE w:val="0"/>
      <w:autoSpaceDN w:val="0"/>
      <w:adjustRightInd w:val="0"/>
      <w:textAlignment w:val="baseline"/>
    </w:pPr>
    <w:rPr>
      <w:rFonts w:ascii="Arial" w:eastAsia="Times New Roman" w:hAnsi="Arial" w:cs="Arial"/>
      <w:szCs w:val="20"/>
      <w:lang w:val="en-US"/>
    </w:rPr>
  </w:style>
  <w:style w:type="character" w:customStyle="1" w:styleId="BodyTextChar1">
    <w:name w:val="Body Text Char1"/>
    <w:basedOn w:val="DefaultParagraphFont"/>
    <w:uiPriority w:val="99"/>
    <w:semiHidden/>
    <w:rsid w:val="00BC491A"/>
    <w:rPr>
      <w:rFonts w:ascii="Times New Roman" w:eastAsia="MS Mincho" w:hAnsi="Times New Roman" w:cs="Times New Roman"/>
      <w:lang w:val="en-AU"/>
    </w:rPr>
  </w:style>
  <w:style w:type="character" w:customStyle="1" w:styleId="st">
    <w:name w:val="st"/>
    <w:basedOn w:val="DefaultParagraphFont"/>
    <w:rsid w:val="00BC491A"/>
  </w:style>
  <w:style w:type="character" w:styleId="Hyperlink">
    <w:name w:val="Hyperlink"/>
    <w:uiPriority w:val="99"/>
    <w:unhideWhenUsed/>
    <w:rsid w:val="00BC491A"/>
    <w:rPr>
      <w:color w:val="0000FF"/>
      <w:u w:val="single"/>
    </w:rPr>
  </w:style>
  <w:style w:type="paragraph" w:customStyle="1" w:styleId="Default">
    <w:name w:val="Default"/>
    <w:rsid w:val="00BC491A"/>
    <w:pPr>
      <w:widowControl w:val="0"/>
      <w:autoSpaceDE w:val="0"/>
      <w:autoSpaceDN w:val="0"/>
      <w:adjustRightInd w:val="0"/>
    </w:pPr>
    <w:rPr>
      <w:rFonts w:ascii="Arial" w:eastAsia="MS Mincho" w:hAnsi="Arial" w:cs="Arial"/>
      <w:color w:val="000000"/>
      <w:lang w:eastAsia="ja-JP"/>
    </w:rPr>
  </w:style>
  <w:style w:type="character" w:styleId="PageNumber">
    <w:name w:val="page number"/>
    <w:basedOn w:val="DefaultParagraphFont"/>
    <w:uiPriority w:val="99"/>
    <w:semiHidden/>
    <w:unhideWhenUsed/>
    <w:rsid w:val="00BC491A"/>
  </w:style>
  <w:style w:type="paragraph" w:styleId="DocumentMap">
    <w:name w:val="Document Map"/>
    <w:basedOn w:val="Normal"/>
    <w:link w:val="DocumentMapChar"/>
    <w:uiPriority w:val="99"/>
    <w:semiHidden/>
    <w:unhideWhenUsed/>
    <w:rsid w:val="00BC491A"/>
    <w:rPr>
      <w:rFonts w:ascii="Lucida Grande" w:hAnsi="Lucida Grande" w:cs="Lucida Grande"/>
    </w:rPr>
  </w:style>
  <w:style w:type="character" w:customStyle="1" w:styleId="DocumentMapChar">
    <w:name w:val="Document Map Char"/>
    <w:basedOn w:val="DefaultParagraphFont"/>
    <w:link w:val="DocumentMap"/>
    <w:uiPriority w:val="99"/>
    <w:semiHidden/>
    <w:rsid w:val="00BC491A"/>
    <w:rPr>
      <w:rFonts w:ascii="Lucida Grande" w:eastAsia="MS Mincho" w:hAnsi="Lucida Grande" w:cs="Lucida Grande"/>
      <w:lang w:val="en-AU"/>
    </w:rPr>
  </w:style>
  <w:style w:type="paragraph" w:customStyle="1" w:styleId="MediumGrid21">
    <w:name w:val="Medium Grid 21"/>
    <w:link w:val="MediumGrid2Char"/>
    <w:qFormat/>
    <w:rsid w:val="00BC491A"/>
    <w:rPr>
      <w:rFonts w:ascii="PMingLiU" w:eastAsia="MS Mincho" w:hAnsi="PMingLiU" w:cs="Times New Roman"/>
      <w:sz w:val="22"/>
      <w:szCs w:val="22"/>
    </w:rPr>
  </w:style>
  <w:style w:type="character" w:customStyle="1" w:styleId="MediumGrid2Char">
    <w:name w:val="Medium Grid 2 Char"/>
    <w:link w:val="MediumGrid21"/>
    <w:rsid w:val="00BC491A"/>
    <w:rPr>
      <w:rFonts w:ascii="PMingLiU" w:eastAsia="MS Mincho" w:hAnsi="PMingLiU" w:cs="Times New Roman"/>
      <w:sz w:val="22"/>
      <w:szCs w:val="22"/>
    </w:rPr>
  </w:style>
  <w:style w:type="character" w:styleId="CommentReference">
    <w:name w:val="annotation reference"/>
    <w:uiPriority w:val="99"/>
    <w:semiHidden/>
    <w:unhideWhenUsed/>
    <w:rsid w:val="00BC491A"/>
    <w:rPr>
      <w:sz w:val="18"/>
      <w:szCs w:val="18"/>
    </w:rPr>
  </w:style>
  <w:style w:type="character" w:styleId="Strong">
    <w:name w:val="Strong"/>
    <w:uiPriority w:val="22"/>
    <w:qFormat/>
    <w:rsid w:val="00BC491A"/>
    <w:rPr>
      <w:b/>
      <w:bCs/>
    </w:rPr>
  </w:style>
  <w:style w:type="paragraph" w:customStyle="1" w:styleId="ColorfulShading-Accent11">
    <w:name w:val="Colorful Shading - Accent 11"/>
    <w:hidden/>
    <w:uiPriority w:val="99"/>
    <w:semiHidden/>
    <w:rsid w:val="00BC491A"/>
    <w:rPr>
      <w:rFonts w:ascii="Times New Roman" w:eastAsia="MS Mincho" w:hAnsi="Times New Roman" w:cs="Times New Roman"/>
      <w:lang w:val="en-AU"/>
    </w:rPr>
  </w:style>
  <w:style w:type="character" w:styleId="Emphasis">
    <w:name w:val="Emphasis"/>
    <w:uiPriority w:val="20"/>
    <w:qFormat/>
    <w:rsid w:val="00BC491A"/>
    <w:rPr>
      <w:i/>
      <w:iCs/>
    </w:rPr>
  </w:style>
  <w:style w:type="character" w:styleId="FollowedHyperlink">
    <w:name w:val="FollowedHyperlink"/>
    <w:uiPriority w:val="99"/>
    <w:semiHidden/>
    <w:unhideWhenUsed/>
    <w:rsid w:val="00BC491A"/>
    <w:rPr>
      <w:color w:val="800080"/>
      <w:u w:val="single"/>
    </w:rPr>
  </w:style>
  <w:style w:type="paragraph" w:customStyle="1" w:styleId="H1equiv">
    <w:name w:val="H1equiv"/>
    <w:basedOn w:val="Heading1"/>
    <w:qFormat/>
    <w:rsid w:val="00BC491A"/>
    <w:rPr>
      <w:color w:val="000000"/>
    </w:rPr>
  </w:style>
  <w:style w:type="paragraph" w:styleId="TOCHeading">
    <w:name w:val="TOC Heading"/>
    <w:basedOn w:val="Heading1"/>
    <w:next w:val="Normal"/>
    <w:uiPriority w:val="39"/>
    <w:unhideWhenUsed/>
    <w:qFormat/>
    <w:rsid w:val="00BC491A"/>
    <w:pPr>
      <w:keepNext/>
      <w:keepLines/>
      <w:pBdr>
        <w:bottom w:val="none" w:sz="0" w:space="0" w:color="auto"/>
      </w:pBdr>
      <w:spacing w:before="240" w:after="0" w:line="259" w:lineRule="auto"/>
      <w:ind w:right="0"/>
      <w:jc w:val="left"/>
      <w:outlineLvl w:val="9"/>
    </w:pPr>
    <w:rPr>
      <w:rFonts w:ascii="Calibri Light" w:eastAsia="Times New Roman" w:hAnsi="Calibri Light"/>
      <w:b w:val="0"/>
      <w:color w:val="2E74B5"/>
      <w:sz w:val="32"/>
      <w:szCs w:val="32"/>
      <w:lang w:val="en-US"/>
    </w:rPr>
  </w:style>
  <w:style w:type="paragraph" w:customStyle="1" w:styleId="BQ">
    <w:name w:val="BQ"/>
    <w:basedOn w:val="Normal"/>
    <w:qFormat/>
    <w:rsid w:val="00BC491A"/>
    <w:pPr>
      <w:spacing w:after="360"/>
      <w:ind w:left="720"/>
      <w:jc w:val="both"/>
    </w:pPr>
    <w:rPr>
      <w:rFonts w:ascii="Calisto MT" w:hAnsi="Calisto MT"/>
      <w:sz w:val="22"/>
    </w:rPr>
  </w:style>
  <w:style w:type="paragraph" w:customStyle="1" w:styleId="BQsig">
    <w:name w:val="BQsig"/>
    <w:basedOn w:val="ColorfulList-Accent11"/>
    <w:qFormat/>
    <w:rsid w:val="00BC491A"/>
    <w:pPr>
      <w:spacing w:before="240" w:after="0" w:line="480" w:lineRule="auto"/>
      <w:jc w:val="right"/>
    </w:pPr>
    <w:rPr>
      <w:rFonts w:ascii="Calisto MT" w:hAnsi="Calisto MT"/>
      <w:color w:val="000000"/>
      <w:sz w:val="20"/>
    </w:rPr>
  </w:style>
  <w:style w:type="table" w:styleId="TableGrid">
    <w:name w:val="Table Grid"/>
    <w:basedOn w:val="TableNormal"/>
    <w:uiPriority w:val="59"/>
    <w:rsid w:val="00BC491A"/>
    <w:rPr>
      <w:rFonts w:ascii="Cambria" w:eastAsia="MS Mincho" w:hAnsi="Cambria"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C491A"/>
  </w:style>
  <w:style w:type="paragraph" w:customStyle="1" w:styleId="H2equiv">
    <w:name w:val="H2equiv"/>
    <w:qFormat/>
    <w:rsid w:val="00BC491A"/>
    <w:pPr>
      <w:keepNext/>
      <w:keepLines/>
      <w:spacing w:before="480" w:after="240"/>
      <w:ind w:left="720" w:hanging="720"/>
    </w:pPr>
    <w:rPr>
      <w:rFonts w:ascii="Calisto MT" w:eastAsia="MS Mincho" w:hAnsi="Calisto MT" w:cs="Times New Roman"/>
      <w:b/>
      <w:color w:val="000000"/>
      <w:sz w:val="26"/>
      <w:lang w:val="en-AU"/>
    </w:rPr>
  </w:style>
  <w:style w:type="character" w:customStyle="1" w:styleId="italic">
    <w:name w:val="italic"/>
    <w:basedOn w:val="DefaultParagraphFont"/>
    <w:rsid w:val="00BC491A"/>
  </w:style>
  <w:style w:type="paragraph" w:styleId="EndnoteText">
    <w:name w:val="endnote text"/>
    <w:basedOn w:val="Normal"/>
    <w:link w:val="EndnoteTextChar"/>
    <w:uiPriority w:val="99"/>
    <w:unhideWhenUsed/>
    <w:rsid w:val="00191F6E"/>
  </w:style>
  <w:style w:type="character" w:customStyle="1" w:styleId="EndnoteTextChar">
    <w:name w:val="Endnote Text Char"/>
    <w:basedOn w:val="DefaultParagraphFont"/>
    <w:link w:val="EndnoteText"/>
    <w:uiPriority w:val="99"/>
    <w:rsid w:val="00191F6E"/>
    <w:rPr>
      <w:rFonts w:ascii="Times New Roman" w:eastAsia="MS Mincho" w:hAnsi="Times New Roman" w:cs="Times New Roman"/>
      <w:lang w:val="en-AU"/>
    </w:rPr>
  </w:style>
  <w:style w:type="character" w:styleId="EndnoteReference">
    <w:name w:val="endnote reference"/>
    <w:basedOn w:val="DefaultParagraphFont"/>
    <w:uiPriority w:val="99"/>
    <w:unhideWhenUsed/>
    <w:rsid w:val="00191F6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1A"/>
    <w:rPr>
      <w:rFonts w:ascii="Times New Roman" w:eastAsia="MS Mincho" w:hAnsi="Times New Roman" w:cs="Times New Roman"/>
      <w:lang w:val="en-AU"/>
    </w:rPr>
  </w:style>
  <w:style w:type="paragraph" w:styleId="Heading1">
    <w:name w:val="heading 1"/>
    <w:basedOn w:val="Normal"/>
    <w:next w:val="Normal"/>
    <w:link w:val="Heading1Char"/>
    <w:uiPriority w:val="9"/>
    <w:qFormat/>
    <w:rsid w:val="00BC491A"/>
    <w:pPr>
      <w:pBdr>
        <w:bottom w:val="single" w:sz="4" w:space="1" w:color="auto"/>
      </w:pBdr>
      <w:spacing w:after="360" w:line="480" w:lineRule="auto"/>
      <w:ind w:right="78"/>
      <w:jc w:val="center"/>
      <w:outlineLvl w:val="0"/>
    </w:pPr>
    <w:rPr>
      <w:rFonts w:ascii="Calisto MT" w:hAnsi="Calisto MT"/>
      <w:b/>
      <w:sz w:val="26"/>
    </w:rPr>
  </w:style>
  <w:style w:type="paragraph" w:styleId="Heading2">
    <w:name w:val="heading 2"/>
    <w:basedOn w:val="Normal"/>
    <w:next w:val="Normal"/>
    <w:link w:val="Heading2Char"/>
    <w:uiPriority w:val="9"/>
    <w:unhideWhenUsed/>
    <w:qFormat/>
    <w:rsid w:val="00BC491A"/>
    <w:pPr>
      <w:keepNext/>
      <w:keepLines/>
      <w:spacing w:before="480" w:line="480" w:lineRule="auto"/>
      <w:jc w:val="both"/>
      <w:outlineLvl w:val="1"/>
    </w:pPr>
    <w:rPr>
      <w:rFonts w:ascii="Calisto MT" w:hAnsi="Calisto MT"/>
      <w:b/>
      <w:sz w:val="26"/>
    </w:rPr>
  </w:style>
  <w:style w:type="paragraph" w:styleId="Heading3">
    <w:name w:val="heading 3"/>
    <w:basedOn w:val="Normal"/>
    <w:next w:val="Normal"/>
    <w:link w:val="Heading3Char"/>
    <w:uiPriority w:val="9"/>
    <w:unhideWhenUsed/>
    <w:qFormat/>
    <w:rsid w:val="00BC491A"/>
    <w:pPr>
      <w:keepNext/>
      <w:keepLines/>
      <w:spacing w:before="360" w:line="480" w:lineRule="auto"/>
      <w:jc w:val="both"/>
      <w:outlineLvl w:val="2"/>
    </w:pPr>
    <w:rPr>
      <w:rFonts w:ascii="Calisto MT" w:hAnsi="Calisto MT"/>
      <w:sz w:val="26"/>
      <w:u w:val="single"/>
    </w:rPr>
  </w:style>
  <w:style w:type="paragraph" w:styleId="Heading4">
    <w:name w:val="heading 4"/>
    <w:basedOn w:val="Normal"/>
    <w:next w:val="Normal"/>
    <w:link w:val="Heading4Char"/>
    <w:uiPriority w:val="9"/>
    <w:unhideWhenUsed/>
    <w:qFormat/>
    <w:rsid w:val="00BC491A"/>
    <w:pPr>
      <w:keepNext/>
      <w:keepLines/>
      <w:spacing w:before="360" w:line="480" w:lineRule="auto"/>
      <w:jc w:val="both"/>
      <w:outlineLvl w:val="3"/>
    </w:pPr>
    <w:rPr>
      <w:rFonts w:ascii="Calisto MT" w:hAnsi="Calisto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91A"/>
    <w:rPr>
      <w:rFonts w:ascii="Calisto MT" w:eastAsia="MS Mincho" w:hAnsi="Calisto MT" w:cs="Times New Roman"/>
      <w:b/>
      <w:sz w:val="26"/>
      <w:lang w:val="en-AU"/>
    </w:rPr>
  </w:style>
  <w:style w:type="character" w:customStyle="1" w:styleId="Heading2Char">
    <w:name w:val="Heading 2 Char"/>
    <w:basedOn w:val="DefaultParagraphFont"/>
    <w:link w:val="Heading2"/>
    <w:uiPriority w:val="9"/>
    <w:rsid w:val="00BC491A"/>
    <w:rPr>
      <w:rFonts w:ascii="Calisto MT" w:eastAsia="MS Mincho" w:hAnsi="Calisto MT" w:cs="Times New Roman"/>
      <w:b/>
      <w:sz w:val="26"/>
      <w:lang w:val="en-AU"/>
    </w:rPr>
  </w:style>
  <w:style w:type="character" w:customStyle="1" w:styleId="Heading3Char">
    <w:name w:val="Heading 3 Char"/>
    <w:basedOn w:val="DefaultParagraphFont"/>
    <w:link w:val="Heading3"/>
    <w:uiPriority w:val="9"/>
    <w:rsid w:val="00BC491A"/>
    <w:rPr>
      <w:rFonts w:ascii="Calisto MT" w:eastAsia="MS Mincho" w:hAnsi="Calisto MT" w:cs="Times New Roman"/>
      <w:sz w:val="26"/>
      <w:u w:val="single"/>
      <w:lang w:val="en-AU"/>
    </w:rPr>
  </w:style>
  <w:style w:type="character" w:customStyle="1" w:styleId="Heading4Char">
    <w:name w:val="Heading 4 Char"/>
    <w:basedOn w:val="DefaultParagraphFont"/>
    <w:link w:val="Heading4"/>
    <w:uiPriority w:val="9"/>
    <w:rsid w:val="00BC491A"/>
    <w:rPr>
      <w:rFonts w:ascii="Calisto MT" w:eastAsia="MS Mincho" w:hAnsi="Calisto MT" w:cs="Times New Roman"/>
      <w:b/>
      <w:lang w:val="en-AU"/>
    </w:rPr>
  </w:style>
  <w:style w:type="paragraph" w:customStyle="1" w:styleId="ColorfulList-Accent11">
    <w:name w:val="Colorful List - Accent 11"/>
    <w:basedOn w:val="Normal"/>
    <w:uiPriority w:val="99"/>
    <w:qFormat/>
    <w:rsid w:val="00BC491A"/>
    <w:pPr>
      <w:spacing w:after="200" w:line="276" w:lineRule="auto"/>
      <w:ind w:left="720"/>
      <w:contextualSpacing/>
    </w:pPr>
    <w:rPr>
      <w:rFonts w:ascii="Calibri" w:eastAsia="Times New Roman" w:hAnsi="Calibri"/>
      <w:sz w:val="22"/>
      <w:szCs w:val="22"/>
    </w:rPr>
  </w:style>
  <w:style w:type="character" w:customStyle="1" w:styleId="uistorymessage">
    <w:name w:val="uistory_message"/>
    <w:basedOn w:val="DefaultParagraphFont"/>
    <w:rsid w:val="00BC491A"/>
  </w:style>
  <w:style w:type="paragraph" w:styleId="FootnoteText">
    <w:name w:val="footnote text"/>
    <w:aliases w:val="FN,Footnote Text Char1 Char,Footnote Text Char Char Char,Footnote Text Char1 Char Char Char,Footnote Text Char Char Char Char Char,Footnote Text Char2 Char Char Char Char Char,Footnote Text Char Char,Ca"/>
    <w:basedOn w:val="Normal"/>
    <w:link w:val="FootnoteTextChar"/>
    <w:uiPriority w:val="99"/>
    <w:rsid w:val="00BC491A"/>
    <w:pPr>
      <w:spacing w:after="60"/>
      <w:jc w:val="both"/>
    </w:pPr>
    <w:rPr>
      <w:rFonts w:ascii="Calisto MT" w:eastAsia="Times New Roman" w:hAnsi="Calisto MT"/>
      <w:sz w:val="20"/>
      <w:szCs w:val="20"/>
    </w:rPr>
  </w:style>
  <w:style w:type="character" w:customStyle="1" w:styleId="FootnoteTextChar">
    <w:name w:val="Footnote Text Char"/>
    <w:aliases w:val="FN Char,Footnote Text Char1 Char Char,Footnote Text Char Char Char Char,Footnote Text Char1 Char Char Char Char,Footnote Text Char Char Char Char Char Char,Footnote Text Char2 Char Char Char Char Char Char,Ca Char"/>
    <w:basedOn w:val="DefaultParagraphFont"/>
    <w:link w:val="FootnoteText"/>
    <w:uiPriority w:val="99"/>
    <w:rsid w:val="00BC491A"/>
    <w:rPr>
      <w:rFonts w:ascii="Calisto MT" w:eastAsia="Times New Roman" w:hAnsi="Calisto MT" w:cs="Times New Roman"/>
      <w:sz w:val="20"/>
      <w:szCs w:val="20"/>
      <w:lang w:val="en-AU"/>
    </w:rPr>
  </w:style>
  <w:style w:type="character" w:styleId="FootnoteReference">
    <w:name w:val="footnote reference"/>
    <w:uiPriority w:val="99"/>
    <w:rsid w:val="00BC491A"/>
    <w:rPr>
      <w:vertAlign w:val="superscript"/>
    </w:rPr>
  </w:style>
  <w:style w:type="character" w:customStyle="1" w:styleId="CommentTextChar">
    <w:name w:val="Comment Text Char"/>
    <w:link w:val="CommentText"/>
    <w:uiPriority w:val="99"/>
    <w:semiHidden/>
    <w:rsid w:val="00BC491A"/>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BC491A"/>
    <w:rPr>
      <w:rFonts w:eastAsia="Times New Roman"/>
      <w:sz w:val="20"/>
      <w:szCs w:val="20"/>
      <w:lang w:val="en-US"/>
    </w:rPr>
  </w:style>
  <w:style w:type="character" w:customStyle="1" w:styleId="CommentTextChar1">
    <w:name w:val="Comment Text Char1"/>
    <w:basedOn w:val="DefaultParagraphFont"/>
    <w:uiPriority w:val="99"/>
    <w:semiHidden/>
    <w:rsid w:val="00BC491A"/>
    <w:rPr>
      <w:rFonts w:ascii="Times New Roman" w:eastAsia="MS Mincho" w:hAnsi="Times New Roman" w:cs="Times New Roman"/>
      <w:lang w:val="en-AU"/>
    </w:rPr>
  </w:style>
  <w:style w:type="character" w:customStyle="1" w:styleId="CommentSubjectChar">
    <w:name w:val="Comment Subject Char"/>
    <w:link w:val="CommentSubject"/>
    <w:uiPriority w:val="99"/>
    <w:semiHidden/>
    <w:rsid w:val="00BC491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BC491A"/>
    <w:rPr>
      <w:b/>
      <w:bCs/>
    </w:rPr>
  </w:style>
  <w:style w:type="character" w:customStyle="1" w:styleId="CommentSubjectChar1">
    <w:name w:val="Comment Subject Char1"/>
    <w:basedOn w:val="CommentTextChar1"/>
    <w:uiPriority w:val="99"/>
    <w:semiHidden/>
    <w:rsid w:val="00BC491A"/>
    <w:rPr>
      <w:rFonts w:ascii="Times New Roman" w:eastAsia="MS Mincho" w:hAnsi="Times New Roman" w:cs="Times New Roman"/>
      <w:b/>
      <w:bCs/>
      <w:sz w:val="20"/>
      <w:szCs w:val="20"/>
      <w:lang w:val="en-AU"/>
    </w:rPr>
  </w:style>
  <w:style w:type="character" w:customStyle="1" w:styleId="BalloonTextChar">
    <w:name w:val="Balloon Text Char"/>
    <w:link w:val="BalloonText"/>
    <w:uiPriority w:val="99"/>
    <w:semiHidden/>
    <w:rsid w:val="00BC491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C491A"/>
    <w:rPr>
      <w:rFonts w:ascii="Tahoma" w:eastAsia="Times New Roman" w:hAnsi="Tahoma" w:cs="Tahoma"/>
      <w:sz w:val="16"/>
      <w:szCs w:val="16"/>
      <w:lang w:val="en-US"/>
    </w:rPr>
  </w:style>
  <w:style w:type="character" w:customStyle="1" w:styleId="BalloonTextChar1">
    <w:name w:val="Balloon Text Char1"/>
    <w:basedOn w:val="DefaultParagraphFont"/>
    <w:uiPriority w:val="99"/>
    <w:semiHidden/>
    <w:rsid w:val="00BC491A"/>
    <w:rPr>
      <w:rFonts w:ascii="Lucida Grande" w:eastAsia="MS Mincho" w:hAnsi="Lucida Grande" w:cs="Lucida Grande"/>
      <w:sz w:val="18"/>
      <w:szCs w:val="18"/>
      <w:lang w:val="en-AU"/>
    </w:rPr>
  </w:style>
  <w:style w:type="character" w:customStyle="1" w:styleId="FooterChar">
    <w:name w:val="Footer Char"/>
    <w:link w:val="Footer"/>
    <w:uiPriority w:val="99"/>
    <w:rsid w:val="00BC491A"/>
    <w:rPr>
      <w:rFonts w:ascii="Times New Roman" w:eastAsia="Times New Roman" w:hAnsi="Times New Roman" w:cs="Times New Roman"/>
    </w:rPr>
  </w:style>
  <w:style w:type="paragraph" w:styleId="Footer">
    <w:name w:val="footer"/>
    <w:basedOn w:val="Normal"/>
    <w:link w:val="FooterChar"/>
    <w:uiPriority w:val="99"/>
    <w:unhideWhenUsed/>
    <w:rsid w:val="00BC491A"/>
    <w:pPr>
      <w:tabs>
        <w:tab w:val="center" w:pos="4320"/>
        <w:tab w:val="right" w:pos="8640"/>
      </w:tabs>
    </w:pPr>
    <w:rPr>
      <w:rFonts w:eastAsia="Times New Roman"/>
      <w:lang w:val="en-US"/>
    </w:rPr>
  </w:style>
  <w:style w:type="character" w:customStyle="1" w:styleId="FooterChar1">
    <w:name w:val="Footer Char1"/>
    <w:basedOn w:val="DefaultParagraphFont"/>
    <w:uiPriority w:val="99"/>
    <w:semiHidden/>
    <w:rsid w:val="00BC491A"/>
    <w:rPr>
      <w:rFonts w:ascii="Times New Roman" w:eastAsia="MS Mincho" w:hAnsi="Times New Roman" w:cs="Times New Roman"/>
      <w:lang w:val="en-AU"/>
    </w:rPr>
  </w:style>
  <w:style w:type="character" w:customStyle="1" w:styleId="HeaderChar">
    <w:name w:val="Header Char"/>
    <w:link w:val="Header"/>
    <w:uiPriority w:val="99"/>
    <w:rsid w:val="00BC491A"/>
    <w:rPr>
      <w:rFonts w:ascii="Times New Roman" w:eastAsia="Times New Roman" w:hAnsi="Times New Roman" w:cs="Times New Roman"/>
    </w:rPr>
  </w:style>
  <w:style w:type="paragraph" w:styleId="Header">
    <w:name w:val="header"/>
    <w:basedOn w:val="Normal"/>
    <w:link w:val="HeaderChar"/>
    <w:uiPriority w:val="99"/>
    <w:unhideWhenUsed/>
    <w:rsid w:val="00BC491A"/>
    <w:pPr>
      <w:tabs>
        <w:tab w:val="center" w:pos="4320"/>
        <w:tab w:val="right" w:pos="8640"/>
      </w:tabs>
    </w:pPr>
    <w:rPr>
      <w:rFonts w:eastAsia="Times New Roman"/>
      <w:lang w:val="en-US"/>
    </w:rPr>
  </w:style>
  <w:style w:type="character" w:customStyle="1" w:styleId="HeaderChar1">
    <w:name w:val="Header Char1"/>
    <w:basedOn w:val="DefaultParagraphFont"/>
    <w:uiPriority w:val="99"/>
    <w:semiHidden/>
    <w:rsid w:val="00BC491A"/>
    <w:rPr>
      <w:rFonts w:ascii="Times New Roman" w:eastAsia="MS Mincho" w:hAnsi="Times New Roman" w:cs="Times New Roman"/>
      <w:lang w:val="en-AU"/>
    </w:rPr>
  </w:style>
  <w:style w:type="paragraph" w:styleId="TOC1">
    <w:name w:val="toc 1"/>
    <w:basedOn w:val="Normal"/>
    <w:next w:val="Normal"/>
    <w:autoRedefine/>
    <w:uiPriority w:val="39"/>
    <w:unhideWhenUsed/>
    <w:rsid w:val="00BC491A"/>
    <w:pPr>
      <w:tabs>
        <w:tab w:val="right" w:leader="dot" w:pos="8488"/>
      </w:tabs>
      <w:spacing w:before="240"/>
    </w:pPr>
    <w:rPr>
      <w:rFonts w:ascii="Calisto MT" w:hAnsi="Calisto MT"/>
      <w:b/>
    </w:rPr>
  </w:style>
  <w:style w:type="paragraph" w:styleId="TOC2">
    <w:name w:val="toc 2"/>
    <w:basedOn w:val="Normal"/>
    <w:next w:val="Normal"/>
    <w:autoRedefine/>
    <w:uiPriority w:val="39"/>
    <w:unhideWhenUsed/>
    <w:rsid w:val="00BC491A"/>
    <w:pPr>
      <w:spacing w:before="120" w:after="120"/>
      <w:ind w:left="357"/>
    </w:pPr>
    <w:rPr>
      <w:rFonts w:ascii="Calisto MT" w:hAnsi="Calisto MT"/>
    </w:rPr>
  </w:style>
  <w:style w:type="paragraph" w:styleId="TOC3">
    <w:name w:val="toc 3"/>
    <w:basedOn w:val="Normal"/>
    <w:next w:val="Normal"/>
    <w:autoRedefine/>
    <w:uiPriority w:val="39"/>
    <w:unhideWhenUsed/>
    <w:rsid w:val="00BC491A"/>
    <w:pPr>
      <w:ind w:left="720"/>
    </w:pPr>
    <w:rPr>
      <w:rFonts w:ascii="Calisto MT" w:hAnsi="Calisto MT"/>
    </w:rPr>
  </w:style>
  <w:style w:type="paragraph" w:styleId="TOC4">
    <w:name w:val="toc 4"/>
    <w:basedOn w:val="Normal"/>
    <w:next w:val="Normal"/>
    <w:autoRedefine/>
    <w:uiPriority w:val="39"/>
    <w:unhideWhenUsed/>
    <w:rsid w:val="00BC491A"/>
    <w:pPr>
      <w:ind w:left="720"/>
    </w:pPr>
  </w:style>
  <w:style w:type="paragraph" w:styleId="TOC5">
    <w:name w:val="toc 5"/>
    <w:basedOn w:val="Normal"/>
    <w:next w:val="Normal"/>
    <w:autoRedefine/>
    <w:uiPriority w:val="39"/>
    <w:unhideWhenUsed/>
    <w:rsid w:val="00BC491A"/>
    <w:pPr>
      <w:ind w:left="960"/>
    </w:pPr>
  </w:style>
  <w:style w:type="paragraph" w:styleId="TOC6">
    <w:name w:val="toc 6"/>
    <w:basedOn w:val="Normal"/>
    <w:next w:val="Normal"/>
    <w:autoRedefine/>
    <w:uiPriority w:val="39"/>
    <w:unhideWhenUsed/>
    <w:rsid w:val="00BC491A"/>
    <w:pPr>
      <w:ind w:left="1200"/>
    </w:pPr>
  </w:style>
  <w:style w:type="paragraph" w:styleId="TOC7">
    <w:name w:val="toc 7"/>
    <w:basedOn w:val="Normal"/>
    <w:next w:val="Normal"/>
    <w:autoRedefine/>
    <w:uiPriority w:val="39"/>
    <w:unhideWhenUsed/>
    <w:rsid w:val="00BC491A"/>
    <w:pPr>
      <w:ind w:left="1440"/>
    </w:pPr>
  </w:style>
  <w:style w:type="paragraph" w:styleId="TOC8">
    <w:name w:val="toc 8"/>
    <w:basedOn w:val="Normal"/>
    <w:next w:val="Normal"/>
    <w:autoRedefine/>
    <w:uiPriority w:val="39"/>
    <w:unhideWhenUsed/>
    <w:rsid w:val="00BC491A"/>
    <w:pPr>
      <w:ind w:left="1680"/>
    </w:pPr>
  </w:style>
  <w:style w:type="paragraph" w:styleId="TOC9">
    <w:name w:val="toc 9"/>
    <w:basedOn w:val="Normal"/>
    <w:next w:val="Normal"/>
    <w:autoRedefine/>
    <w:uiPriority w:val="39"/>
    <w:unhideWhenUsed/>
    <w:rsid w:val="00BC491A"/>
    <w:pPr>
      <w:ind w:left="1920"/>
    </w:pPr>
  </w:style>
  <w:style w:type="character" w:customStyle="1" w:styleId="BodyTextChar">
    <w:name w:val="Body Text Char"/>
    <w:link w:val="BodyText"/>
    <w:rsid w:val="00BC491A"/>
    <w:rPr>
      <w:rFonts w:ascii="Arial" w:eastAsia="Times New Roman" w:hAnsi="Arial" w:cs="Arial"/>
      <w:szCs w:val="20"/>
    </w:rPr>
  </w:style>
  <w:style w:type="paragraph" w:styleId="BodyText">
    <w:name w:val="Body Text"/>
    <w:basedOn w:val="Normal"/>
    <w:link w:val="BodyTextChar"/>
    <w:rsid w:val="00BC491A"/>
    <w:pPr>
      <w:overflowPunct w:val="0"/>
      <w:autoSpaceDE w:val="0"/>
      <w:autoSpaceDN w:val="0"/>
      <w:adjustRightInd w:val="0"/>
      <w:textAlignment w:val="baseline"/>
    </w:pPr>
    <w:rPr>
      <w:rFonts w:ascii="Arial" w:eastAsia="Times New Roman" w:hAnsi="Arial" w:cs="Arial"/>
      <w:szCs w:val="20"/>
      <w:lang w:val="en-US"/>
    </w:rPr>
  </w:style>
  <w:style w:type="character" w:customStyle="1" w:styleId="BodyTextChar1">
    <w:name w:val="Body Text Char1"/>
    <w:basedOn w:val="DefaultParagraphFont"/>
    <w:uiPriority w:val="99"/>
    <w:semiHidden/>
    <w:rsid w:val="00BC491A"/>
    <w:rPr>
      <w:rFonts w:ascii="Times New Roman" w:eastAsia="MS Mincho" w:hAnsi="Times New Roman" w:cs="Times New Roman"/>
      <w:lang w:val="en-AU"/>
    </w:rPr>
  </w:style>
  <w:style w:type="character" w:customStyle="1" w:styleId="st">
    <w:name w:val="st"/>
    <w:basedOn w:val="DefaultParagraphFont"/>
    <w:rsid w:val="00BC491A"/>
  </w:style>
  <w:style w:type="character" w:styleId="Hyperlink">
    <w:name w:val="Hyperlink"/>
    <w:uiPriority w:val="99"/>
    <w:unhideWhenUsed/>
    <w:rsid w:val="00BC491A"/>
    <w:rPr>
      <w:color w:val="0000FF"/>
      <w:u w:val="single"/>
    </w:rPr>
  </w:style>
  <w:style w:type="paragraph" w:customStyle="1" w:styleId="Default">
    <w:name w:val="Default"/>
    <w:rsid w:val="00BC491A"/>
    <w:pPr>
      <w:widowControl w:val="0"/>
      <w:autoSpaceDE w:val="0"/>
      <w:autoSpaceDN w:val="0"/>
      <w:adjustRightInd w:val="0"/>
    </w:pPr>
    <w:rPr>
      <w:rFonts w:ascii="Arial" w:eastAsia="MS Mincho" w:hAnsi="Arial" w:cs="Arial"/>
      <w:color w:val="000000"/>
      <w:lang w:eastAsia="ja-JP"/>
    </w:rPr>
  </w:style>
  <w:style w:type="character" w:styleId="PageNumber">
    <w:name w:val="page number"/>
    <w:basedOn w:val="DefaultParagraphFont"/>
    <w:uiPriority w:val="99"/>
    <w:semiHidden/>
    <w:unhideWhenUsed/>
    <w:rsid w:val="00BC491A"/>
  </w:style>
  <w:style w:type="paragraph" w:styleId="DocumentMap">
    <w:name w:val="Document Map"/>
    <w:basedOn w:val="Normal"/>
    <w:link w:val="DocumentMapChar"/>
    <w:uiPriority w:val="99"/>
    <w:semiHidden/>
    <w:unhideWhenUsed/>
    <w:rsid w:val="00BC491A"/>
    <w:rPr>
      <w:rFonts w:ascii="Lucida Grande" w:hAnsi="Lucida Grande" w:cs="Lucida Grande"/>
    </w:rPr>
  </w:style>
  <w:style w:type="character" w:customStyle="1" w:styleId="DocumentMapChar">
    <w:name w:val="Document Map Char"/>
    <w:basedOn w:val="DefaultParagraphFont"/>
    <w:link w:val="DocumentMap"/>
    <w:uiPriority w:val="99"/>
    <w:semiHidden/>
    <w:rsid w:val="00BC491A"/>
    <w:rPr>
      <w:rFonts w:ascii="Lucida Grande" w:eastAsia="MS Mincho" w:hAnsi="Lucida Grande" w:cs="Lucida Grande"/>
      <w:lang w:val="en-AU"/>
    </w:rPr>
  </w:style>
  <w:style w:type="paragraph" w:customStyle="1" w:styleId="MediumGrid21">
    <w:name w:val="Medium Grid 21"/>
    <w:link w:val="MediumGrid2Char"/>
    <w:qFormat/>
    <w:rsid w:val="00BC491A"/>
    <w:rPr>
      <w:rFonts w:ascii="PMingLiU" w:eastAsia="MS Mincho" w:hAnsi="PMingLiU" w:cs="Times New Roman"/>
      <w:sz w:val="22"/>
      <w:szCs w:val="22"/>
    </w:rPr>
  </w:style>
  <w:style w:type="character" w:customStyle="1" w:styleId="MediumGrid2Char">
    <w:name w:val="Medium Grid 2 Char"/>
    <w:link w:val="MediumGrid21"/>
    <w:rsid w:val="00BC491A"/>
    <w:rPr>
      <w:rFonts w:ascii="PMingLiU" w:eastAsia="MS Mincho" w:hAnsi="PMingLiU" w:cs="Times New Roman"/>
      <w:sz w:val="22"/>
      <w:szCs w:val="22"/>
    </w:rPr>
  </w:style>
  <w:style w:type="character" w:styleId="CommentReference">
    <w:name w:val="annotation reference"/>
    <w:uiPriority w:val="99"/>
    <w:semiHidden/>
    <w:unhideWhenUsed/>
    <w:rsid w:val="00BC491A"/>
    <w:rPr>
      <w:sz w:val="18"/>
      <w:szCs w:val="18"/>
    </w:rPr>
  </w:style>
  <w:style w:type="character" w:styleId="Strong">
    <w:name w:val="Strong"/>
    <w:uiPriority w:val="22"/>
    <w:qFormat/>
    <w:rsid w:val="00BC491A"/>
    <w:rPr>
      <w:b/>
      <w:bCs/>
    </w:rPr>
  </w:style>
  <w:style w:type="paragraph" w:customStyle="1" w:styleId="ColorfulShading-Accent11">
    <w:name w:val="Colorful Shading - Accent 11"/>
    <w:hidden/>
    <w:uiPriority w:val="99"/>
    <w:semiHidden/>
    <w:rsid w:val="00BC491A"/>
    <w:rPr>
      <w:rFonts w:ascii="Times New Roman" w:eastAsia="MS Mincho" w:hAnsi="Times New Roman" w:cs="Times New Roman"/>
      <w:lang w:val="en-AU"/>
    </w:rPr>
  </w:style>
  <w:style w:type="character" w:styleId="Emphasis">
    <w:name w:val="Emphasis"/>
    <w:uiPriority w:val="20"/>
    <w:qFormat/>
    <w:rsid w:val="00BC491A"/>
    <w:rPr>
      <w:i/>
      <w:iCs/>
    </w:rPr>
  </w:style>
  <w:style w:type="character" w:styleId="FollowedHyperlink">
    <w:name w:val="FollowedHyperlink"/>
    <w:uiPriority w:val="99"/>
    <w:semiHidden/>
    <w:unhideWhenUsed/>
    <w:rsid w:val="00BC491A"/>
    <w:rPr>
      <w:color w:val="800080"/>
      <w:u w:val="single"/>
    </w:rPr>
  </w:style>
  <w:style w:type="paragraph" w:customStyle="1" w:styleId="H1equiv">
    <w:name w:val="H1equiv"/>
    <w:basedOn w:val="Heading1"/>
    <w:qFormat/>
    <w:rsid w:val="00BC491A"/>
    <w:rPr>
      <w:color w:val="000000"/>
    </w:rPr>
  </w:style>
  <w:style w:type="paragraph" w:styleId="TOCHeading">
    <w:name w:val="TOC Heading"/>
    <w:basedOn w:val="Heading1"/>
    <w:next w:val="Normal"/>
    <w:uiPriority w:val="39"/>
    <w:unhideWhenUsed/>
    <w:qFormat/>
    <w:rsid w:val="00BC491A"/>
    <w:pPr>
      <w:keepNext/>
      <w:keepLines/>
      <w:pBdr>
        <w:bottom w:val="none" w:sz="0" w:space="0" w:color="auto"/>
      </w:pBdr>
      <w:spacing w:before="240" w:after="0" w:line="259" w:lineRule="auto"/>
      <w:ind w:right="0"/>
      <w:jc w:val="left"/>
      <w:outlineLvl w:val="9"/>
    </w:pPr>
    <w:rPr>
      <w:rFonts w:ascii="Calibri Light" w:eastAsia="Times New Roman" w:hAnsi="Calibri Light"/>
      <w:b w:val="0"/>
      <w:color w:val="2E74B5"/>
      <w:sz w:val="32"/>
      <w:szCs w:val="32"/>
      <w:lang w:val="en-US"/>
    </w:rPr>
  </w:style>
  <w:style w:type="paragraph" w:customStyle="1" w:styleId="BQ">
    <w:name w:val="BQ"/>
    <w:basedOn w:val="Normal"/>
    <w:qFormat/>
    <w:rsid w:val="00BC491A"/>
    <w:pPr>
      <w:spacing w:after="360"/>
      <w:ind w:left="720"/>
      <w:jc w:val="both"/>
    </w:pPr>
    <w:rPr>
      <w:rFonts w:ascii="Calisto MT" w:hAnsi="Calisto MT"/>
      <w:sz w:val="22"/>
    </w:rPr>
  </w:style>
  <w:style w:type="paragraph" w:customStyle="1" w:styleId="BQsig">
    <w:name w:val="BQsig"/>
    <w:basedOn w:val="ColorfulList-Accent11"/>
    <w:qFormat/>
    <w:rsid w:val="00BC491A"/>
    <w:pPr>
      <w:spacing w:before="240" w:after="0" w:line="480" w:lineRule="auto"/>
      <w:jc w:val="right"/>
    </w:pPr>
    <w:rPr>
      <w:rFonts w:ascii="Calisto MT" w:hAnsi="Calisto MT"/>
      <w:color w:val="000000"/>
      <w:sz w:val="20"/>
    </w:rPr>
  </w:style>
  <w:style w:type="table" w:styleId="TableGrid">
    <w:name w:val="Table Grid"/>
    <w:basedOn w:val="TableNormal"/>
    <w:uiPriority w:val="59"/>
    <w:rsid w:val="00BC491A"/>
    <w:rPr>
      <w:rFonts w:ascii="Cambria" w:eastAsia="MS Mincho" w:hAnsi="Cambria"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C491A"/>
  </w:style>
  <w:style w:type="paragraph" w:customStyle="1" w:styleId="H2equiv">
    <w:name w:val="H2equiv"/>
    <w:qFormat/>
    <w:rsid w:val="00BC491A"/>
    <w:pPr>
      <w:keepNext/>
      <w:keepLines/>
      <w:spacing w:before="480" w:after="240"/>
      <w:ind w:left="720" w:hanging="720"/>
    </w:pPr>
    <w:rPr>
      <w:rFonts w:ascii="Calisto MT" w:eastAsia="MS Mincho" w:hAnsi="Calisto MT" w:cs="Times New Roman"/>
      <w:b/>
      <w:color w:val="000000"/>
      <w:sz w:val="26"/>
      <w:lang w:val="en-AU"/>
    </w:rPr>
  </w:style>
  <w:style w:type="character" w:customStyle="1" w:styleId="italic">
    <w:name w:val="italic"/>
    <w:basedOn w:val="DefaultParagraphFont"/>
    <w:rsid w:val="00BC491A"/>
  </w:style>
  <w:style w:type="paragraph" w:styleId="EndnoteText">
    <w:name w:val="endnote text"/>
    <w:basedOn w:val="Normal"/>
    <w:link w:val="EndnoteTextChar"/>
    <w:uiPriority w:val="99"/>
    <w:unhideWhenUsed/>
    <w:rsid w:val="00191F6E"/>
  </w:style>
  <w:style w:type="character" w:customStyle="1" w:styleId="EndnoteTextChar">
    <w:name w:val="Endnote Text Char"/>
    <w:basedOn w:val="DefaultParagraphFont"/>
    <w:link w:val="EndnoteText"/>
    <w:uiPriority w:val="99"/>
    <w:rsid w:val="00191F6E"/>
    <w:rPr>
      <w:rFonts w:ascii="Times New Roman" w:eastAsia="MS Mincho" w:hAnsi="Times New Roman" w:cs="Times New Roman"/>
      <w:lang w:val="en-AU"/>
    </w:rPr>
  </w:style>
  <w:style w:type="character" w:styleId="EndnoteReference">
    <w:name w:val="endnote reference"/>
    <w:basedOn w:val="DefaultParagraphFont"/>
    <w:uiPriority w:val="99"/>
    <w:unhideWhenUsed/>
    <w:rsid w:val="00191F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whitehouse.gov/the-press-office/remarks-president-reception-commemorating-enactment-matthew-shepard-and-james-by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8022</Words>
  <Characters>44844</Characters>
  <Application>Microsoft Macintosh Word</Application>
  <DocSecurity>0</DocSecurity>
  <Lines>614</Lines>
  <Paragraphs>67</Paragraphs>
  <ScaleCrop>false</ScaleCrop>
  <Company/>
  <LinksUpToDate>false</LinksUpToDate>
  <CharactersWithSpaces>52799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Senthorun Raj</dc:creator>
  <cp:keywords/>
  <dc:description/>
  <cp:lastModifiedBy>Senthorun Raj</cp:lastModifiedBy>
  <cp:revision>4</cp:revision>
  <dcterms:created xsi:type="dcterms:W3CDTF">2018-06-13T16:02:00Z</dcterms:created>
  <dcterms:modified xsi:type="dcterms:W3CDTF">2018-06-13T16:05:00Z</dcterms:modified>
</cp:coreProperties>
</file>