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ABF38" w14:textId="77777777" w:rsidR="008066B3" w:rsidRDefault="008066B3" w:rsidP="008066B3">
      <w:pPr>
        <w:spacing w:line="480" w:lineRule="auto"/>
      </w:pPr>
    </w:p>
    <w:p w14:paraId="6F26B57C" w14:textId="77777777" w:rsidR="008066B3" w:rsidRDefault="008066B3" w:rsidP="008066B3">
      <w:pPr>
        <w:spacing w:line="480" w:lineRule="auto"/>
        <w:jc w:val="center"/>
      </w:pPr>
    </w:p>
    <w:p w14:paraId="3B0D56D9" w14:textId="77777777" w:rsidR="008066B3" w:rsidRDefault="008066B3" w:rsidP="008066B3">
      <w:pPr>
        <w:spacing w:line="480" w:lineRule="auto"/>
        <w:jc w:val="center"/>
      </w:pPr>
      <w:r>
        <w:t xml:space="preserve">Examining children in English High Courts with and without implementation of reforms authorized in Section 28 of the Youth Justice and Criminal Evidence Act </w:t>
      </w:r>
    </w:p>
    <w:p w14:paraId="09C9A5F7" w14:textId="77777777" w:rsidR="008066B3" w:rsidRPr="00AF6F9A" w:rsidRDefault="008066B3" w:rsidP="008066B3">
      <w:pPr>
        <w:spacing w:line="480" w:lineRule="auto"/>
        <w:jc w:val="center"/>
        <w:rPr>
          <w:vertAlign w:val="superscript"/>
        </w:rPr>
      </w:pPr>
      <w:r>
        <w:t xml:space="preserve">Hayden M. </w:t>
      </w:r>
      <w:proofErr w:type="spellStart"/>
      <w:r>
        <w:t>Henderson</w:t>
      </w:r>
      <w:r>
        <w:rPr>
          <w:vertAlign w:val="superscript"/>
        </w:rPr>
        <w:t>a</w:t>
      </w:r>
      <w:proofErr w:type="spellEnd"/>
      <w:r>
        <w:t xml:space="preserve">, Samantha J. </w:t>
      </w:r>
      <w:proofErr w:type="spellStart"/>
      <w:r>
        <w:t>Andrews</w:t>
      </w:r>
      <w:r>
        <w:rPr>
          <w:vertAlign w:val="superscript"/>
        </w:rPr>
        <w:t>b</w:t>
      </w:r>
      <w:proofErr w:type="spellEnd"/>
      <w:r>
        <w:t xml:space="preserve"> &amp; Michael E. </w:t>
      </w:r>
      <w:proofErr w:type="spellStart"/>
      <w:r>
        <w:t>Lamb</w:t>
      </w:r>
      <w:r>
        <w:rPr>
          <w:vertAlign w:val="superscript"/>
        </w:rPr>
        <w:t>a</w:t>
      </w:r>
      <w:proofErr w:type="spellEnd"/>
    </w:p>
    <w:p w14:paraId="17F0B41F" w14:textId="77777777" w:rsidR="008066B3" w:rsidRDefault="008066B3" w:rsidP="008066B3">
      <w:pPr>
        <w:tabs>
          <w:tab w:val="left" w:pos="809"/>
          <w:tab w:val="center" w:pos="4510"/>
        </w:tabs>
        <w:spacing w:line="480" w:lineRule="auto"/>
      </w:pPr>
      <w:r>
        <w:rPr>
          <w:vertAlign w:val="superscript"/>
        </w:rPr>
        <w:tab/>
      </w:r>
      <w:r>
        <w:rPr>
          <w:vertAlign w:val="superscript"/>
        </w:rPr>
        <w:tab/>
      </w:r>
      <w:proofErr w:type="spellStart"/>
      <w:r>
        <w:rPr>
          <w:vertAlign w:val="superscript"/>
        </w:rPr>
        <w:t>a</w:t>
      </w:r>
      <w:r>
        <w:t>University</w:t>
      </w:r>
      <w:proofErr w:type="spellEnd"/>
      <w:r>
        <w:t xml:space="preserve"> of Cambridge </w:t>
      </w:r>
    </w:p>
    <w:p w14:paraId="083AD65E" w14:textId="77777777" w:rsidR="008066B3" w:rsidRDefault="008066B3" w:rsidP="008066B3">
      <w:pPr>
        <w:spacing w:line="480" w:lineRule="auto"/>
        <w:jc w:val="center"/>
      </w:pPr>
      <w:proofErr w:type="spellStart"/>
      <w:r>
        <w:rPr>
          <w:vertAlign w:val="superscript"/>
        </w:rPr>
        <w:t>b</w:t>
      </w:r>
      <w:r>
        <w:t>Keele</w:t>
      </w:r>
      <w:proofErr w:type="spellEnd"/>
      <w:r>
        <w:t xml:space="preserve"> University </w:t>
      </w:r>
    </w:p>
    <w:p w14:paraId="543E841A" w14:textId="250BAE9B" w:rsidR="008066B3" w:rsidRDefault="00007621" w:rsidP="00007621">
      <w:pPr>
        <w:spacing w:line="480" w:lineRule="auto"/>
        <w:jc w:val="center"/>
      </w:pPr>
      <w:bookmarkStart w:id="0" w:name="_GoBack"/>
      <w:bookmarkEnd w:id="0"/>
      <w:r>
        <w:t>* TO BE PUBLISHED IN APPLIED COGNITIVE PSYCHOLOGY</w:t>
      </w:r>
    </w:p>
    <w:p w14:paraId="7D5EBCDF" w14:textId="77777777" w:rsidR="008066B3" w:rsidRDefault="008066B3" w:rsidP="008066B3">
      <w:pPr>
        <w:spacing w:line="480" w:lineRule="auto"/>
        <w:jc w:val="center"/>
      </w:pPr>
      <w:r>
        <w:t>Authors’ Note</w:t>
      </w:r>
    </w:p>
    <w:p w14:paraId="3680B8A3" w14:textId="77777777" w:rsidR="008066B3" w:rsidRDefault="008066B3" w:rsidP="008066B3">
      <w:pPr>
        <w:spacing w:line="480" w:lineRule="auto"/>
        <w:ind w:firstLine="567"/>
      </w:pPr>
      <w:r>
        <w:t xml:space="preserve">Hayden M. Henderson &amp; Michael E. Lamb, </w:t>
      </w:r>
      <w:r>
        <w:rPr>
          <w:rFonts w:eastAsia="Heiti TC Light"/>
        </w:rPr>
        <w:t xml:space="preserve">Department of Psychology, University of Cambridge; Samantha J. Andrews, Department of Psychology, </w:t>
      </w:r>
      <w:proofErr w:type="spellStart"/>
      <w:r>
        <w:rPr>
          <w:rFonts w:eastAsia="Heiti TC Light"/>
        </w:rPr>
        <w:t>Keele</w:t>
      </w:r>
      <w:proofErr w:type="spellEnd"/>
      <w:r>
        <w:rPr>
          <w:rFonts w:eastAsia="Heiti TC Light"/>
        </w:rPr>
        <w:t xml:space="preserve"> University.</w:t>
      </w:r>
    </w:p>
    <w:p w14:paraId="03382859" w14:textId="77777777" w:rsidR="008066B3" w:rsidRDefault="008066B3" w:rsidP="008066B3">
      <w:pPr>
        <w:spacing w:line="480" w:lineRule="auto"/>
        <w:ind w:firstLine="567"/>
      </w:pPr>
      <w:r>
        <w:t xml:space="preserve">The authors are extremely grateful to the HM Courts and Tribunals Service Office at the Ministry of Justice (London) for gathering all of the necessary recordings, transcripts, and trial logs. In particular, they are grateful to Janet Healey, Lola </w:t>
      </w:r>
      <w:proofErr w:type="spellStart"/>
      <w:r>
        <w:t>Kasim</w:t>
      </w:r>
      <w:proofErr w:type="spellEnd"/>
      <w:r>
        <w:t xml:space="preserve">, and Martin Hibberd for their extensive assistance and support. The authors are also greatly indebted to </w:t>
      </w:r>
      <w:proofErr w:type="spellStart"/>
      <w:r>
        <w:t>Telma</w:t>
      </w:r>
      <w:proofErr w:type="spellEnd"/>
      <w:r>
        <w:t xml:space="preserve"> Sousa Almeida, Elizabeth Ahern, and Faith VanMeter for their assistance with reliability coding and data preparation. Hayden Henderson is supported by a scholarship from the Cambridge Trusts. This research was conducted as part of her PhD research at the University of Cambridge. Michael Lamb’s research on children’s testimony is supported by the Nuffield and Jacobs Foundations, whose support is gratefully acknowledged.  Some of the results from this paper were presented at the 2017 and 2018 American Psychology Law Society conference. </w:t>
      </w:r>
    </w:p>
    <w:p w14:paraId="1C709DB9" w14:textId="77777777" w:rsidR="008066B3" w:rsidRDefault="008066B3" w:rsidP="008066B3">
      <w:pPr>
        <w:spacing w:line="480" w:lineRule="auto"/>
        <w:ind w:firstLine="567"/>
      </w:pPr>
      <w:r w:rsidRPr="0498DFD5">
        <w:t xml:space="preserve">Corresponding author: Hayden M. Henderson, Department of Psychology, University of Cambridge, Free School Lane, Cambridge CB2 3RQ, U.K. Email: </w:t>
      </w:r>
      <w:hyperlink r:id="rId8">
        <w:r w:rsidRPr="0498DFD5">
          <w:rPr>
            <w:rStyle w:val="Hyperlink"/>
          </w:rPr>
          <w:t>hmh45@cam.ac.uk</w:t>
        </w:r>
      </w:hyperlink>
      <w:r>
        <w:t>.</w:t>
      </w:r>
    </w:p>
    <w:p w14:paraId="275F8F50" w14:textId="77777777" w:rsidR="008066B3" w:rsidRDefault="008066B3" w:rsidP="008066B3"/>
    <w:p w14:paraId="25F358A8" w14:textId="77777777" w:rsidR="00FB3EE4" w:rsidRDefault="00FB3EE4" w:rsidP="00DB347B">
      <w:pPr>
        <w:spacing w:line="480" w:lineRule="auto"/>
        <w:jc w:val="center"/>
      </w:pPr>
    </w:p>
    <w:p w14:paraId="7312293D" w14:textId="45893BE7" w:rsidR="00DB347B" w:rsidRDefault="1127D7C3" w:rsidP="00DB347B">
      <w:pPr>
        <w:spacing w:line="480" w:lineRule="auto"/>
        <w:jc w:val="center"/>
      </w:pPr>
      <w:r>
        <w:lastRenderedPageBreak/>
        <w:t>Abstract</w:t>
      </w:r>
    </w:p>
    <w:p w14:paraId="62051DEF" w14:textId="7998D43B" w:rsidR="00FA79D2" w:rsidRDefault="71F9BC8B" w:rsidP="00AF6F9A">
      <w:pPr>
        <w:spacing w:line="480" w:lineRule="auto"/>
        <w:rPr>
          <w:i/>
        </w:rPr>
      </w:pPr>
      <w:r>
        <w:t>This study examined whether the implementation of Section 28 of the Youth Justice and Criminal Evidence Act (1999) improved lawyers’ questioning strategies when examining child witnesses</w:t>
      </w:r>
      <w:r w:rsidR="00E33A70">
        <w:t xml:space="preserve"> in England</w:t>
      </w:r>
      <w:r>
        <w:t>.  The</w:t>
      </w:r>
      <w:r w:rsidR="00E33A70">
        <w:t xml:space="preserve"> government’s</w:t>
      </w:r>
      <w:r>
        <w:t xml:space="preserve"> Section 28 pilot study involved judges holding Ground Rules Hearings, during which restrictions and limitations were placed on the duration, content, and manner of questions to be asked. Afterwards, children's cross-examinations were pre-recorded and later played as part of their evidence at trial. The current study compared cases involving 6- to 15-year-old alleged victims of sexual abuse in which Section 28 was (</w:t>
      </w:r>
      <w:r w:rsidRPr="71F9BC8B">
        <w:rPr>
          <w:i/>
          <w:iCs/>
        </w:rPr>
        <w:t>n =</w:t>
      </w:r>
      <w:r>
        <w:t xml:space="preserve"> 43) and was not (</w:t>
      </w:r>
      <w:r w:rsidRPr="71F9BC8B">
        <w:rPr>
          <w:i/>
          <w:iCs/>
        </w:rPr>
        <w:t>n =</w:t>
      </w:r>
      <w:r>
        <w:t xml:space="preserve"> 44) implemented. Defence lawyers in Section 28 cases asked significantly fewer suggestive questions and more option-posing questions than defence lawyers in Non-Section 28 cases. Younger children complied more with defence lawyers' suggestive questions. Ground Rules Hearings improved lawyers’ questioning strategies, regardless of the case's involvement in the Section 28 pilot study. </w:t>
      </w:r>
    </w:p>
    <w:p w14:paraId="2683885D" w14:textId="6CD155AB" w:rsidR="00E84FDA" w:rsidRPr="006C4BE0" w:rsidRDefault="1127D7C3" w:rsidP="1127D7C3">
      <w:pPr>
        <w:spacing w:line="480" w:lineRule="auto"/>
        <w:rPr>
          <w:i/>
          <w:iCs/>
        </w:rPr>
      </w:pPr>
      <w:r w:rsidRPr="1127D7C3">
        <w:rPr>
          <w:i/>
          <w:iCs/>
        </w:rPr>
        <w:t>Keywords: children; cross-examination; Ground Rules Hearing; special measures; Section 28</w:t>
      </w:r>
    </w:p>
    <w:p w14:paraId="3B2A9DEA" w14:textId="77777777" w:rsidR="00E84FDA" w:rsidRDefault="00E84FDA" w:rsidP="00B2415B">
      <w:pPr>
        <w:spacing w:line="480" w:lineRule="auto"/>
        <w:jc w:val="center"/>
      </w:pPr>
    </w:p>
    <w:p w14:paraId="6CF8ECE0" w14:textId="77777777" w:rsidR="00E84FDA" w:rsidRDefault="00E84FDA" w:rsidP="00B2415B">
      <w:pPr>
        <w:spacing w:line="480" w:lineRule="auto"/>
        <w:jc w:val="center"/>
      </w:pPr>
    </w:p>
    <w:p w14:paraId="14F62D0F" w14:textId="53B9D1D1" w:rsidR="0056617F" w:rsidRDefault="0056617F" w:rsidP="71F9BC8B">
      <w:pPr>
        <w:spacing w:line="480" w:lineRule="auto"/>
        <w:jc w:val="center"/>
      </w:pPr>
    </w:p>
    <w:p w14:paraId="15956009" w14:textId="242359B7" w:rsidR="0056617F" w:rsidRDefault="0056617F" w:rsidP="71F9BC8B">
      <w:pPr>
        <w:spacing w:line="480" w:lineRule="auto"/>
        <w:jc w:val="center"/>
      </w:pPr>
    </w:p>
    <w:p w14:paraId="04B207D6" w14:textId="0568A058" w:rsidR="0056617F" w:rsidRDefault="0056617F" w:rsidP="71F9BC8B">
      <w:pPr>
        <w:spacing w:line="480" w:lineRule="auto"/>
        <w:jc w:val="center"/>
      </w:pPr>
    </w:p>
    <w:p w14:paraId="6ADE7583" w14:textId="58E489EC" w:rsidR="0056617F" w:rsidRDefault="0056617F" w:rsidP="71F9BC8B">
      <w:pPr>
        <w:spacing w:line="480" w:lineRule="auto"/>
        <w:jc w:val="center"/>
      </w:pPr>
    </w:p>
    <w:p w14:paraId="512160BF" w14:textId="500C8721" w:rsidR="0056617F" w:rsidRDefault="0056617F" w:rsidP="71F9BC8B">
      <w:pPr>
        <w:spacing w:line="480" w:lineRule="auto"/>
        <w:jc w:val="center"/>
      </w:pPr>
    </w:p>
    <w:p w14:paraId="5F806F83" w14:textId="68F77588" w:rsidR="0056617F" w:rsidRDefault="0056617F" w:rsidP="71F9BC8B">
      <w:pPr>
        <w:spacing w:line="480" w:lineRule="auto"/>
        <w:jc w:val="center"/>
      </w:pPr>
    </w:p>
    <w:p w14:paraId="2087C8EE" w14:textId="3C47F4AE" w:rsidR="0056617F" w:rsidRDefault="0056617F" w:rsidP="71F9BC8B">
      <w:pPr>
        <w:spacing w:line="480" w:lineRule="auto"/>
        <w:jc w:val="center"/>
      </w:pPr>
    </w:p>
    <w:p w14:paraId="218A83A8" w14:textId="6EDFCBB3" w:rsidR="0056617F" w:rsidRDefault="0056617F" w:rsidP="71F9BC8B">
      <w:pPr>
        <w:spacing w:line="480" w:lineRule="auto"/>
        <w:jc w:val="center"/>
      </w:pPr>
    </w:p>
    <w:p w14:paraId="40CAC445" w14:textId="45BE17B2" w:rsidR="0056617F" w:rsidRDefault="71F9BC8B" w:rsidP="71F9BC8B">
      <w:pPr>
        <w:spacing w:line="480" w:lineRule="auto"/>
        <w:jc w:val="center"/>
      </w:pPr>
      <w:r>
        <w:lastRenderedPageBreak/>
        <w:t>Examining children in English High Courts with and without implementation of reforms authorised in Section 28 of the Youth Justice and Criminal Evidence Act</w:t>
      </w:r>
      <w:r w:rsidR="004038A0">
        <w:t xml:space="preserve"> (</w:t>
      </w:r>
      <w:r w:rsidR="00E33A70">
        <w:t>1999</w:t>
      </w:r>
      <w:r w:rsidR="004038A0">
        <w:t>)</w:t>
      </w:r>
      <w:r w:rsidR="00E33A70">
        <w:t>.</w:t>
      </w:r>
    </w:p>
    <w:p w14:paraId="289FD0F2" w14:textId="77777777" w:rsidR="00E65520" w:rsidRDefault="00E65520" w:rsidP="71F9BC8B">
      <w:pPr>
        <w:spacing w:line="480" w:lineRule="auto"/>
        <w:jc w:val="center"/>
      </w:pPr>
    </w:p>
    <w:p w14:paraId="0D70CA66" w14:textId="01DAD6A6" w:rsidR="00983E4E" w:rsidRPr="005D1F7B" w:rsidRDefault="1127D7C3" w:rsidP="1127D7C3">
      <w:pPr>
        <w:spacing w:line="480" w:lineRule="auto"/>
        <w:ind w:firstLine="720"/>
        <w:rPr>
          <w:b/>
          <w:bCs/>
        </w:rPr>
      </w:pPr>
      <w:r>
        <w:t xml:space="preserve">In 2014, </w:t>
      </w:r>
      <w:r w:rsidR="00E65520">
        <w:t xml:space="preserve">several </w:t>
      </w:r>
      <w:r>
        <w:t xml:space="preserve">special measures linked to Section 28 of the Youth Justice and Criminal Evidence Act (1999) were pilot-tested </w:t>
      </w:r>
      <w:r w:rsidR="00E33A70" w:rsidRPr="00E33A70">
        <w:t xml:space="preserve">by the government </w:t>
      </w:r>
      <w:r>
        <w:t>in three courthouses in England (Ministry of Justice, 2013). In an effort to improve the quality of evidence elicited from vulnerable child witnesses, the reforms involved mandatory pre-trial Ground Rules Hearings (GRHs) followed by pre-recorded cross-examinations. In the GRHs, restrictions could be imposed on traditional cross-examination practices in an effort to reduce the use of risky questions (Criminal Practice Directions, 2015; Ministry of Justice, 2013). Meanwhile, pre-recorded cross-examinations were introduced to expedite children’s evidence, thereby swiftly resolving children’s involvement and reducing the detrimental delays between forensic interviews and cross-examination (Criminal Practice Directions, 2015; Henderson &amp; Lamb, 2017). The intention was to implement Section 28 nationally following this pilot study (Criminal Practice Directions, Amendment 5, 2017).</w:t>
      </w:r>
    </w:p>
    <w:p w14:paraId="6BEF1929" w14:textId="3004DBC5" w:rsidR="00983E4E" w:rsidRPr="005D1F7B" w:rsidRDefault="1127D7C3" w:rsidP="00983E4E">
      <w:pPr>
        <w:spacing w:line="480" w:lineRule="auto"/>
        <w:ind w:firstLine="720"/>
      </w:pPr>
      <w:r>
        <w:t xml:space="preserve">The current study was the first to examine whether implementation of these special measures improved lawyers’ questioning strategies. </w:t>
      </w:r>
      <w:r w:rsidR="003C763A">
        <w:t>C</w:t>
      </w:r>
      <w:r>
        <w:t>hildren's participation in the legal system continues to increase (National Society for the Prevention of Cruelty to Children, 2017), and there is substantial and growing evidence that children's vulnerabilities are often exploited during courtroom questioning (Andrews &amp; Lamb, 2016, 2018; Marchant, 20</w:t>
      </w:r>
      <w:r w:rsidR="003C763A">
        <w:t xml:space="preserve">13; </w:t>
      </w:r>
      <w:proofErr w:type="spellStart"/>
      <w:r w:rsidR="003C763A">
        <w:t>Plotnikoff</w:t>
      </w:r>
      <w:proofErr w:type="spellEnd"/>
      <w:r w:rsidR="003C763A">
        <w:t xml:space="preserve"> &amp; </w:t>
      </w:r>
      <w:proofErr w:type="spellStart"/>
      <w:r w:rsidR="003C763A">
        <w:t>Woolfson</w:t>
      </w:r>
      <w:proofErr w:type="spellEnd"/>
      <w:r w:rsidR="003C763A">
        <w:t>, 2009). Therefore</w:t>
      </w:r>
      <w:r>
        <w:t xml:space="preserve">, it is crucially important to identify, adopt, and embrace changes that may result in a fairer system for all involved. </w:t>
      </w:r>
    </w:p>
    <w:p w14:paraId="4C3C71BD" w14:textId="35A8EBF5" w:rsidR="03435616" w:rsidRPr="005D1F7B" w:rsidRDefault="1127D7C3" w:rsidP="009227D1">
      <w:pPr>
        <w:spacing w:line="480" w:lineRule="auto"/>
        <w:ind w:right="20"/>
        <w:outlineLvl w:val="0"/>
      </w:pPr>
      <w:r w:rsidRPr="1127D7C3">
        <w:rPr>
          <w:b/>
          <w:bCs/>
        </w:rPr>
        <w:t>Pitfalls of Courtroom Examinations</w:t>
      </w:r>
      <w:r>
        <w:t xml:space="preserve"> </w:t>
      </w:r>
    </w:p>
    <w:p w14:paraId="1EA8561B" w14:textId="07CF3CC1" w:rsidR="002737DB" w:rsidRDefault="000B134D" w:rsidP="08D4D6A2">
      <w:pPr>
        <w:spacing w:line="480" w:lineRule="auto"/>
        <w:rPr>
          <w:iCs/>
        </w:rPr>
      </w:pPr>
      <w:r w:rsidRPr="005D1F7B">
        <w:rPr>
          <w:iCs/>
        </w:rPr>
        <w:tab/>
      </w:r>
      <w:r w:rsidR="00B87645" w:rsidRPr="0031117D">
        <w:t xml:space="preserve">International legal systems vary drastically </w:t>
      </w:r>
      <w:r w:rsidR="0098504E" w:rsidRPr="0031117D">
        <w:t>in terms of</w:t>
      </w:r>
      <w:r w:rsidR="004D2967" w:rsidRPr="23B9E151">
        <w:t xml:space="preserve"> </w:t>
      </w:r>
      <w:r w:rsidR="004E2B88" w:rsidRPr="0031117D">
        <w:t xml:space="preserve">basic </w:t>
      </w:r>
      <w:r w:rsidR="004D2967" w:rsidRPr="00837A5C">
        <w:t xml:space="preserve">legal </w:t>
      </w:r>
      <w:r w:rsidR="004E2B88" w:rsidRPr="00837A5C">
        <w:t>philosophies</w:t>
      </w:r>
      <w:r w:rsidR="004D2967" w:rsidRPr="002D14BD">
        <w:t xml:space="preserve"> and culture</w:t>
      </w:r>
      <w:r w:rsidR="004E2B88" w:rsidRPr="00890239">
        <w:t>s</w:t>
      </w:r>
      <w:r w:rsidR="004D2967" w:rsidRPr="0076683A">
        <w:t xml:space="preserve"> (</w:t>
      </w:r>
      <w:proofErr w:type="spellStart"/>
      <w:r w:rsidR="004D2967" w:rsidRPr="0076683A">
        <w:t>Bussey</w:t>
      </w:r>
      <w:proofErr w:type="spellEnd"/>
      <w:r w:rsidR="004D2967" w:rsidRPr="0076683A">
        <w:t xml:space="preserve">, 2009). </w:t>
      </w:r>
      <w:r w:rsidR="00B87645" w:rsidRPr="0076683A">
        <w:t xml:space="preserve">Common law countries (e.g., England, Scotland, New Zealand, </w:t>
      </w:r>
      <w:r w:rsidR="00A378E9" w:rsidRPr="0076683A">
        <w:lastRenderedPageBreak/>
        <w:t xml:space="preserve">Australia, </w:t>
      </w:r>
      <w:r w:rsidR="006B596D" w:rsidRPr="0076683A">
        <w:t xml:space="preserve">and </w:t>
      </w:r>
      <w:r w:rsidR="00707328">
        <w:t xml:space="preserve">the </w:t>
      </w:r>
      <w:r w:rsidR="006B596D" w:rsidRPr="0076683A">
        <w:t>United</w:t>
      </w:r>
      <w:r w:rsidR="00B87645" w:rsidRPr="0076683A">
        <w:t xml:space="preserve"> States) </w:t>
      </w:r>
      <w:r w:rsidR="0018723D">
        <w:t>employ</w:t>
      </w:r>
      <w:r w:rsidR="00B87645" w:rsidRPr="0076683A">
        <w:t xml:space="preserve"> an adversarial </w:t>
      </w:r>
      <w:r w:rsidR="00A378E9" w:rsidRPr="005F710D">
        <w:t>approach</w:t>
      </w:r>
      <w:r w:rsidR="00B87645" w:rsidRPr="005F710D">
        <w:t>, whilst civil law countries (e.g., France, Germany,</w:t>
      </w:r>
      <w:r w:rsidR="00A378E9" w:rsidRPr="001C644A">
        <w:t xml:space="preserve"> Austria, </w:t>
      </w:r>
      <w:r w:rsidR="006B596D" w:rsidRPr="001C644A">
        <w:t>and Norway</w:t>
      </w:r>
      <w:r w:rsidR="00A378E9" w:rsidRPr="001C644A">
        <w:t xml:space="preserve">) </w:t>
      </w:r>
      <w:r w:rsidR="0018723D">
        <w:t>employ</w:t>
      </w:r>
      <w:r w:rsidR="00A378E9" w:rsidRPr="001C644A">
        <w:t xml:space="preserve"> an inquisitorial approach</w:t>
      </w:r>
      <w:r w:rsidR="004D2967" w:rsidRPr="001C644A">
        <w:t xml:space="preserve"> (Spencer &amp; Lamb, 2012)</w:t>
      </w:r>
      <w:r w:rsidR="00A378E9" w:rsidRPr="00895817">
        <w:t>.</w:t>
      </w:r>
      <w:r w:rsidR="00B87645" w:rsidRPr="004A50BE">
        <w:t xml:space="preserve"> </w:t>
      </w:r>
      <w:r w:rsidR="001B56FC" w:rsidRPr="004A50BE">
        <w:t xml:space="preserve">While inquisitorial </w:t>
      </w:r>
      <w:r w:rsidR="0018723D">
        <w:t xml:space="preserve">and adversarial </w:t>
      </w:r>
      <w:r w:rsidR="001B56FC" w:rsidRPr="004A50BE">
        <w:t xml:space="preserve">systems </w:t>
      </w:r>
      <w:r w:rsidR="0018723D">
        <w:t xml:space="preserve">both seek reliable </w:t>
      </w:r>
      <w:r w:rsidR="001B56FC" w:rsidRPr="004A50BE">
        <w:t xml:space="preserve">evidence and </w:t>
      </w:r>
      <w:r w:rsidR="0018723D">
        <w:t xml:space="preserve">must </w:t>
      </w:r>
      <w:r w:rsidR="00EC0289">
        <w:t>assess</w:t>
      </w:r>
      <w:r w:rsidR="0018723D">
        <w:t xml:space="preserve"> </w:t>
      </w:r>
      <w:r w:rsidR="001B56FC" w:rsidRPr="004A50BE">
        <w:t xml:space="preserve">veracity, </w:t>
      </w:r>
      <w:r w:rsidR="001B56FC" w:rsidRPr="009C2992">
        <w:t xml:space="preserve">children in </w:t>
      </w:r>
      <w:r w:rsidR="0018723D">
        <w:t>inquisitorial jurisdictions</w:t>
      </w:r>
      <w:r w:rsidR="00EC0289">
        <w:t xml:space="preserve"> rarely testify in court </w:t>
      </w:r>
      <w:r w:rsidR="001B56FC" w:rsidRPr="009C2992">
        <w:t xml:space="preserve">or confront the </w:t>
      </w:r>
      <w:r w:rsidR="0018723D">
        <w:t>defendants</w:t>
      </w:r>
      <w:r w:rsidR="0018723D" w:rsidRPr="0018723D">
        <w:t xml:space="preserve"> </w:t>
      </w:r>
      <w:r w:rsidR="006B53BE" w:rsidRPr="0018723D">
        <w:t>(</w:t>
      </w:r>
      <w:proofErr w:type="spellStart"/>
      <w:r w:rsidR="006B53BE" w:rsidRPr="0018723D">
        <w:t>Bussey</w:t>
      </w:r>
      <w:proofErr w:type="spellEnd"/>
      <w:r w:rsidR="006B53BE" w:rsidRPr="0018723D">
        <w:t>, 2009).</w:t>
      </w:r>
      <w:r w:rsidR="00821E07" w:rsidRPr="0018723D">
        <w:t xml:space="preserve"> </w:t>
      </w:r>
      <w:r w:rsidR="009E70AA">
        <w:t>As</w:t>
      </w:r>
      <w:r w:rsidR="008C78AF">
        <w:t xml:space="preserve"> </w:t>
      </w:r>
      <w:r w:rsidR="00154252">
        <w:t>t</w:t>
      </w:r>
      <w:r w:rsidR="006B53BE" w:rsidRPr="0018723D">
        <w:t>he current study focuse</w:t>
      </w:r>
      <w:r w:rsidR="0018723D">
        <w:t>d</w:t>
      </w:r>
      <w:r w:rsidR="006B53BE" w:rsidRPr="0018723D">
        <w:t xml:space="preserve"> on the courtroom examinations of child witnesses</w:t>
      </w:r>
      <w:r w:rsidR="00821E07" w:rsidRPr="0018723D">
        <w:t xml:space="preserve"> in England</w:t>
      </w:r>
      <w:r w:rsidR="006B53BE" w:rsidRPr="0018723D">
        <w:t xml:space="preserve">, the adversarial system </w:t>
      </w:r>
      <w:r w:rsidR="003E2217">
        <w:t>is</w:t>
      </w:r>
      <w:r w:rsidR="006B53BE" w:rsidRPr="0018723D">
        <w:t xml:space="preserve"> considered below in </w:t>
      </w:r>
      <w:r w:rsidR="003E2217">
        <w:t>greater</w:t>
      </w:r>
      <w:r w:rsidR="006B53BE" w:rsidRPr="0018723D">
        <w:t xml:space="preserve"> detail. </w:t>
      </w:r>
    </w:p>
    <w:p w14:paraId="72957852" w14:textId="24035C20" w:rsidR="002C686C" w:rsidRDefault="002C686C" w:rsidP="39123F4B">
      <w:pPr>
        <w:spacing w:line="480" w:lineRule="auto"/>
        <w:rPr>
          <w:iCs/>
        </w:rPr>
      </w:pPr>
      <w:r>
        <w:rPr>
          <w:iCs/>
        </w:rPr>
        <w:tab/>
      </w:r>
      <w:r w:rsidR="000141D0" w:rsidRPr="002D14BD">
        <w:t xml:space="preserve">In common law countries, </w:t>
      </w:r>
      <w:r w:rsidR="006B53BE" w:rsidRPr="002D14BD">
        <w:t xml:space="preserve">the adversarial system </w:t>
      </w:r>
      <w:r w:rsidR="003E2217">
        <w:t>involves</w:t>
      </w:r>
      <w:r w:rsidR="006B53BE" w:rsidRPr="002D14BD">
        <w:t xml:space="preserve"> prosecutor</w:t>
      </w:r>
      <w:r w:rsidR="003E2217">
        <w:t>s</w:t>
      </w:r>
      <w:r w:rsidR="006B53BE" w:rsidRPr="002D14BD">
        <w:t xml:space="preserve"> and </w:t>
      </w:r>
      <w:r w:rsidR="00821E07" w:rsidRPr="002D14BD">
        <w:t>defence</w:t>
      </w:r>
      <w:r w:rsidR="006B53BE" w:rsidRPr="002D14BD">
        <w:t xml:space="preserve"> lawyer</w:t>
      </w:r>
      <w:r w:rsidR="003E2217">
        <w:t>s</w:t>
      </w:r>
      <w:r w:rsidR="006B53BE" w:rsidRPr="002D14BD">
        <w:t xml:space="preserve"> who present </w:t>
      </w:r>
      <w:r w:rsidR="003E2217">
        <w:t>evidence</w:t>
      </w:r>
      <w:r w:rsidR="001C644A">
        <w:t xml:space="preserve"> </w:t>
      </w:r>
      <w:r w:rsidR="006B53BE" w:rsidRPr="002D14BD">
        <w:t>to impartial judge</w:t>
      </w:r>
      <w:r w:rsidR="003E2217">
        <w:t xml:space="preserve">s or jurors in several </w:t>
      </w:r>
      <w:r w:rsidR="00E25760">
        <w:t>ways</w:t>
      </w:r>
      <w:r w:rsidR="006B53BE" w:rsidRPr="002D14BD">
        <w:t xml:space="preserve">. </w:t>
      </w:r>
      <w:r w:rsidR="0031117D" w:rsidRPr="002D14BD">
        <w:t>Firstly, t</w:t>
      </w:r>
      <w:r w:rsidR="00821E07" w:rsidRPr="002D14BD">
        <w:t>he</w:t>
      </w:r>
      <w:r w:rsidR="000141D0" w:rsidRPr="002D14BD">
        <w:t xml:space="preserve"> direct</w:t>
      </w:r>
      <w:r w:rsidR="00F87C73" w:rsidRPr="39123F4B">
        <w:t>-</w:t>
      </w:r>
      <w:r w:rsidR="000141D0" w:rsidRPr="00890239">
        <w:t>examination gives lawyer</w:t>
      </w:r>
      <w:r w:rsidR="000141D0" w:rsidRPr="0076683A">
        <w:t xml:space="preserve">s the opportunity </w:t>
      </w:r>
      <w:r w:rsidR="001F1752" w:rsidRPr="0076683A">
        <w:t xml:space="preserve">to elicit </w:t>
      </w:r>
      <w:r w:rsidR="00F93B29" w:rsidRPr="0076683A">
        <w:t>evidence</w:t>
      </w:r>
      <w:r w:rsidR="001F1752" w:rsidRPr="0076683A">
        <w:t xml:space="preserve"> favourable to their case (Martin, 2009). This typically </w:t>
      </w:r>
      <w:r w:rsidR="00E25760">
        <w:t>involves</w:t>
      </w:r>
      <w:r w:rsidR="00E25760" w:rsidRPr="0076683A">
        <w:t xml:space="preserve"> </w:t>
      </w:r>
      <w:r w:rsidR="001F1752" w:rsidRPr="0076683A">
        <w:t xml:space="preserve">witnesses </w:t>
      </w:r>
      <w:r w:rsidR="007340D1" w:rsidRPr="005F710D">
        <w:t>recount</w:t>
      </w:r>
      <w:r w:rsidR="00E25760">
        <w:t>ing</w:t>
      </w:r>
      <w:r w:rsidR="001F1752" w:rsidRPr="005F710D">
        <w:t xml:space="preserve"> details on the stand</w:t>
      </w:r>
      <w:r w:rsidR="00E65520">
        <w:t>,</w:t>
      </w:r>
      <w:r w:rsidR="001F1752" w:rsidRPr="005F710D">
        <w:t xml:space="preserve"> </w:t>
      </w:r>
      <w:r w:rsidR="001F1752" w:rsidRPr="001C644A">
        <w:t>in court</w:t>
      </w:r>
      <w:r w:rsidR="00E65520">
        <w:t>,</w:t>
      </w:r>
      <w:r w:rsidR="001F1752" w:rsidRPr="001C644A">
        <w:t xml:space="preserve"> before the judge and jury.</w:t>
      </w:r>
      <w:r w:rsidR="008E52D5">
        <w:t xml:space="preserve"> I</w:t>
      </w:r>
      <w:r w:rsidR="00E25760">
        <w:t>n response</w:t>
      </w:r>
      <w:r w:rsidR="00E25760" w:rsidRPr="001C644A">
        <w:t xml:space="preserve"> </w:t>
      </w:r>
      <w:r w:rsidR="00CC6E4A" w:rsidRPr="001C644A">
        <w:t>to a number of concerns</w:t>
      </w:r>
      <w:r w:rsidR="006105C7" w:rsidRPr="39123F4B">
        <w:t>,</w:t>
      </w:r>
      <w:r w:rsidR="00CC6E4A" w:rsidRPr="001C644A">
        <w:t xml:space="preserve"> including the potential trauma of </w:t>
      </w:r>
      <w:r w:rsidR="00F87C73" w:rsidRPr="001C644A">
        <w:t xml:space="preserve">recounting </w:t>
      </w:r>
      <w:r w:rsidR="00CC6E4A" w:rsidRPr="001C644A">
        <w:t>distressing experiences</w:t>
      </w:r>
      <w:r w:rsidR="00BA7F2D" w:rsidRPr="001C644A">
        <w:t xml:space="preserve"> on the stand</w:t>
      </w:r>
      <w:r w:rsidR="00CC6E4A" w:rsidRPr="39123F4B">
        <w:t xml:space="preserve"> (</w:t>
      </w:r>
      <w:proofErr w:type="spellStart"/>
      <w:r w:rsidR="000F0EA2" w:rsidRPr="001C644A">
        <w:t>Quas</w:t>
      </w:r>
      <w:proofErr w:type="spellEnd"/>
      <w:r w:rsidR="000F0EA2" w:rsidRPr="001C644A">
        <w:t xml:space="preserve"> et al., 2005</w:t>
      </w:r>
      <w:r w:rsidR="00CC6E4A" w:rsidRPr="39123F4B">
        <w:t>)</w:t>
      </w:r>
      <w:r w:rsidR="001F1752" w:rsidRPr="39123F4B">
        <w:t>,</w:t>
      </w:r>
      <w:r w:rsidR="00CC6E4A" w:rsidRPr="001C644A">
        <w:t xml:space="preserve"> </w:t>
      </w:r>
      <w:r w:rsidR="008E52D5">
        <w:t>and</w:t>
      </w:r>
      <w:r w:rsidR="00CC6E4A" w:rsidRPr="001C644A">
        <w:t xml:space="preserve"> threats to the witness’s </w:t>
      </w:r>
      <w:r w:rsidR="00A83B07" w:rsidRPr="00895817">
        <w:t>reliability</w:t>
      </w:r>
      <w:r w:rsidR="00CC6E4A" w:rsidRPr="004A50BE">
        <w:t xml:space="preserve"> due to deteriorated memory (</w:t>
      </w:r>
      <w:r w:rsidR="006105C7">
        <w:t xml:space="preserve">Malloy &amp; </w:t>
      </w:r>
      <w:proofErr w:type="spellStart"/>
      <w:r w:rsidR="006105C7">
        <w:t>Quas</w:t>
      </w:r>
      <w:proofErr w:type="spellEnd"/>
      <w:r w:rsidR="006105C7">
        <w:t>, 2009</w:t>
      </w:r>
      <w:r w:rsidR="00CC6E4A" w:rsidRPr="39123F4B">
        <w:t>),</w:t>
      </w:r>
      <w:r w:rsidR="001F1752" w:rsidRPr="002D14BD">
        <w:t xml:space="preserve"> special measures have </w:t>
      </w:r>
      <w:r w:rsidR="00CC6E4A" w:rsidRPr="002D14BD">
        <w:t xml:space="preserve">been adopted </w:t>
      </w:r>
      <w:r w:rsidR="00E25760">
        <w:t xml:space="preserve">in </w:t>
      </w:r>
      <w:r w:rsidR="008E52D5">
        <w:t>some</w:t>
      </w:r>
      <w:r w:rsidR="00E25760">
        <w:t xml:space="preserve"> jurisdictions </w:t>
      </w:r>
      <w:r w:rsidR="00CC6E4A" w:rsidRPr="002D14BD">
        <w:t xml:space="preserve">to </w:t>
      </w:r>
      <w:r w:rsidR="00B9692C" w:rsidRPr="002D14BD">
        <w:t>modify</w:t>
      </w:r>
      <w:r w:rsidR="001F1752" w:rsidRPr="002D14BD">
        <w:t xml:space="preserve"> the direct</w:t>
      </w:r>
      <w:r w:rsidR="00F87C73" w:rsidRPr="39123F4B">
        <w:t>-</w:t>
      </w:r>
      <w:r w:rsidR="001F1752" w:rsidRPr="0076683A">
        <w:t xml:space="preserve">examination </w:t>
      </w:r>
      <w:r w:rsidR="00E25760">
        <w:t>of</w:t>
      </w:r>
      <w:r w:rsidR="00E25760" w:rsidRPr="0076683A">
        <w:t xml:space="preserve"> </w:t>
      </w:r>
      <w:r w:rsidR="001F1752" w:rsidRPr="0076683A">
        <w:t xml:space="preserve">vulnerable witnesses. </w:t>
      </w:r>
      <w:r w:rsidR="00F87C73" w:rsidRPr="0076683A">
        <w:t xml:space="preserve">In particular, </w:t>
      </w:r>
      <w:r w:rsidRPr="002C686C">
        <w:t xml:space="preserve">Section 27 of the </w:t>
      </w:r>
      <w:r w:rsidR="003B03FF" w:rsidRPr="005D1F7B">
        <w:t>Youth Justice a</w:t>
      </w:r>
      <w:r w:rsidR="003B03FF">
        <w:t>nd Criminal Evidence Act</w:t>
      </w:r>
      <w:r w:rsidRPr="002C686C">
        <w:t xml:space="preserve"> </w:t>
      </w:r>
      <w:r w:rsidR="008E52D5">
        <w:t xml:space="preserve">(1999) </w:t>
      </w:r>
      <w:r w:rsidRPr="002C686C">
        <w:t xml:space="preserve">has permitted video-recorded </w:t>
      </w:r>
      <w:r w:rsidR="00545A85">
        <w:t>Achieving Best Evidence (</w:t>
      </w:r>
      <w:r w:rsidRPr="002C686C">
        <w:t>ABE</w:t>
      </w:r>
      <w:r w:rsidR="00545A85" w:rsidRPr="39123F4B">
        <w:t>)</w:t>
      </w:r>
      <w:r w:rsidRPr="39123F4B">
        <w:t xml:space="preserve"> </w:t>
      </w:r>
      <w:r w:rsidR="0004707A">
        <w:t>investigative</w:t>
      </w:r>
      <w:r w:rsidR="0004707A" w:rsidRPr="39123F4B">
        <w:t xml:space="preserve"> </w:t>
      </w:r>
      <w:r w:rsidRPr="002C686C">
        <w:t xml:space="preserve">interviews to be used as </w:t>
      </w:r>
      <w:r w:rsidR="00A83B07">
        <w:t>the direct</w:t>
      </w:r>
      <w:r w:rsidR="0004707A" w:rsidRPr="39123F4B">
        <w:t>-</w:t>
      </w:r>
      <w:r w:rsidR="00A83B07">
        <w:t>examination</w:t>
      </w:r>
      <w:r w:rsidRPr="39123F4B">
        <w:t xml:space="preserve"> </w:t>
      </w:r>
      <w:r w:rsidRPr="002C686C">
        <w:t>should trial</w:t>
      </w:r>
      <w:r w:rsidR="00E25760">
        <w:t>s</w:t>
      </w:r>
      <w:r w:rsidRPr="002C686C">
        <w:t xml:space="preserve"> </w:t>
      </w:r>
      <w:r w:rsidR="00E25760">
        <w:t>occur</w:t>
      </w:r>
      <w:r w:rsidR="00E25760" w:rsidRPr="002C686C">
        <w:t xml:space="preserve"> </w:t>
      </w:r>
      <w:r w:rsidRPr="002C686C">
        <w:t xml:space="preserve">(Home Office, 2011). </w:t>
      </w:r>
      <w:r w:rsidR="00785E67">
        <w:t>As a result</w:t>
      </w:r>
      <w:r w:rsidR="00C30009">
        <w:t xml:space="preserve"> of Section 27, </w:t>
      </w:r>
      <w:r w:rsidRPr="002C686C">
        <w:t xml:space="preserve">the ABE interview constitutes almost all of the relevant </w:t>
      </w:r>
      <w:r w:rsidR="00A83B07">
        <w:t>direct-examination</w:t>
      </w:r>
      <w:r w:rsidR="00F001A2">
        <w:t xml:space="preserve"> </w:t>
      </w:r>
      <w:r w:rsidR="00B97EC8">
        <w:t>i</w:t>
      </w:r>
      <w:r w:rsidR="00B97EC8" w:rsidRPr="002C686C">
        <w:t xml:space="preserve">n many contemporary </w:t>
      </w:r>
      <w:r w:rsidR="00B97EC8">
        <w:t xml:space="preserve">English </w:t>
      </w:r>
      <w:r w:rsidR="00B97EC8" w:rsidRPr="002C686C">
        <w:t>cases</w:t>
      </w:r>
      <w:r w:rsidR="00F62CE2">
        <w:t xml:space="preserve"> </w:t>
      </w:r>
      <w:r w:rsidRPr="002C686C">
        <w:t xml:space="preserve">(Henderson &amp; Lamb, 2017). </w:t>
      </w:r>
      <w:r w:rsidR="00A83B07">
        <w:t xml:space="preserve">Similarly, </w:t>
      </w:r>
      <w:r w:rsidR="00937F7E">
        <w:t>Australia (</w:t>
      </w:r>
      <w:r w:rsidR="00937F7E" w:rsidRPr="00B33B89">
        <w:t>Office of the Direc</w:t>
      </w:r>
      <w:r w:rsidR="00937F7E">
        <w:t xml:space="preserve">tor of Public Prosecutions </w:t>
      </w:r>
      <w:r w:rsidR="00937F7E" w:rsidRPr="00B33B89">
        <w:t>and Australian Federal Police</w:t>
      </w:r>
      <w:r w:rsidR="00937F7E">
        <w:t xml:space="preserve">, 2005) and New Zealand </w:t>
      </w:r>
      <w:r w:rsidR="00A71F7C">
        <w:t xml:space="preserve">(Evidence Act, 2005) </w:t>
      </w:r>
      <w:r w:rsidR="00937F7E">
        <w:t xml:space="preserve">allow </w:t>
      </w:r>
      <w:r w:rsidR="00F001A2">
        <w:t xml:space="preserve">recorded </w:t>
      </w:r>
      <w:r w:rsidR="00DE7622">
        <w:t xml:space="preserve">forensic </w:t>
      </w:r>
      <w:r w:rsidR="00937F7E">
        <w:t xml:space="preserve">interviews to be shown in place of the direct examination. </w:t>
      </w:r>
      <w:r>
        <w:rPr>
          <w:color w:val="000000" w:themeColor="text1"/>
        </w:rPr>
        <w:t>H</w:t>
      </w:r>
      <w:r w:rsidRPr="002C686C">
        <w:rPr>
          <w:color w:val="000000" w:themeColor="text1"/>
        </w:rPr>
        <w:t xml:space="preserve">owever, </w:t>
      </w:r>
      <w:r w:rsidRPr="002C686C">
        <w:t xml:space="preserve">all witnesses, including vulnerable witnesses, </w:t>
      </w:r>
      <w:r>
        <w:t>have</w:t>
      </w:r>
      <w:r w:rsidRPr="002C686C">
        <w:t xml:space="preserve"> to return to court months or even years after the initial reports to be cross-examined</w:t>
      </w:r>
      <w:r w:rsidR="00F001A2">
        <w:t>,</w:t>
      </w:r>
      <w:r w:rsidRPr="002C686C">
        <w:t xml:space="preserve"> </w:t>
      </w:r>
      <w:r w:rsidR="00F001A2" w:rsidRPr="00F001A2">
        <w:t xml:space="preserve">which can be via a live TV link in England </w:t>
      </w:r>
      <w:r w:rsidRPr="002C686C">
        <w:rPr>
          <w:color w:val="000000" w:themeColor="text1"/>
        </w:rPr>
        <w:t>(Henderson &amp; Lamb, 2017; Home Office, 2011)</w:t>
      </w:r>
      <w:r w:rsidRPr="39123F4B">
        <w:t xml:space="preserve">. </w:t>
      </w:r>
    </w:p>
    <w:p w14:paraId="32FA0B8E" w14:textId="7391697D" w:rsidR="00FE609B" w:rsidRDefault="00E65520" w:rsidP="1127D7C3">
      <w:pPr>
        <w:spacing w:line="480" w:lineRule="auto"/>
        <w:ind w:firstLine="720"/>
        <w:rPr>
          <w:color w:val="000000" w:themeColor="text1"/>
        </w:rPr>
      </w:pPr>
      <w:r>
        <w:lastRenderedPageBreak/>
        <w:t>T</w:t>
      </w:r>
      <w:r w:rsidRPr="002D14BD">
        <w:t>he cross-examinati</w:t>
      </w:r>
      <w:r w:rsidRPr="00890239">
        <w:t>on</w:t>
      </w:r>
      <w:r>
        <w:t xml:space="preserve">, </w:t>
      </w:r>
      <w:r w:rsidRPr="00FE609B">
        <w:t xml:space="preserve">the opportunity to confront </w:t>
      </w:r>
      <w:r>
        <w:t>an</w:t>
      </w:r>
      <w:r w:rsidRPr="00FE609B">
        <w:t xml:space="preserve"> opposing party</w:t>
      </w:r>
      <w:r w:rsidRPr="23B9E151">
        <w:t>,</w:t>
      </w:r>
      <w:r>
        <w:t xml:space="preserve"> is</w:t>
      </w:r>
      <w:r w:rsidRPr="00890239">
        <w:t xml:space="preserve"> </w:t>
      </w:r>
      <w:r>
        <w:t>fundamental</w:t>
      </w:r>
      <w:r w:rsidRPr="002D14BD">
        <w:t xml:space="preserve"> </w:t>
      </w:r>
      <w:r w:rsidR="00127D2D">
        <w:t>to</w:t>
      </w:r>
      <w:r w:rsidR="002737DB" w:rsidRPr="002D14BD">
        <w:t xml:space="preserve"> the adversarial approach </w:t>
      </w:r>
      <w:r w:rsidR="003C4146" w:rsidRPr="0076683A">
        <w:t>(Spencer &amp; Lamb, 2012)</w:t>
      </w:r>
      <w:r>
        <w:t xml:space="preserve"> and </w:t>
      </w:r>
      <w:r w:rsidR="0053028B" w:rsidRPr="00FE609B">
        <w:t>is often deemed an inherent</w:t>
      </w:r>
      <w:r w:rsidR="00983E4E" w:rsidRPr="00FE609B">
        <w:t xml:space="preserve"> human</w:t>
      </w:r>
      <w:r w:rsidR="0053028B" w:rsidRPr="00FE609B">
        <w:t xml:space="preserve"> right</w:t>
      </w:r>
      <w:r w:rsidR="009C5814" w:rsidRPr="23B9E151">
        <w:t xml:space="preserve"> (</w:t>
      </w:r>
      <w:r w:rsidR="00A62D2B" w:rsidRPr="00FE609B">
        <w:rPr>
          <w:color w:val="000000" w:themeColor="text1"/>
        </w:rPr>
        <w:t>Browne v Dunn</w:t>
      </w:r>
      <w:r w:rsidR="00D42AE2">
        <w:rPr>
          <w:color w:val="000000" w:themeColor="text1"/>
        </w:rPr>
        <w:t xml:space="preserve">, </w:t>
      </w:r>
      <w:r w:rsidR="00C67806" w:rsidRPr="00FE609B">
        <w:rPr>
          <w:color w:val="000000" w:themeColor="text1"/>
        </w:rPr>
        <w:t>1894;</w:t>
      </w:r>
      <w:r w:rsidR="009C5814" w:rsidRPr="00FE609B">
        <w:rPr>
          <w:color w:val="000000" w:themeColor="text1"/>
        </w:rPr>
        <w:t xml:space="preserve"> European Convention on Human Rights</w:t>
      </w:r>
      <w:r w:rsidR="004A223E">
        <w:rPr>
          <w:color w:val="000000" w:themeColor="text1"/>
        </w:rPr>
        <w:t>, Article 6 [3d]</w:t>
      </w:r>
      <w:r w:rsidR="00983E4E" w:rsidRPr="00FE609B">
        <w:rPr>
          <w:color w:val="000000" w:themeColor="text1"/>
        </w:rPr>
        <w:t>).</w:t>
      </w:r>
      <w:r w:rsidR="00E77693" w:rsidRPr="00FE609B">
        <w:rPr>
          <w:color w:val="000000" w:themeColor="text1"/>
        </w:rPr>
        <w:t xml:space="preserve"> However, interpretations of </w:t>
      </w:r>
      <w:r w:rsidR="00E77693" w:rsidRPr="1127D7C3">
        <w:rPr>
          <w:i/>
          <w:iCs/>
          <w:color w:val="000000" w:themeColor="text1"/>
        </w:rPr>
        <w:t xml:space="preserve">what </w:t>
      </w:r>
      <w:r w:rsidR="00E77693" w:rsidRPr="00FE609B">
        <w:rPr>
          <w:color w:val="000000" w:themeColor="text1"/>
        </w:rPr>
        <w:t xml:space="preserve">the </w:t>
      </w:r>
      <w:r w:rsidR="00BE3EF1">
        <w:rPr>
          <w:color w:val="000000" w:themeColor="text1"/>
        </w:rPr>
        <w:t>‘</w:t>
      </w:r>
      <w:r w:rsidR="00E77693" w:rsidRPr="00FE609B">
        <w:rPr>
          <w:color w:val="000000" w:themeColor="text1"/>
        </w:rPr>
        <w:t xml:space="preserve">right to </w:t>
      </w:r>
      <w:r w:rsidR="00A83B07">
        <w:rPr>
          <w:color w:val="000000" w:themeColor="text1"/>
        </w:rPr>
        <w:t>confront’</w:t>
      </w:r>
      <w:r w:rsidR="00E77693" w:rsidRPr="00FE609B">
        <w:rPr>
          <w:color w:val="000000" w:themeColor="text1"/>
        </w:rPr>
        <w:t xml:space="preserve"> entails are often debated.</w:t>
      </w:r>
      <w:r w:rsidR="00983E4E" w:rsidRPr="00FE609B">
        <w:rPr>
          <w:color w:val="000000" w:themeColor="text1"/>
        </w:rPr>
        <w:t xml:space="preserve"> </w:t>
      </w:r>
      <w:r w:rsidR="00E77693" w:rsidRPr="00FE609B">
        <w:rPr>
          <w:color w:val="000000" w:themeColor="text1"/>
        </w:rPr>
        <w:t xml:space="preserve">The US Supreme Court has </w:t>
      </w:r>
      <w:r w:rsidR="00A83B07">
        <w:rPr>
          <w:color w:val="000000" w:themeColor="text1"/>
        </w:rPr>
        <w:t>“</w:t>
      </w:r>
      <w:r w:rsidR="00E77693" w:rsidRPr="00FE609B">
        <w:rPr>
          <w:color w:val="000000" w:themeColor="text1"/>
        </w:rPr>
        <w:t xml:space="preserve">never doubted that the Confrontation Clause guarantees the defendant a face to face meeting with the witnesses” </w:t>
      </w:r>
      <w:r w:rsidR="00FE609B" w:rsidRPr="00FE609B">
        <w:rPr>
          <w:color w:val="000000" w:themeColor="text1"/>
        </w:rPr>
        <w:t>(</w:t>
      </w:r>
      <w:r w:rsidR="003E1772" w:rsidRPr="002D14BD">
        <w:rPr>
          <w:color w:val="000000"/>
        </w:rPr>
        <w:t>Coy v Iowa</w:t>
      </w:r>
      <w:r w:rsidR="003E1772">
        <w:rPr>
          <w:color w:val="000000"/>
          <w:shd w:val="clear" w:color="auto" w:fill="FFFFFF"/>
        </w:rPr>
        <w:t xml:space="preserve">, </w:t>
      </w:r>
      <w:r w:rsidR="00FE609B" w:rsidRPr="00FE609B">
        <w:rPr>
          <w:color w:val="000000"/>
          <w:shd w:val="clear" w:color="auto" w:fill="FFFFFF"/>
        </w:rPr>
        <w:t>1988</w:t>
      </w:r>
      <w:r w:rsidR="00FE609B" w:rsidRPr="00FE609B">
        <w:rPr>
          <w:color w:val="000000" w:themeColor="text1"/>
        </w:rPr>
        <w:t>)</w:t>
      </w:r>
      <w:r w:rsidR="00127D2D">
        <w:rPr>
          <w:color w:val="000000" w:themeColor="text1"/>
        </w:rPr>
        <w:t>.</w:t>
      </w:r>
      <w:r w:rsidR="00FE609B" w:rsidRPr="00FE609B">
        <w:rPr>
          <w:color w:val="000000" w:themeColor="text1"/>
        </w:rPr>
        <w:t xml:space="preserve"> </w:t>
      </w:r>
      <w:r w:rsidR="00127D2D">
        <w:rPr>
          <w:color w:val="000000" w:themeColor="text1"/>
        </w:rPr>
        <w:t>In contrast,</w:t>
      </w:r>
      <w:r w:rsidR="00E77693" w:rsidRPr="00FE609B">
        <w:rPr>
          <w:color w:val="000000" w:themeColor="text1"/>
        </w:rPr>
        <w:t xml:space="preserve"> English law and Article 6 of the </w:t>
      </w:r>
      <w:r w:rsidR="00A83B07">
        <w:rPr>
          <w:color w:val="000000" w:themeColor="text1"/>
        </w:rPr>
        <w:t>European Convention of Human Rights</w:t>
      </w:r>
      <w:r w:rsidR="00B23B6B">
        <w:rPr>
          <w:color w:val="000000" w:themeColor="text1"/>
        </w:rPr>
        <w:t xml:space="preserve"> do not guarantee</w:t>
      </w:r>
      <w:r w:rsidR="00E77693" w:rsidRPr="00FE609B">
        <w:rPr>
          <w:color w:val="000000" w:themeColor="text1"/>
        </w:rPr>
        <w:t xml:space="preserve"> </w:t>
      </w:r>
      <w:r w:rsidR="00FE609B" w:rsidRPr="00FE609B">
        <w:rPr>
          <w:color w:val="000000" w:themeColor="text1"/>
        </w:rPr>
        <w:t xml:space="preserve">face-to-face </w:t>
      </w:r>
      <w:r w:rsidR="00B23B6B">
        <w:rPr>
          <w:color w:val="000000" w:themeColor="text1"/>
        </w:rPr>
        <w:t>confrontation</w:t>
      </w:r>
      <w:r w:rsidR="00FE609B" w:rsidRPr="00FE609B">
        <w:rPr>
          <w:color w:val="000000" w:themeColor="text1"/>
        </w:rPr>
        <w:t xml:space="preserve"> (Dennis</w:t>
      </w:r>
      <w:r w:rsidR="00B23B6B">
        <w:rPr>
          <w:color w:val="000000" w:themeColor="text1"/>
        </w:rPr>
        <w:t>, 2010</w:t>
      </w:r>
      <w:r w:rsidR="00FE609B" w:rsidRPr="00FE609B">
        <w:rPr>
          <w:color w:val="000000" w:themeColor="text1"/>
        </w:rPr>
        <w:t>)</w:t>
      </w:r>
      <w:r w:rsidR="00E77693" w:rsidRPr="00FE609B">
        <w:rPr>
          <w:color w:val="000000" w:themeColor="text1"/>
        </w:rPr>
        <w:t>.</w:t>
      </w:r>
      <w:r w:rsidR="00FE609B" w:rsidRPr="00FE609B">
        <w:rPr>
          <w:color w:val="000000" w:themeColor="text1"/>
        </w:rPr>
        <w:t xml:space="preserve"> </w:t>
      </w:r>
      <w:r w:rsidR="00FE609B">
        <w:rPr>
          <w:color w:val="000000" w:themeColor="text1"/>
        </w:rPr>
        <w:t>The United States places significant emphasis on the rights of the defendant, as protected by the 6</w:t>
      </w:r>
      <w:r w:rsidR="00FE609B" w:rsidRPr="00740298">
        <w:rPr>
          <w:color w:val="000000" w:themeColor="text1"/>
          <w:vertAlign w:val="superscript"/>
        </w:rPr>
        <w:t>th</w:t>
      </w:r>
      <w:r w:rsidR="00FE609B">
        <w:rPr>
          <w:color w:val="000000" w:themeColor="text1"/>
        </w:rPr>
        <w:t xml:space="preserve"> Amendment of the </w:t>
      </w:r>
      <w:r w:rsidR="00E25760">
        <w:rPr>
          <w:color w:val="000000" w:themeColor="text1"/>
        </w:rPr>
        <w:t xml:space="preserve">US </w:t>
      </w:r>
      <w:r w:rsidR="00FE609B">
        <w:rPr>
          <w:color w:val="000000" w:themeColor="text1"/>
        </w:rPr>
        <w:t>Constitution</w:t>
      </w:r>
      <w:r w:rsidR="00FF0EC0">
        <w:rPr>
          <w:color w:val="000000" w:themeColor="text1"/>
        </w:rPr>
        <w:t>,</w:t>
      </w:r>
      <w:r w:rsidR="00FE609B">
        <w:rPr>
          <w:color w:val="000000" w:themeColor="text1"/>
        </w:rPr>
        <w:t xml:space="preserve"> </w:t>
      </w:r>
      <w:r w:rsidR="00E25760">
        <w:rPr>
          <w:color w:val="000000" w:themeColor="text1"/>
        </w:rPr>
        <w:t>whereas</w:t>
      </w:r>
      <w:r w:rsidR="00FE609B">
        <w:rPr>
          <w:color w:val="000000" w:themeColor="text1"/>
        </w:rPr>
        <w:t xml:space="preserve"> the United Nations Convention of the Right</w:t>
      </w:r>
      <w:r w:rsidR="00AC77AC">
        <w:rPr>
          <w:color w:val="000000" w:themeColor="text1"/>
        </w:rPr>
        <w:t>s</w:t>
      </w:r>
      <w:r w:rsidR="00FE609B">
        <w:rPr>
          <w:color w:val="000000" w:themeColor="text1"/>
        </w:rPr>
        <w:t xml:space="preserve"> of Children </w:t>
      </w:r>
      <w:r w:rsidR="00D42AE2">
        <w:rPr>
          <w:color w:val="000000" w:themeColor="text1"/>
        </w:rPr>
        <w:t>(</w:t>
      </w:r>
      <w:r w:rsidR="00FE609B">
        <w:rPr>
          <w:color w:val="000000" w:themeColor="text1"/>
        </w:rPr>
        <w:t xml:space="preserve">1990, Article 3) states that “the best interests of the child shall be a primary consideration” in all matters, including courts of law. </w:t>
      </w:r>
      <w:r w:rsidR="0031117D">
        <w:rPr>
          <w:color w:val="000000" w:themeColor="text1"/>
        </w:rPr>
        <w:t>Therefore</w:t>
      </w:r>
      <w:r w:rsidR="00FE609B" w:rsidRPr="00FE609B">
        <w:rPr>
          <w:color w:val="000000" w:themeColor="text1"/>
        </w:rPr>
        <w:t xml:space="preserve">, while common-law countries share a basic philosophical approach, they </w:t>
      </w:r>
      <w:r w:rsidR="000B4BDD">
        <w:rPr>
          <w:color w:val="000000" w:themeColor="text1"/>
        </w:rPr>
        <w:t xml:space="preserve">may </w:t>
      </w:r>
      <w:r w:rsidR="00FE609B" w:rsidRPr="00FE609B">
        <w:rPr>
          <w:color w:val="000000" w:themeColor="text1"/>
        </w:rPr>
        <w:t>differ significantly in their legal cultures (</w:t>
      </w:r>
      <w:proofErr w:type="spellStart"/>
      <w:r w:rsidR="00FE609B" w:rsidRPr="00FE609B">
        <w:rPr>
          <w:color w:val="000000" w:themeColor="text1"/>
        </w:rPr>
        <w:t>Bussey</w:t>
      </w:r>
      <w:proofErr w:type="spellEnd"/>
      <w:r w:rsidR="00FE609B" w:rsidRPr="00FE609B">
        <w:rPr>
          <w:color w:val="000000" w:themeColor="text1"/>
        </w:rPr>
        <w:t>, 2009) and willingness to adapt legal proceedings (Spencer &amp; Lamb, 20</w:t>
      </w:r>
      <w:r w:rsidR="006C4BE0">
        <w:rPr>
          <w:color w:val="000000" w:themeColor="text1"/>
        </w:rPr>
        <w:t>12)</w:t>
      </w:r>
      <w:r w:rsidR="00FE609B" w:rsidRPr="00FE609B">
        <w:rPr>
          <w:color w:val="000000" w:themeColor="text1"/>
        </w:rPr>
        <w:t>.</w:t>
      </w:r>
    </w:p>
    <w:p w14:paraId="6EA0C913" w14:textId="6161F345" w:rsidR="000E39F1" w:rsidRDefault="1127D7C3" w:rsidP="1127D7C3">
      <w:pPr>
        <w:spacing w:line="480" w:lineRule="auto"/>
        <w:ind w:firstLine="720"/>
        <w:rPr>
          <w:color w:val="000000" w:themeColor="text1"/>
        </w:rPr>
      </w:pPr>
      <w:r w:rsidRPr="1127D7C3">
        <w:rPr>
          <w:color w:val="000000" w:themeColor="text1"/>
        </w:rPr>
        <w:t>The cross-examination differs from the direct-examination in that, while the law of evidence generally forbids leading questions in direct-examination, lawyers are permitted, and in some cultures, encouraged, to use leading questions in cross-examinations (Criminal Procedure Rules, 2015; US Federal Rules of Evidence, 2015</w:t>
      </w:r>
      <w:r w:rsidR="00F62CE2">
        <w:rPr>
          <w:color w:val="000000" w:themeColor="text1"/>
        </w:rPr>
        <w:t xml:space="preserve">; see </w:t>
      </w:r>
      <w:r w:rsidR="00FF0EC0">
        <w:rPr>
          <w:color w:val="000000" w:themeColor="text1"/>
        </w:rPr>
        <w:t xml:space="preserve">E. </w:t>
      </w:r>
      <w:r w:rsidR="00F62CE2">
        <w:rPr>
          <w:color w:val="000000" w:themeColor="text1"/>
        </w:rPr>
        <w:t>Henderson, 2002</w:t>
      </w:r>
      <w:r w:rsidR="00F62CE2" w:rsidRPr="00AD4625">
        <w:rPr>
          <w:color w:val="000000" w:themeColor="text1"/>
        </w:rPr>
        <w:t>, 2015</w:t>
      </w:r>
      <w:r w:rsidR="00F62CE2">
        <w:rPr>
          <w:color w:val="000000" w:themeColor="text1"/>
        </w:rPr>
        <w:t xml:space="preserve">; Westcott &amp; Page, 2002; </w:t>
      </w:r>
      <w:r w:rsidR="00F62CE2" w:rsidRPr="1127D7C3">
        <w:rPr>
          <w:color w:val="000000" w:themeColor="text1"/>
        </w:rPr>
        <w:t>Younger, 1988</w:t>
      </w:r>
      <w:r w:rsidRPr="1127D7C3">
        <w:rPr>
          <w:color w:val="000000" w:themeColor="text1"/>
        </w:rPr>
        <w:t xml:space="preserve">). Furthermore, whilst the right to cross-examination is regarded as fundamental, jurisdictions </w:t>
      </w:r>
      <w:r w:rsidR="002653F7">
        <w:rPr>
          <w:color w:val="000000" w:themeColor="text1"/>
        </w:rPr>
        <w:t xml:space="preserve">and professions </w:t>
      </w:r>
      <w:r w:rsidRPr="1127D7C3">
        <w:rPr>
          <w:color w:val="000000" w:themeColor="text1"/>
        </w:rPr>
        <w:t xml:space="preserve">differ </w:t>
      </w:r>
      <w:r w:rsidR="00F62CE2">
        <w:rPr>
          <w:color w:val="000000" w:themeColor="text1"/>
        </w:rPr>
        <w:t>regarding</w:t>
      </w:r>
      <w:r w:rsidR="00F62CE2" w:rsidRPr="1127D7C3">
        <w:rPr>
          <w:color w:val="000000" w:themeColor="text1"/>
        </w:rPr>
        <w:t xml:space="preserve"> </w:t>
      </w:r>
      <w:r w:rsidRPr="1127D7C3">
        <w:rPr>
          <w:color w:val="000000" w:themeColor="text1"/>
        </w:rPr>
        <w:t xml:space="preserve">the restrictions and limitations that </w:t>
      </w:r>
      <w:r w:rsidR="002653F7">
        <w:rPr>
          <w:color w:val="000000" w:themeColor="text1"/>
        </w:rPr>
        <w:t>should</w:t>
      </w:r>
      <w:r w:rsidR="002653F7" w:rsidRPr="1127D7C3">
        <w:rPr>
          <w:color w:val="000000" w:themeColor="text1"/>
        </w:rPr>
        <w:t xml:space="preserve"> </w:t>
      </w:r>
      <w:r w:rsidRPr="1127D7C3">
        <w:rPr>
          <w:color w:val="000000" w:themeColor="text1"/>
        </w:rPr>
        <w:t>be placed on cross-examination (Criminal Procedure Rules, 2015; Dennis, 2010). For example, one</w:t>
      </w:r>
      <w:r w:rsidR="00276CE9">
        <w:rPr>
          <w:color w:val="000000" w:themeColor="text1"/>
        </w:rPr>
        <w:t xml:space="preserve"> third of</w:t>
      </w:r>
      <w:r w:rsidRPr="1127D7C3">
        <w:rPr>
          <w:color w:val="000000" w:themeColor="text1"/>
        </w:rPr>
        <w:t xml:space="preserve"> </w:t>
      </w:r>
      <w:r w:rsidR="00670C44">
        <w:rPr>
          <w:color w:val="000000" w:themeColor="text1"/>
        </w:rPr>
        <w:t>English</w:t>
      </w:r>
      <w:r w:rsidR="00670C44" w:rsidRPr="1127D7C3">
        <w:rPr>
          <w:color w:val="000000" w:themeColor="text1"/>
        </w:rPr>
        <w:t xml:space="preserve"> </w:t>
      </w:r>
      <w:r w:rsidRPr="1127D7C3">
        <w:rPr>
          <w:color w:val="000000" w:themeColor="text1"/>
        </w:rPr>
        <w:t>lawyer</w:t>
      </w:r>
      <w:r w:rsidR="00276CE9">
        <w:rPr>
          <w:color w:val="000000" w:themeColor="text1"/>
        </w:rPr>
        <w:t>s</w:t>
      </w:r>
      <w:r w:rsidRPr="1127D7C3">
        <w:rPr>
          <w:color w:val="000000" w:themeColor="text1"/>
        </w:rPr>
        <w:t xml:space="preserve"> </w:t>
      </w:r>
      <w:r w:rsidR="006A1DD7">
        <w:rPr>
          <w:color w:val="000000" w:themeColor="text1"/>
        </w:rPr>
        <w:t>believe it is ‘legitimate to use some suggestive questions to obtain or obstruct information’ (</w:t>
      </w:r>
      <w:r w:rsidR="00FF0EC0">
        <w:rPr>
          <w:color w:val="000000" w:themeColor="text1"/>
        </w:rPr>
        <w:t xml:space="preserve">E. </w:t>
      </w:r>
      <w:r w:rsidR="006A1DD7">
        <w:rPr>
          <w:color w:val="000000" w:themeColor="text1"/>
        </w:rPr>
        <w:t>Henderson, 2015, p. 5).</w:t>
      </w:r>
      <w:r w:rsidRPr="1127D7C3">
        <w:rPr>
          <w:color w:val="000000" w:themeColor="text1"/>
        </w:rPr>
        <w:t xml:space="preserve"> </w:t>
      </w:r>
      <w:r w:rsidR="00963A7D">
        <w:rPr>
          <w:color w:val="000000" w:themeColor="text1"/>
        </w:rPr>
        <w:t>On the other hand, English academics write</w:t>
      </w:r>
      <w:r w:rsidRPr="1127D7C3">
        <w:rPr>
          <w:color w:val="000000" w:themeColor="text1"/>
        </w:rPr>
        <w:t>, “Although there is a right to cross-examination, there is no, and has never been, a right to lead” (</w:t>
      </w:r>
      <w:proofErr w:type="spellStart"/>
      <w:r w:rsidRPr="1127D7C3">
        <w:rPr>
          <w:color w:val="000000" w:themeColor="text1"/>
        </w:rPr>
        <w:t>Wheatcroft</w:t>
      </w:r>
      <w:proofErr w:type="spellEnd"/>
      <w:r w:rsidRPr="1127D7C3">
        <w:rPr>
          <w:color w:val="000000" w:themeColor="text1"/>
        </w:rPr>
        <w:t xml:space="preserve">, Caruso, &amp; </w:t>
      </w:r>
      <w:proofErr w:type="spellStart"/>
      <w:r w:rsidRPr="1127D7C3">
        <w:rPr>
          <w:color w:val="000000" w:themeColor="text1"/>
        </w:rPr>
        <w:t>Krumrey</w:t>
      </w:r>
      <w:proofErr w:type="spellEnd"/>
      <w:r w:rsidRPr="1127D7C3">
        <w:rPr>
          <w:color w:val="000000" w:themeColor="text1"/>
        </w:rPr>
        <w:t>-Quinn, 2015</w:t>
      </w:r>
      <w:r w:rsidR="00246415">
        <w:rPr>
          <w:color w:val="000000" w:themeColor="text1"/>
        </w:rPr>
        <w:t>, p. 8</w:t>
      </w:r>
      <w:r w:rsidRPr="1127D7C3">
        <w:rPr>
          <w:color w:val="000000" w:themeColor="text1"/>
        </w:rPr>
        <w:t xml:space="preserve">). </w:t>
      </w:r>
    </w:p>
    <w:p w14:paraId="72300D99" w14:textId="7D7254EE" w:rsidR="00CE67B6" w:rsidRDefault="1127D7C3" w:rsidP="1127D7C3">
      <w:pPr>
        <w:spacing w:line="480" w:lineRule="auto"/>
        <w:ind w:firstLine="720"/>
        <w:rPr>
          <w:color w:val="000000" w:themeColor="text1"/>
        </w:rPr>
      </w:pPr>
      <w:r w:rsidRPr="1127D7C3">
        <w:rPr>
          <w:color w:val="000000" w:themeColor="text1"/>
        </w:rPr>
        <w:lastRenderedPageBreak/>
        <w:t>Internationally, legal reforms have begun to grant accommodations for vulnerable witnesses during questioning in both the direct and cross-examination (</w:t>
      </w:r>
      <w:r>
        <w:t xml:space="preserve">Office of the Director of Public Prosecutions and Australian Federal Police, 2005; </w:t>
      </w:r>
      <w:r w:rsidRPr="1127D7C3">
        <w:rPr>
          <w:color w:val="000000" w:themeColor="text1"/>
        </w:rPr>
        <w:t xml:space="preserve">Spencer &amp; Lamb, 2012; </w:t>
      </w:r>
      <w:r>
        <w:t>Youth Justice and Criminal Evidence Act</w:t>
      </w:r>
      <w:r w:rsidRPr="1127D7C3">
        <w:rPr>
          <w:color w:val="000000" w:themeColor="text1"/>
        </w:rPr>
        <w:t>, 1999) but the granting of these accommodations does not guarantee that the relevant special measures have been effectively implemented. Training initiatives, educational outreach, and developments in legal culture may drastically affect the treatment of child witnesses and the effectiveness of legal reforms (</w:t>
      </w:r>
      <w:proofErr w:type="spellStart"/>
      <w:r w:rsidRPr="1127D7C3">
        <w:rPr>
          <w:color w:val="000000" w:themeColor="text1"/>
        </w:rPr>
        <w:t>Bussey</w:t>
      </w:r>
      <w:proofErr w:type="spellEnd"/>
      <w:r w:rsidRPr="1127D7C3">
        <w:rPr>
          <w:color w:val="000000" w:themeColor="text1"/>
        </w:rPr>
        <w:t xml:space="preserve">, 2009).  </w:t>
      </w:r>
    </w:p>
    <w:p w14:paraId="574D6C07" w14:textId="77777777" w:rsidR="00477194" w:rsidRPr="006C4BE0" w:rsidRDefault="00477194" w:rsidP="00477194">
      <w:pPr>
        <w:pStyle w:val="paragraph"/>
        <w:spacing w:before="0" w:beforeAutospacing="0" w:after="0" w:afterAutospacing="0" w:line="480" w:lineRule="auto"/>
        <w:ind w:right="15"/>
        <w:textAlignment w:val="baseline"/>
        <w:rPr>
          <w:b/>
          <w:bCs/>
        </w:rPr>
      </w:pPr>
      <w:r w:rsidRPr="1127D7C3">
        <w:rPr>
          <w:b/>
          <w:bCs/>
        </w:rPr>
        <w:t>Ground Rules Hearings to Combat Risky Questioning</w:t>
      </w:r>
    </w:p>
    <w:p w14:paraId="00F65C6F" w14:textId="653D8327" w:rsidR="00725C7E" w:rsidRDefault="00477194" w:rsidP="00695302">
      <w:pPr>
        <w:spacing w:line="480" w:lineRule="auto"/>
        <w:ind w:right="20" w:firstLine="720"/>
        <w:outlineLvl w:val="0"/>
      </w:pPr>
      <w:r w:rsidRPr="005D1F7B">
        <w:t xml:space="preserve">To </w:t>
      </w:r>
      <w:r w:rsidR="00695302">
        <w:t>improve the treatment of vulnerable witnesses</w:t>
      </w:r>
      <w:r>
        <w:t xml:space="preserve"> in England</w:t>
      </w:r>
      <w:r w:rsidRPr="39123F4B">
        <w:t xml:space="preserve">, </w:t>
      </w:r>
      <w:r>
        <w:t>Ground Rules Hearings</w:t>
      </w:r>
      <w:r w:rsidR="00F62CE2">
        <w:t xml:space="preserve"> (GRHs)</w:t>
      </w:r>
      <w:r>
        <w:t xml:space="preserve"> were introduced</w:t>
      </w:r>
      <w:r w:rsidRPr="39123F4B">
        <w:t xml:space="preserve"> </w:t>
      </w:r>
      <w:r w:rsidRPr="005D1F7B">
        <w:t xml:space="preserve">to </w:t>
      </w:r>
      <w:r w:rsidR="00FF0EC0">
        <w:t xml:space="preserve">1) </w:t>
      </w:r>
      <w:r w:rsidRPr="005D1F7B">
        <w:t xml:space="preserve">restrict questioning that hinders children’s comprehension and communication and instead </w:t>
      </w:r>
      <w:r w:rsidR="00FF0EC0">
        <w:t xml:space="preserve">2) </w:t>
      </w:r>
      <w:r w:rsidRPr="005D1F7B">
        <w:t xml:space="preserve">encourage questioning that increases </w:t>
      </w:r>
      <w:r>
        <w:t xml:space="preserve">the quality of </w:t>
      </w:r>
      <w:r w:rsidRPr="005D1F7B">
        <w:t>children</w:t>
      </w:r>
      <w:r>
        <w:t>’s</w:t>
      </w:r>
      <w:r w:rsidRPr="39123F4B">
        <w:t xml:space="preserve"> </w:t>
      </w:r>
      <w:r>
        <w:t>testimony</w:t>
      </w:r>
      <w:r w:rsidRPr="39123F4B">
        <w:t xml:space="preserve"> (</w:t>
      </w:r>
      <w:r w:rsidRPr="005D1F7B">
        <w:t>Criminal Practice Directions</w:t>
      </w:r>
      <w:r>
        <w:t>, 2015</w:t>
      </w:r>
      <w:r w:rsidRPr="39123F4B">
        <w:t xml:space="preserve">; </w:t>
      </w:r>
      <w:proofErr w:type="spellStart"/>
      <w:r w:rsidRPr="005D1F7B">
        <w:rPr>
          <w:color w:val="222222"/>
          <w:shd w:val="clear" w:color="auto" w:fill="FFFFFF"/>
        </w:rPr>
        <w:t>Plotnikoff</w:t>
      </w:r>
      <w:proofErr w:type="spellEnd"/>
      <w:r w:rsidRPr="005D1F7B">
        <w:rPr>
          <w:color w:val="222222"/>
          <w:shd w:val="clear" w:color="auto" w:fill="FFFFFF"/>
        </w:rPr>
        <w:t xml:space="preserve"> &amp; </w:t>
      </w:r>
      <w:proofErr w:type="spellStart"/>
      <w:r w:rsidRPr="005D1F7B">
        <w:rPr>
          <w:color w:val="222222"/>
          <w:shd w:val="clear" w:color="auto" w:fill="FFFFFF"/>
        </w:rPr>
        <w:t>Woolfson</w:t>
      </w:r>
      <w:proofErr w:type="spellEnd"/>
      <w:r w:rsidRPr="005D1F7B">
        <w:rPr>
          <w:color w:val="222222"/>
          <w:shd w:val="clear" w:color="auto" w:fill="FFFFFF"/>
        </w:rPr>
        <w:t>,</w:t>
      </w:r>
      <w:r w:rsidRPr="005D1F7B">
        <w:t xml:space="preserve"> 2012). </w:t>
      </w:r>
      <w:r w:rsidR="00F62CE2">
        <w:t>GRHs</w:t>
      </w:r>
      <w:r w:rsidRPr="39123F4B">
        <w:t xml:space="preserve"> </w:t>
      </w:r>
      <w:r>
        <w:t>are</w:t>
      </w:r>
      <w:r w:rsidRPr="005D1F7B">
        <w:t xml:space="preserve"> att</w:t>
      </w:r>
      <w:r>
        <w:t xml:space="preserve">ended </w:t>
      </w:r>
      <w:r w:rsidR="008058E5">
        <w:t xml:space="preserve">before trial </w:t>
      </w:r>
      <w:r>
        <w:t xml:space="preserve">by the judge, </w:t>
      </w:r>
      <w:r w:rsidRPr="005D1F7B">
        <w:t>prosecutor(s)</w:t>
      </w:r>
      <w:r w:rsidRPr="39123F4B">
        <w:t xml:space="preserve">, </w:t>
      </w:r>
      <w:r w:rsidRPr="005D1F7B">
        <w:t>defen</w:t>
      </w:r>
      <w:r>
        <w:t>c</w:t>
      </w:r>
      <w:r w:rsidRPr="005D1F7B">
        <w:t>e lawyer(s), and if necessary, an intermediary (i.e., a court-appointed specialist responsible for facilitating communication between witnesses and lawyers)</w:t>
      </w:r>
      <w:r w:rsidRPr="39123F4B">
        <w:t xml:space="preserve">. </w:t>
      </w:r>
    </w:p>
    <w:p w14:paraId="4BD6ECF9" w14:textId="72A11FB6" w:rsidR="00477194" w:rsidRDefault="00477194" w:rsidP="00695302">
      <w:pPr>
        <w:spacing w:line="480" w:lineRule="auto"/>
        <w:ind w:right="20" w:firstLine="720"/>
        <w:outlineLvl w:val="0"/>
      </w:pPr>
      <w:r w:rsidRPr="005D1F7B">
        <w:t xml:space="preserve">During the </w:t>
      </w:r>
      <w:r>
        <w:t>GRHs</w:t>
      </w:r>
      <w:r w:rsidRPr="005D1F7B">
        <w:t xml:space="preserve">, </w:t>
      </w:r>
      <w:r>
        <w:t>many pre-trial matters</w:t>
      </w:r>
      <w:r w:rsidR="00695302">
        <w:t xml:space="preserve"> are discussed</w:t>
      </w:r>
      <w:r>
        <w:t xml:space="preserve">, </w:t>
      </w:r>
      <w:r w:rsidR="00695302">
        <w:t xml:space="preserve">particularly </w:t>
      </w:r>
      <w:r>
        <w:t xml:space="preserve">the length of the questioning and the content of questions to be asked (R v </w:t>
      </w:r>
      <w:proofErr w:type="spellStart"/>
      <w:r>
        <w:t>Cokesix</w:t>
      </w:r>
      <w:proofErr w:type="spellEnd"/>
      <w:r>
        <w:t xml:space="preserve"> </w:t>
      </w:r>
      <w:proofErr w:type="spellStart"/>
      <w:r>
        <w:t>Lubemba</w:t>
      </w:r>
      <w:proofErr w:type="spellEnd"/>
      <w:r>
        <w:t xml:space="preserve">, R v JP, 2014; Criminal Practice Directions, 2015). The relevant Criminal Practice Directions specifically state that “over-rigorous or repetitive cross-examination of a child or vulnerable witness should be stopped…” and that “… when the witness is young or otherwise vulnerable, the court may dispense with the normal practice and impose restrictions on the advocate ‘putting his case’ where there is risk of a young or otherwise vulnerable witness failing to understand, becoming distressed, or acquiescing to leading questions” (see Criminal Practice Directions, 2015 I General Matters, 3E.1- 6). Judges may go so far as to review lawyers’ drafts of </w:t>
      </w:r>
      <w:r>
        <w:lastRenderedPageBreak/>
        <w:t xml:space="preserve">proposed questions and their specification of topics that they may wish to explore when putting their case to witnesses. </w:t>
      </w:r>
    </w:p>
    <w:p w14:paraId="0F4DFAAE" w14:textId="3087B462" w:rsidR="00477194" w:rsidRPr="006C4BE0" w:rsidRDefault="00A07D5A" w:rsidP="00477194">
      <w:pPr>
        <w:spacing w:line="480" w:lineRule="auto"/>
        <w:ind w:right="20" w:firstLine="720"/>
        <w:outlineLvl w:val="0"/>
        <w:rPr>
          <w:rFonts w:eastAsiaTheme="minorEastAsia"/>
        </w:rPr>
      </w:pPr>
      <w:r>
        <w:t xml:space="preserve">In the Section 28 pilot study, </w:t>
      </w:r>
      <w:r w:rsidR="00477194">
        <w:t>GRHs were made mandatory and took place before the pre-recorded cross-examinations. Henderson and Lamb (2017) found that</w:t>
      </w:r>
      <w:r w:rsidR="00F62CE2">
        <w:t>, in the Section 28 pilot study,</w:t>
      </w:r>
      <w:r w:rsidR="00477194">
        <w:t xml:space="preserve"> children spent nearly an hour less giving evidence under oath than child witnesses in comparable cases. They also found that, whether or not the Section 28 reforms were implemented, the bulk of children’s evidence came from the ABE forensic interviews and the cross-examinations, with little to no time spent directly examining the children (see Table 2; Henderson &amp; Lamb, 2017). These findings suggest that GRHs and the implementation of video-recorded evidence may spare children from unnecessary involvement in the legal system and protect them from risky questioning by identifying key issues prior to trial, streamlining questioning, and scheduling the children’s examinations more effectively.  </w:t>
      </w:r>
    </w:p>
    <w:p w14:paraId="2631187D" w14:textId="0449CBF9" w:rsidR="00477194" w:rsidRPr="00494534" w:rsidRDefault="00477194" w:rsidP="00494534">
      <w:pPr>
        <w:spacing w:line="480" w:lineRule="auto"/>
        <w:ind w:right="20" w:firstLine="720"/>
        <w:outlineLvl w:val="0"/>
      </w:pPr>
      <w:r>
        <w:t xml:space="preserve">As of 2015 (Criminal Practice Directions, 2015, 3E.2), GRHs are now recommended in all cases involving vulnerable witnesses and are </w:t>
      </w:r>
      <w:r w:rsidRPr="1127D7C3">
        <w:rPr>
          <w:i/>
          <w:iCs/>
        </w:rPr>
        <w:t>mandatory</w:t>
      </w:r>
      <w:r>
        <w:t xml:space="preserve"> in cases using pre-recorded cross-examinations and/or cases that involve the assistance of intermediaries. Thus, whether or not the cross-examination is pre-recorded, GRHs can be used to facilitate children’s (or other vulnerable witness’s) best evidence. Ultimately, by imposing restrictions on the length and nature of questioning, it is hoped that harmful techniques can be reduced, if not eliminated entirely, from cross-examinations.</w:t>
      </w:r>
    </w:p>
    <w:p w14:paraId="7527B893" w14:textId="34A89513" w:rsidR="001B6596" w:rsidRPr="006C4BE0" w:rsidRDefault="1127D7C3" w:rsidP="1127D7C3">
      <w:pPr>
        <w:spacing w:line="480" w:lineRule="auto"/>
        <w:rPr>
          <w:b/>
          <w:bCs/>
          <w:color w:val="000000" w:themeColor="text1"/>
        </w:rPr>
      </w:pPr>
      <w:r w:rsidRPr="1127D7C3">
        <w:rPr>
          <w:b/>
          <w:bCs/>
          <w:color w:val="000000" w:themeColor="text1"/>
        </w:rPr>
        <w:t>Research on Question Types</w:t>
      </w:r>
    </w:p>
    <w:p w14:paraId="13A29C49" w14:textId="15CA4A3C" w:rsidR="002F5CFF" w:rsidRPr="006E587B" w:rsidRDefault="1127D7C3" w:rsidP="002F5CFF">
      <w:pPr>
        <w:spacing w:line="480" w:lineRule="auto"/>
        <w:ind w:right="20" w:firstLine="720"/>
        <w:outlineLvl w:val="0"/>
      </w:pPr>
      <w:r>
        <w:t>Research</w:t>
      </w:r>
      <w:r w:rsidR="008A335B">
        <w:t>ers</w:t>
      </w:r>
      <w:r>
        <w:t xml:space="preserve"> </w:t>
      </w:r>
      <w:r w:rsidR="008A335B">
        <w:t xml:space="preserve">have </w:t>
      </w:r>
      <w:r>
        <w:t>demonstrated that the questioning strategies commonly employed in court</w:t>
      </w:r>
      <w:r w:rsidR="00412B56">
        <w:t>, particularly</w:t>
      </w:r>
      <w:r>
        <w:t xml:space="preserve"> during cross-examinations</w:t>
      </w:r>
      <w:r w:rsidR="00416ED7">
        <w:t>,</w:t>
      </w:r>
      <w:r>
        <w:t xml:space="preserve"> reduce the productivity (Lamb, </w:t>
      </w:r>
      <w:proofErr w:type="spellStart"/>
      <w:r>
        <w:t>Orbach</w:t>
      </w:r>
      <w:proofErr w:type="spellEnd"/>
      <w:r>
        <w:t xml:space="preserve">, </w:t>
      </w:r>
      <w:proofErr w:type="spellStart"/>
      <w:r>
        <w:t>Hershkowitz</w:t>
      </w:r>
      <w:proofErr w:type="spellEnd"/>
      <w:r>
        <w:t xml:space="preserve">, </w:t>
      </w:r>
      <w:proofErr w:type="spellStart"/>
      <w:r>
        <w:t>Esplin</w:t>
      </w:r>
      <w:proofErr w:type="spellEnd"/>
      <w:r>
        <w:t>, &amp; Horowitz, 2007) and accuracy (</w:t>
      </w:r>
      <w:r w:rsidRPr="1127D7C3">
        <w:rPr>
          <w:color w:val="000000" w:themeColor="text1"/>
        </w:rPr>
        <w:t xml:space="preserve">Andrews &amp; Lamb, 2016; </w:t>
      </w:r>
      <w:r>
        <w:t xml:space="preserve">Lamb &amp; </w:t>
      </w:r>
      <w:proofErr w:type="spellStart"/>
      <w:r>
        <w:t>Fauchier</w:t>
      </w:r>
      <w:proofErr w:type="spellEnd"/>
      <w:r>
        <w:t>, 2001) of children’s testimonies. Two detrimental forms of prompts are closed-</w:t>
      </w:r>
      <w:r>
        <w:lastRenderedPageBreak/>
        <w:t xml:space="preserve">ended option-posing questions (e.g., “Did it hurt when he touched you?” when the child has previously disclosed being touched) and suggestive questions (e.g., “It hurt when he touched you, right?”) (see Lamb, Malloy, </w:t>
      </w:r>
      <w:proofErr w:type="spellStart"/>
      <w:r>
        <w:t>Hershkowitz</w:t>
      </w:r>
      <w:proofErr w:type="spellEnd"/>
      <w:r>
        <w:t xml:space="preserve">, &amp; La </w:t>
      </w:r>
      <w:proofErr w:type="spellStart"/>
      <w:r>
        <w:t>Rooy</w:t>
      </w:r>
      <w:proofErr w:type="spellEnd"/>
      <w:r>
        <w:t>, 2015; Melton, Ben-</w:t>
      </w:r>
      <w:proofErr w:type="spellStart"/>
      <w:r>
        <w:t>Arieh</w:t>
      </w:r>
      <w:proofErr w:type="spellEnd"/>
      <w:r>
        <w:t xml:space="preserve">, Cashmore, Goodman, &amp; Worley, 2014 for reviews; see Table 1). </w:t>
      </w:r>
      <w:r w:rsidR="00DD6B01">
        <w:t>C</w:t>
      </w:r>
      <w:r>
        <w:t>losed-ended prompts have the potential to contaminate children’s evidence (Lamb et al., 2007; Melton et al., 2014)</w:t>
      </w:r>
      <w:r w:rsidR="00DD6B01">
        <w:t xml:space="preserve"> because they involve the introduction of information by the questioner</w:t>
      </w:r>
      <w:r>
        <w:t xml:space="preserve">. Children provide less information in response to option-posing questions (Andrews &amp; Lamb, 2016; Lamb et al., 2007), and children more commonly contradict themselves when prompted using option-posing questions (Andrews &amp; Lamb, 2016; Lamb &amp; </w:t>
      </w:r>
      <w:proofErr w:type="spellStart"/>
      <w:r>
        <w:t>Fauchier</w:t>
      </w:r>
      <w:proofErr w:type="spellEnd"/>
      <w:r>
        <w:t>, 2001). Suggestive prompts communicate the expected response</w:t>
      </w:r>
      <w:r w:rsidR="00260F8F">
        <w:t xml:space="preserve"> and elicit </w:t>
      </w:r>
      <w:r w:rsidR="004B5449">
        <w:t>more</w:t>
      </w:r>
      <w:r w:rsidR="00260F8F">
        <w:t xml:space="preserve"> self-contradictions </w:t>
      </w:r>
      <w:r w:rsidR="004B5449">
        <w:t>than</w:t>
      </w:r>
      <w:r w:rsidR="00260F8F">
        <w:t xml:space="preserve"> any </w:t>
      </w:r>
      <w:r w:rsidR="004B5449">
        <w:t xml:space="preserve">other </w:t>
      </w:r>
      <w:r w:rsidR="00260F8F">
        <w:t xml:space="preserve">prompt </w:t>
      </w:r>
      <w:r w:rsidR="00260F8F">
        <w:rPr>
          <w:color w:val="000000" w:themeColor="text1"/>
        </w:rPr>
        <w:t>(Andrews &amp; Lamb, 2016);</w:t>
      </w:r>
      <w:r>
        <w:t xml:space="preserve"> thus</w:t>
      </w:r>
      <w:r w:rsidR="00260F8F">
        <w:t>,</w:t>
      </w:r>
      <w:r>
        <w:t xml:space="preserve"> they are particularly discouraged by experts, as they further reduce the credibility of children’s testimony </w:t>
      </w:r>
      <w:r w:rsidRPr="1127D7C3">
        <w:rPr>
          <w:color w:val="000000" w:themeColor="text1"/>
        </w:rPr>
        <w:t>(</w:t>
      </w:r>
      <w:proofErr w:type="spellStart"/>
      <w:r w:rsidRPr="1127D7C3">
        <w:rPr>
          <w:color w:val="000000" w:themeColor="text1"/>
        </w:rPr>
        <w:t>Bruck</w:t>
      </w:r>
      <w:proofErr w:type="spellEnd"/>
      <w:r w:rsidRPr="1127D7C3">
        <w:rPr>
          <w:color w:val="000000" w:themeColor="text1"/>
        </w:rPr>
        <w:t xml:space="preserve"> &amp; </w:t>
      </w:r>
      <w:proofErr w:type="spellStart"/>
      <w:r w:rsidRPr="1127D7C3">
        <w:rPr>
          <w:color w:val="000000" w:themeColor="text1"/>
        </w:rPr>
        <w:t>Ceci</w:t>
      </w:r>
      <w:proofErr w:type="spellEnd"/>
      <w:r w:rsidRPr="1127D7C3">
        <w:rPr>
          <w:color w:val="000000" w:themeColor="text1"/>
        </w:rPr>
        <w:t xml:space="preserve">, 1999; </w:t>
      </w:r>
      <w:r w:rsidR="00515E42" w:rsidRPr="1127D7C3">
        <w:rPr>
          <w:color w:val="000000" w:themeColor="text1"/>
        </w:rPr>
        <w:t>Home Office, 2011</w:t>
      </w:r>
      <w:r w:rsidR="00515E42">
        <w:rPr>
          <w:color w:val="000000" w:themeColor="text1"/>
        </w:rPr>
        <w:t xml:space="preserve">; </w:t>
      </w:r>
      <w:r w:rsidRPr="1127D7C3">
        <w:rPr>
          <w:color w:val="000000" w:themeColor="text1"/>
        </w:rPr>
        <w:t xml:space="preserve">Lamb &amp; </w:t>
      </w:r>
      <w:proofErr w:type="spellStart"/>
      <w:r w:rsidRPr="1127D7C3">
        <w:rPr>
          <w:color w:val="000000" w:themeColor="text1"/>
        </w:rPr>
        <w:t>Fauchier</w:t>
      </w:r>
      <w:proofErr w:type="spellEnd"/>
      <w:r w:rsidRPr="1127D7C3">
        <w:rPr>
          <w:color w:val="000000" w:themeColor="text1"/>
        </w:rPr>
        <w:t xml:space="preserve">, 2001). </w:t>
      </w:r>
      <w:bookmarkStart w:id="1" w:name="bbib14"/>
      <w:bookmarkEnd w:id="1"/>
    </w:p>
    <w:p w14:paraId="379CB4EE" w14:textId="17A506A9" w:rsidR="006E587B" w:rsidRPr="002F5CFF" w:rsidRDefault="1127D7C3" w:rsidP="002F5CFF">
      <w:pPr>
        <w:spacing w:line="480" w:lineRule="auto"/>
        <w:ind w:right="20" w:firstLine="720"/>
        <w:outlineLvl w:val="0"/>
      </w:pPr>
      <w:r>
        <w:t>Researchers instead encourage the use of open-ended prompts such as free recall invitations (e.g., “Tell me what happened”) and directive prompts (e.g., “What did he do after your mum left?” when the child has previously disclosed that he did something after the mother left</w:t>
      </w:r>
      <w:r w:rsidR="003C3E1F">
        <w:t xml:space="preserve">; </w:t>
      </w:r>
      <w:r>
        <w:t xml:space="preserve">see Lamb et al., 2015; Melton et al., 2014 for reviews; see Table 1), which tend to elicit more accurate (Dent, 1982, 1986; Jack, </w:t>
      </w:r>
      <w:proofErr w:type="spellStart"/>
      <w:r>
        <w:t>Leov</w:t>
      </w:r>
      <w:proofErr w:type="spellEnd"/>
      <w:r>
        <w:t xml:space="preserve">, &amp; </w:t>
      </w:r>
      <w:proofErr w:type="spellStart"/>
      <w:r>
        <w:t>Zajac</w:t>
      </w:r>
      <w:proofErr w:type="spellEnd"/>
      <w:r>
        <w:t xml:space="preserve">, 2014; Lamb et al., 2007) and </w:t>
      </w:r>
      <w:r w:rsidR="00A92DC3">
        <w:t>more detailed</w:t>
      </w:r>
      <w:r>
        <w:t xml:space="preserve"> (e.g., Andrews &amp; Lamb, 2016; Lamb et al., 2007; Sternberg, Lamb, Davies, &amp; Westcott, 2001) responses. Furthermore, field studies have shown that few, if any, self-contradictions are elicited using open-ended invitations and directives (Andrews &amp; Lamb, 2016; </w:t>
      </w:r>
      <w:proofErr w:type="spellStart"/>
      <w:r w:rsidR="00515E42" w:rsidRPr="1127D7C3">
        <w:rPr>
          <w:color w:val="000000" w:themeColor="text1"/>
        </w:rPr>
        <w:t>Fogliati</w:t>
      </w:r>
      <w:proofErr w:type="spellEnd"/>
      <w:r w:rsidR="00515E42" w:rsidRPr="1127D7C3">
        <w:rPr>
          <w:color w:val="000000" w:themeColor="text1"/>
        </w:rPr>
        <w:t xml:space="preserve"> &amp; </w:t>
      </w:r>
      <w:proofErr w:type="spellStart"/>
      <w:r w:rsidR="00515E42" w:rsidRPr="1127D7C3">
        <w:rPr>
          <w:color w:val="000000" w:themeColor="text1"/>
        </w:rPr>
        <w:t>Bussey</w:t>
      </w:r>
      <w:proofErr w:type="spellEnd"/>
      <w:r w:rsidR="00515E42" w:rsidRPr="1127D7C3">
        <w:rPr>
          <w:color w:val="000000" w:themeColor="text1"/>
        </w:rPr>
        <w:t>, 2014</w:t>
      </w:r>
      <w:r w:rsidR="00515E42">
        <w:rPr>
          <w:color w:val="000000" w:themeColor="text1"/>
        </w:rPr>
        <w:t xml:space="preserve">; </w:t>
      </w:r>
      <w:r>
        <w:t xml:space="preserve">Lamb &amp; </w:t>
      </w:r>
      <w:proofErr w:type="spellStart"/>
      <w:r>
        <w:t>Fauchier</w:t>
      </w:r>
      <w:proofErr w:type="spellEnd"/>
      <w:r>
        <w:t>, 2001).</w:t>
      </w:r>
      <w:r w:rsidRPr="1127D7C3">
        <w:rPr>
          <w:rFonts w:ascii="Calibri" w:hAnsi="Calibri"/>
        </w:rPr>
        <w:t xml:space="preserve"> </w:t>
      </w:r>
      <w:r>
        <w:t xml:space="preserve">Despite these findings, lawyers predominantly use </w:t>
      </w:r>
      <w:r w:rsidR="0007472B">
        <w:t>‘risky’</w:t>
      </w:r>
      <w:r>
        <w:t xml:space="preserve"> option-posing and suggestive prompts when questioning children in court (e.g., Andrews &amp; Lamb, 2016; </w:t>
      </w:r>
      <w:proofErr w:type="spellStart"/>
      <w:r w:rsidRPr="1127D7C3">
        <w:rPr>
          <w:color w:val="000000" w:themeColor="text1"/>
        </w:rPr>
        <w:t>Klemfuss</w:t>
      </w:r>
      <w:proofErr w:type="spellEnd"/>
      <w:r w:rsidRPr="1127D7C3">
        <w:rPr>
          <w:color w:val="000000" w:themeColor="text1"/>
        </w:rPr>
        <w:t xml:space="preserve">, </w:t>
      </w:r>
      <w:proofErr w:type="spellStart"/>
      <w:r w:rsidRPr="1127D7C3">
        <w:rPr>
          <w:color w:val="000000" w:themeColor="text1"/>
        </w:rPr>
        <w:t>Quas</w:t>
      </w:r>
      <w:proofErr w:type="spellEnd"/>
      <w:r w:rsidRPr="1127D7C3">
        <w:rPr>
          <w:color w:val="000000" w:themeColor="text1"/>
        </w:rPr>
        <w:t>, &amp; Lyon, 2014</w:t>
      </w:r>
      <w:r>
        <w:t xml:space="preserve">; </w:t>
      </w:r>
      <w:proofErr w:type="spellStart"/>
      <w:r>
        <w:t>Zajac</w:t>
      </w:r>
      <w:proofErr w:type="spellEnd"/>
      <w:r>
        <w:t xml:space="preserve"> et al., 2017).</w:t>
      </w:r>
      <w:bookmarkStart w:id="2" w:name="bbib21"/>
      <w:bookmarkStart w:id="3" w:name="bbib23"/>
      <w:bookmarkStart w:id="4" w:name="bbib31"/>
      <w:bookmarkStart w:id="5" w:name="bbib55"/>
      <w:bookmarkStart w:id="6" w:name="bbib86"/>
      <w:bookmarkEnd w:id="2"/>
      <w:bookmarkEnd w:id="3"/>
      <w:bookmarkEnd w:id="4"/>
      <w:bookmarkEnd w:id="5"/>
      <w:bookmarkEnd w:id="6"/>
    </w:p>
    <w:p w14:paraId="55A11549" w14:textId="15FAA48B" w:rsidR="00E753E3" w:rsidRDefault="1127D7C3" w:rsidP="1127D7C3">
      <w:pPr>
        <w:spacing w:line="480" w:lineRule="auto"/>
        <w:ind w:right="20" w:firstLine="720"/>
        <w:outlineLvl w:val="0"/>
        <w:rPr>
          <w:color w:val="000000" w:themeColor="text1"/>
        </w:rPr>
      </w:pPr>
      <w:r w:rsidRPr="1127D7C3">
        <w:rPr>
          <w:color w:val="000000" w:themeColor="text1"/>
        </w:rPr>
        <w:lastRenderedPageBreak/>
        <w:t xml:space="preserve">Research from Scotland, the United States, and New Zealand has consistently shown that defence lawyers ask fewer invitations and directives and more suggestive questions than prosecutors (Andrews &amp; Lamb, 2016; </w:t>
      </w:r>
      <w:proofErr w:type="spellStart"/>
      <w:r w:rsidRPr="1127D7C3">
        <w:rPr>
          <w:color w:val="000000" w:themeColor="text1"/>
        </w:rPr>
        <w:t>Klemfuss</w:t>
      </w:r>
      <w:proofErr w:type="spellEnd"/>
      <w:r w:rsidRPr="1127D7C3">
        <w:rPr>
          <w:color w:val="000000" w:themeColor="text1"/>
        </w:rPr>
        <w:t xml:space="preserve"> et al., 2014; Stolzenberg &amp; Lyon, 2014; </w:t>
      </w:r>
      <w:proofErr w:type="spellStart"/>
      <w:r w:rsidRPr="1127D7C3">
        <w:rPr>
          <w:color w:val="000000" w:themeColor="text1"/>
        </w:rPr>
        <w:t>Zajac</w:t>
      </w:r>
      <w:proofErr w:type="spellEnd"/>
      <w:r w:rsidRPr="1127D7C3">
        <w:rPr>
          <w:color w:val="000000" w:themeColor="text1"/>
        </w:rPr>
        <w:t xml:space="preserve"> &amp; </w:t>
      </w:r>
      <w:proofErr w:type="spellStart"/>
      <w:r w:rsidRPr="1127D7C3">
        <w:rPr>
          <w:color w:val="000000" w:themeColor="text1"/>
        </w:rPr>
        <w:t>Cannan</w:t>
      </w:r>
      <w:proofErr w:type="spellEnd"/>
      <w:r w:rsidRPr="1127D7C3">
        <w:rPr>
          <w:color w:val="000000" w:themeColor="text1"/>
        </w:rPr>
        <w:t>, 2009</w:t>
      </w:r>
      <w:r w:rsidR="00A92DC3">
        <w:rPr>
          <w:color w:val="000000" w:themeColor="text1"/>
        </w:rPr>
        <w:fldChar w:fldCharType="begin" w:fldLock="1"/>
      </w:r>
      <w:r w:rsidR="00AD4625">
        <w:rPr>
          <w:color w:val="000000" w:themeColor="text1"/>
        </w:rPr>
        <w:instrText>ADDIN CSL_CITATION {"citationItems":[{"id":"ITEM-1","itemData":{"DOI":"https://doi.org/10.1177/026975809300200403","abstract":"This paper presents the results of the first British study to record systematically observations of children giving evidence in criminal trials. Psychologists watched a total of 89 children aged between 5-15 years being examined as prosecution witnesses in a wide range of criminal cases being heard in the District, Sheriff and High Courts of Glasgow, Scotland. Ratings were made of the child's demeanour and of the lawyers' questioning techniques. Most children were able to give their evidence reasonably well; nevertheless a third of them did appear tense and unhappy while in the witness box. The results are discussed in the context of recent attempts to reform the procedures for hearing and testing children's evidence in British criminal courts.","author":[{"dropping-particle":"","family":"Flin","given":"Rhona","non-dropping-particle":"","parse-names":false,"suffix":""},{"dropping-particle":"","family":"Bull","given":"Ray","non-dropping-particle":"","parse-names":false,"suffix":""},{"dropping-particle":"","family":"Boon","given":"Julian","non-dropping-particle":"","parse-names":false,"suffix":""},{"dropping-particle":"","family":"Knox","given":"Anne","non-dropping-particle":"","parse-names":false,"suffix":""}],"container-title":"International Review of Victimology","id":"ITEM-1","issue":"4","issued":{"date-parts":[["1993"]]},"page":"309-329","title":"Child witnesses in Scottish criminal trials","type":"article-journal","volume":"2"},"uris":["http://www.mendeley.com/documents/?uuid=ffd62aed-e8e1-3eaa-a533-07f698c3a010"]}],"mendeley":{"formattedCitation":"(Flin, Bull, Boon, &amp; Knox, 1993)","manualFormatting":"; but see Flin, Bull, Boon, &amp; Knox, 1993)","plainTextFormattedCitation":"(Flin, Bull, Boon, &amp; Knox, 1993)","previouslyFormattedCitation":"(Flin, Bull, Boon, &amp; Knox, 1993)"},"properties":{"noteIndex":0},"schema":"https://github.com/citation-style-language/schema/raw/master/csl-citation.json"}</w:instrText>
      </w:r>
      <w:r w:rsidR="00A92DC3">
        <w:rPr>
          <w:color w:val="000000" w:themeColor="text1"/>
        </w:rPr>
        <w:fldChar w:fldCharType="separate"/>
      </w:r>
      <w:r w:rsidR="00A92DC3">
        <w:rPr>
          <w:noProof/>
          <w:color w:val="000000" w:themeColor="text1"/>
        </w:rPr>
        <w:t xml:space="preserve">; but see </w:t>
      </w:r>
      <w:r w:rsidR="00A92DC3" w:rsidRPr="00A92DC3">
        <w:rPr>
          <w:noProof/>
          <w:color w:val="000000" w:themeColor="text1"/>
        </w:rPr>
        <w:t>Flin, Bull, Boon, &amp; Knox, 1993)</w:t>
      </w:r>
      <w:r w:rsidR="00A92DC3">
        <w:rPr>
          <w:color w:val="000000" w:themeColor="text1"/>
        </w:rPr>
        <w:fldChar w:fldCharType="end"/>
      </w:r>
      <w:r w:rsidRPr="1127D7C3">
        <w:rPr>
          <w:color w:val="000000" w:themeColor="text1"/>
        </w:rPr>
        <w:t>.</w:t>
      </w:r>
      <w:r w:rsidR="00894735">
        <w:rPr>
          <w:color w:val="000000" w:themeColor="text1"/>
        </w:rPr>
        <w:t xml:space="preserve"> P</w:t>
      </w:r>
      <w:r w:rsidRPr="1127D7C3">
        <w:rPr>
          <w:color w:val="000000" w:themeColor="text1"/>
        </w:rPr>
        <w:t xml:space="preserve">rosecutors’ questioning strategies also appear to be problematic. Both types of lawyers use option-posing </w:t>
      </w:r>
      <w:r w:rsidR="0007472B">
        <w:rPr>
          <w:color w:val="000000" w:themeColor="text1"/>
        </w:rPr>
        <w:t>‘</w:t>
      </w:r>
      <w:r w:rsidRPr="1127D7C3">
        <w:rPr>
          <w:color w:val="000000" w:themeColor="text1"/>
        </w:rPr>
        <w:t>yes/no</w:t>
      </w:r>
      <w:r w:rsidR="0007472B">
        <w:rPr>
          <w:color w:val="000000" w:themeColor="text1"/>
        </w:rPr>
        <w:t>’</w:t>
      </w:r>
      <w:r w:rsidRPr="1127D7C3">
        <w:rPr>
          <w:color w:val="000000" w:themeColor="text1"/>
        </w:rPr>
        <w:t xml:space="preserve"> prompts most often (Hanna, Davies, Crothers, &amp; Henderson et al., 2012; </w:t>
      </w:r>
      <w:proofErr w:type="spellStart"/>
      <w:r w:rsidRPr="1127D7C3">
        <w:rPr>
          <w:color w:val="000000" w:themeColor="text1"/>
        </w:rPr>
        <w:t>Klemfuss</w:t>
      </w:r>
      <w:proofErr w:type="spellEnd"/>
      <w:r w:rsidRPr="1127D7C3">
        <w:rPr>
          <w:color w:val="000000" w:themeColor="text1"/>
        </w:rPr>
        <w:t xml:space="preserve"> et al., 2014;</w:t>
      </w:r>
      <w:r w:rsidRPr="1127D7C3">
        <w:rPr>
          <w:b/>
          <w:bCs/>
          <w:color w:val="000000" w:themeColor="text1"/>
        </w:rPr>
        <w:t xml:space="preserve"> </w:t>
      </w:r>
      <w:proofErr w:type="spellStart"/>
      <w:r w:rsidR="00F77611">
        <w:rPr>
          <w:color w:val="000000" w:themeColor="text1"/>
        </w:rPr>
        <w:t>Zajac</w:t>
      </w:r>
      <w:proofErr w:type="spellEnd"/>
      <w:r w:rsidR="00F77611">
        <w:rPr>
          <w:color w:val="000000" w:themeColor="text1"/>
        </w:rPr>
        <w:t xml:space="preserve"> &amp; </w:t>
      </w:r>
      <w:proofErr w:type="spellStart"/>
      <w:r w:rsidR="00F77611">
        <w:rPr>
          <w:color w:val="000000" w:themeColor="text1"/>
        </w:rPr>
        <w:t>Cannan</w:t>
      </w:r>
      <w:proofErr w:type="spellEnd"/>
      <w:r w:rsidR="00F77611">
        <w:rPr>
          <w:color w:val="000000" w:themeColor="text1"/>
        </w:rPr>
        <w:t>, 2009).</w:t>
      </w:r>
      <w:r w:rsidRPr="1127D7C3">
        <w:rPr>
          <w:color w:val="000000" w:themeColor="text1"/>
        </w:rPr>
        <w:t xml:space="preserve"> </w:t>
      </w:r>
      <w:r w:rsidR="00F77611">
        <w:rPr>
          <w:color w:val="000000" w:themeColor="text1"/>
        </w:rPr>
        <w:t>O</w:t>
      </w:r>
      <w:r w:rsidRPr="1127D7C3">
        <w:rPr>
          <w:color w:val="000000" w:themeColor="text1"/>
        </w:rPr>
        <w:t xml:space="preserve">ne study found that nearly all prosecutors (86%) elicited at least one self-contradiction from child witnesses (Andrews, Lamb, &amp; Lyon, 2015). This underscores the need for significant improvements in the ways that children are questioned by </w:t>
      </w:r>
      <w:r w:rsidRPr="1127D7C3">
        <w:rPr>
          <w:i/>
          <w:iCs/>
          <w:color w:val="000000" w:themeColor="text1"/>
        </w:rPr>
        <w:t>both</w:t>
      </w:r>
      <w:r w:rsidRPr="1127D7C3">
        <w:rPr>
          <w:color w:val="000000" w:themeColor="text1"/>
        </w:rPr>
        <w:t xml:space="preserve"> prosecutors and defence lawyers. </w:t>
      </w:r>
    </w:p>
    <w:p w14:paraId="1F771EA2" w14:textId="1F55D6FD" w:rsidR="00855BC0" w:rsidRDefault="1127D7C3" w:rsidP="1127D7C3">
      <w:pPr>
        <w:spacing w:line="480" w:lineRule="auto"/>
        <w:ind w:right="20" w:firstLine="720"/>
        <w:outlineLvl w:val="0"/>
        <w:rPr>
          <w:color w:val="000000" w:themeColor="text1"/>
        </w:rPr>
      </w:pPr>
      <w:r w:rsidRPr="1127D7C3">
        <w:rPr>
          <w:color w:val="000000" w:themeColor="text1"/>
        </w:rPr>
        <w:t>Although Andrews and Lamb (2016)</w:t>
      </w:r>
      <w:r w:rsidR="00BC6634">
        <w:rPr>
          <w:color w:val="000000" w:themeColor="text1"/>
        </w:rPr>
        <w:t xml:space="preserve"> and </w:t>
      </w:r>
      <w:proofErr w:type="spellStart"/>
      <w:r w:rsidR="00BC6634">
        <w:rPr>
          <w:color w:val="000000" w:themeColor="text1"/>
        </w:rPr>
        <w:t>Flin</w:t>
      </w:r>
      <w:proofErr w:type="spellEnd"/>
      <w:r w:rsidR="00BC6634">
        <w:rPr>
          <w:color w:val="000000" w:themeColor="text1"/>
        </w:rPr>
        <w:t xml:space="preserve"> et al. (1993)</w:t>
      </w:r>
      <w:r w:rsidRPr="1127D7C3">
        <w:rPr>
          <w:color w:val="000000" w:themeColor="text1"/>
        </w:rPr>
        <w:t xml:space="preserve"> </w:t>
      </w:r>
      <w:r w:rsidR="00B202B5">
        <w:rPr>
          <w:color w:val="000000" w:themeColor="text1"/>
        </w:rPr>
        <w:t>investigated</w:t>
      </w:r>
      <w:r w:rsidRPr="1127D7C3">
        <w:rPr>
          <w:color w:val="000000" w:themeColor="text1"/>
        </w:rPr>
        <w:t xml:space="preserve"> cross-examination</w:t>
      </w:r>
      <w:r w:rsidR="00B202B5">
        <w:rPr>
          <w:color w:val="000000" w:themeColor="text1"/>
        </w:rPr>
        <w:t>s</w:t>
      </w:r>
      <w:r w:rsidRPr="1127D7C3">
        <w:rPr>
          <w:color w:val="000000" w:themeColor="text1"/>
        </w:rPr>
        <w:t xml:space="preserve"> </w:t>
      </w:r>
      <w:r w:rsidR="00B202B5">
        <w:rPr>
          <w:color w:val="000000" w:themeColor="text1"/>
        </w:rPr>
        <w:t xml:space="preserve">of child witnesses </w:t>
      </w:r>
      <w:r w:rsidRPr="1127D7C3">
        <w:rPr>
          <w:color w:val="000000" w:themeColor="text1"/>
        </w:rPr>
        <w:t xml:space="preserve">in </w:t>
      </w:r>
      <w:r w:rsidR="00FF42AE">
        <w:rPr>
          <w:color w:val="000000" w:themeColor="text1"/>
        </w:rPr>
        <w:t>UK courts</w:t>
      </w:r>
      <w:r w:rsidRPr="1127D7C3">
        <w:rPr>
          <w:color w:val="000000" w:themeColor="text1"/>
        </w:rPr>
        <w:t xml:space="preserve"> (Scotland), there has been no prior systematic research looking specifically at cross-examinations in England. However, there is evidence that – like their Scottish (Andrews &amp; Lamb, 2016), American (e.g., </w:t>
      </w:r>
      <w:proofErr w:type="spellStart"/>
      <w:r w:rsidRPr="1127D7C3">
        <w:rPr>
          <w:color w:val="000000" w:themeColor="text1"/>
        </w:rPr>
        <w:t>Klemfuss</w:t>
      </w:r>
      <w:proofErr w:type="spellEnd"/>
      <w:r w:rsidRPr="1127D7C3">
        <w:rPr>
          <w:color w:val="000000" w:themeColor="text1"/>
        </w:rPr>
        <w:t xml:space="preserve"> et al., 2014), and New Zealander (e.g., </w:t>
      </w:r>
      <w:proofErr w:type="spellStart"/>
      <w:r w:rsidRPr="1127D7C3">
        <w:rPr>
          <w:color w:val="000000" w:themeColor="text1"/>
        </w:rPr>
        <w:t>Zajac</w:t>
      </w:r>
      <w:proofErr w:type="spellEnd"/>
      <w:r w:rsidRPr="1127D7C3">
        <w:rPr>
          <w:color w:val="000000" w:themeColor="text1"/>
        </w:rPr>
        <w:t xml:space="preserve"> &amp; </w:t>
      </w:r>
      <w:proofErr w:type="spellStart"/>
      <w:r w:rsidRPr="1127D7C3">
        <w:rPr>
          <w:color w:val="000000" w:themeColor="text1"/>
        </w:rPr>
        <w:t>Cannan</w:t>
      </w:r>
      <w:proofErr w:type="spellEnd"/>
      <w:r w:rsidRPr="1127D7C3">
        <w:rPr>
          <w:color w:val="000000" w:themeColor="text1"/>
        </w:rPr>
        <w:t xml:space="preserve">, 2009) counterparts - English lawyers question child witnesses inappropriately. </w:t>
      </w:r>
      <w:proofErr w:type="spellStart"/>
      <w:r w:rsidR="00D16AE0" w:rsidRPr="1127D7C3">
        <w:rPr>
          <w:color w:val="000000" w:themeColor="text1"/>
        </w:rPr>
        <w:t>Plotnikoff</w:t>
      </w:r>
      <w:proofErr w:type="spellEnd"/>
      <w:r w:rsidR="00D16AE0" w:rsidRPr="1127D7C3">
        <w:rPr>
          <w:color w:val="000000" w:themeColor="text1"/>
        </w:rPr>
        <w:t xml:space="preserve"> </w:t>
      </w:r>
      <w:r w:rsidR="00D16AE0">
        <w:rPr>
          <w:color w:val="000000" w:themeColor="text1"/>
        </w:rPr>
        <w:t>and</w:t>
      </w:r>
      <w:r w:rsidR="00D16AE0" w:rsidRPr="1127D7C3">
        <w:rPr>
          <w:color w:val="000000" w:themeColor="text1"/>
        </w:rPr>
        <w:t xml:space="preserve"> </w:t>
      </w:r>
      <w:proofErr w:type="spellStart"/>
      <w:r w:rsidR="00D16AE0" w:rsidRPr="1127D7C3">
        <w:rPr>
          <w:color w:val="000000" w:themeColor="text1"/>
        </w:rPr>
        <w:t>Woolfson</w:t>
      </w:r>
      <w:proofErr w:type="spellEnd"/>
      <w:r w:rsidR="00D16AE0" w:rsidRPr="1127D7C3">
        <w:rPr>
          <w:color w:val="000000" w:themeColor="text1"/>
        </w:rPr>
        <w:t xml:space="preserve"> </w:t>
      </w:r>
      <w:r w:rsidR="00D16AE0">
        <w:rPr>
          <w:color w:val="000000" w:themeColor="text1"/>
        </w:rPr>
        <w:t>(</w:t>
      </w:r>
      <w:r w:rsidRPr="1127D7C3">
        <w:rPr>
          <w:color w:val="000000" w:themeColor="text1"/>
        </w:rPr>
        <w:t>2009</w:t>
      </w:r>
      <w:r w:rsidR="00D16AE0">
        <w:rPr>
          <w:color w:val="000000" w:themeColor="text1"/>
        </w:rPr>
        <w:t>)</w:t>
      </w:r>
      <w:r w:rsidR="00B202B5">
        <w:rPr>
          <w:color w:val="000000" w:themeColor="text1"/>
        </w:rPr>
        <w:t xml:space="preserve"> conducted</w:t>
      </w:r>
      <w:r w:rsidRPr="1127D7C3">
        <w:rPr>
          <w:color w:val="000000" w:themeColor="text1"/>
        </w:rPr>
        <w:t xml:space="preserve"> a survey of mostly English child witnesses (89%, </w:t>
      </w:r>
      <w:r w:rsidRPr="1127D7C3">
        <w:rPr>
          <w:i/>
          <w:iCs/>
          <w:color w:val="000000" w:themeColor="text1"/>
        </w:rPr>
        <w:t xml:space="preserve">n </w:t>
      </w:r>
      <w:r w:rsidRPr="1127D7C3">
        <w:rPr>
          <w:color w:val="000000" w:themeColor="text1"/>
        </w:rPr>
        <w:t>= 162)</w:t>
      </w:r>
      <w:r w:rsidR="00B202B5">
        <w:rPr>
          <w:color w:val="000000" w:themeColor="text1"/>
        </w:rPr>
        <w:t xml:space="preserve"> which</w:t>
      </w:r>
      <w:r w:rsidRPr="1127D7C3">
        <w:rPr>
          <w:color w:val="000000" w:themeColor="text1"/>
        </w:rPr>
        <w:t xml:space="preserve"> </w:t>
      </w:r>
      <w:r w:rsidR="00B202B5">
        <w:rPr>
          <w:color w:val="000000" w:themeColor="text1"/>
        </w:rPr>
        <w:t>found</w:t>
      </w:r>
      <w:r w:rsidR="00B202B5" w:rsidRPr="1127D7C3">
        <w:rPr>
          <w:color w:val="000000" w:themeColor="text1"/>
        </w:rPr>
        <w:t xml:space="preserve"> </w:t>
      </w:r>
      <w:r w:rsidRPr="1127D7C3">
        <w:rPr>
          <w:color w:val="000000" w:themeColor="text1"/>
        </w:rPr>
        <w:t xml:space="preserve">that most children (91%) described the prosecutors as ‘polite’ whereas only 49% of the children described the defence lawyers as ‘polite.’ In addition, over half (58%) of the children said that the defence lawyers tried to make them say something they did not mean. It may therefore be that lawyers in England, and in particular defence lawyers, appear ‘impolite’ to children because they are using close-ended prompts that restrict children’s productivity and/or imply expected responses. </w:t>
      </w:r>
    </w:p>
    <w:p w14:paraId="512F83EE" w14:textId="367F479D" w:rsidR="00182DC1" w:rsidRPr="006C4BE0" w:rsidRDefault="1127D7C3" w:rsidP="1127D7C3">
      <w:pPr>
        <w:pStyle w:val="paragraph"/>
        <w:spacing w:before="0" w:beforeAutospacing="0" w:after="0" w:afterAutospacing="0" w:line="480" w:lineRule="auto"/>
        <w:ind w:right="15"/>
        <w:textAlignment w:val="baseline"/>
        <w:rPr>
          <w:rFonts w:ascii="Segoe UI" w:hAnsi="Segoe UI" w:cs="Segoe UI"/>
          <w:sz w:val="18"/>
          <w:szCs w:val="18"/>
        </w:rPr>
      </w:pPr>
      <w:r w:rsidRPr="1127D7C3">
        <w:rPr>
          <w:rStyle w:val="normaltextrun"/>
          <w:b/>
          <w:bCs/>
          <w:color w:val="000000" w:themeColor="text1"/>
        </w:rPr>
        <w:t>Children’s Responsiveness and Compliance with Suggestive Questions</w:t>
      </w:r>
      <w:r w:rsidRPr="1127D7C3">
        <w:rPr>
          <w:rStyle w:val="eop"/>
        </w:rPr>
        <w:t> </w:t>
      </w:r>
    </w:p>
    <w:p w14:paraId="3B2D710C" w14:textId="58241E0B" w:rsidR="00D0193E" w:rsidRPr="006C4BE0" w:rsidRDefault="1127D7C3" w:rsidP="00494534">
      <w:pPr>
        <w:pStyle w:val="paragraph"/>
        <w:spacing w:before="0" w:beforeAutospacing="0" w:after="0" w:afterAutospacing="0" w:line="480" w:lineRule="auto"/>
        <w:ind w:right="17" w:firstLine="720"/>
        <w:textAlignment w:val="baseline"/>
        <w:rPr>
          <w:rFonts w:ascii="Segoe UI" w:hAnsi="Segoe UI" w:cs="Segoe UI"/>
          <w:sz w:val="18"/>
          <w:szCs w:val="18"/>
        </w:rPr>
      </w:pPr>
      <w:r w:rsidRPr="1127D7C3">
        <w:rPr>
          <w:rStyle w:val="normaltextrun"/>
        </w:rPr>
        <w:lastRenderedPageBreak/>
        <w:t>Although cross-examination is an intimidating and confusing process, even for experts (</w:t>
      </w:r>
      <w:proofErr w:type="spellStart"/>
      <w:r w:rsidRPr="1127D7C3">
        <w:rPr>
          <w:rStyle w:val="spellingerror"/>
        </w:rPr>
        <w:t>Flin</w:t>
      </w:r>
      <w:proofErr w:type="spellEnd"/>
      <w:r w:rsidRPr="1127D7C3">
        <w:rPr>
          <w:rStyle w:val="normaltextrun"/>
        </w:rPr>
        <w:t>, 1993), children are particularly disadvantaged in the</w:t>
      </w:r>
      <w:r w:rsidR="00E9343B">
        <w:rPr>
          <w:rStyle w:val="normaltextrun"/>
        </w:rPr>
        <w:t xml:space="preserve"> l</w:t>
      </w:r>
      <w:r w:rsidR="00BA2020">
        <w:rPr>
          <w:rStyle w:val="normaltextrun"/>
        </w:rPr>
        <w:t>egal system</w:t>
      </w:r>
      <w:r w:rsidRPr="1127D7C3">
        <w:rPr>
          <w:rStyle w:val="normaltextrun"/>
        </w:rPr>
        <w:t>. </w:t>
      </w:r>
      <w:r w:rsidRPr="1127D7C3">
        <w:rPr>
          <w:rStyle w:val="normaltextrun"/>
          <w:color w:val="000000" w:themeColor="text1"/>
        </w:rPr>
        <w:t>Age significantly affects the quantity and quality of details encoded into memory (</w:t>
      </w:r>
      <w:proofErr w:type="spellStart"/>
      <w:r w:rsidRPr="1127D7C3">
        <w:rPr>
          <w:rStyle w:val="spellingerror"/>
          <w:color w:val="000000" w:themeColor="text1"/>
        </w:rPr>
        <w:t>Flin</w:t>
      </w:r>
      <w:proofErr w:type="spellEnd"/>
      <w:r w:rsidRPr="1127D7C3">
        <w:rPr>
          <w:rStyle w:val="normaltextrun"/>
          <w:color w:val="000000" w:themeColor="text1"/>
        </w:rPr>
        <w:t>, Boon, Knox, &amp; Bull, 1992; Lamb, </w:t>
      </w:r>
      <w:proofErr w:type="spellStart"/>
      <w:r w:rsidRPr="1127D7C3">
        <w:rPr>
          <w:rStyle w:val="normaltextrun"/>
          <w:color w:val="000000" w:themeColor="text1"/>
        </w:rPr>
        <w:t>Hershkowitz</w:t>
      </w:r>
      <w:proofErr w:type="spellEnd"/>
      <w:r w:rsidRPr="1127D7C3">
        <w:rPr>
          <w:rStyle w:val="normaltextrun"/>
          <w:color w:val="000000" w:themeColor="text1"/>
        </w:rPr>
        <w:t>, </w:t>
      </w:r>
      <w:proofErr w:type="spellStart"/>
      <w:r w:rsidRPr="1127D7C3">
        <w:rPr>
          <w:rStyle w:val="normaltextrun"/>
          <w:color w:val="000000" w:themeColor="text1"/>
        </w:rPr>
        <w:t>Orbach</w:t>
      </w:r>
      <w:proofErr w:type="spellEnd"/>
      <w:r w:rsidRPr="1127D7C3">
        <w:rPr>
          <w:rStyle w:val="normaltextrun"/>
          <w:color w:val="000000" w:themeColor="text1"/>
        </w:rPr>
        <w:t>, &amp; </w:t>
      </w:r>
      <w:proofErr w:type="spellStart"/>
      <w:r w:rsidRPr="1127D7C3">
        <w:rPr>
          <w:rStyle w:val="normaltextrun"/>
          <w:color w:val="000000" w:themeColor="text1"/>
        </w:rPr>
        <w:t>Esplin</w:t>
      </w:r>
      <w:proofErr w:type="spellEnd"/>
      <w:r w:rsidRPr="1127D7C3">
        <w:rPr>
          <w:rStyle w:val="normaltextrun"/>
          <w:color w:val="000000" w:themeColor="text1"/>
        </w:rPr>
        <w:t>, 2011), children’s resistance to suggestion (</w:t>
      </w:r>
      <w:proofErr w:type="spellStart"/>
      <w:r w:rsidRPr="1127D7C3">
        <w:rPr>
          <w:rStyle w:val="normaltextrun"/>
          <w:color w:val="000000" w:themeColor="text1"/>
        </w:rPr>
        <w:t>Melnyk</w:t>
      </w:r>
      <w:proofErr w:type="spellEnd"/>
      <w:r w:rsidRPr="1127D7C3">
        <w:rPr>
          <w:rStyle w:val="normaltextrun"/>
          <w:color w:val="000000" w:themeColor="text1"/>
        </w:rPr>
        <w:t>, Crossman, &amp; Scullin, 2007), and children’s communicative capabilities (</w:t>
      </w:r>
      <w:proofErr w:type="spellStart"/>
      <w:r w:rsidRPr="1127D7C3">
        <w:rPr>
          <w:rStyle w:val="normaltextrun"/>
          <w:color w:val="000000" w:themeColor="text1"/>
        </w:rPr>
        <w:t>Saywitz</w:t>
      </w:r>
      <w:proofErr w:type="spellEnd"/>
      <w:r w:rsidRPr="1127D7C3">
        <w:rPr>
          <w:rStyle w:val="normaltextrun"/>
          <w:color w:val="000000" w:themeColor="text1"/>
        </w:rPr>
        <w:t xml:space="preserve">, 2002). Consequently, children may struggle to understand what information is being requested, access their memory for specific events, and then respond appropriately (Jack et al., 2014; Lamb, </w:t>
      </w:r>
      <w:proofErr w:type="spellStart"/>
      <w:r w:rsidRPr="1127D7C3">
        <w:rPr>
          <w:rStyle w:val="normaltextrun"/>
          <w:color w:val="000000" w:themeColor="text1"/>
        </w:rPr>
        <w:t>Orbach</w:t>
      </w:r>
      <w:proofErr w:type="spellEnd"/>
      <w:r w:rsidRPr="1127D7C3">
        <w:rPr>
          <w:rStyle w:val="normaltextrun"/>
          <w:color w:val="000000" w:themeColor="text1"/>
        </w:rPr>
        <w:t xml:space="preserve">, Warren, </w:t>
      </w:r>
      <w:proofErr w:type="spellStart"/>
      <w:r w:rsidRPr="1127D7C3">
        <w:rPr>
          <w:rStyle w:val="normaltextrun"/>
          <w:color w:val="000000" w:themeColor="text1"/>
        </w:rPr>
        <w:t>Esplin</w:t>
      </w:r>
      <w:proofErr w:type="spellEnd"/>
      <w:r w:rsidRPr="1127D7C3">
        <w:rPr>
          <w:rStyle w:val="normaltextrun"/>
          <w:color w:val="000000" w:themeColor="text1"/>
        </w:rPr>
        <w:t xml:space="preserve">, &amp; </w:t>
      </w:r>
      <w:proofErr w:type="spellStart"/>
      <w:r w:rsidRPr="1127D7C3">
        <w:rPr>
          <w:rStyle w:val="normaltextrun"/>
          <w:color w:val="000000" w:themeColor="text1"/>
        </w:rPr>
        <w:t>Hershkowitz</w:t>
      </w:r>
      <w:proofErr w:type="spellEnd"/>
      <w:r w:rsidRPr="1127D7C3">
        <w:rPr>
          <w:rStyle w:val="normaltextrun"/>
          <w:color w:val="000000" w:themeColor="text1"/>
        </w:rPr>
        <w:t xml:space="preserve">, 2007b).  </w:t>
      </w:r>
    </w:p>
    <w:p w14:paraId="349B008B" w14:textId="10BCCEAC" w:rsidR="00443943" w:rsidRPr="00EE290F" w:rsidRDefault="1127D7C3" w:rsidP="00494534">
      <w:pPr>
        <w:pStyle w:val="paragraph"/>
        <w:spacing w:before="0" w:beforeAutospacing="0" w:after="0" w:afterAutospacing="0" w:line="480" w:lineRule="auto"/>
        <w:ind w:right="17" w:firstLine="720"/>
        <w:textAlignment w:val="baseline"/>
        <w:rPr>
          <w:rStyle w:val="normaltextrun"/>
          <w:color w:val="000000" w:themeColor="text1"/>
        </w:rPr>
      </w:pPr>
      <w:r w:rsidRPr="001020C5">
        <w:rPr>
          <w:rStyle w:val="normaltextrun"/>
          <w:color w:val="000000" w:themeColor="text1"/>
        </w:rPr>
        <w:t>Field research in Scotland and the United States has found that children are highly responsive in court (</w:t>
      </w:r>
      <w:r w:rsidR="00646C45" w:rsidRPr="001020C5">
        <w:rPr>
          <w:rStyle w:val="normaltextrun"/>
          <w:color w:val="000000" w:themeColor="text1"/>
        </w:rPr>
        <w:t xml:space="preserve">i.e., </w:t>
      </w:r>
      <w:r w:rsidR="009C0CDA" w:rsidRPr="00991873">
        <w:rPr>
          <w:rStyle w:val="normaltextrun"/>
          <w:color w:val="000000" w:themeColor="text1"/>
        </w:rPr>
        <w:t>the</w:t>
      </w:r>
      <w:r w:rsidR="0050122B" w:rsidRPr="00494534">
        <w:rPr>
          <w:rStyle w:val="normaltextrun"/>
          <w:color w:val="000000" w:themeColor="text1"/>
        </w:rPr>
        <w:t>ir</w:t>
      </w:r>
      <w:r w:rsidR="00E049A4" w:rsidRPr="001020C5">
        <w:rPr>
          <w:rStyle w:val="normaltextrun"/>
          <w:color w:val="000000" w:themeColor="text1"/>
        </w:rPr>
        <w:t xml:space="preserve"> response</w:t>
      </w:r>
      <w:r w:rsidR="00EB6BE3">
        <w:rPr>
          <w:rStyle w:val="normaltextrun"/>
          <w:color w:val="000000" w:themeColor="text1"/>
        </w:rPr>
        <w:t>s</w:t>
      </w:r>
      <w:r w:rsidR="00646C45" w:rsidRPr="001020C5">
        <w:rPr>
          <w:rStyle w:val="normaltextrun"/>
          <w:color w:val="000000" w:themeColor="text1"/>
        </w:rPr>
        <w:t xml:space="preserve"> relate</w:t>
      </w:r>
      <w:r w:rsidR="00646C45" w:rsidRPr="00991873">
        <w:rPr>
          <w:rStyle w:val="normaltextrun"/>
          <w:color w:val="000000" w:themeColor="text1"/>
        </w:rPr>
        <w:t xml:space="preserve"> to the lawyer</w:t>
      </w:r>
      <w:r w:rsidR="00EB6BE3">
        <w:rPr>
          <w:rStyle w:val="normaltextrun"/>
          <w:color w:val="000000" w:themeColor="text1"/>
        </w:rPr>
        <w:t xml:space="preserve">s’ </w:t>
      </w:r>
      <w:r w:rsidR="00646C45" w:rsidRPr="00991873">
        <w:rPr>
          <w:rStyle w:val="normaltextrun"/>
          <w:color w:val="000000" w:themeColor="text1"/>
        </w:rPr>
        <w:t>previous utterance</w:t>
      </w:r>
      <w:r w:rsidR="00EB6BE3">
        <w:rPr>
          <w:rStyle w:val="normaltextrun"/>
          <w:color w:val="000000" w:themeColor="text1"/>
        </w:rPr>
        <w:t>s</w:t>
      </w:r>
      <w:r w:rsidR="00646C45" w:rsidRPr="00EE290F">
        <w:rPr>
          <w:rStyle w:val="normaltextrun"/>
          <w:color w:val="000000" w:themeColor="text1"/>
        </w:rPr>
        <w:t xml:space="preserve">, see Table 1; </w:t>
      </w:r>
      <w:r w:rsidRPr="00EE290F">
        <w:rPr>
          <w:rStyle w:val="normaltextrun"/>
          <w:color w:val="000000" w:themeColor="text1"/>
        </w:rPr>
        <w:t>Andrews &amp; Lamb,</w:t>
      </w:r>
      <w:r w:rsidR="00646C45" w:rsidRPr="00EE290F">
        <w:rPr>
          <w:rStyle w:val="normaltextrun"/>
          <w:color w:val="000000" w:themeColor="text1"/>
        </w:rPr>
        <w:t xml:space="preserve"> </w:t>
      </w:r>
      <w:r w:rsidRPr="00EE290F">
        <w:rPr>
          <w:rStyle w:val="normaltextrun"/>
          <w:color w:val="000000" w:themeColor="text1"/>
        </w:rPr>
        <w:t>2016; </w:t>
      </w:r>
      <w:proofErr w:type="spellStart"/>
      <w:r w:rsidRPr="00EE290F">
        <w:rPr>
          <w:rStyle w:val="normaltextrun"/>
          <w:color w:val="000000" w:themeColor="text1"/>
        </w:rPr>
        <w:t>Klemfuss</w:t>
      </w:r>
      <w:proofErr w:type="spellEnd"/>
      <w:r w:rsidRPr="00EE290F">
        <w:rPr>
          <w:rStyle w:val="normaltextrun"/>
          <w:color w:val="000000" w:themeColor="text1"/>
        </w:rPr>
        <w:t xml:space="preserve"> et al., 2014). Younger children </w:t>
      </w:r>
      <w:r w:rsidR="00681243" w:rsidRPr="00494534">
        <w:rPr>
          <w:rStyle w:val="normaltextrun"/>
          <w:color w:val="000000" w:themeColor="text1"/>
        </w:rPr>
        <w:t>provide</w:t>
      </w:r>
      <w:r w:rsidRPr="001020C5">
        <w:rPr>
          <w:rStyle w:val="normaltextrun"/>
          <w:color w:val="000000" w:themeColor="text1"/>
        </w:rPr>
        <w:t xml:space="preserve"> less information in response to free-recall questions, but </w:t>
      </w:r>
      <w:r w:rsidR="0028204B">
        <w:rPr>
          <w:rStyle w:val="normaltextrun"/>
          <w:color w:val="000000" w:themeColor="text1"/>
        </w:rPr>
        <w:t xml:space="preserve">they </w:t>
      </w:r>
      <w:r w:rsidRPr="001020C5">
        <w:rPr>
          <w:rStyle w:val="normaltextrun"/>
          <w:color w:val="000000" w:themeColor="text1"/>
        </w:rPr>
        <w:t>also answer specific questions less accurately</w:t>
      </w:r>
      <w:r w:rsidR="00316A09" w:rsidRPr="00494534">
        <w:rPr>
          <w:rStyle w:val="normaltextrun"/>
          <w:color w:val="000000" w:themeColor="text1"/>
        </w:rPr>
        <w:t xml:space="preserve"> </w:t>
      </w:r>
      <w:r w:rsidR="00EB6BE3">
        <w:rPr>
          <w:rStyle w:val="normaltextrun"/>
          <w:color w:val="000000" w:themeColor="text1"/>
        </w:rPr>
        <w:t>than</w:t>
      </w:r>
      <w:r w:rsidR="00316A09" w:rsidRPr="00494534">
        <w:rPr>
          <w:rStyle w:val="normaltextrun"/>
          <w:color w:val="000000" w:themeColor="text1"/>
        </w:rPr>
        <w:t xml:space="preserve"> older children</w:t>
      </w:r>
      <w:r w:rsidR="00EB6BE3">
        <w:rPr>
          <w:rStyle w:val="normaltextrun"/>
          <w:color w:val="000000" w:themeColor="text1"/>
        </w:rPr>
        <w:t xml:space="preserve"> do</w:t>
      </w:r>
      <w:r w:rsidRPr="001020C5">
        <w:rPr>
          <w:rStyle w:val="normaltextrun"/>
          <w:color w:val="000000" w:themeColor="text1"/>
        </w:rPr>
        <w:t> (</w:t>
      </w:r>
      <w:r w:rsidRPr="00991873">
        <w:rPr>
          <w:rStyle w:val="normaltextrun"/>
          <w:color w:val="000000" w:themeColor="text1"/>
        </w:rPr>
        <w:t xml:space="preserve">Andrews &amp; Lamb, 2016; Goodman, Jones, &amp; McLeod, 2017). Thus, </w:t>
      </w:r>
      <w:r w:rsidRPr="00EE290F">
        <w:rPr>
          <w:rStyle w:val="normaltextrun"/>
          <w:color w:val="000000" w:themeColor="text1"/>
        </w:rPr>
        <w:t xml:space="preserve">best-practice guidelines encourage maximum reliance on free-recall prompts, advise against the use of close-ended ‘yes/no’ prompts, and strongly discourage the use of suggestive prompts (Home Office, 2011; Lamb et al., 2015). </w:t>
      </w:r>
    </w:p>
    <w:p w14:paraId="6041F2E3" w14:textId="7780ABA6" w:rsidR="00382D53" w:rsidRPr="00963A7D" w:rsidRDefault="1127D7C3" w:rsidP="00494534">
      <w:pPr>
        <w:pStyle w:val="paragraph"/>
        <w:spacing w:before="0" w:beforeAutospacing="0" w:after="0" w:afterAutospacing="0" w:line="480" w:lineRule="auto"/>
        <w:ind w:right="17" w:firstLine="720"/>
        <w:textAlignment w:val="baseline"/>
        <w:rPr>
          <w:rStyle w:val="normaltextrun"/>
          <w:color w:val="000000" w:themeColor="text1"/>
        </w:rPr>
      </w:pPr>
      <w:r w:rsidRPr="00EE290F">
        <w:rPr>
          <w:rStyle w:val="normaltextrun"/>
          <w:color w:val="000000" w:themeColor="text1"/>
        </w:rPr>
        <w:t> In spite of these guidelines, lawyers are permitted to ask children suggestive questions in cross-examinations (Criminal Procedure Rules, 2015). Research has consistently shown that children acquiesce more often to suggestions and are more malleable than adults (Jack et al., 2014; Paz-Alonso &amp; Goodman,</w:t>
      </w:r>
      <w:r w:rsidRPr="00EE290F">
        <w:t xml:space="preserve"> </w:t>
      </w:r>
      <w:r w:rsidRPr="00EE290F">
        <w:rPr>
          <w:rStyle w:val="normaltextrun"/>
          <w:color w:val="000000" w:themeColor="text1"/>
        </w:rPr>
        <w:t xml:space="preserve">2016; Sutherland &amp; Hayne, 2001; </w:t>
      </w:r>
      <w:proofErr w:type="spellStart"/>
      <w:r w:rsidRPr="00EE290F">
        <w:rPr>
          <w:rStyle w:val="normaltextrun"/>
          <w:color w:val="000000" w:themeColor="text1"/>
        </w:rPr>
        <w:t>Volpini</w:t>
      </w:r>
      <w:proofErr w:type="spellEnd"/>
      <w:r w:rsidRPr="00EE290F">
        <w:rPr>
          <w:rStyle w:val="normaltextrun"/>
          <w:color w:val="000000" w:themeColor="text1"/>
        </w:rPr>
        <w:t xml:space="preserve">, </w:t>
      </w:r>
      <w:proofErr w:type="spellStart"/>
      <w:r w:rsidRPr="00EE290F">
        <w:rPr>
          <w:rStyle w:val="normaltextrun"/>
          <w:color w:val="000000" w:themeColor="text1"/>
        </w:rPr>
        <w:t>Melis</w:t>
      </w:r>
      <w:proofErr w:type="spellEnd"/>
      <w:r w:rsidRPr="00EE290F">
        <w:rPr>
          <w:rStyle w:val="normaltextrun"/>
          <w:color w:val="000000" w:themeColor="text1"/>
        </w:rPr>
        <w:t xml:space="preserve">, </w:t>
      </w:r>
      <w:proofErr w:type="spellStart"/>
      <w:r w:rsidRPr="00EE290F">
        <w:rPr>
          <w:rStyle w:val="normaltextrun"/>
          <w:color w:val="000000" w:themeColor="text1"/>
        </w:rPr>
        <w:t>Petralia</w:t>
      </w:r>
      <w:proofErr w:type="spellEnd"/>
      <w:r w:rsidRPr="00EE290F">
        <w:rPr>
          <w:rStyle w:val="normaltextrun"/>
          <w:color w:val="000000" w:themeColor="text1"/>
        </w:rPr>
        <w:t xml:space="preserve">, &amp; </w:t>
      </w:r>
      <w:proofErr w:type="spellStart"/>
      <w:r w:rsidRPr="00EE290F">
        <w:rPr>
          <w:rStyle w:val="normaltextrun"/>
          <w:color w:val="000000" w:themeColor="text1"/>
        </w:rPr>
        <w:t>Roseberg</w:t>
      </w:r>
      <w:proofErr w:type="spellEnd"/>
      <w:r w:rsidRPr="00EE290F">
        <w:rPr>
          <w:rStyle w:val="normaltextrun"/>
          <w:color w:val="000000" w:themeColor="text1"/>
        </w:rPr>
        <w:t>,</w:t>
      </w:r>
      <w:r w:rsidRPr="00EE290F">
        <w:t xml:space="preserve"> </w:t>
      </w:r>
      <w:r w:rsidRPr="00EE290F">
        <w:rPr>
          <w:rStyle w:val="normaltextrun"/>
          <w:color w:val="000000" w:themeColor="text1"/>
        </w:rPr>
        <w:t xml:space="preserve">2016). </w:t>
      </w:r>
      <w:r w:rsidR="008F1055" w:rsidRPr="00494534">
        <w:rPr>
          <w:rStyle w:val="normaltextrun"/>
          <w:color w:val="000000" w:themeColor="text1"/>
        </w:rPr>
        <w:t>Younger children make more errors in response to suggestive questions than older children</w:t>
      </w:r>
      <w:r w:rsidR="00EB6BE3">
        <w:rPr>
          <w:rStyle w:val="normaltextrun"/>
          <w:color w:val="000000" w:themeColor="text1"/>
        </w:rPr>
        <w:t xml:space="preserve"> do but </w:t>
      </w:r>
      <w:r w:rsidR="00557C10" w:rsidRPr="00494534">
        <w:rPr>
          <w:rStyle w:val="normaltextrun"/>
          <w:color w:val="000000" w:themeColor="text1"/>
        </w:rPr>
        <w:t>even ver</w:t>
      </w:r>
      <w:r w:rsidR="005D2FA5" w:rsidRPr="00494534">
        <w:rPr>
          <w:rStyle w:val="normaltextrun"/>
          <w:color w:val="000000" w:themeColor="text1"/>
        </w:rPr>
        <w:t>y young children are able to maintain considerable accuracy</w:t>
      </w:r>
      <w:r w:rsidR="009B1385" w:rsidRPr="00494534">
        <w:rPr>
          <w:rStyle w:val="normaltextrun"/>
          <w:color w:val="000000" w:themeColor="text1"/>
        </w:rPr>
        <w:t xml:space="preserve"> (</w:t>
      </w:r>
      <w:r w:rsidR="00521614" w:rsidRPr="00494534">
        <w:rPr>
          <w:rStyle w:val="normaltextrun"/>
          <w:color w:val="000000" w:themeColor="text1"/>
        </w:rPr>
        <w:t>Goodman</w:t>
      </w:r>
      <w:r w:rsidR="009B1385" w:rsidRPr="00494534">
        <w:rPr>
          <w:rStyle w:val="normaltextrun"/>
          <w:color w:val="000000" w:themeColor="text1"/>
        </w:rPr>
        <w:t xml:space="preserve"> </w:t>
      </w:r>
      <w:r w:rsidR="00521614" w:rsidRPr="00494534">
        <w:rPr>
          <w:rStyle w:val="normaltextrun"/>
          <w:color w:val="000000" w:themeColor="text1"/>
        </w:rPr>
        <w:t>et al.</w:t>
      </w:r>
      <w:r w:rsidR="009B1385" w:rsidRPr="00494534">
        <w:rPr>
          <w:rStyle w:val="normaltextrun"/>
          <w:color w:val="000000" w:themeColor="text1"/>
        </w:rPr>
        <w:t>, 2017</w:t>
      </w:r>
      <w:r w:rsidR="00B54F79" w:rsidRPr="00494534">
        <w:rPr>
          <w:rStyle w:val="normaltextrun"/>
          <w:color w:val="000000" w:themeColor="text1"/>
        </w:rPr>
        <w:t xml:space="preserve">). </w:t>
      </w:r>
      <w:r w:rsidR="008058E5">
        <w:rPr>
          <w:rStyle w:val="normaltextrun"/>
          <w:color w:val="000000" w:themeColor="text1"/>
        </w:rPr>
        <w:t>Y</w:t>
      </w:r>
      <w:r w:rsidR="00FB21D7" w:rsidRPr="00494534">
        <w:rPr>
          <w:rStyle w:val="normaltextrun"/>
          <w:color w:val="000000" w:themeColor="text1"/>
        </w:rPr>
        <w:t>ounger children may need more ‘memory cues’</w:t>
      </w:r>
      <w:r w:rsidR="008D00FD" w:rsidRPr="00494534">
        <w:rPr>
          <w:rStyle w:val="normaltextrun"/>
          <w:color w:val="000000" w:themeColor="text1"/>
        </w:rPr>
        <w:t xml:space="preserve"> </w:t>
      </w:r>
      <w:r w:rsidR="000651FF" w:rsidRPr="00494534">
        <w:rPr>
          <w:rStyle w:val="normaltextrun"/>
          <w:color w:val="000000" w:themeColor="text1"/>
        </w:rPr>
        <w:t>than older children</w:t>
      </w:r>
      <w:r w:rsidR="005F6923">
        <w:rPr>
          <w:rStyle w:val="normaltextrun"/>
          <w:color w:val="000000" w:themeColor="text1"/>
        </w:rPr>
        <w:t xml:space="preserve"> so</w:t>
      </w:r>
      <w:r w:rsidR="005F6923" w:rsidRPr="00494534">
        <w:rPr>
          <w:rStyle w:val="normaltextrun"/>
          <w:color w:val="000000" w:themeColor="text1"/>
        </w:rPr>
        <w:t xml:space="preserve"> </w:t>
      </w:r>
      <w:r w:rsidR="00FB21D7" w:rsidRPr="00494534">
        <w:rPr>
          <w:rStyle w:val="normaltextrun"/>
          <w:color w:val="000000" w:themeColor="text1"/>
        </w:rPr>
        <w:t>interviewers may ask them leading questions</w:t>
      </w:r>
      <w:r w:rsidR="008D00FD" w:rsidRPr="00494534">
        <w:rPr>
          <w:rStyle w:val="normaltextrun"/>
          <w:color w:val="000000" w:themeColor="text1"/>
        </w:rPr>
        <w:t>, and</w:t>
      </w:r>
      <w:r w:rsidR="00C47D2A">
        <w:rPr>
          <w:rStyle w:val="normaltextrun"/>
          <w:color w:val="000000" w:themeColor="text1"/>
        </w:rPr>
        <w:t>,</w:t>
      </w:r>
      <w:r w:rsidR="008D00FD" w:rsidRPr="00494534">
        <w:rPr>
          <w:rStyle w:val="normaltextrun"/>
          <w:color w:val="000000" w:themeColor="text1"/>
        </w:rPr>
        <w:t xml:space="preserve"> as a result, </w:t>
      </w:r>
      <w:r w:rsidR="00AB690A">
        <w:rPr>
          <w:rStyle w:val="normaltextrun"/>
          <w:color w:val="000000" w:themeColor="text1"/>
        </w:rPr>
        <w:t>may</w:t>
      </w:r>
      <w:r w:rsidR="00820505">
        <w:rPr>
          <w:rStyle w:val="normaltextrun"/>
          <w:color w:val="000000" w:themeColor="text1"/>
        </w:rPr>
        <w:t xml:space="preserve"> </w:t>
      </w:r>
      <w:r w:rsidR="008D00FD" w:rsidRPr="00494534">
        <w:rPr>
          <w:rStyle w:val="normaltextrun"/>
          <w:color w:val="000000" w:themeColor="text1"/>
        </w:rPr>
        <w:t xml:space="preserve">elicit more </w:t>
      </w:r>
      <w:r w:rsidR="00EB6BE3">
        <w:rPr>
          <w:rStyle w:val="normaltextrun"/>
          <w:color w:val="000000" w:themeColor="text1"/>
        </w:rPr>
        <w:t xml:space="preserve">erroneous information </w:t>
      </w:r>
      <w:r w:rsidR="003768DC" w:rsidRPr="00963A7D">
        <w:rPr>
          <w:rStyle w:val="normaltextrun"/>
          <w:color w:val="000000" w:themeColor="text1"/>
        </w:rPr>
        <w:t xml:space="preserve">(Goodman, Ogle, McWilliams, </w:t>
      </w:r>
      <w:proofErr w:type="spellStart"/>
      <w:r w:rsidR="003768DC" w:rsidRPr="00963A7D">
        <w:rPr>
          <w:rStyle w:val="normaltextrun"/>
          <w:color w:val="000000" w:themeColor="text1"/>
        </w:rPr>
        <w:t>Narr</w:t>
      </w:r>
      <w:proofErr w:type="spellEnd"/>
      <w:r w:rsidR="003768DC" w:rsidRPr="00963A7D">
        <w:rPr>
          <w:rStyle w:val="normaltextrun"/>
          <w:color w:val="000000" w:themeColor="text1"/>
        </w:rPr>
        <w:t xml:space="preserve">, &amp; Paz-Alonso, </w:t>
      </w:r>
      <w:r w:rsidR="003768DC" w:rsidRPr="00963A7D">
        <w:rPr>
          <w:rStyle w:val="normaltextrun"/>
          <w:color w:val="000000" w:themeColor="text1"/>
        </w:rPr>
        <w:lastRenderedPageBreak/>
        <w:t>2014)</w:t>
      </w:r>
      <w:r w:rsidR="008D00FD" w:rsidRPr="00963A7D">
        <w:rPr>
          <w:rStyle w:val="normaltextrun"/>
          <w:color w:val="000000" w:themeColor="text1"/>
        </w:rPr>
        <w:t xml:space="preserve">. </w:t>
      </w:r>
      <w:r w:rsidR="000651FF" w:rsidRPr="00963A7D">
        <w:rPr>
          <w:rStyle w:val="normaltextrun"/>
          <w:color w:val="000000" w:themeColor="text1"/>
        </w:rPr>
        <w:t>Thus</w:t>
      </w:r>
      <w:r w:rsidR="00EC4D1A" w:rsidRPr="00963A7D">
        <w:rPr>
          <w:rStyle w:val="normaltextrun"/>
          <w:color w:val="000000" w:themeColor="text1"/>
        </w:rPr>
        <w:t xml:space="preserve">, </w:t>
      </w:r>
      <w:r w:rsidR="00EB6BE3">
        <w:rPr>
          <w:rStyle w:val="normaltextrun"/>
          <w:color w:val="000000" w:themeColor="text1"/>
        </w:rPr>
        <w:t xml:space="preserve">experts recommend that even young children should be asked </w:t>
      </w:r>
      <w:r w:rsidR="00EC4D1A" w:rsidRPr="00963A7D">
        <w:rPr>
          <w:rStyle w:val="normaltextrun"/>
          <w:color w:val="000000" w:themeColor="text1"/>
        </w:rPr>
        <w:t>open-ended questions because</w:t>
      </w:r>
      <w:r w:rsidR="007D599C" w:rsidRPr="00963A7D">
        <w:rPr>
          <w:rStyle w:val="normaltextrun"/>
          <w:color w:val="000000" w:themeColor="text1"/>
        </w:rPr>
        <w:t xml:space="preserve"> they increase accuracy and </w:t>
      </w:r>
      <w:proofErr w:type="spellStart"/>
      <w:r w:rsidR="00EB6BE3">
        <w:rPr>
          <w:rStyle w:val="normaltextrun"/>
          <w:color w:val="000000" w:themeColor="text1"/>
        </w:rPr>
        <w:t>informativeness</w:t>
      </w:r>
      <w:proofErr w:type="spellEnd"/>
      <w:r w:rsidR="00B73885">
        <w:rPr>
          <w:rStyle w:val="normaltextrun"/>
          <w:color w:val="000000" w:themeColor="text1"/>
        </w:rPr>
        <w:t xml:space="preserve"> and</w:t>
      </w:r>
      <w:r w:rsidR="007D599C" w:rsidRPr="00963A7D">
        <w:rPr>
          <w:rStyle w:val="normaltextrun"/>
          <w:color w:val="000000" w:themeColor="text1"/>
        </w:rPr>
        <w:t xml:space="preserve"> </w:t>
      </w:r>
      <w:r w:rsidR="00B73885">
        <w:rPr>
          <w:rStyle w:val="normaltextrun"/>
          <w:color w:val="000000" w:themeColor="text1"/>
        </w:rPr>
        <w:t>also</w:t>
      </w:r>
      <w:r w:rsidR="00EB6BE3">
        <w:rPr>
          <w:rStyle w:val="normaltextrun"/>
          <w:color w:val="000000" w:themeColor="text1"/>
        </w:rPr>
        <w:t xml:space="preserve"> enhance perceived credibility </w:t>
      </w:r>
      <w:r w:rsidR="00DE5E03" w:rsidRPr="00963A7D">
        <w:rPr>
          <w:rStyle w:val="normaltextrun"/>
          <w:color w:val="000000" w:themeColor="text1"/>
        </w:rPr>
        <w:t>in legal contexts</w:t>
      </w:r>
      <w:r w:rsidR="00521614" w:rsidRPr="00963A7D">
        <w:rPr>
          <w:rStyle w:val="normaltextrun"/>
          <w:color w:val="000000" w:themeColor="text1"/>
        </w:rPr>
        <w:t xml:space="preserve"> (Goodman et al., 2017). </w:t>
      </w:r>
      <w:r w:rsidR="00DE5E03" w:rsidRPr="00963A7D">
        <w:rPr>
          <w:rStyle w:val="normaltextrun"/>
          <w:color w:val="000000" w:themeColor="text1"/>
        </w:rPr>
        <w:t xml:space="preserve"> </w:t>
      </w:r>
    </w:p>
    <w:p w14:paraId="3E6949BD" w14:textId="7C03AB97" w:rsidR="00182DC1" w:rsidRPr="001020C5" w:rsidRDefault="009C0CDA" w:rsidP="1127D7C3">
      <w:pPr>
        <w:pStyle w:val="paragraph"/>
        <w:spacing w:before="0" w:beforeAutospacing="0" w:after="0" w:afterAutospacing="0" w:line="480" w:lineRule="auto"/>
        <w:ind w:right="15" w:firstLine="720"/>
        <w:textAlignment w:val="baseline"/>
        <w:rPr>
          <w:rFonts w:ascii="Segoe UI" w:hAnsi="Segoe UI" w:cs="Segoe UI"/>
          <w:sz w:val="18"/>
          <w:szCs w:val="18"/>
        </w:rPr>
      </w:pPr>
      <w:r w:rsidRPr="001020C5">
        <w:rPr>
          <w:rStyle w:val="normaltextrun"/>
          <w:color w:val="000000" w:themeColor="text1"/>
        </w:rPr>
        <w:t>Although p</w:t>
      </w:r>
      <w:r w:rsidR="00EA1B34" w:rsidRPr="001020C5">
        <w:rPr>
          <w:rStyle w:val="normaltextrun"/>
          <w:color w:val="000000" w:themeColor="text1"/>
        </w:rPr>
        <w:t>revious research ha</w:t>
      </w:r>
      <w:r w:rsidR="00EB6BE3">
        <w:rPr>
          <w:rStyle w:val="normaltextrun"/>
          <w:color w:val="000000" w:themeColor="text1"/>
        </w:rPr>
        <w:t>d</w:t>
      </w:r>
      <w:r w:rsidR="1127D7C3" w:rsidRPr="001020C5">
        <w:rPr>
          <w:rStyle w:val="normaltextrun"/>
          <w:color w:val="000000" w:themeColor="text1"/>
        </w:rPr>
        <w:t xml:space="preserve"> </w:t>
      </w:r>
      <w:r w:rsidRPr="001020C5">
        <w:rPr>
          <w:rStyle w:val="normaltextrun"/>
          <w:color w:val="000000" w:themeColor="text1"/>
        </w:rPr>
        <w:t xml:space="preserve">generally </w:t>
      </w:r>
      <w:r w:rsidR="1127D7C3" w:rsidRPr="001020C5">
        <w:rPr>
          <w:rStyle w:val="normaltextrun"/>
          <w:color w:val="000000" w:themeColor="text1"/>
        </w:rPr>
        <w:t>focused on young children’s vulnerabilities (</w:t>
      </w:r>
      <w:proofErr w:type="spellStart"/>
      <w:r w:rsidR="1127D7C3" w:rsidRPr="001020C5">
        <w:rPr>
          <w:rStyle w:val="normaltextrun"/>
          <w:color w:val="000000" w:themeColor="text1"/>
        </w:rPr>
        <w:t>Melnyk</w:t>
      </w:r>
      <w:proofErr w:type="spellEnd"/>
      <w:r w:rsidR="1127D7C3" w:rsidRPr="001020C5">
        <w:rPr>
          <w:rStyle w:val="normaltextrun"/>
          <w:color w:val="000000" w:themeColor="text1"/>
        </w:rPr>
        <w:t xml:space="preserve"> et al., 2007)</w:t>
      </w:r>
      <w:r w:rsidRPr="001020C5">
        <w:rPr>
          <w:rStyle w:val="normaltextrun"/>
          <w:color w:val="000000" w:themeColor="text1"/>
        </w:rPr>
        <w:t>,</w:t>
      </w:r>
      <w:r w:rsidR="00EA1B34" w:rsidRPr="001020C5">
        <w:rPr>
          <w:rStyle w:val="normaltextrun"/>
          <w:color w:val="000000" w:themeColor="text1"/>
        </w:rPr>
        <w:t xml:space="preserve"> </w:t>
      </w:r>
      <w:r w:rsidR="00B73885">
        <w:rPr>
          <w:rStyle w:val="normaltextrun"/>
          <w:color w:val="000000" w:themeColor="text1"/>
        </w:rPr>
        <w:t>research</w:t>
      </w:r>
      <w:r w:rsidRPr="001020C5">
        <w:rPr>
          <w:rStyle w:val="normaltextrun"/>
          <w:color w:val="000000" w:themeColor="text1"/>
        </w:rPr>
        <w:t xml:space="preserve"> </w:t>
      </w:r>
      <w:r w:rsidR="0095065B" w:rsidRPr="001020C5">
        <w:rPr>
          <w:rStyle w:val="normaltextrun"/>
          <w:color w:val="000000" w:themeColor="text1"/>
        </w:rPr>
        <w:t>has</w:t>
      </w:r>
      <w:r w:rsidR="1127D7C3" w:rsidRPr="001020C5">
        <w:rPr>
          <w:rStyle w:val="normaltextrun"/>
          <w:color w:val="000000" w:themeColor="text1"/>
        </w:rPr>
        <w:t xml:space="preserve"> also shown that </w:t>
      </w:r>
      <w:r w:rsidR="00DF6F4F" w:rsidRPr="00963A7D">
        <w:rPr>
          <w:rStyle w:val="normaltextrun"/>
          <w:color w:val="000000" w:themeColor="text1"/>
        </w:rPr>
        <w:t>adolescents are susceptible to suggestion (</w:t>
      </w:r>
      <w:proofErr w:type="spellStart"/>
      <w:r w:rsidR="005D5A2B" w:rsidRPr="00963A7D">
        <w:rPr>
          <w:rStyle w:val="normaltextrun"/>
          <w:color w:val="000000" w:themeColor="text1"/>
        </w:rPr>
        <w:t>Bruck</w:t>
      </w:r>
      <w:proofErr w:type="spellEnd"/>
      <w:r w:rsidR="005D5A2B" w:rsidRPr="00963A7D">
        <w:rPr>
          <w:rStyle w:val="normaltextrun"/>
          <w:color w:val="000000" w:themeColor="text1"/>
        </w:rPr>
        <w:t xml:space="preserve"> &amp; </w:t>
      </w:r>
      <w:proofErr w:type="spellStart"/>
      <w:r w:rsidR="005D5A2B" w:rsidRPr="00963A7D">
        <w:rPr>
          <w:rStyle w:val="normaltextrun"/>
          <w:color w:val="000000" w:themeColor="text1"/>
        </w:rPr>
        <w:t>Ceci</w:t>
      </w:r>
      <w:proofErr w:type="spellEnd"/>
      <w:r w:rsidR="005D5A2B" w:rsidRPr="00963A7D">
        <w:rPr>
          <w:rStyle w:val="normaltextrun"/>
          <w:color w:val="000000" w:themeColor="text1"/>
        </w:rPr>
        <w:t>, 1999</w:t>
      </w:r>
      <w:r w:rsidR="00167069">
        <w:rPr>
          <w:rStyle w:val="normaltextrun"/>
          <w:color w:val="000000" w:themeColor="text1"/>
        </w:rPr>
        <w:t>; Owen-</w:t>
      </w:r>
      <w:proofErr w:type="spellStart"/>
      <w:r w:rsidR="00167069">
        <w:rPr>
          <w:rStyle w:val="normaltextrun"/>
          <w:color w:val="000000" w:themeColor="text1"/>
        </w:rPr>
        <w:t>Kostelnik</w:t>
      </w:r>
      <w:proofErr w:type="spellEnd"/>
      <w:r w:rsidR="00167069">
        <w:rPr>
          <w:rStyle w:val="normaltextrun"/>
          <w:color w:val="000000" w:themeColor="text1"/>
        </w:rPr>
        <w:t xml:space="preserve">, </w:t>
      </w:r>
      <w:proofErr w:type="spellStart"/>
      <w:r w:rsidR="00167069">
        <w:rPr>
          <w:rStyle w:val="normaltextrun"/>
          <w:color w:val="000000" w:themeColor="text1"/>
        </w:rPr>
        <w:t>Reppucci</w:t>
      </w:r>
      <w:proofErr w:type="spellEnd"/>
      <w:r w:rsidR="00167069">
        <w:rPr>
          <w:rStyle w:val="normaltextrun"/>
          <w:color w:val="000000" w:themeColor="text1"/>
        </w:rPr>
        <w:t>, &amp; Meyer, 2006</w:t>
      </w:r>
      <w:r w:rsidR="00DF6F4F" w:rsidRPr="00963A7D">
        <w:rPr>
          <w:rStyle w:val="normaltextrun"/>
          <w:color w:val="000000" w:themeColor="text1"/>
        </w:rPr>
        <w:t xml:space="preserve">) and that </w:t>
      </w:r>
      <w:r w:rsidR="1127D7C3" w:rsidRPr="001020C5">
        <w:rPr>
          <w:rStyle w:val="normaltextrun"/>
          <w:color w:val="000000" w:themeColor="text1"/>
        </w:rPr>
        <w:t>adolescents are more likely than adults to comply with authority figures (</w:t>
      </w:r>
      <w:proofErr w:type="spellStart"/>
      <w:r w:rsidR="1127D7C3" w:rsidRPr="001020C5">
        <w:rPr>
          <w:rStyle w:val="normaltextrun"/>
          <w:color w:val="000000" w:themeColor="text1"/>
        </w:rPr>
        <w:t>Gudjonsson</w:t>
      </w:r>
      <w:proofErr w:type="spellEnd"/>
      <w:r w:rsidR="1127D7C3" w:rsidRPr="001020C5">
        <w:rPr>
          <w:rStyle w:val="normaltextrun"/>
          <w:color w:val="000000" w:themeColor="text1"/>
        </w:rPr>
        <w:t>, 2003</w:t>
      </w:r>
      <w:r w:rsidR="00FB5AA7">
        <w:rPr>
          <w:rStyle w:val="normaltextrun"/>
          <w:color w:val="000000" w:themeColor="text1"/>
        </w:rPr>
        <w:t xml:space="preserve">; Monahan, Steinberg, &amp; </w:t>
      </w:r>
      <w:proofErr w:type="spellStart"/>
      <w:r w:rsidR="00FB5AA7">
        <w:rPr>
          <w:rStyle w:val="normaltextrun"/>
          <w:color w:val="000000" w:themeColor="text1"/>
        </w:rPr>
        <w:t>Piquero</w:t>
      </w:r>
      <w:proofErr w:type="spellEnd"/>
      <w:r w:rsidR="00FB5AA7">
        <w:rPr>
          <w:rStyle w:val="normaltextrun"/>
          <w:color w:val="000000" w:themeColor="text1"/>
        </w:rPr>
        <w:t>, 2015</w:t>
      </w:r>
      <w:r w:rsidR="1127D7C3" w:rsidRPr="001020C5">
        <w:rPr>
          <w:rStyle w:val="normaltextrun"/>
          <w:color w:val="000000" w:themeColor="text1"/>
        </w:rPr>
        <w:t xml:space="preserve">). </w:t>
      </w:r>
      <w:r w:rsidR="00506AD0" w:rsidRPr="00963A7D">
        <w:rPr>
          <w:rStyle w:val="normaltextrun"/>
          <w:color w:val="000000" w:themeColor="text1"/>
        </w:rPr>
        <w:t xml:space="preserve">A study by </w:t>
      </w:r>
      <w:r w:rsidR="00010C1B" w:rsidRPr="00963A7D">
        <w:rPr>
          <w:rStyle w:val="normaltextrun"/>
          <w:color w:val="000000" w:themeColor="text1"/>
        </w:rPr>
        <w:t xml:space="preserve">Redlich and Goodman </w:t>
      </w:r>
      <w:r w:rsidR="002555F7" w:rsidRPr="00963A7D">
        <w:rPr>
          <w:rStyle w:val="normaltextrun"/>
          <w:color w:val="000000" w:themeColor="text1"/>
        </w:rPr>
        <w:t>(2003)</w:t>
      </w:r>
      <w:r w:rsidR="00506AD0" w:rsidRPr="00963A7D">
        <w:rPr>
          <w:rStyle w:val="normaltextrun"/>
          <w:color w:val="000000" w:themeColor="text1"/>
        </w:rPr>
        <w:t xml:space="preserve"> showed</w:t>
      </w:r>
      <w:r w:rsidR="00861DD2" w:rsidRPr="00963A7D">
        <w:rPr>
          <w:rStyle w:val="normaltextrun"/>
          <w:color w:val="000000" w:themeColor="text1"/>
        </w:rPr>
        <w:t xml:space="preserve"> that </w:t>
      </w:r>
      <w:r w:rsidR="005408DE" w:rsidRPr="00963A7D">
        <w:rPr>
          <w:rStyle w:val="normaltextrun"/>
          <w:color w:val="000000" w:themeColor="text1"/>
        </w:rPr>
        <w:t>78</w:t>
      </w:r>
      <w:r w:rsidR="00A24A0B" w:rsidRPr="00963A7D">
        <w:rPr>
          <w:rStyle w:val="normaltextrun"/>
          <w:color w:val="000000" w:themeColor="text1"/>
        </w:rPr>
        <w:t>% of 12-</w:t>
      </w:r>
      <w:r w:rsidR="005408DE" w:rsidRPr="00963A7D">
        <w:rPr>
          <w:rStyle w:val="normaltextrun"/>
          <w:color w:val="000000" w:themeColor="text1"/>
        </w:rPr>
        <w:t xml:space="preserve"> and 13-year-</w:t>
      </w:r>
      <w:r w:rsidR="00A24A0B" w:rsidRPr="00963A7D">
        <w:rPr>
          <w:rStyle w:val="normaltextrun"/>
          <w:color w:val="000000" w:themeColor="text1"/>
        </w:rPr>
        <w:t>olds</w:t>
      </w:r>
      <w:r w:rsidR="005408DE" w:rsidRPr="00963A7D">
        <w:rPr>
          <w:rStyle w:val="normaltextrun"/>
          <w:color w:val="000000" w:themeColor="text1"/>
        </w:rPr>
        <w:t>, 72% of 15- and 16-year olds</w:t>
      </w:r>
      <w:r w:rsidR="000027F7" w:rsidRPr="00963A7D">
        <w:rPr>
          <w:rStyle w:val="normaltextrun"/>
          <w:color w:val="000000" w:themeColor="text1"/>
        </w:rPr>
        <w:t xml:space="preserve">, and 59% of young adults all complied with interviewers </w:t>
      </w:r>
      <w:r w:rsidR="00D61FCE">
        <w:rPr>
          <w:rStyle w:val="normaltextrun"/>
          <w:color w:val="000000" w:themeColor="text1"/>
        </w:rPr>
        <w:t>by signing</w:t>
      </w:r>
      <w:r w:rsidR="000027F7" w:rsidRPr="00963A7D">
        <w:rPr>
          <w:rStyle w:val="normaltextrun"/>
          <w:color w:val="000000" w:themeColor="text1"/>
        </w:rPr>
        <w:t xml:space="preserve"> false confessions</w:t>
      </w:r>
      <w:r w:rsidR="00852BEE" w:rsidRPr="00963A7D">
        <w:rPr>
          <w:rStyle w:val="normaltextrun"/>
          <w:color w:val="000000" w:themeColor="text1"/>
        </w:rPr>
        <w:t>, likely due to the tendency to obey authority</w:t>
      </w:r>
      <w:r w:rsidR="000027F7" w:rsidRPr="00963A7D">
        <w:rPr>
          <w:rStyle w:val="normaltextrun"/>
          <w:color w:val="000000" w:themeColor="text1"/>
        </w:rPr>
        <w:t>.</w:t>
      </w:r>
      <w:r w:rsidR="00A24A0B" w:rsidRPr="00963A7D">
        <w:rPr>
          <w:rStyle w:val="normaltextrun"/>
          <w:color w:val="000000" w:themeColor="text1"/>
        </w:rPr>
        <w:t xml:space="preserve"> </w:t>
      </w:r>
      <w:r w:rsidR="1127D7C3" w:rsidRPr="001020C5">
        <w:rPr>
          <w:rStyle w:val="normaltextrun"/>
          <w:color w:val="000000" w:themeColor="text1"/>
        </w:rPr>
        <w:t xml:space="preserve">In some instances, </w:t>
      </w:r>
      <w:r w:rsidR="00B50777">
        <w:rPr>
          <w:rStyle w:val="normaltextrun"/>
          <w:color w:val="000000" w:themeColor="text1"/>
        </w:rPr>
        <w:t xml:space="preserve">however, </w:t>
      </w:r>
      <w:r w:rsidR="1127D7C3" w:rsidRPr="001020C5">
        <w:rPr>
          <w:rStyle w:val="normaltextrun"/>
          <w:color w:val="000000" w:themeColor="text1"/>
        </w:rPr>
        <w:t xml:space="preserve">older children may provide less reliable accounts than young children </w:t>
      </w:r>
      <w:r w:rsidR="00B324CD" w:rsidRPr="00963A7D">
        <w:rPr>
          <w:rStyle w:val="normaltextrun"/>
          <w:color w:val="000000" w:themeColor="text1"/>
        </w:rPr>
        <w:t xml:space="preserve">due to </w:t>
      </w:r>
      <w:r w:rsidR="1127D7C3" w:rsidRPr="001020C5">
        <w:rPr>
          <w:rStyle w:val="normaltextrun"/>
          <w:color w:val="000000" w:themeColor="text1"/>
        </w:rPr>
        <w:t>the developmental reversal effect</w:t>
      </w:r>
      <w:r w:rsidR="00B324CD" w:rsidRPr="00963A7D">
        <w:rPr>
          <w:rStyle w:val="normaltextrun"/>
          <w:color w:val="000000" w:themeColor="text1"/>
        </w:rPr>
        <w:t xml:space="preserve"> (</w:t>
      </w:r>
      <w:r w:rsidR="00032EE0">
        <w:rPr>
          <w:rStyle w:val="normaltextrun"/>
          <w:color w:val="000000" w:themeColor="text1"/>
        </w:rPr>
        <w:t xml:space="preserve">i.e., because age is </w:t>
      </w:r>
      <w:r w:rsidR="00B113AC">
        <w:rPr>
          <w:rStyle w:val="normaltextrun"/>
          <w:color w:val="000000" w:themeColor="text1"/>
        </w:rPr>
        <w:t xml:space="preserve">positively </w:t>
      </w:r>
      <w:r w:rsidR="00032EE0">
        <w:rPr>
          <w:rStyle w:val="normaltextrun"/>
          <w:color w:val="000000" w:themeColor="text1"/>
        </w:rPr>
        <w:t xml:space="preserve">associated with </w:t>
      </w:r>
      <w:r w:rsidR="00B113AC">
        <w:rPr>
          <w:rStyle w:val="normaltextrun"/>
          <w:color w:val="000000" w:themeColor="text1"/>
        </w:rPr>
        <w:t xml:space="preserve">greater reliance on ‘gist traces,’ older children may be at increased risks of experiencing spontaneous false memories; </w:t>
      </w:r>
      <w:r w:rsidR="1127D7C3" w:rsidRPr="001020C5">
        <w:rPr>
          <w:rStyle w:val="normaltextrun"/>
          <w:color w:val="000000" w:themeColor="text1"/>
        </w:rPr>
        <w:t xml:space="preserve">see </w:t>
      </w:r>
      <w:proofErr w:type="spellStart"/>
      <w:r w:rsidR="1127D7C3" w:rsidRPr="001020C5">
        <w:rPr>
          <w:rStyle w:val="normaltextrun"/>
          <w:color w:val="000000" w:themeColor="text1"/>
        </w:rPr>
        <w:t>Otgaar</w:t>
      </w:r>
      <w:proofErr w:type="spellEnd"/>
      <w:r w:rsidR="1127D7C3" w:rsidRPr="001020C5">
        <w:rPr>
          <w:rStyle w:val="normaltextrun"/>
          <w:color w:val="000000" w:themeColor="text1"/>
        </w:rPr>
        <w:t xml:space="preserve">, Howe, Peters, </w:t>
      </w:r>
      <w:proofErr w:type="spellStart"/>
      <w:r w:rsidR="1127D7C3" w:rsidRPr="001020C5">
        <w:rPr>
          <w:rStyle w:val="normaltextrun"/>
          <w:color w:val="000000" w:themeColor="text1"/>
        </w:rPr>
        <w:t>Sauerland</w:t>
      </w:r>
      <w:proofErr w:type="spellEnd"/>
      <w:r w:rsidR="1127D7C3" w:rsidRPr="001020C5">
        <w:rPr>
          <w:rStyle w:val="normaltextrun"/>
          <w:color w:val="000000" w:themeColor="text1"/>
        </w:rPr>
        <w:t xml:space="preserve">, &amp; </w:t>
      </w:r>
      <w:proofErr w:type="spellStart"/>
      <w:r w:rsidR="1127D7C3" w:rsidRPr="001020C5">
        <w:rPr>
          <w:rStyle w:val="normaltextrun"/>
          <w:color w:val="000000" w:themeColor="text1"/>
        </w:rPr>
        <w:t>Raymaekers</w:t>
      </w:r>
      <w:proofErr w:type="spellEnd"/>
      <w:r w:rsidR="1127D7C3" w:rsidRPr="001020C5">
        <w:rPr>
          <w:rStyle w:val="normaltextrun"/>
          <w:color w:val="000000" w:themeColor="text1"/>
        </w:rPr>
        <w:t xml:space="preserve">, 2013). </w:t>
      </w:r>
      <w:r w:rsidR="00EB6BE3">
        <w:rPr>
          <w:rStyle w:val="normaltextrun"/>
          <w:color w:val="000000" w:themeColor="text1"/>
        </w:rPr>
        <w:t>R</w:t>
      </w:r>
      <w:r w:rsidR="0013750B" w:rsidRPr="00963A7D">
        <w:rPr>
          <w:rStyle w:val="normaltextrun"/>
          <w:color w:val="000000" w:themeColor="text1"/>
        </w:rPr>
        <w:t xml:space="preserve">egardless of age, </w:t>
      </w:r>
      <w:r w:rsidR="00100FB2" w:rsidRPr="001020C5">
        <w:rPr>
          <w:rStyle w:val="normaltextrun"/>
          <w:color w:val="000000" w:themeColor="text1"/>
        </w:rPr>
        <w:t>individual</w:t>
      </w:r>
      <w:r w:rsidR="00100FB2">
        <w:rPr>
          <w:rStyle w:val="normaltextrun"/>
          <w:color w:val="000000" w:themeColor="text1"/>
        </w:rPr>
        <w:t xml:space="preserve">s </w:t>
      </w:r>
      <w:r w:rsidR="00EB6BE3">
        <w:rPr>
          <w:rStyle w:val="normaltextrun"/>
          <w:color w:val="000000" w:themeColor="text1"/>
        </w:rPr>
        <w:t xml:space="preserve">may </w:t>
      </w:r>
      <w:r w:rsidR="0045348B">
        <w:rPr>
          <w:rStyle w:val="normaltextrun"/>
          <w:color w:val="000000" w:themeColor="text1"/>
        </w:rPr>
        <w:t>differ in regard</w:t>
      </w:r>
      <w:r w:rsidR="00100FB2">
        <w:rPr>
          <w:rStyle w:val="normaltextrun"/>
          <w:color w:val="000000" w:themeColor="text1"/>
        </w:rPr>
        <w:t xml:space="preserve"> to </w:t>
      </w:r>
      <w:r w:rsidR="005D15C3">
        <w:rPr>
          <w:rStyle w:val="normaltextrun"/>
          <w:color w:val="000000" w:themeColor="text1"/>
        </w:rPr>
        <w:t xml:space="preserve">their </w:t>
      </w:r>
      <w:r w:rsidR="00100FB2">
        <w:rPr>
          <w:rStyle w:val="normaltextrun"/>
          <w:color w:val="000000" w:themeColor="text1"/>
        </w:rPr>
        <w:t>suggestibility</w:t>
      </w:r>
      <w:r w:rsidR="0045348B">
        <w:rPr>
          <w:rStyle w:val="normaltextrun"/>
          <w:color w:val="000000" w:themeColor="text1"/>
        </w:rPr>
        <w:t xml:space="preserve"> (i.e., </w:t>
      </w:r>
      <w:r w:rsidR="005D15C3">
        <w:rPr>
          <w:rStyle w:val="normaltextrun"/>
          <w:color w:val="000000" w:themeColor="text1"/>
        </w:rPr>
        <w:t>‘</w:t>
      </w:r>
      <w:r w:rsidR="0045348B">
        <w:rPr>
          <w:rStyle w:val="normaltextrun"/>
          <w:color w:val="000000" w:themeColor="text1"/>
        </w:rPr>
        <w:t>the tendency for an individual</w:t>
      </w:r>
      <w:r w:rsidR="005D15C3">
        <w:rPr>
          <w:rStyle w:val="normaltextrun"/>
          <w:color w:val="000000" w:themeColor="text1"/>
        </w:rPr>
        <w:t>’s account</w:t>
      </w:r>
      <w:r w:rsidR="0045348B">
        <w:rPr>
          <w:rStyle w:val="normaltextrun"/>
          <w:color w:val="000000" w:themeColor="text1"/>
        </w:rPr>
        <w:t xml:space="preserve"> to be </w:t>
      </w:r>
      <w:r w:rsidR="005D15C3">
        <w:rPr>
          <w:rStyle w:val="normaltextrun"/>
          <w:color w:val="000000" w:themeColor="text1"/>
        </w:rPr>
        <w:t>altered by misleading information and interpersonal pressure’; Sing</w:t>
      </w:r>
      <w:r w:rsidR="001020C5">
        <w:rPr>
          <w:rStyle w:val="normaltextrun"/>
          <w:color w:val="000000" w:themeColor="text1"/>
        </w:rPr>
        <w:t>h</w:t>
      </w:r>
      <w:r w:rsidR="005D15C3">
        <w:rPr>
          <w:rStyle w:val="normaltextrun"/>
          <w:color w:val="000000" w:themeColor="text1"/>
        </w:rPr>
        <w:t xml:space="preserve"> &amp; </w:t>
      </w:r>
      <w:proofErr w:type="spellStart"/>
      <w:r w:rsidR="005D15C3">
        <w:rPr>
          <w:rStyle w:val="normaltextrun"/>
          <w:color w:val="000000" w:themeColor="text1"/>
        </w:rPr>
        <w:t>Gudjonsson</w:t>
      </w:r>
      <w:proofErr w:type="spellEnd"/>
      <w:r w:rsidR="005D15C3">
        <w:rPr>
          <w:rStyle w:val="normaltextrun"/>
          <w:color w:val="000000" w:themeColor="text1"/>
        </w:rPr>
        <w:t xml:space="preserve">, </w:t>
      </w:r>
      <w:r w:rsidR="001020C5">
        <w:rPr>
          <w:rStyle w:val="normaltextrun"/>
          <w:color w:val="000000" w:themeColor="text1"/>
        </w:rPr>
        <w:t xml:space="preserve">1992, </w:t>
      </w:r>
      <w:r w:rsidR="005D15C3">
        <w:rPr>
          <w:rStyle w:val="normaltextrun"/>
          <w:color w:val="000000" w:themeColor="text1"/>
        </w:rPr>
        <w:t>p. 155).</w:t>
      </w:r>
      <w:r w:rsidR="0045348B">
        <w:rPr>
          <w:rStyle w:val="normaltextrun"/>
          <w:color w:val="000000" w:themeColor="text1"/>
        </w:rPr>
        <w:t xml:space="preserve"> </w:t>
      </w:r>
      <w:r w:rsidR="1127D7C3" w:rsidRPr="001020C5">
        <w:rPr>
          <w:rStyle w:val="normaltextrun"/>
          <w:color w:val="000000" w:themeColor="text1"/>
        </w:rPr>
        <w:t xml:space="preserve">Thus, children of all ages </w:t>
      </w:r>
      <w:r w:rsidR="005D15C3">
        <w:rPr>
          <w:rStyle w:val="normaltextrun"/>
          <w:color w:val="000000" w:themeColor="text1"/>
        </w:rPr>
        <w:t>may be</w:t>
      </w:r>
      <w:r w:rsidR="005D15C3" w:rsidRPr="001020C5">
        <w:rPr>
          <w:rStyle w:val="normaltextrun"/>
          <w:color w:val="000000" w:themeColor="text1"/>
        </w:rPr>
        <w:t xml:space="preserve"> </w:t>
      </w:r>
      <w:r w:rsidR="1127D7C3" w:rsidRPr="001020C5">
        <w:rPr>
          <w:rStyle w:val="normaltextrun"/>
          <w:color w:val="000000" w:themeColor="text1"/>
        </w:rPr>
        <w:t>vulnerable to suggestive questioning</w:t>
      </w:r>
      <w:r w:rsidR="004B66E2">
        <w:rPr>
          <w:rStyle w:val="normaltextrun"/>
          <w:color w:val="000000" w:themeColor="text1"/>
        </w:rPr>
        <w:t xml:space="preserve">, and </w:t>
      </w:r>
      <w:r w:rsidR="005D15C3">
        <w:rPr>
          <w:rStyle w:val="normaltextrun"/>
          <w:color w:val="000000" w:themeColor="text1"/>
        </w:rPr>
        <w:t>hence</w:t>
      </w:r>
      <w:r w:rsidR="004B66E2">
        <w:rPr>
          <w:rStyle w:val="normaltextrun"/>
          <w:color w:val="000000" w:themeColor="text1"/>
        </w:rPr>
        <w:t>,</w:t>
      </w:r>
      <w:r w:rsidR="005D15C3">
        <w:rPr>
          <w:rStyle w:val="normaltextrun"/>
          <w:color w:val="000000" w:themeColor="text1"/>
        </w:rPr>
        <w:t xml:space="preserve"> </w:t>
      </w:r>
      <w:r w:rsidR="00B50777">
        <w:rPr>
          <w:rStyle w:val="normaltextrun"/>
          <w:color w:val="000000" w:themeColor="text1"/>
        </w:rPr>
        <w:t xml:space="preserve">such questioning </w:t>
      </w:r>
      <w:r w:rsidR="005D15C3">
        <w:rPr>
          <w:rStyle w:val="normaltextrun"/>
          <w:color w:val="000000" w:themeColor="text1"/>
        </w:rPr>
        <w:t>should be avoided in legal contexts</w:t>
      </w:r>
      <w:r w:rsidR="1127D7C3" w:rsidRPr="001020C5">
        <w:rPr>
          <w:rStyle w:val="normaltextrun"/>
          <w:color w:val="000000" w:themeColor="text1"/>
        </w:rPr>
        <w:t xml:space="preserve">. </w:t>
      </w:r>
      <w:r w:rsidR="1127D7C3" w:rsidRPr="001020C5">
        <w:rPr>
          <w:rStyle w:val="eop"/>
        </w:rPr>
        <w:t> </w:t>
      </w:r>
    </w:p>
    <w:p w14:paraId="7AC40BE5" w14:textId="33DAC8FA" w:rsidR="00B55877" w:rsidRPr="006C4BE0" w:rsidRDefault="1127D7C3" w:rsidP="1127D7C3">
      <w:pPr>
        <w:pStyle w:val="paragraph"/>
        <w:spacing w:before="0" w:beforeAutospacing="0" w:after="0" w:afterAutospacing="0" w:line="480" w:lineRule="auto"/>
        <w:ind w:right="15" w:firstLine="720"/>
        <w:textAlignment w:val="baseline"/>
        <w:rPr>
          <w:rFonts w:ascii="Segoe UI" w:hAnsi="Segoe UI" w:cs="Segoe UI"/>
          <w:sz w:val="18"/>
          <w:szCs w:val="18"/>
        </w:rPr>
      </w:pPr>
      <w:r w:rsidRPr="001020C5">
        <w:rPr>
          <w:rStyle w:val="normaltextrun"/>
          <w:color w:val="000000" w:themeColor="text1"/>
        </w:rPr>
        <w:t xml:space="preserve">Despite the evidence regarding children’s </w:t>
      </w:r>
      <w:r w:rsidR="00BF12DA">
        <w:rPr>
          <w:rStyle w:val="normaltextrun"/>
          <w:color w:val="000000" w:themeColor="text1"/>
        </w:rPr>
        <w:t>susceptibility to suggestion</w:t>
      </w:r>
      <w:r w:rsidRPr="001020C5">
        <w:rPr>
          <w:rStyle w:val="normaltextrun"/>
          <w:color w:val="000000" w:themeColor="text1"/>
        </w:rPr>
        <w:t xml:space="preserve"> (</w:t>
      </w:r>
      <w:proofErr w:type="spellStart"/>
      <w:r w:rsidR="00A352BE" w:rsidRPr="001020C5">
        <w:rPr>
          <w:rStyle w:val="normaltextrun"/>
          <w:color w:val="000000" w:themeColor="text1"/>
        </w:rPr>
        <w:t>Gudjonsson</w:t>
      </w:r>
      <w:proofErr w:type="spellEnd"/>
      <w:r w:rsidR="00A352BE" w:rsidRPr="001020C5">
        <w:rPr>
          <w:rStyle w:val="normaltextrun"/>
          <w:color w:val="000000" w:themeColor="text1"/>
        </w:rPr>
        <w:t>, 2003</w:t>
      </w:r>
      <w:r w:rsidR="00A352BE">
        <w:rPr>
          <w:rStyle w:val="normaltextrun"/>
          <w:color w:val="000000" w:themeColor="text1"/>
        </w:rPr>
        <w:t xml:space="preserve">; </w:t>
      </w:r>
      <w:r w:rsidRPr="001020C5">
        <w:rPr>
          <w:rStyle w:val="normaltextrun"/>
          <w:color w:val="000000" w:themeColor="text1"/>
        </w:rPr>
        <w:t xml:space="preserve">Lamb et al., 2007b; </w:t>
      </w:r>
      <w:proofErr w:type="spellStart"/>
      <w:r w:rsidRPr="001020C5">
        <w:rPr>
          <w:rStyle w:val="normaltextrun"/>
          <w:color w:val="000000" w:themeColor="text1"/>
        </w:rPr>
        <w:t>Melnyk</w:t>
      </w:r>
      <w:proofErr w:type="spellEnd"/>
      <w:r w:rsidRPr="001020C5">
        <w:rPr>
          <w:rStyle w:val="normaltextrun"/>
          <w:color w:val="000000" w:themeColor="text1"/>
        </w:rPr>
        <w:t xml:space="preserve"> et al., 2007), it is not clear from previous field research whether or not lawyers adapt their questioning styles for children of different ages, and if so, whether this affects children’s responses. </w:t>
      </w:r>
      <w:proofErr w:type="spellStart"/>
      <w:r w:rsidRPr="001020C5">
        <w:rPr>
          <w:rStyle w:val="normaltextrun"/>
          <w:color w:val="000000" w:themeColor="text1"/>
        </w:rPr>
        <w:t>Klemfuss</w:t>
      </w:r>
      <w:proofErr w:type="spellEnd"/>
      <w:r w:rsidRPr="001020C5">
        <w:rPr>
          <w:rStyle w:val="normaltextrun"/>
          <w:color w:val="000000" w:themeColor="text1"/>
        </w:rPr>
        <w:t xml:space="preserve"> et al. (2014) found that American prosecutors and defence lawyers asked older children significantly fewer option-posing questions and significantly more suggestive questions, while Stolzenberg and Lyon (2014) found that American lawyers were slightly more likely to ask younger children option-posing </w:t>
      </w:r>
      <w:r w:rsidRPr="00991873">
        <w:rPr>
          <w:rStyle w:val="normaltextrun"/>
          <w:color w:val="000000" w:themeColor="text1"/>
        </w:rPr>
        <w:lastRenderedPageBreak/>
        <w:t>questions. Andrews and Lamb (2016) found that Scottish defence lawyers were most likely and Scottish prosecutors least likely to ask the youngest childr</w:t>
      </w:r>
      <w:r w:rsidRPr="00A352BE">
        <w:rPr>
          <w:rStyle w:val="normaltextrun"/>
          <w:color w:val="000000" w:themeColor="text1"/>
        </w:rPr>
        <w:t xml:space="preserve">en option-posing questions. However, in New Zealand, </w:t>
      </w:r>
      <w:proofErr w:type="spellStart"/>
      <w:r w:rsidRPr="00A352BE">
        <w:rPr>
          <w:rStyle w:val="normaltextrun"/>
          <w:color w:val="000000" w:themeColor="text1"/>
        </w:rPr>
        <w:t>Zajac</w:t>
      </w:r>
      <w:proofErr w:type="spellEnd"/>
      <w:r w:rsidRPr="00A352BE">
        <w:rPr>
          <w:rStyle w:val="normaltextrun"/>
          <w:color w:val="000000" w:themeColor="text1"/>
        </w:rPr>
        <w:t xml:space="preserve">, Gross, and Hayne (2003) found no significant associations between children’s ages and the types of questions </w:t>
      </w:r>
      <w:r w:rsidR="00163EF1">
        <w:rPr>
          <w:rStyle w:val="normaltextrun"/>
          <w:color w:val="000000" w:themeColor="text1"/>
        </w:rPr>
        <w:t>asked</w:t>
      </w:r>
      <w:r w:rsidR="00163EF1" w:rsidRPr="00A352BE">
        <w:rPr>
          <w:rStyle w:val="normaltextrun"/>
          <w:color w:val="000000" w:themeColor="text1"/>
        </w:rPr>
        <w:t xml:space="preserve"> </w:t>
      </w:r>
      <w:r w:rsidRPr="00A352BE">
        <w:rPr>
          <w:rStyle w:val="normaltextrun"/>
          <w:color w:val="000000" w:themeColor="text1"/>
        </w:rPr>
        <w:t>by prosecutors or defence lawyers. Regardless, children consistently respond to al</w:t>
      </w:r>
      <w:r w:rsidRPr="00EE290F">
        <w:rPr>
          <w:rStyle w:val="normaltextrun"/>
          <w:color w:val="000000" w:themeColor="text1"/>
        </w:rPr>
        <w:t xml:space="preserve">most all the questions they are asked in court and are more responsive to prosecutors than defence lawyers (Andrews &amp; Lamb, 2016; </w:t>
      </w:r>
      <w:proofErr w:type="spellStart"/>
      <w:r w:rsidRPr="00EE290F">
        <w:rPr>
          <w:rStyle w:val="normaltextrun"/>
          <w:color w:val="000000" w:themeColor="text1"/>
        </w:rPr>
        <w:t>Klemfuss</w:t>
      </w:r>
      <w:proofErr w:type="spellEnd"/>
      <w:r w:rsidRPr="00EE290F">
        <w:rPr>
          <w:rStyle w:val="normaltextrun"/>
          <w:color w:val="000000" w:themeColor="text1"/>
        </w:rPr>
        <w:t xml:space="preserve"> et al., 2014; </w:t>
      </w:r>
      <w:proofErr w:type="spellStart"/>
      <w:r w:rsidRPr="00EE290F">
        <w:rPr>
          <w:rStyle w:val="normaltextrun"/>
          <w:color w:val="000000" w:themeColor="text1"/>
        </w:rPr>
        <w:t>Zajac</w:t>
      </w:r>
      <w:proofErr w:type="spellEnd"/>
      <w:r w:rsidRPr="00EE290F">
        <w:rPr>
          <w:rStyle w:val="normaltextrun"/>
          <w:color w:val="000000" w:themeColor="text1"/>
        </w:rPr>
        <w:t xml:space="preserve"> et al., 2003). Although </w:t>
      </w:r>
      <w:proofErr w:type="spellStart"/>
      <w:r w:rsidRPr="00EE290F">
        <w:rPr>
          <w:rStyle w:val="normaltextrun"/>
          <w:color w:val="000000" w:themeColor="text1"/>
        </w:rPr>
        <w:t>Melynk</w:t>
      </w:r>
      <w:proofErr w:type="spellEnd"/>
      <w:r w:rsidRPr="00EE290F">
        <w:rPr>
          <w:rStyle w:val="normaltextrun"/>
          <w:color w:val="000000" w:themeColor="text1"/>
        </w:rPr>
        <w:t xml:space="preserve"> et al. (2007) found that younger children complied more often with suggestive utterances, Andrews and Lamb (2016) found no such age differences.</w:t>
      </w:r>
      <w:r w:rsidR="00616512">
        <w:rPr>
          <w:rStyle w:val="normaltextrun"/>
          <w:color w:val="000000" w:themeColor="text1"/>
        </w:rPr>
        <w:t xml:space="preserve"> </w:t>
      </w:r>
      <w:r w:rsidR="002A2F6A">
        <w:rPr>
          <w:rStyle w:val="normaltextrun"/>
          <w:color w:val="000000" w:themeColor="text1"/>
        </w:rPr>
        <w:t xml:space="preserve">Thus, </w:t>
      </w:r>
      <w:r w:rsidR="00B50777">
        <w:rPr>
          <w:rStyle w:val="normaltextrun"/>
          <w:color w:val="000000" w:themeColor="text1"/>
        </w:rPr>
        <w:t xml:space="preserve">it is not clear whether lawyers generally adjust their </w:t>
      </w:r>
      <w:r w:rsidR="002A2F6A">
        <w:rPr>
          <w:rStyle w:val="normaltextrun"/>
          <w:color w:val="000000" w:themeColor="text1"/>
        </w:rPr>
        <w:t xml:space="preserve">questioning </w:t>
      </w:r>
      <w:r w:rsidR="00B50777">
        <w:rPr>
          <w:rStyle w:val="normaltextrun"/>
          <w:color w:val="000000" w:themeColor="text1"/>
        </w:rPr>
        <w:t>in relation to the age of the children or whether children of different ages are differentially</w:t>
      </w:r>
      <w:r w:rsidR="00542945">
        <w:rPr>
          <w:rStyle w:val="normaltextrun"/>
          <w:color w:val="000000" w:themeColor="text1"/>
        </w:rPr>
        <w:t xml:space="preserve"> responsive and </w:t>
      </w:r>
      <w:r w:rsidR="00B50777">
        <w:rPr>
          <w:rStyle w:val="normaltextrun"/>
          <w:color w:val="000000" w:themeColor="text1"/>
        </w:rPr>
        <w:t xml:space="preserve">compliant.  </w:t>
      </w:r>
    </w:p>
    <w:p w14:paraId="71114B58" w14:textId="5781531B" w:rsidR="009227D1" w:rsidRPr="005D1F7B" w:rsidRDefault="1127D7C3" w:rsidP="009227D1">
      <w:pPr>
        <w:spacing w:line="480" w:lineRule="auto"/>
        <w:ind w:right="20"/>
        <w:outlineLvl w:val="0"/>
      </w:pPr>
      <w:r w:rsidRPr="1127D7C3">
        <w:rPr>
          <w:b/>
          <w:bCs/>
        </w:rPr>
        <w:t>Current Study</w:t>
      </w:r>
    </w:p>
    <w:p w14:paraId="1331C649" w14:textId="59156F50" w:rsidR="00D0434A" w:rsidRPr="00F85C8A" w:rsidRDefault="1127D7C3" w:rsidP="1127D7C3">
      <w:pPr>
        <w:spacing w:line="480" w:lineRule="auto"/>
        <w:ind w:right="20" w:firstLine="720"/>
        <w:outlineLvl w:val="0"/>
        <w:rPr>
          <w:color w:val="000000" w:themeColor="text1"/>
        </w:rPr>
      </w:pPr>
      <w:r w:rsidRPr="1127D7C3">
        <w:rPr>
          <w:color w:val="000000" w:themeColor="text1"/>
        </w:rPr>
        <w:t xml:space="preserve">No previous study has systematically investigated the questioning strategies employed in the Section 28 pilot study. This study investigated whether the implementation of GRHs and pre-recorded cross-examinations resulted in prosecutors and defence lawyers altering the types of questions they </w:t>
      </w:r>
      <w:r w:rsidR="00B50777">
        <w:rPr>
          <w:color w:val="000000" w:themeColor="text1"/>
        </w:rPr>
        <w:t>asked</w:t>
      </w:r>
      <w:r w:rsidRPr="1127D7C3">
        <w:rPr>
          <w:color w:val="000000" w:themeColor="text1"/>
        </w:rPr>
        <w:t xml:space="preserve">. </w:t>
      </w:r>
      <w:r>
        <w:t>It was predicted that: (</w:t>
      </w:r>
      <w:proofErr w:type="spellStart"/>
      <w:r>
        <w:t>i</w:t>
      </w:r>
      <w:proofErr w:type="spellEnd"/>
      <w:r>
        <w:t>) Prosecutors and defence lawyers in the Section 28 condition would question children more appropriately, (i.e., by asking more free-recall invitations and directive prompts a</w:t>
      </w:r>
      <w:r w:rsidR="00B50777">
        <w:t>s well as</w:t>
      </w:r>
      <w:r>
        <w:t xml:space="preserve"> fewer option-posing and suggestive prompts), (ii) Younger children would be more compliant with lawyers’ suggestive questions</w:t>
      </w:r>
      <w:r w:rsidR="00163EF1">
        <w:t xml:space="preserve"> than older children</w:t>
      </w:r>
      <w:r>
        <w:t xml:space="preserve">, regardless of condition, and (iii) The occurrence of a GRH </w:t>
      </w:r>
      <w:r w:rsidRPr="1127D7C3">
        <w:rPr>
          <w:i/>
          <w:iCs/>
        </w:rPr>
        <w:t>alone</w:t>
      </w:r>
      <w:r>
        <w:t xml:space="preserve"> would improve lawyers’ questioning strategies, regardless of whether or not the cases were involved in the Section 28 pilot study. </w:t>
      </w:r>
    </w:p>
    <w:p w14:paraId="18252567" w14:textId="0586A28A" w:rsidR="001761BB" w:rsidRPr="006C4BE0" w:rsidRDefault="0095182C" w:rsidP="1127D7C3">
      <w:pPr>
        <w:spacing w:line="480" w:lineRule="auto"/>
        <w:ind w:right="20"/>
        <w:jc w:val="center"/>
        <w:outlineLvl w:val="0"/>
        <w:rPr>
          <w:b/>
          <w:bCs/>
        </w:rPr>
      </w:pPr>
      <w:r>
        <w:rPr>
          <w:b/>
          <w:bCs/>
        </w:rPr>
        <w:t>Method</w:t>
      </w:r>
      <w:r w:rsidR="00163EF1">
        <w:rPr>
          <w:b/>
          <w:bCs/>
        </w:rPr>
        <w:t>s</w:t>
      </w:r>
    </w:p>
    <w:p w14:paraId="6418A7F9" w14:textId="77777777" w:rsidR="001761BB" w:rsidRPr="005D1F7B" w:rsidRDefault="1127D7C3" w:rsidP="001761BB">
      <w:pPr>
        <w:spacing w:line="480" w:lineRule="auto"/>
      </w:pPr>
      <w:r w:rsidRPr="1127D7C3">
        <w:rPr>
          <w:b/>
          <w:bCs/>
        </w:rPr>
        <w:t>Sample</w:t>
      </w:r>
    </w:p>
    <w:p w14:paraId="20F0E735" w14:textId="65526461" w:rsidR="001761BB" w:rsidRPr="005D1F7B" w:rsidRDefault="1127D7C3" w:rsidP="001761BB">
      <w:pPr>
        <w:spacing w:line="480" w:lineRule="auto"/>
        <w:ind w:firstLine="720"/>
      </w:pPr>
      <w:r>
        <w:lastRenderedPageBreak/>
        <w:t>Her Majesty’s Courts and Tribunals Service searched for trials that took place in England between 2012 and 2016 involving children under the age of 16 who were alleged victims of sexual abuse. They identified 138 Non-Section 28 (hereafter, NS28) cases in 7 different Crown Courts and 84 Section 28 (hereafter, S28) cases in 3 different Crown Courts. Researchers made every effort to obtain all available S28 cases for the current study. Of the 222 cases, 44 NS28 and 43 S28 cases met all the necessary research criteria in that they included complete transcripts of the ABE interviews and involved children under the age of 16 testifying as alleged victims of sexual abuse. The 44 NS28 cases came from Bradford (</w:t>
      </w:r>
      <w:r w:rsidRPr="1127D7C3">
        <w:rPr>
          <w:i/>
          <w:iCs/>
        </w:rPr>
        <w:t>n</w:t>
      </w:r>
      <w:r>
        <w:t xml:space="preserve"> = 6), Durham (</w:t>
      </w:r>
      <w:r w:rsidRPr="1127D7C3">
        <w:rPr>
          <w:i/>
          <w:iCs/>
        </w:rPr>
        <w:t>n</w:t>
      </w:r>
      <w:r>
        <w:t xml:space="preserve"> = 6), Hull (</w:t>
      </w:r>
      <w:r w:rsidRPr="1127D7C3">
        <w:rPr>
          <w:i/>
          <w:iCs/>
        </w:rPr>
        <w:t>n</w:t>
      </w:r>
      <w:r>
        <w:t xml:space="preserve"> = 7), Luton (</w:t>
      </w:r>
      <w:r w:rsidRPr="1127D7C3">
        <w:rPr>
          <w:i/>
          <w:iCs/>
        </w:rPr>
        <w:t>n</w:t>
      </w:r>
      <w:r>
        <w:t xml:space="preserve"> = 6), Newcastle (</w:t>
      </w:r>
      <w:r w:rsidRPr="1127D7C3">
        <w:rPr>
          <w:i/>
          <w:iCs/>
        </w:rPr>
        <w:t>n</w:t>
      </w:r>
      <w:r>
        <w:t xml:space="preserve"> = 12), Norwich (</w:t>
      </w:r>
      <w:r w:rsidRPr="1127D7C3">
        <w:rPr>
          <w:i/>
          <w:iCs/>
        </w:rPr>
        <w:t>n</w:t>
      </w:r>
      <w:r>
        <w:t xml:space="preserve"> = 5), and Oxford (</w:t>
      </w:r>
      <w:r w:rsidRPr="1127D7C3">
        <w:rPr>
          <w:i/>
          <w:iCs/>
        </w:rPr>
        <w:t>n</w:t>
      </w:r>
      <w:r>
        <w:t xml:space="preserve"> = 2), whilst the 43 S28 cases came from Kingston (</w:t>
      </w:r>
      <w:r w:rsidRPr="1127D7C3">
        <w:rPr>
          <w:i/>
          <w:iCs/>
        </w:rPr>
        <w:t>n</w:t>
      </w:r>
      <w:r>
        <w:t xml:space="preserve"> = 1), Leeds (</w:t>
      </w:r>
      <w:r w:rsidRPr="1127D7C3">
        <w:rPr>
          <w:i/>
          <w:iCs/>
        </w:rPr>
        <w:t>n</w:t>
      </w:r>
      <w:r>
        <w:t xml:space="preserve"> = 16), and Liverpool (</w:t>
      </w:r>
      <w:r w:rsidRPr="1127D7C3">
        <w:rPr>
          <w:i/>
          <w:iCs/>
        </w:rPr>
        <w:t>n</w:t>
      </w:r>
      <w:r>
        <w:t xml:space="preserve"> = 26). Recordings of the relevant court proceedings were transcribed and anonymised at the Ministry of Justice in London, and corresponding trial logs and ABE transcripts were also obtained. In all but 3 cases (all in the NS28 condition), the ABE interviews served as the majority of the direct-examinations at trial; in those 3 cases, there were no ABE interviews, but the alleged victims </w:t>
      </w:r>
      <w:r w:rsidR="00FF7710">
        <w:t>were interviewed by police officers, who then produced written statements</w:t>
      </w:r>
      <w:r>
        <w:t xml:space="preserve">. </w:t>
      </w:r>
    </w:p>
    <w:p w14:paraId="54E2975F" w14:textId="6BA56DAA" w:rsidR="001761BB" w:rsidRPr="006C4BE0" w:rsidRDefault="1127D7C3" w:rsidP="1127D7C3">
      <w:pPr>
        <w:spacing w:line="480" w:lineRule="auto"/>
        <w:ind w:right="14" w:firstLine="720"/>
        <w:rPr>
          <w:color w:val="000000" w:themeColor="text1"/>
        </w:rPr>
      </w:pPr>
      <w:r>
        <w:t>Information regarding case characteristics is provided in Table 3. The sample included 69 girls and 18 boys between the ages of 6 and 15 years (</w:t>
      </w:r>
      <w:r w:rsidRPr="1127D7C3">
        <w:rPr>
          <w:i/>
          <w:iCs/>
        </w:rPr>
        <w:t xml:space="preserve">M </w:t>
      </w:r>
      <w:r>
        <w:t xml:space="preserve">= 12.02, </w:t>
      </w:r>
      <w:r w:rsidRPr="1127D7C3">
        <w:rPr>
          <w:i/>
          <w:iCs/>
        </w:rPr>
        <w:t xml:space="preserve">SD </w:t>
      </w:r>
      <w:r>
        <w:t>= 2.43)</w:t>
      </w:r>
      <w:r w:rsidRPr="1127D7C3">
        <w:rPr>
          <w:color w:val="000000" w:themeColor="text1"/>
        </w:rPr>
        <w:t xml:space="preserve">, categorised into two age groups at the time of trial: 6- to 12-year-olds and 13- to 15-year-olds. These categories were chosen because they accord with the Sexual Offences Act (2003); 16 years is the age of sexual consent, but a person aged 16 or over can claim to be innocent of the charge of committing sexual offences with a child aged between 13 and 16 years if that person ‘reasonably believed’ that the child was over the age of 16. However, this reasonable belief provision does not apply if the offence involved a child under the age of 13. </w:t>
      </w:r>
      <w:r w:rsidR="005A7F68">
        <w:rPr>
          <w:color w:val="000000" w:themeColor="text1"/>
        </w:rPr>
        <w:t xml:space="preserve">There were insufficient numbers of young children to create three groups, </w:t>
      </w:r>
      <w:r w:rsidR="0033546C">
        <w:rPr>
          <w:color w:val="000000" w:themeColor="text1"/>
        </w:rPr>
        <w:t>so</w:t>
      </w:r>
      <w:r w:rsidR="005A7F68">
        <w:rPr>
          <w:color w:val="000000" w:themeColor="text1"/>
        </w:rPr>
        <w:t xml:space="preserve"> the youngest </w:t>
      </w:r>
      <w:r w:rsidR="005A7F68">
        <w:rPr>
          <w:color w:val="000000" w:themeColor="text1"/>
        </w:rPr>
        <w:lastRenderedPageBreak/>
        <w:t>children</w:t>
      </w:r>
      <w:r w:rsidR="0033546C">
        <w:rPr>
          <w:color w:val="000000" w:themeColor="text1"/>
        </w:rPr>
        <w:t xml:space="preserve"> (6- to 9-</w:t>
      </w:r>
      <w:r w:rsidR="003F5FA3">
        <w:rPr>
          <w:color w:val="000000" w:themeColor="text1"/>
        </w:rPr>
        <w:t>year</w:t>
      </w:r>
      <w:r w:rsidR="0033546C">
        <w:rPr>
          <w:color w:val="000000" w:themeColor="text1"/>
        </w:rPr>
        <w:t>-old</w:t>
      </w:r>
      <w:r w:rsidR="003F5FA3">
        <w:rPr>
          <w:color w:val="000000" w:themeColor="text1"/>
        </w:rPr>
        <w:t>s</w:t>
      </w:r>
      <w:r w:rsidR="0033546C">
        <w:rPr>
          <w:color w:val="000000" w:themeColor="text1"/>
        </w:rPr>
        <w:t xml:space="preserve">; </w:t>
      </w:r>
      <w:r w:rsidR="0033546C" w:rsidRPr="1127D7C3">
        <w:rPr>
          <w:i/>
          <w:iCs/>
        </w:rPr>
        <w:t>n</w:t>
      </w:r>
      <w:r w:rsidR="0033546C">
        <w:t xml:space="preserve"> = </w:t>
      </w:r>
      <w:r w:rsidR="0033546C">
        <w:rPr>
          <w:color w:val="000000" w:themeColor="text1"/>
        </w:rPr>
        <w:t xml:space="preserve">10 in NS28, </w:t>
      </w:r>
      <w:r w:rsidR="0033546C" w:rsidRPr="1127D7C3">
        <w:rPr>
          <w:i/>
          <w:iCs/>
        </w:rPr>
        <w:t>n</w:t>
      </w:r>
      <w:r w:rsidR="0033546C">
        <w:t xml:space="preserve"> = 7 in S28) were not </w:t>
      </w:r>
      <w:r w:rsidR="005A7F68">
        <w:rPr>
          <w:color w:val="000000" w:themeColor="text1"/>
        </w:rPr>
        <w:t>distinguished from the pre-teens</w:t>
      </w:r>
      <w:r w:rsidR="0033546C">
        <w:rPr>
          <w:color w:val="000000" w:themeColor="text1"/>
        </w:rPr>
        <w:t xml:space="preserve"> (10-to 12-</w:t>
      </w:r>
      <w:r w:rsidR="003F5FA3">
        <w:rPr>
          <w:color w:val="000000" w:themeColor="text1"/>
        </w:rPr>
        <w:t>year</w:t>
      </w:r>
      <w:r w:rsidR="0033546C">
        <w:rPr>
          <w:color w:val="000000" w:themeColor="text1"/>
        </w:rPr>
        <w:t>-old</w:t>
      </w:r>
      <w:r w:rsidR="003F5FA3">
        <w:rPr>
          <w:color w:val="000000" w:themeColor="text1"/>
        </w:rPr>
        <w:t>s</w:t>
      </w:r>
      <w:r w:rsidR="0033546C">
        <w:rPr>
          <w:color w:val="000000" w:themeColor="text1"/>
        </w:rPr>
        <w:t xml:space="preserve">; </w:t>
      </w:r>
      <w:r w:rsidR="0033546C" w:rsidRPr="1127D7C3">
        <w:rPr>
          <w:i/>
          <w:iCs/>
        </w:rPr>
        <w:t>n</w:t>
      </w:r>
      <w:r w:rsidR="0033546C">
        <w:t xml:space="preserve"> = </w:t>
      </w:r>
      <w:r w:rsidR="0033546C">
        <w:rPr>
          <w:color w:val="000000" w:themeColor="text1"/>
        </w:rPr>
        <w:t xml:space="preserve">14 in NS28, </w:t>
      </w:r>
      <w:r w:rsidR="0033546C" w:rsidRPr="1127D7C3">
        <w:rPr>
          <w:i/>
          <w:iCs/>
        </w:rPr>
        <w:t>n</w:t>
      </w:r>
      <w:r w:rsidR="0033546C">
        <w:t xml:space="preserve"> = 15 in S28)</w:t>
      </w:r>
      <w:r w:rsidR="005A7F68">
        <w:rPr>
          <w:color w:val="000000" w:themeColor="text1"/>
        </w:rPr>
        <w:t xml:space="preserve">.  </w:t>
      </w:r>
      <w:r>
        <w:t>Children in the selected cases reported single (</w:t>
      </w:r>
      <w:r w:rsidRPr="1127D7C3">
        <w:rPr>
          <w:i/>
          <w:iCs/>
        </w:rPr>
        <w:t>n</w:t>
      </w:r>
      <w:r>
        <w:t xml:space="preserve"> = 36) or multiple (</w:t>
      </w:r>
      <w:r w:rsidRPr="1127D7C3">
        <w:rPr>
          <w:i/>
          <w:iCs/>
        </w:rPr>
        <w:t>n</w:t>
      </w:r>
      <w:r>
        <w:t xml:space="preserve"> = 44) incidents of abuse (in 7 cases, the number of alleged incidents was unclear). Intermediaries assisted a minority of children (</w:t>
      </w:r>
      <w:r w:rsidRPr="1127D7C3">
        <w:rPr>
          <w:i/>
          <w:iCs/>
        </w:rPr>
        <w:t>n</w:t>
      </w:r>
      <w:r>
        <w:t xml:space="preserve"> = 14) during trial. GRHs are permitted in all cases with vulnerable witnesses, in the NS28 condition, 6 cases involved GRHs. In the S28 sample, all 43 cases had GRHs (see Table 3). </w:t>
      </w:r>
    </w:p>
    <w:p w14:paraId="13D5FD6B" w14:textId="548E1039" w:rsidR="001761BB" w:rsidRPr="005D1F7B" w:rsidRDefault="1127D7C3" w:rsidP="001761BB">
      <w:pPr>
        <w:spacing w:line="480" w:lineRule="auto"/>
        <w:ind w:right="14" w:firstLine="720"/>
      </w:pPr>
      <w:r>
        <w:t xml:space="preserve">The alleged offenses were categorised based on the most severe offense as defined in the Crown Prosecution Services Sexual Offense Legislation documentation (Crown Prosecution Service, 2003). The sample included charges of rape (i.e., the intentional penetration of the child’s mouth, vagina, or anus with the penis), penetration (i.e., the intentional penetration of the vagina or anus with a part of the body or anything else), sexual assault (i.e., intentionally touching the child in a sexual way), sexual activity (i.e., intentionally causing the child to engage in sexual acts that may or may not involve the defendant; e.g., forcing the child to masturbate, forcing the child to engage in sexual activity with a third party), incitement to engage in sexual activity (i.e., encouraging the child to engage in a sexual act that did not take place), and grooming (i.e., communicating and arranging to meet with a child with the intention of committing a sexual offense against him or her) (see Table 3). </w:t>
      </w:r>
    </w:p>
    <w:p w14:paraId="1367A68C" w14:textId="69112DCD" w:rsidR="001761BB" w:rsidRPr="005D1F7B" w:rsidRDefault="1127D7C3" w:rsidP="001761BB">
      <w:pPr>
        <w:spacing w:line="480" w:lineRule="auto"/>
        <w:ind w:right="14" w:firstLine="720"/>
      </w:pPr>
      <w:r>
        <w:t>All defendants were male and were categorised as “father figures” (i.e., biological fathers, stepfathers, or mother’s boyfriends), “family members” (i.e., brothers, grandfathers, cousins, uncles, or more distant relatives), “friends/acquaintances,” or “strangers.” In five cases, the victim-defendant relationships could not be determined. At trial, over half (</w:t>
      </w:r>
      <w:r w:rsidRPr="1127D7C3">
        <w:rPr>
          <w:i/>
          <w:iCs/>
        </w:rPr>
        <w:t>n</w:t>
      </w:r>
      <w:r>
        <w:t xml:space="preserve"> = 49) of the defendants were found guilty while 38 were acquitted (see Table 3). </w:t>
      </w:r>
    </w:p>
    <w:p w14:paraId="0A6D16F0" w14:textId="2DD6125C" w:rsidR="001761BB" w:rsidRPr="005D1F7B" w:rsidRDefault="1127D7C3" w:rsidP="001761BB">
      <w:pPr>
        <w:spacing w:line="480" w:lineRule="auto"/>
        <w:ind w:right="14" w:firstLine="720"/>
        <w:jc w:val="both"/>
      </w:pPr>
      <w:r>
        <w:t xml:space="preserve">A binary logistic regression confirmed that the NS28 and S28 groups did not significantly differ with respect to key case facts, including the children’s ages, gender, </w:t>
      </w:r>
      <w:r>
        <w:lastRenderedPageBreak/>
        <w:t xml:space="preserve">frequency of alleged abuse, severity of alleged abuse, child-perpetrator relationship, verdict, and intermediary presence (see Table 3 for </w:t>
      </w:r>
      <w:r w:rsidRPr="1127D7C3">
        <w:rPr>
          <w:i/>
          <w:iCs/>
        </w:rPr>
        <w:t xml:space="preserve">p </w:t>
      </w:r>
      <w:r>
        <w:t xml:space="preserve">values). The groups significantly differed only with regard to whether a GRH took place (see Table 3), because GRHs were mandatory in the S28 cases. </w:t>
      </w:r>
    </w:p>
    <w:p w14:paraId="739F92E6" w14:textId="74A4D056" w:rsidR="001761BB" w:rsidRPr="006C4BE0" w:rsidRDefault="1127D7C3" w:rsidP="1127D7C3">
      <w:pPr>
        <w:spacing w:line="480" w:lineRule="auto"/>
        <w:outlineLvl w:val="0"/>
        <w:rPr>
          <w:b/>
          <w:bCs/>
        </w:rPr>
      </w:pPr>
      <w:r w:rsidRPr="1127D7C3">
        <w:rPr>
          <w:b/>
          <w:bCs/>
        </w:rPr>
        <w:t>Coding of Transcripts</w:t>
      </w:r>
    </w:p>
    <w:p w14:paraId="4BD38068" w14:textId="0B207017" w:rsidR="001761BB" w:rsidRDefault="1127D7C3" w:rsidP="001A2394">
      <w:pPr>
        <w:spacing w:line="480" w:lineRule="auto"/>
        <w:ind w:firstLine="720"/>
      </w:pPr>
      <w:r>
        <w:t xml:space="preserve">The transcripts could have included direct-examinations, cross-examinations, redirect-examinations, and </w:t>
      </w:r>
      <w:proofErr w:type="spellStart"/>
      <w:r>
        <w:t>recross</w:t>
      </w:r>
      <w:proofErr w:type="spellEnd"/>
      <w:r>
        <w:t xml:space="preserve">-examinations (see Table 2). The substantive and non-substantive utterances of prosecutors, defence lawyers, judges, and intermediaries were coded. Only “question-response pairs” were included in these analyses. </w:t>
      </w:r>
    </w:p>
    <w:p w14:paraId="767377A3" w14:textId="3137DB88" w:rsidR="001761BB" w:rsidRPr="006C4BE0" w:rsidRDefault="1127D7C3" w:rsidP="1127D7C3">
      <w:pPr>
        <w:spacing w:line="480" w:lineRule="auto"/>
        <w:ind w:firstLine="720"/>
        <w:outlineLvl w:val="0"/>
        <w:rPr>
          <w:b/>
          <w:bCs/>
        </w:rPr>
      </w:pPr>
      <w:r w:rsidRPr="1127D7C3">
        <w:rPr>
          <w:b/>
          <w:bCs/>
        </w:rPr>
        <w:t xml:space="preserve">Substantive prompts.  </w:t>
      </w:r>
    </w:p>
    <w:p w14:paraId="410129C7" w14:textId="7678D1C8" w:rsidR="008C1A3E" w:rsidRDefault="1127D7C3" w:rsidP="001761BB">
      <w:pPr>
        <w:spacing w:line="480" w:lineRule="auto"/>
        <w:ind w:firstLine="720"/>
      </w:pPr>
      <w:r>
        <w:t xml:space="preserve">Substantive prompts were defined as prompts that elicited details about events preceding, during, and after the alleged incident(s). Substantive questions were categorised as one of 4 types (i.e., invitations, directives, option-posing prompts, and suggestive prompts; see Table 1 for definitions and examples). </w:t>
      </w:r>
    </w:p>
    <w:p w14:paraId="4C316C8C" w14:textId="2600D6A6" w:rsidR="008C1A3E" w:rsidRPr="006C4BE0" w:rsidRDefault="1127D7C3" w:rsidP="1127D7C3">
      <w:pPr>
        <w:spacing w:line="480" w:lineRule="auto"/>
        <w:ind w:firstLine="720"/>
        <w:outlineLvl w:val="0"/>
        <w:rPr>
          <w:b/>
          <w:bCs/>
        </w:rPr>
      </w:pPr>
      <w:r w:rsidRPr="1127D7C3">
        <w:rPr>
          <w:b/>
          <w:bCs/>
        </w:rPr>
        <w:t xml:space="preserve">Non-substantive prompts.  </w:t>
      </w:r>
    </w:p>
    <w:p w14:paraId="46C1B0A9" w14:textId="5A79FC97" w:rsidR="001761BB" w:rsidRPr="005D1F7B" w:rsidRDefault="1127D7C3" w:rsidP="001761BB">
      <w:pPr>
        <w:spacing w:line="480" w:lineRule="auto"/>
        <w:ind w:firstLine="720"/>
      </w:pPr>
      <w:r>
        <w:t xml:space="preserve">Non-substantive prompts were defined as prompts that did not elicit details about the alleged incident(s), and were coded as procedural, facilitative, or inaudible. Non-substantive prompts were only included in the initial descriptive analyses.  </w:t>
      </w:r>
    </w:p>
    <w:p w14:paraId="0D94430D" w14:textId="77777777" w:rsidR="00182DC1" w:rsidRPr="006C4BE0" w:rsidRDefault="1127D7C3" w:rsidP="1127D7C3">
      <w:pPr>
        <w:pStyle w:val="paragraph"/>
        <w:spacing w:before="0" w:beforeAutospacing="0" w:after="0" w:afterAutospacing="0" w:line="480" w:lineRule="auto"/>
        <w:ind w:firstLine="720"/>
        <w:textAlignment w:val="baseline"/>
        <w:rPr>
          <w:rFonts w:ascii="Segoe UI" w:hAnsi="Segoe UI" w:cs="Segoe UI"/>
          <w:sz w:val="18"/>
          <w:szCs w:val="18"/>
        </w:rPr>
      </w:pPr>
      <w:r w:rsidRPr="1127D7C3">
        <w:rPr>
          <w:rStyle w:val="normaltextrun"/>
          <w:b/>
          <w:bCs/>
        </w:rPr>
        <w:t>Children’s responses.</w:t>
      </w:r>
      <w:r w:rsidRPr="1127D7C3">
        <w:rPr>
          <w:rStyle w:val="eop"/>
        </w:rPr>
        <w:t> </w:t>
      </w:r>
    </w:p>
    <w:p w14:paraId="0BDCFC27" w14:textId="77777777" w:rsidR="00182DC1" w:rsidRPr="006C4BE0" w:rsidRDefault="1127D7C3" w:rsidP="1127D7C3">
      <w:pPr>
        <w:pStyle w:val="paragraph"/>
        <w:spacing w:before="0" w:beforeAutospacing="0" w:after="0" w:afterAutospacing="0" w:line="480" w:lineRule="auto"/>
        <w:ind w:firstLine="720"/>
        <w:textAlignment w:val="baseline"/>
        <w:rPr>
          <w:rFonts w:ascii="Segoe UI" w:hAnsi="Segoe UI" w:cs="Segoe UI"/>
          <w:sz w:val="18"/>
          <w:szCs w:val="18"/>
        </w:rPr>
      </w:pPr>
      <w:r w:rsidRPr="1127D7C3">
        <w:rPr>
          <w:rStyle w:val="normaltextrun"/>
        </w:rPr>
        <w:t>Children’s responses were coded as either responsive or unresponsive. Children’s responses to suggestive prompts were further coded as compliant or resistant (adapted from Andrews &amp; Lamb, 2016) (see Table 1). Inaudible responses were excluded from analyses. </w:t>
      </w:r>
      <w:r w:rsidRPr="1127D7C3">
        <w:rPr>
          <w:rStyle w:val="eop"/>
        </w:rPr>
        <w:t> </w:t>
      </w:r>
    </w:p>
    <w:p w14:paraId="37C22103" w14:textId="00CC6D65" w:rsidR="00182DC1" w:rsidRPr="006C4BE0" w:rsidRDefault="1127D7C3" w:rsidP="1127D7C3">
      <w:pPr>
        <w:pStyle w:val="paragraph"/>
        <w:spacing w:before="0" w:beforeAutospacing="0" w:after="0" w:afterAutospacing="0" w:line="480" w:lineRule="auto"/>
        <w:ind w:firstLine="720"/>
        <w:textAlignment w:val="baseline"/>
        <w:rPr>
          <w:rFonts w:ascii="Segoe UI" w:hAnsi="Segoe UI" w:cs="Segoe UI"/>
          <w:sz w:val="18"/>
          <w:szCs w:val="18"/>
        </w:rPr>
      </w:pPr>
      <w:r w:rsidRPr="1127D7C3">
        <w:rPr>
          <w:rStyle w:val="normaltextrun"/>
        </w:rPr>
        <w:t>Only “question-response pairs” were coded. </w:t>
      </w:r>
      <w:r w:rsidRPr="1127D7C3">
        <w:rPr>
          <w:rStyle w:val="eop"/>
        </w:rPr>
        <w:t> </w:t>
      </w:r>
    </w:p>
    <w:p w14:paraId="2D793673" w14:textId="77777777" w:rsidR="00182DC1" w:rsidRPr="006C4BE0" w:rsidRDefault="1127D7C3" w:rsidP="1127D7C3">
      <w:pPr>
        <w:pStyle w:val="paragraph"/>
        <w:spacing w:before="0" w:beforeAutospacing="0" w:after="0" w:afterAutospacing="0" w:line="480" w:lineRule="auto"/>
        <w:textAlignment w:val="baseline"/>
        <w:rPr>
          <w:rFonts w:ascii="Segoe UI" w:hAnsi="Segoe UI" w:cs="Segoe UI"/>
          <w:sz w:val="18"/>
          <w:szCs w:val="18"/>
        </w:rPr>
      </w:pPr>
      <w:r w:rsidRPr="1127D7C3">
        <w:rPr>
          <w:rStyle w:val="normaltextrun"/>
          <w:b/>
          <w:bCs/>
        </w:rPr>
        <w:t>Inter-</w:t>
      </w:r>
      <w:proofErr w:type="spellStart"/>
      <w:r w:rsidRPr="1127D7C3">
        <w:rPr>
          <w:rStyle w:val="normaltextrun"/>
          <w:b/>
          <w:bCs/>
        </w:rPr>
        <w:t>rater</w:t>
      </w:r>
      <w:proofErr w:type="spellEnd"/>
      <w:r w:rsidRPr="1127D7C3">
        <w:rPr>
          <w:rStyle w:val="normaltextrun"/>
          <w:b/>
          <w:bCs/>
        </w:rPr>
        <w:t xml:space="preserve"> Reliability</w:t>
      </w:r>
      <w:r w:rsidRPr="1127D7C3">
        <w:rPr>
          <w:rStyle w:val="eop"/>
        </w:rPr>
        <w:t> </w:t>
      </w:r>
    </w:p>
    <w:p w14:paraId="1E2AA2C3" w14:textId="725B2088" w:rsidR="00182DC1" w:rsidRPr="006C4BE0" w:rsidRDefault="1127D7C3" w:rsidP="1127D7C3">
      <w:pPr>
        <w:pStyle w:val="paragraph"/>
        <w:spacing w:before="0" w:beforeAutospacing="0" w:after="0" w:afterAutospacing="0" w:line="480" w:lineRule="auto"/>
        <w:ind w:firstLine="720"/>
        <w:textAlignment w:val="baseline"/>
        <w:rPr>
          <w:rFonts w:ascii="Segoe UI" w:hAnsi="Segoe UI" w:cs="Segoe UI"/>
          <w:sz w:val="18"/>
          <w:szCs w:val="18"/>
        </w:rPr>
      </w:pPr>
      <w:r w:rsidRPr="1127D7C3">
        <w:rPr>
          <w:rStyle w:val="normaltextrun"/>
        </w:rPr>
        <w:lastRenderedPageBreak/>
        <w:t xml:space="preserve">A second </w:t>
      </w:r>
      <w:proofErr w:type="spellStart"/>
      <w:r w:rsidRPr="1127D7C3">
        <w:rPr>
          <w:rStyle w:val="normaltextrun"/>
        </w:rPr>
        <w:t>rater</w:t>
      </w:r>
      <w:proofErr w:type="spellEnd"/>
      <w:r w:rsidRPr="1127D7C3">
        <w:rPr>
          <w:rStyle w:val="normaltextrun"/>
        </w:rPr>
        <w:t xml:space="preserve"> independently </w:t>
      </w:r>
      <w:r w:rsidRPr="1127D7C3">
        <w:rPr>
          <w:rStyle w:val="spellingerror"/>
        </w:rPr>
        <w:t>recoded</w:t>
      </w:r>
      <w:r w:rsidRPr="1127D7C3">
        <w:rPr>
          <w:rStyle w:val="normaltextrun"/>
        </w:rPr>
        <w:t> a random selection of the transcripts (20%; </w:t>
      </w:r>
      <w:r w:rsidRPr="1127D7C3">
        <w:rPr>
          <w:rStyle w:val="normaltextrun"/>
          <w:i/>
          <w:iCs/>
        </w:rPr>
        <w:t>n =</w:t>
      </w:r>
      <w:r w:rsidRPr="1127D7C3">
        <w:rPr>
          <w:rStyle w:val="normaltextrun"/>
        </w:rPr>
        <w:t> 18), half in each trial condition. The inter-</w:t>
      </w:r>
      <w:proofErr w:type="spellStart"/>
      <w:r w:rsidRPr="1127D7C3">
        <w:rPr>
          <w:rStyle w:val="normaltextrun"/>
        </w:rPr>
        <w:t>rater</w:t>
      </w:r>
      <w:proofErr w:type="spellEnd"/>
      <w:r w:rsidRPr="1127D7C3">
        <w:rPr>
          <w:rStyle w:val="normaltextrun"/>
        </w:rPr>
        <w:t xml:space="preserve"> reliability coefficients for all variables were high, Kappa</w:t>
      </w:r>
      <w:r w:rsidRPr="1127D7C3">
        <w:rPr>
          <w:rStyle w:val="normaltextrun"/>
          <w:i/>
          <w:iCs/>
        </w:rPr>
        <w:t> (K) </w:t>
      </w:r>
      <w:r w:rsidRPr="1127D7C3">
        <w:rPr>
          <w:rStyle w:val="normaltextrun"/>
        </w:rPr>
        <w:t>&gt; .</w:t>
      </w:r>
      <w:r w:rsidR="008E06BB">
        <w:rPr>
          <w:rStyle w:val="normaltextrun"/>
        </w:rPr>
        <w:t>9</w:t>
      </w:r>
      <w:r w:rsidRPr="1127D7C3">
        <w:rPr>
          <w:rStyle w:val="normaltextrun"/>
        </w:rPr>
        <w:t>0, including agreement regarding the classification of substantive and non-substantive prompts, </w:t>
      </w:r>
      <w:r w:rsidRPr="1127D7C3">
        <w:rPr>
          <w:rStyle w:val="normaltextrun"/>
          <w:i/>
          <w:iCs/>
        </w:rPr>
        <w:t>K</w:t>
      </w:r>
      <w:r w:rsidRPr="1127D7C3">
        <w:rPr>
          <w:rStyle w:val="normaltextrun"/>
        </w:rPr>
        <w:t> = .97 (</w:t>
      </w:r>
      <w:r w:rsidRPr="1127D7C3">
        <w:rPr>
          <w:rStyle w:val="normaltextrun"/>
          <w:i/>
          <w:iCs/>
        </w:rPr>
        <w:t>SE</w:t>
      </w:r>
      <w:r w:rsidRPr="1127D7C3">
        <w:rPr>
          <w:rStyle w:val="normaltextrun"/>
        </w:rPr>
        <w:t> = .01), 95% CI [.95, .99]; of specific utterances, </w:t>
      </w:r>
      <w:r w:rsidRPr="1127D7C3">
        <w:rPr>
          <w:rStyle w:val="normaltextrun"/>
          <w:i/>
          <w:iCs/>
        </w:rPr>
        <w:t>K</w:t>
      </w:r>
      <w:r w:rsidRPr="1127D7C3">
        <w:rPr>
          <w:rStyle w:val="normaltextrun"/>
        </w:rPr>
        <w:t> = .95 (</w:t>
      </w:r>
      <w:r w:rsidRPr="1127D7C3">
        <w:rPr>
          <w:rStyle w:val="normaltextrun"/>
          <w:i/>
          <w:iCs/>
        </w:rPr>
        <w:t>SE</w:t>
      </w:r>
      <w:r w:rsidRPr="1127D7C3">
        <w:rPr>
          <w:rStyle w:val="normaltextrun"/>
        </w:rPr>
        <w:t> = .01), 95% CI [.93, .97]; of children’s responsiveness, </w:t>
      </w:r>
      <w:r w:rsidRPr="1127D7C3">
        <w:rPr>
          <w:rStyle w:val="normaltextrun"/>
          <w:i/>
          <w:iCs/>
        </w:rPr>
        <w:t>K</w:t>
      </w:r>
      <w:r w:rsidRPr="1127D7C3">
        <w:rPr>
          <w:rStyle w:val="normaltextrun"/>
        </w:rPr>
        <w:t> = .93 (</w:t>
      </w:r>
      <w:r w:rsidRPr="1127D7C3">
        <w:rPr>
          <w:rStyle w:val="normaltextrun"/>
          <w:i/>
          <w:iCs/>
        </w:rPr>
        <w:t>SE</w:t>
      </w:r>
      <w:r w:rsidRPr="1127D7C3">
        <w:rPr>
          <w:rStyle w:val="normaltextrun"/>
        </w:rPr>
        <w:t> = .02), 95% CI [.89, .97]; and of compliant and resistant responses to suggestive utterances, </w:t>
      </w:r>
      <w:r w:rsidRPr="1127D7C3">
        <w:rPr>
          <w:rStyle w:val="normaltextrun"/>
          <w:i/>
          <w:iCs/>
        </w:rPr>
        <w:t>K</w:t>
      </w:r>
      <w:r w:rsidRPr="1127D7C3">
        <w:rPr>
          <w:rStyle w:val="normaltextrun"/>
        </w:rPr>
        <w:t> = .92 (</w:t>
      </w:r>
      <w:r w:rsidRPr="1127D7C3">
        <w:rPr>
          <w:rStyle w:val="normaltextrun"/>
          <w:i/>
          <w:iCs/>
        </w:rPr>
        <w:t>SE</w:t>
      </w:r>
      <w:r w:rsidRPr="1127D7C3">
        <w:rPr>
          <w:rStyle w:val="normaltextrun"/>
        </w:rPr>
        <w:t xml:space="preserve"> = .01), 95% CI [.90, .94]. The second </w:t>
      </w:r>
      <w:proofErr w:type="spellStart"/>
      <w:r w:rsidRPr="1127D7C3">
        <w:rPr>
          <w:rStyle w:val="normaltextrun"/>
        </w:rPr>
        <w:t>rater</w:t>
      </w:r>
      <w:proofErr w:type="spellEnd"/>
      <w:r w:rsidRPr="1127D7C3">
        <w:rPr>
          <w:rStyle w:val="normaltextrun"/>
        </w:rPr>
        <w:t> coded </w:t>
      </w:r>
      <w:r w:rsidR="004A1670">
        <w:rPr>
          <w:rStyle w:val="normaltextrun"/>
        </w:rPr>
        <w:t>at the same time as the</w:t>
      </w:r>
      <w:r w:rsidR="001F51E3">
        <w:rPr>
          <w:rStyle w:val="normaltextrun"/>
        </w:rPr>
        <w:t xml:space="preserve"> principal researcher’s coding,</w:t>
      </w:r>
      <w:r w:rsidRPr="1127D7C3">
        <w:rPr>
          <w:rStyle w:val="contextualspellingandgrammarerror"/>
        </w:rPr>
        <w:t xml:space="preserve"> and</w:t>
      </w:r>
      <w:r w:rsidRPr="1127D7C3">
        <w:rPr>
          <w:rStyle w:val="normaltextrun"/>
        </w:rPr>
        <w:t xml:space="preserve"> the two </w:t>
      </w:r>
      <w:proofErr w:type="spellStart"/>
      <w:r w:rsidRPr="1127D7C3">
        <w:rPr>
          <w:rStyle w:val="normaltextrun"/>
        </w:rPr>
        <w:t>raters</w:t>
      </w:r>
      <w:proofErr w:type="spellEnd"/>
      <w:r w:rsidRPr="1127D7C3">
        <w:rPr>
          <w:rStyle w:val="normaltextrun"/>
        </w:rPr>
        <w:t xml:space="preserve"> resolved any disagreements through discussion. </w:t>
      </w:r>
    </w:p>
    <w:p w14:paraId="58579FD8" w14:textId="77777777" w:rsidR="00947C65" w:rsidRPr="006C4BE0" w:rsidRDefault="1127D7C3" w:rsidP="1127D7C3">
      <w:pPr>
        <w:spacing w:line="480" w:lineRule="auto"/>
        <w:rPr>
          <w:b/>
          <w:bCs/>
        </w:rPr>
      </w:pPr>
      <w:r w:rsidRPr="1127D7C3">
        <w:rPr>
          <w:b/>
          <w:bCs/>
        </w:rPr>
        <w:t>Analytical Plan</w:t>
      </w:r>
    </w:p>
    <w:p w14:paraId="349C0B7E" w14:textId="0E47FB76" w:rsidR="00947C65" w:rsidRDefault="1127D7C3" w:rsidP="00B83E79">
      <w:pPr>
        <w:spacing w:line="480" w:lineRule="auto"/>
        <w:ind w:firstLine="720"/>
      </w:pPr>
      <w:r>
        <w:t xml:space="preserve">Descriptive results are first provided for prosecutors’, defence lawyers’, judges’, and intermediaries’ substantive and non-substantive utterances. This was followed by preliminary analyses to </w:t>
      </w:r>
      <w:r w:rsidR="00624D36">
        <w:t xml:space="preserve">determine whether </w:t>
      </w:r>
      <w:r>
        <w:t xml:space="preserve">any case facts were significantly associated with </w:t>
      </w:r>
      <w:r w:rsidR="00624D36">
        <w:t xml:space="preserve">variations in the </w:t>
      </w:r>
      <w:r>
        <w:t xml:space="preserve">lawyers’ questioning strategies. Afterwards, </w:t>
      </w:r>
      <w:r w:rsidR="00624D36">
        <w:t xml:space="preserve">parametric analyses </w:t>
      </w:r>
      <w:r w:rsidR="00163EF1">
        <w:t xml:space="preserve">were used to compare the questioning strategies adopted by </w:t>
      </w:r>
      <w:r>
        <w:t>prosecutors’ and defence lawyers’</w:t>
      </w:r>
      <w:r w:rsidR="00624D36">
        <w:t xml:space="preserve"> and</w:t>
      </w:r>
      <w:r w:rsidR="00624D36" w:rsidRPr="00624D36">
        <w:t xml:space="preserve"> </w:t>
      </w:r>
      <w:r w:rsidR="00624D36">
        <w:t>measures of the children’s responses (i.e., responsiveness and compliance)</w:t>
      </w:r>
      <w:r>
        <w:t xml:space="preserve"> </w:t>
      </w:r>
      <w:r w:rsidR="00163EF1">
        <w:t>in the two types of</w:t>
      </w:r>
      <w:r>
        <w:t xml:space="preserve"> trial</w:t>
      </w:r>
      <w:r w:rsidR="00163EF1">
        <w:t>s</w:t>
      </w:r>
      <w:r>
        <w:t xml:space="preserve"> (NS28, S28) </w:t>
      </w:r>
      <w:r w:rsidR="00624D36">
        <w:t>in relation to</w:t>
      </w:r>
      <w:r w:rsidR="00163EF1">
        <w:t xml:space="preserve"> children of different ages </w:t>
      </w:r>
      <w:r>
        <w:t xml:space="preserve">(6-12 years old, 13-15 years old).  </w:t>
      </w:r>
    </w:p>
    <w:p w14:paraId="6171BB6F" w14:textId="66E7294A" w:rsidR="00947C65" w:rsidRPr="005D1F7B" w:rsidRDefault="1127D7C3" w:rsidP="00947C65">
      <w:pPr>
        <w:spacing w:line="480" w:lineRule="auto"/>
        <w:ind w:firstLine="720"/>
      </w:pPr>
      <w:r>
        <w:t xml:space="preserve">All within-group variables were converted into proportional scores by dividing the cell count of interest (e.g., number of defence lawyer’s suggestive prompts) by the appropriate grouping total (e.g., total number of defence lawyers’ substantive prompts) to control for the number of questions asked by each lawyer. In analyses where </w:t>
      </w:r>
      <w:proofErr w:type="spellStart"/>
      <w:r>
        <w:t>Mauchly’s</w:t>
      </w:r>
      <w:proofErr w:type="spellEnd"/>
      <w:r>
        <w:t xml:space="preserve"> test of </w:t>
      </w:r>
      <w:proofErr w:type="spellStart"/>
      <w:r>
        <w:t>sphericity</w:t>
      </w:r>
      <w:proofErr w:type="spellEnd"/>
      <w:r>
        <w:t xml:space="preserve"> was violated, Greenhouse-</w:t>
      </w:r>
      <w:proofErr w:type="spellStart"/>
      <w:r>
        <w:t>Geisser</w:t>
      </w:r>
      <w:proofErr w:type="spellEnd"/>
      <w:r>
        <w:t xml:space="preserve"> estimates were used to correct results. Power analyses confirmed that all inferential tests had enough power (set at 0.8) to detect small to medium effect sizes. </w:t>
      </w:r>
    </w:p>
    <w:p w14:paraId="63308948" w14:textId="77777777" w:rsidR="00947C65" w:rsidRPr="006C4BE0" w:rsidRDefault="1127D7C3" w:rsidP="1127D7C3">
      <w:pPr>
        <w:spacing w:line="480" w:lineRule="auto"/>
        <w:jc w:val="center"/>
        <w:outlineLvl w:val="0"/>
        <w:rPr>
          <w:b/>
          <w:bCs/>
        </w:rPr>
      </w:pPr>
      <w:r w:rsidRPr="1127D7C3">
        <w:rPr>
          <w:b/>
          <w:bCs/>
        </w:rPr>
        <w:t>Results</w:t>
      </w:r>
    </w:p>
    <w:p w14:paraId="580F87F1" w14:textId="154C2AFA" w:rsidR="00947C65" w:rsidRPr="006C4BE0" w:rsidRDefault="1127D7C3" w:rsidP="1127D7C3">
      <w:pPr>
        <w:spacing w:line="480" w:lineRule="auto"/>
        <w:outlineLvl w:val="0"/>
        <w:rPr>
          <w:b/>
          <w:bCs/>
        </w:rPr>
      </w:pPr>
      <w:r w:rsidRPr="1127D7C3">
        <w:rPr>
          <w:b/>
          <w:bCs/>
        </w:rPr>
        <w:t>Descriptive Information</w:t>
      </w:r>
    </w:p>
    <w:p w14:paraId="3354A306" w14:textId="21BCF8B0" w:rsidR="009D75F4" w:rsidRDefault="1127D7C3" w:rsidP="009D75F4">
      <w:pPr>
        <w:spacing w:line="480" w:lineRule="auto"/>
        <w:ind w:firstLine="720"/>
      </w:pPr>
      <w:r>
        <w:lastRenderedPageBreak/>
        <w:t xml:space="preserve">Table 4 describes the average, maximum, and minimum numbers of substantive and non-substantive utterances asked by prosecutors, defence lawyers, judges, and intermediaries in both trial conditions. Non-substantive utterances asked by prosecutors and defence lawyers, and all utterances asked by judges and intermediaries were excluded from all analyses reported below. </w:t>
      </w:r>
      <w:r w:rsidR="00846B30">
        <w:t>I</w:t>
      </w:r>
      <w:r>
        <w:t>nvitations were so seldom used</w:t>
      </w:r>
      <w:r w:rsidR="00846B30">
        <w:t xml:space="preserve"> so</w:t>
      </w:r>
      <w:r>
        <w:t xml:space="preserve"> they were also excluded from question type analyses. Table 5 reports the average proportions of directive, option-posing, and suggestive utterance types used by prosecutors and defence lawyers in each trial condition for both age categories. </w:t>
      </w:r>
    </w:p>
    <w:p w14:paraId="70CDF773" w14:textId="6F4F93C7" w:rsidR="009D75F4" w:rsidRPr="006C4BE0" w:rsidRDefault="1127D7C3" w:rsidP="1127D7C3">
      <w:pPr>
        <w:spacing w:line="480" w:lineRule="auto"/>
        <w:outlineLvl w:val="0"/>
        <w:rPr>
          <w:b/>
          <w:bCs/>
        </w:rPr>
      </w:pPr>
      <w:r w:rsidRPr="1127D7C3">
        <w:rPr>
          <w:b/>
          <w:bCs/>
        </w:rPr>
        <w:t>Preliminary Analyses</w:t>
      </w:r>
    </w:p>
    <w:p w14:paraId="1FD323D7" w14:textId="699D3334" w:rsidR="00E9032D" w:rsidRDefault="1127D7C3" w:rsidP="006C4BE0">
      <w:pPr>
        <w:spacing w:line="480" w:lineRule="auto"/>
        <w:ind w:firstLine="720"/>
      </w:pPr>
      <w:r>
        <w:t xml:space="preserve">Multiple regression analyses were </w:t>
      </w:r>
      <w:r w:rsidR="00624D36">
        <w:t xml:space="preserve">computed </w:t>
      </w:r>
      <w:r>
        <w:t xml:space="preserve">to determine whether the proportion of directive, option-posing, and suggestive prompts asked by either </w:t>
      </w:r>
      <w:r w:rsidR="00624D36">
        <w:t xml:space="preserve">type of </w:t>
      </w:r>
      <w:r>
        <w:t>lawyer were significantly associated with any case characteristics (i.e., severity and frequency of abuse, relationship to offender, verdict, intermediary presence, GRH occurrence). The results indicated that the occurrence of a GRH</w:t>
      </w:r>
      <w:r w:rsidR="00846B30">
        <w:t xml:space="preserve"> was</w:t>
      </w:r>
      <w:r>
        <w:t xml:space="preserve"> significantly </w:t>
      </w:r>
      <w:r w:rsidR="00846B30">
        <w:t xml:space="preserve">associated with </w:t>
      </w:r>
      <w:r>
        <w:t xml:space="preserve">the proportion of defence lawyers’ option-posing prompts, </w:t>
      </w:r>
      <w:proofErr w:type="gramStart"/>
      <w:r w:rsidRPr="1127D7C3">
        <w:rPr>
          <w:i/>
          <w:iCs/>
        </w:rPr>
        <w:t>F</w:t>
      </w:r>
      <w:r>
        <w:t>(</w:t>
      </w:r>
      <w:proofErr w:type="gramEnd"/>
      <w:r>
        <w:t xml:space="preserve">7,72) = 2.44, β = .39, </w:t>
      </w:r>
      <w:r w:rsidRPr="1127D7C3">
        <w:rPr>
          <w:i/>
          <w:iCs/>
        </w:rPr>
        <w:t>p</w:t>
      </w:r>
      <w:r>
        <w:t xml:space="preserve"> = .001) and suggestive prompts, </w:t>
      </w:r>
      <w:r w:rsidRPr="1127D7C3">
        <w:rPr>
          <w:i/>
          <w:iCs/>
        </w:rPr>
        <w:t>F</w:t>
      </w:r>
      <w:r>
        <w:t xml:space="preserve">(7,72) = 3.56, β = -.46, </w:t>
      </w:r>
      <w:r w:rsidRPr="1127D7C3">
        <w:rPr>
          <w:i/>
          <w:iCs/>
        </w:rPr>
        <w:t>p</w:t>
      </w:r>
      <w:r>
        <w:t xml:space="preserve"> &lt; .001). No other case facts were significantly associated with the dependent variables and so they were not considered in subsequent analyses.  </w:t>
      </w:r>
    </w:p>
    <w:p w14:paraId="1FA3836D" w14:textId="0E6AA4F3" w:rsidR="00E9032D" w:rsidRPr="006C4BE0" w:rsidRDefault="1127D7C3" w:rsidP="1127D7C3">
      <w:pPr>
        <w:spacing w:line="480" w:lineRule="auto"/>
        <w:outlineLvl w:val="0"/>
        <w:rPr>
          <w:b/>
          <w:bCs/>
        </w:rPr>
      </w:pPr>
      <w:r w:rsidRPr="1127D7C3">
        <w:rPr>
          <w:b/>
          <w:bCs/>
        </w:rPr>
        <w:t>How Did Trial Condition Affect Lawyers’ Questioning Strategies?</w:t>
      </w:r>
    </w:p>
    <w:p w14:paraId="71AE9158" w14:textId="0DF9E9BC" w:rsidR="006E07C5" w:rsidRDefault="1127D7C3" w:rsidP="08D4D6A2">
      <w:pPr>
        <w:spacing w:line="480" w:lineRule="auto"/>
        <w:ind w:firstLine="720"/>
        <w:outlineLvl w:val="0"/>
      </w:pPr>
      <w:r>
        <w:t xml:space="preserve">Prosecutors asked substantive prompts in 45 cases, while defence lawyers asked substantive prompts in all 87 cases. </w:t>
      </w:r>
      <w:r w:rsidR="006C6AFA">
        <w:t>P</w:t>
      </w:r>
      <w:r>
        <w:t>rosecutors asked few, if any, questions in the majority of cases</w:t>
      </w:r>
      <w:r w:rsidR="007A6F44">
        <w:t xml:space="preserve"> </w:t>
      </w:r>
      <w:r w:rsidR="00624D36">
        <w:t>because</w:t>
      </w:r>
      <w:r w:rsidR="00226700">
        <w:t xml:space="preserve"> the ABE interview</w:t>
      </w:r>
      <w:r w:rsidR="00624D36">
        <w:t>s were used</w:t>
      </w:r>
      <w:r w:rsidR="007A6F44">
        <w:t xml:space="preserve"> as the evidence-in-chief</w:t>
      </w:r>
      <w:r>
        <w:t xml:space="preserve"> (see Table 4), </w:t>
      </w:r>
      <w:r w:rsidR="006C6AFA">
        <w:t xml:space="preserve">so </w:t>
      </w:r>
      <w:r>
        <w:t xml:space="preserve">it was not possible to treat lawyer role as an independent variable in statistical analyses. Instead, the characteristics of prosecutors’ and defence lawyers’ questions were examined separately. </w:t>
      </w:r>
    </w:p>
    <w:p w14:paraId="2A57D1B5" w14:textId="566B1F46" w:rsidR="00ED7A33" w:rsidRDefault="1127D7C3" w:rsidP="08D4D6A2">
      <w:pPr>
        <w:spacing w:line="480" w:lineRule="auto"/>
        <w:ind w:firstLine="720"/>
        <w:outlineLvl w:val="0"/>
      </w:pPr>
      <w:r>
        <w:lastRenderedPageBreak/>
        <w:t xml:space="preserve">To begin, paired sample t-tests (with </w:t>
      </w:r>
      <w:proofErr w:type="spellStart"/>
      <w:r>
        <w:t>Bonferroni</w:t>
      </w:r>
      <w:proofErr w:type="spellEnd"/>
      <w:r>
        <w:t xml:space="preserve"> corrections, </w:t>
      </w:r>
      <w:r w:rsidRPr="1127D7C3">
        <w:rPr>
          <w:i/>
          <w:iCs/>
        </w:rPr>
        <w:t>p</w:t>
      </w:r>
      <w:r>
        <w:t xml:space="preserve"> = .016) were conducted in cases in which prosecutors asked substantive prompts (</w:t>
      </w:r>
      <w:r w:rsidRPr="1127D7C3">
        <w:rPr>
          <w:i/>
          <w:iCs/>
        </w:rPr>
        <w:t>n</w:t>
      </w:r>
      <w:r>
        <w:t xml:space="preserve"> = 45) to compare the proportions of questions asked by prosecutors and defence lawyers that were directive, option-posing, and suggestive prompts. Results indicated that defence lawyers used </w:t>
      </w:r>
      <w:r w:rsidR="00687E99">
        <w:t xml:space="preserve">proportionally </w:t>
      </w:r>
      <w:r>
        <w:t xml:space="preserve">fewer directive, </w:t>
      </w:r>
      <w:proofErr w:type="gramStart"/>
      <w:r w:rsidRPr="1127D7C3">
        <w:rPr>
          <w:i/>
          <w:iCs/>
        </w:rPr>
        <w:t>t</w:t>
      </w:r>
      <w:r>
        <w:t>(</w:t>
      </w:r>
      <w:proofErr w:type="gramEnd"/>
      <w:r>
        <w:t xml:space="preserve">44) = 2.66, </w:t>
      </w:r>
      <w:r w:rsidRPr="1127D7C3">
        <w:rPr>
          <w:i/>
          <w:iCs/>
        </w:rPr>
        <w:t>p</w:t>
      </w:r>
      <w:r>
        <w:t xml:space="preserve"> = .011</w:t>
      </w:r>
      <w:r w:rsidR="005A7F68">
        <w:t>,</w:t>
      </w:r>
      <w:r>
        <w:t xml:space="preserve"> and option-posing, </w:t>
      </w:r>
      <w:r w:rsidRPr="1127D7C3">
        <w:rPr>
          <w:i/>
          <w:iCs/>
        </w:rPr>
        <w:t>t</w:t>
      </w:r>
      <w:r>
        <w:t xml:space="preserve">(44) = 2.64, </w:t>
      </w:r>
      <w:r w:rsidRPr="1127D7C3">
        <w:rPr>
          <w:i/>
          <w:iCs/>
        </w:rPr>
        <w:t>p</w:t>
      </w:r>
      <w:r>
        <w:t xml:space="preserve"> = .011, prompts as well as more suggestive prompts, </w:t>
      </w:r>
      <w:r w:rsidRPr="1127D7C3">
        <w:rPr>
          <w:i/>
          <w:iCs/>
        </w:rPr>
        <w:t>t</w:t>
      </w:r>
      <w:r>
        <w:t xml:space="preserve">(44) = -6.71, </w:t>
      </w:r>
      <w:r w:rsidRPr="1127D7C3">
        <w:rPr>
          <w:i/>
          <w:iCs/>
        </w:rPr>
        <w:t>p</w:t>
      </w:r>
      <w:r>
        <w:t xml:space="preserve"> &lt; .001, than prosecutors. </w:t>
      </w:r>
    </w:p>
    <w:p w14:paraId="22B3F2EB" w14:textId="0D4B4CB0" w:rsidR="00485863" w:rsidRPr="006C4BE0" w:rsidRDefault="1127D7C3" w:rsidP="1127D7C3">
      <w:pPr>
        <w:spacing w:line="480" w:lineRule="auto"/>
        <w:ind w:firstLine="720"/>
        <w:outlineLvl w:val="0"/>
        <w:rPr>
          <w:b/>
          <w:bCs/>
        </w:rPr>
      </w:pPr>
      <w:r w:rsidRPr="1127D7C3">
        <w:rPr>
          <w:b/>
          <w:bCs/>
        </w:rPr>
        <w:t>Prosecutors’ question</w:t>
      </w:r>
      <w:r w:rsidR="00624D36">
        <w:rPr>
          <w:b/>
          <w:bCs/>
        </w:rPr>
        <w:t>s</w:t>
      </w:r>
      <w:r w:rsidRPr="1127D7C3">
        <w:rPr>
          <w:b/>
          <w:bCs/>
        </w:rPr>
        <w:t xml:space="preserve">. </w:t>
      </w:r>
    </w:p>
    <w:p w14:paraId="6C7AE2B5" w14:textId="478879C2" w:rsidR="00485863" w:rsidRDefault="00485863" w:rsidP="003D46A9">
      <w:pPr>
        <w:spacing w:line="480" w:lineRule="auto"/>
        <w:ind w:firstLine="720"/>
        <w:outlineLvl w:val="0"/>
      </w:pPr>
      <w:r w:rsidRPr="005D1F7B">
        <w:t>A</w:t>
      </w:r>
      <w:r w:rsidR="0069689C" w:rsidRPr="71492419">
        <w:t xml:space="preserve"> </w:t>
      </w:r>
      <w:r w:rsidR="00C25C7F">
        <w:t xml:space="preserve">Repeated-Measures </w:t>
      </w:r>
      <w:r w:rsidR="00624D36">
        <w:t xml:space="preserve">analysis </w:t>
      </w:r>
      <w:r w:rsidR="00C25C7F">
        <w:t>(</w:t>
      </w:r>
      <w:r w:rsidRPr="005D1F7B">
        <w:t>RM</w:t>
      </w:r>
      <w:r w:rsidR="00F21E5E" w:rsidRPr="71492419">
        <w:t>-</w:t>
      </w:r>
      <w:r w:rsidRPr="005D1F7B">
        <w:t>ANOVA</w:t>
      </w:r>
      <w:r w:rsidR="00F21E5E" w:rsidRPr="71492419">
        <w:t>)</w:t>
      </w:r>
      <w:r w:rsidRPr="71492419">
        <w:t xml:space="preserve"> </w:t>
      </w:r>
      <w:r w:rsidR="002831D6">
        <w:t xml:space="preserve">conducted to </w:t>
      </w:r>
      <w:r w:rsidR="004C7042">
        <w:t>compare</w:t>
      </w:r>
      <w:r w:rsidR="004C7042" w:rsidRPr="71492419">
        <w:t xml:space="preserve"> </w:t>
      </w:r>
      <w:r w:rsidR="002831D6" w:rsidRPr="00D16FD6">
        <w:t xml:space="preserve">the </w:t>
      </w:r>
      <w:r w:rsidR="00031CDA">
        <w:t>types of</w:t>
      </w:r>
      <w:r w:rsidR="002831D6" w:rsidRPr="00D16FD6">
        <w:t xml:space="preserve"> </w:t>
      </w:r>
      <w:r w:rsidR="00477A28">
        <w:t>question</w:t>
      </w:r>
      <w:r w:rsidR="00031CDA">
        <w:t>s</w:t>
      </w:r>
      <w:r w:rsidR="00477A28">
        <w:t xml:space="preserve"> </w:t>
      </w:r>
      <w:r w:rsidR="003948A0">
        <w:t xml:space="preserve">asked </w:t>
      </w:r>
      <w:r w:rsidR="004C7042">
        <w:t xml:space="preserve">by prosecutors </w:t>
      </w:r>
      <w:r w:rsidR="002831D6">
        <w:t xml:space="preserve">revealed </w:t>
      </w:r>
      <w:r w:rsidRPr="1127D7C3">
        <w:rPr>
          <w:rFonts w:cstheme="minorBidi"/>
        </w:rPr>
        <w:t xml:space="preserve">a </w:t>
      </w:r>
      <w:r w:rsidR="00704E7A" w:rsidRPr="1127D7C3">
        <w:rPr>
          <w:rFonts w:cstheme="minorBidi"/>
        </w:rPr>
        <w:t xml:space="preserve">main </w:t>
      </w:r>
      <w:r w:rsidRPr="1127D7C3">
        <w:rPr>
          <w:rFonts w:cstheme="minorBidi"/>
        </w:rPr>
        <w:t>effect</w:t>
      </w:r>
      <w:r w:rsidR="00624D36">
        <w:rPr>
          <w:rFonts w:cstheme="minorBidi"/>
        </w:rPr>
        <w:t xml:space="preserve"> for question type</w:t>
      </w:r>
      <w:r w:rsidRPr="71492419">
        <w:t xml:space="preserve">, </w:t>
      </w:r>
      <w:proofErr w:type="gramStart"/>
      <w:r w:rsidRPr="1127D7C3">
        <w:rPr>
          <w:i/>
          <w:iCs/>
        </w:rPr>
        <w:t>F</w:t>
      </w:r>
      <w:r>
        <w:t>(</w:t>
      </w:r>
      <w:proofErr w:type="gramEnd"/>
      <w:r>
        <w:t>1.</w:t>
      </w:r>
      <w:r w:rsidR="001770AF">
        <w:t>04</w:t>
      </w:r>
      <w:r w:rsidRPr="71492419">
        <w:t xml:space="preserve">, </w:t>
      </w:r>
      <w:r w:rsidR="00314BCF">
        <w:t>45.68</w:t>
      </w:r>
      <w:r w:rsidRPr="005D1F7B">
        <w:t xml:space="preserve">) = </w:t>
      </w:r>
      <w:r w:rsidR="00314BCF">
        <w:t>150.93</w:t>
      </w:r>
      <w:r w:rsidRPr="71492419">
        <w:t xml:space="preserve">, </w:t>
      </w:r>
      <w:r w:rsidRPr="1127D7C3">
        <w:rPr>
          <w:i/>
          <w:iCs/>
        </w:rPr>
        <w:t>p</w:t>
      </w:r>
      <w:r w:rsidRPr="005D1F7B">
        <w:t xml:space="preserve"> &lt; .001, </w:t>
      </w:r>
      <w:r w:rsidRPr="1127D7C3">
        <w:rPr>
          <w:i/>
          <w:iCs/>
          <w:color w:val="222222"/>
          <w:shd w:val="clear" w:color="auto" w:fill="FFFFFF"/>
        </w:rPr>
        <w:t>η</w:t>
      </w:r>
      <w:r w:rsidRPr="1127D7C3">
        <w:rPr>
          <w:i/>
          <w:iCs/>
          <w:color w:val="222222"/>
          <w:shd w:val="clear" w:color="auto" w:fill="FFFFFF"/>
          <w:vertAlign w:val="subscript"/>
        </w:rPr>
        <w:t>p</w:t>
      </w:r>
      <w:r w:rsidRPr="1127D7C3">
        <w:rPr>
          <w:i/>
          <w:iCs/>
          <w:color w:val="222222"/>
          <w:shd w:val="clear" w:color="auto" w:fill="FFFFFF"/>
          <w:vertAlign w:val="superscript"/>
        </w:rPr>
        <w:t>2</w:t>
      </w:r>
      <w:r w:rsidR="003F2EB6" w:rsidRPr="71492419">
        <w:t xml:space="preserve"> </w:t>
      </w:r>
      <w:r w:rsidR="00314BCF">
        <w:t>= .77</w:t>
      </w:r>
      <w:r w:rsidR="00704E7A" w:rsidRPr="71492419">
        <w:t xml:space="preserve"> </w:t>
      </w:r>
      <w:r w:rsidR="00031CDA">
        <w:t>P</w:t>
      </w:r>
      <w:r w:rsidR="00314BCF">
        <w:t xml:space="preserve">rosecutors </w:t>
      </w:r>
      <w:r w:rsidR="00031CDA">
        <w:t>asked</w:t>
      </w:r>
      <w:r w:rsidR="00314BCF">
        <w:t xml:space="preserve"> </w:t>
      </w:r>
      <w:r w:rsidR="00031CDA">
        <w:t xml:space="preserve">proportionally </w:t>
      </w:r>
      <w:r w:rsidR="001770AF">
        <w:t xml:space="preserve">more </w:t>
      </w:r>
      <w:r w:rsidRPr="005D1F7B">
        <w:t>option-posing</w:t>
      </w:r>
      <w:r w:rsidR="00704E7A">
        <w:t xml:space="preserve"> questions </w:t>
      </w:r>
      <w:r w:rsidR="004C7042" w:rsidRPr="71492419">
        <w:t>(</w:t>
      </w:r>
      <w:r w:rsidR="004C7042" w:rsidRPr="1127D7C3">
        <w:rPr>
          <w:i/>
          <w:iCs/>
        </w:rPr>
        <w:t xml:space="preserve">M </w:t>
      </w:r>
      <w:r w:rsidR="004C7042">
        <w:t>=</w:t>
      </w:r>
      <w:r w:rsidR="004E499B" w:rsidRPr="71492419">
        <w:t xml:space="preserve"> </w:t>
      </w:r>
      <w:r w:rsidR="004C7042">
        <w:t>.73</w:t>
      </w:r>
      <w:r w:rsidR="004C7042" w:rsidRPr="71492419">
        <w:t xml:space="preserve">, </w:t>
      </w:r>
      <w:r w:rsidR="004C7042" w:rsidRPr="1127D7C3">
        <w:rPr>
          <w:i/>
          <w:iCs/>
        </w:rPr>
        <w:t xml:space="preserve">SD = </w:t>
      </w:r>
      <w:r w:rsidR="004C7042" w:rsidRPr="006C4BE0">
        <w:t>.20)</w:t>
      </w:r>
      <w:r w:rsidR="004C7042" w:rsidRPr="1127D7C3">
        <w:rPr>
          <w:i/>
          <w:iCs/>
        </w:rPr>
        <w:t xml:space="preserve"> </w:t>
      </w:r>
      <w:r w:rsidR="00314BCF">
        <w:t xml:space="preserve">than </w:t>
      </w:r>
      <w:r w:rsidR="001770AF" w:rsidRPr="005D1F7B">
        <w:t>directive</w:t>
      </w:r>
      <w:r w:rsidR="00CA0A84" w:rsidRPr="71492419">
        <w:t xml:space="preserve"> (</w:t>
      </w:r>
      <w:r w:rsidR="004C7042" w:rsidRPr="1127D7C3">
        <w:rPr>
          <w:i/>
          <w:iCs/>
        </w:rPr>
        <w:t xml:space="preserve">M </w:t>
      </w:r>
      <w:r w:rsidR="004C7042">
        <w:t>=</w:t>
      </w:r>
      <w:r w:rsidR="004E499B" w:rsidRPr="71492419">
        <w:t xml:space="preserve"> </w:t>
      </w:r>
      <w:r w:rsidR="004C7042" w:rsidRPr="71492419">
        <w:t>.</w:t>
      </w:r>
      <w:r w:rsidR="004C7042">
        <w:t>26,</w:t>
      </w:r>
      <w:r w:rsidR="004C7042" w:rsidRPr="71492419">
        <w:t xml:space="preserve"> </w:t>
      </w:r>
      <w:r w:rsidR="004C7042" w:rsidRPr="1127D7C3">
        <w:rPr>
          <w:i/>
          <w:iCs/>
        </w:rPr>
        <w:t xml:space="preserve">SD </w:t>
      </w:r>
      <w:r w:rsidR="004C7042" w:rsidRPr="006C4BE0">
        <w:t>= .19</w:t>
      </w:r>
      <w:r w:rsidR="004C7042" w:rsidRPr="1127D7C3">
        <w:rPr>
          <w:i/>
          <w:iCs/>
        </w:rPr>
        <w:t xml:space="preserve">, </w:t>
      </w:r>
      <w:r w:rsidR="00CA0A84" w:rsidRPr="1127D7C3">
        <w:rPr>
          <w:i/>
          <w:iCs/>
        </w:rPr>
        <w:t>p</w:t>
      </w:r>
      <w:r w:rsidR="00CA0A84" w:rsidRPr="005D1F7B">
        <w:t xml:space="preserve"> &lt; .001</w:t>
      </w:r>
      <w:r w:rsidR="00CA0A84" w:rsidRPr="71492419">
        <w:t>)</w:t>
      </w:r>
      <w:r w:rsidR="001770AF" w:rsidRPr="71492419">
        <w:t xml:space="preserve"> </w:t>
      </w:r>
      <w:r w:rsidR="00CF4FA7">
        <w:t>or</w:t>
      </w:r>
      <w:r w:rsidR="001770AF" w:rsidRPr="71492419">
        <w:t xml:space="preserve"> </w:t>
      </w:r>
      <w:r w:rsidRPr="005D1F7B">
        <w:t xml:space="preserve">suggestive </w:t>
      </w:r>
      <w:r>
        <w:t>questions</w:t>
      </w:r>
      <w:r w:rsidR="00CA0A84" w:rsidRPr="71492419">
        <w:t xml:space="preserve"> </w:t>
      </w:r>
      <w:r w:rsidR="004C7042" w:rsidRPr="71492419">
        <w:t>(</w:t>
      </w:r>
      <w:r w:rsidR="004C7042" w:rsidRPr="1127D7C3">
        <w:rPr>
          <w:i/>
          <w:iCs/>
        </w:rPr>
        <w:t xml:space="preserve">M </w:t>
      </w:r>
      <w:r w:rsidR="004C7042">
        <w:t>=</w:t>
      </w:r>
      <w:r w:rsidR="004E499B" w:rsidRPr="71492419">
        <w:t xml:space="preserve"> </w:t>
      </w:r>
      <w:r w:rsidR="004C7042">
        <w:t xml:space="preserve">.02, </w:t>
      </w:r>
      <w:r w:rsidR="004C7042" w:rsidRPr="1127D7C3">
        <w:rPr>
          <w:i/>
          <w:iCs/>
        </w:rPr>
        <w:t xml:space="preserve">SD </w:t>
      </w:r>
      <w:r w:rsidR="004C7042" w:rsidRPr="006C4BE0">
        <w:t>= .03</w:t>
      </w:r>
      <w:r w:rsidR="004C7042" w:rsidRPr="71492419">
        <w:t xml:space="preserve">, </w:t>
      </w:r>
      <w:r w:rsidR="00CA0A84" w:rsidRPr="1127D7C3">
        <w:rPr>
          <w:i/>
          <w:iCs/>
        </w:rPr>
        <w:t>p</w:t>
      </w:r>
      <w:r w:rsidR="00CA0A84" w:rsidRPr="005D1F7B">
        <w:t xml:space="preserve"> &lt; .001</w:t>
      </w:r>
      <w:r w:rsidR="00CA0A84" w:rsidRPr="71492419">
        <w:t>)</w:t>
      </w:r>
      <w:r w:rsidR="00A618AA" w:rsidRPr="71492419">
        <w:t xml:space="preserve"> </w:t>
      </w:r>
      <w:r w:rsidR="001770AF">
        <w:t>and more directive questions than suggestive questions</w:t>
      </w:r>
      <w:r w:rsidR="00CA0A84" w:rsidRPr="71492419">
        <w:t xml:space="preserve"> </w:t>
      </w:r>
      <w:r w:rsidR="004C7042" w:rsidRPr="1127D7C3">
        <w:rPr>
          <w:i/>
          <w:iCs/>
        </w:rPr>
        <w:t>(</w:t>
      </w:r>
      <w:r w:rsidR="00CA0A84" w:rsidRPr="1127D7C3">
        <w:rPr>
          <w:i/>
          <w:iCs/>
        </w:rPr>
        <w:t>p</w:t>
      </w:r>
      <w:r w:rsidR="00CA0A84" w:rsidRPr="005D1F7B">
        <w:t xml:space="preserve"> &lt; .001</w:t>
      </w:r>
      <w:r w:rsidR="002F60EA" w:rsidRPr="71492419">
        <w:t>)</w:t>
      </w:r>
      <w:r w:rsidR="0069689C" w:rsidRPr="71492419">
        <w:t>.</w:t>
      </w:r>
      <w:r w:rsidRPr="71492419">
        <w:t xml:space="preserve"> </w:t>
      </w:r>
      <w:r w:rsidR="00C02645">
        <w:t xml:space="preserve">Due to the small </w:t>
      </w:r>
      <w:r w:rsidR="008209E6">
        <w:t>number</w:t>
      </w:r>
      <w:r w:rsidR="00C02645">
        <w:t xml:space="preserve"> of prosecutor utterances</w:t>
      </w:r>
      <w:r w:rsidR="1B44EF20">
        <w:t xml:space="preserve"> (see Table 4)</w:t>
      </w:r>
      <w:r w:rsidR="00C02645" w:rsidRPr="71492419">
        <w:t xml:space="preserve">, </w:t>
      </w:r>
      <w:r w:rsidR="008209E6">
        <w:t xml:space="preserve">there was not enough </w:t>
      </w:r>
      <w:r w:rsidR="008209E6" w:rsidRPr="005D1F7B">
        <w:t>power to reasonably detect medium</w:t>
      </w:r>
      <w:r w:rsidR="008209E6">
        <w:t>-sized</w:t>
      </w:r>
      <w:r w:rsidR="008209E6" w:rsidRPr="71492419">
        <w:t xml:space="preserve"> </w:t>
      </w:r>
      <w:r w:rsidR="008209E6" w:rsidRPr="005D1F7B">
        <w:t>effect</w:t>
      </w:r>
      <w:r w:rsidR="008209E6">
        <w:t>s</w:t>
      </w:r>
      <w:r w:rsidR="003948A0" w:rsidRPr="71492419">
        <w:t xml:space="preserve"> </w:t>
      </w:r>
      <w:r w:rsidR="00A549A5">
        <w:t>of trial condition</w:t>
      </w:r>
      <w:r w:rsidR="00F5768B">
        <w:t xml:space="preserve"> or children’s </w:t>
      </w:r>
      <w:r w:rsidR="002B5AAD">
        <w:t>age,</w:t>
      </w:r>
      <w:r w:rsidR="00E76DE4">
        <w:t xml:space="preserve"> but the descriptive statistics</w:t>
      </w:r>
      <w:r w:rsidR="00F5768B">
        <w:t xml:space="preserve"> are included in Table 5</w:t>
      </w:r>
      <w:r w:rsidR="00F5768B" w:rsidRPr="71492419">
        <w:t>.</w:t>
      </w:r>
    </w:p>
    <w:p w14:paraId="41582294" w14:textId="314C3693" w:rsidR="00485863" w:rsidRPr="006C4BE0" w:rsidRDefault="008F2A00" w:rsidP="006C4BE0">
      <w:pPr>
        <w:spacing w:line="480" w:lineRule="auto"/>
        <w:ind w:firstLine="720"/>
        <w:outlineLvl w:val="0"/>
        <w:rPr>
          <w:b/>
          <w:bCs/>
        </w:rPr>
      </w:pPr>
      <w:r w:rsidRPr="002D14BD">
        <w:rPr>
          <w:b/>
          <w:bCs/>
        </w:rPr>
        <w:t>Defence</w:t>
      </w:r>
      <w:r w:rsidR="00485863" w:rsidRPr="002D14BD">
        <w:rPr>
          <w:b/>
          <w:bCs/>
        </w:rPr>
        <w:t xml:space="preserve"> </w:t>
      </w:r>
      <w:r w:rsidR="0069689C" w:rsidRPr="002D14BD">
        <w:rPr>
          <w:b/>
          <w:bCs/>
        </w:rPr>
        <w:t>l</w:t>
      </w:r>
      <w:r w:rsidR="00485863" w:rsidRPr="002D14BD">
        <w:rPr>
          <w:b/>
          <w:bCs/>
        </w:rPr>
        <w:t xml:space="preserve">awyers’ questions. </w:t>
      </w:r>
    </w:p>
    <w:p w14:paraId="5A5A6F4A" w14:textId="4A9FD80F" w:rsidR="00BB5DE6" w:rsidRDefault="00485863" w:rsidP="006D32DF">
      <w:pPr>
        <w:spacing w:line="480" w:lineRule="auto"/>
        <w:ind w:firstLine="720"/>
        <w:outlineLvl w:val="0"/>
      </w:pPr>
      <w:r w:rsidRPr="0064307A">
        <w:t>A</w:t>
      </w:r>
      <w:r w:rsidR="0069689C" w:rsidRPr="23B9E151">
        <w:t xml:space="preserve"> </w:t>
      </w:r>
      <w:r w:rsidRPr="0064307A">
        <w:t>RM-ANOVA</w:t>
      </w:r>
      <w:r w:rsidRPr="23B9E151">
        <w:t xml:space="preserve"> </w:t>
      </w:r>
      <w:r w:rsidR="000421EA">
        <w:t>conducted to identify associations between trial condition</w:t>
      </w:r>
      <w:r w:rsidR="00944C08" w:rsidRPr="23B9E151">
        <w:t xml:space="preserve"> </w:t>
      </w:r>
      <w:r w:rsidR="000421EA">
        <w:rPr>
          <w:color w:val="000000" w:themeColor="text1"/>
        </w:rPr>
        <w:t>a</w:t>
      </w:r>
      <w:r w:rsidR="000421EA" w:rsidRPr="00D16FD6">
        <w:t xml:space="preserve">nd </w:t>
      </w:r>
      <w:r w:rsidR="0009510F">
        <w:t xml:space="preserve">the </w:t>
      </w:r>
      <w:r w:rsidR="00956004">
        <w:t>types (</w:t>
      </w:r>
      <w:r w:rsidR="004D6228">
        <w:t>proportion</w:t>
      </w:r>
      <w:r w:rsidR="00956004">
        <w:t>)</w:t>
      </w:r>
      <w:r w:rsidR="004D6228">
        <w:t xml:space="preserve"> of</w:t>
      </w:r>
      <w:r w:rsidR="003860DA" w:rsidRPr="23B9E151">
        <w:t xml:space="preserve"> </w:t>
      </w:r>
      <w:r w:rsidR="00511C16">
        <w:t>question</w:t>
      </w:r>
      <w:r w:rsidR="00956004">
        <w:t>s</w:t>
      </w:r>
      <w:r w:rsidR="00511C16">
        <w:t xml:space="preserve"> </w:t>
      </w:r>
      <w:r w:rsidR="000421EA" w:rsidRPr="00D16FD6">
        <w:t xml:space="preserve">asked </w:t>
      </w:r>
      <w:r w:rsidR="000421EA">
        <w:t>revealed</w:t>
      </w:r>
      <w:r w:rsidRPr="08D4D6A2">
        <w:rPr>
          <w:rFonts w:cstheme="minorBidi"/>
        </w:rPr>
        <w:t xml:space="preserve"> a main effect for question type</w:t>
      </w:r>
      <w:r w:rsidRPr="23B9E151">
        <w:t xml:space="preserve">, </w:t>
      </w:r>
      <w:proofErr w:type="gramStart"/>
      <w:r w:rsidRPr="08D4D6A2">
        <w:rPr>
          <w:i/>
          <w:iCs/>
        </w:rPr>
        <w:t>F</w:t>
      </w:r>
      <w:r w:rsidR="001700B6">
        <w:t>(</w:t>
      </w:r>
      <w:proofErr w:type="gramEnd"/>
      <w:r w:rsidR="001700B6">
        <w:t>1.72, 142.69</w:t>
      </w:r>
      <w:r w:rsidR="00F42E26">
        <w:t xml:space="preserve">) = </w:t>
      </w:r>
      <w:r w:rsidR="001700B6">
        <w:t>256.89</w:t>
      </w:r>
      <w:r w:rsidRPr="23B9E151">
        <w:t xml:space="preserve">, </w:t>
      </w:r>
      <w:r w:rsidRPr="08D4D6A2">
        <w:rPr>
          <w:i/>
          <w:iCs/>
        </w:rPr>
        <w:t>p</w:t>
      </w:r>
      <w:r w:rsidRPr="005D1F7B">
        <w:t xml:space="preserve"> &lt; .001, </w:t>
      </w:r>
      <w:r w:rsidRPr="08D4D6A2">
        <w:rPr>
          <w:i/>
          <w:iCs/>
          <w:color w:val="222222"/>
          <w:shd w:val="clear" w:color="auto" w:fill="FFFFFF"/>
        </w:rPr>
        <w:t>η</w:t>
      </w:r>
      <w:r w:rsidRPr="08D4D6A2">
        <w:rPr>
          <w:i/>
          <w:iCs/>
          <w:color w:val="222222"/>
          <w:shd w:val="clear" w:color="auto" w:fill="FFFFFF"/>
          <w:vertAlign w:val="subscript"/>
        </w:rPr>
        <w:t>p</w:t>
      </w:r>
      <w:r w:rsidRPr="08D4D6A2">
        <w:rPr>
          <w:i/>
          <w:iCs/>
          <w:color w:val="222222"/>
          <w:shd w:val="clear" w:color="auto" w:fill="FFFFFF"/>
          <w:vertAlign w:val="superscript"/>
        </w:rPr>
        <w:t>2</w:t>
      </w:r>
      <w:r w:rsidRPr="005D1F7B">
        <w:t xml:space="preserve"> = .</w:t>
      </w:r>
      <w:r w:rsidR="001700B6">
        <w:t>76</w:t>
      </w:r>
      <w:r w:rsidR="001B5EAC" w:rsidRPr="23B9E151">
        <w:t xml:space="preserve">, </w:t>
      </w:r>
      <w:r w:rsidR="0046741F">
        <w:t>with</w:t>
      </w:r>
      <w:r w:rsidR="001B5EAC" w:rsidRPr="23B9E151">
        <w:t xml:space="preserve"> </w:t>
      </w:r>
      <w:r w:rsidR="008F2A00">
        <w:t>defence</w:t>
      </w:r>
      <w:r>
        <w:t xml:space="preserve"> lawyers </w:t>
      </w:r>
      <w:r w:rsidR="0046741F">
        <w:t xml:space="preserve">using </w:t>
      </w:r>
      <w:r>
        <w:t>option-posing prompts</w:t>
      </w:r>
      <w:r w:rsidR="00B772C0" w:rsidRPr="23B9E151">
        <w:t xml:space="preserve"> </w:t>
      </w:r>
      <w:r w:rsidR="0093354B">
        <w:t xml:space="preserve">more </w:t>
      </w:r>
      <w:r>
        <w:t>frequently</w:t>
      </w:r>
      <w:r w:rsidR="0093354B">
        <w:t xml:space="preserve"> than any other </w:t>
      </w:r>
      <w:r w:rsidR="002375C6">
        <w:t xml:space="preserve">type of </w:t>
      </w:r>
      <w:r w:rsidR="0093354B">
        <w:t>question</w:t>
      </w:r>
      <w:r w:rsidR="00276CE9">
        <w:t xml:space="preserve"> </w:t>
      </w:r>
      <w:r w:rsidR="0023770A" w:rsidRPr="23B9E151">
        <w:t>(</w:t>
      </w:r>
      <w:r w:rsidR="0092689A">
        <w:t>directive</w:t>
      </w:r>
      <w:r w:rsidR="00FE52E8" w:rsidRPr="23B9E151">
        <w:t>,</w:t>
      </w:r>
      <w:r w:rsidR="0023770A" w:rsidRPr="23B9E151">
        <w:t xml:space="preserve"> </w:t>
      </w:r>
      <w:r w:rsidR="0023770A" w:rsidRPr="08D4D6A2">
        <w:rPr>
          <w:i/>
          <w:iCs/>
        </w:rPr>
        <w:t>p</w:t>
      </w:r>
      <w:r w:rsidR="0023770A">
        <w:t xml:space="preserve"> &lt; .001;</w:t>
      </w:r>
      <w:r w:rsidR="0023770A" w:rsidRPr="23B9E151">
        <w:t xml:space="preserve"> </w:t>
      </w:r>
      <w:r w:rsidR="0092689A">
        <w:t>suggestive</w:t>
      </w:r>
      <w:r w:rsidR="00FE52E8" w:rsidRPr="23B9E151">
        <w:t>,</w:t>
      </w:r>
      <w:r w:rsidR="0023770A" w:rsidRPr="23B9E151">
        <w:t xml:space="preserve"> </w:t>
      </w:r>
      <w:r w:rsidR="0023770A" w:rsidRPr="08D4D6A2">
        <w:rPr>
          <w:i/>
          <w:iCs/>
        </w:rPr>
        <w:t>p</w:t>
      </w:r>
      <w:r w:rsidR="0023770A">
        <w:t xml:space="preserve"> &lt; .001</w:t>
      </w:r>
      <w:r w:rsidR="00F42E26" w:rsidRPr="23B9E151">
        <w:t>)</w:t>
      </w:r>
      <w:r w:rsidR="008D7421" w:rsidRPr="23B9E151">
        <w:t>.</w:t>
      </w:r>
      <w:r w:rsidRPr="23B9E151">
        <w:t xml:space="preserve"> </w:t>
      </w:r>
      <w:r w:rsidR="00BB5DE6">
        <w:t xml:space="preserve">In the NS28 condition, more suggestive prompts were </w:t>
      </w:r>
      <w:r w:rsidR="002375C6">
        <w:t xml:space="preserve">used </w:t>
      </w:r>
      <w:r w:rsidR="00BB5DE6">
        <w:t>than directive prompts (</w:t>
      </w:r>
      <w:r w:rsidR="00BB5DE6" w:rsidRPr="08D4D6A2">
        <w:rPr>
          <w:i/>
          <w:iCs/>
        </w:rPr>
        <w:t>p</w:t>
      </w:r>
      <w:r w:rsidR="00BB5DE6" w:rsidRPr="005D1F7B">
        <w:t xml:space="preserve"> &lt; .001</w:t>
      </w:r>
      <w:r w:rsidR="00BB5DE6" w:rsidRPr="23B9E151">
        <w:t>)</w:t>
      </w:r>
      <w:r w:rsidR="00EE3A91" w:rsidRPr="23B9E151">
        <w:t xml:space="preserve"> </w:t>
      </w:r>
      <w:r w:rsidR="00EE3A91">
        <w:t>while, i</w:t>
      </w:r>
      <w:r w:rsidR="00BB5DE6">
        <w:t xml:space="preserve">n the S28 condition, there was no significant difference between </w:t>
      </w:r>
      <w:r w:rsidR="00956004">
        <w:t xml:space="preserve">the relative proportions of </w:t>
      </w:r>
      <w:r w:rsidR="00BB5DE6">
        <w:t>suggestive and directive prompts</w:t>
      </w:r>
      <w:r w:rsidR="00956004">
        <w:t xml:space="preserve"> posed</w:t>
      </w:r>
      <w:r w:rsidR="00465E78">
        <w:t xml:space="preserve"> (see Table 5)</w:t>
      </w:r>
      <w:r w:rsidR="00BB5DE6" w:rsidRPr="23B9E151">
        <w:t xml:space="preserve">. </w:t>
      </w:r>
      <w:r w:rsidR="09727D85" w:rsidRPr="23B9E151">
        <w:t xml:space="preserve"> </w:t>
      </w:r>
    </w:p>
    <w:p w14:paraId="6D336619" w14:textId="7C6B9849" w:rsidR="00485863" w:rsidRDefault="00BB5DE6" w:rsidP="006C4BE0">
      <w:pPr>
        <w:spacing w:line="480" w:lineRule="auto"/>
        <w:ind w:firstLine="720"/>
        <w:outlineLvl w:val="0"/>
      </w:pPr>
      <w:r>
        <w:t xml:space="preserve">There was also an interaction between trial condition and </w:t>
      </w:r>
      <w:r w:rsidR="0024363E">
        <w:t xml:space="preserve">question </w:t>
      </w:r>
      <w:r>
        <w:t xml:space="preserve">type, </w:t>
      </w:r>
      <w:proofErr w:type="gramStart"/>
      <w:r w:rsidRPr="08D4D6A2">
        <w:rPr>
          <w:i/>
          <w:iCs/>
        </w:rPr>
        <w:t>F</w:t>
      </w:r>
      <w:r>
        <w:t>(</w:t>
      </w:r>
      <w:proofErr w:type="gramEnd"/>
      <w:r>
        <w:t>1.72, 142.69</w:t>
      </w:r>
      <w:r w:rsidRPr="005D1F7B">
        <w:t xml:space="preserve">) = </w:t>
      </w:r>
      <w:r>
        <w:t>19.29</w:t>
      </w:r>
      <w:r w:rsidRPr="23B9E151">
        <w:t xml:space="preserve">, </w:t>
      </w:r>
      <w:r w:rsidRPr="08D4D6A2">
        <w:rPr>
          <w:i/>
          <w:iCs/>
        </w:rPr>
        <w:t>p</w:t>
      </w:r>
      <w:r w:rsidRPr="005D1F7B">
        <w:t xml:space="preserve"> &lt; .001, </w:t>
      </w:r>
      <w:r w:rsidRPr="08D4D6A2">
        <w:rPr>
          <w:i/>
          <w:iCs/>
          <w:color w:val="222222"/>
          <w:shd w:val="clear" w:color="auto" w:fill="FFFFFF"/>
        </w:rPr>
        <w:t>η</w:t>
      </w:r>
      <w:r w:rsidRPr="08D4D6A2">
        <w:rPr>
          <w:i/>
          <w:iCs/>
          <w:color w:val="222222"/>
          <w:shd w:val="clear" w:color="auto" w:fill="FFFFFF"/>
          <w:vertAlign w:val="subscript"/>
        </w:rPr>
        <w:t>p</w:t>
      </w:r>
      <w:r w:rsidRPr="08D4D6A2">
        <w:rPr>
          <w:i/>
          <w:iCs/>
          <w:color w:val="222222"/>
          <w:shd w:val="clear" w:color="auto" w:fill="FFFFFF"/>
          <w:vertAlign w:val="superscript"/>
        </w:rPr>
        <w:t>2</w:t>
      </w:r>
      <w:r w:rsidRPr="005D1F7B">
        <w:t xml:space="preserve"> = .</w:t>
      </w:r>
      <w:r>
        <w:t xml:space="preserve">19. </w:t>
      </w:r>
      <w:r w:rsidR="008D7421">
        <w:t>I</w:t>
      </w:r>
      <w:r w:rsidR="003A1C55">
        <w:t>n the S28 condition,</w:t>
      </w:r>
      <w:r w:rsidR="00485863">
        <w:t xml:space="preserve"> more option-posing prompts</w:t>
      </w:r>
      <w:r w:rsidR="001D626A" w:rsidRPr="23B9E151">
        <w:t xml:space="preserve"> (</w:t>
      </w:r>
      <w:r w:rsidR="001D626A" w:rsidRPr="08D4D6A2">
        <w:rPr>
          <w:i/>
          <w:iCs/>
        </w:rPr>
        <w:t>p</w:t>
      </w:r>
      <w:r w:rsidR="001D626A" w:rsidRPr="005D1F7B">
        <w:t xml:space="preserve"> &lt; </w:t>
      </w:r>
      <w:r w:rsidR="001D626A" w:rsidRPr="005D1F7B">
        <w:lastRenderedPageBreak/>
        <w:t>.001</w:t>
      </w:r>
      <w:r w:rsidR="00A414D0" w:rsidRPr="23B9E151">
        <w:t>)</w:t>
      </w:r>
      <w:r w:rsidR="001D626A" w:rsidRPr="23B9E151">
        <w:t xml:space="preserve"> </w:t>
      </w:r>
      <w:r w:rsidR="00485863">
        <w:t>and fewer suggestive prompts</w:t>
      </w:r>
      <w:r w:rsidR="008D7421" w:rsidRPr="23B9E151">
        <w:t xml:space="preserve"> </w:t>
      </w:r>
      <w:r w:rsidR="001D626A" w:rsidRPr="23B9E151">
        <w:t>(</w:t>
      </w:r>
      <w:r w:rsidR="001D626A" w:rsidRPr="08D4D6A2">
        <w:rPr>
          <w:i/>
          <w:iCs/>
        </w:rPr>
        <w:t>p</w:t>
      </w:r>
      <w:r w:rsidR="001D626A" w:rsidRPr="005D1F7B">
        <w:t xml:space="preserve"> &lt; .001</w:t>
      </w:r>
      <w:r w:rsidR="001D626A" w:rsidRPr="23B9E151">
        <w:t xml:space="preserve">) </w:t>
      </w:r>
      <w:r w:rsidR="003A1C55">
        <w:t>were used</w:t>
      </w:r>
      <w:r w:rsidR="00485863" w:rsidRPr="23B9E151">
        <w:t xml:space="preserve"> </w:t>
      </w:r>
      <w:r w:rsidR="003860DA">
        <w:t>than in</w:t>
      </w:r>
      <w:r w:rsidR="00485863">
        <w:t xml:space="preserve"> the NS28 condition. </w:t>
      </w:r>
      <w:r w:rsidR="736CFF8D">
        <w:t>There was not enough power to reasonably detect medium-sized effects of children's age</w:t>
      </w:r>
      <w:r w:rsidR="00956004">
        <w:t xml:space="preserve"> but</w:t>
      </w:r>
      <w:r w:rsidR="736CFF8D">
        <w:t xml:space="preserve"> </w:t>
      </w:r>
      <w:r w:rsidR="00727A14">
        <w:t xml:space="preserve">the descriptive </w:t>
      </w:r>
      <w:r w:rsidR="00956004">
        <w:t>statistics</w:t>
      </w:r>
      <w:r w:rsidR="00727A14">
        <w:t xml:space="preserve"> are</w:t>
      </w:r>
      <w:r w:rsidR="736CFF8D">
        <w:t xml:space="preserve"> </w:t>
      </w:r>
      <w:r w:rsidR="00956004">
        <w:t>provided</w:t>
      </w:r>
      <w:r w:rsidR="736CFF8D">
        <w:t xml:space="preserve"> in Table 5.</w:t>
      </w:r>
    </w:p>
    <w:p w14:paraId="5E960B09" w14:textId="77777777" w:rsidR="007427A0" w:rsidRPr="006C4BE0" w:rsidRDefault="007427A0" w:rsidP="006C4BE0">
      <w:pPr>
        <w:pStyle w:val="paragraph"/>
        <w:spacing w:before="0" w:beforeAutospacing="0" w:after="0" w:afterAutospacing="0" w:line="480" w:lineRule="auto"/>
        <w:textAlignment w:val="baseline"/>
        <w:rPr>
          <w:rFonts w:ascii="Segoe UI" w:hAnsi="Segoe UI" w:cs="Segoe UI"/>
          <w:sz w:val="18"/>
          <w:szCs w:val="18"/>
        </w:rPr>
      </w:pPr>
      <w:r>
        <w:rPr>
          <w:rStyle w:val="normaltextrun"/>
          <w:b/>
          <w:bCs/>
        </w:rPr>
        <w:t>How were children’s responses affected by trial condition, children’s age, and lawyer role? </w:t>
      </w:r>
      <w:r>
        <w:rPr>
          <w:rStyle w:val="eop"/>
        </w:rPr>
        <w:t> </w:t>
      </w:r>
    </w:p>
    <w:p w14:paraId="12EDE644" w14:textId="33BC4FC6" w:rsidR="009536CE" w:rsidRPr="006C4BE0" w:rsidRDefault="009536CE" w:rsidP="006C4BE0">
      <w:pPr>
        <w:pStyle w:val="paragraph"/>
        <w:spacing w:before="0" w:beforeAutospacing="0" w:after="0" w:afterAutospacing="0" w:line="480" w:lineRule="auto"/>
        <w:ind w:firstLine="720"/>
        <w:textAlignment w:val="baseline"/>
        <w:rPr>
          <w:rStyle w:val="normaltextrun"/>
        </w:rPr>
      </w:pPr>
      <w:r w:rsidRPr="009536CE">
        <w:rPr>
          <w:rStyle w:val="normaltextrun"/>
        </w:rPr>
        <w:t xml:space="preserve">Table 6 shows </w:t>
      </w:r>
      <w:r w:rsidR="00956004">
        <w:rPr>
          <w:rStyle w:val="normaltextrun"/>
        </w:rPr>
        <w:t>the</w:t>
      </w:r>
      <w:r w:rsidR="00727A14">
        <w:rPr>
          <w:rStyle w:val="normaltextrun"/>
        </w:rPr>
        <w:t xml:space="preserve"> responsiveness</w:t>
      </w:r>
      <w:r w:rsidRPr="009536CE">
        <w:rPr>
          <w:rStyle w:val="normaltextrun"/>
        </w:rPr>
        <w:t xml:space="preserve"> </w:t>
      </w:r>
      <w:r w:rsidR="00956004">
        <w:rPr>
          <w:rStyle w:val="normaltextrun"/>
        </w:rPr>
        <w:t>of children to the</w:t>
      </w:r>
      <w:r w:rsidRPr="009536CE">
        <w:rPr>
          <w:rStyle w:val="normaltextrun"/>
        </w:rPr>
        <w:t xml:space="preserve"> prosecutors’ and defence lawyers’ </w:t>
      </w:r>
      <w:r w:rsidR="00956004">
        <w:rPr>
          <w:rStyle w:val="normaltextrun"/>
        </w:rPr>
        <w:t xml:space="preserve">prompts </w:t>
      </w:r>
      <w:r w:rsidRPr="009536CE">
        <w:rPr>
          <w:rStyle w:val="normaltextrun"/>
        </w:rPr>
        <w:t xml:space="preserve">in both trial conditions. There was not enough power to examine children’s responsiveness </w:t>
      </w:r>
      <w:r w:rsidR="00956004">
        <w:rPr>
          <w:rStyle w:val="normaltextrun"/>
        </w:rPr>
        <w:t>to different types of questions so</w:t>
      </w:r>
      <w:r w:rsidRPr="009536CE">
        <w:rPr>
          <w:rStyle w:val="normaltextrun"/>
        </w:rPr>
        <w:t xml:space="preserve"> univariate ANOVAs were </w:t>
      </w:r>
      <w:r w:rsidR="00956004">
        <w:rPr>
          <w:rStyle w:val="normaltextrun"/>
        </w:rPr>
        <w:t>used</w:t>
      </w:r>
      <w:r w:rsidRPr="009536CE">
        <w:rPr>
          <w:rStyle w:val="normaltextrun"/>
        </w:rPr>
        <w:t xml:space="preserve"> to examine the effects of trial condition, lawyer role, and children’s age on children’s overall responsiveness and children’s compliance </w:t>
      </w:r>
      <w:r w:rsidR="00956004">
        <w:rPr>
          <w:rStyle w:val="normaltextrun"/>
        </w:rPr>
        <w:t>with</w:t>
      </w:r>
      <w:r w:rsidRPr="009536CE">
        <w:rPr>
          <w:rStyle w:val="normaltextrun"/>
        </w:rPr>
        <w:t xml:space="preserve"> suggestive questions. However, there was only enough power to examine children’s responses to defence lawyers’ suggestive utterances.  </w:t>
      </w:r>
    </w:p>
    <w:p w14:paraId="4D17870C" w14:textId="5782560C" w:rsidR="007427A0" w:rsidRPr="006C4BE0" w:rsidRDefault="009536CE" w:rsidP="006C4BE0">
      <w:pPr>
        <w:pStyle w:val="paragraph"/>
        <w:spacing w:before="0" w:beforeAutospacing="0" w:after="0" w:afterAutospacing="0" w:line="480" w:lineRule="auto"/>
        <w:textAlignment w:val="baseline"/>
        <w:rPr>
          <w:rFonts w:ascii="Segoe UI" w:hAnsi="Segoe UI" w:cs="Segoe UI"/>
        </w:rPr>
      </w:pPr>
      <w:r>
        <w:rPr>
          <w:rStyle w:val="normaltextrun"/>
        </w:rPr>
        <w:tab/>
      </w:r>
      <w:r w:rsidR="007427A0" w:rsidRPr="009536CE">
        <w:rPr>
          <w:rStyle w:val="normaltextrun"/>
          <w:b/>
          <w:bCs/>
        </w:rPr>
        <w:t>Children’s Responses to </w:t>
      </w:r>
      <w:r w:rsidR="00007E91" w:rsidRPr="009536CE">
        <w:rPr>
          <w:rStyle w:val="normaltextrun"/>
          <w:b/>
          <w:bCs/>
        </w:rPr>
        <w:t>Defence</w:t>
      </w:r>
      <w:r w:rsidR="007427A0" w:rsidRPr="009536CE">
        <w:rPr>
          <w:rStyle w:val="normaltextrun"/>
          <w:b/>
          <w:bCs/>
        </w:rPr>
        <w:t xml:space="preserve"> Lawyers’ Suggestive Questions</w:t>
      </w:r>
      <w:r w:rsidR="007427A0" w:rsidRPr="009536CE">
        <w:rPr>
          <w:rStyle w:val="eop"/>
        </w:rPr>
        <w:t> </w:t>
      </w:r>
    </w:p>
    <w:p w14:paraId="76683C03" w14:textId="0688098E" w:rsidR="007427A0" w:rsidRPr="009536CE" w:rsidRDefault="009536CE" w:rsidP="006C4BE0">
      <w:pPr>
        <w:pStyle w:val="paragraph"/>
        <w:spacing w:before="0" w:beforeAutospacing="0" w:after="0" w:afterAutospacing="0" w:line="480" w:lineRule="auto"/>
        <w:ind w:firstLine="720"/>
        <w:textAlignment w:val="baseline"/>
      </w:pPr>
      <w:r w:rsidRPr="009536CE">
        <w:rPr>
          <w:rStyle w:val="normaltextrun"/>
        </w:rPr>
        <w:t xml:space="preserve">A univariate ANOVA </w:t>
      </w:r>
      <w:r w:rsidR="00693F8F">
        <w:rPr>
          <w:rStyle w:val="normaltextrun"/>
        </w:rPr>
        <w:t>examining</w:t>
      </w:r>
      <w:r w:rsidRPr="009536CE">
        <w:rPr>
          <w:rStyle w:val="normaltextrun"/>
        </w:rPr>
        <w:t xml:space="preserve"> associations </w:t>
      </w:r>
      <w:r w:rsidR="00693F8F">
        <w:rPr>
          <w:rStyle w:val="normaltextrun"/>
        </w:rPr>
        <w:t>between</w:t>
      </w:r>
      <w:r w:rsidRPr="009536CE">
        <w:rPr>
          <w:rStyle w:val="normaltextrun"/>
        </w:rPr>
        <w:t xml:space="preserve"> children’s age and the proportion of responses in which children complied with defence lawyers’ suggestions revealed a main effect for children’s age, </w:t>
      </w:r>
      <w:proofErr w:type="gramStart"/>
      <w:r w:rsidRPr="006C4BE0">
        <w:rPr>
          <w:rStyle w:val="normaltextrun"/>
          <w:i/>
          <w:iCs/>
        </w:rPr>
        <w:t>F</w:t>
      </w:r>
      <w:r w:rsidRPr="009536CE">
        <w:rPr>
          <w:rStyle w:val="normaltextrun"/>
        </w:rPr>
        <w:t>(</w:t>
      </w:r>
      <w:proofErr w:type="gramEnd"/>
      <w:r w:rsidRPr="009536CE">
        <w:rPr>
          <w:rStyle w:val="normaltextrun"/>
        </w:rPr>
        <w:t xml:space="preserve">1, 69) = 10.01, </w:t>
      </w:r>
      <w:r w:rsidRPr="006C4BE0">
        <w:rPr>
          <w:rStyle w:val="normaltextrun"/>
          <w:i/>
          <w:iCs/>
        </w:rPr>
        <w:t>p</w:t>
      </w:r>
      <w:r w:rsidRPr="009536CE">
        <w:rPr>
          <w:rStyle w:val="normaltextrun"/>
        </w:rPr>
        <w:t xml:space="preserve"> = .002</w:t>
      </w:r>
      <w:r w:rsidRPr="39123F4B">
        <w:t xml:space="preserve">, </w:t>
      </w:r>
      <w:r w:rsidRPr="39123F4B">
        <w:rPr>
          <w:i/>
          <w:iCs/>
        </w:rPr>
        <w:t>η</w:t>
      </w:r>
      <w:r w:rsidRPr="39123F4B">
        <w:rPr>
          <w:i/>
          <w:iCs/>
          <w:vertAlign w:val="subscript"/>
        </w:rPr>
        <w:t>p</w:t>
      </w:r>
      <w:r w:rsidRPr="39123F4B">
        <w:rPr>
          <w:i/>
          <w:iCs/>
          <w:vertAlign w:val="superscript"/>
        </w:rPr>
        <w:t>2</w:t>
      </w:r>
      <w:r w:rsidRPr="39123F4B">
        <w:t xml:space="preserve"> </w:t>
      </w:r>
      <w:r w:rsidRPr="009536CE">
        <w:rPr>
          <w:rStyle w:val="normaltextrun"/>
        </w:rPr>
        <w:t xml:space="preserve">= .13, with older children complying less than younger children (Table 7). There was not enough power to </w:t>
      </w:r>
      <w:r w:rsidR="00693F8F">
        <w:rPr>
          <w:rStyle w:val="normaltextrun"/>
        </w:rPr>
        <w:t>examine the</w:t>
      </w:r>
      <w:r w:rsidRPr="009536CE">
        <w:rPr>
          <w:rStyle w:val="normaltextrun"/>
        </w:rPr>
        <w:t xml:space="preserve"> effect </w:t>
      </w:r>
      <w:r w:rsidR="00693F8F">
        <w:rPr>
          <w:rStyle w:val="normaltextrun"/>
        </w:rPr>
        <w:t xml:space="preserve">of </w:t>
      </w:r>
      <w:r w:rsidRPr="009536CE">
        <w:rPr>
          <w:rStyle w:val="normaltextrun"/>
        </w:rPr>
        <w:t xml:space="preserve">trial condition.  </w:t>
      </w:r>
    </w:p>
    <w:p w14:paraId="555FE8EC" w14:textId="41C68468" w:rsidR="0015417D" w:rsidRPr="006C4BE0" w:rsidRDefault="00614D22" w:rsidP="006C4BE0">
      <w:pPr>
        <w:spacing w:line="480" w:lineRule="auto"/>
        <w:outlineLvl w:val="0"/>
        <w:rPr>
          <w:b/>
          <w:bCs/>
        </w:rPr>
      </w:pPr>
      <w:r w:rsidRPr="009536CE">
        <w:rPr>
          <w:b/>
          <w:bCs/>
        </w:rPr>
        <w:t>How</w:t>
      </w:r>
      <w:r w:rsidR="0015417D" w:rsidRPr="009536CE">
        <w:rPr>
          <w:b/>
          <w:bCs/>
        </w:rPr>
        <w:t xml:space="preserve"> </w:t>
      </w:r>
      <w:r w:rsidRPr="009536CE">
        <w:rPr>
          <w:b/>
          <w:bCs/>
        </w:rPr>
        <w:t>did</w:t>
      </w:r>
      <w:r w:rsidR="0015417D" w:rsidRPr="009536CE">
        <w:rPr>
          <w:b/>
          <w:bCs/>
        </w:rPr>
        <w:t xml:space="preserve"> </w:t>
      </w:r>
      <w:r w:rsidR="001E7803" w:rsidRPr="009536CE">
        <w:rPr>
          <w:b/>
          <w:bCs/>
        </w:rPr>
        <w:t>GRH</w:t>
      </w:r>
      <w:r w:rsidR="0015417D" w:rsidRPr="009536CE">
        <w:rPr>
          <w:b/>
          <w:bCs/>
        </w:rPr>
        <w:t xml:space="preserve">s </w:t>
      </w:r>
      <w:r w:rsidRPr="009536CE">
        <w:rPr>
          <w:b/>
          <w:bCs/>
        </w:rPr>
        <w:t>affect</w:t>
      </w:r>
      <w:r w:rsidR="0015417D" w:rsidRPr="009536CE">
        <w:rPr>
          <w:b/>
          <w:bCs/>
        </w:rPr>
        <w:t xml:space="preserve"> </w:t>
      </w:r>
      <w:r w:rsidR="008F2A00" w:rsidRPr="009536CE">
        <w:rPr>
          <w:b/>
          <w:bCs/>
        </w:rPr>
        <w:t>Defence</w:t>
      </w:r>
      <w:r w:rsidR="0015417D" w:rsidRPr="009536CE">
        <w:rPr>
          <w:b/>
          <w:bCs/>
        </w:rPr>
        <w:t xml:space="preserve"> Lawyers’ Utterances</w:t>
      </w:r>
      <w:r w:rsidRPr="009536CE">
        <w:rPr>
          <w:b/>
          <w:bCs/>
        </w:rPr>
        <w:t>?</w:t>
      </w:r>
    </w:p>
    <w:p w14:paraId="2B6FC32E" w14:textId="4D27FA96" w:rsidR="00816B33" w:rsidRDefault="002B24EE" w:rsidP="00485863">
      <w:pPr>
        <w:spacing w:line="480" w:lineRule="auto"/>
        <w:ind w:firstLine="720"/>
        <w:outlineLvl w:val="0"/>
      </w:pPr>
      <w:r w:rsidRPr="009536CE">
        <w:t xml:space="preserve">A RM-ANOVA conducted to identify associations between </w:t>
      </w:r>
      <w:r w:rsidR="00CF495F">
        <w:t xml:space="preserve">the occurrence of </w:t>
      </w:r>
      <w:r w:rsidR="001E7803" w:rsidRPr="009536CE">
        <w:t>GRH</w:t>
      </w:r>
      <w:r w:rsidRPr="009536CE">
        <w:t xml:space="preserve">s </w:t>
      </w:r>
      <w:r w:rsidRPr="009536CE">
        <w:rPr>
          <w:color w:val="000000" w:themeColor="text1"/>
        </w:rPr>
        <w:t>a</w:t>
      </w:r>
      <w:r w:rsidRPr="009536CE">
        <w:t xml:space="preserve">nd the </w:t>
      </w:r>
      <w:r w:rsidR="009E37EF">
        <w:t xml:space="preserve">types </w:t>
      </w:r>
      <w:r w:rsidRPr="009536CE">
        <w:t xml:space="preserve">of </w:t>
      </w:r>
      <w:r w:rsidR="00CE53EE" w:rsidRPr="009536CE">
        <w:t>question</w:t>
      </w:r>
      <w:r w:rsidR="009E37EF">
        <w:t>s</w:t>
      </w:r>
      <w:r w:rsidRPr="009536CE">
        <w:t xml:space="preserve"> asked by </w:t>
      </w:r>
      <w:r w:rsidR="008F2A00" w:rsidRPr="009536CE">
        <w:t>defence</w:t>
      </w:r>
      <w:r w:rsidRPr="009536CE">
        <w:t xml:space="preserve"> lawyers revealed</w:t>
      </w:r>
      <w:r w:rsidRPr="08D4D6A2">
        <w:rPr>
          <w:rFonts w:cstheme="minorBidi"/>
        </w:rPr>
        <w:t xml:space="preserve"> a main effect for question </w:t>
      </w:r>
      <w:r w:rsidR="00191B93" w:rsidRPr="08D4D6A2">
        <w:rPr>
          <w:rFonts w:cstheme="minorBidi"/>
        </w:rPr>
        <w:t>type</w:t>
      </w:r>
      <w:r w:rsidR="00191B93" w:rsidRPr="009536CE">
        <w:t xml:space="preserve">, </w:t>
      </w:r>
      <w:proofErr w:type="gramStart"/>
      <w:r w:rsidR="00191B93" w:rsidRPr="00963A7D">
        <w:rPr>
          <w:i/>
        </w:rPr>
        <w:t>F</w:t>
      </w:r>
      <w:r w:rsidRPr="009536CE">
        <w:t>(</w:t>
      </w:r>
      <w:proofErr w:type="gramEnd"/>
      <w:r w:rsidRPr="009536CE">
        <w:t xml:space="preserve">1.68, 143.10) = 236.01, </w:t>
      </w:r>
      <w:r w:rsidRPr="08D4D6A2">
        <w:rPr>
          <w:i/>
          <w:iCs/>
        </w:rPr>
        <w:t>p</w:t>
      </w:r>
      <w:r w:rsidRPr="009536CE">
        <w:t xml:space="preserve"> &lt; .001, </w:t>
      </w:r>
      <w:r w:rsidRPr="08D4D6A2">
        <w:rPr>
          <w:i/>
          <w:iCs/>
          <w:color w:val="222222"/>
          <w:shd w:val="clear" w:color="auto" w:fill="FFFFFF"/>
        </w:rPr>
        <w:t>η</w:t>
      </w:r>
      <w:r w:rsidRPr="08D4D6A2">
        <w:rPr>
          <w:i/>
          <w:iCs/>
          <w:color w:val="222222"/>
          <w:shd w:val="clear" w:color="auto" w:fill="FFFFFF"/>
          <w:vertAlign w:val="subscript"/>
        </w:rPr>
        <w:t>p</w:t>
      </w:r>
      <w:r w:rsidRPr="08D4D6A2">
        <w:rPr>
          <w:i/>
          <w:iCs/>
          <w:color w:val="222222"/>
          <w:shd w:val="clear" w:color="auto" w:fill="FFFFFF"/>
          <w:vertAlign w:val="superscript"/>
        </w:rPr>
        <w:t>2</w:t>
      </w:r>
      <w:r w:rsidRPr="009536CE">
        <w:t xml:space="preserve"> = .74</w:t>
      </w:r>
      <w:r w:rsidR="009E37EF">
        <w:t>:</w:t>
      </w:r>
      <w:r w:rsidRPr="009536CE">
        <w:t xml:space="preserve"> </w:t>
      </w:r>
      <w:r w:rsidR="001E7803" w:rsidRPr="009536CE">
        <w:t>regardless of</w:t>
      </w:r>
      <w:r w:rsidR="00966F0C" w:rsidRPr="009536CE">
        <w:t xml:space="preserve"> </w:t>
      </w:r>
      <w:r w:rsidR="009E37EF">
        <w:t xml:space="preserve">whether or not there was a </w:t>
      </w:r>
      <w:r w:rsidR="001E7803" w:rsidRPr="009536CE">
        <w:t>GRH</w:t>
      </w:r>
      <w:r w:rsidR="00966F0C" w:rsidRPr="009536CE">
        <w:t xml:space="preserve">, </w:t>
      </w:r>
      <w:r w:rsidR="008F2A00" w:rsidRPr="009536CE">
        <w:t>defence</w:t>
      </w:r>
      <w:r w:rsidRPr="009536CE">
        <w:t xml:space="preserve"> lawyers </w:t>
      </w:r>
      <w:r w:rsidR="00DA03D3">
        <w:t>asked</w:t>
      </w:r>
      <w:r w:rsidR="00703CB1">
        <w:t xml:space="preserve"> </w:t>
      </w:r>
      <w:r w:rsidRPr="009536CE">
        <w:t>more option-</w:t>
      </w:r>
      <w:r w:rsidR="001E5955" w:rsidRPr="009536CE">
        <w:t>posing</w:t>
      </w:r>
      <w:r w:rsidRPr="009536CE">
        <w:t xml:space="preserve"> than directive (</w:t>
      </w:r>
      <w:r w:rsidRPr="08D4D6A2">
        <w:rPr>
          <w:i/>
          <w:iCs/>
        </w:rPr>
        <w:t>p</w:t>
      </w:r>
      <w:r w:rsidRPr="009536CE">
        <w:t xml:space="preserve"> &lt; .001) or suggestive (</w:t>
      </w:r>
      <w:r w:rsidRPr="08D4D6A2">
        <w:rPr>
          <w:i/>
          <w:iCs/>
        </w:rPr>
        <w:t>p</w:t>
      </w:r>
      <w:r w:rsidRPr="009536CE">
        <w:t xml:space="preserve"> &lt; .001)</w:t>
      </w:r>
      <w:r w:rsidR="00DA03D3">
        <w:t xml:space="preserve"> questions</w:t>
      </w:r>
      <w:r w:rsidRPr="009536CE">
        <w:t xml:space="preserve">. </w:t>
      </w:r>
      <w:r w:rsidR="00687E99">
        <w:t xml:space="preserve">Post hoc analyses showed that, when </w:t>
      </w:r>
      <w:r w:rsidR="00DA03D3">
        <w:t>there was no</w:t>
      </w:r>
      <w:r w:rsidR="001E5955" w:rsidRPr="009536CE">
        <w:t xml:space="preserve"> </w:t>
      </w:r>
      <w:r w:rsidR="001E7803" w:rsidRPr="009536CE">
        <w:t>GRH</w:t>
      </w:r>
      <w:r w:rsidR="001E5955" w:rsidRPr="009536CE">
        <w:t>, more suggestive than directive prompts (</w:t>
      </w:r>
      <w:r w:rsidR="001E5955" w:rsidRPr="08D4D6A2">
        <w:rPr>
          <w:i/>
          <w:iCs/>
        </w:rPr>
        <w:t>p</w:t>
      </w:r>
      <w:r w:rsidR="001E5955" w:rsidRPr="009536CE">
        <w:t xml:space="preserve"> &lt; .001</w:t>
      </w:r>
      <w:r w:rsidR="001D2F25" w:rsidRPr="009536CE">
        <w:t>)</w:t>
      </w:r>
      <w:r w:rsidR="00DA03D3">
        <w:t xml:space="preserve"> were used</w:t>
      </w:r>
      <w:r w:rsidR="001D2F25" w:rsidRPr="009536CE">
        <w:t xml:space="preserve">, </w:t>
      </w:r>
      <w:r w:rsidR="002375C6">
        <w:t>whereas,</w:t>
      </w:r>
      <w:r w:rsidR="002375C6" w:rsidRPr="009536CE">
        <w:t xml:space="preserve"> </w:t>
      </w:r>
      <w:r w:rsidR="001D2F25" w:rsidRPr="009536CE">
        <w:t>for</w:t>
      </w:r>
      <w:r w:rsidR="001E5955" w:rsidRPr="009536CE">
        <w:t xml:space="preserve"> cases with </w:t>
      </w:r>
      <w:r w:rsidR="001E7803" w:rsidRPr="009536CE">
        <w:t>GRH</w:t>
      </w:r>
      <w:r w:rsidR="001E5955" w:rsidRPr="009536CE">
        <w:t>s, there</w:t>
      </w:r>
      <w:r w:rsidR="001E5955">
        <w:t xml:space="preserve"> was no </w:t>
      </w:r>
      <w:r w:rsidR="001E5955">
        <w:lastRenderedPageBreak/>
        <w:t xml:space="preserve">significant difference between </w:t>
      </w:r>
      <w:r w:rsidR="003860DA">
        <w:t xml:space="preserve">the relative prominence of </w:t>
      </w:r>
      <w:r w:rsidR="00966F0C">
        <w:t>suggestive and directive prompts</w:t>
      </w:r>
      <w:r w:rsidR="00A1586A">
        <w:t xml:space="preserve"> (see Table 8)</w:t>
      </w:r>
      <w:r w:rsidR="001E5955" w:rsidRPr="23B9E151">
        <w:t xml:space="preserve">. </w:t>
      </w:r>
    </w:p>
    <w:p w14:paraId="35F4EEB1" w14:textId="45606E6F" w:rsidR="0002263F" w:rsidRPr="0002263F" w:rsidRDefault="002B24EE" w:rsidP="00966F0C">
      <w:pPr>
        <w:spacing w:line="480" w:lineRule="auto"/>
        <w:ind w:firstLine="720"/>
        <w:outlineLvl w:val="0"/>
      </w:pPr>
      <w:r>
        <w:t xml:space="preserve">There was also an interaction between the occurrence of a </w:t>
      </w:r>
      <w:r w:rsidR="001E7803">
        <w:t>GRH</w:t>
      </w:r>
      <w:r>
        <w:t xml:space="preserve"> and </w:t>
      </w:r>
      <w:r w:rsidR="00CE53EE">
        <w:t xml:space="preserve">question </w:t>
      </w:r>
      <w:r>
        <w:t xml:space="preserve">type, </w:t>
      </w:r>
      <w:proofErr w:type="gramStart"/>
      <w:r w:rsidRPr="08D4D6A2">
        <w:rPr>
          <w:i/>
          <w:iCs/>
        </w:rPr>
        <w:t>F</w:t>
      </w:r>
      <w:r>
        <w:t>(</w:t>
      </w:r>
      <w:proofErr w:type="gramEnd"/>
      <w:r>
        <w:t>1.68, 143.10</w:t>
      </w:r>
      <w:r w:rsidRPr="005D1F7B">
        <w:t xml:space="preserve">) = </w:t>
      </w:r>
      <w:r>
        <w:t>17.41</w:t>
      </w:r>
      <w:r w:rsidRPr="23B9E151">
        <w:t xml:space="preserve">, </w:t>
      </w:r>
      <w:r w:rsidRPr="08D4D6A2">
        <w:rPr>
          <w:i/>
          <w:iCs/>
        </w:rPr>
        <w:t>p</w:t>
      </w:r>
      <w:r w:rsidRPr="005D1F7B">
        <w:t xml:space="preserve"> &lt; .001, </w:t>
      </w:r>
      <w:r w:rsidRPr="08D4D6A2">
        <w:rPr>
          <w:i/>
          <w:iCs/>
          <w:color w:val="222222"/>
          <w:shd w:val="clear" w:color="auto" w:fill="FFFFFF"/>
        </w:rPr>
        <w:t>η</w:t>
      </w:r>
      <w:r w:rsidRPr="08D4D6A2">
        <w:rPr>
          <w:i/>
          <w:iCs/>
          <w:color w:val="222222"/>
          <w:shd w:val="clear" w:color="auto" w:fill="FFFFFF"/>
          <w:vertAlign w:val="subscript"/>
        </w:rPr>
        <w:t>p</w:t>
      </w:r>
      <w:r w:rsidRPr="08D4D6A2">
        <w:rPr>
          <w:i/>
          <w:iCs/>
          <w:color w:val="222222"/>
          <w:shd w:val="clear" w:color="auto" w:fill="FFFFFF"/>
          <w:vertAlign w:val="superscript"/>
        </w:rPr>
        <w:t>2</w:t>
      </w:r>
      <w:r w:rsidRPr="005D1F7B">
        <w:t xml:space="preserve"> = .</w:t>
      </w:r>
      <w:r>
        <w:t>17.</w:t>
      </w:r>
      <w:r w:rsidR="00C320CC" w:rsidRPr="23B9E151">
        <w:t xml:space="preserve"> </w:t>
      </w:r>
      <w:r w:rsidR="0064530B">
        <w:t xml:space="preserve">In cases </w:t>
      </w:r>
      <w:r w:rsidR="00CE4947">
        <w:t>with</w:t>
      </w:r>
      <w:r w:rsidR="0064530B" w:rsidRPr="23B9E151">
        <w:t xml:space="preserve"> </w:t>
      </w:r>
      <w:r w:rsidR="001E7803">
        <w:t>GRH</w:t>
      </w:r>
      <w:r w:rsidR="0064530B">
        <w:t xml:space="preserve">s, </w:t>
      </w:r>
      <w:proofErr w:type="spellStart"/>
      <w:r w:rsidR="00411AA0">
        <w:t>defense</w:t>
      </w:r>
      <w:proofErr w:type="spellEnd"/>
      <w:r w:rsidR="00411AA0">
        <w:t xml:space="preserve"> lawyers used </w:t>
      </w:r>
      <w:r w:rsidR="00CE4947">
        <w:t>more</w:t>
      </w:r>
      <w:r w:rsidR="0064530B">
        <w:t xml:space="preserve"> directive (</w:t>
      </w:r>
      <w:r w:rsidR="0064530B" w:rsidRPr="08D4D6A2">
        <w:rPr>
          <w:i/>
          <w:iCs/>
        </w:rPr>
        <w:t>p</w:t>
      </w:r>
      <w:r w:rsidR="0064530B">
        <w:t xml:space="preserve"> = .03) and option-posing prompts (</w:t>
      </w:r>
      <w:r w:rsidR="0064530B" w:rsidRPr="08D4D6A2">
        <w:rPr>
          <w:i/>
          <w:iCs/>
        </w:rPr>
        <w:t>p</w:t>
      </w:r>
      <w:r w:rsidR="0064530B" w:rsidRPr="005D1F7B">
        <w:t xml:space="preserve"> &lt; .001</w:t>
      </w:r>
      <w:r w:rsidR="0064530B" w:rsidRPr="23B9E151">
        <w:t>)</w:t>
      </w:r>
      <w:r w:rsidR="001D2F25">
        <w:t xml:space="preserve"> </w:t>
      </w:r>
      <w:r w:rsidR="0064530B">
        <w:t xml:space="preserve">and </w:t>
      </w:r>
      <w:r w:rsidR="00CE4947">
        <w:t>fewer</w:t>
      </w:r>
      <w:r w:rsidR="0064530B">
        <w:t xml:space="preserve"> suggestive prompts (</w:t>
      </w:r>
      <w:r w:rsidR="0064530B" w:rsidRPr="08D4D6A2">
        <w:rPr>
          <w:i/>
          <w:iCs/>
        </w:rPr>
        <w:t>p</w:t>
      </w:r>
      <w:r w:rsidR="0064530B" w:rsidRPr="005D1F7B">
        <w:t xml:space="preserve"> &lt; .001</w:t>
      </w:r>
      <w:r w:rsidR="0064530B">
        <w:t xml:space="preserve">) </w:t>
      </w:r>
      <w:r w:rsidR="00411AA0">
        <w:t xml:space="preserve">than </w:t>
      </w:r>
      <w:proofErr w:type="spellStart"/>
      <w:r w:rsidR="00411AA0">
        <w:t>defense</w:t>
      </w:r>
      <w:proofErr w:type="spellEnd"/>
      <w:r w:rsidR="00411AA0">
        <w:t xml:space="preserve"> lawyers</w:t>
      </w:r>
      <w:r w:rsidR="003860DA">
        <w:t xml:space="preserve"> in cases</w:t>
      </w:r>
      <w:r w:rsidR="00CE4947">
        <w:t xml:space="preserve"> </w:t>
      </w:r>
      <w:r w:rsidR="00411AA0">
        <w:t xml:space="preserve">without </w:t>
      </w:r>
      <w:r w:rsidR="001E7803">
        <w:t>GRH</w:t>
      </w:r>
      <w:r w:rsidR="0064530B">
        <w:t>s</w:t>
      </w:r>
      <w:r w:rsidR="00A1586A">
        <w:t xml:space="preserve"> (see Table 8)</w:t>
      </w:r>
      <w:r w:rsidR="0064530B" w:rsidRPr="23B9E151">
        <w:t xml:space="preserve">. </w:t>
      </w:r>
    </w:p>
    <w:p w14:paraId="0953FE42" w14:textId="78B48A3E" w:rsidR="00DE1B01" w:rsidRPr="00354A78" w:rsidRDefault="0498DFD5" w:rsidP="004C6E3E">
      <w:pPr>
        <w:spacing w:line="480" w:lineRule="auto"/>
        <w:jc w:val="center"/>
        <w:rPr>
          <w:b/>
          <w:bCs/>
        </w:rPr>
      </w:pPr>
      <w:r w:rsidRPr="0498DFD5">
        <w:rPr>
          <w:b/>
          <w:bCs/>
        </w:rPr>
        <w:t>Discussion</w:t>
      </w:r>
    </w:p>
    <w:p w14:paraId="283FE0D6" w14:textId="4A1BDD10" w:rsidR="00A155F7" w:rsidRPr="005D1F7B" w:rsidRDefault="0058351F" w:rsidP="00A155F7">
      <w:pPr>
        <w:spacing w:line="480" w:lineRule="auto"/>
        <w:ind w:firstLine="720"/>
      </w:pPr>
      <w:r>
        <w:t xml:space="preserve">The results of the present study </w:t>
      </w:r>
      <w:r w:rsidR="0498DFD5">
        <w:t>demonstrate that</w:t>
      </w:r>
      <w:r w:rsidR="00DD704F">
        <w:t xml:space="preserve"> </w:t>
      </w:r>
      <w:r w:rsidR="009536CE">
        <w:t xml:space="preserve">implementation </w:t>
      </w:r>
      <w:r w:rsidR="00DD704F">
        <w:t>of the special measures</w:t>
      </w:r>
      <w:r w:rsidR="0498DFD5">
        <w:t xml:space="preserve"> </w:t>
      </w:r>
      <w:r w:rsidR="00DD704F">
        <w:t>outlined in</w:t>
      </w:r>
      <w:r w:rsidR="006903ED">
        <w:t xml:space="preserve"> </w:t>
      </w:r>
      <w:r w:rsidR="00AC3235">
        <w:t>S28</w:t>
      </w:r>
      <w:r w:rsidR="0498DFD5">
        <w:t xml:space="preserve"> of the Youth Justice and Criminal Evidence Act</w:t>
      </w:r>
      <w:r w:rsidR="006C6AFA">
        <w:t xml:space="preserve"> were</w:t>
      </w:r>
      <w:r w:rsidR="008A61EF">
        <w:t xml:space="preserve"> </w:t>
      </w:r>
      <w:r w:rsidR="00932CBF">
        <w:t xml:space="preserve">positively </w:t>
      </w:r>
      <w:r w:rsidR="006C6AFA">
        <w:t xml:space="preserve">associated with </w:t>
      </w:r>
      <w:r w:rsidR="00932CBF">
        <w:t xml:space="preserve">the way </w:t>
      </w:r>
      <w:r w:rsidR="0498DFD5">
        <w:t xml:space="preserve">child witnesses </w:t>
      </w:r>
      <w:r w:rsidR="00932CBF">
        <w:t xml:space="preserve">were questioned </w:t>
      </w:r>
      <w:r w:rsidR="0498DFD5">
        <w:t>by significantly reducing the proportion of suggestive questions th</w:t>
      </w:r>
      <w:r w:rsidR="006903ED">
        <w:t>at</w:t>
      </w:r>
      <w:r w:rsidR="0498DFD5">
        <w:t xml:space="preserve"> were asked </w:t>
      </w:r>
      <w:r w:rsidR="00932CBF">
        <w:t xml:space="preserve">by </w:t>
      </w:r>
      <w:r w:rsidR="008F2A00">
        <w:t>defence</w:t>
      </w:r>
      <w:r w:rsidR="00932CBF">
        <w:t xml:space="preserve"> lawyers</w:t>
      </w:r>
      <w:r w:rsidR="0498DFD5">
        <w:t>.</w:t>
      </w:r>
      <w:r w:rsidR="0019328D">
        <w:t xml:space="preserve"> </w:t>
      </w:r>
      <w:r w:rsidR="00411AA0">
        <w:t>In addition, a</w:t>
      </w:r>
      <w:r w:rsidR="009D20F3">
        <w:t>nalyses revealed that</w:t>
      </w:r>
      <w:r w:rsidR="005F0315">
        <w:t>,</w:t>
      </w:r>
      <w:r w:rsidR="009D20F3">
        <w:t xml:space="preserve"> regardless of pre-recorded cross-examination</w:t>
      </w:r>
      <w:r w:rsidR="007B3858">
        <w:t>s</w:t>
      </w:r>
      <w:r w:rsidR="009D20F3">
        <w:t xml:space="preserve">, GRHs </w:t>
      </w:r>
      <w:r w:rsidR="006C6AFA">
        <w:t>were associated with</w:t>
      </w:r>
      <w:r w:rsidR="009D20F3">
        <w:t xml:space="preserve"> improved questioning procedures</w:t>
      </w:r>
      <w:r w:rsidR="004D7B7E">
        <w:t xml:space="preserve">, although </w:t>
      </w:r>
      <w:r w:rsidR="008F72E3">
        <w:t xml:space="preserve">suggestive questions </w:t>
      </w:r>
      <w:r w:rsidR="005F0315">
        <w:t xml:space="preserve">were </w:t>
      </w:r>
      <w:r w:rsidR="008F72E3">
        <w:t>still asked with some frequency</w:t>
      </w:r>
      <w:r w:rsidR="004D7B7E">
        <w:t>. Younger</w:t>
      </w:r>
      <w:r w:rsidR="000106C9">
        <w:t xml:space="preserve"> children </w:t>
      </w:r>
      <w:r w:rsidR="005F0315">
        <w:t>we</w:t>
      </w:r>
      <w:r w:rsidR="000106C9">
        <w:t xml:space="preserve">re more compliant </w:t>
      </w:r>
      <w:r w:rsidR="005F0315">
        <w:t>with</w:t>
      </w:r>
      <w:r w:rsidR="000106C9">
        <w:t xml:space="preserve"> defence lawyers’ suggestive questions, </w:t>
      </w:r>
      <w:r w:rsidR="008F72E3">
        <w:t>and</w:t>
      </w:r>
      <w:r w:rsidR="004D7B7E">
        <w:t>,</w:t>
      </w:r>
      <w:r w:rsidR="009536CE">
        <w:t xml:space="preserve"> </w:t>
      </w:r>
      <w:r w:rsidR="004D7B7E">
        <w:t xml:space="preserve">disconcertingly, </w:t>
      </w:r>
      <w:r w:rsidR="009D20F3">
        <w:t xml:space="preserve">risky </w:t>
      </w:r>
      <w:r w:rsidR="008F72E3">
        <w:t xml:space="preserve">suggestive questions </w:t>
      </w:r>
      <w:r w:rsidR="005F0315">
        <w:t xml:space="preserve">were </w:t>
      </w:r>
      <w:r w:rsidR="008F72E3">
        <w:t xml:space="preserve">merely being </w:t>
      </w:r>
      <w:r w:rsidR="005F0315">
        <w:t>replaced by</w:t>
      </w:r>
      <w:r w:rsidR="008F72E3">
        <w:t xml:space="preserve"> </w:t>
      </w:r>
      <w:r w:rsidR="009D20F3">
        <w:t xml:space="preserve">risky </w:t>
      </w:r>
      <w:r w:rsidR="008F72E3">
        <w:t xml:space="preserve">option-posing questions in the S28 condition.  </w:t>
      </w:r>
      <w:r w:rsidR="00B9528A">
        <w:t xml:space="preserve"> </w:t>
      </w:r>
    </w:p>
    <w:p w14:paraId="52D41004" w14:textId="4D2B0F04" w:rsidR="00AF56D5" w:rsidRPr="000C17CB" w:rsidRDefault="0498DFD5" w:rsidP="0498DFD5">
      <w:pPr>
        <w:spacing w:line="480" w:lineRule="auto"/>
        <w:rPr>
          <w:b/>
          <w:bCs/>
        </w:rPr>
      </w:pPr>
      <w:r w:rsidRPr="0498DFD5">
        <w:rPr>
          <w:b/>
          <w:bCs/>
        </w:rPr>
        <w:t>Key Findings</w:t>
      </w:r>
      <w:r>
        <w:t xml:space="preserve">  </w:t>
      </w:r>
    </w:p>
    <w:p w14:paraId="77E17CDE" w14:textId="29FC88E1" w:rsidR="00476A0A" w:rsidRDefault="009D20F3" w:rsidP="00ED4238">
      <w:pPr>
        <w:spacing w:line="480" w:lineRule="auto"/>
        <w:ind w:firstLine="720"/>
      </w:pPr>
      <w:r>
        <w:t>We hypothesi</w:t>
      </w:r>
      <w:r w:rsidR="00F21E5E">
        <w:t>s</w:t>
      </w:r>
      <w:r>
        <w:t>ed that prosecutors would question children more appropriately in the S28 condition</w:t>
      </w:r>
      <w:r w:rsidR="00ED4238">
        <w:t xml:space="preserve"> than in the NS28 condition</w:t>
      </w:r>
      <w:r w:rsidR="004D7B7E">
        <w:t xml:space="preserve">, but because the use of ABE interviews as evidence reduced the need for prosecutors to ask many questions, </w:t>
      </w:r>
      <w:r w:rsidR="00ED4238">
        <w:t xml:space="preserve">it was not possible to explore the effects of S28 on the prosecutors’ behaviour. </w:t>
      </w:r>
      <w:r w:rsidR="004D7B7E">
        <w:t xml:space="preserve"> </w:t>
      </w:r>
      <w:r w:rsidR="00ED4238">
        <w:t xml:space="preserve">However, as in previous studies </w:t>
      </w:r>
      <w:r w:rsidR="00FB39B4" w:rsidRPr="39123F4B">
        <w:t>(</w:t>
      </w:r>
      <w:r w:rsidR="000106C9">
        <w:t xml:space="preserve">Andrews &amp; Lamb, 2016; </w:t>
      </w:r>
      <w:r w:rsidR="00FB39B4" w:rsidRPr="0498DFD5">
        <w:rPr>
          <w:color w:val="000000" w:themeColor="text1"/>
        </w:rPr>
        <w:t xml:space="preserve">Hanna et al., 2012; </w:t>
      </w:r>
      <w:proofErr w:type="spellStart"/>
      <w:r w:rsidR="00FB39B4" w:rsidRPr="0498DFD5">
        <w:rPr>
          <w:color w:val="000000" w:themeColor="text1"/>
        </w:rPr>
        <w:t>Klemfuss</w:t>
      </w:r>
      <w:proofErr w:type="spellEnd"/>
      <w:r w:rsidR="00FB39B4" w:rsidRPr="0498DFD5">
        <w:rPr>
          <w:color w:val="000000" w:themeColor="text1"/>
        </w:rPr>
        <w:t xml:space="preserve"> et al., 2014;</w:t>
      </w:r>
      <w:r w:rsidR="00FB39B4" w:rsidRPr="0498DFD5">
        <w:rPr>
          <w:b/>
          <w:bCs/>
          <w:color w:val="000000" w:themeColor="text1"/>
        </w:rPr>
        <w:t xml:space="preserve"> </w:t>
      </w:r>
      <w:r w:rsidR="00FB39B4" w:rsidRPr="0498DFD5">
        <w:rPr>
          <w:color w:val="000000" w:themeColor="text1"/>
        </w:rPr>
        <w:t xml:space="preserve">Stolzenberg &amp; Lyon, 2014; </w:t>
      </w:r>
      <w:proofErr w:type="spellStart"/>
      <w:r w:rsidR="00FB39B4" w:rsidRPr="0498DFD5">
        <w:rPr>
          <w:color w:val="000000" w:themeColor="text1"/>
        </w:rPr>
        <w:t>Zajac</w:t>
      </w:r>
      <w:proofErr w:type="spellEnd"/>
      <w:r w:rsidR="00FB39B4" w:rsidRPr="0498DFD5">
        <w:rPr>
          <w:color w:val="000000" w:themeColor="text1"/>
        </w:rPr>
        <w:t xml:space="preserve"> &amp; </w:t>
      </w:r>
      <w:proofErr w:type="spellStart"/>
      <w:r w:rsidR="00FB39B4" w:rsidRPr="0498DFD5">
        <w:rPr>
          <w:color w:val="000000" w:themeColor="text1"/>
        </w:rPr>
        <w:t>Cannan</w:t>
      </w:r>
      <w:proofErr w:type="spellEnd"/>
      <w:r w:rsidR="00FB39B4" w:rsidRPr="0498DFD5">
        <w:rPr>
          <w:color w:val="000000" w:themeColor="text1"/>
        </w:rPr>
        <w:t>, 2009)</w:t>
      </w:r>
      <w:r w:rsidR="00FB39B4" w:rsidRPr="39123F4B">
        <w:t>,</w:t>
      </w:r>
      <w:r w:rsidR="009536CE">
        <w:t xml:space="preserve"> </w:t>
      </w:r>
      <w:r w:rsidR="00FB39B4">
        <w:t>p</w:t>
      </w:r>
      <w:r w:rsidR="0498DFD5">
        <w:t>rosecutors</w:t>
      </w:r>
      <w:r w:rsidR="00932CBF">
        <w:t xml:space="preserve"> in</w:t>
      </w:r>
      <w:r w:rsidR="0498DFD5">
        <w:t xml:space="preserve"> both </w:t>
      </w:r>
      <w:r w:rsidR="00932CBF">
        <w:t xml:space="preserve">trial </w:t>
      </w:r>
      <w:r w:rsidR="0498DFD5">
        <w:t xml:space="preserve">conditions </w:t>
      </w:r>
      <w:r w:rsidR="00932CBF">
        <w:t xml:space="preserve">used </w:t>
      </w:r>
      <w:r w:rsidR="000106C9">
        <w:t>virtually no invitations</w:t>
      </w:r>
      <w:r w:rsidR="00ED4238">
        <w:t xml:space="preserve"> but </w:t>
      </w:r>
      <w:r w:rsidR="000106C9">
        <w:t>use</w:t>
      </w:r>
      <w:r w:rsidR="00ED4238">
        <w:t>d</w:t>
      </w:r>
      <w:r w:rsidR="000106C9">
        <w:t xml:space="preserve"> more directive and option-posing prompts and fewer suggestive prompts than defence lawyers. </w:t>
      </w:r>
      <w:r w:rsidR="00560ECD">
        <w:t>In Scottish direct</w:t>
      </w:r>
      <w:r w:rsidR="00C707E9" w:rsidRPr="39123F4B">
        <w:t>-</w:t>
      </w:r>
      <w:r w:rsidR="00560ECD">
        <w:t>examinations</w:t>
      </w:r>
      <w:r w:rsidR="003F7760">
        <w:t xml:space="preserve"> </w:t>
      </w:r>
      <w:r w:rsidR="00ED4238">
        <w:t xml:space="preserve">in the absence of </w:t>
      </w:r>
      <w:r w:rsidR="003F7760">
        <w:t>pre-recorded evidence</w:t>
      </w:r>
      <w:r w:rsidR="00560ECD" w:rsidRPr="39123F4B">
        <w:t xml:space="preserve">, </w:t>
      </w:r>
      <w:r w:rsidR="005A0B9D">
        <w:t>by contrast</w:t>
      </w:r>
      <w:r w:rsidR="008E5418">
        <w:t xml:space="preserve">, </w:t>
      </w:r>
      <w:r w:rsidR="00560ECD">
        <w:lastRenderedPageBreak/>
        <w:t>prosecutors asked</w:t>
      </w:r>
      <w:r w:rsidR="008E5418">
        <w:t>, on average,</w:t>
      </w:r>
      <w:r w:rsidR="00560ECD">
        <w:t xml:space="preserve"> 252 </w:t>
      </w:r>
      <w:r w:rsidR="00A95188" w:rsidRPr="39123F4B">
        <w:t>(</w:t>
      </w:r>
      <w:r w:rsidR="00A95188" w:rsidRPr="39123F4B">
        <w:rPr>
          <w:i/>
          <w:iCs/>
        </w:rPr>
        <w:t xml:space="preserve">SD </w:t>
      </w:r>
      <w:r w:rsidR="00A95188">
        <w:t xml:space="preserve">= 182) </w:t>
      </w:r>
      <w:r w:rsidR="00560ECD">
        <w:t>substantive questions (</w:t>
      </w:r>
      <w:r w:rsidR="004D691D">
        <w:t>Andrews &amp; Lamb, 2016</w:t>
      </w:r>
      <w:r w:rsidR="00560ECD">
        <w:t>)</w:t>
      </w:r>
      <w:r w:rsidR="005A0B9D">
        <w:t xml:space="preserve"> whereas </w:t>
      </w:r>
      <w:r w:rsidR="00560ECD">
        <w:t>in the current sample</w:t>
      </w:r>
      <w:r w:rsidR="00A66B5B" w:rsidRPr="39123F4B">
        <w:t xml:space="preserve">, </w:t>
      </w:r>
      <w:r w:rsidR="00B85695">
        <w:t>prosecutors asked 11 (</w:t>
      </w:r>
      <w:r w:rsidR="00B85695" w:rsidRPr="39123F4B">
        <w:rPr>
          <w:i/>
          <w:iCs/>
        </w:rPr>
        <w:t xml:space="preserve">SD </w:t>
      </w:r>
      <w:r w:rsidR="00B85695">
        <w:t xml:space="preserve">= 17) substantive questions </w:t>
      </w:r>
      <w:r w:rsidR="0003013C">
        <w:t xml:space="preserve">in the S28 condition </w:t>
      </w:r>
      <w:r w:rsidR="00B85695">
        <w:t>and 42 (</w:t>
      </w:r>
      <w:r w:rsidR="00B85695" w:rsidRPr="39123F4B">
        <w:rPr>
          <w:i/>
          <w:iCs/>
        </w:rPr>
        <w:t xml:space="preserve">SD </w:t>
      </w:r>
      <w:r w:rsidR="00B85695">
        <w:t xml:space="preserve">= 57) </w:t>
      </w:r>
      <w:r w:rsidR="00363F7F">
        <w:t xml:space="preserve">substantive questions </w:t>
      </w:r>
      <w:r w:rsidR="00560ECD">
        <w:t xml:space="preserve">in the NS28 condition. Similarly, in New Zealand, </w:t>
      </w:r>
      <w:r w:rsidR="009B3DF9">
        <w:t>where</w:t>
      </w:r>
      <w:r w:rsidR="00CD0829" w:rsidRPr="39123F4B">
        <w:t xml:space="preserve"> </w:t>
      </w:r>
      <w:r w:rsidR="00560ECD">
        <w:t>p</w:t>
      </w:r>
      <w:r w:rsidR="00B85695">
        <w:t xml:space="preserve">re-recorded </w:t>
      </w:r>
      <w:r w:rsidR="003F7760">
        <w:t>evidence</w:t>
      </w:r>
      <w:r w:rsidR="00560ECD">
        <w:t xml:space="preserve"> is also permitted, </w:t>
      </w:r>
      <w:r w:rsidR="002F00C3">
        <w:t>prosecutors</w:t>
      </w:r>
      <w:r w:rsidR="00B85695">
        <w:t xml:space="preserve"> asked</w:t>
      </w:r>
      <w:r w:rsidR="003860DA">
        <w:t xml:space="preserve"> an</w:t>
      </w:r>
      <w:r w:rsidR="00B85695">
        <w:t xml:space="preserve"> average </w:t>
      </w:r>
      <w:r w:rsidR="003860DA">
        <w:t xml:space="preserve">of </w:t>
      </w:r>
      <w:r w:rsidR="00B85695">
        <w:t>35</w:t>
      </w:r>
      <w:r w:rsidR="0029797A" w:rsidRPr="39123F4B">
        <w:t xml:space="preserve"> (</w:t>
      </w:r>
      <w:r w:rsidR="0029797A" w:rsidRPr="39123F4B">
        <w:rPr>
          <w:i/>
          <w:iCs/>
        </w:rPr>
        <w:t xml:space="preserve">SD </w:t>
      </w:r>
      <w:r w:rsidR="0029797A">
        <w:t>= 6)</w:t>
      </w:r>
      <w:r w:rsidR="00B85695" w:rsidRPr="39123F4B">
        <w:t xml:space="preserve"> </w:t>
      </w:r>
      <w:r w:rsidR="0029797A">
        <w:t>substantive questions (</w:t>
      </w:r>
      <w:proofErr w:type="spellStart"/>
      <w:r w:rsidR="0029797A">
        <w:t>Zajac</w:t>
      </w:r>
      <w:proofErr w:type="spellEnd"/>
      <w:r w:rsidR="0029797A">
        <w:t xml:space="preserve"> &amp; </w:t>
      </w:r>
      <w:proofErr w:type="spellStart"/>
      <w:r w:rsidR="0029797A">
        <w:t>Cannan</w:t>
      </w:r>
      <w:proofErr w:type="spellEnd"/>
      <w:r w:rsidR="0029797A">
        <w:t>, 2003).</w:t>
      </w:r>
      <w:r w:rsidR="00B85695" w:rsidRPr="39123F4B">
        <w:t xml:space="preserve"> </w:t>
      </w:r>
      <w:r w:rsidR="00CB3FC5">
        <w:t>Thus, a</w:t>
      </w:r>
      <w:r w:rsidR="0498DFD5">
        <w:t xml:space="preserve">lthough </w:t>
      </w:r>
      <w:r w:rsidR="00855295">
        <w:t xml:space="preserve">the </w:t>
      </w:r>
      <w:r w:rsidR="0498DFD5">
        <w:t>small sample size limited the conclusions that could be drawn</w:t>
      </w:r>
      <w:r w:rsidR="00C707E9">
        <w:t xml:space="preserve"> with regards to prosecutors’ questioning</w:t>
      </w:r>
      <w:r w:rsidR="000A14A2">
        <w:t xml:space="preserve">, the findings underline </w:t>
      </w:r>
      <w:r w:rsidR="0498DFD5">
        <w:t xml:space="preserve">the importance of </w:t>
      </w:r>
      <w:r w:rsidR="000F08CC">
        <w:t>high-</w:t>
      </w:r>
      <w:r w:rsidR="003C060F">
        <w:t>quality</w:t>
      </w:r>
      <w:r w:rsidR="0498DFD5">
        <w:t xml:space="preserve"> forensic interview</w:t>
      </w:r>
      <w:r w:rsidR="004E302F">
        <w:t>s</w:t>
      </w:r>
      <w:r w:rsidR="003C060F" w:rsidRPr="39123F4B">
        <w:t>.</w:t>
      </w:r>
      <w:r w:rsidR="0498DFD5" w:rsidRPr="39123F4B">
        <w:t xml:space="preserve"> </w:t>
      </w:r>
      <w:r w:rsidR="003C060F">
        <w:t>N</w:t>
      </w:r>
      <w:r w:rsidR="0498DFD5">
        <w:t xml:space="preserve">ot only </w:t>
      </w:r>
      <w:r w:rsidR="000A14A2">
        <w:t xml:space="preserve">do </w:t>
      </w:r>
      <w:r w:rsidR="003C060F">
        <w:t>ABE</w:t>
      </w:r>
      <w:r w:rsidR="004E302F">
        <w:t xml:space="preserve"> interview</w:t>
      </w:r>
      <w:r w:rsidR="003C060F">
        <w:t>s</w:t>
      </w:r>
      <w:r w:rsidR="000A14A2">
        <w:t xml:space="preserve"> play critical roles in </w:t>
      </w:r>
      <w:r w:rsidR="0498DFD5">
        <w:t xml:space="preserve">fact-finding </w:t>
      </w:r>
      <w:r w:rsidR="002464BD">
        <w:t>investigation</w:t>
      </w:r>
      <w:r w:rsidR="003C060F">
        <w:t>s,</w:t>
      </w:r>
      <w:r w:rsidR="0498DFD5" w:rsidRPr="39123F4B">
        <w:t xml:space="preserve"> </w:t>
      </w:r>
      <w:r w:rsidR="00ED4238">
        <w:t xml:space="preserve">but </w:t>
      </w:r>
      <w:r w:rsidR="003C060F">
        <w:t xml:space="preserve">they </w:t>
      </w:r>
      <w:r w:rsidR="00ED4238">
        <w:t xml:space="preserve">also </w:t>
      </w:r>
      <w:r w:rsidR="0022539D">
        <w:t xml:space="preserve">constitute </w:t>
      </w:r>
      <w:r w:rsidR="002C4ABE">
        <w:t>a significant proportion</w:t>
      </w:r>
      <w:r w:rsidR="0022539D">
        <w:t xml:space="preserve"> of the</w:t>
      </w:r>
      <w:r w:rsidR="0498DFD5" w:rsidRPr="39123F4B">
        <w:t xml:space="preserve"> </w:t>
      </w:r>
      <w:r>
        <w:t>direct</w:t>
      </w:r>
      <w:r w:rsidR="00C707E9" w:rsidRPr="39123F4B">
        <w:t>-</w:t>
      </w:r>
      <w:r>
        <w:t>examination</w:t>
      </w:r>
      <w:r w:rsidR="0498DFD5">
        <w:t xml:space="preserve"> in court</w:t>
      </w:r>
      <w:r w:rsidR="00C707E9">
        <w:t>, rendering</w:t>
      </w:r>
      <w:r w:rsidR="0022539D">
        <w:t xml:space="preserve"> their quality especially important</w:t>
      </w:r>
      <w:r w:rsidR="00FC6AE4" w:rsidRPr="39123F4B">
        <w:t xml:space="preserve">. </w:t>
      </w:r>
    </w:p>
    <w:p w14:paraId="568BF067" w14:textId="36DE7F6B" w:rsidR="004065DF" w:rsidRPr="005D1F7B" w:rsidRDefault="009D20F3" w:rsidP="008B0F18">
      <w:pPr>
        <w:spacing w:line="480" w:lineRule="auto"/>
        <w:ind w:firstLine="720"/>
      </w:pPr>
      <w:r>
        <w:t xml:space="preserve">We </w:t>
      </w:r>
      <w:r w:rsidR="00ED4238">
        <w:t xml:space="preserve">also </w:t>
      </w:r>
      <w:r>
        <w:t xml:space="preserve">hypothesised that </w:t>
      </w:r>
      <w:r w:rsidR="008F2A00">
        <w:t>defence</w:t>
      </w:r>
      <w:r>
        <w:t xml:space="preserve"> lawyers would question children more appropriately in the S28 </w:t>
      </w:r>
      <w:r w:rsidR="00ED4238">
        <w:t xml:space="preserve">than in the NS28 </w:t>
      </w:r>
      <w:r>
        <w:t>condition.</w:t>
      </w:r>
      <w:r w:rsidR="00B2179E">
        <w:t xml:space="preserve"> F</w:t>
      </w:r>
      <w:r w:rsidR="00DD41FE">
        <w:t xml:space="preserve">indings regarding </w:t>
      </w:r>
      <w:r w:rsidR="008F2A00">
        <w:t>defence</w:t>
      </w:r>
      <w:r w:rsidR="00DD41FE">
        <w:t xml:space="preserve"> lawyers’ questioning strategies were consistent with research in Scotland, New Zealand, and the United States </w:t>
      </w:r>
      <w:r w:rsidR="0498DFD5" w:rsidRPr="39123F4B">
        <w:t>(</w:t>
      </w:r>
      <w:r w:rsidR="004D691D">
        <w:t>Andrews &amp; Lamb, 2016</w:t>
      </w:r>
      <w:r w:rsidR="00982AA4" w:rsidRPr="39123F4B">
        <w:t xml:space="preserve">; </w:t>
      </w:r>
      <w:r w:rsidR="0498DFD5" w:rsidRPr="0498DFD5">
        <w:rPr>
          <w:color w:val="000000" w:themeColor="text1"/>
        </w:rPr>
        <w:t xml:space="preserve">Hanna et al., 2012; </w:t>
      </w:r>
      <w:proofErr w:type="spellStart"/>
      <w:r w:rsidR="0498DFD5" w:rsidRPr="0498DFD5">
        <w:rPr>
          <w:color w:val="000000" w:themeColor="text1"/>
        </w:rPr>
        <w:t>Klemfuss</w:t>
      </w:r>
      <w:proofErr w:type="spellEnd"/>
      <w:r w:rsidR="0498DFD5" w:rsidRPr="0498DFD5">
        <w:rPr>
          <w:color w:val="000000" w:themeColor="text1"/>
        </w:rPr>
        <w:t xml:space="preserve"> et al., 2014;</w:t>
      </w:r>
      <w:r w:rsidR="0498DFD5" w:rsidRPr="0498DFD5">
        <w:rPr>
          <w:b/>
          <w:bCs/>
          <w:color w:val="000000" w:themeColor="text1"/>
        </w:rPr>
        <w:t xml:space="preserve"> </w:t>
      </w:r>
      <w:r w:rsidR="0498DFD5" w:rsidRPr="0498DFD5">
        <w:rPr>
          <w:color w:val="000000" w:themeColor="text1"/>
        </w:rPr>
        <w:t xml:space="preserve">Stolzenberg &amp; Lyon, 2014; </w:t>
      </w:r>
      <w:proofErr w:type="spellStart"/>
      <w:r w:rsidR="0498DFD5" w:rsidRPr="0498DFD5">
        <w:rPr>
          <w:color w:val="000000" w:themeColor="text1"/>
        </w:rPr>
        <w:t>Zajac</w:t>
      </w:r>
      <w:proofErr w:type="spellEnd"/>
      <w:r w:rsidR="0498DFD5" w:rsidRPr="0498DFD5">
        <w:rPr>
          <w:color w:val="000000" w:themeColor="text1"/>
        </w:rPr>
        <w:t xml:space="preserve"> &amp; </w:t>
      </w:r>
      <w:proofErr w:type="spellStart"/>
      <w:r w:rsidR="0498DFD5" w:rsidRPr="0498DFD5">
        <w:rPr>
          <w:color w:val="000000" w:themeColor="text1"/>
        </w:rPr>
        <w:t>Cannan</w:t>
      </w:r>
      <w:proofErr w:type="spellEnd"/>
      <w:r w:rsidR="0498DFD5" w:rsidRPr="0498DFD5">
        <w:rPr>
          <w:color w:val="000000" w:themeColor="text1"/>
        </w:rPr>
        <w:t>, 2009)</w:t>
      </w:r>
      <w:r w:rsidR="00DD41FE">
        <w:rPr>
          <w:color w:val="000000" w:themeColor="text1"/>
        </w:rPr>
        <w:t xml:space="preserve">. </w:t>
      </w:r>
      <w:r w:rsidR="008F2A00">
        <w:t>Defence</w:t>
      </w:r>
      <w:r w:rsidR="0498DFD5">
        <w:t xml:space="preserve"> lawyers in both trial conditions </w:t>
      </w:r>
      <w:r w:rsidR="00BE13D7">
        <w:t xml:space="preserve">used </w:t>
      </w:r>
      <w:r w:rsidR="00A14636">
        <w:t>virtually no invitations and</w:t>
      </w:r>
      <w:r w:rsidR="0498DFD5" w:rsidRPr="39123F4B">
        <w:t xml:space="preserve"> </w:t>
      </w:r>
      <w:r w:rsidR="00BE13D7">
        <w:t xml:space="preserve">asked </w:t>
      </w:r>
      <w:r w:rsidR="0498DFD5">
        <w:t>significantly more option-posing than suggestive or directiv</w:t>
      </w:r>
      <w:r w:rsidR="00A14636">
        <w:t xml:space="preserve">e </w:t>
      </w:r>
      <w:r w:rsidR="003C060F">
        <w:t>questions</w:t>
      </w:r>
      <w:r w:rsidR="0498DFD5" w:rsidRPr="39123F4B">
        <w:t xml:space="preserve">. </w:t>
      </w:r>
      <w:r w:rsidR="000106C9">
        <w:t>In</w:t>
      </w:r>
      <w:r w:rsidR="0498DFD5">
        <w:t xml:space="preserve"> the </w:t>
      </w:r>
      <w:r w:rsidR="003C060F">
        <w:t>S</w:t>
      </w:r>
      <w:r w:rsidR="0498DFD5">
        <w:t xml:space="preserve">28 condition, </w:t>
      </w:r>
      <w:r w:rsidR="008F2A00">
        <w:t>defence</w:t>
      </w:r>
      <w:r w:rsidR="0498DFD5">
        <w:t xml:space="preserve"> lawyers asked significantly more option-posing </w:t>
      </w:r>
      <w:r w:rsidR="00BE13D7">
        <w:t>questions</w:t>
      </w:r>
      <w:r w:rsidR="00B833A9">
        <w:t xml:space="preserve"> and</w:t>
      </w:r>
      <w:r w:rsidR="00BE13D7" w:rsidRPr="39123F4B">
        <w:t xml:space="preserve"> </w:t>
      </w:r>
      <w:r w:rsidR="0498DFD5">
        <w:t xml:space="preserve">significantly fewer suggestive </w:t>
      </w:r>
      <w:r w:rsidR="00BE13D7">
        <w:t xml:space="preserve">questions </w:t>
      </w:r>
      <w:r w:rsidR="0498DFD5">
        <w:t xml:space="preserve">than their </w:t>
      </w:r>
      <w:r w:rsidR="003C060F">
        <w:t xml:space="preserve">NS28 </w:t>
      </w:r>
      <w:r w:rsidR="0498DFD5">
        <w:t>counterparts</w:t>
      </w:r>
      <w:r w:rsidR="00BE13D7" w:rsidRPr="39123F4B">
        <w:t>.</w:t>
      </w:r>
      <w:r w:rsidR="0498DFD5" w:rsidRPr="39123F4B">
        <w:t xml:space="preserve"> </w:t>
      </w:r>
      <w:r w:rsidR="00B2179E">
        <w:t>S</w:t>
      </w:r>
      <w:r w:rsidR="000106C9">
        <w:t xml:space="preserve">uggestive questions </w:t>
      </w:r>
      <w:r w:rsidR="0046061B">
        <w:t xml:space="preserve">are significantly more likely </w:t>
      </w:r>
      <w:r w:rsidR="00ED4238">
        <w:t xml:space="preserve">than option-posing questions </w:t>
      </w:r>
      <w:r w:rsidR="0046061B">
        <w:t xml:space="preserve">to contaminate evidence and </w:t>
      </w:r>
      <w:r w:rsidR="000106C9">
        <w:t xml:space="preserve">elicit self-contradictions (Andrews &amp; Lamb, 2016; </w:t>
      </w:r>
      <w:proofErr w:type="spellStart"/>
      <w:r w:rsidR="000106C9">
        <w:t>Zajac</w:t>
      </w:r>
      <w:proofErr w:type="spellEnd"/>
      <w:r w:rsidR="000106C9">
        <w:t xml:space="preserve"> et al., 2003)</w:t>
      </w:r>
      <w:r w:rsidR="00B2179E">
        <w:t>. Therefore,</w:t>
      </w:r>
      <w:r w:rsidR="000106C9">
        <w:t xml:space="preserve"> </w:t>
      </w:r>
      <w:r w:rsidR="0046061B">
        <w:t xml:space="preserve">the reduction </w:t>
      </w:r>
      <w:r w:rsidR="003923C3">
        <w:t xml:space="preserve">in the numbers </w:t>
      </w:r>
      <w:r w:rsidR="0046061B">
        <w:t xml:space="preserve">of suggestive questions </w:t>
      </w:r>
      <w:r w:rsidR="003923C3">
        <w:t xml:space="preserve">asked </w:t>
      </w:r>
      <w:r w:rsidR="0046061B">
        <w:t xml:space="preserve">in the S28 condition may help to ensure </w:t>
      </w:r>
      <w:r w:rsidR="00ED4238">
        <w:t xml:space="preserve">that </w:t>
      </w:r>
      <w:r w:rsidR="0046061B">
        <w:t>more reliable evidence</w:t>
      </w:r>
      <w:r w:rsidR="00ED4238">
        <w:t xml:space="preserve"> is obtained</w:t>
      </w:r>
      <w:r w:rsidR="0046061B">
        <w:t xml:space="preserve">. </w:t>
      </w:r>
      <w:r w:rsidR="005200B7">
        <w:t>However</w:t>
      </w:r>
      <w:r w:rsidR="00E20FC4" w:rsidRPr="39123F4B">
        <w:t xml:space="preserve">, </w:t>
      </w:r>
      <w:r w:rsidR="0046061B">
        <w:t xml:space="preserve">while </w:t>
      </w:r>
      <w:r w:rsidR="0498DFD5">
        <w:t xml:space="preserve">option-posing prompts do not </w:t>
      </w:r>
      <w:r w:rsidR="00DD41FE">
        <w:t>imply an expected response</w:t>
      </w:r>
      <w:r w:rsidR="0498DFD5" w:rsidRPr="39123F4B">
        <w:t xml:space="preserve"> </w:t>
      </w:r>
      <w:r w:rsidR="00DD41FE">
        <w:t>like</w:t>
      </w:r>
      <w:r w:rsidR="0498DFD5">
        <w:t xml:space="preserve"> suggestive prompts do, they are still </w:t>
      </w:r>
      <w:r w:rsidR="003C060F">
        <w:t xml:space="preserve">problematic </w:t>
      </w:r>
      <w:r w:rsidR="00B2179E">
        <w:t>because</w:t>
      </w:r>
      <w:r w:rsidR="003C060F">
        <w:t xml:space="preserve"> they </w:t>
      </w:r>
      <w:r w:rsidR="0498DFD5">
        <w:t xml:space="preserve">restrict productivity and </w:t>
      </w:r>
      <w:r w:rsidR="00BE13D7">
        <w:t xml:space="preserve">are associated with </w:t>
      </w:r>
      <w:r w:rsidR="003923C3">
        <w:t xml:space="preserve">increases in </w:t>
      </w:r>
      <w:r w:rsidR="00D729C6">
        <w:t>the number</w:t>
      </w:r>
      <w:r w:rsidR="003923C3">
        <w:t>s</w:t>
      </w:r>
      <w:r w:rsidR="00BE13D7">
        <w:t xml:space="preserve"> of</w:t>
      </w:r>
      <w:r w:rsidR="0498DFD5">
        <w:t xml:space="preserve"> incorrect details </w:t>
      </w:r>
      <w:r w:rsidR="00BE13D7">
        <w:t xml:space="preserve">elicited </w:t>
      </w:r>
      <w:r w:rsidR="0498DFD5" w:rsidRPr="39123F4B">
        <w:t>(</w:t>
      </w:r>
      <w:r w:rsidR="0498DFD5" w:rsidRPr="0498DFD5">
        <w:rPr>
          <w:color w:val="000000" w:themeColor="text1"/>
        </w:rPr>
        <w:t>Lamb et al., 2015)</w:t>
      </w:r>
      <w:r w:rsidR="0498DFD5" w:rsidRPr="39123F4B">
        <w:t xml:space="preserve">. </w:t>
      </w:r>
      <w:r w:rsidR="003C060F">
        <w:t>Thus, w</w:t>
      </w:r>
      <w:r w:rsidR="0498DFD5">
        <w:t xml:space="preserve">hile the reduction in </w:t>
      </w:r>
      <w:r w:rsidR="008B0F18">
        <w:t xml:space="preserve">the </w:t>
      </w:r>
      <w:r w:rsidR="008B0F18">
        <w:lastRenderedPageBreak/>
        <w:t xml:space="preserve">number of </w:t>
      </w:r>
      <w:r w:rsidR="0498DFD5">
        <w:t xml:space="preserve">suggestive utterances </w:t>
      </w:r>
      <w:r w:rsidR="008B0F18">
        <w:t xml:space="preserve">used </w:t>
      </w:r>
      <w:r w:rsidR="003C060F">
        <w:t xml:space="preserve">in S28 cases </w:t>
      </w:r>
      <w:r w:rsidR="0498DFD5">
        <w:t xml:space="preserve">is </w:t>
      </w:r>
      <w:r w:rsidR="003C060F">
        <w:t>commendable</w:t>
      </w:r>
      <w:r w:rsidR="0498DFD5">
        <w:t xml:space="preserve">, it is problematic that the majority of </w:t>
      </w:r>
      <w:r w:rsidR="008B0F18">
        <w:t xml:space="preserve">questions asked during </w:t>
      </w:r>
      <w:r w:rsidR="0498DFD5">
        <w:t>cross-examination w</w:t>
      </w:r>
      <w:r w:rsidR="003C060F">
        <w:t>ere</w:t>
      </w:r>
      <w:r w:rsidR="0498DFD5">
        <w:t xml:space="preserve"> close</w:t>
      </w:r>
      <w:r w:rsidR="003C060F">
        <w:t>d</w:t>
      </w:r>
      <w:r w:rsidR="0498DFD5">
        <w:t xml:space="preserve">-ended </w:t>
      </w:r>
      <w:r w:rsidR="003137F2">
        <w:t xml:space="preserve">option-posing </w:t>
      </w:r>
      <w:r w:rsidR="0498DFD5">
        <w:t xml:space="preserve">prompts. </w:t>
      </w:r>
    </w:p>
    <w:p w14:paraId="446F14B0" w14:textId="07F2A91D" w:rsidR="00963D39" w:rsidRDefault="0498DFD5" w:rsidP="08D4D6A2">
      <w:pPr>
        <w:spacing w:line="480" w:lineRule="auto"/>
        <w:ind w:firstLine="720"/>
      </w:pPr>
      <w:r>
        <w:t xml:space="preserve">Although </w:t>
      </w:r>
      <w:r w:rsidR="006D3EEC">
        <w:t>risky prompts were not eliminated from children’s examinations</w:t>
      </w:r>
      <w:r>
        <w:t xml:space="preserve">, it is noteworthy </w:t>
      </w:r>
      <w:r w:rsidR="003860DA">
        <w:t xml:space="preserve">that </w:t>
      </w:r>
      <w:r w:rsidR="006D2C2F">
        <w:t xml:space="preserve">the </w:t>
      </w:r>
      <w:r w:rsidR="008F2A00">
        <w:t>defence</w:t>
      </w:r>
      <w:r>
        <w:t xml:space="preserve"> </w:t>
      </w:r>
      <w:r w:rsidR="006D2C2F">
        <w:t xml:space="preserve">lawyers </w:t>
      </w:r>
      <w:r>
        <w:t xml:space="preserve">in both </w:t>
      </w:r>
      <w:r w:rsidR="006D2C2F">
        <w:t xml:space="preserve">the </w:t>
      </w:r>
      <w:r w:rsidR="00045396">
        <w:t>N</w:t>
      </w:r>
      <w:r w:rsidR="00F32FD8">
        <w:t>S28</w:t>
      </w:r>
      <w:r>
        <w:t xml:space="preserve"> </w:t>
      </w:r>
      <w:r w:rsidR="00DF2FD5">
        <w:t>(</w:t>
      </w:r>
      <w:r w:rsidR="00DF2FD5" w:rsidRPr="08D4D6A2">
        <w:rPr>
          <w:i/>
          <w:iCs/>
        </w:rPr>
        <w:t xml:space="preserve">M </w:t>
      </w:r>
      <w:r w:rsidR="00DF2FD5" w:rsidRPr="005D1F7B">
        <w:t xml:space="preserve">= </w:t>
      </w:r>
      <w:r w:rsidR="00DF2FD5">
        <w:t>.27</w:t>
      </w:r>
      <w:r w:rsidR="00DF2FD5" w:rsidRPr="005D1F7B">
        <w:t xml:space="preserve">, </w:t>
      </w:r>
      <w:r w:rsidR="00DF2FD5" w:rsidRPr="08D4D6A2">
        <w:rPr>
          <w:i/>
          <w:iCs/>
        </w:rPr>
        <w:t xml:space="preserve">SD </w:t>
      </w:r>
      <w:r w:rsidR="00DF2FD5">
        <w:t xml:space="preserve">= .19) </w:t>
      </w:r>
      <w:r>
        <w:t xml:space="preserve">and </w:t>
      </w:r>
      <w:r w:rsidR="00AC3235">
        <w:t>S28</w:t>
      </w:r>
      <w:r>
        <w:t xml:space="preserve"> </w:t>
      </w:r>
      <w:r w:rsidR="00F32FD8">
        <w:t>cases</w:t>
      </w:r>
      <w:r w:rsidR="006D2C2F">
        <w:t xml:space="preserve"> </w:t>
      </w:r>
      <w:r w:rsidR="00DF2FD5">
        <w:t>(</w:t>
      </w:r>
      <w:r w:rsidR="00DF2FD5" w:rsidRPr="08D4D6A2">
        <w:rPr>
          <w:i/>
          <w:iCs/>
        </w:rPr>
        <w:t xml:space="preserve">M </w:t>
      </w:r>
      <w:r w:rsidR="00DF2FD5">
        <w:t>= .10</w:t>
      </w:r>
      <w:r w:rsidR="00DF2FD5" w:rsidRPr="005D1F7B">
        <w:t xml:space="preserve">, </w:t>
      </w:r>
      <w:r w:rsidR="00DF2FD5" w:rsidRPr="08D4D6A2">
        <w:rPr>
          <w:i/>
          <w:iCs/>
        </w:rPr>
        <w:t xml:space="preserve">SD </w:t>
      </w:r>
      <w:r w:rsidR="00DF2FD5" w:rsidRPr="005D1F7B">
        <w:t xml:space="preserve">= </w:t>
      </w:r>
      <w:r w:rsidR="00DF2FD5">
        <w:t xml:space="preserve">.12) </w:t>
      </w:r>
      <w:r w:rsidR="006D2C2F">
        <w:t xml:space="preserve">asked many fewer suggestive questions than counterparts studied </w:t>
      </w:r>
      <w:r>
        <w:t xml:space="preserve">in other countries. For example, in Scotland, </w:t>
      </w:r>
      <w:r w:rsidR="006D2C2F">
        <w:t xml:space="preserve">the United States, and New Zealand, the comparable percentages were </w:t>
      </w:r>
      <w:r w:rsidR="00C43C1B">
        <w:t>48.6% (</w:t>
      </w:r>
      <w:r w:rsidR="004D691D">
        <w:t>Andrews &amp; Lamb, 2016</w:t>
      </w:r>
      <w:r>
        <w:t xml:space="preserve">), 42% (Andrews </w:t>
      </w:r>
      <w:r w:rsidR="00B85E88">
        <w:t>et al.,</w:t>
      </w:r>
      <w:r>
        <w:t xml:space="preserve"> 2015), </w:t>
      </w:r>
      <w:r w:rsidR="006D2C2F">
        <w:t xml:space="preserve">and </w:t>
      </w:r>
      <w:r>
        <w:t xml:space="preserve">56.5% </w:t>
      </w:r>
      <w:r w:rsidR="00683BD7">
        <w:t>(</w:t>
      </w:r>
      <w:r>
        <w:t>Hanna et al., 2012)</w:t>
      </w:r>
      <w:r w:rsidR="006D2C2F">
        <w:t>, respectively</w:t>
      </w:r>
      <w:r>
        <w:t xml:space="preserve">. This </w:t>
      </w:r>
      <w:r w:rsidR="00937ACC">
        <w:t xml:space="preserve">may reflect </w:t>
      </w:r>
      <w:r w:rsidR="001367AD">
        <w:t xml:space="preserve">the impact of </w:t>
      </w:r>
      <w:r w:rsidR="00D97676">
        <w:t xml:space="preserve">both </w:t>
      </w:r>
      <w:r w:rsidR="001367AD">
        <w:t xml:space="preserve">relevant research </w:t>
      </w:r>
      <w:r w:rsidR="00D97676">
        <w:t xml:space="preserve">and a </w:t>
      </w:r>
      <w:r w:rsidR="00937ACC">
        <w:t>number of educational and training programs in England for lawyers and the judiciary (see The Advocate’s Gateway, 2016), as well as interventions by</w:t>
      </w:r>
      <w:r>
        <w:t xml:space="preserve"> intermediaries</w:t>
      </w:r>
      <w:r w:rsidR="00937ACC">
        <w:t xml:space="preserve"> and judges (</w:t>
      </w:r>
      <w:r w:rsidR="00D729C6">
        <w:t xml:space="preserve">particularly </w:t>
      </w:r>
      <w:r w:rsidR="00937ACC">
        <w:t xml:space="preserve">in </w:t>
      </w:r>
      <w:r w:rsidR="003923C3">
        <w:t xml:space="preserve">pre-trial </w:t>
      </w:r>
      <w:r w:rsidR="00937ACC">
        <w:t>GRHs).</w:t>
      </w:r>
      <w:r w:rsidR="00BC7B8C">
        <w:t xml:space="preserve"> </w:t>
      </w:r>
    </w:p>
    <w:p w14:paraId="38E6B027" w14:textId="581BDFF3" w:rsidR="0013691F" w:rsidRDefault="0013691F" w:rsidP="00807B9B">
      <w:pPr>
        <w:spacing w:line="480" w:lineRule="auto"/>
        <w:ind w:firstLine="720"/>
      </w:pPr>
      <w:r>
        <w:t>Regarding children’s responses, we hypothesised that younger children would be more compliant than older children. Results demonstrated that the</w:t>
      </w:r>
      <w:r w:rsidRPr="39123F4B">
        <w:t xml:space="preserve"> </w:t>
      </w:r>
      <w:r>
        <w:t>q</w:t>
      </w:r>
      <w:r w:rsidRPr="0013691F">
        <w:t>uality of the children’s responses was very similar in the NS28 and S28 conditions. As in other field research (Andrews</w:t>
      </w:r>
      <w:r w:rsidRPr="39123F4B">
        <w:t xml:space="preserve"> </w:t>
      </w:r>
      <w:r w:rsidR="00B85E88">
        <w:t>et al.,</w:t>
      </w:r>
      <w:r>
        <w:t xml:space="preserve"> 2015</w:t>
      </w:r>
      <w:r w:rsidRPr="0013691F">
        <w:t>; Andrews &amp; Lamb, 2016</w:t>
      </w:r>
      <w:r w:rsidRPr="39123F4B">
        <w:t xml:space="preserve">; </w:t>
      </w:r>
      <w:proofErr w:type="spellStart"/>
      <w:r>
        <w:t>Klemfuss</w:t>
      </w:r>
      <w:proofErr w:type="spellEnd"/>
      <w:r>
        <w:t xml:space="preserve"> et al., 2014</w:t>
      </w:r>
      <w:r w:rsidRPr="0013691F">
        <w:t xml:space="preserve">), children were highly responsive in the NS28 condition (&gt; 90%), leaving little room for improvement in the S28 condition. </w:t>
      </w:r>
      <w:r>
        <w:t>Interestingly, c</w:t>
      </w:r>
      <w:r w:rsidRPr="0013691F">
        <w:t>hil</w:t>
      </w:r>
      <w:r>
        <w:t>dren in the younger age group (6-12 years old</w:t>
      </w:r>
      <w:r w:rsidRPr="39123F4B">
        <w:t xml:space="preserve">) </w:t>
      </w:r>
      <w:r w:rsidR="00441F6C">
        <w:t>did comply</w:t>
      </w:r>
      <w:r w:rsidRPr="0013691F">
        <w:t xml:space="preserve"> with defence lawyers’ suggestions more</w:t>
      </w:r>
      <w:r w:rsidR="00441F6C">
        <w:t xml:space="preserve"> often</w:t>
      </w:r>
      <w:r w:rsidRPr="0013691F">
        <w:t xml:space="preserve"> than the 13- to 15-year-olds</w:t>
      </w:r>
      <w:r w:rsidR="00991962">
        <w:t xml:space="preserve"> did</w:t>
      </w:r>
      <w:r w:rsidRPr="0013691F">
        <w:t>, highlighting the ne</w:t>
      </w:r>
      <w:r w:rsidR="0E235F38" w:rsidRPr="0013691F">
        <w:t xml:space="preserve">ed for </w:t>
      </w:r>
      <w:r w:rsidRPr="0013691F">
        <w:t xml:space="preserve">lawyers, judges, and intermediaries (if involved) </w:t>
      </w:r>
      <w:r w:rsidR="36294EE6" w:rsidRPr="0013691F">
        <w:t xml:space="preserve">to </w:t>
      </w:r>
      <w:r w:rsidR="00774B53">
        <w:t>fully</w:t>
      </w:r>
      <w:r w:rsidR="00774B53" w:rsidRPr="0013691F">
        <w:t xml:space="preserve"> </w:t>
      </w:r>
      <w:r w:rsidR="0E235F38" w:rsidRPr="0013691F">
        <w:t>d</w:t>
      </w:r>
      <w:r w:rsidRPr="0013691F">
        <w:t xml:space="preserve">iscuss </w:t>
      </w:r>
      <w:r w:rsidR="003923C3" w:rsidRPr="0013691F">
        <w:t xml:space="preserve">in the GRHs </w:t>
      </w:r>
      <w:r w:rsidRPr="0013691F">
        <w:t xml:space="preserve">how </w:t>
      </w:r>
      <w:r w:rsidR="00774B53">
        <w:t xml:space="preserve">younger </w:t>
      </w:r>
      <w:r w:rsidRPr="0013691F">
        <w:t>children will be questioned</w:t>
      </w:r>
      <w:r w:rsidR="08D4D6A2" w:rsidRPr="39123F4B">
        <w:t xml:space="preserve">, </w:t>
      </w:r>
      <w:r w:rsidR="003923C3">
        <w:t xml:space="preserve">and </w:t>
      </w:r>
      <w:r w:rsidR="71492419" w:rsidRPr="0013691F">
        <w:t>specifical</w:t>
      </w:r>
      <w:r w:rsidR="58DEBECC" w:rsidRPr="0013691F">
        <w:t xml:space="preserve">ly </w:t>
      </w:r>
      <w:r w:rsidR="003923C3">
        <w:t>how</w:t>
      </w:r>
      <w:r w:rsidR="71492419" w:rsidRPr="39123F4B">
        <w:t xml:space="preserve"> </w:t>
      </w:r>
      <w:r w:rsidR="58DEBECC" w:rsidRPr="0013691F">
        <w:t>risky question</w:t>
      </w:r>
      <w:r w:rsidR="003923C3">
        <w:t>s can be avoided</w:t>
      </w:r>
      <w:r w:rsidRPr="39123F4B">
        <w:t>.</w:t>
      </w:r>
      <w:r w:rsidR="36294EE6" w:rsidRPr="36294EE6">
        <w:t xml:space="preserve"> In these circumstances, </w:t>
      </w:r>
      <w:r w:rsidR="003923C3">
        <w:t xml:space="preserve">having </w:t>
      </w:r>
      <w:r w:rsidR="697A6FBE" w:rsidRPr="36294EE6">
        <w:t xml:space="preserve">questions </w:t>
      </w:r>
      <w:r w:rsidR="003923C3">
        <w:t xml:space="preserve">drafted </w:t>
      </w:r>
      <w:r w:rsidR="697A6FBE" w:rsidRPr="36294EE6">
        <w:t>and approved by the judge and/or intermediary</w:t>
      </w:r>
      <w:r w:rsidR="36294EE6" w:rsidRPr="36294EE6">
        <w:t xml:space="preserve"> </w:t>
      </w:r>
      <w:r w:rsidR="0006552C">
        <w:t>might</w:t>
      </w:r>
      <w:r w:rsidR="36294EE6" w:rsidRPr="36294EE6">
        <w:t xml:space="preserve"> significantly </w:t>
      </w:r>
      <w:r w:rsidR="0006552C">
        <w:t>enhance the quality of</w:t>
      </w:r>
      <w:r w:rsidR="36294EE6" w:rsidRPr="36294EE6">
        <w:t xml:space="preserve"> questioning during the cross-examination, </w:t>
      </w:r>
      <w:r w:rsidR="0006552C">
        <w:t xml:space="preserve">thereby eliciting </w:t>
      </w:r>
      <w:r w:rsidR="697A6FBE" w:rsidRPr="697A6FBE">
        <w:t xml:space="preserve">more reliable testimony. </w:t>
      </w:r>
    </w:p>
    <w:p w14:paraId="6BA08837" w14:textId="72684F78" w:rsidR="00DE5E09" w:rsidRDefault="00DE5E09" w:rsidP="004857A6">
      <w:pPr>
        <w:spacing w:line="480" w:lineRule="auto"/>
      </w:pPr>
      <w:r>
        <w:lastRenderedPageBreak/>
        <w:tab/>
      </w:r>
      <w:r w:rsidR="003137F2">
        <w:t>Finally</w:t>
      </w:r>
      <w:r>
        <w:t>,</w:t>
      </w:r>
      <w:r w:rsidR="0013691F">
        <w:t xml:space="preserve"> we hypothesised that GRHs alone would </w:t>
      </w:r>
      <w:r w:rsidR="00774B53">
        <w:t xml:space="preserve">be associated with more appropriate </w:t>
      </w:r>
      <w:r w:rsidR="0013691F">
        <w:t>questioning strategies. A</w:t>
      </w:r>
      <w:r w:rsidR="009D20F3">
        <w:t xml:space="preserve">nalyses revealed </w:t>
      </w:r>
      <w:r>
        <w:t xml:space="preserve">that children involved in cases with GRHs, </w:t>
      </w:r>
      <w:r w:rsidR="00991962">
        <w:t>whether or not they benefitted from the Section 28 special measure</w:t>
      </w:r>
      <w:r>
        <w:t>, were asked fewer suggestive questions</w:t>
      </w:r>
      <w:r w:rsidR="00807B9B">
        <w:t xml:space="preserve"> and</w:t>
      </w:r>
      <w:r w:rsidR="00A414D0">
        <w:t xml:space="preserve">, </w:t>
      </w:r>
      <w:r w:rsidR="009D20F3">
        <w:t>crucially</w:t>
      </w:r>
      <w:r w:rsidR="00A414D0">
        <w:t xml:space="preserve">, </w:t>
      </w:r>
      <w:r w:rsidR="0066175B">
        <w:t>more directive questions</w:t>
      </w:r>
      <w:r>
        <w:t xml:space="preserve">. </w:t>
      </w:r>
      <w:r w:rsidR="00A13576">
        <w:t xml:space="preserve">Only a small number of cases that were not involved in the S28 pilot study held GRHs, so additional research is </w:t>
      </w:r>
      <w:r w:rsidR="0071096F">
        <w:t xml:space="preserve">necessary to further elucidate </w:t>
      </w:r>
      <w:r w:rsidR="00A13576">
        <w:t>the</w:t>
      </w:r>
      <w:r w:rsidR="00991962">
        <w:t xml:space="preserve"> specific </w:t>
      </w:r>
      <w:r w:rsidR="00A13576">
        <w:t>effects of GRHs on questioning</w:t>
      </w:r>
      <w:r w:rsidR="00991962">
        <w:t xml:space="preserve"> although it is possible</w:t>
      </w:r>
      <w:r w:rsidR="00A13576">
        <w:t xml:space="preserve"> </w:t>
      </w:r>
      <w:r>
        <w:t xml:space="preserve">that judges and lawyers who were not </w:t>
      </w:r>
      <w:r w:rsidR="00991962">
        <w:t>implementing Section 28</w:t>
      </w:r>
      <w:r>
        <w:t xml:space="preserve"> still made accommodations for </w:t>
      </w:r>
      <w:r w:rsidR="00991962">
        <w:t>young</w:t>
      </w:r>
      <w:r>
        <w:t xml:space="preserve"> witnesses. </w:t>
      </w:r>
      <w:r w:rsidR="00441F6C">
        <w:t xml:space="preserve">If </w:t>
      </w:r>
      <w:r w:rsidR="005C7516">
        <w:t>the restrictions placed during GRHs continue to be appropriately adhered to</w:t>
      </w:r>
      <w:r w:rsidR="00441F6C">
        <w:t xml:space="preserve">, </w:t>
      </w:r>
      <w:r w:rsidR="004F0226">
        <w:t xml:space="preserve">the use of </w:t>
      </w:r>
      <w:r w:rsidR="00441F6C">
        <w:t xml:space="preserve">GRHs </w:t>
      </w:r>
      <w:r w:rsidR="004F0226">
        <w:t xml:space="preserve">may </w:t>
      </w:r>
      <w:r w:rsidR="00441F6C">
        <w:t xml:space="preserve">improve </w:t>
      </w:r>
      <w:r w:rsidR="004F0226">
        <w:t>the ways in which</w:t>
      </w:r>
      <w:r w:rsidR="00441F6C">
        <w:t xml:space="preserve"> </w:t>
      </w:r>
      <w:r w:rsidR="009C2992">
        <w:t>children</w:t>
      </w:r>
      <w:r w:rsidR="00F011A9">
        <w:t>,</w:t>
      </w:r>
      <w:r w:rsidR="00441F6C">
        <w:t xml:space="preserve"> as well as other vulnerable witnesses</w:t>
      </w:r>
      <w:r w:rsidR="004F0226">
        <w:t>, are questioned</w:t>
      </w:r>
      <w:r w:rsidR="00441F6C">
        <w:t>.</w:t>
      </w:r>
      <w:r w:rsidR="005C7516">
        <w:t xml:space="preserve"> Critically, these </w:t>
      </w:r>
      <w:r w:rsidR="004F0226">
        <w:t xml:space="preserve">hearings are already permitted in all cases involving vulnerable witnesses. </w:t>
      </w:r>
    </w:p>
    <w:p w14:paraId="4FFA79C0" w14:textId="24427823" w:rsidR="00852F67" w:rsidRPr="005D1F7B" w:rsidRDefault="0498DFD5" w:rsidP="0498DFD5">
      <w:pPr>
        <w:spacing w:line="480" w:lineRule="auto"/>
        <w:rPr>
          <w:b/>
          <w:bCs/>
        </w:rPr>
      </w:pPr>
      <w:r w:rsidRPr="0498DFD5">
        <w:rPr>
          <w:b/>
          <w:bCs/>
        </w:rPr>
        <w:t>Limitations and Future Directions</w:t>
      </w:r>
    </w:p>
    <w:p w14:paraId="71451D30" w14:textId="1D1AB074" w:rsidR="00D729C6" w:rsidRDefault="00D50F06" w:rsidP="08D4D6A2">
      <w:pPr>
        <w:spacing w:line="480" w:lineRule="auto"/>
      </w:pPr>
      <w:r w:rsidRPr="005D1F7B">
        <w:tab/>
      </w:r>
      <w:r w:rsidR="00C8605F">
        <w:t>S</w:t>
      </w:r>
      <w:r w:rsidR="00C8605F" w:rsidRPr="005D1F7B">
        <w:t xml:space="preserve">everal </w:t>
      </w:r>
      <w:r w:rsidRPr="005D1F7B">
        <w:t xml:space="preserve">limitations </w:t>
      </w:r>
      <w:r w:rsidR="00ED22FC">
        <w:t xml:space="preserve">of the current study </w:t>
      </w:r>
      <w:r w:rsidR="002659CD">
        <w:t xml:space="preserve">should be noted. </w:t>
      </w:r>
      <w:r w:rsidR="00852F67" w:rsidRPr="005D1F7B">
        <w:t xml:space="preserve">Firstly, </w:t>
      </w:r>
      <w:r w:rsidR="00C8605F">
        <w:t>most</w:t>
      </w:r>
      <w:r w:rsidR="00852F67" w:rsidRPr="005D1F7B">
        <w:t xml:space="preserve"> of the child</w:t>
      </w:r>
      <w:r w:rsidR="003E3336" w:rsidRPr="005D1F7B">
        <w:t>ren</w:t>
      </w:r>
      <w:r w:rsidR="00852F67" w:rsidRPr="005D1F7B">
        <w:t>’s examination</w:t>
      </w:r>
      <w:r w:rsidR="003E3336" w:rsidRPr="005D1F7B">
        <w:t>s</w:t>
      </w:r>
      <w:r w:rsidR="00B24D1C">
        <w:t xml:space="preserve"> </w:t>
      </w:r>
      <w:r w:rsidR="00D729C6">
        <w:t>consisted of</w:t>
      </w:r>
      <w:r w:rsidR="00852F67" w:rsidRPr="005D1F7B">
        <w:t xml:space="preserve"> close</w:t>
      </w:r>
      <w:r w:rsidR="00ED22FC">
        <w:t>d</w:t>
      </w:r>
      <w:r w:rsidR="00852F67" w:rsidRPr="005D1F7B">
        <w:t xml:space="preserve">-ended, option-posing prompts asked </w:t>
      </w:r>
      <w:r w:rsidR="00ED22FC" w:rsidRPr="005D1F7B">
        <w:t xml:space="preserve">by </w:t>
      </w:r>
      <w:r w:rsidR="00C8605F">
        <w:t xml:space="preserve">the </w:t>
      </w:r>
      <w:r w:rsidR="008F2A00" w:rsidRPr="005D1F7B">
        <w:t>defence</w:t>
      </w:r>
      <w:r w:rsidR="00852F67" w:rsidRPr="005D1F7B">
        <w:t xml:space="preserve"> </w:t>
      </w:r>
      <w:r w:rsidR="00ED22FC">
        <w:t>lawyers</w:t>
      </w:r>
      <w:r w:rsidR="009722FD">
        <w:t xml:space="preserve">. This </w:t>
      </w:r>
      <w:r w:rsidR="00D729C6">
        <w:t xml:space="preserve">again </w:t>
      </w:r>
      <w:r w:rsidR="009722FD">
        <w:t xml:space="preserve">emphasises the importance of </w:t>
      </w:r>
      <w:r w:rsidR="006B5AF8">
        <w:t xml:space="preserve">using </w:t>
      </w:r>
      <w:r w:rsidR="009722FD">
        <w:t>ABE forensic interviews</w:t>
      </w:r>
      <w:r w:rsidR="00D729C6">
        <w:t xml:space="preserve"> as evidence</w:t>
      </w:r>
      <w:r w:rsidR="006B5AF8">
        <w:t xml:space="preserve"> but</w:t>
      </w:r>
      <w:r w:rsidR="009722FD">
        <w:t xml:space="preserve"> does limit researchers’ abilities to explore the effects of the S28 reforms on </w:t>
      </w:r>
      <w:r w:rsidR="006B5AF8">
        <w:t xml:space="preserve">how children are questioned in court, in part because many in-court examinations were so brief. </w:t>
      </w:r>
      <w:r w:rsidR="00FC68CB">
        <w:t xml:space="preserve">As well, because of the limited number of young children in the sample, developmental differences in children’s responsiveness </w:t>
      </w:r>
      <w:r w:rsidR="000F08CC">
        <w:t>could not</w:t>
      </w:r>
      <w:r w:rsidR="00FC68CB">
        <w:t xml:space="preserve"> be fully investigated. </w:t>
      </w:r>
      <w:r w:rsidR="00474678">
        <w:t>The age categories employed in this study are common practice in field research (e.g., Andrews &amp; Lamb, 2016; Stolzenberg &amp; Lyon, 2014)</w:t>
      </w:r>
      <w:r w:rsidR="000F08CC">
        <w:t xml:space="preserve"> but </w:t>
      </w:r>
      <w:r w:rsidR="00474678">
        <w:t>f</w:t>
      </w:r>
      <w:r w:rsidR="00FC68CB">
        <w:t>uture research</w:t>
      </w:r>
      <w:r w:rsidR="000F08CC">
        <w:t>ers</w:t>
      </w:r>
      <w:r w:rsidR="00FC68CB">
        <w:t xml:space="preserve"> should investigate the effect of children’s age on courtroom questioning</w:t>
      </w:r>
      <w:r w:rsidR="00474678">
        <w:t xml:space="preserve">, </w:t>
      </w:r>
      <w:r w:rsidR="000F08CC">
        <w:t>especially when the children are</w:t>
      </w:r>
      <w:r w:rsidR="00474678">
        <w:t xml:space="preserve"> very young</w:t>
      </w:r>
      <w:r w:rsidR="00FC68CB">
        <w:t>. However, i</w:t>
      </w:r>
      <w:r w:rsidR="006B5AF8">
        <w:t xml:space="preserve">t should be noted that </w:t>
      </w:r>
      <w:r w:rsidR="00505CFA" w:rsidRPr="006C4BE0">
        <w:rPr>
          <w:i/>
          <w:iCs/>
        </w:rPr>
        <w:t>al</w:t>
      </w:r>
      <w:r w:rsidR="00505CFA" w:rsidRPr="0018723D">
        <w:rPr>
          <w:i/>
          <w:iCs/>
        </w:rPr>
        <w:t xml:space="preserve">l </w:t>
      </w:r>
      <w:r w:rsidR="006B5AF8">
        <w:t>relevant</w:t>
      </w:r>
      <w:r w:rsidR="00505CFA">
        <w:t xml:space="preserve"> S28 cases</w:t>
      </w:r>
      <w:r w:rsidR="006B5AF8">
        <w:t xml:space="preserve"> </w:t>
      </w:r>
      <w:r w:rsidR="000F08CC">
        <w:t xml:space="preserve">were included </w:t>
      </w:r>
      <w:r w:rsidR="006B5AF8">
        <w:t>in the study</w:t>
      </w:r>
      <w:r w:rsidR="009722FD">
        <w:t xml:space="preserve">. </w:t>
      </w:r>
      <w:r w:rsidR="00505CFA">
        <w:t xml:space="preserve">Therefore, the results have high ecological validity </w:t>
      </w:r>
      <w:r w:rsidR="00A2659A">
        <w:t xml:space="preserve">and </w:t>
      </w:r>
      <w:r w:rsidR="00505CFA">
        <w:t xml:space="preserve">reliably reflect current </w:t>
      </w:r>
      <w:r w:rsidR="00A2659A">
        <w:t xml:space="preserve">practices in the </w:t>
      </w:r>
      <w:r w:rsidR="00505CFA">
        <w:t xml:space="preserve">English </w:t>
      </w:r>
      <w:r w:rsidR="00F011A9">
        <w:t>legal</w:t>
      </w:r>
      <w:r w:rsidR="00505CFA">
        <w:t xml:space="preserve"> system.  </w:t>
      </w:r>
    </w:p>
    <w:p w14:paraId="694473C4" w14:textId="50ABEDF0" w:rsidR="00F011A9" w:rsidRDefault="00F011A9" w:rsidP="006C4BE0">
      <w:pPr>
        <w:spacing w:line="480" w:lineRule="auto"/>
        <w:ind w:firstLine="720"/>
      </w:pPr>
      <w:r>
        <w:lastRenderedPageBreak/>
        <w:t>Secondly</w:t>
      </w:r>
      <w:r w:rsidRPr="005D1F7B">
        <w:t xml:space="preserve">, </w:t>
      </w:r>
      <w:r>
        <w:t xml:space="preserve">the study did not explore the quality of questioning conducted during </w:t>
      </w:r>
      <w:r w:rsidRPr="005D1F7B">
        <w:t xml:space="preserve">the </w:t>
      </w:r>
      <w:r>
        <w:t xml:space="preserve">ABE </w:t>
      </w:r>
      <w:r w:rsidRPr="005D1F7B">
        <w:t>forensic interviews</w:t>
      </w:r>
      <w:r w:rsidR="00F500A7">
        <w:t xml:space="preserve"> </w:t>
      </w:r>
      <w:r w:rsidR="00D243AC">
        <w:t>(</w:t>
      </w:r>
      <w:r w:rsidR="00F500A7">
        <w:t xml:space="preserve">as </w:t>
      </w:r>
      <w:r w:rsidR="00293A1B">
        <w:t>Lamb et al., 200</w:t>
      </w:r>
      <w:r w:rsidR="008E06BB">
        <w:t>9</w:t>
      </w:r>
      <w:r w:rsidR="00991962">
        <w:t xml:space="preserve"> </w:t>
      </w:r>
      <w:r w:rsidR="00AA45D5">
        <w:t xml:space="preserve">and Sternberg et al., 2001, </w:t>
      </w:r>
      <w:r w:rsidR="00991962">
        <w:t>did</w:t>
      </w:r>
      <w:r w:rsidR="00061395">
        <w:t>)</w:t>
      </w:r>
      <w:r>
        <w:t xml:space="preserve">. As </w:t>
      </w:r>
      <w:r w:rsidR="00CB633A">
        <w:t>shown in</w:t>
      </w:r>
      <w:r>
        <w:t xml:space="preserve"> Table 2, the forensic interview</w:t>
      </w:r>
      <w:r w:rsidR="00CB633A">
        <w:t>s</w:t>
      </w:r>
      <w:r w:rsidRPr="005D1F7B">
        <w:t xml:space="preserve"> </w:t>
      </w:r>
      <w:r>
        <w:t>comprised most or all of the children’s direct examination</w:t>
      </w:r>
      <w:r w:rsidR="00CB633A">
        <w:t>s</w:t>
      </w:r>
      <w:r>
        <w:t>. Particularly in the English system, where the forensic interview is played as the child’s direct</w:t>
      </w:r>
      <w:r w:rsidR="00A2659A">
        <w:t>-</w:t>
      </w:r>
      <w:r>
        <w:t xml:space="preserve">examination, it is critical that interviewers elicit accurate, coherent, and complete accounts </w:t>
      </w:r>
      <w:r w:rsidR="00CB633A">
        <w:t xml:space="preserve">from alleged victims.  </w:t>
      </w:r>
    </w:p>
    <w:p w14:paraId="0568E5A1" w14:textId="76113261" w:rsidR="00D729C6" w:rsidRDefault="00F011A9">
      <w:pPr>
        <w:spacing w:line="480" w:lineRule="auto"/>
        <w:ind w:firstLine="720"/>
      </w:pPr>
      <w:r>
        <w:t>Thirdly</w:t>
      </w:r>
      <w:r w:rsidR="00343B61" w:rsidRPr="39123F4B">
        <w:t xml:space="preserve">, </w:t>
      </w:r>
      <w:r w:rsidR="00C8605F">
        <w:t xml:space="preserve">we examined only </w:t>
      </w:r>
      <w:r w:rsidR="007F7EE3">
        <w:t xml:space="preserve">question </w:t>
      </w:r>
      <w:r w:rsidR="00C8605F">
        <w:t>types</w:t>
      </w:r>
      <w:r>
        <w:t xml:space="preserve"> in the current study;</w:t>
      </w:r>
      <w:r w:rsidR="002272C7">
        <w:t xml:space="preserve"> however</w:t>
      </w:r>
      <w:r w:rsidRPr="39123F4B">
        <w:t>,</w:t>
      </w:r>
      <w:r w:rsidR="00C8605F" w:rsidRPr="39123F4B">
        <w:t xml:space="preserve"> </w:t>
      </w:r>
      <w:r w:rsidR="002272C7">
        <w:t>several other factors</w:t>
      </w:r>
      <w:r w:rsidRPr="39123F4B">
        <w:t>,</w:t>
      </w:r>
      <w:r w:rsidR="002272C7">
        <w:t xml:space="preserve"> such as </w:t>
      </w:r>
      <w:r w:rsidR="0073748B">
        <w:t xml:space="preserve">question </w:t>
      </w:r>
      <w:r w:rsidR="002272C7">
        <w:t>content, complexity, and repetition</w:t>
      </w:r>
      <w:r w:rsidR="00CB633A">
        <w:t xml:space="preserve"> may affect children’s testimonial accuracy</w:t>
      </w:r>
      <w:r w:rsidR="002659CD" w:rsidRPr="39123F4B">
        <w:t>.</w:t>
      </w:r>
      <w:r w:rsidR="0068774C">
        <w:t xml:space="preserve"> Research has shown that </w:t>
      </w:r>
      <w:r w:rsidR="00CB633A">
        <w:t>many</w:t>
      </w:r>
      <w:r w:rsidR="0068774C">
        <w:t xml:space="preserve"> lawyers’ questions focus on peripheral details that are not directly relevant to the abusive action(s) (Andrews &amp; Lamb, </w:t>
      </w:r>
      <w:r w:rsidR="0068774C" w:rsidRPr="006B6241">
        <w:t>2018)</w:t>
      </w:r>
      <w:r w:rsidR="0068774C">
        <w:t xml:space="preserve"> even</w:t>
      </w:r>
      <w:r w:rsidR="0068774C" w:rsidRPr="39123F4B">
        <w:t xml:space="preserve"> </w:t>
      </w:r>
      <w:r w:rsidR="0068774C">
        <w:t xml:space="preserve">though children typically respond more accurately to questions about central elements of the </w:t>
      </w:r>
      <w:r w:rsidR="00466359">
        <w:t xml:space="preserve">relevant events </w:t>
      </w:r>
      <w:r w:rsidR="0068774C">
        <w:t>(</w:t>
      </w:r>
      <w:proofErr w:type="spellStart"/>
      <w:r w:rsidR="0073748B">
        <w:t>Candel</w:t>
      </w:r>
      <w:proofErr w:type="spellEnd"/>
      <w:r w:rsidR="0073748B" w:rsidRPr="39123F4B">
        <w:t xml:space="preserve">, </w:t>
      </w:r>
      <w:proofErr w:type="spellStart"/>
      <w:r w:rsidR="0073748B">
        <w:t>Merckelbach</w:t>
      </w:r>
      <w:proofErr w:type="spellEnd"/>
      <w:r w:rsidR="0073748B" w:rsidRPr="39123F4B">
        <w:t xml:space="preserve">, </w:t>
      </w:r>
      <w:proofErr w:type="spellStart"/>
      <w:r w:rsidR="0073748B">
        <w:t>Jelicic</w:t>
      </w:r>
      <w:proofErr w:type="spellEnd"/>
      <w:r w:rsidR="0073748B">
        <w:t xml:space="preserve">, </w:t>
      </w:r>
      <w:proofErr w:type="spellStart"/>
      <w:r w:rsidR="0073748B">
        <w:t>Limpens</w:t>
      </w:r>
      <w:proofErr w:type="spellEnd"/>
      <w:r w:rsidR="0073748B">
        <w:t xml:space="preserve">, &amp; </w:t>
      </w:r>
      <w:proofErr w:type="spellStart"/>
      <w:r w:rsidR="0073748B">
        <w:t>Widdershoven</w:t>
      </w:r>
      <w:proofErr w:type="spellEnd"/>
      <w:r w:rsidR="0073748B">
        <w:t>, 2004)</w:t>
      </w:r>
      <w:r w:rsidR="0068774C" w:rsidRPr="39123F4B">
        <w:t xml:space="preserve">. </w:t>
      </w:r>
      <w:r w:rsidR="0066220C">
        <w:t>Furthermore</w:t>
      </w:r>
      <w:r w:rsidRPr="39123F4B">
        <w:t xml:space="preserve">, </w:t>
      </w:r>
      <w:r w:rsidR="00E23DF7">
        <w:t xml:space="preserve">lawyers </w:t>
      </w:r>
      <w:r w:rsidR="000F08CC">
        <w:t xml:space="preserve">often </w:t>
      </w:r>
      <w:r w:rsidR="00E23DF7">
        <w:t>fail to ad</w:t>
      </w:r>
      <w:r w:rsidR="00047DDA">
        <w:t>just</w:t>
      </w:r>
      <w:r w:rsidR="00E23DF7">
        <w:t xml:space="preserve"> the complexity of their questions </w:t>
      </w:r>
      <w:r w:rsidR="00047DDA">
        <w:t>depending</w:t>
      </w:r>
      <w:r w:rsidR="00E23DF7">
        <w:t xml:space="preserve"> on children’s ages (Andrews &amp; Lamb, </w:t>
      </w:r>
      <w:r w:rsidR="00E23DF7" w:rsidRPr="00427931">
        <w:t>2017</w:t>
      </w:r>
      <w:r w:rsidR="00E23DF7">
        <w:t>a</w:t>
      </w:r>
      <w:r w:rsidR="00E23DF7" w:rsidRPr="39123F4B">
        <w:t>)</w:t>
      </w:r>
      <w:r w:rsidR="00E23DF7">
        <w:t xml:space="preserve"> even though </w:t>
      </w:r>
      <w:r w:rsidR="0066220C">
        <w:t>c</w:t>
      </w:r>
      <w:r w:rsidR="0068774C">
        <w:t xml:space="preserve">hildren may not possess </w:t>
      </w:r>
      <w:r w:rsidR="0073748B">
        <w:t xml:space="preserve">the </w:t>
      </w:r>
      <w:r w:rsidR="0068774C">
        <w:t xml:space="preserve">necessary linguistic </w:t>
      </w:r>
      <w:r w:rsidR="0073748B">
        <w:t>capabilities</w:t>
      </w:r>
      <w:r w:rsidR="0068774C">
        <w:t xml:space="preserve"> to effectively</w:t>
      </w:r>
      <w:r w:rsidR="0068774C" w:rsidRPr="39123F4B">
        <w:t xml:space="preserve"> </w:t>
      </w:r>
      <w:r w:rsidR="0073748B">
        <w:t>communicate</w:t>
      </w:r>
      <w:r w:rsidR="0068774C">
        <w:t xml:space="preserve"> in court (Hanna et al, 2012)</w:t>
      </w:r>
      <w:r w:rsidR="00CB633A">
        <w:t xml:space="preserve"> and </w:t>
      </w:r>
      <w:r w:rsidR="0068774C">
        <w:t>seldom ask for clarification when asked grammatically complex questions</w:t>
      </w:r>
      <w:r w:rsidR="002659CD" w:rsidRPr="39123F4B">
        <w:t xml:space="preserve"> </w:t>
      </w:r>
      <w:r w:rsidR="0068774C">
        <w:t>(</w:t>
      </w:r>
      <w:proofErr w:type="spellStart"/>
      <w:r w:rsidR="0068774C">
        <w:t>Zajac</w:t>
      </w:r>
      <w:proofErr w:type="spellEnd"/>
      <w:r w:rsidR="0068774C">
        <w:t xml:space="preserve"> et al., 2003)</w:t>
      </w:r>
      <w:r w:rsidR="00CB633A">
        <w:t xml:space="preserve">. </w:t>
      </w:r>
      <w:r w:rsidR="00E23DF7">
        <w:t xml:space="preserve">As well, </w:t>
      </w:r>
      <w:r w:rsidR="0068774C">
        <w:t>la</w:t>
      </w:r>
      <w:r>
        <w:t xml:space="preserve">wyers commonly repeat questions, significantly increasing </w:t>
      </w:r>
      <w:r w:rsidR="00CB633A">
        <w:t xml:space="preserve">the likelihood that children will contradict themselves, </w:t>
      </w:r>
      <w:r w:rsidR="0068774C">
        <w:t xml:space="preserve">particularly when </w:t>
      </w:r>
      <w:r>
        <w:t xml:space="preserve">the questions are </w:t>
      </w:r>
      <w:r w:rsidR="0068774C">
        <w:t>suggestive</w:t>
      </w:r>
      <w:r w:rsidR="0068774C" w:rsidRPr="39123F4B">
        <w:t xml:space="preserve"> </w:t>
      </w:r>
      <w:r w:rsidR="0068774C">
        <w:t xml:space="preserve">(Andrews &amp; Lamb, </w:t>
      </w:r>
      <w:r w:rsidR="0068774C" w:rsidRPr="00427931">
        <w:t>2017</w:t>
      </w:r>
      <w:r w:rsidR="00AB3192">
        <w:t>b</w:t>
      </w:r>
      <w:r w:rsidR="0068774C" w:rsidRPr="39123F4B">
        <w:t xml:space="preserve">). </w:t>
      </w:r>
      <w:r w:rsidR="002E16B0">
        <w:t xml:space="preserve">Future research should further investigate the </w:t>
      </w:r>
      <w:r w:rsidR="00047DDA">
        <w:t xml:space="preserve">many ways in which </w:t>
      </w:r>
      <w:r w:rsidR="002E16B0">
        <w:t xml:space="preserve">S28 and GRHs </w:t>
      </w:r>
      <w:r w:rsidR="00047DDA">
        <w:t xml:space="preserve">may </w:t>
      </w:r>
      <w:r w:rsidR="00243E22">
        <w:t>be improving</w:t>
      </w:r>
      <w:r w:rsidR="002E16B0">
        <w:t xml:space="preserve"> conditions for child witnesses</w:t>
      </w:r>
      <w:r w:rsidR="00192FC9">
        <w:t xml:space="preserve"> </w:t>
      </w:r>
      <w:r w:rsidR="00047DDA">
        <w:t>in English courts</w:t>
      </w:r>
      <w:r w:rsidR="002E16B0">
        <w:t xml:space="preserve">. </w:t>
      </w:r>
      <w:r w:rsidR="00654B0E">
        <w:t>As well, research</w:t>
      </w:r>
      <w:r w:rsidR="000F08CC">
        <w:t>ers</w:t>
      </w:r>
      <w:r w:rsidR="00654B0E">
        <w:t xml:space="preserve"> may wish to investigate potential associations between case facts (e.g., relationship to offender and verdict) and questioning strategies to better understand children’s experiences in legal proceedings.  </w:t>
      </w:r>
    </w:p>
    <w:p w14:paraId="4CFE8B9A" w14:textId="6C93E4DE" w:rsidR="004F2167" w:rsidRPr="005D1F7B" w:rsidRDefault="0066220C" w:rsidP="00D729C6">
      <w:pPr>
        <w:spacing w:line="480" w:lineRule="auto"/>
        <w:ind w:firstLine="720"/>
      </w:pPr>
      <w:r>
        <w:t>Finally</w:t>
      </w:r>
      <w:r w:rsidR="00771098">
        <w:t xml:space="preserve">, the judges in the </w:t>
      </w:r>
      <w:r w:rsidR="00AF03F9">
        <w:t>S28 condition</w:t>
      </w:r>
      <w:r w:rsidR="00771098">
        <w:t xml:space="preserve"> all </w:t>
      </w:r>
      <w:r w:rsidR="00AF03F9">
        <w:t>volunteered</w:t>
      </w:r>
      <w:r w:rsidR="00771098">
        <w:t xml:space="preserve"> to participate in the pilot study</w:t>
      </w:r>
      <w:r w:rsidR="00F962E6">
        <w:t>, and thus their</w:t>
      </w:r>
      <w:r w:rsidR="00AF03F9" w:rsidRPr="39123F4B">
        <w:t xml:space="preserve"> </w:t>
      </w:r>
      <w:r w:rsidR="00771098">
        <w:t xml:space="preserve">willingness may </w:t>
      </w:r>
      <w:r w:rsidR="00B24D1C">
        <w:t xml:space="preserve">have </w:t>
      </w:r>
      <w:r w:rsidR="00771098">
        <w:t>inflate</w:t>
      </w:r>
      <w:r w:rsidR="00B24D1C">
        <w:t>d</w:t>
      </w:r>
      <w:r w:rsidR="00771098">
        <w:t xml:space="preserve"> the </w:t>
      </w:r>
      <w:r w:rsidR="00B24D1C">
        <w:t xml:space="preserve">apparent </w:t>
      </w:r>
      <w:r w:rsidR="002A5E9B">
        <w:t xml:space="preserve">benefits of the S28 </w:t>
      </w:r>
      <w:r w:rsidR="00AF03F9">
        <w:t xml:space="preserve">reforms. </w:t>
      </w:r>
      <w:r w:rsidR="000F51C6">
        <w:lastRenderedPageBreak/>
        <w:t xml:space="preserve">Future research should investigate the effects that judges and intermediaries both may have on questioning strategies to fully elucidate the potentially benefits of GRHs and pre-recorded cross-examinations. </w:t>
      </w:r>
      <w:r w:rsidR="006D52FC">
        <w:t xml:space="preserve">However, it is promising that NS28 judges who did </w:t>
      </w:r>
      <w:r w:rsidR="006D52FC" w:rsidRPr="0018723D">
        <w:rPr>
          <w:i/>
          <w:iCs/>
        </w:rPr>
        <w:t xml:space="preserve">not </w:t>
      </w:r>
      <w:r w:rsidR="006D52FC">
        <w:t xml:space="preserve">volunteer also imposed </w:t>
      </w:r>
      <w:r w:rsidR="00F962E6">
        <w:t>constructive</w:t>
      </w:r>
      <w:r w:rsidR="006D52FC">
        <w:t xml:space="preserve"> restrictions </w:t>
      </w:r>
      <w:r w:rsidR="00F011A9">
        <w:t xml:space="preserve">in their GRHs </w:t>
      </w:r>
      <w:r w:rsidR="006D52FC">
        <w:t xml:space="preserve">and/or </w:t>
      </w:r>
      <w:r w:rsidR="00F011A9">
        <w:t xml:space="preserve">effectively </w:t>
      </w:r>
      <w:r w:rsidR="00991962">
        <w:t xml:space="preserve">proscribed </w:t>
      </w:r>
      <w:r w:rsidR="006D52FC">
        <w:t>risky questioning</w:t>
      </w:r>
      <w:r w:rsidR="006D52FC" w:rsidRPr="39123F4B">
        <w:t xml:space="preserve">. </w:t>
      </w:r>
    </w:p>
    <w:p w14:paraId="27A4806D" w14:textId="02A052B4" w:rsidR="00ED22FC" w:rsidRPr="006C4BE0" w:rsidRDefault="00ED22FC" w:rsidP="006C4BE0">
      <w:pPr>
        <w:spacing w:line="480" w:lineRule="auto"/>
        <w:rPr>
          <w:b/>
          <w:bCs/>
        </w:rPr>
      </w:pPr>
      <w:r w:rsidRPr="002D14BD">
        <w:rPr>
          <w:b/>
          <w:bCs/>
        </w:rPr>
        <w:t>Conclusion</w:t>
      </w:r>
      <w:r w:rsidR="00047DDA">
        <w:rPr>
          <w:b/>
          <w:bCs/>
        </w:rPr>
        <w:t>s</w:t>
      </w:r>
      <w:r w:rsidR="00FE0B01" w:rsidRPr="00FE23EB">
        <w:rPr>
          <w:b/>
        </w:rPr>
        <w:tab/>
      </w:r>
    </w:p>
    <w:p w14:paraId="16E320AF" w14:textId="7E57F762" w:rsidR="00EF7991" w:rsidRDefault="00505CFA" w:rsidP="006C4BE0">
      <w:pPr>
        <w:spacing w:line="480" w:lineRule="auto"/>
        <w:ind w:firstLine="720"/>
      </w:pPr>
      <w:r>
        <w:t>In recent decades, psychological research has begun to inform public policy</w:t>
      </w:r>
      <w:r w:rsidR="00E43C8E">
        <w:t xml:space="preserve"> (e.g., </w:t>
      </w:r>
      <w:r w:rsidR="00587B2C">
        <w:t xml:space="preserve">Andrews &amp; Lamb, 2016; </w:t>
      </w:r>
      <w:r w:rsidR="00E43C8E">
        <w:t xml:space="preserve">Bull, 2010; </w:t>
      </w:r>
      <w:r w:rsidR="00587B2C">
        <w:t>Hanna</w:t>
      </w:r>
      <w:r w:rsidR="001B434E">
        <w:t xml:space="preserve"> et al.</w:t>
      </w:r>
      <w:r w:rsidR="00587B2C">
        <w:t>, 2010; Lamb et al., 20</w:t>
      </w:r>
      <w:r w:rsidR="00AE5AD9">
        <w:t>07)</w:t>
      </w:r>
      <w:r>
        <w:t xml:space="preserve"> contributing to significant international legal reforms. </w:t>
      </w:r>
      <w:r w:rsidR="00813F2E">
        <w:t>Several</w:t>
      </w:r>
      <w:r w:rsidR="00C47482" w:rsidRPr="39123F4B">
        <w:t xml:space="preserve"> </w:t>
      </w:r>
      <w:r w:rsidR="006B4A45">
        <w:t xml:space="preserve">Australian states and </w:t>
      </w:r>
      <w:r w:rsidR="00C47482">
        <w:t xml:space="preserve">territories </w:t>
      </w:r>
      <w:r w:rsidR="006B4A45">
        <w:t xml:space="preserve">now permit </w:t>
      </w:r>
      <w:r w:rsidR="00B24D1C">
        <w:t xml:space="preserve">vulnerable witnesses to provide </w:t>
      </w:r>
      <w:r w:rsidR="006B4A45">
        <w:t>pre-recorded evidence (</w:t>
      </w:r>
      <w:r w:rsidR="003C3F53" w:rsidRPr="003C3F53">
        <w:t>Office of the Direct</w:t>
      </w:r>
      <w:r w:rsidR="003C3F53">
        <w:t xml:space="preserve">or of Public Prosecutions </w:t>
      </w:r>
      <w:r w:rsidR="003C3F53" w:rsidRPr="003C3F53">
        <w:t>and Australi</w:t>
      </w:r>
      <w:r w:rsidR="003C3F53">
        <w:t>an Federal Police, 2005</w:t>
      </w:r>
      <w:r w:rsidR="00F9267C" w:rsidRPr="39123F4B">
        <w:t>)</w:t>
      </w:r>
      <w:r w:rsidR="003C3F53" w:rsidRPr="39123F4B">
        <w:t>.</w:t>
      </w:r>
      <w:r w:rsidR="00405EC8" w:rsidRPr="39123F4B">
        <w:t xml:space="preserve"> </w:t>
      </w:r>
      <w:r w:rsidR="00FC3301">
        <w:t xml:space="preserve">In </w:t>
      </w:r>
      <w:r w:rsidR="00813F2E">
        <w:t>2017</w:t>
      </w:r>
      <w:r w:rsidR="00FC3301" w:rsidRPr="39123F4B">
        <w:t xml:space="preserve">, </w:t>
      </w:r>
      <w:r w:rsidR="004D3A87">
        <w:rPr>
          <w:color w:val="000000" w:themeColor="text1"/>
        </w:rPr>
        <w:t>a</w:t>
      </w:r>
      <w:r w:rsidR="004D3A87" w:rsidRPr="00CA5FAD">
        <w:rPr>
          <w:color w:val="000000" w:themeColor="text1"/>
        </w:rPr>
        <w:t xml:space="preserve"> High Court of </w:t>
      </w:r>
      <w:proofErr w:type="spellStart"/>
      <w:r w:rsidR="004D3A87" w:rsidRPr="00CA5FAD">
        <w:rPr>
          <w:color w:val="000000" w:themeColor="text1"/>
        </w:rPr>
        <w:t>Justiciary</w:t>
      </w:r>
      <w:proofErr w:type="spellEnd"/>
      <w:r w:rsidR="004D3A87">
        <w:t xml:space="preserve"> Practice Note </w:t>
      </w:r>
      <w:r w:rsidR="00FC3301">
        <w:t xml:space="preserve">was published </w:t>
      </w:r>
      <w:r w:rsidR="00F6775C">
        <w:t xml:space="preserve">in Scotland </w:t>
      </w:r>
      <w:r w:rsidR="004D3A87">
        <w:t xml:space="preserve">describing plans to </w:t>
      </w:r>
      <w:r w:rsidR="00D729C6">
        <w:t>improve the treatment of vulnerable witnesses by expanding</w:t>
      </w:r>
      <w:r w:rsidR="004D3A87">
        <w:t xml:space="preserve"> the existing procedures </w:t>
      </w:r>
      <w:r w:rsidR="00047DDA">
        <w:t xml:space="preserve">for the </w:t>
      </w:r>
      <w:r w:rsidR="004D3A87">
        <w:t xml:space="preserve">taking </w:t>
      </w:r>
      <w:r w:rsidR="00047DDA">
        <w:t xml:space="preserve">of </w:t>
      </w:r>
      <w:r w:rsidR="004D3A87">
        <w:t xml:space="preserve">evidence by a commissioner </w:t>
      </w:r>
      <w:r w:rsidR="004D3A87" w:rsidRPr="5D62E3FD">
        <w:t xml:space="preserve">(i.e., </w:t>
      </w:r>
      <w:r w:rsidR="5D62E3FD" w:rsidRPr="006C4BE0">
        <w:rPr>
          <w:color w:val="19283B"/>
        </w:rPr>
        <w:t>where a witness’ examination and cross-examination is recorded in advance of a trial</w:t>
      </w:r>
      <w:r w:rsidR="004D3A87" w:rsidRPr="5D62E3FD">
        <w:t>;</w:t>
      </w:r>
      <w:r w:rsidR="004256AC" w:rsidRPr="39123F4B">
        <w:t xml:space="preserve"> </w:t>
      </w:r>
      <w:proofErr w:type="spellStart"/>
      <w:r w:rsidR="004D3A87">
        <w:t>Dorrian</w:t>
      </w:r>
      <w:proofErr w:type="spellEnd"/>
      <w:r w:rsidR="004D3A87">
        <w:t xml:space="preserve">, 2017). </w:t>
      </w:r>
      <w:r w:rsidR="00327D6D">
        <w:t>Furthermore</w:t>
      </w:r>
      <w:r w:rsidR="008D0622" w:rsidRPr="39123F4B">
        <w:t xml:space="preserve">, </w:t>
      </w:r>
      <w:r w:rsidR="00341546">
        <w:t xml:space="preserve">New Zealand </w:t>
      </w:r>
      <w:r w:rsidR="006C4BE0">
        <w:t>has begun to consider</w:t>
      </w:r>
      <w:r w:rsidR="001B2509">
        <w:t xml:space="preserve"> </w:t>
      </w:r>
      <w:r w:rsidR="006C4BE0">
        <w:t>the use of intermediaries</w:t>
      </w:r>
      <w:r w:rsidR="001B2509">
        <w:t xml:space="preserve"> as an additional special measure</w:t>
      </w:r>
      <w:r w:rsidR="00BF4A40">
        <w:t xml:space="preserve"> for children testifying in court</w:t>
      </w:r>
      <w:r w:rsidR="001B2509" w:rsidRPr="39123F4B">
        <w:t xml:space="preserve"> (</w:t>
      </w:r>
      <w:r w:rsidR="00F66DFB" w:rsidRPr="00F66DFB">
        <w:t xml:space="preserve">Hanna, Davies, Henderson, </w:t>
      </w:r>
      <w:r w:rsidR="00F35A97">
        <w:t xml:space="preserve">&amp; Hand, 2013; </w:t>
      </w:r>
      <w:proofErr w:type="spellStart"/>
      <w:r w:rsidR="00F559CA">
        <w:t>Randell</w:t>
      </w:r>
      <w:proofErr w:type="spellEnd"/>
      <w:r w:rsidR="00F559CA">
        <w:t>, 2017</w:t>
      </w:r>
      <w:r w:rsidR="008D0622" w:rsidRPr="39123F4B">
        <w:t xml:space="preserve">). </w:t>
      </w:r>
    </w:p>
    <w:p w14:paraId="0E90C72B" w14:textId="0DB76632" w:rsidR="00EF7991" w:rsidRPr="005E4A04" w:rsidRDefault="00FE0B01" w:rsidP="005E4A04">
      <w:pPr>
        <w:spacing w:line="480" w:lineRule="auto"/>
        <w:ind w:firstLine="720"/>
      </w:pPr>
      <w:r w:rsidRPr="005D1F7B">
        <w:t xml:space="preserve">The </w:t>
      </w:r>
      <w:r w:rsidR="00FD19D6">
        <w:t xml:space="preserve">trial </w:t>
      </w:r>
      <w:r w:rsidR="00AF03F9">
        <w:t xml:space="preserve">implementation of the </w:t>
      </w:r>
      <w:r w:rsidR="00AC3235">
        <w:t>S28</w:t>
      </w:r>
      <w:r w:rsidR="00EE04B1" w:rsidRPr="005D1F7B">
        <w:t xml:space="preserve"> </w:t>
      </w:r>
      <w:r w:rsidR="00AF03F9">
        <w:t>reforms</w:t>
      </w:r>
      <w:r w:rsidR="00AF03F9" w:rsidRPr="005D1F7B">
        <w:t xml:space="preserve"> </w:t>
      </w:r>
      <w:r w:rsidR="00047DDA" w:rsidRPr="005D1F7B">
        <w:t>represent</w:t>
      </w:r>
      <w:r w:rsidR="00047DDA">
        <w:t>ed</w:t>
      </w:r>
      <w:r w:rsidR="00047DDA" w:rsidRPr="005D1F7B">
        <w:t xml:space="preserve"> </w:t>
      </w:r>
      <w:r w:rsidR="00B3526C">
        <w:t xml:space="preserve">an important </w:t>
      </w:r>
      <w:r w:rsidR="00D729C6" w:rsidRPr="005D1F7B">
        <w:t>acknowledgement</w:t>
      </w:r>
      <w:r w:rsidR="00EE04B1" w:rsidRPr="005D1F7B">
        <w:t xml:space="preserve"> of the need to improve the treatment of vulnerable witnesses</w:t>
      </w:r>
      <w:r w:rsidR="00AF03F9">
        <w:t xml:space="preserve"> in </w:t>
      </w:r>
      <w:r w:rsidR="00047DDA">
        <w:t xml:space="preserve">English and Welsh </w:t>
      </w:r>
      <w:r w:rsidR="00AF03F9">
        <w:t>court</w:t>
      </w:r>
      <w:r w:rsidR="00047DDA">
        <w:t>s</w:t>
      </w:r>
      <w:r w:rsidR="00B3526C">
        <w:t>.</w:t>
      </w:r>
      <w:r w:rsidR="00AF03F9">
        <w:t xml:space="preserve"> </w:t>
      </w:r>
      <w:r w:rsidR="00B3526C">
        <w:t>T</w:t>
      </w:r>
      <w:r w:rsidR="00D5181F">
        <w:t>he present study</w:t>
      </w:r>
      <w:r w:rsidR="00AF03F9">
        <w:t xml:space="preserve"> reveals room for considerable further improvement</w:t>
      </w:r>
      <w:r w:rsidR="00EE04B1" w:rsidRPr="005D1F7B">
        <w:t xml:space="preserve">. </w:t>
      </w:r>
      <w:r w:rsidR="00AF03F9">
        <w:t>For example, although fewer suggestive questions were asked in the S28 condition</w:t>
      </w:r>
      <w:r w:rsidR="00FD19D6">
        <w:t xml:space="preserve"> (and in cases with GRHs)</w:t>
      </w:r>
      <w:r w:rsidR="00AF03F9">
        <w:t xml:space="preserve">, they were still asked with some frequency, </w:t>
      </w:r>
      <w:r w:rsidR="00D729C6">
        <w:t>and</w:t>
      </w:r>
      <w:r w:rsidR="001B7C3D">
        <w:t xml:space="preserve"> </w:t>
      </w:r>
      <w:r w:rsidR="00D729C6">
        <w:t xml:space="preserve">few invitations or </w:t>
      </w:r>
      <w:r w:rsidR="00F97E2F">
        <w:t xml:space="preserve">directive </w:t>
      </w:r>
      <w:r w:rsidR="00AF03F9">
        <w:t>questions were posed</w:t>
      </w:r>
      <w:r w:rsidR="00EF7991">
        <w:t>.</w:t>
      </w:r>
      <w:r w:rsidR="0089234C">
        <w:t xml:space="preserve"> </w:t>
      </w:r>
      <w:r w:rsidR="00F011A9">
        <w:t xml:space="preserve">Younger children were found to be more vulnerable to defence lawyers’ suggestive questions. </w:t>
      </w:r>
      <w:r w:rsidR="00E7743E" w:rsidRPr="00E7743E">
        <w:t>It is particularly concerning that</w:t>
      </w:r>
      <w:r w:rsidR="00E7743E" w:rsidRPr="00E7743E" w:rsidDel="00E7743E">
        <w:t xml:space="preserve"> </w:t>
      </w:r>
      <w:r w:rsidR="007D435B">
        <w:t>when</w:t>
      </w:r>
      <w:r w:rsidR="00813F2E">
        <w:t xml:space="preserve"> </w:t>
      </w:r>
      <w:r w:rsidR="0089234C">
        <w:t xml:space="preserve">suggestive questions </w:t>
      </w:r>
      <w:r w:rsidR="007D435B">
        <w:t xml:space="preserve">were </w:t>
      </w:r>
      <w:r w:rsidR="003E37BF">
        <w:t>asked less often</w:t>
      </w:r>
      <w:r w:rsidR="007D435B">
        <w:t xml:space="preserve">, </w:t>
      </w:r>
      <w:r w:rsidR="0089234C">
        <w:t>the use of risky option-posing prompts</w:t>
      </w:r>
      <w:r w:rsidR="008F2A00">
        <w:t xml:space="preserve"> increased</w:t>
      </w:r>
      <w:r w:rsidR="0089234C">
        <w:t>.</w:t>
      </w:r>
    </w:p>
    <w:p w14:paraId="6E7E4485" w14:textId="1430B96D" w:rsidR="007725C7" w:rsidRDefault="00916658">
      <w:pPr>
        <w:spacing w:line="480" w:lineRule="auto"/>
        <w:ind w:firstLine="720"/>
      </w:pPr>
      <w:r>
        <w:lastRenderedPageBreak/>
        <w:t>Nevertheless</w:t>
      </w:r>
      <w:r w:rsidR="0498DFD5" w:rsidRPr="39123F4B">
        <w:t xml:space="preserve">, </w:t>
      </w:r>
      <w:r w:rsidR="007E6D97">
        <w:t>as the</w:t>
      </w:r>
      <w:r w:rsidR="0498DFD5">
        <w:t xml:space="preserve"> Lord Chief Justice Sir John Thomas said, “[T]he real need [is] – not yet more initiatives and reforms, but the cultural change that is necessary to make the new framework a reality” (</w:t>
      </w:r>
      <w:proofErr w:type="spellStart"/>
      <w:r w:rsidR="0498DFD5">
        <w:t>Plotnikoff</w:t>
      </w:r>
      <w:proofErr w:type="spellEnd"/>
      <w:r w:rsidR="0498DFD5" w:rsidRPr="39123F4B">
        <w:t xml:space="preserve"> &amp; </w:t>
      </w:r>
      <w:proofErr w:type="spellStart"/>
      <w:r w:rsidR="0498DFD5">
        <w:t>Woolfson</w:t>
      </w:r>
      <w:proofErr w:type="spellEnd"/>
      <w:r w:rsidR="0498DFD5">
        <w:t xml:space="preserve">, 2009, pp. </w:t>
      </w:r>
      <w:proofErr w:type="spellStart"/>
      <w:r w:rsidR="0498DFD5">
        <w:t>i</w:t>
      </w:r>
      <w:proofErr w:type="spellEnd"/>
      <w:r w:rsidR="0498DFD5">
        <w:t xml:space="preserve">-ii). </w:t>
      </w:r>
      <w:r w:rsidR="00D83BED">
        <w:t xml:space="preserve">The continuing implementation of </w:t>
      </w:r>
      <w:r w:rsidR="00450356">
        <w:t xml:space="preserve">legal reforms </w:t>
      </w:r>
      <w:r w:rsidR="00261BDD">
        <w:t>in</w:t>
      </w:r>
      <w:r w:rsidR="00450356">
        <w:t xml:space="preserve"> many common-law countries</w:t>
      </w:r>
      <w:r w:rsidR="007D435B">
        <w:t xml:space="preserve"> such as England, Scotland, and Australia</w:t>
      </w:r>
      <w:r w:rsidR="00E67A01" w:rsidRPr="39123F4B">
        <w:t xml:space="preserve"> </w:t>
      </w:r>
      <w:r w:rsidR="007E6D97">
        <w:t>reflect</w:t>
      </w:r>
      <w:r w:rsidR="00D83BED">
        <w:t>s</w:t>
      </w:r>
      <w:r w:rsidR="007E6D97" w:rsidRPr="39123F4B">
        <w:t xml:space="preserve"> </w:t>
      </w:r>
      <w:r w:rsidR="00FD2F40">
        <w:t xml:space="preserve">a </w:t>
      </w:r>
      <w:r w:rsidR="00E67A01">
        <w:t xml:space="preserve">global </w:t>
      </w:r>
      <w:r w:rsidR="00AF03F9">
        <w:t>recognition of the need for reform</w:t>
      </w:r>
      <w:r w:rsidR="007D435B">
        <w:t>. With continued research, outreach, and education, we may contribute to</w:t>
      </w:r>
      <w:r w:rsidR="00261BDD" w:rsidRPr="39123F4B">
        <w:t xml:space="preserve"> </w:t>
      </w:r>
      <w:r w:rsidR="00FD2F40">
        <w:t>the</w:t>
      </w:r>
      <w:r w:rsidR="00261BDD">
        <w:t xml:space="preserve"> cultural shift needed to make </w:t>
      </w:r>
      <w:r w:rsidR="007D435B">
        <w:t>these</w:t>
      </w:r>
      <w:r w:rsidR="006F374D">
        <w:t xml:space="preserve"> reforms</w:t>
      </w:r>
      <w:r w:rsidR="00261BDD">
        <w:t xml:space="preserve"> a reality</w:t>
      </w:r>
      <w:r w:rsidR="00AF03F9" w:rsidRPr="39123F4B">
        <w:t xml:space="preserve">. </w:t>
      </w:r>
    </w:p>
    <w:p w14:paraId="2719B106" w14:textId="77777777" w:rsidR="00ED4850" w:rsidRDefault="00EE7CE6" w:rsidP="00963A7D">
      <w:pPr>
        <w:widowControl w:val="0"/>
        <w:autoSpaceDE w:val="0"/>
        <w:autoSpaceDN w:val="0"/>
        <w:adjustRightInd w:val="0"/>
      </w:pPr>
      <w:r>
        <w:br w:type="page"/>
      </w:r>
    </w:p>
    <w:p w14:paraId="41D0F5F4" w14:textId="672B1632" w:rsidR="003B7AB6" w:rsidRPr="006C4BE0" w:rsidRDefault="0498DFD5" w:rsidP="00963A7D">
      <w:pPr>
        <w:widowControl w:val="0"/>
        <w:autoSpaceDE w:val="0"/>
        <w:autoSpaceDN w:val="0"/>
        <w:adjustRightInd w:val="0"/>
        <w:spacing w:line="480" w:lineRule="auto"/>
        <w:jc w:val="center"/>
        <w:rPr>
          <w:b/>
          <w:bCs/>
        </w:rPr>
      </w:pPr>
      <w:r w:rsidRPr="002D14BD">
        <w:rPr>
          <w:b/>
          <w:bCs/>
        </w:rPr>
        <w:lastRenderedPageBreak/>
        <w:t>References</w:t>
      </w:r>
    </w:p>
    <w:p w14:paraId="0F3030FE" w14:textId="6583F87A" w:rsidR="00D23EC3" w:rsidRPr="00CD55F8" w:rsidRDefault="00D23EC3">
      <w:pPr>
        <w:widowControl w:val="0"/>
        <w:autoSpaceDE w:val="0"/>
        <w:autoSpaceDN w:val="0"/>
        <w:adjustRightInd w:val="0"/>
        <w:spacing w:line="480" w:lineRule="auto"/>
        <w:rPr>
          <w:color w:val="000000" w:themeColor="text1"/>
        </w:rPr>
      </w:pPr>
      <w:r w:rsidRPr="002D14BD">
        <w:rPr>
          <w:color w:val="000000" w:themeColor="text1"/>
        </w:rPr>
        <w:t>Andrews, S. J.</w:t>
      </w:r>
      <w:r w:rsidRPr="008161E9">
        <w:rPr>
          <w:color w:val="000000" w:themeColor="text1"/>
        </w:rPr>
        <w:t>, L</w:t>
      </w:r>
      <w:r w:rsidR="0083512F">
        <w:rPr>
          <w:color w:val="000000" w:themeColor="text1"/>
        </w:rPr>
        <w:t>amb, M. E., &amp; Lyon, T. D. (2015</w:t>
      </w:r>
      <w:r w:rsidRPr="008161E9">
        <w:rPr>
          <w:color w:val="000000" w:themeColor="text1"/>
        </w:rPr>
        <w:t xml:space="preserve">). Question types, responsiveness and </w:t>
      </w:r>
      <w:r>
        <w:rPr>
          <w:color w:val="000000" w:themeColor="text1"/>
        </w:rPr>
        <w:tab/>
      </w:r>
      <w:r w:rsidRPr="008161E9">
        <w:rPr>
          <w:color w:val="000000" w:themeColor="text1"/>
        </w:rPr>
        <w:t xml:space="preserve">self-contradictions when prosecutors and </w:t>
      </w:r>
      <w:proofErr w:type="spellStart"/>
      <w:r w:rsidRPr="008161E9">
        <w:rPr>
          <w:color w:val="000000" w:themeColor="text1"/>
        </w:rPr>
        <w:t>defense</w:t>
      </w:r>
      <w:proofErr w:type="spellEnd"/>
      <w:r w:rsidRPr="008161E9">
        <w:rPr>
          <w:color w:val="000000" w:themeColor="text1"/>
        </w:rPr>
        <w:t xml:space="preserve"> attorneys question alleged victims </w:t>
      </w:r>
      <w:r>
        <w:rPr>
          <w:color w:val="000000" w:themeColor="text1"/>
        </w:rPr>
        <w:tab/>
      </w:r>
      <w:r w:rsidRPr="008161E9">
        <w:rPr>
          <w:color w:val="000000" w:themeColor="text1"/>
        </w:rPr>
        <w:t xml:space="preserve">of child sexual abuse. </w:t>
      </w:r>
      <w:r w:rsidRPr="39123F4B">
        <w:rPr>
          <w:i/>
          <w:iCs/>
          <w:color w:val="000000" w:themeColor="text1"/>
        </w:rPr>
        <w:t>Applied Cognitive Psychology, 28, </w:t>
      </w:r>
      <w:r w:rsidRPr="008161E9">
        <w:rPr>
          <w:color w:val="000000" w:themeColor="text1"/>
        </w:rPr>
        <w:t xml:space="preserve">253-261. </w:t>
      </w:r>
      <w:r>
        <w:rPr>
          <w:color w:val="000000" w:themeColor="text1"/>
        </w:rPr>
        <w:tab/>
      </w:r>
      <w:proofErr w:type="spellStart"/>
      <w:r w:rsidRPr="00CD55F8">
        <w:rPr>
          <w:color w:val="000000" w:themeColor="text1"/>
        </w:rPr>
        <w:t>doi</w:t>
      </w:r>
      <w:proofErr w:type="spellEnd"/>
      <w:r w:rsidRPr="00CD55F8">
        <w:rPr>
          <w:color w:val="000000" w:themeColor="text1"/>
        </w:rPr>
        <w:t>: 10.1002/acp.3103</w:t>
      </w:r>
    </w:p>
    <w:p w14:paraId="4A3FE25B" w14:textId="55E2D294" w:rsidR="003B7AB6" w:rsidRDefault="0498DFD5">
      <w:pPr>
        <w:spacing w:line="480" w:lineRule="auto"/>
        <w:ind w:left="720" w:hanging="720"/>
      </w:pPr>
      <w:r w:rsidRPr="00CD55F8">
        <w:t>Andrews, S. J. &amp; Lamb, M. E. (201</w:t>
      </w:r>
      <w:r w:rsidR="00AB3192">
        <w:t>6</w:t>
      </w:r>
      <w:r w:rsidRPr="00CD55F8">
        <w:t xml:space="preserve">). How do lawyers examine and cross-examine children in Scotland? </w:t>
      </w:r>
      <w:r w:rsidRPr="39123F4B">
        <w:rPr>
          <w:i/>
          <w:iCs/>
        </w:rPr>
        <w:t>Applied Cognitive Psychology</w:t>
      </w:r>
      <w:r w:rsidR="006D3230" w:rsidRPr="39123F4B">
        <w:t xml:space="preserve">, </w:t>
      </w:r>
      <w:r w:rsidR="006D3230" w:rsidRPr="39123F4B">
        <w:rPr>
          <w:i/>
          <w:iCs/>
        </w:rPr>
        <w:t xml:space="preserve">30, </w:t>
      </w:r>
      <w:r w:rsidR="006D3230" w:rsidRPr="006D3230">
        <w:t>953-971.</w:t>
      </w:r>
      <w:r w:rsidR="006D3230" w:rsidRPr="39123F4B">
        <w:t xml:space="preserve"> </w:t>
      </w:r>
      <w:proofErr w:type="spellStart"/>
      <w:r w:rsidR="006D3230">
        <w:t>doi</w:t>
      </w:r>
      <w:proofErr w:type="spellEnd"/>
      <w:r w:rsidR="006D3230" w:rsidRPr="39123F4B">
        <w:t xml:space="preserve">: </w:t>
      </w:r>
      <w:r w:rsidR="006D3230" w:rsidRPr="006D3230">
        <w:t>10.1002/acp.3286</w:t>
      </w:r>
    </w:p>
    <w:p w14:paraId="0FB04BA0" w14:textId="2169CF69" w:rsidR="006B6241" w:rsidRDefault="006B6241" w:rsidP="39123F4B">
      <w:pPr>
        <w:spacing w:line="480" w:lineRule="auto"/>
        <w:ind w:left="720" w:hanging="720"/>
      </w:pPr>
      <w:r w:rsidRPr="00CD55F8">
        <w:t>Andrews, S. J. &amp; Lamb, M. E. (2017</w:t>
      </w:r>
      <w:r w:rsidR="00AB3192">
        <w:t>a</w:t>
      </w:r>
      <w:r w:rsidRPr="39123F4B">
        <w:t xml:space="preserve">). </w:t>
      </w:r>
      <w:r w:rsidRPr="006B6241">
        <w:t>The structural linguistic complexity of lawyers’ questions and children’s responses in Scottish courts</w:t>
      </w:r>
      <w:r w:rsidRPr="39123F4B">
        <w:t xml:space="preserve">. </w:t>
      </w:r>
      <w:r w:rsidR="00E52087" w:rsidRPr="39123F4B">
        <w:rPr>
          <w:i/>
          <w:iCs/>
        </w:rPr>
        <w:t>Child Abuse and Neglect</w:t>
      </w:r>
      <w:r w:rsidRPr="39123F4B">
        <w:t xml:space="preserve">, </w:t>
      </w:r>
      <w:r w:rsidR="00E52087" w:rsidRPr="39123F4B">
        <w:rPr>
          <w:i/>
          <w:iCs/>
        </w:rPr>
        <w:t>65</w:t>
      </w:r>
      <w:r w:rsidR="00E52087" w:rsidRPr="006C4BE0">
        <w:t xml:space="preserve">, 182 – 193. </w:t>
      </w:r>
      <w:proofErr w:type="spellStart"/>
      <w:r w:rsidR="00E52087" w:rsidRPr="0018723D">
        <w:t>doi</w:t>
      </w:r>
      <w:proofErr w:type="spellEnd"/>
      <w:r w:rsidR="00E52087" w:rsidRPr="0018723D">
        <w:t>: 10.1016/j.chiabu</w:t>
      </w:r>
      <w:r w:rsidR="00E52087" w:rsidRPr="006C4BE0">
        <w:t>.2017.01.022</w:t>
      </w:r>
    </w:p>
    <w:p w14:paraId="4A85C465" w14:textId="200DCADD" w:rsidR="006B6241" w:rsidRDefault="006B6241" w:rsidP="007902B8">
      <w:pPr>
        <w:spacing w:line="480" w:lineRule="auto"/>
        <w:ind w:left="720" w:hanging="720"/>
      </w:pPr>
      <w:r w:rsidRPr="006B6241">
        <w:t>Andrews, S. J. &amp; Lamb, M. E. (2017</w:t>
      </w:r>
      <w:r w:rsidR="00AB3192">
        <w:t>b</w:t>
      </w:r>
      <w:r w:rsidRPr="39123F4B">
        <w:t xml:space="preserve">). </w:t>
      </w:r>
      <w:r w:rsidR="00E52087" w:rsidRPr="00E52087">
        <w:t xml:space="preserve">Lawyers’ question repetition and children’s responses in Scottish criminal courts. </w:t>
      </w:r>
      <w:r w:rsidR="00E52087" w:rsidRPr="006C4BE0">
        <w:rPr>
          <w:i/>
          <w:iCs/>
        </w:rPr>
        <w:t>Journal of Interpersonal Violence</w:t>
      </w:r>
      <w:r w:rsidR="00E52087" w:rsidRPr="39123F4B">
        <w:t xml:space="preserve">. </w:t>
      </w:r>
      <w:proofErr w:type="spellStart"/>
      <w:r w:rsidR="00E52087" w:rsidRPr="00E52087">
        <w:t>doi</w:t>
      </w:r>
      <w:proofErr w:type="spellEnd"/>
      <w:r w:rsidR="00E52087" w:rsidRPr="00E52087">
        <w:t>: 10.1177/0886260517725739</w:t>
      </w:r>
    </w:p>
    <w:p w14:paraId="19F0F959" w14:textId="1562385F" w:rsidR="00064DA4" w:rsidRPr="00064DA4" w:rsidRDefault="00064DA4" w:rsidP="007902B8">
      <w:pPr>
        <w:spacing w:line="480" w:lineRule="auto"/>
        <w:textAlignment w:val="baseline"/>
        <w:rPr>
          <w:color w:val="000000" w:themeColor="text1"/>
        </w:rPr>
      </w:pPr>
      <w:r w:rsidRPr="002D14BD">
        <w:rPr>
          <w:color w:val="000000" w:themeColor="text1"/>
          <w:bdr w:val="none" w:sz="0" w:space="0" w:color="auto" w:frame="1"/>
        </w:rPr>
        <w:t>Andrews, S. J.</w:t>
      </w:r>
      <w:r w:rsidRPr="00261272">
        <w:rPr>
          <w:color w:val="000000" w:themeColor="text1"/>
        </w:rPr>
        <w:t> &amp; Lamb, M. E. (201</w:t>
      </w:r>
      <w:r>
        <w:rPr>
          <w:color w:val="000000" w:themeColor="text1"/>
        </w:rPr>
        <w:t>8</w:t>
      </w:r>
      <w:r w:rsidRPr="00261272">
        <w:rPr>
          <w:color w:val="000000" w:themeColor="text1"/>
        </w:rPr>
        <w:t xml:space="preserve">). Cross-examining young alleged complainers in </w:t>
      </w:r>
      <w:r>
        <w:rPr>
          <w:color w:val="000000" w:themeColor="text1"/>
        </w:rPr>
        <w:tab/>
      </w:r>
      <w:r w:rsidRPr="00261272">
        <w:rPr>
          <w:color w:val="000000" w:themeColor="text1"/>
        </w:rPr>
        <w:t>Scottish criminal courts. </w:t>
      </w:r>
      <w:r w:rsidRPr="08D4D6A2">
        <w:rPr>
          <w:i/>
          <w:iCs/>
          <w:color w:val="000000" w:themeColor="text1"/>
        </w:rPr>
        <w:t>Criminal Law Review, 1,</w:t>
      </w:r>
      <w:r w:rsidRPr="002D14BD">
        <w:rPr>
          <w:color w:val="000000" w:themeColor="text1"/>
        </w:rPr>
        <w:t xml:space="preserve"> 34-57. </w:t>
      </w:r>
    </w:p>
    <w:p w14:paraId="23FCF48B" w14:textId="47BAB05B" w:rsidR="00324577" w:rsidRDefault="00324577" w:rsidP="39123F4B">
      <w:pPr>
        <w:spacing w:line="480" w:lineRule="auto"/>
        <w:ind w:left="720" w:hanging="720"/>
      </w:pPr>
      <w:r w:rsidRPr="002D14BD">
        <w:t>Browne v Dunn (1894) 6 R. 67 (HL)</w:t>
      </w:r>
      <w:r w:rsidR="00C33C9A" w:rsidRPr="39123F4B">
        <w:t>.</w:t>
      </w:r>
    </w:p>
    <w:p w14:paraId="600C7297" w14:textId="6ED4018D" w:rsidR="00CE13E1" w:rsidRPr="001020C5" w:rsidRDefault="00CE13E1" w:rsidP="001020C5">
      <w:pPr>
        <w:spacing w:line="480" w:lineRule="auto"/>
        <w:ind w:left="720" w:hanging="720"/>
      </w:pPr>
      <w:r w:rsidRPr="00CE13E1">
        <w:t xml:space="preserve">Bull, R.  (2010). The investigative interviewing of children and other vulnerable witnesses: Psychological research and working/professional practice.  </w:t>
      </w:r>
      <w:r w:rsidRPr="00963A7D">
        <w:rPr>
          <w:i/>
        </w:rPr>
        <w:t>Legal and Criminological Psychology, 15,</w:t>
      </w:r>
      <w:r w:rsidRPr="00CE13E1">
        <w:t xml:space="preserve"> 5-23.</w:t>
      </w:r>
    </w:p>
    <w:p w14:paraId="0598EC40" w14:textId="02260F3E" w:rsidR="00FD4093" w:rsidRDefault="00EA7A4C" w:rsidP="00F3036F">
      <w:pPr>
        <w:spacing w:line="480" w:lineRule="auto"/>
        <w:ind w:left="720" w:hanging="720"/>
        <w:rPr>
          <w:shd w:val="clear" w:color="auto" w:fill="FFFFFF"/>
        </w:rPr>
      </w:pPr>
      <w:proofErr w:type="spellStart"/>
      <w:r w:rsidRPr="00EA7A4C">
        <w:rPr>
          <w:shd w:val="clear" w:color="auto" w:fill="FFFFFF"/>
        </w:rPr>
        <w:t>Bussey</w:t>
      </w:r>
      <w:proofErr w:type="spellEnd"/>
      <w:r w:rsidRPr="00EA7A4C">
        <w:rPr>
          <w:shd w:val="clear" w:color="auto" w:fill="FFFFFF"/>
        </w:rPr>
        <w:t xml:space="preserve">, K. (2009). An international perspective on child witnesses. In B. L. Bottoms, C. J. </w:t>
      </w:r>
      <w:proofErr w:type="spellStart"/>
      <w:r w:rsidRPr="00EA7A4C">
        <w:rPr>
          <w:shd w:val="clear" w:color="auto" w:fill="FFFFFF"/>
        </w:rPr>
        <w:t>Najdowski</w:t>
      </w:r>
      <w:proofErr w:type="spellEnd"/>
      <w:r w:rsidRPr="00EA7A4C">
        <w:rPr>
          <w:shd w:val="clear" w:color="auto" w:fill="FFFFFF"/>
        </w:rPr>
        <w:t>, &amp; G. S. Goodman (Eds.), </w:t>
      </w:r>
      <w:r w:rsidRPr="39123F4B">
        <w:rPr>
          <w:i/>
          <w:iCs/>
          <w:shd w:val="clear" w:color="auto" w:fill="FFFFFF"/>
        </w:rPr>
        <w:t>Children as victims, witnesses, and offenders: Psychological science and the law</w:t>
      </w:r>
      <w:r w:rsidRPr="00EA7A4C">
        <w:rPr>
          <w:shd w:val="clear" w:color="auto" w:fill="FFFFFF"/>
        </w:rPr>
        <w:t> (pp. 209-232). New York, NY: Guilford Press.</w:t>
      </w:r>
    </w:p>
    <w:p w14:paraId="5723641B" w14:textId="1275A641" w:rsidR="00637D07" w:rsidRDefault="00637D07" w:rsidP="00AC77AC">
      <w:pPr>
        <w:spacing w:line="480" w:lineRule="auto"/>
        <w:ind w:left="720" w:hanging="720"/>
        <w:rPr>
          <w:shd w:val="clear" w:color="auto" w:fill="FFFFFF"/>
        </w:rPr>
      </w:pPr>
      <w:proofErr w:type="spellStart"/>
      <w:r w:rsidRPr="00637D07">
        <w:rPr>
          <w:shd w:val="clear" w:color="auto" w:fill="FFFFFF"/>
        </w:rPr>
        <w:t>Bruck</w:t>
      </w:r>
      <w:proofErr w:type="spellEnd"/>
      <w:r w:rsidRPr="00637D07">
        <w:rPr>
          <w:shd w:val="clear" w:color="auto" w:fill="FFFFFF"/>
        </w:rPr>
        <w:t xml:space="preserve">, M., &amp; </w:t>
      </w:r>
      <w:proofErr w:type="spellStart"/>
      <w:r w:rsidRPr="00637D07">
        <w:rPr>
          <w:shd w:val="clear" w:color="auto" w:fill="FFFFFF"/>
        </w:rPr>
        <w:t>Ceci</w:t>
      </w:r>
      <w:proofErr w:type="spellEnd"/>
      <w:r w:rsidRPr="00637D07">
        <w:rPr>
          <w:shd w:val="clear" w:color="auto" w:fill="FFFFFF"/>
        </w:rPr>
        <w:t xml:space="preserve">, S. J. (1999). The suggestibility of children’s memory. </w:t>
      </w:r>
      <w:r w:rsidRPr="39123F4B">
        <w:rPr>
          <w:i/>
          <w:iCs/>
          <w:shd w:val="clear" w:color="auto" w:fill="FFFFFF"/>
        </w:rPr>
        <w:t>Annual Review of Psychology, 50</w:t>
      </w:r>
      <w:r w:rsidRPr="00637D07">
        <w:rPr>
          <w:shd w:val="clear" w:color="auto" w:fill="FFFFFF"/>
        </w:rPr>
        <w:t>, 419–439.</w:t>
      </w:r>
      <w:r>
        <w:rPr>
          <w:shd w:val="clear" w:color="auto" w:fill="FFFFFF"/>
        </w:rPr>
        <w:t xml:space="preserve"> </w:t>
      </w:r>
      <w:proofErr w:type="spellStart"/>
      <w:r w:rsidR="00C33C9A">
        <w:rPr>
          <w:shd w:val="clear" w:color="auto" w:fill="FFFFFF"/>
        </w:rPr>
        <w:t>d</w:t>
      </w:r>
      <w:r w:rsidRPr="00637D07">
        <w:rPr>
          <w:shd w:val="clear" w:color="auto" w:fill="FFFFFF"/>
        </w:rPr>
        <w:t>oi</w:t>
      </w:r>
      <w:proofErr w:type="spellEnd"/>
      <w:r w:rsidR="00C33C9A">
        <w:rPr>
          <w:shd w:val="clear" w:color="auto" w:fill="FFFFFF"/>
        </w:rPr>
        <w:t xml:space="preserve">: </w:t>
      </w:r>
      <w:r w:rsidRPr="00637D07">
        <w:rPr>
          <w:shd w:val="clear" w:color="auto" w:fill="FFFFFF"/>
        </w:rPr>
        <w:t>10.1146/annurev.psych.50.1.419</w:t>
      </w:r>
    </w:p>
    <w:p w14:paraId="020A64E7" w14:textId="00AF6999" w:rsidR="39123F4B" w:rsidRDefault="000E00D8" w:rsidP="006C4BE0">
      <w:pPr>
        <w:spacing w:line="480" w:lineRule="auto"/>
        <w:ind w:left="720" w:hanging="720"/>
      </w:pPr>
      <w:proofErr w:type="spellStart"/>
      <w:r>
        <w:rPr>
          <w:shd w:val="clear" w:color="auto" w:fill="FFFFFF"/>
        </w:rPr>
        <w:lastRenderedPageBreak/>
        <w:t>Candel</w:t>
      </w:r>
      <w:proofErr w:type="spellEnd"/>
      <w:r>
        <w:rPr>
          <w:shd w:val="clear" w:color="auto" w:fill="FFFFFF"/>
        </w:rPr>
        <w:t xml:space="preserve">, I., </w:t>
      </w:r>
      <w:proofErr w:type="spellStart"/>
      <w:r>
        <w:rPr>
          <w:shd w:val="clear" w:color="auto" w:fill="FFFFFF"/>
        </w:rPr>
        <w:t>Merckelback</w:t>
      </w:r>
      <w:proofErr w:type="spellEnd"/>
      <w:r>
        <w:rPr>
          <w:shd w:val="clear" w:color="auto" w:fill="FFFFFF"/>
        </w:rPr>
        <w:t xml:space="preserve">, H., </w:t>
      </w:r>
      <w:proofErr w:type="spellStart"/>
      <w:r>
        <w:rPr>
          <w:shd w:val="clear" w:color="auto" w:fill="FFFFFF"/>
        </w:rPr>
        <w:t>Jelicic</w:t>
      </w:r>
      <w:proofErr w:type="spellEnd"/>
      <w:r>
        <w:rPr>
          <w:shd w:val="clear" w:color="auto" w:fill="FFFFFF"/>
        </w:rPr>
        <w:t xml:space="preserve">, M., </w:t>
      </w:r>
      <w:proofErr w:type="spellStart"/>
      <w:r>
        <w:rPr>
          <w:shd w:val="clear" w:color="auto" w:fill="FFFFFF"/>
        </w:rPr>
        <w:t>Limpens</w:t>
      </w:r>
      <w:proofErr w:type="spellEnd"/>
      <w:r>
        <w:rPr>
          <w:shd w:val="clear" w:color="auto" w:fill="FFFFFF"/>
        </w:rPr>
        <w:t xml:space="preserve">, M., &amp; </w:t>
      </w:r>
      <w:proofErr w:type="spellStart"/>
      <w:r>
        <w:rPr>
          <w:shd w:val="clear" w:color="auto" w:fill="FFFFFF"/>
        </w:rPr>
        <w:t>Widdershoven</w:t>
      </w:r>
      <w:proofErr w:type="spellEnd"/>
      <w:r>
        <w:rPr>
          <w:shd w:val="clear" w:color="auto" w:fill="FFFFFF"/>
        </w:rPr>
        <w:t xml:space="preserve">, K. (2004). Children’s suggestibility for peripheral and central details. </w:t>
      </w:r>
      <w:r w:rsidRPr="0018723D">
        <w:rPr>
          <w:i/>
          <w:iCs/>
          <w:shd w:val="clear" w:color="auto" w:fill="FFFFFF"/>
        </w:rPr>
        <w:t xml:space="preserve">Journal of Credibility Assessment and Witness Psychology, 5, </w:t>
      </w:r>
      <w:r>
        <w:rPr>
          <w:shd w:val="clear" w:color="auto" w:fill="FFFFFF"/>
        </w:rPr>
        <w:t xml:space="preserve">9-18. </w:t>
      </w:r>
      <w:r w:rsidR="39123F4B">
        <w:rPr>
          <w:shd w:val="clear" w:color="auto" w:fill="FFFFFF"/>
        </w:rPr>
        <w:t xml:space="preserve">Retrieved at </w:t>
      </w:r>
      <w:r w:rsidR="39123F4B" w:rsidRPr="39123F4B">
        <w:t>http://truth.charleshontsphd.com/JCAAWP/2004_9_18/2004_9_18Choice.htm</w:t>
      </w:r>
    </w:p>
    <w:p w14:paraId="74642E8F" w14:textId="6945EB03" w:rsidR="00667A1F" w:rsidRDefault="0090422F" w:rsidP="00624B6F">
      <w:pPr>
        <w:spacing w:line="480" w:lineRule="auto"/>
        <w:ind w:left="720" w:hanging="720"/>
      </w:pPr>
      <w:r>
        <w:t xml:space="preserve">Coy v Iowa [1988] </w:t>
      </w:r>
      <w:r w:rsidR="00667A1F">
        <w:t>478 U.S. 1012 at 1016</w:t>
      </w:r>
      <w:r w:rsidR="00C33C9A" w:rsidRPr="39123F4B">
        <w:t>.</w:t>
      </w:r>
    </w:p>
    <w:p w14:paraId="1418B4BB" w14:textId="1F89613D" w:rsidR="003B7AB6" w:rsidRPr="00E8502E" w:rsidRDefault="0498DFD5" w:rsidP="00C52350">
      <w:pPr>
        <w:spacing w:line="480" w:lineRule="auto"/>
        <w:ind w:left="720" w:hanging="720"/>
      </w:pPr>
      <w:r w:rsidRPr="00E8502E">
        <w:t>Criminal Practice Directions. (2015). United Kingdom. Retrieved from https://www.judiciary.gov.uk/wp-content/uploads/2015/09/crim-pd-2015.pdf</w:t>
      </w:r>
    </w:p>
    <w:p w14:paraId="12DA1EC3" w14:textId="77777777" w:rsidR="003B7AB6" w:rsidRPr="00E8502E" w:rsidRDefault="0498DFD5" w:rsidP="00C52350">
      <w:pPr>
        <w:spacing w:line="480" w:lineRule="auto"/>
        <w:ind w:left="720" w:hanging="720"/>
        <w:rPr>
          <w:rStyle w:val="selectable"/>
        </w:rPr>
      </w:pPr>
      <w:r w:rsidRPr="00E8502E">
        <w:t xml:space="preserve">The Criminal Procedure Rules. (2015). United Kingdom. Retrieved from </w:t>
      </w:r>
      <w:hyperlink r:id="rId9">
        <w:r w:rsidRPr="00E8502E">
          <w:rPr>
            <w:rStyle w:val="selectable"/>
          </w:rPr>
          <w:t>https://www.justice.gov.uk/courts/procedure-rules/criminal/docs/2015/criminal-procedure-rules-practice-directions-2015.pdf</w:t>
        </w:r>
      </w:hyperlink>
    </w:p>
    <w:p w14:paraId="54DADFFD" w14:textId="3A55BD8A" w:rsidR="003B7AB6" w:rsidRPr="00E8502E" w:rsidRDefault="0498DFD5" w:rsidP="000E416E">
      <w:pPr>
        <w:spacing w:line="480" w:lineRule="auto"/>
        <w:ind w:left="720" w:right="20" w:hanging="720"/>
      </w:pPr>
      <w:r w:rsidRPr="00E8502E">
        <w:t>Crown Prosecution Service. (2003). Rape and sexual offences.</w:t>
      </w:r>
      <w:r w:rsidRPr="08D4D6A2">
        <w:rPr>
          <w:i/>
          <w:iCs/>
        </w:rPr>
        <w:t xml:space="preserve"> Chapter 2: Sexual Offences Act 2003-Principal offences, and Sexual Offences Act 1956 - Most commonly charged offences. </w:t>
      </w:r>
      <w:r w:rsidRPr="00E8502E">
        <w:t>Retrieved from</w:t>
      </w:r>
      <w:r w:rsidR="00C33C9A">
        <w:t>:</w:t>
      </w:r>
      <w:r w:rsidRPr="00E8502E">
        <w:t xml:space="preserve"> http://www.cps.gov.uk/legal/p_to_r/rape_and_sexual_offences/soa_2003_and_soa_1956/#a02</w:t>
      </w:r>
    </w:p>
    <w:p w14:paraId="12D62E8E" w14:textId="60232D82" w:rsidR="005532F0" w:rsidRPr="00E8502E" w:rsidRDefault="005532F0" w:rsidP="004A2EB9">
      <w:pPr>
        <w:spacing w:line="480" w:lineRule="auto"/>
        <w:ind w:left="567" w:hanging="567"/>
      </w:pPr>
      <w:r w:rsidRPr="005532F0">
        <w:t>Dennis, I. (2010). The right to confront witnesses: meanings, myths and human rights. </w:t>
      </w:r>
      <w:r w:rsidRPr="39123F4B">
        <w:rPr>
          <w:i/>
          <w:iCs/>
        </w:rPr>
        <w:t>Criminal Law Review</w:t>
      </w:r>
      <w:r w:rsidRPr="005532F0">
        <w:t>, 4, 255-274.</w:t>
      </w:r>
    </w:p>
    <w:p w14:paraId="1F8AF88F" w14:textId="549F4A6D" w:rsidR="003B7AB6" w:rsidRPr="00E8502E" w:rsidRDefault="003B7AB6" w:rsidP="008869B2">
      <w:pPr>
        <w:spacing w:line="480" w:lineRule="auto"/>
        <w:ind w:left="720" w:hanging="720"/>
      </w:pPr>
      <w:r w:rsidRPr="00E8502E">
        <w:rPr>
          <w:shd w:val="clear" w:color="auto" w:fill="FFFFFF"/>
        </w:rPr>
        <w:t>Dent, H. R. (1982). The effects of interviewing strategies on the results of interviews with child witnesses.</w:t>
      </w:r>
      <w:r w:rsidR="00180ED9">
        <w:rPr>
          <w:shd w:val="clear" w:color="auto" w:fill="FFFFFF"/>
        </w:rPr>
        <w:t xml:space="preserve"> In </w:t>
      </w:r>
      <w:proofErr w:type="spellStart"/>
      <w:r w:rsidR="00180ED9">
        <w:rPr>
          <w:shd w:val="clear" w:color="auto" w:fill="FFFFFF"/>
        </w:rPr>
        <w:t>Trankell</w:t>
      </w:r>
      <w:proofErr w:type="spellEnd"/>
      <w:r w:rsidR="00180ED9">
        <w:rPr>
          <w:shd w:val="clear" w:color="auto" w:fill="FFFFFF"/>
        </w:rPr>
        <w:t>, A. (Ed.),</w:t>
      </w:r>
      <w:r w:rsidRPr="00E8502E">
        <w:rPr>
          <w:shd w:val="clear" w:color="auto" w:fill="FFFFFF"/>
        </w:rPr>
        <w:t> </w:t>
      </w:r>
      <w:r w:rsidRPr="39123F4B">
        <w:rPr>
          <w:i/>
          <w:iCs/>
          <w:shd w:val="clear" w:color="auto" w:fill="FFFFFF"/>
        </w:rPr>
        <w:t>Reconstructing the past: The role of psychologists in criminal trials</w:t>
      </w:r>
      <w:r w:rsidR="00180ED9">
        <w:rPr>
          <w:shd w:val="clear" w:color="auto" w:fill="FFFFFF"/>
        </w:rPr>
        <w:t>.</w:t>
      </w:r>
      <w:r w:rsidRPr="00E8502E">
        <w:rPr>
          <w:shd w:val="clear" w:color="auto" w:fill="FFFFFF"/>
        </w:rPr>
        <w:t xml:space="preserve"> </w:t>
      </w:r>
      <w:proofErr w:type="spellStart"/>
      <w:r w:rsidR="00180ED9">
        <w:rPr>
          <w:shd w:val="clear" w:color="auto" w:fill="FFFFFF"/>
        </w:rPr>
        <w:t>Norstedt</w:t>
      </w:r>
      <w:proofErr w:type="spellEnd"/>
      <w:r w:rsidR="00180ED9">
        <w:rPr>
          <w:shd w:val="clear" w:color="auto" w:fill="FFFFFF"/>
        </w:rPr>
        <w:t>, Stockholm.</w:t>
      </w:r>
      <w:r w:rsidR="00CA1DAD">
        <w:rPr>
          <w:shd w:val="clear" w:color="auto" w:fill="FFFFFF"/>
        </w:rPr>
        <w:t xml:space="preserve"> </w:t>
      </w:r>
      <w:proofErr w:type="spellStart"/>
      <w:r w:rsidR="00CA1DAD">
        <w:rPr>
          <w:shd w:val="clear" w:color="auto" w:fill="FFFFFF"/>
        </w:rPr>
        <w:t>doi</w:t>
      </w:r>
      <w:proofErr w:type="spellEnd"/>
      <w:r w:rsidR="00CA1DAD" w:rsidRPr="00CA1DAD">
        <w:rPr>
          <w:shd w:val="clear" w:color="auto" w:fill="FFFFFF"/>
        </w:rPr>
        <w:t>: 10.1111/j.1467-</w:t>
      </w:r>
      <w:proofErr w:type="gramStart"/>
      <w:r w:rsidR="00CA1DAD" w:rsidRPr="00CA1DAD">
        <w:rPr>
          <w:shd w:val="clear" w:color="auto" w:fill="FFFFFF"/>
        </w:rPr>
        <w:t>8624.1990.tb</w:t>
      </w:r>
      <w:proofErr w:type="gramEnd"/>
      <w:r w:rsidR="00CA1DAD" w:rsidRPr="00CA1DAD">
        <w:rPr>
          <w:shd w:val="clear" w:color="auto" w:fill="FFFFFF"/>
        </w:rPr>
        <w:t>03570.x</w:t>
      </w:r>
    </w:p>
    <w:p w14:paraId="316E3C20" w14:textId="4B9C58D1" w:rsidR="003B7AB6" w:rsidRPr="00E8502E" w:rsidRDefault="003B7AB6" w:rsidP="008869B2">
      <w:pPr>
        <w:spacing w:line="480" w:lineRule="auto"/>
        <w:ind w:left="720" w:hanging="720"/>
      </w:pPr>
      <w:r w:rsidRPr="00E8502E">
        <w:rPr>
          <w:shd w:val="clear" w:color="auto" w:fill="FFFFFF"/>
        </w:rPr>
        <w:t>Dent, H. R. (1986). An experimental study of the effectiveness of different techniques of questioning mentally handicapped child witnesses. </w:t>
      </w:r>
      <w:r w:rsidRPr="39123F4B">
        <w:rPr>
          <w:i/>
          <w:iCs/>
          <w:shd w:val="clear" w:color="auto" w:fill="FFFFFF"/>
        </w:rPr>
        <w:t>British Journal of Clinical Psychology</w:t>
      </w:r>
      <w:r w:rsidRPr="00E8502E">
        <w:rPr>
          <w:shd w:val="clear" w:color="auto" w:fill="FFFFFF"/>
        </w:rPr>
        <w:t>, </w:t>
      </w:r>
      <w:r w:rsidRPr="39123F4B">
        <w:rPr>
          <w:i/>
          <w:iCs/>
          <w:shd w:val="clear" w:color="auto" w:fill="FFFFFF"/>
        </w:rPr>
        <w:t>25</w:t>
      </w:r>
      <w:r w:rsidRPr="00E8502E">
        <w:rPr>
          <w:shd w:val="clear" w:color="auto" w:fill="FFFFFF"/>
        </w:rPr>
        <w:t>, 13-17.</w:t>
      </w:r>
      <w:r w:rsidR="003C78BD">
        <w:rPr>
          <w:shd w:val="clear" w:color="auto" w:fill="FFFFFF"/>
        </w:rPr>
        <w:t xml:space="preserve"> </w:t>
      </w:r>
      <w:proofErr w:type="spellStart"/>
      <w:r w:rsidR="003C78BD">
        <w:rPr>
          <w:shd w:val="clear" w:color="auto" w:fill="FFFFFF"/>
        </w:rPr>
        <w:t>doi</w:t>
      </w:r>
      <w:proofErr w:type="spellEnd"/>
      <w:r w:rsidR="003C78BD" w:rsidRPr="003C78BD">
        <w:rPr>
          <w:shd w:val="clear" w:color="auto" w:fill="FFFFFF"/>
        </w:rPr>
        <w:t>:</w:t>
      </w:r>
      <w:r w:rsidR="00C33C9A">
        <w:rPr>
          <w:shd w:val="clear" w:color="auto" w:fill="FFFFFF"/>
        </w:rPr>
        <w:t xml:space="preserve"> </w:t>
      </w:r>
      <w:r w:rsidR="003C78BD" w:rsidRPr="003C78BD">
        <w:rPr>
          <w:shd w:val="clear" w:color="auto" w:fill="FFFFFF"/>
        </w:rPr>
        <w:t>10.1111/j.2044-</w:t>
      </w:r>
      <w:proofErr w:type="gramStart"/>
      <w:r w:rsidR="003C78BD" w:rsidRPr="003C78BD">
        <w:rPr>
          <w:shd w:val="clear" w:color="auto" w:fill="FFFFFF"/>
        </w:rPr>
        <w:t>8260.1986.tb</w:t>
      </w:r>
      <w:proofErr w:type="gramEnd"/>
      <w:r w:rsidR="003C78BD" w:rsidRPr="003C78BD">
        <w:rPr>
          <w:shd w:val="clear" w:color="auto" w:fill="FFFFFF"/>
        </w:rPr>
        <w:t>00666.x</w:t>
      </w:r>
    </w:p>
    <w:p w14:paraId="4311C05D" w14:textId="0CC6ACDA" w:rsidR="00E7471C" w:rsidRPr="00E8502E" w:rsidRDefault="00E7471C" w:rsidP="009369D2">
      <w:pPr>
        <w:spacing w:line="480" w:lineRule="auto"/>
        <w:ind w:left="720" w:hanging="720"/>
      </w:pPr>
      <w:proofErr w:type="spellStart"/>
      <w:r>
        <w:lastRenderedPageBreak/>
        <w:t>Dorrian</w:t>
      </w:r>
      <w:proofErr w:type="spellEnd"/>
      <w:r>
        <w:t xml:space="preserve">, L. (2017). </w:t>
      </w:r>
      <w:r w:rsidRPr="39123F4B">
        <w:rPr>
          <w:i/>
          <w:iCs/>
        </w:rPr>
        <w:t xml:space="preserve">Speech for the </w:t>
      </w:r>
      <w:r w:rsidR="000F08CC">
        <w:rPr>
          <w:i/>
          <w:iCs/>
        </w:rPr>
        <w:t>l</w:t>
      </w:r>
      <w:r w:rsidR="000F08CC" w:rsidRPr="39123F4B">
        <w:rPr>
          <w:i/>
          <w:iCs/>
        </w:rPr>
        <w:t xml:space="preserve">aunch </w:t>
      </w:r>
      <w:r w:rsidRPr="39123F4B">
        <w:rPr>
          <w:i/>
          <w:iCs/>
        </w:rPr>
        <w:t xml:space="preserve">of Practice Note No 1. </w:t>
      </w:r>
      <w:r w:rsidR="002D7E40">
        <w:rPr>
          <w:i/>
          <w:iCs/>
        </w:rPr>
        <w:t>o</w:t>
      </w:r>
      <w:r w:rsidRPr="39123F4B">
        <w:rPr>
          <w:i/>
          <w:iCs/>
        </w:rPr>
        <w:t>f</w:t>
      </w:r>
      <w:r w:rsidR="002D7E40">
        <w:rPr>
          <w:i/>
          <w:iCs/>
        </w:rPr>
        <w:t xml:space="preserve"> </w:t>
      </w:r>
      <w:r w:rsidRPr="39123F4B">
        <w:rPr>
          <w:i/>
          <w:iCs/>
        </w:rPr>
        <w:t xml:space="preserve">2017 - High Court of </w:t>
      </w:r>
      <w:proofErr w:type="spellStart"/>
      <w:r w:rsidRPr="39123F4B">
        <w:rPr>
          <w:i/>
          <w:iCs/>
        </w:rPr>
        <w:t>Justiciary</w:t>
      </w:r>
      <w:proofErr w:type="spellEnd"/>
      <w:r w:rsidRPr="39123F4B">
        <w:rPr>
          <w:i/>
          <w:iCs/>
        </w:rPr>
        <w:t xml:space="preserve"> Practice Note on Taking Evidence by a Commissioner.</w:t>
      </w:r>
      <w:r w:rsidRPr="00E7471C">
        <w:t xml:space="preserve"> Retrieved from: http://www.scotlandjudiciary.org.uk/Upload/Documents/PNNo1of2017speechLJC28March2017.pdf</w:t>
      </w:r>
    </w:p>
    <w:p w14:paraId="5F2D34D7" w14:textId="3FF3AF26" w:rsidR="003B7AB6" w:rsidRDefault="003B7AB6" w:rsidP="00B4656F">
      <w:pPr>
        <w:widowControl w:val="0"/>
        <w:autoSpaceDE w:val="0"/>
        <w:autoSpaceDN w:val="0"/>
        <w:adjustRightInd w:val="0"/>
        <w:spacing w:line="480" w:lineRule="auto"/>
      </w:pPr>
      <w:r w:rsidRPr="00E8502E">
        <w:t xml:space="preserve">European Convention on Human Rights, Art 6(d). Retrieved from: http://www.echr. </w:t>
      </w:r>
      <w:r w:rsidRPr="00E8502E">
        <w:tab/>
        <w:t xml:space="preserve">coe.int/Documents/Convention_ENG.pdf </w:t>
      </w:r>
    </w:p>
    <w:p w14:paraId="0293282A" w14:textId="7DA90334" w:rsidR="00151928" w:rsidRDefault="00151928" w:rsidP="08D4D6A2">
      <w:pPr>
        <w:widowControl w:val="0"/>
        <w:autoSpaceDE w:val="0"/>
        <w:autoSpaceDN w:val="0"/>
        <w:adjustRightInd w:val="0"/>
        <w:spacing w:line="480" w:lineRule="auto"/>
        <w:ind w:left="567" w:hanging="567"/>
      </w:pPr>
      <w:r>
        <w:t>Evidence Act. (2006). New Zealand</w:t>
      </w:r>
      <w:r w:rsidR="006301F9">
        <w:t xml:space="preserve">. Retrieved from: </w:t>
      </w:r>
      <w:r w:rsidR="00821E07" w:rsidRPr="006C4BE0">
        <w:t>http://www.legislation.govt.nz/act/public/2006/0069/latest/DLM393463.html?search=sw_096be8ed8160fed6_child_25_se&amp;p=1&amp;sr=0</w:t>
      </w:r>
    </w:p>
    <w:p w14:paraId="27CD37F2" w14:textId="15179D42" w:rsidR="00821E07" w:rsidRPr="00E8502E" w:rsidRDefault="00821E07" w:rsidP="00A73C55">
      <w:pPr>
        <w:widowControl w:val="0"/>
        <w:autoSpaceDE w:val="0"/>
        <w:autoSpaceDN w:val="0"/>
        <w:adjustRightInd w:val="0"/>
        <w:spacing w:line="480" w:lineRule="auto"/>
        <w:ind w:left="567" w:hanging="567"/>
      </w:pPr>
      <w:r>
        <w:t xml:space="preserve">Federal Rules of Evidence. (2015). United States. Retrieved from: </w:t>
      </w:r>
      <w:r w:rsidRPr="00821E07">
        <w:t>https://www.law.cornell.edu/rules/fre</w:t>
      </w:r>
    </w:p>
    <w:p w14:paraId="59BFE3C3" w14:textId="1E8CC8D8" w:rsidR="001B79BE" w:rsidRPr="006C4BE0" w:rsidRDefault="001B79BE" w:rsidP="39123F4B">
      <w:pPr>
        <w:spacing w:line="480" w:lineRule="auto"/>
        <w:ind w:left="720" w:hanging="720"/>
        <w:rPr>
          <w:i/>
          <w:iCs/>
        </w:rPr>
      </w:pPr>
      <w:proofErr w:type="spellStart"/>
      <w:r w:rsidRPr="002D14BD">
        <w:t>Flin</w:t>
      </w:r>
      <w:proofErr w:type="spellEnd"/>
      <w:r w:rsidRPr="002D14BD">
        <w:t>, R. H. (1993). Hearing and testing children's evidence. In G. S. Goodman &amp; B. L. Bottoms (Eds.),</w:t>
      </w:r>
      <w:r w:rsidRPr="39123F4B">
        <w:rPr>
          <w:i/>
          <w:iCs/>
        </w:rPr>
        <w:t xml:space="preserve"> Child victims, child witnesses: Understanding and improving testimony </w:t>
      </w:r>
      <w:r w:rsidRPr="002D14BD">
        <w:t>(pp. 279-299). New York: Guilford Press.</w:t>
      </w:r>
    </w:p>
    <w:p w14:paraId="141DF839" w14:textId="0956721B" w:rsidR="003B7AB6" w:rsidRDefault="003B7AB6" w:rsidP="00F3036F">
      <w:pPr>
        <w:spacing w:line="480" w:lineRule="auto"/>
        <w:ind w:left="630" w:hanging="630"/>
      </w:pPr>
      <w:proofErr w:type="spellStart"/>
      <w:r w:rsidRPr="00E8502E">
        <w:t>Flin</w:t>
      </w:r>
      <w:proofErr w:type="spellEnd"/>
      <w:r w:rsidRPr="00E8502E">
        <w:t>, R., Boon, J., Knox, A., &amp; Bull, R. (1992). The effect of a five-month delay on child</w:t>
      </w:r>
      <w:r w:rsidR="00591F14">
        <w:t xml:space="preserve">ren's </w:t>
      </w:r>
      <w:r w:rsidRPr="00E8502E">
        <w:t xml:space="preserve">and adults' eyewitness memory. </w:t>
      </w:r>
      <w:r w:rsidRPr="39123F4B">
        <w:rPr>
          <w:i/>
          <w:iCs/>
        </w:rPr>
        <w:t>British Journal of Psychology</w:t>
      </w:r>
      <w:r w:rsidR="00C33C9A" w:rsidRPr="39123F4B">
        <w:rPr>
          <w:i/>
          <w:iCs/>
        </w:rPr>
        <w:t>,</w:t>
      </w:r>
      <w:r w:rsidRPr="39123F4B">
        <w:rPr>
          <w:i/>
          <w:iCs/>
        </w:rPr>
        <w:t xml:space="preserve"> 83,</w:t>
      </w:r>
      <w:r w:rsidRPr="00E8502E">
        <w:t xml:space="preserve"> 323−336. </w:t>
      </w:r>
      <w:proofErr w:type="spellStart"/>
      <w:r w:rsidR="00591F14">
        <w:t>doi</w:t>
      </w:r>
      <w:proofErr w:type="spellEnd"/>
      <w:r w:rsidR="00591F14" w:rsidRPr="39123F4B">
        <w:t xml:space="preserve">: </w:t>
      </w:r>
      <w:r w:rsidR="00591F14" w:rsidRPr="00591F14">
        <w:t>10.1111/j.2044-</w:t>
      </w:r>
      <w:proofErr w:type="gramStart"/>
      <w:r w:rsidR="00591F14" w:rsidRPr="00591F14">
        <w:t>8295.1992.tb</w:t>
      </w:r>
      <w:proofErr w:type="gramEnd"/>
      <w:r w:rsidR="00591F14" w:rsidRPr="00591F14">
        <w:t>02444.x</w:t>
      </w:r>
    </w:p>
    <w:p w14:paraId="546418E0" w14:textId="6EE9F5C7" w:rsidR="0099759E" w:rsidRPr="00E8502E" w:rsidRDefault="0099759E" w:rsidP="00F3036F">
      <w:pPr>
        <w:spacing w:line="480" w:lineRule="auto"/>
        <w:ind w:left="630" w:hanging="630"/>
      </w:pPr>
      <w:r w:rsidRPr="008F7163">
        <w:rPr>
          <w:noProof/>
        </w:rPr>
        <w:t xml:space="preserve">Flin, R., Bull, R., Boon, J., &amp; Knox, A. (1993). Child witnesses in Scottish criminal trials. </w:t>
      </w:r>
      <w:r w:rsidRPr="008F7163">
        <w:rPr>
          <w:i/>
          <w:iCs/>
          <w:noProof/>
        </w:rPr>
        <w:t>International Review of Victimology</w:t>
      </w:r>
      <w:r w:rsidRPr="008F7163">
        <w:rPr>
          <w:noProof/>
        </w:rPr>
        <w:t xml:space="preserve">, </w:t>
      </w:r>
      <w:r w:rsidRPr="008F7163">
        <w:rPr>
          <w:i/>
          <w:iCs/>
          <w:noProof/>
        </w:rPr>
        <w:t>2</w:t>
      </w:r>
      <w:r w:rsidRPr="008F7163">
        <w:rPr>
          <w:noProof/>
        </w:rPr>
        <w:t>, 309–329</w:t>
      </w:r>
      <w:r w:rsidR="00C47D2A">
        <w:rPr>
          <w:noProof/>
        </w:rPr>
        <w:t>.</w:t>
      </w:r>
      <w:r w:rsidRPr="008F7163">
        <w:rPr>
          <w:noProof/>
        </w:rPr>
        <w:t xml:space="preserve"> doi</w:t>
      </w:r>
      <w:r w:rsidR="00C47D2A">
        <w:rPr>
          <w:noProof/>
        </w:rPr>
        <w:t>:</w:t>
      </w:r>
      <w:r w:rsidR="00C47D2A" w:rsidRPr="008F7163" w:rsidDel="00C47D2A">
        <w:rPr>
          <w:noProof/>
        </w:rPr>
        <w:t xml:space="preserve"> </w:t>
      </w:r>
      <w:r w:rsidRPr="008F7163">
        <w:rPr>
          <w:noProof/>
        </w:rPr>
        <w:t>10.1177/026975809300200403</w:t>
      </w:r>
    </w:p>
    <w:p w14:paraId="57520350" w14:textId="17085902" w:rsidR="004D4199" w:rsidRDefault="004D4199" w:rsidP="00AC77AC">
      <w:pPr>
        <w:spacing w:line="480" w:lineRule="auto"/>
        <w:ind w:left="720" w:hanging="720"/>
        <w:rPr>
          <w:shd w:val="clear" w:color="auto" w:fill="FFFFFF"/>
        </w:rPr>
      </w:pPr>
      <w:proofErr w:type="spellStart"/>
      <w:r w:rsidRPr="004D4199">
        <w:rPr>
          <w:shd w:val="clear" w:color="auto" w:fill="FFFFFF"/>
        </w:rPr>
        <w:t>Fogliati</w:t>
      </w:r>
      <w:proofErr w:type="spellEnd"/>
      <w:r w:rsidRPr="004D4199">
        <w:rPr>
          <w:shd w:val="clear" w:color="auto" w:fill="FFFFFF"/>
        </w:rPr>
        <w:t xml:space="preserve">, R. and </w:t>
      </w:r>
      <w:proofErr w:type="spellStart"/>
      <w:r w:rsidRPr="004D4199">
        <w:rPr>
          <w:shd w:val="clear" w:color="auto" w:fill="FFFFFF"/>
        </w:rPr>
        <w:t>Bussey</w:t>
      </w:r>
      <w:proofErr w:type="spellEnd"/>
      <w:r w:rsidRPr="004D4199">
        <w:rPr>
          <w:shd w:val="clear" w:color="auto" w:fill="FFFFFF"/>
        </w:rPr>
        <w:t xml:space="preserve">, K. (2014), The effects of cross-examination on children's reports of neutral and transgressive events. </w:t>
      </w:r>
      <w:r w:rsidRPr="39123F4B">
        <w:rPr>
          <w:i/>
          <w:iCs/>
          <w:shd w:val="clear" w:color="auto" w:fill="FFFFFF"/>
        </w:rPr>
        <w:t>Leg</w:t>
      </w:r>
      <w:r w:rsidR="00C33C9A" w:rsidRPr="39123F4B">
        <w:rPr>
          <w:i/>
          <w:iCs/>
          <w:shd w:val="clear" w:color="auto" w:fill="FFFFFF"/>
        </w:rPr>
        <w:t>al</w:t>
      </w:r>
      <w:r w:rsidRPr="39123F4B">
        <w:rPr>
          <w:i/>
          <w:iCs/>
          <w:shd w:val="clear" w:color="auto" w:fill="FFFFFF"/>
        </w:rPr>
        <w:t xml:space="preserve"> </w:t>
      </w:r>
      <w:r w:rsidR="00C33C9A" w:rsidRPr="39123F4B">
        <w:rPr>
          <w:i/>
          <w:iCs/>
          <w:shd w:val="clear" w:color="auto" w:fill="FFFFFF"/>
        </w:rPr>
        <w:t>and Criminological</w:t>
      </w:r>
      <w:r w:rsidRPr="39123F4B">
        <w:rPr>
          <w:i/>
          <w:iCs/>
          <w:shd w:val="clear" w:color="auto" w:fill="FFFFFF"/>
        </w:rPr>
        <w:t xml:space="preserve"> Psychol</w:t>
      </w:r>
      <w:r w:rsidR="00C33C9A" w:rsidRPr="39123F4B">
        <w:rPr>
          <w:i/>
          <w:iCs/>
          <w:shd w:val="clear" w:color="auto" w:fill="FFFFFF"/>
        </w:rPr>
        <w:t>ogy</w:t>
      </w:r>
      <w:r w:rsidRPr="004D4199">
        <w:rPr>
          <w:shd w:val="clear" w:color="auto" w:fill="FFFFFF"/>
        </w:rPr>
        <w:t xml:space="preserve">, </w:t>
      </w:r>
      <w:r w:rsidRPr="39123F4B">
        <w:rPr>
          <w:i/>
          <w:iCs/>
          <w:shd w:val="clear" w:color="auto" w:fill="FFFFFF"/>
        </w:rPr>
        <w:t>19</w:t>
      </w:r>
      <w:r w:rsidR="00C33C9A">
        <w:rPr>
          <w:shd w:val="clear" w:color="auto" w:fill="FFFFFF"/>
        </w:rPr>
        <w:t>,</w:t>
      </w:r>
      <w:r w:rsidRPr="004D4199">
        <w:rPr>
          <w:shd w:val="clear" w:color="auto" w:fill="FFFFFF"/>
        </w:rPr>
        <w:t xml:space="preserve"> 296–315. </w:t>
      </w:r>
      <w:proofErr w:type="spellStart"/>
      <w:r w:rsidRPr="004D4199">
        <w:rPr>
          <w:shd w:val="clear" w:color="auto" w:fill="FFFFFF"/>
        </w:rPr>
        <w:t>doi</w:t>
      </w:r>
      <w:proofErr w:type="spellEnd"/>
      <w:r w:rsidRPr="004D4199">
        <w:rPr>
          <w:shd w:val="clear" w:color="auto" w:fill="FFFFFF"/>
        </w:rPr>
        <w:t>:</w:t>
      </w:r>
      <w:r w:rsidR="00C33C9A">
        <w:rPr>
          <w:shd w:val="clear" w:color="auto" w:fill="FFFFFF"/>
        </w:rPr>
        <w:t xml:space="preserve"> </w:t>
      </w:r>
      <w:r w:rsidRPr="004D4199">
        <w:rPr>
          <w:shd w:val="clear" w:color="auto" w:fill="FFFFFF"/>
        </w:rPr>
        <w:t xml:space="preserve">10.1111/lcrp.12010 </w:t>
      </w:r>
    </w:p>
    <w:p w14:paraId="364B6F6E" w14:textId="62A739E7" w:rsidR="00653294" w:rsidRDefault="00653294" w:rsidP="001020C5">
      <w:pPr>
        <w:spacing w:line="480" w:lineRule="auto"/>
        <w:ind w:left="720" w:hanging="720"/>
        <w:rPr>
          <w:shd w:val="clear" w:color="auto" w:fill="FFFFFF"/>
          <w:lang w:eastAsia="en-GB"/>
        </w:rPr>
      </w:pPr>
      <w:r w:rsidRPr="00653294">
        <w:rPr>
          <w:shd w:val="clear" w:color="auto" w:fill="FFFFFF"/>
          <w:lang w:eastAsia="en-GB"/>
        </w:rPr>
        <w:t xml:space="preserve">Goodman, G. S., Ogle, C. M., McWilliams, K., </w:t>
      </w:r>
      <w:proofErr w:type="spellStart"/>
      <w:r w:rsidRPr="00653294">
        <w:rPr>
          <w:shd w:val="clear" w:color="auto" w:fill="FFFFFF"/>
          <w:lang w:eastAsia="en-GB"/>
        </w:rPr>
        <w:t>Narr</w:t>
      </w:r>
      <w:proofErr w:type="spellEnd"/>
      <w:r w:rsidRPr="00653294">
        <w:rPr>
          <w:shd w:val="clear" w:color="auto" w:fill="FFFFFF"/>
          <w:lang w:eastAsia="en-GB"/>
        </w:rPr>
        <w:t xml:space="preserve">, R., &amp; Paz-Alonso, K. (2014). Memory development in the forensic context. In P. Bauer &amp; R. </w:t>
      </w:r>
      <w:proofErr w:type="spellStart"/>
      <w:r w:rsidRPr="00653294">
        <w:rPr>
          <w:shd w:val="clear" w:color="auto" w:fill="FFFFFF"/>
          <w:lang w:eastAsia="en-GB"/>
        </w:rPr>
        <w:t>Fivush</w:t>
      </w:r>
      <w:proofErr w:type="spellEnd"/>
      <w:r w:rsidRPr="00653294">
        <w:rPr>
          <w:shd w:val="clear" w:color="auto" w:fill="FFFFFF"/>
          <w:lang w:eastAsia="en-GB"/>
        </w:rPr>
        <w:t xml:space="preserve"> (Eds.), </w:t>
      </w:r>
      <w:r w:rsidRPr="00963A7D">
        <w:rPr>
          <w:i/>
          <w:shd w:val="clear" w:color="auto" w:fill="FFFFFF"/>
          <w:lang w:eastAsia="en-GB"/>
        </w:rPr>
        <w:t>Handbook on the development of children’s memory</w:t>
      </w:r>
      <w:r w:rsidRPr="00653294">
        <w:rPr>
          <w:shd w:val="clear" w:color="auto" w:fill="FFFFFF"/>
          <w:lang w:eastAsia="en-GB"/>
        </w:rPr>
        <w:t xml:space="preserve"> (pp. 920-942). New York, NY: Wiley-Blackwell.</w:t>
      </w:r>
    </w:p>
    <w:p w14:paraId="44210294" w14:textId="4BB469C5" w:rsidR="00F164CE" w:rsidRDefault="00F164CE" w:rsidP="39123F4B">
      <w:pPr>
        <w:spacing w:line="480" w:lineRule="auto"/>
        <w:ind w:left="720" w:hanging="720"/>
      </w:pPr>
      <w:r w:rsidRPr="00F164CE">
        <w:lastRenderedPageBreak/>
        <w:t xml:space="preserve">Goodman, G. S., Jones, O., &amp; McLeod, C. (2017). Is </w:t>
      </w:r>
      <w:r w:rsidR="00C33C9A">
        <w:t>t</w:t>
      </w:r>
      <w:r w:rsidRPr="00F164CE">
        <w:t xml:space="preserve">here </w:t>
      </w:r>
      <w:r w:rsidR="00C33C9A">
        <w:t>c</w:t>
      </w:r>
      <w:r w:rsidRPr="00F164CE">
        <w:t xml:space="preserve">onsensus </w:t>
      </w:r>
      <w:r w:rsidR="00C33C9A">
        <w:t>a</w:t>
      </w:r>
      <w:r w:rsidRPr="00F164CE">
        <w:t xml:space="preserve">bout </w:t>
      </w:r>
      <w:r w:rsidR="00C33C9A">
        <w:t>c</w:t>
      </w:r>
      <w:r w:rsidRPr="00F164CE">
        <w:t>hildr</w:t>
      </w:r>
      <w:r w:rsidR="00E707E6">
        <w:t xml:space="preserve">en’s </w:t>
      </w:r>
      <w:r w:rsidR="00C33C9A">
        <w:t>m</w:t>
      </w:r>
      <w:r w:rsidR="00E707E6">
        <w:t xml:space="preserve">emory and </w:t>
      </w:r>
      <w:r w:rsidR="00C33C9A">
        <w:t>s</w:t>
      </w:r>
      <w:r w:rsidR="00E707E6">
        <w:t>uggestibility?</w:t>
      </w:r>
      <w:r w:rsidRPr="39123F4B">
        <w:t xml:space="preserve"> </w:t>
      </w:r>
      <w:r w:rsidRPr="0018723D">
        <w:rPr>
          <w:i/>
          <w:iCs/>
        </w:rPr>
        <w:t>Journal of Interpersonal Violence, 32</w:t>
      </w:r>
      <w:r w:rsidRPr="00F164CE">
        <w:t>, 926-939.</w:t>
      </w:r>
      <w:r w:rsidR="0034284A" w:rsidRPr="39123F4B">
        <w:t xml:space="preserve"> </w:t>
      </w:r>
      <w:proofErr w:type="spellStart"/>
      <w:r w:rsidR="0034284A">
        <w:t>doi</w:t>
      </w:r>
      <w:proofErr w:type="spellEnd"/>
      <w:r w:rsidR="0034284A" w:rsidRPr="39123F4B">
        <w:t>:</w:t>
      </w:r>
      <w:r w:rsidR="0034284A" w:rsidRPr="0034284A">
        <w:t xml:space="preserve"> 10.1177/0886260516657358</w:t>
      </w:r>
    </w:p>
    <w:p w14:paraId="634A7D6F" w14:textId="444DA136" w:rsidR="000267FD" w:rsidRPr="00E8502E" w:rsidRDefault="000267FD" w:rsidP="00624B6F">
      <w:pPr>
        <w:spacing w:line="480" w:lineRule="auto"/>
        <w:ind w:left="720" w:hanging="720"/>
      </w:pPr>
      <w:proofErr w:type="spellStart"/>
      <w:r w:rsidRPr="000267FD">
        <w:t>Gudjonsson</w:t>
      </w:r>
      <w:proofErr w:type="spellEnd"/>
      <w:r w:rsidRPr="000267FD">
        <w:t xml:space="preserve">, G. H. (2003). </w:t>
      </w:r>
      <w:r w:rsidRPr="006C4BE0">
        <w:rPr>
          <w:i/>
          <w:iCs/>
        </w:rPr>
        <w:t>The psychology of interrogations and confessions: A handbook.</w:t>
      </w:r>
      <w:r w:rsidRPr="000267FD">
        <w:t xml:space="preserve"> Chichester, England: Wiley.</w:t>
      </w:r>
    </w:p>
    <w:p w14:paraId="5A797D5F" w14:textId="6D8E258C" w:rsidR="003B7AB6" w:rsidRDefault="00761F94" w:rsidP="00624B6F">
      <w:pPr>
        <w:widowControl w:val="0"/>
        <w:autoSpaceDE w:val="0"/>
        <w:autoSpaceDN w:val="0"/>
        <w:adjustRightInd w:val="0"/>
        <w:spacing w:line="480" w:lineRule="auto"/>
      </w:pPr>
      <w:r w:rsidRPr="00E8502E">
        <w:t xml:space="preserve">Hanna, K., Davies, E., Crothers, C., &amp; Henderson, E. </w:t>
      </w:r>
      <w:r w:rsidR="003B7AB6" w:rsidRPr="00E8502E">
        <w:t xml:space="preserve">(2012). Questioning child witnesses in </w:t>
      </w:r>
      <w:r w:rsidR="003B7AB6" w:rsidRPr="00E8502E">
        <w:tab/>
        <w:t xml:space="preserve">New Zealand’s criminal justice system: Is cross-examination fair? </w:t>
      </w:r>
      <w:r w:rsidR="003B7AB6" w:rsidRPr="39123F4B">
        <w:rPr>
          <w:i/>
          <w:iCs/>
        </w:rPr>
        <w:t xml:space="preserve">Psychiatry, </w:t>
      </w:r>
      <w:r w:rsidR="003B7AB6" w:rsidRPr="00E8502E">
        <w:rPr>
          <w:i/>
        </w:rPr>
        <w:tab/>
      </w:r>
      <w:r w:rsidR="003B7AB6" w:rsidRPr="39123F4B">
        <w:rPr>
          <w:i/>
          <w:iCs/>
        </w:rPr>
        <w:t xml:space="preserve">Psychology and Law, 19, </w:t>
      </w:r>
      <w:r w:rsidR="003B7AB6" w:rsidRPr="00E8502E">
        <w:t xml:space="preserve">530-546. </w:t>
      </w:r>
      <w:proofErr w:type="spellStart"/>
      <w:r w:rsidR="003B7AB6" w:rsidRPr="00E8502E">
        <w:t>doi</w:t>
      </w:r>
      <w:proofErr w:type="spellEnd"/>
      <w:r w:rsidR="003B7AB6" w:rsidRPr="39123F4B">
        <w:t>:</w:t>
      </w:r>
      <w:r w:rsidR="00C33C9A" w:rsidRPr="39123F4B">
        <w:t xml:space="preserve"> </w:t>
      </w:r>
      <w:r w:rsidR="003B7AB6" w:rsidRPr="00E8502E">
        <w:t xml:space="preserve">10.1080/13218719.2011.615813 </w:t>
      </w:r>
    </w:p>
    <w:p w14:paraId="22477D17" w14:textId="44AE277B" w:rsidR="00761F94" w:rsidRDefault="00761F94" w:rsidP="00C52350">
      <w:pPr>
        <w:spacing w:line="480" w:lineRule="auto"/>
        <w:ind w:left="720" w:hanging="720"/>
      </w:pPr>
      <w:r w:rsidRPr="00761F94">
        <w:t>Hanna, K. M., Davies, E., Henderson, E., Crothers, C., &amp; Rotherham, C. (2010). </w:t>
      </w:r>
      <w:r w:rsidRPr="08D4D6A2">
        <w:rPr>
          <w:i/>
          <w:iCs/>
        </w:rPr>
        <w:t>Child witnesses in the New Zealand criminal courts: A review of practice and implications for policy</w:t>
      </w:r>
      <w:r w:rsidRPr="00761F94">
        <w:t>. New Zealand Law Foundation.</w:t>
      </w:r>
    </w:p>
    <w:p w14:paraId="682D63EF" w14:textId="2086D0F3" w:rsidR="00F35A97" w:rsidRDefault="00F35A97" w:rsidP="00F35A97">
      <w:pPr>
        <w:spacing w:line="480" w:lineRule="auto"/>
        <w:ind w:left="720" w:hanging="720"/>
      </w:pPr>
      <w:r w:rsidRPr="00F35A97">
        <w:t xml:space="preserve">Hanna, K., Davies, E., Henderson, E., &amp; Hand, L. (2013). Questioning child witnesses: Exploring the benefits and risks of intermediary models in New Zealand. </w:t>
      </w:r>
      <w:r w:rsidRPr="0033546C">
        <w:rPr>
          <w:i/>
        </w:rPr>
        <w:t>Psychiatry, Psychology and Law, 20</w:t>
      </w:r>
      <w:r w:rsidRPr="00F35A97">
        <w:t>, 527–542. doi:10.1080/13218719.2012.726148</w:t>
      </w:r>
    </w:p>
    <w:p w14:paraId="4AB7CEC2" w14:textId="0627B759" w:rsidR="001C0C4F" w:rsidRPr="00536B8D" w:rsidRDefault="00536B8D" w:rsidP="001C0C4F">
      <w:pPr>
        <w:spacing w:line="480" w:lineRule="auto"/>
        <w:ind w:left="709" w:hanging="709"/>
      </w:pPr>
      <w:r w:rsidRPr="00536B8D">
        <w:t xml:space="preserve">Henderson, E. (2002). Persuading and </w:t>
      </w:r>
      <w:r w:rsidR="00F6775C">
        <w:t>c</w:t>
      </w:r>
      <w:r w:rsidRPr="00536B8D">
        <w:t xml:space="preserve">ontrolling: The </w:t>
      </w:r>
      <w:r w:rsidR="00F6775C">
        <w:t>t</w:t>
      </w:r>
      <w:r w:rsidRPr="00536B8D">
        <w:t xml:space="preserve">heory of </w:t>
      </w:r>
      <w:r w:rsidR="00F6775C">
        <w:t>c</w:t>
      </w:r>
      <w:r w:rsidRPr="00536B8D">
        <w:t>ross-</w:t>
      </w:r>
      <w:r w:rsidR="00F6775C">
        <w:t>e</w:t>
      </w:r>
      <w:r w:rsidRPr="00536B8D">
        <w:t xml:space="preserve">xamination in </w:t>
      </w:r>
      <w:r w:rsidR="00F6775C">
        <w:t>r</w:t>
      </w:r>
      <w:r w:rsidRPr="00536B8D">
        <w:t xml:space="preserve">elation to </w:t>
      </w:r>
      <w:r w:rsidR="00F6775C">
        <w:t>c</w:t>
      </w:r>
      <w:r w:rsidRPr="00536B8D">
        <w:t xml:space="preserve">hildren. In </w:t>
      </w:r>
      <w:r w:rsidR="001C0C4F" w:rsidRPr="001C0C4F">
        <w:t xml:space="preserve">Lamb, M. E., La </w:t>
      </w:r>
      <w:proofErr w:type="spellStart"/>
      <w:r w:rsidR="001C0C4F" w:rsidRPr="001C0C4F">
        <w:t>Rooy</w:t>
      </w:r>
      <w:proofErr w:type="spellEnd"/>
      <w:r w:rsidR="001C0C4F" w:rsidRPr="001C0C4F">
        <w:t>, D. J., Malloy, L. C., &amp; Katz, C. (Eds.</w:t>
      </w:r>
      <w:r w:rsidR="001C0C4F">
        <w:t xml:space="preserve">), </w:t>
      </w:r>
      <w:r w:rsidRPr="00536B8D">
        <w:rPr>
          <w:i/>
          <w:iCs/>
        </w:rPr>
        <w:t xml:space="preserve">Children’s Testimony: A </w:t>
      </w:r>
      <w:r w:rsidR="00F6775C">
        <w:rPr>
          <w:i/>
          <w:iCs/>
        </w:rPr>
        <w:t>h</w:t>
      </w:r>
      <w:r w:rsidRPr="00536B8D">
        <w:rPr>
          <w:i/>
          <w:iCs/>
        </w:rPr>
        <w:t xml:space="preserve">andbook of </w:t>
      </w:r>
      <w:r w:rsidR="00F6775C">
        <w:rPr>
          <w:i/>
          <w:iCs/>
        </w:rPr>
        <w:t>p</w:t>
      </w:r>
      <w:r w:rsidRPr="00536B8D">
        <w:rPr>
          <w:i/>
          <w:iCs/>
        </w:rPr>
        <w:t xml:space="preserve">sychological </w:t>
      </w:r>
      <w:r w:rsidR="00F6775C">
        <w:rPr>
          <w:i/>
          <w:iCs/>
        </w:rPr>
        <w:t>r</w:t>
      </w:r>
      <w:r w:rsidRPr="00536B8D">
        <w:rPr>
          <w:i/>
          <w:iCs/>
        </w:rPr>
        <w:t xml:space="preserve">esearch and </w:t>
      </w:r>
      <w:r w:rsidR="00F6775C">
        <w:rPr>
          <w:i/>
          <w:iCs/>
        </w:rPr>
        <w:t>f</w:t>
      </w:r>
      <w:r w:rsidRPr="00536B8D">
        <w:rPr>
          <w:i/>
          <w:iCs/>
        </w:rPr>
        <w:t xml:space="preserve">orensic </w:t>
      </w:r>
      <w:r w:rsidR="00F6775C">
        <w:rPr>
          <w:i/>
          <w:iCs/>
        </w:rPr>
        <w:t>p</w:t>
      </w:r>
      <w:r w:rsidRPr="00536B8D">
        <w:rPr>
          <w:i/>
          <w:iCs/>
        </w:rPr>
        <w:t>ractice</w:t>
      </w:r>
      <w:r w:rsidRPr="00536B8D">
        <w:t xml:space="preserve"> </w:t>
      </w:r>
      <w:r w:rsidR="001C0C4F" w:rsidRPr="001C0C4F">
        <w:t>(pp. 279–293)</w:t>
      </w:r>
      <w:r w:rsidR="001C0C4F">
        <w:t>.</w:t>
      </w:r>
      <w:r w:rsidR="001C0C4F" w:rsidRPr="001C0C4F">
        <w:t xml:space="preserve"> </w:t>
      </w:r>
      <w:r w:rsidR="001C0C4F">
        <w:t>Chichester, UK: Wiley-Blackwell</w:t>
      </w:r>
      <w:r w:rsidR="005B38C8">
        <w:t>.</w:t>
      </w:r>
      <w:r w:rsidR="001C0C4F" w:rsidRPr="00536B8D">
        <w:t xml:space="preserve"> </w:t>
      </w:r>
      <w:proofErr w:type="spellStart"/>
      <w:r w:rsidRPr="00536B8D">
        <w:t>doi</w:t>
      </w:r>
      <w:proofErr w:type="spellEnd"/>
      <w:r w:rsidR="00C47D2A">
        <w:t xml:space="preserve">: </w:t>
      </w:r>
      <w:r w:rsidRPr="00536B8D">
        <w:t>10.1002/9780470713679.ch18</w:t>
      </w:r>
    </w:p>
    <w:p w14:paraId="1E2D0E51" w14:textId="21F94739" w:rsidR="00536B8D" w:rsidRPr="00761F94" w:rsidRDefault="00536B8D" w:rsidP="00536B8D">
      <w:pPr>
        <w:spacing w:line="480" w:lineRule="auto"/>
        <w:ind w:left="720" w:hanging="720"/>
      </w:pPr>
      <w:r w:rsidRPr="00536B8D">
        <w:t>Henderson, E. (2015). Theoretically speaking: English judges and advocates discuss the changin</w:t>
      </w:r>
      <w:r>
        <w:t>g theory of cross-examination</w:t>
      </w:r>
      <w:r w:rsidRPr="00536B8D">
        <w:t xml:space="preserve">. </w:t>
      </w:r>
      <w:r w:rsidRPr="00536B8D">
        <w:rPr>
          <w:i/>
          <w:iCs/>
        </w:rPr>
        <w:t xml:space="preserve">Criminal Law </w:t>
      </w:r>
      <w:r w:rsidR="00F22710" w:rsidRPr="00536B8D">
        <w:rPr>
          <w:i/>
          <w:iCs/>
        </w:rPr>
        <w:t>Review</w:t>
      </w:r>
      <w:r w:rsidR="00F22710" w:rsidRPr="00536B8D">
        <w:t>,</w:t>
      </w:r>
      <w:r w:rsidR="00F22710">
        <w:t xml:space="preserve"> (</w:t>
      </w:r>
      <w:r w:rsidR="001C0C4F">
        <w:t>12)</w:t>
      </w:r>
      <w:r w:rsidRPr="00536B8D">
        <w:t xml:space="preserve"> 929</w:t>
      </w:r>
      <w:r w:rsidR="001C0C4F">
        <w:t>-948</w:t>
      </w:r>
      <w:r w:rsidRPr="00536B8D">
        <w:t>.</w:t>
      </w:r>
    </w:p>
    <w:p w14:paraId="79F7EDCD" w14:textId="793F13C1" w:rsidR="003B7AB6" w:rsidRPr="00E8502E" w:rsidRDefault="0498DFD5" w:rsidP="00C52350">
      <w:pPr>
        <w:spacing w:line="480" w:lineRule="auto"/>
        <w:ind w:left="720" w:hanging="720"/>
      </w:pPr>
      <w:r w:rsidRPr="00E8502E">
        <w:t xml:space="preserve">Henderson, H. M. &amp; Lamb, M. (2017). Pre-recording children’s trial testimony: Effects on the criminal justice system. </w:t>
      </w:r>
      <w:r w:rsidRPr="39123F4B">
        <w:rPr>
          <w:i/>
          <w:iCs/>
        </w:rPr>
        <w:t>Criminal Law Review</w:t>
      </w:r>
      <w:r w:rsidR="00C33C9A" w:rsidRPr="39123F4B">
        <w:t xml:space="preserve">, </w:t>
      </w:r>
      <w:r w:rsidRPr="39123F4B">
        <w:rPr>
          <w:i/>
          <w:iCs/>
        </w:rPr>
        <w:t>5</w:t>
      </w:r>
      <w:r w:rsidRPr="00E8502E">
        <w:t xml:space="preserve">, 345-356. </w:t>
      </w:r>
    </w:p>
    <w:p w14:paraId="600B9D12" w14:textId="7C26020A" w:rsidR="00160158" w:rsidRPr="00E8502E" w:rsidRDefault="0498DFD5" w:rsidP="00160158">
      <w:pPr>
        <w:spacing w:line="480" w:lineRule="auto"/>
        <w:ind w:left="720" w:hanging="720"/>
      </w:pPr>
      <w:r w:rsidRPr="00E8502E">
        <w:t xml:space="preserve">Home Office. (2011). </w:t>
      </w:r>
      <w:r w:rsidRPr="39123F4B">
        <w:rPr>
          <w:i/>
          <w:iCs/>
        </w:rPr>
        <w:t>Achieving the best evidence in criminal proceedings: Guidance on interviewing victims and witnesses, and guidance on using special measures.</w:t>
      </w:r>
      <w:r w:rsidRPr="00E8502E">
        <w:t xml:space="preserve"> </w:t>
      </w:r>
      <w:r w:rsidR="00160158" w:rsidRPr="00E8502E">
        <w:t xml:space="preserve">London: </w:t>
      </w:r>
      <w:r w:rsidR="00160158" w:rsidRPr="00E8502E">
        <w:lastRenderedPageBreak/>
        <w:t>Crown Prosecution Service. Retrieved from</w:t>
      </w:r>
      <w:r w:rsidR="00160158">
        <w:t>:</w:t>
      </w:r>
      <w:r w:rsidR="00160158" w:rsidRPr="00E8502E">
        <w:t xml:space="preserve"> http://www.cps.gov.uk/publications/docs/best_evidence_in_criminal_proceedings.pdf</w:t>
      </w:r>
    </w:p>
    <w:p w14:paraId="495B617C" w14:textId="34AA1324" w:rsidR="009513CA" w:rsidRPr="00E8502E" w:rsidRDefault="009513CA" w:rsidP="00160158">
      <w:pPr>
        <w:spacing w:line="480" w:lineRule="auto"/>
        <w:ind w:left="709" w:hanging="709"/>
      </w:pPr>
      <w:r>
        <w:t xml:space="preserve">Inns of the Court College of Advocacy. (2016). </w:t>
      </w:r>
      <w:r w:rsidRPr="0033546C">
        <w:rPr>
          <w:i/>
        </w:rPr>
        <w:t>The 20 Principles of Questioning.</w:t>
      </w:r>
      <w:r>
        <w:t xml:space="preserve"> Available: </w:t>
      </w:r>
      <w:r w:rsidRPr="009513CA">
        <w:t>https://www.icca.ac.uk/images/download/advocacy-and-the-vulnerable/20-principles-of-questioning.pdf</w:t>
      </w:r>
    </w:p>
    <w:p w14:paraId="3597259D" w14:textId="77777777" w:rsidR="003B7AB6" w:rsidRPr="00E8502E" w:rsidRDefault="0498DFD5" w:rsidP="00B4656F">
      <w:pPr>
        <w:widowControl w:val="0"/>
        <w:autoSpaceDE w:val="0"/>
        <w:autoSpaceDN w:val="0"/>
        <w:adjustRightInd w:val="0"/>
        <w:spacing w:line="480" w:lineRule="auto"/>
        <w:ind w:left="720" w:hanging="720"/>
      </w:pPr>
      <w:r w:rsidRPr="00E8502E">
        <w:t xml:space="preserve">Jack, F., </w:t>
      </w:r>
      <w:proofErr w:type="spellStart"/>
      <w:r w:rsidRPr="00E8502E">
        <w:t>Leov</w:t>
      </w:r>
      <w:proofErr w:type="spellEnd"/>
      <w:r w:rsidRPr="00E8502E">
        <w:t xml:space="preserve">, J., &amp; </w:t>
      </w:r>
      <w:proofErr w:type="spellStart"/>
      <w:r w:rsidRPr="00E8502E">
        <w:t>Zajac</w:t>
      </w:r>
      <w:proofErr w:type="spellEnd"/>
      <w:r w:rsidRPr="00E8502E">
        <w:t xml:space="preserve">, R. (2014). Age-related differences in the free-recall accounts of child, adolescent, and adult witnesses. </w:t>
      </w:r>
      <w:r w:rsidRPr="39123F4B">
        <w:rPr>
          <w:i/>
          <w:iCs/>
        </w:rPr>
        <w:t>Applied Cognitive Psychology, 28,</w:t>
      </w:r>
      <w:r w:rsidRPr="00E8502E">
        <w:t xml:space="preserve"> 30-38. </w:t>
      </w:r>
      <w:proofErr w:type="spellStart"/>
      <w:r w:rsidRPr="00E8502E">
        <w:t>doi</w:t>
      </w:r>
      <w:proofErr w:type="spellEnd"/>
      <w:r w:rsidRPr="00E8502E">
        <w:t>: 10.1002/acp.2951</w:t>
      </w:r>
      <w:r w:rsidRPr="00E8502E">
        <w:rPr>
          <w:rFonts w:ascii="MS Mincho" w:eastAsia="MS Mincho" w:hAnsi="MS Mincho" w:cs="MS Mincho"/>
        </w:rPr>
        <w:t> </w:t>
      </w:r>
    </w:p>
    <w:p w14:paraId="028ACA16" w14:textId="77777777" w:rsidR="003B7AB6" w:rsidRPr="00E8502E" w:rsidRDefault="003B7AB6" w:rsidP="00A73C55">
      <w:pPr>
        <w:widowControl w:val="0"/>
        <w:autoSpaceDE w:val="0"/>
        <w:autoSpaceDN w:val="0"/>
        <w:adjustRightInd w:val="0"/>
        <w:spacing w:line="480" w:lineRule="auto"/>
        <w:ind w:left="720" w:hanging="720"/>
      </w:pPr>
      <w:r w:rsidRPr="00E8502E">
        <w:rPr>
          <w:bdr w:val="none" w:sz="0" w:space="0" w:color="auto" w:frame="1"/>
          <w:shd w:val="clear" w:color="auto" w:fill="FFFFFF"/>
        </w:rPr>
        <w:t>Judicial College</w:t>
      </w:r>
      <w:r w:rsidRPr="00E8502E">
        <w:rPr>
          <w:shd w:val="clear" w:color="auto" w:fill="FFFFFF"/>
        </w:rPr>
        <w:t>. </w:t>
      </w:r>
      <w:r w:rsidRPr="00E8502E">
        <w:rPr>
          <w:rStyle w:val="journaltitle"/>
          <w:bdr w:val="none" w:sz="0" w:space="0" w:color="auto" w:frame="1"/>
          <w:shd w:val="clear" w:color="auto" w:fill="FFFFFF"/>
        </w:rPr>
        <w:t>2012</w:t>
      </w:r>
      <w:r w:rsidRPr="00E8502E">
        <w:rPr>
          <w:shd w:val="clear" w:color="auto" w:fill="FFFFFF"/>
        </w:rPr>
        <w:t>. </w:t>
      </w:r>
      <w:r w:rsidRPr="00E8502E">
        <w:rPr>
          <w:bdr w:val="none" w:sz="0" w:space="0" w:color="auto" w:frame="1"/>
          <w:shd w:val="clear" w:color="auto" w:fill="FFFFFF"/>
        </w:rPr>
        <w:t>Bench Checklist Young Witness Cases</w:t>
      </w:r>
      <w:r w:rsidRPr="00E8502E">
        <w:rPr>
          <w:shd w:val="clear" w:color="auto" w:fill="FFFFFF"/>
        </w:rPr>
        <w:t>. Available: http://www.judiciary.gov.uk/publications-and-reports/guidance/2012/jc-bench-checklist-young-wit-cases [1February 2013].</w:t>
      </w:r>
    </w:p>
    <w:p w14:paraId="21775D80" w14:textId="00575FEF" w:rsidR="003B7AB6" w:rsidRDefault="00190C21" w:rsidP="39123F4B">
      <w:pPr>
        <w:widowControl w:val="0"/>
        <w:autoSpaceDE w:val="0"/>
        <w:autoSpaceDN w:val="0"/>
        <w:adjustRightInd w:val="0"/>
        <w:spacing w:line="480" w:lineRule="auto"/>
      </w:pPr>
      <w:proofErr w:type="spellStart"/>
      <w:r>
        <w:t>Klemf</w:t>
      </w:r>
      <w:r w:rsidR="003B7AB6" w:rsidRPr="00E8502E">
        <w:t>uss</w:t>
      </w:r>
      <w:proofErr w:type="spellEnd"/>
      <w:r w:rsidR="003B7AB6" w:rsidRPr="00E8502E">
        <w:t xml:space="preserve">, J. Z., </w:t>
      </w:r>
      <w:proofErr w:type="spellStart"/>
      <w:r w:rsidR="003B7AB6" w:rsidRPr="00E8502E">
        <w:t>Quas</w:t>
      </w:r>
      <w:proofErr w:type="spellEnd"/>
      <w:r w:rsidR="003B7AB6" w:rsidRPr="00E8502E">
        <w:t xml:space="preserve">, J. A., &amp; Lyon, T. D. (2014). Attorney’s questions and children’s </w:t>
      </w:r>
      <w:r w:rsidR="003B7AB6" w:rsidRPr="00E8502E">
        <w:tab/>
        <w:t xml:space="preserve">productivity in child sexual abuse criminal trials. </w:t>
      </w:r>
      <w:r w:rsidR="003B7AB6" w:rsidRPr="39123F4B">
        <w:rPr>
          <w:i/>
          <w:iCs/>
        </w:rPr>
        <w:t>Applied Cognitive Psychology, 28,</w:t>
      </w:r>
      <w:r w:rsidR="003E75DA" w:rsidRPr="39123F4B">
        <w:t xml:space="preserve"> </w:t>
      </w:r>
      <w:r w:rsidR="00C33C9A">
        <w:tab/>
      </w:r>
      <w:r w:rsidR="003E75DA">
        <w:t xml:space="preserve">780-788. </w:t>
      </w:r>
      <w:proofErr w:type="spellStart"/>
      <w:r w:rsidR="003E75DA">
        <w:t>d</w:t>
      </w:r>
      <w:r w:rsidR="003B7AB6" w:rsidRPr="00E8502E">
        <w:t>oi</w:t>
      </w:r>
      <w:proofErr w:type="spellEnd"/>
      <w:r w:rsidR="003B7AB6" w:rsidRPr="00E8502E">
        <w:t>: 10.1002/acp.3048</w:t>
      </w:r>
    </w:p>
    <w:p w14:paraId="7B79D6E3" w14:textId="4F3C6103" w:rsidR="003B7AB6" w:rsidRPr="00E8502E" w:rsidRDefault="003B7AB6" w:rsidP="00F3036F">
      <w:pPr>
        <w:spacing w:line="480" w:lineRule="auto"/>
        <w:ind w:left="720" w:hanging="720"/>
      </w:pPr>
      <w:r w:rsidRPr="00E8502E">
        <w:rPr>
          <w:shd w:val="clear" w:color="auto" w:fill="FFFFFF"/>
        </w:rPr>
        <w:t xml:space="preserve">Lamb, M. E., &amp; </w:t>
      </w:r>
      <w:proofErr w:type="spellStart"/>
      <w:r w:rsidRPr="00E8502E">
        <w:rPr>
          <w:shd w:val="clear" w:color="auto" w:fill="FFFFFF"/>
        </w:rPr>
        <w:t>Fauchier</w:t>
      </w:r>
      <w:proofErr w:type="spellEnd"/>
      <w:r w:rsidRPr="00E8502E">
        <w:rPr>
          <w:shd w:val="clear" w:color="auto" w:fill="FFFFFF"/>
        </w:rPr>
        <w:t>, A. (2001). The effects of question type on self</w:t>
      </w:r>
      <w:r w:rsidRPr="00E8502E">
        <w:rPr>
          <w:rFonts w:ascii="Calibri" w:eastAsia="Calibri" w:hAnsi="Calibri" w:cs="Calibri"/>
          <w:shd w:val="clear" w:color="auto" w:fill="FFFFFF"/>
        </w:rPr>
        <w:t>‐</w:t>
      </w:r>
      <w:r w:rsidRPr="00E8502E">
        <w:rPr>
          <w:shd w:val="clear" w:color="auto" w:fill="FFFFFF"/>
        </w:rPr>
        <w:t>contradictions by children in the course of forensic interviews. </w:t>
      </w:r>
      <w:r w:rsidRPr="39123F4B">
        <w:rPr>
          <w:i/>
          <w:iCs/>
          <w:shd w:val="clear" w:color="auto" w:fill="FFFFFF"/>
        </w:rPr>
        <w:t>Applied Cognitive Psychology</w:t>
      </w:r>
      <w:r w:rsidRPr="00E8502E">
        <w:rPr>
          <w:shd w:val="clear" w:color="auto" w:fill="FFFFFF"/>
        </w:rPr>
        <w:t>, </w:t>
      </w:r>
      <w:r w:rsidRPr="39123F4B">
        <w:rPr>
          <w:i/>
          <w:iCs/>
          <w:shd w:val="clear" w:color="auto" w:fill="FFFFFF"/>
        </w:rPr>
        <w:t>15</w:t>
      </w:r>
      <w:r w:rsidRPr="00E8502E">
        <w:rPr>
          <w:shd w:val="clear" w:color="auto" w:fill="FFFFFF"/>
        </w:rPr>
        <w:t>, 483-491.</w:t>
      </w:r>
      <w:r w:rsidR="008E28BC">
        <w:rPr>
          <w:shd w:val="clear" w:color="auto" w:fill="FFFFFF"/>
        </w:rPr>
        <w:t xml:space="preserve"> </w:t>
      </w:r>
      <w:proofErr w:type="spellStart"/>
      <w:r w:rsidR="008E28BC">
        <w:rPr>
          <w:shd w:val="clear" w:color="auto" w:fill="FFFFFF"/>
        </w:rPr>
        <w:t>doi</w:t>
      </w:r>
      <w:proofErr w:type="spellEnd"/>
      <w:r w:rsidR="008E28BC">
        <w:rPr>
          <w:shd w:val="clear" w:color="auto" w:fill="FFFFFF"/>
        </w:rPr>
        <w:t xml:space="preserve">: </w:t>
      </w:r>
      <w:r w:rsidR="008E28BC" w:rsidRPr="008E28BC">
        <w:rPr>
          <w:shd w:val="clear" w:color="auto" w:fill="FFFFFF"/>
        </w:rPr>
        <w:t>10.1002/acp.726</w:t>
      </w:r>
    </w:p>
    <w:p w14:paraId="0C35C093" w14:textId="5EA48D5D" w:rsidR="003B7AB6" w:rsidRPr="00E8502E" w:rsidRDefault="003B7AB6" w:rsidP="003959B5">
      <w:pPr>
        <w:spacing w:line="480" w:lineRule="auto"/>
        <w:ind w:left="709" w:hanging="709"/>
      </w:pPr>
      <w:r w:rsidRPr="00E8502E">
        <w:t xml:space="preserve">Lamb, M. E., </w:t>
      </w:r>
      <w:proofErr w:type="spellStart"/>
      <w:r w:rsidRPr="00E8502E">
        <w:t>Hershkowitz</w:t>
      </w:r>
      <w:proofErr w:type="spellEnd"/>
      <w:r w:rsidRPr="00E8502E">
        <w:t xml:space="preserve">, I., </w:t>
      </w:r>
      <w:proofErr w:type="spellStart"/>
      <w:r w:rsidRPr="00E8502E">
        <w:t>Orbach</w:t>
      </w:r>
      <w:proofErr w:type="spellEnd"/>
      <w:r w:rsidRPr="00E8502E">
        <w:t xml:space="preserve">, Y., &amp; </w:t>
      </w:r>
      <w:proofErr w:type="spellStart"/>
      <w:r w:rsidRPr="00E8502E">
        <w:t>Esplin</w:t>
      </w:r>
      <w:proofErr w:type="spellEnd"/>
      <w:r w:rsidRPr="00E8502E">
        <w:t>, P. W. (20</w:t>
      </w:r>
      <w:r w:rsidR="00F6775C">
        <w:t>08</w:t>
      </w:r>
      <w:r w:rsidRPr="00E8502E">
        <w:t xml:space="preserve">). </w:t>
      </w:r>
      <w:r w:rsidRPr="08D4D6A2">
        <w:rPr>
          <w:i/>
          <w:iCs/>
        </w:rPr>
        <w:t xml:space="preserve">Tell me what happened: </w:t>
      </w:r>
      <w:r w:rsidRPr="00E8502E">
        <w:rPr>
          <w:i/>
        </w:rPr>
        <w:tab/>
      </w:r>
      <w:r w:rsidRPr="08D4D6A2">
        <w:rPr>
          <w:i/>
          <w:iCs/>
        </w:rPr>
        <w:t>Structured investigative interviews of child victims and witnesses</w:t>
      </w:r>
      <w:r w:rsidRPr="00963A7D">
        <w:rPr>
          <w:iCs/>
        </w:rPr>
        <w:t>.</w:t>
      </w:r>
      <w:r w:rsidR="00F6775C" w:rsidRPr="00963A7D">
        <w:rPr>
          <w:iCs/>
        </w:rPr>
        <w:t xml:space="preserve"> Hoboken NJ and Chichester UK:</w:t>
      </w:r>
      <w:r w:rsidR="00F6775C">
        <w:rPr>
          <w:i/>
          <w:iCs/>
        </w:rPr>
        <w:t xml:space="preserve"> </w:t>
      </w:r>
      <w:r w:rsidRPr="00E8502E">
        <w:t xml:space="preserve"> John Wiley &amp; Sons.</w:t>
      </w:r>
    </w:p>
    <w:p w14:paraId="05296F7E" w14:textId="52DAC636" w:rsidR="003B7AB6" w:rsidRPr="00E8502E" w:rsidRDefault="003B7AB6" w:rsidP="003959B5">
      <w:pPr>
        <w:widowControl w:val="0"/>
        <w:autoSpaceDE w:val="0"/>
        <w:autoSpaceDN w:val="0"/>
        <w:adjustRightInd w:val="0"/>
        <w:spacing w:line="480" w:lineRule="auto"/>
        <w:ind w:left="709" w:hanging="709"/>
      </w:pPr>
      <w:r w:rsidRPr="00E8502E">
        <w:t xml:space="preserve">Lamb, M. E., Malloy, L. C., </w:t>
      </w:r>
      <w:proofErr w:type="spellStart"/>
      <w:r w:rsidRPr="00E8502E">
        <w:t>Hershkowitz</w:t>
      </w:r>
      <w:proofErr w:type="spellEnd"/>
      <w:r w:rsidRPr="00E8502E">
        <w:t xml:space="preserve">, I., &amp; La </w:t>
      </w:r>
      <w:proofErr w:type="spellStart"/>
      <w:r w:rsidRPr="00E8502E">
        <w:t>Rooy</w:t>
      </w:r>
      <w:proofErr w:type="spellEnd"/>
      <w:r w:rsidRPr="00E8502E">
        <w:t xml:space="preserve">, D. (2015). Children and the law. In </w:t>
      </w:r>
      <w:r w:rsidRPr="00E8502E">
        <w:tab/>
        <w:t xml:space="preserve">R. M. Lerner &amp; M. E. Lamb (Eds.), </w:t>
      </w:r>
      <w:r w:rsidRPr="39123F4B">
        <w:rPr>
          <w:i/>
          <w:iCs/>
        </w:rPr>
        <w:t xml:space="preserve">Handbook of child psychology and </w:t>
      </w:r>
      <w:r w:rsidRPr="00E8502E">
        <w:rPr>
          <w:i/>
        </w:rPr>
        <w:tab/>
      </w:r>
      <w:r w:rsidRPr="39123F4B">
        <w:rPr>
          <w:i/>
          <w:iCs/>
        </w:rPr>
        <w:t xml:space="preserve">developmental science </w:t>
      </w:r>
      <w:r w:rsidRPr="00E8502E">
        <w:t>(7th ed.</w:t>
      </w:r>
      <w:r w:rsidR="00336CED">
        <w:t>, pp. 464-512</w:t>
      </w:r>
      <w:r w:rsidRPr="00E8502E">
        <w:t xml:space="preserve">), Volume 3, </w:t>
      </w:r>
      <w:r w:rsidRPr="39123F4B">
        <w:rPr>
          <w:i/>
          <w:iCs/>
        </w:rPr>
        <w:t>Social, emotional and personality development.</w:t>
      </w:r>
      <w:r w:rsidRPr="00E8502E">
        <w:t xml:space="preserve"> Hoboken, NJ: Wiley.</w:t>
      </w:r>
      <w:r w:rsidR="00546D49" w:rsidRPr="39123F4B">
        <w:t xml:space="preserve"> </w:t>
      </w:r>
      <w:proofErr w:type="spellStart"/>
      <w:r w:rsidR="00C33C9A">
        <w:t>doi</w:t>
      </w:r>
      <w:proofErr w:type="spellEnd"/>
      <w:r w:rsidR="003959B5">
        <w:t xml:space="preserve">: </w:t>
      </w:r>
      <w:r w:rsidR="00546D49" w:rsidRPr="00546D49">
        <w:t>10.1002/9781118963418.childpsy312</w:t>
      </w:r>
    </w:p>
    <w:p w14:paraId="21A6EF12" w14:textId="03129CE6" w:rsidR="003B7AB6" w:rsidRDefault="003B7AB6" w:rsidP="00624B6F">
      <w:pPr>
        <w:spacing w:line="480" w:lineRule="auto"/>
        <w:ind w:left="720" w:hanging="720"/>
        <w:rPr>
          <w:shd w:val="clear" w:color="auto" w:fill="FFFFFF"/>
        </w:rPr>
      </w:pPr>
      <w:r w:rsidRPr="00E8502E">
        <w:rPr>
          <w:shd w:val="clear" w:color="auto" w:fill="FFFFFF"/>
        </w:rPr>
        <w:lastRenderedPageBreak/>
        <w:t xml:space="preserve">Lamb, M. E., </w:t>
      </w:r>
      <w:proofErr w:type="spellStart"/>
      <w:r w:rsidRPr="00E8502E">
        <w:rPr>
          <w:shd w:val="clear" w:color="auto" w:fill="FFFFFF"/>
        </w:rPr>
        <w:t>Orbach</w:t>
      </w:r>
      <w:proofErr w:type="spellEnd"/>
      <w:r w:rsidRPr="00E8502E">
        <w:rPr>
          <w:shd w:val="clear" w:color="auto" w:fill="FFFFFF"/>
        </w:rPr>
        <w:t xml:space="preserve">, Y., </w:t>
      </w:r>
      <w:proofErr w:type="spellStart"/>
      <w:r w:rsidRPr="00E8502E">
        <w:rPr>
          <w:shd w:val="clear" w:color="auto" w:fill="FFFFFF"/>
        </w:rPr>
        <w:t>Hershkowitz</w:t>
      </w:r>
      <w:proofErr w:type="spellEnd"/>
      <w:r w:rsidRPr="00E8502E">
        <w:rPr>
          <w:shd w:val="clear" w:color="auto" w:fill="FFFFFF"/>
        </w:rPr>
        <w:t xml:space="preserve">, I., </w:t>
      </w:r>
      <w:proofErr w:type="spellStart"/>
      <w:r w:rsidRPr="00E8502E">
        <w:rPr>
          <w:shd w:val="clear" w:color="auto" w:fill="FFFFFF"/>
        </w:rPr>
        <w:t>Esplin</w:t>
      </w:r>
      <w:proofErr w:type="spellEnd"/>
      <w:r w:rsidRPr="00E8502E">
        <w:rPr>
          <w:shd w:val="clear" w:color="auto" w:fill="FFFFFF"/>
        </w:rPr>
        <w:t xml:space="preserve">, P. W., &amp; Horowitz, D. (2007). A structured forensic interview protocol improves the quality and </w:t>
      </w:r>
      <w:proofErr w:type="spellStart"/>
      <w:r w:rsidRPr="00E8502E">
        <w:rPr>
          <w:shd w:val="clear" w:color="auto" w:fill="FFFFFF"/>
        </w:rPr>
        <w:t>informativeness</w:t>
      </w:r>
      <w:proofErr w:type="spellEnd"/>
      <w:r w:rsidRPr="00E8502E">
        <w:rPr>
          <w:shd w:val="clear" w:color="auto" w:fill="FFFFFF"/>
        </w:rPr>
        <w:t xml:space="preserve"> of investigative interviews with children: A review of research using the NICHD Investigative Interview Protocol. </w:t>
      </w:r>
      <w:r w:rsidRPr="39123F4B">
        <w:rPr>
          <w:i/>
          <w:iCs/>
          <w:shd w:val="clear" w:color="auto" w:fill="FFFFFF"/>
        </w:rPr>
        <w:t xml:space="preserve">Child </w:t>
      </w:r>
      <w:r w:rsidR="00F6775C">
        <w:rPr>
          <w:i/>
          <w:iCs/>
          <w:shd w:val="clear" w:color="auto" w:fill="FFFFFF"/>
        </w:rPr>
        <w:t>A</w:t>
      </w:r>
      <w:r w:rsidR="00F6775C" w:rsidRPr="39123F4B">
        <w:rPr>
          <w:i/>
          <w:iCs/>
          <w:shd w:val="clear" w:color="auto" w:fill="FFFFFF"/>
        </w:rPr>
        <w:t xml:space="preserve">buse </w:t>
      </w:r>
      <w:r w:rsidRPr="39123F4B">
        <w:rPr>
          <w:i/>
          <w:iCs/>
          <w:shd w:val="clear" w:color="auto" w:fill="FFFFFF"/>
        </w:rPr>
        <w:t xml:space="preserve">&amp; </w:t>
      </w:r>
      <w:r w:rsidR="00F6775C">
        <w:rPr>
          <w:i/>
          <w:iCs/>
          <w:shd w:val="clear" w:color="auto" w:fill="FFFFFF"/>
        </w:rPr>
        <w:t>N</w:t>
      </w:r>
      <w:r w:rsidR="00F6775C" w:rsidRPr="39123F4B">
        <w:rPr>
          <w:i/>
          <w:iCs/>
          <w:shd w:val="clear" w:color="auto" w:fill="FFFFFF"/>
        </w:rPr>
        <w:t>eglect</w:t>
      </w:r>
      <w:r w:rsidRPr="00E8502E">
        <w:rPr>
          <w:shd w:val="clear" w:color="auto" w:fill="FFFFFF"/>
        </w:rPr>
        <w:t>, </w:t>
      </w:r>
      <w:r w:rsidRPr="39123F4B">
        <w:rPr>
          <w:i/>
          <w:iCs/>
          <w:shd w:val="clear" w:color="auto" w:fill="FFFFFF"/>
        </w:rPr>
        <w:t>31</w:t>
      </w:r>
      <w:r w:rsidRPr="00E8502E">
        <w:rPr>
          <w:shd w:val="clear" w:color="auto" w:fill="FFFFFF"/>
        </w:rPr>
        <w:t>, 1201-1231.</w:t>
      </w:r>
      <w:r w:rsidR="003A073A">
        <w:rPr>
          <w:shd w:val="clear" w:color="auto" w:fill="FFFFFF"/>
        </w:rPr>
        <w:t xml:space="preserve"> </w:t>
      </w:r>
      <w:proofErr w:type="spellStart"/>
      <w:r w:rsidR="003A073A" w:rsidRPr="003A073A">
        <w:rPr>
          <w:shd w:val="clear" w:color="auto" w:fill="FFFFFF"/>
        </w:rPr>
        <w:t>doi</w:t>
      </w:r>
      <w:proofErr w:type="spellEnd"/>
      <w:r w:rsidR="00C33C9A">
        <w:rPr>
          <w:shd w:val="clear" w:color="auto" w:fill="FFFFFF"/>
        </w:rPr>
        <w:t xml:space="preserve">: </w:t>
      </w:r>
      <w:r w:rsidR="003A073A" w:rsidRPr="003A073A">
        <w:rPr>
          <w:shd w:val="clear" w:color="auto" w:fill="FFFFFF"/>
        </w:rPr>
        <w:t>10.1016/j.chiabu.2007.03.021</w:t>
      </w:r>
    </w:p>
    <w:p w14:paraId="7C19DAEC" w14:textId="3CE1D32E" w:rsidR="005B38C8" w:rsidRDefault="005B38C8" w:rsidP="005B38C8">
      <w:pPr>
        <w:spacing w:line="480" w:lineRule="auto"/>
        <w:ind w:left="720" w:hanging="720"/>
        <w:rPr>
          <w:shd w:val="clear" w:color="auto" w:fill="FFFFFF"/>
        </w:rPr>
      </w:pPr>
      <w:r w:rsidRPr="005B38C8">
        <w:rPr>
          <w:shd w:val="clear" w:color="auto" w:fill="FFFFFF"/>
        </w:rPr>
        <w:t xml:space="preserve">Lamb, M. E., </w:t>
      </w:r>
      <w:proofErr w:type="spellStart"/>
      <w:r w:rsidRPr="005B38C8">
        <w:rPr>
          <w:shd w:val="clear" w:color="auto" w:fill="FFFFFF"/>
        </w:rPr>
        <w:t>Orbach</w:t>
      </w:r>
      <w:proofErr w:type="spellEnd"/>
      <w:r w:rsidRPr="005B38C8">
        <w:rPr>
          <w:shd w:val="clear" w:color="auto" w:fill="FFFFFF"/>
        </w:rPr>
        <w:t>, Y., Sternberg, K. J., Aldridge, J. A. N., Pearson, S., Stewart, H. L., ... &amp; Bowler, L. (2009). Use of a structured investigative protocol enhances the quality of investigative interviews with alleged victims of child sexual abuse in Britain. </w:t>
      </w:r>
      <w:r w:rsidRPr="005B38C8">
        <w:rPr>
          <w:i/>
          <w:iCs/>
          <w:shd w:val="clear" w:color="auto" w:fill="FFFFFF"/>
        </w:rPr>
        <w:t>Applied Cognitive Psychology</w:t>
      </w:r>
      <w:r w:rsidRPr="005B38C8">
        <w:rPr>
          <w:shd w:val="clear" w:color="auto" w:fill="FFFFFF"/>
        </w:rPr>
        <w:t>, </w:t>
      </w:r>
      <w:r w:rsidRPr="005B38C8">
        <w:rPr>
          <w:i/>
          <w:iCs/>
          <w:shd w:val="clear" w:color="auto" w:fill="FFFFFF"/>
        </w:rPr>
        <w:t>23</w:t>
      </w:r>
      <w:r w:rsidRPr="005B38C8">
        <w:rPr>
          <w:shd w:val="clear" w:color="auto" w:fill="FFFFFF"/>
        </w:rPr>
        <w:t>, 449-467.</w:t>
      </w:r>
      <w:r>
        <w:rPr>
          <w:shd w:val="clear" w:color="auto" w:fill="FFFFFF"/>
        </w:rPr>
        <w:t xml:space="preserve"> </w:t>
      </w:r>
      <w:proofErr w:type="spellStart"/>
      <w:r>
        <w:rPr>
          <w:shd w:val="clear" w:color="auto" w:fill="FFFFFF"/>
        </w:rPr>
        <w:t>doi</w:t>
      </w:r>
      <w:proofErr w:type="spellEnd"/>
      <w:r>
        <w:rPr>
          <w:shd w:val="clear" w:color="auto" w:fill="FFFFFF"/>
        </w:rPr>
        <w:t>: 10.1002/acp.1489</w:t>
      </w:r>
    </w:p>
    <w:p w14:paraId="162D02FC" w14:textId="006DB109" w:rsidR="0006585D" w:rsidRPr="00E8502E" w:rsidRDefault="0006585D" w:rsidP="00624B6F">
      <w:pPr>
        <w:spacing w:line="480" w:lineRule="auto"/>
        <w:ind w:left="720" w:hanging="720"/>
      </w:pPr>
      <w:r w:rsidRPr="0006585D">
        <w:t xml:space="preserve">Lamb, M. E., </w:t>
      </w:r>
      <w:proofErr w:type="spellStart"/>
      <w:r w:rsidRPr="0006585D">
        <w:t>Orbach</w:t>
      </w:r>
      <w:proofErr w:type="spellEnd"/>
      <w:r w:rsidRPr="0006585D">
        <w:t xml:space="preserve">, Y., Warren, A. R., </w:t>
      </w:r>
      <w:proofErr w:type="spellStart"/>
      <w:r w:rsidRPr="0006585D">
        <w:t>Esplin</w:t>
      </w:r>
      <w:proofErr w:type="spellEnd"/>
      <w:r w:rsidRPr="0006585D">
        <w:t xml:space="preserve">, P. W., &amp; </w:t>
      </w:r>
      <w:proofErr w:type="spellStart"/>
      <w:r w:rsidRPr="0006585D">
        <w:t>Hershkowitz</w:t>
      </w:r>
      <w:proofErr w:type="spellEnd"/>
      <w:r w:rsidRPr="0006585D">
        <w:t>, I. (2007</w:t>
      </w:r>
      <w:r>
        <w:t>b</w:t>
      </w:r>
      <w:r w:rsidRPr="0006585D">
        <w:t xml:space="preserve">). Enhancing performance: Factors affecting the </w:t>
      </w:r>
      <w:proofErr w:type="spellStart"/>
      <w:r w:rsidRPr="0006585D">
        <w:t>informativeness</w:t>
      </w:r>
      <w:proofErr w:type="spellEnd"/>
      <w:r w:rsidRPr="0006585D">
        <w:t xml:space="preserve"> of young witnesses. In M. P. </w:t>
      </w:r>
      <w:proofErr w:type="spellStart"/>
      <w:r w:rsidRPr="0006585D">
        <w:t>Toglia</w:t>
      </w:r>
      <w:proofErr w:type="spellEnd"/>
      <w:r w:rsidRPr="0006585D">
        <w:t xml:space="preserve">, J. D. Read, D. F. Ross, &amp; R. C. L. Lindsay (Eds.), </w:t>
      </w:r>
      <w:r w:rsidRPr="006C4BE0">
        <w:rPr>
          <w:i/>
          <w:iCs/>
        </w:rPr>
        <w:t>Handbook of eyewitness psychology: Memory for events.</w:t>
      </w:r>
      <w:r w:rsidRPr="0006585D">
        <w:t xml:space="preserve"> (Volume 1, pp. 429–451). Mahwah, NJ: Erlbaum.</w:t>
      </w:r>
    </w:p>
    <w:p w14:paraId="7FDF774D" w14:textId="18E4D6B2" w:rsidR="00113400" w:rsidRPr="00E8502E" w:rsidRDefault="00113400" w:rsidP="00624B6F">
      <w:pPr>
        <w:spacing w:line="480" w:lineRule="auto"/>
        <w:ind w:left="720" w:hanging="720"/>
      </w:pPr>
      <w:r w:rsidRPr="00113400">
        <w:t xml:space="preserve">Malloy, L. C., &amp; </w:t>
      </w:r>
      <w:proofErr w:type="spellStart"/>
      <w:r w:rsidRPr="00113400">
        <w:t>Quas</w:t>
      </w:r>
      <w:proofErr w:type="spellEnd"/>
      <w:r w:rsidRPr="00113400">
        <w:t xml:space="preserve">, J. A. (2009). Children's suggestibility: Areas of consensus and controversy. In K. </w:t>
      </w:r>
      <w:proofErr w:type="spellStart"/>
      <w:r w:rsidRPr="00113400">
        <w:t>Kuehnle</w:t>
      </w:r>
      <w:proofErr w:type="spellEnd"/>
      <w:r w:rsidRPr="00113400">
        <w:t xml:space="preserve"> &amp; M. Connell (Eds.), </w:t>
      </w:r>
      <w:r w:rsidRPr="39123F4B">
        <w:rPr>
          <w:i/>
          <w:iCs/>
        </w:rPr>
        <w:t>The evaluation of child sexual abuse allegations: A comprehensive guide to assessment and testimony</w:t>
      </w:r>
      <w:r w:rsidRPr="00113400">
        <w:t> (pp. 267-297). Hoboken, NJ, US: John Wiley &amp; Sons Inc.</w:t>
      </w:r>
    </w:p>
    <w:p w14:paraId="361FCB2D" w14:textId="26947EF4" w:rsidR="003B7AB6" w:rsidRDefault="0498DFD5" w:rsidP="00C52350">
      <w:pPr>
        <w:spacing w:line="480" w:lineRule="auto"/>
        <w:ind w:left="720" w:hanging="720"/>
        <w:rPr>
          <w:rStyle w:val="selectable"/>
        </w:rPr>
      </w:pPr>
      <w:r w:rsidRPr="00E8502E">
        <w:t xml:space="preserve">Marchant, R. (2013). How </w:t>
      </w:r>
      <w:r w:rsidR="00F6775C">
        <w:t>y</w:t>
      </w:r>
      <w:r w:rsidR="00F6775C" w:rsidRPr="00E8502E">
        <w:t xml:space="preserve">oung </w:t>
      </w:r>
      <w:r w:rsidRPr="00E8502E">
        <w:t xml:space="preserve">Is </w:t>
      </w:r>
      <w:r w:rsidR="00F6775C">
        <w:t>t</w:t>
      </w:r>
      <w:r w:rsidR="00F6775C" w:rsidRPr="00E8502E">
        <w:t xml:space="preserve">oo </w:t>
      </w:r>
      <w:r w:rsidR="00F6775C">
        <w:t>y</w:t>
      </w:r>
      <w:r w:rsidR="00F6775C" w:rsidRPr="00E8502E">
        <w:t>oung</w:t>
      </w:r>
      <w:r w:rsidRPr="00E8502E">
        <w:t xml:space="preserve">? The </w:t>
      </w:r>
      <w:r w:rsidR="00F6775C">
        <w:t>e</w:t>
      </w:r>
      <w:r w:rsidR="00F6775C" w:rsidRPr="00E8502E">
        <w:t xml:space="preserve">vidence </w:t>
      </w:r>
      <w:r w:rsidRPr="00E8502E">
        <w:t xml:space="preserve">of </w:t>
      </w:r>
      <w:r w:rsidR="00F6775C">
        <w:t>c</w:t>
      </w:r>
      <w:r w:rsidR="00F6775C" w:rsidRPr="00E8502E">
        <w:t xml:space="preserve">hildren </w:t>
      </w:r>
      <w:r w:rsidR="00F6775C">
        <w:t>u</w:t>
      </w:r>
      <w:r w:rsidR="00F6775C" w:rsidRPr="00E8502E">
        <w:t xml:space="preserve">nder </w:t>
      </w:r>
      <w:r w:rsidR="00F6775C">
        <w:t>f</w:t>
      </w:r>
      <w:r w:rsidR="00F6775C" w:rsidRPr="00E8502E">
        <w:t xml:space="preserve">ive </w:t>
      </w:r>
      <w:r w:rsidRPr="00E8502E">
        <w:t xml:space="preserve">in the English </w:t>
      </w:r>
      <w:r w:rsidR="00F6775C">
        <w:t>c</w:t>
      </w:r>
      <w:r w:rsidR="00F6775C" w:rsidRPr="00E8502E">
        <w:t xml:space="preserve">riminal </w:t>
      </w:r>
      <w:r w:rsidR="00F6775C">
        <w:t>j</w:t>
      </w:r>
      <w:r w:rsidR="00F6775C" w:rsidRPr="00E8502E">
        <w:t xml:space="preserve">ustice </w:t>
      </w:r>
      <w:r w:rsidR="00F6775C">
        <w:t>s</w:t>
      </w:r>
      <w:r w:rsidR="00F6775C" w:rsidRPr="00E8502E">
        <w:t xml:space="preserve">ystem </w:t>
      </w:r>
      <w:r w:rsidRPr="00E8502E">
        <w:t xml:space="preserve">– Retrieved from </w:t>
      </w:r>
      <w:hyperlink r:id="rId10">
        <w:r w:rsidRPr="00E8502E">
          <w:rPr>
            <w:rStyle w:val="selectable"/>
          </w:rPr>
          <w:t>http://onlinelibrary.wiley.com/doi/10.1002/car.2273/epdf</w:t>
        </w:r>
      </w:hyperlink>
    </w:p>
    <w:p w14:paraId="463319F7" w14:textId="65F6B3EE" w:rsidR="001F1752" w:rsidRPr="00E8502E" w:rsidRDefault="001F1752" w:rsidP="00C52350">
      <w:pPr>
        <w:spacing w:line="480" w:lineRule="auto"/>
        <w:ind w:left="720" w:hanging="720"/>
      </w:pPr>
      <w:r w:rsidRPr="001F1752">
        <w:t>Martin, E. A. (2009). </w:t>
      </w:r>
      <w:r w:rsidRPr="08D4D6A2">
        <w:rPr>
          <w:i/>
          <w:iCs/>
        </w:rPr>
        <w:t>A dictionary of law</w:t>
      </w:r>
      <w:r>
        <w:t xml:space="preserve">. OUP Oxford. </w:t>
      </w:r>
    </w:p>
    <w:p w14:paraId="44363987" w14:textId="4B96AF24" w:rsidR="003B7AB6" w:rsidRDefault="003B7AB6" w:rsidP="39123F4B">
      <w:pPr>
        <w:widowControl w:val="0"/>
        <w:autoSpaceDE w:val="0"/>
        <w:autoSpaceDN w:val="0"/>
        <w:adjustRightInd w:val="0"/>
        <w:spacing w:line="480" w:lineRule="auto"/>
      </w:pPr>
      <w:proofErr w:type="spellStart"/>
      <w:r w:rsidRPr="00E8502E">
        <w:t>Melnyk</w:t>
      </w:r>
      <w:proofErr w:type="spellEnd"/>
      <w:r w:rsidRPr="00E8502E">
        <w:t xml:space="preserve">, L., Crossman, A. M., &amp; Scullin, M. H. (2007). The suggestibility of children's </w:t>
      </w:r>
      <w:r w:rsidRPr="00E8502E">
        <w:tab/>
        <w:t xml:space="preserve">memory. In M. P. </w:t>
      </w:r>
      <w:proofErr w:type="spellStart"/>
      <w:r w:rsidRPr="00E8502E">
        <w:t>Toglia</w:t>
      </w:r>
      <w:proofErr w:type="spellEnd"/>
      <w:r w:rsidRPr="00E8502E">
        <w:t xml:space="preserve">, J. D. Read, D. F. Ross &amp; R. C. L. Lindsay (Eds.), </w:t>
      </w:r>
      <w:r w:rsidRPr="00E8502E">
        <w:tab/>
      </w:r>
      <w:r w:rsidRPr="39123F4B">
        <w:rPr>
          <w:i/>
          <w:iCs/>
        </w:rPr>
        <w:t>Handbook of eyewitness psychology, Vol 1: Memory for events</w:t>
      </w:r>
      <w:r w:rsidRPr="00E8502E">
        <w:t xml:space="preserve"> (pp. 401-427). </w:t>
      </w:r>
      <w:r w:rsidRPr="00E8502E">
        <w:lastRenderedPageBreak/>
        <w:tab/>
        <w:t xml:space="preserve">Mahwah, NJ: Lawrence Erlbaum. </w:t>
      </w:r>
    </w:p>
    <w:p w14:paraId="6EC9CD92" w14:textId="499B8777" w:rsidR="00CD5DE4" w:rsidRPr="00E8502E" w:rsidRDefault="00CD5DE4" w:rsidP="00FF2A3A">
      <w:pPr>
        <w:widowControl w:val="0"/>
        <w:autoSpaceDE w:val="0"/>
        <w:autoSpaceDN w:val="0"/>
        <w:adjustRightInd w:val="0"/>
        <w:spacing w:line="480" w:lineRule="auto"/>
        <w:ind w:left="709" w:hanging="709"/>
      </w:pPr>
      <w:r>
        <w:t xml:space="preserve">Melton, G., </w:t>
      </w:r>
      <w:r w:rsidR="00FF2A3A">
        <w:t>Ben-</w:t>
      </w:r>
      <w:proofErr w:type="spellStart"/>
      <w:r w:rsidR="00FF2A3A">
        <w:t>Arieh</w:t>
      </w:r>
      <w:proofErr w:type="spellEnd"/>
      <w:r w:rsidR="00FF2A3A">
        <w:t>, A., Cashmore, J., Goodman, G., &amp; Worley, N. (2013) (Eds.)</w:t>
      </w:r>
      <w:r w:rsidR="00FF2A3A" w:rsidRPr="23B9E151">
        <w:t xml:space="preserve">. </w:t>
      </w:r>
      <w:r w:rsidR="00FF2A3A" w:rsidRPr="006C4BE0">
        <w:rPr>
          <w:i/>
          <w:iCs/>
        </w:rPr>
        <w:t>The SAGE Handbook of Child Research</w:t>
      </w:r>
      <w:r w:rsidR="00FF2A3A" w:rsidRPr="23B9E151">
        <w:t xml:space="preserve">. </w:t>
      </w:r>
      <w:r w:rsidR="00FF2A3A">
        <w:t xml:space="preserve">Thousand Oaks, California: SAGE Publications. </w:t>
      </w:r>
    </w:p>
    <w:p w14:paraId="7B79C44A" w14:textId="32BDD955" w:rsidR="003B7AB6" w:rsidRDefault="003B7AB6" w:rsidP="008869B2">
      <w:pPr>
        <w:spacing w:line="480" w:lineRule="auto"/>
        <w:ind w:left="720" w:hanging="720"/>
        <w:rPr>
          <w:rStyle w:val="selectable"/>
          <w:shd w:val="clear" w:color="auto" w:fill="FFFFFF"/>
        </w:rPr>
      </w:pPr>
      <w:r w:rsidRPr="00E8502E">
        <w:rPr>
          <w:shd w:val="clear" w:color="auto" w:fill="FFFFFF"/>
        </w:rPr>
        <w:t xml:space="preserve">Ministry of Justice. (2013). </w:t>
      </w:r>
      <w:r w:rsidRPr="39123F4B">
        <w:rPr>
          <w:i/>
          <w:iCs/>
          <w:shd w:val="clear" w:color="auto" w:fill="FFFFFF"/>
        </w:rPr>
        <w:t>Transforming the CJS: A strategy and action plan to reform the criminal justice system</w:t>
      </w:r>
      <w:r w:rsidRPr="00E8502E">
        <w:rPr>
          <w:shd w:val="clear" w:color="auto" w:fill="FFFFFF"/>
        </w:rPr>
        <w:t>. United Kingdom. Retrieved from</w:t>
      </w:r>
      <w:r w:rsidR="00FB526B">
        <w:rPr>
          <w:shd w:val="clear" w:color="auto" w:fill="FFFFFF"/>
        </w:rPr>
        <w:t>:</w:t>
      </w:r>
      <w:r w:rsidRPr="00E8502E">
        <w:rPr>
          <w:shd w:val="clear" w:color="auto" w:fill="FFFFFF"/>
        </w:rPr>
        <w:t xml:space="preserve"> </w:t>
      </w:r>
      <w:hyperlink r:id="rId11" w:history="1">
        <w:r w:rsidRPr="00E8502E">
          <w:rPr>
            <w:rStyle w:val="selectable"/>
            <w:shd w:val="clear" w:color="auto" w:fill="FFFFFF"/>
          </w:rPr>
          <w:t>https://www.gov.uk/government/uploads/system/uploads/attachment_data/file/209659/transforming-cjs-2013.pdf</w:t>
        </w:r>
      </w:hyperlink>
    </w:p>
    <w:p w14:paraId="384751F2" w14:textId="3E6F5717" w:rsidR="00FB5AA7" w:rsidRPr="00E8502E" w:rsidRDefault="00FB5AA7" w:rsidP="008869B2">
      <w:pPr>
        <w:spacing w:line="480" w:lineRule="auto"/>
        <w:ind w:left="720" w:hanging="720"/>
      </w:pPr>
      <w:r w:rsidRPr="00FB5AA7">
        <w:t xml:space="preserve">Monahan, K., Steinberg, L., &amp; </w:t>
      </w:r>
      <w:proofErr w:type="spellStart"/>
      <w:r w:rsidRPr="00FB5AA7">
        <w:t>Piquero</w:t>
      </w:r>
      <w:proofErr w:type="spellEnd"/>
      <w:r w:rsidRPr="00FB5AA7">
        <w:t xml:space="preserve">, A. R. (2015). Juvenile justice policy and practice: A developmental perspective. </w:t>
      </w:r>
      <w:r w:rsidRPr="0033546C">
        <w:rPr>
          <w:i/>
        </w:rPr>
        <w:t xml:space="preserve">Crime and </w:t>
      </w:r>
      <w:r w:rsidR="000F08CC">
        <w:rPr>
          <w:i/>
        </w:rPr>
        <w:t>J</w:t>
      </w:r>
      <w:r w:rsidRPr="0033546C">
        <w:rPr>
          <w:i/>
        </w:rPr>
        <w:t>ustice</w:t>
      </w:r>
      <w:r w:rsidRPr="00FB5AA7">
        <w:t>, 44(1), 577-619.</w:t>
      </w:r>
      <w:r>
        <w:t xml:space="preserve"> </w:t>
      </w:r>
      <w:r>
        <w:rPr>
          <w:rFonts w:ascii="Arial" w:eastAsiaTheme="majorEastAsia" w:hAnsi="Arial" w:cs="Arial"/>
          <w:sz w:val="21"/>
          <w:szCs w:val="21"/>
          <w:shd w:val="clear" w:color="auto" w:fill="FFFFFF"/>
        </w:rPr>
        <w:t>Doi:</w:t>
      </w:r>
      <w:r w:rsidRPr="0033546C">
        <w:rPr>
          <w:rFonts w:eastAsiaTheme="majorEastAsia"/>
        </w:rPr>
        <w:t>10.1086/681553</w:t>
      </w:r>
    </w:p>
    <w:p w14:paraId="096C4698" w14:textId="67855BCA" w:rsidR="003B7AB6" w:rsidRDefault="003B7AB6" w:rsidP="008C28CB">
      <w:pPr>
        <w:spacing w:line="480" w:lineRule="auto"/>
        <w:ind w:left="720" w:hanging="720"/>
        <w:rPr>
          <w:rStyle w:val="selectable"/>
          <w:shd w:val="clear" w:color="auto" w:fill="FFFFFF"/>
        </w:rPr>
      </w:pPr>
      <w:r w:rsidRPr="00E8502E">
        <w:rPr>
          <w:shd w:val="clear" w:color="auto" w:fill="FFFFFF"/>
        </w:rPr>
        <w:t xml:space="preserve">National Society for the Prevention of Cruelty to Children. (2017). </w:t>
      </w:r>
      <w:r w:rsidRPr="08D4D6A2">
        <w:rPr>
          <w:i/>
          <w:iCs/>
          <w:shd w:val="clear" w:color="auto" w:fill="FFFFFF"/>
        </w:rPr>
        <w:t>How safe are our children? The most comprehensive overview of child protection in the UK</w:t>
      </w:r>
      <w:r w:rsidRPr="00E8502E">
        <w:rPr>
          <w:shd w:val="clear" w:color="auto" w:fill="FFFFFF"/>
        </w:rPr>
        <w:t xml:space="preserve"> (p. 28). United Kingdom. Retrieved from</w:t>
      </w:r>
      <w:r w:rsidR="00FB526B">
        <w:rPr>
          <w:shd w:val="clear" w:color="auto" w:fill="FFFFFF"/>
        </w:rPr>
        <w:t>:</w:t>
      </w:r>
      <w:r w:rsidRPr="00E8502E">
        <w:rPr>
          <w:shd w:val="clear" w:color="auto" w:fill="FFFFFF"/>
        </w:rPr>
        <w:t xml:space="preserve"> </w:t>
      </w:r>
      <w:hyperlink r:id="rId12" w:history="1">
        <w:r w:rsidRPr="00E8502E">
          <w:rPr>
            <w:rStyle w:val="selectable"/>
            <w:shd w:val="clear" w:color="auto" w:fill="FFFFFF"/>
          </w:rPr>
          <w:t>https://www.nspcc.org.uk/globalassets/documents/research-reports/how-safe-children-2017-report.pdf</w:t>
        </w:r>
      </w:hyperlink>
    </w:p>
    <w:p w14:paraId="40818AA3" w14:textId="2E253C28" w:rsidR="00B33B89" w:rsidRPr="00B33B89" w:rsidRDefault="00B33B89" w:rsidP="001D498D">
      <w:pPr>
        <w:spacing w:line="480" w:lineRule="auto"/>
        <w:ind w:left="720" w:hanging="720"/>
      </w:pPr>
      <w:r w:rsidRPr="00B33B89">
        <w:t>Office of the Director of Public Prosecutions (ACT) and Australian Federal Police</w:t>
      </w:r>
      <w:r>
        <w:t xml:space="preserve"> (2005). </w:t>
      </w:r>
      <w:r w:rsidRPr="08D4D6A2">
        <w:rPr>
          <w:i/>
          <w:iCs/>
        </w:rPr>
        <w:t>Responding to Sexual Assault</w:t>
      </w:r>
      <w:r>
        <w:t>. Australia. Retrieved from</w:t>
      </w:r>
      <w:r w:rsidR="00FB526B">
        <w:t>:</w:t>
      </w:r>
    </w:p>
    <w:p w14:paraId="3DA7AF20" w14:textId="52B357FE" w:rsidR="00B33B89" w:rsidRPr="00E8502E" w:rsidRDefault="00B33B89" w:rsidP="00C16266">
      <w:pPr>
        <w:spacing w:line="480" w:lineRule="auto"/>
        <w:ind w:left="720"/>
      </w:pPr>
      <w:r w:rsidRPr="00B33B89">
        <w:t>http://www.justice.act.gov.au/resources/attachments/RespondingtoSexualAssault_report_DPP_20051.pdf</w:t>
      </w:r>
    </w:p>
    <w:p w14:paraId="6D263949" w14:textId="2D48B490" w:rsidR="00E6486B" w:rsidRDefault="71492419" w:rsidP="006C4BE0">
      <w:pPr>
        <w:spacing w:line="480" w:lineRule="auto"/>
        <w:ind w:left="720" w:hanging="720"/>
      </w:pPr>
      <w:proofErr w:type="spellStart"/>
      <w:r>
        <w:t>Otgaar</w:t>
      </w:r>
      <w:proofErr w:type="spellEnd"/>
      <w:r>
        <w:t xml:space="preserve">, H., Howe, M. L., Peters, M., </w:t>
      </w:r>
      <w:proofErr w:type="spellStart"/>
      <w:r>
        <w:t>Sauerland</w:t>
      </w:r>
      <w:proofErr w:type="spellEnd"/>
      <w:r>
        <w:t xml:space="preserve">, M. and </w:t>
      </w:r>
      <w:proofErr w:type="spellStart"/>
      <w:r>
        <w:t>Raymaekers</w:t>
      </w:r>
      <w:proofErr w:type="spellEnd"/>
      <w:r>
        <w:t xml:space="preserve">, L. (2013), Developmental trends in different types of spontaneous false memories: Implications for the legal field. </w:t>
      </w:r>
      <w:r w:rsidRPr="006C4BE0">
        <w:rPr>
          <w:i/>
          <w:iCs/>
        </w:rPr>
        <w:t>Behavioural Sciences &amp; the Law, 31</w:t>
      </w:r>
      <w:r w:rsidRPr="39123F4B">
        <w:t>,</w:t>
      </w:r>
      <w:r>
        <w:t xml:space="preserve"> 666–682. doi:10.1002/bsl.2076</w:t>
      </w:r>
    </w:p>
    <w:p w14:paraId="5943B334" w14:textId="506CDCDB" w:rsidR="00167069" w:rsidRDefault="00167069" w:rsidP="006C4BE0">
      <w:pPr>
        <w:spacing w:line="480" w:lineRule="auto"/>
        <w:ind w:left="720" w:hanging="720"/>
      </w:pPr>
      <w:r w:rsidRPr="00167069">
        <w:t>Owen-</w:t>
      </w:r>
      <w:proofErr w:type="spellStart"/>
      <w:r w:rsidRPr="00167069">
        <w:t>Kostelnik</w:t>
      </w:r>
      <w:proofErr w:type="spellEnd"/>
      <w:r w:rsidRPr="00167069">
        <w:t xml:space="preserve">, J., </w:t>
      </w:r>
      <w:proofErr w:type="spellStart"/>
      <w:r w:rsidRPr="00167069">
        <w:t>Reppucci</w:t>
      </w:r>
      <w:proofErr w:type="spellEnd"/>
      <w:r w:rsidRPr="00167069">
        <w:t xml:space="preserve">, N. D., &amp; Meyer, J. R. (2006). Testimony and interrogation of minors: Assumptions about maturity and morality. </w:t>
      </w:r>
      <w:r w:rsidRPr="0033546C">
        <w:rPr>
          <w:i/>
        </w:rPr>
        <w:t>American Psychologist</w:t>
      </w:r>
      <w:r w:rsidRPr="00167069">
        <w:t>, 61, 286</w:t>
      </w:r>
      <w:r>
        <w:t>-304</w:t>
      </w:r>
      <w:r w:rsidRPr="00167069">
        <w:t>.</w:t>
      </w:r>
    </w:p>
    <w:p w14:paraId="6D4E0031" w14:textId="29D723D2" w:rsidR="00A67947" w:rsidRPr="00E8502E" w:rsidRDefault="00A67947" w:rsidP="00FB526B">
      <w:pPr>
        <w:spacing w:line="480" w:lineRule="auto"/>
        <w:ind w:left="720" w:hanging="720"/>
      </w:pPr>
      <w:r w:rsidRPr="00A67947">
        <w:lastRenderedPageBreak/>
        <w:t xml:space="preserve">Paz-Alonso, P. M., </w:t>
      </w:r>
      <w:r w:rsidR="00F6775C">
        <w:t>&amp;</w:t>
      </w:r>
      <w:r w:rsidR="00F6775C" w:rsidRPr="00A67947">
        <w:t> </w:t>
      </w:r>
      <w:r w:rsidRPr="00A67947">
        <w:t xml:space="preserve">Goodman, G. S. (2016) Developmental </w:t>
      </w:r>
      <w:r w:rsidR="00FB526B">
        <w:t>d</w:t>
      </w:r>
      <w:r w:rsidRPr="00A67947">
        <w:t xml:space="preserve">ifferences across </w:t>
      </w:r>
      <w:r w:rsidR="00FB526B">
        <w:t>m</w:t>
      </w:r>
      <w:r w:rsidRPr="00A67947">
        <w:t xml:space="preserve">iddle </w:t>
      </w:r>
      <w:r w:rsidR="00FB526B">
        <w:t>c</w:t>
      </w:r>
      <w:r w:rsidRPr="00A67947">
        <w:t xml:space="preserve">hildhood in </w:t>
      </w:r>
      <w:r w:rsidR="00FB526B">
        <w:t>m</w:t>
      </w:r>
      <w:r w:rsidRPr="00A67947">
        <w:t xml:space="preserve">emory and </w:t>
      </w:r>
      <w:r w:rsidR="00FB526B">
        <w:t>s</w:t>
      </w:r>
      <w:r w:rsidRPr="00A67947">
        <w:t xml:space="preserve">uggestibility for </w:t>
      </w:r>
      <w:r w:rsidR="00FB526B">
        <w:t>n</w:t>
      </w:r>
      <w:r w:rsidRPr="00A67947">
        <w:t xml:space="preserve">egative and </w:t>
      </w:r>
      <w:r w:rsidR="00FB526B">
        <w:t>p</w:t>
      </w:r>
      <w:r w:rsidRPr="00A67947">
        <w:t xml:space="preserve">ositive </w:t>
      </w:r>
      <w:r w:rsidR="00FB526B">
        <w:t>e</w:t>
      </w:r>
      <w:r w:rsidRPr="00A67947">
        <w:t>vents. </w:t>
      </w:r>
      <w:r w:rsidR="00FB526B" w:rsidRPr="39123F4B">
        <w:rPr>
          <w:i/>
          <w:iCs/>
        </w:rPr>
        <w:t>Behavioural Sciences &amp; the Law</w:t>
      </w:r>
      <w:r w:rsidRPr="39123F4B">
        <w:rPr>
          <w:i/>
          <w:iCs/>
        </w:rPr>
        <w:t>, 34</w:t>
      </w:r>
      <w:r w:rsidR="00FB526B" w:rsidRPr="39123F4B">
        <w:t>,</w:t>
      </w:r>
      <w:r w:rsidRPr="00A67947">
        <w:t xml:space="preserve"> 30–54. </w:t>
      </w:r>
      <w:proofErr w:type="spellStart"/>
      <w:r w:rsidRPr="00A67947">
        <w:t>doi</w:t>
      </w:r>
      <w:proofErr w:type="spellEnd"/>
      <w:r w:rsidRPr="39123F4B">
        <w:t>: </w:t>
      </w:r>
      <w:r w:rsidR="00FB526B" w:rsidRPr="006C4BE0">
        <w:t>10.1002/bsl.2239</w:t>
      </w:r>
      <w:r w:rsidRPr="39123F4B">
        <w:t>.</w:t>
      </w:r>
    </w:p>
    <w:p w14:paraId="574D4BB8" w14:textId="71905EF2" w:rsidR="003B7AB6" w:rsidRPr="006C4BE0" w:rsidRDefault="003B7AB6" w:rsidP="006C4BE0">
      <w:pPr>
        <w:pStyle w:val="Heading3"/>
        <w:spacing w:line="480" w:lineRule="auto"/>
        <w:ind w:left="709" w:hanging="709"/>
        <w:rPr>
          <w:color w:val="222222"/>
        </w:rPr>
      </w:pPr>
      <w:proofErr w:type="spellStart"/>
      <w:r w:rsidRPr="006C4BE0">
        <w:rPr>
          <w:sz w:val="24"/>
          <w:szCs w:val="24"/>
          <w:shd w:val="clear" w:color="auto" w:fill="FFFFFF"/>
        </w:rPr>
        <w:t>Plotnikoff</w:t>
      </w:r>
      <w:proofErr w:type="spellEnd"/>
      <w:r w:rsidRPr="006C4BE0">
        <w:rPr>
          <w:sz w:val="24"/>
          <w:szCs w:val="24"/>
          <w:shd w:val="clear" w:color="auto" w:fill="FFFFFF"/>
        </w:rPr>
        <w:t xml:space="preserve">, J., &amp; </w:t>
      </w:r>
      <w:proofErr w:type="spellStart"/>
      <w:r w:rsidRPr="006C4BE0">
        <w:rPr>
          <w:sz w:val="24"/>
          <w:szCs w:val="24"/>
          <w:shd w:val="clear" w:color="auto" w:fill="FFFFFF"/>
        </w:rPr>
        <w:t>Woolfson</w:t>
      </w:r>
      <w:proofErr w:type="spellEnd"/>
      <w:r w:rsidRPr="006C4BE0">
        <w:rPr>
          <w:sz w:val="24"/>
          <w:szCs w:val="24"/>
          <w:shd w:val="clear" w:color="auto" w:fill="FFFFFF"/>
        </w:rPr>
        <w:t xml:space="preserve">, R. (2009). </w:t>
      </w:r>
      <w:r w:rsidRPr="006C4BE0">
        <w:rPr>
          <w:i/>
          <w:iCs/>
          <w:sz w:val="24"/>
          <w:szCs w:val="24"/>
          <w:shd w:val="clear" w:color="auto" w:fill="FFFFFF"/>
        </w:rPr>
        <w:t>Measuring up?</w:t>
      </w:r>
      <w:r w:rsidRPr="006C4BE0">
        <w:rPr>
          <w:rStyle w:val="FootnoteTextChar"/>
          <w:i/>
          <w:iCs/>
          <w:sz w:val="24"/>
          <w:szCs w:val="24"/>
          <w:shd w:val="clear" w:color="auto" w:fill="FFFFFF"/>
        </w:rPr>
        <w:t> </w:t>
      </w:r>
      <w:r w:rsidRPr="006C4BE0">
        <w:rPr>
          <w:i/>
          <w:iCs/>
          <w:sz w:val="24"/>
          <w:szCs w:val="24"/>
          <w:shd w:val="clear" w:color="auto" w:fill="FFFFFF"/>
        </w:rPr>
        <w:t>Evaluating Implementation of</w:t>
      </w:r>
      <w:r w:rsidR="7696DED2" w:rsidRPr="006C4BE0">
        <w:rPr>
          <w:i/>
          <w:iCs/>
          <w:sz w:val="24"/>
          <w:szCs w:val="24"/>
          <w:shd w:val="clear" w:color="auto" w:fill="FFFFFF"/>
        </w:rPr>
        <w:t xml:space="preserve"> </w:t>
      </w:r>
      <w:r w:rsidR="7696DED2" w:rsidRPr="006C4BE0">
        <w:rPr>
          <w:i/>
          <w:iCs/>
          <w:color w:val="222222"/>
          <w:sz w:val="24"/>
          <w:szCs w:val="24"/>
        </w:rPr>
        <w:t xml:space="preserve">Government Commitments to Young Witnesses in Criminal Proceedings: July </w:t>
      </w:r>
      <w:r w:rsidR="09324875" w:rsidRPr="006C4BE0">
        <w:rPr>
          <w:i/>
          <w:iCs/>
          <w:color w:val="000000" w:themeColor="text1"/>
          <w:sz w:val="24"/>
          <w:szCs w:val="24"/>
        </w:rPr>
        <w:t>2009</w:t>
      </w:r>
      <w:r w:rsidR="7696DED2" w:rsidRPr="006C4BE0">
        <w:rPr>
          <w:i/>
          <w:iCs/>
          <w:color w:val="222222"/>
          <w:sz w:val="24"/>
          <w:szCs w:val="24"/>
        </w:rPr>
        <w:t>: Executive Summary</w:t>
      </w:r>
      <w:r w:rsidR="09324875" w:rsidRPr="006C4BE0">
        <w:rPr>
          <w:i/>
          <w:iCs/>
          <w:color w:val="222222"/>
          <w:sz w:val="24"/>
          <w:szCs w:val="24"/>
        </w:rPr>
        <w:t>.</w:t>
      </w:r>
      <w:r w:rsidR="09324875" w:rsidRPr="006C4BE0">
        <w:rPr>
          <w:color w:val="222222"/>
          <w:sz w:val="24"/>
          <w:szCs w:val="24"/>
        </w:rPr>
        <w:t xml:space="preserve"> NSPCC. </w:t>
      </w:r>
      <w:r w:rsidR="0778FEB1" w:rsidRPr="006C4BE0">
        <w:rPr>
          <w:color w:val="222222"/>
          <w:sz w:val="24"/>
          <w:szCs w:val="24"/>
        </w:rPr>
        <w:t xml:space="preserve">Retrieved from </w:t>
      </w:r>
      <w:r w:rsidR="0778FEB1" w:rsidRPr="006C4BE0">
        <w:rPr>
          <w:sz w:val="24"/>
          <w:szCs w:val="24"/>
        </w:rPr>
        <w:t>http://www.nuffieldfoundation.org/sites/default/files/measuring_up_report_wdf66579(1).pdf</w:t>
      </w:r>
      <w:r w:rsidR="0778FEB1" w:rsidRPr="006C4BE0">
        <w:rPr>
          <w:color w:val="222222"/>
          <w:sz w:val="24"/>
          <w:szCs w:val="24"/>
        </w:rPr>
        <w:t xml:space="preserve"> </w:t>
      </w:r>
    </w:p>
    <w:p w14:paraId="4B5EC95B" w14:textId="74C94E42" w:rsidR="003B7AB6" w:rsidRDefault="003B7AB6" w:rsidP="007902B8">
      <w:pPr>
        <w:spacing w:line="480" w:lineRule="auto"/>
        <w:ind w:left="720" w:hanging="720"/>
      </w:pPr>
      <w:proofErr w:type="spellStart"/>
      <w:r w:rsidRPr="00E8502E">
        <w:rPr>
          <w:shd w:val="clear" w:color="auto" w:fill="FFFFFF"/>
        </w:rPr>
        <w:t>Plotnikoff</w:t>
      </w:r>
      <w:proofErr w:type="spellEnd"/>
      <w:r w:rsidRPr="00E8502E">
        <w:rPr>
          <w:shd w:val="clear" w:color="auto" w:fill="FFFFFF"/>
        </w:rPr>
        <w:t xml:space="preserve">, J., &amp; </w:t>
      </w:r>
      <w:proofErr w:type="spellStart"/>
      <w:r w:rsidRPr="00E8502E">
        <w:rPr>
          <w:shd w:val="clear" w:color="auto" w:fill="FFFFFF"/>
        </w:rPr>
        <w:t>Woolfson</w:t>
      </w:r>
      <w:proofErr w:type="spellEnd"/>
      <w:r w:rsidRPr="00E8502E">
        <w:rPr>
          <w:shd w:val="clear" w:color="auto" w:fill="FFFFFF"/>
        </w:rPr>
        <w:t xml:space="preserve">, R. </w:t>
      </w:r>
      <w:r w:rsidRPr="00E8502E">
        <w:t xml:space="preserve">(2012). ‘Kicking and </w:t>
      </w:r>
      <w:r w:rsidR="00F6775C">
        <w:t>s</w:t>
      </w:r>
      <w:r w:rsidR="00F6775C" w:rsidRPr="00E8502E">
        <w:t>creaming’</w:t>
      </w:r>
      <w:r w:rsidRPr="00E8502E">
        <w:t xml:space="preserve">: The </w:t>
      </w:r>
      <w:r w:rsidR="00F6775C">
        <w:t>s</w:t>
      </w:r>
      <w:r w:rsidR="00F6775C" w:rsidRPr="00E8502E">
        <w:t xml:space="preserve">low </w:t>
      </w:r>
      <w:r w:rsidR="00F6775C">
        <w:t>r</w:t>
      </w:r>
      <w:r w:rsidR="00F6775C" w:rsidRPr="00E8502E">
        <w:t xml:space="preserve">oad </w:t>
      </w:r>
      <w:r w:rsidRPr="00E8502E">
        <w:t xml:space="preserve">to </w:t>
      </w:r>
      <w:r w:rsidR="00F6775C">
        <w:t>b</w:t>
      </w:r>
      <w:r w:rsidR="00F6775C" w:rsidRPr="00E8502E">
        <w:t xml:space="preserve">est </w:t>
      </w:r>
      <w:r w:rsidR="00F6775C">
        <w:t>e</w:t>
      </w:r>
      <w:r w:rsidR="00F6775C" w:rsidRPr="00E8502E">
        <w:t>vidence</w:t>
      </w:r>
      <w:r w:rsidRPr="00E8502E">
        <w:t xml:space="preserve">. In J. R. Spencer &amp; M. E. Lamb (Eds.), </w:t>
      </w:r>
      <w:r w:rsidRPr="39123F4B">
        <w:rPr>
          <w:i/>
          <w:iCs/>
        </w:rPr>
        <w:t>Children and cross-examination: Time to change the rules?</w:t>
      </w:r>
      <w:r w:rsidRPr="00E8502E">
        <w:t xml:space="preserve"> </w:t>
      </w:r>
      <w:r w:rsidR="00336CED">
        <w:t xml:space="preserve">(pp. 21-41). </w:t>
      </w:r>
      <w:r w:rsidRPr="00E8502E">
        <w:t>Oxford: Hart Pub</w:t>
      </w:r>
      <w:r w:rsidR="00FB526B">
        <w:t>lishing</w:t>
      </w:r>
      <w:r w:rsidRPr="39123F4B">
        <w:t>.</w:t>
      </w:r>
    </w:p>
    <w:p w14:paraId="1F8F1BAB" w14:textId="664E7E1A" w:rsidR="000F0EA2" w:rsidRPr="00E8502E" w:rsidRDefault="000F0EA2" w:rsidP="007902B8">
      <w:pPr>
        <w:spacing w:line="480" w:lineRule="auto"/>
        <w:ind w:left="720" w:hanging="720"/>
      </w:pPr>
      <w:proofErr w:type="spellStart"/>
      <w:r w:rsidRPr="000F0EA2">
        <w:t>Quas</w:t>
      </w:r>
      <w:proofErr w:type="spellEnd"/>
      <w:r w:rsidRPr="000F0EA2">
        <w:t xml:space="preserve">, J., Goodman, G., </w:t>
      </w:r>
      <w:proofErr w:type="spellStart"/>
      <w:r w:rsidRPr="000F0EA2">
        <w:t>Ghetti</w:t>
      </w:r>
      <w:proofErr w:type="spellEnd"/>
      <w:r w:rsidRPr="000F0EA2">
        <w:t>, S., Alexander, K., Edelstein, R., Redlich, A</w:t>
      </w:r>
      <w:r w:rsidRPr="39123F4B">
        <w:t xml:space="preserve">., </w:t>
      </w:r>
      <w:r w:rsidR="11D2FE01" w:rsidRPr="000F0EA2">
        <w:t xml:space="preserve">Cordon, I., Jones, D., </w:t>
      </w:r>
      <w:r w:rsidR="000973AD" w:rsidRPr="39123F4B">
        <w:t>&amp;</w:t>
      </w:r>
      <w:r w:rsidRPr="39123F4B">
        <w:t xml:space="preserve"> </w:t>
      </w:r>
      <w:proofErr w:type="spellStart"/>
      <w:r w:rsidRPr="000F0EA2">
        <w:t>Haugaard</w:t>
      </w:r>
      <w:proofErr w:type="spellEnd"/>
      <w:r w:rsidRPr="000F0EA2">
        <w:t xml:space="preserve">, J. (2005). Childhood </w:t>
      </w:r>
      <w:r w:rsidR="00F6775C">
        <w:t>s</w:t>
      </w:r>
      <w:r w:rsidR="00F6775C" w:rsidRPr="000F0EA2">
        <w:t xml:space="preserve">exual </w:t>
      </w:r>
      <w:r w:rsidR="00F6775C">
        <w:t>a</w:t>
      </w:r>
      <w:r w:rsidR="00F6775C" w:rsidRPr="000F0EA2">
        <w:t xml:space="preserve">ssault </w:t>
      </w:r>
      <w:r w:rsidR="00F6775C">
        <w:t>v</w:t>
      </w:r>
      <w:r w:rsidR="00F6775C" w:rsidRPr="000F0EA2">
        <w:t>ictims</w:t>
      </w:r>
      <w:r w:rsidRPr="000F0EA2">
        <w:t>: Long-</w:t>
      </w:r>
      <w:r w:rsidR="00F6775C">
        <w:t>t</w:t>
      </w:r>
      <w:r w:rsidR="00F6775C" w:rsidRPr="000F0EA2">
        <w:t xml:space="preserve">erm </w:t>
      </w:r>
      <w:r w:rsidR="00F6775C">
        <w:t>o</w:t>
      </w:r>
      <w:r w:rsidR="00F6775C" w:rsidRPr="000F0EA2">
        <w:t xml:space="preserve">utcomes </w:t>
      </w:r>
      <w:r w:rsidRPr="000F0EA2">
        <w:t xml:space="preserve">after </w:t>
      </w:r>
      <w:r w:rsidR="00F6775C">
        <w:t>t</w:t>
      </w:r>
      <w:r w:rsidR="00F6775C" w:rsidRPr="000F0EA2">
        <w:t xml:space="preserve">estifying </w:t>
      </w:r>
      <w:r w:rsidRPr="000F0EA2">
        <w:t xml:space="preserve">in </w:t>
      </w:r>
      <w:r w:rsidR="00F6775C">
        <w:t>c</w:t>
      </w:r>
      <w:r w:rsidR="00F6775C" w:rsidRPr="000F0EA2">
        <w:t xml:space="preserve">riminal </w:t>
      </w:r>
      <w:r w:rsidR="00F6775C">
        <w:t>c</w:t>
      </w:r>
      <w:r w:rsidR="00F6775C" w:rsidRPr="000F0EA2">
        <w:t>ourt</w:t>
      </w:r>
      <w:r w:rsidRPr="000F0EA2">
        <w:t>. </w:t>
      </w:r>
      <w:r w:rsidRPr="39123F4B">
        <w:rPr>
          <w:i/>
          <w:iCs/>
        </w:rPr>
        <w:t>Monographs of the Society for Research in Child Development,70</w:t>
      </w:r>
      <w:r w:rsidRPr="00F22710">
        <w:t xml:space="preserve">, </w:t>
      </w:r>
      <w:r w:rsidR="00FB526B" w:rsidRPr="00F22710">
        <w:t>1</w:t>
      </w:r>
      <w:r w:rsidRPr="00F22710">
        <w:t>-139.</w:t>
      </w:r>
      <w:r w:rsidR="00336CED" w:rsidRPr="00F22710">
        <w:t xml:space="preserve"> </w:t>
      </w:r>
      <w:r w:rsidR="00336CED" w:rsidRPr="00F22710">
        <w:rPr>
          <w:color w:val="333333"/>
          <w:shd w:val="clear" w:color="auto" w:fill="FFFFFF"/>
        </w:rPr>
        <w:t> Retrieved from http://www.jstor.org/stable/3701439</w:t>
      </w:r>
    </w:p>
    <w:p w14:paraId="7F6658FA" w14:textId="6CFCC371" w:rsidR="003B7AB6" w:rsidRDefault="003B7AB6" w:rsidP="005B57DD">
      <w:pPr>
        <w:spacing w:line="480" w:lineRule="auto"/>
        <w:ind w:left="720" w:hanging="720"/>
        <w:contextualSpacing/>
        <w:rPr>
          <w:shd w:val="clear" w:color="auto" w:fill="FFFFFF"/>
        </w:rPr>
      </w:pPr>
      <w:r w:rsidRPr="00E8502E">
        <w:rPr>
          <w:shd w:val="clear" w:color="auto" w:fill="FFFFFF"/>
        </w:rPr>
        <w:t>R</w:t>
      </w:r>
      <w:r w:rsidR="008E2283">
        <w:rPr>
          <w:shd w:val="clear" w:color="auto" w:fill="FFFFFF"/>
        </w:rPr>
        <w:t xml:space="preserve"> </w:t>
      </w:r>
      <w:r w:rsidRPr="00E8502E">
        <w:rPr>
          <w:shd w:val="clear" w:color="auto" w:fill="FFFFFF"/>
        </w:rPr>
        <w:t xml:space="preserve">v </w:t>
      </w:r>
      <w:proofErr w:type="spellStart"/>
      <w:r w:rsidRPr="00E8502E">
        <w:rPr>
          <w:shd w:val="clear" w:color="auto" w:fill="FFFFFF"/>
        </w:rPr>
        <w:t>Cokesix</w:t>
      </w:r>
      <w:proofErr w:type="spellEnd"/>
      <w:r w:rsidRPr="00E8502E">
        <w:rPr>
          <w:shd w:val="clear" w:color="auto" w:fill="FFFFFF"/>
        </w:rPr>
        <w:t xml:space="preserve"> </w:t>
      </w:r>
      <w:proofErr w:type="spellStart"/>
      <w:r w:rsidRPr="00E8502E">
        <w:rPr>
          <w:shd w:val="clear" w:color="auto" w:fill="FFFFFF"/>
        </w:rPr>
        <w:t>Lubemba</w:t>
      </w:r>
      <w:proofErr w:type="spellEnd"/>
      <w:r w:rsidRPr="00E8502E">
        <w:rPr>
          <w:shd w:val="clear" w:color="auto" w:fill="FFFFFF"/>
        </w:rPr>
        <w:t>, R v JP [2014] EWCA Crim 2064</w:t>
      </w:r>
      <w:r w:rsidR="00FB526B">
        <w:rPr>
          <w:shd w:val="clear" w:color="auto" w:fill="FFFFFF"/>
        </w:rPr>
        <w:t>.</w:t>
      </w:r>
      <w:r w:rsidRPr="00E8502E">
        <w:rPr>
          <w:shd w:val="clear" w:color="auto" w:fill="FFFFFF"/>
        </w:rPr>
        <w:t xml:space="preserve"> </w:t>
      </w:r>
    </w:p>
    <w:p w14:paraId="76A30670" w14:textId="03DAB74E" w:rsidR="00F559CA" w:rsidRDefault="00F559CA" w:rsidP="00F559CA">
      <w:pPr>
        <w:spacing w:line="480" w:lineRule="auto"/>
        <w:ind w:left="720" w:hanging="720"/>
        <w:contextualSpacing/>
        <w:rPr>
          <w:shd w:val="clear" w:color="auto" w:fill="FFFFFF"/>
        </w:rPr>
      </w:pPr>
      <w:proofErr w:type="spellStart"/>
      <w:r w:rsidRPr="00F559CA">
        <w:rPr>
          <w:shd w:val="clear" w:color="auto" w:fill="FFFFFF"/>
        </w:rPr>
        <w:t>Randell</w:t>
      </w:r>
      <w:proofErr w:type="spellEnd"/>
      <w:r w:rsidRPr="00F559CA">
        <w:rPr>
          <w:shd w:val="clear" w:color="auto" w:fill="FFFFFF"/>
        </w:rPr>
        <w:t>, I. (2017). </w:t>
      </w:r>
      <w:r w:rsidRPr="00F559CA">
        <w:rPr>
          <w:i/>
          <w:iCs/>
          <w:shd w:val="clear" w:color="auto" w:fill="FFFFFF"/>
        </w:rPr>
        <w:t xml:space="preserve">Young </w:t>
      </w:r>
      <w:r w:rsidR="00AA45D5">
        <w:rPr>
          <w:i/>
          <w:iCs/>
          <w:shd w:val="clear" w:color="auto" w:fill="FFFFFF"/>
        </w:rPr>
        <w:t>c</w:t>
      </w:r>
      <w:r w:rsidR="00AA45D5" w:rsidRPr="00F559CA">
        <w:rPr>
          <w:i/>
          <w:iCs/>
          <w:shd w:val="clear" w:color="auto" w:fill="FFFFFF"/>
        </w:rPr>
        <w:t xml:space="preserve">omplainant </w:t>
      </w:r>
      <w:r w:rsidR="00AA45D5">
        <w:rPr>
          <w:i/>
          <w:iCs/>
          <w:shd w:val="clear" w:color="auto" w:fill="FFFFFF"/>
        </w:rPr>
        <w:t>w</w:t>
      </w:r>
      <w:r w:rsidR="00AA45D5" w:rsidRPr="00F559CA">
        <w:rPr>
          <w:i/>
          <w:iCs/>
          <w:shd w:val="clear" w:color="auto" w:fill="FFFFFF"/>
        </w:rPr>
        <w:t xml:space="preserve">itnesses </w:t>
      </w:r>
      <w:r w:rsidRPr="00F559CA">
        <w:rPr>
          <w:i/>
          <w:iCs/>
          <w:shd w:val="clear" w:color="auto" w:fill="FFFFFF"/>
        </w:rPr>
        <w:t xml:space="preserve">in New Zealand: Experiences and </w:t>
      </w:r>
      <w:r w:rsidR="00AA45D5">
        <w:rPr>
          <w:i/>
          <w:iCs/>
          <w:shd w:val="clear" w:color="auto" w:fill="FFFFFF"/>
        </w:rPr>
        <w:t>i</w:t>
      </w:r>
      <w:r w:rsidR="00AA45D5" w:rsidRPr="00F559CA">
        <w:rPr>
          <w:i/>
          <w:iCs/>
          <w:shd w:val="clear" w:color="auto" w:fill="FFFFFF"/>
        </w:rPr>
        <w:t>nnovations</w:t>
      </w:r>
      <w:r w:rsidR="00AA45D5">
        <w:rPr>
          <w:shd w:val="clear" w:color="auto" w:fill="FFFFFF"/>
        </w:rPr>
        <w:t> </w:t>
      </w:r>
      <w:r>
        <w:rPr>
          <w:shd w:val="clear" w:color="auto" w:fill="FFFFFF"/>
        </w:rPr>
        <w:t xml:space="preserve">(Doctoral dissertation, University of Auckland, Auckland, New Zealand). Retrieved from </w:t>
      </w:r>
      <w:r w:rsidR="002555F7">
        <w:rPr>
          <w:shd w:val="clear" w:color="auto" w:fill="FFFFFF"/>
        </w:rPr>
        <w:t>https://researchspace.auckland.ac.nz/bitstream/handle/2292/34764/whole.pdf?sequencs=2</w:t>
      </w:r>
    </w:p>
    <w:p w14:paraId="60901996" w14:textId="198ECEBF" w:rsidR="00EB17BB" w:rsidRPr="00EB17BB" w:rsidRDefault="00EB17BB" w:rsidP="00EB17BB">
      <w:pPr>
        <w:spacing w:line="480" w:lineRule="auto"/>
        <w:ind w:left="720" w:hanging="720"/>
        <w:contextualSpacing/>
        <w:rPr>
          <w:shd w:val="clear" w:color="auto" w:fill="FFFFFF"/>
        </w:rPr>
      </w:pPr>
      <w:r w:rsidRPr="00EB17BB">
        <w:rPr>
          <w:shd w:val="clear" w:color="auto" w:fill="FFFFFF"/>
        </w:rPr>
        <w:t>Redlich, A. D. &amp; Goodman, G. S. (2003). Taking responsibility for an act not committed: The influence of age and suggestibility. </w:t>
      </w:r>
      <w:r w:rsidRPr="00EB17BB">
        <w:rPr>
          <w:i/>
          <w:iCs/>
          <w:shd w:val="clear" w:color="auto" w:fill="FFFFFF"/>
        </w:rPr>
        <w:t xml:space="preserve">Law and Human </w:t>
      </w:r>
      <w:proofErr w:type="spellStart"/>
      <w:r w:rsidRPr="00EB17BB">
        <w:rPr>
          <w:i/>
          <w:iCs/>
          <w:shd w:val="clear" w:color="auto" w:fill="FFFFFF"/>
        </w:rPr>
        <w:t>Behavior</w:t>
      </w:r>
      <w:proofErr w:type="spellEnd"/>
      <w:r w:rsidRPr="00EB17BB">
        <w:rPr>
          <w:i/>
          <w:iCs/>
          <w:shd w:val="clear" w:color="auto" w:fill="FFFFFF"/>
        </w:rPr>
        <w:t>, 27</w:t>
      </w:r>
      <w:r w:rsidRPr="00EB17BB">
        <w:rPr>
          <w:shd w:val="clear" w:color="auto" w:fill="FFFFFF"/>
        </w:rPr>
        <w:t>, 141-156.</w:t>
      </w:r>
    </w:p>
    <w:p w14:paraId="2F85965B" w14:textId="6C488F53" w:rsidR="002555F7" w:rsidRDefault="00336CED" w:rsidP="00963A7D">
      <w:pPr>
        <w:spacing w:line="480" w:lineRule="auto"/>
        <w:ind w:left="720"/>
        <w:contextualSpacing/>
        <w:rPr>
          <w:shd w:val="clear" w:color="auto" w:fill="FFFFFF"/>
        </w:rPr>
      </w:pPr>
      <w:proofErr w:type="spellStart"/>
      <w:r w:rsidRPr="00F22710">
        <w:t>doi</w:t>
      </w:r>
      <w:proofErr w:type="spellEnd"/>
      <w:r w:rsidRPr="00F22710">
        <w:t>: 10.1023/A:1022543012851</w:t>
      </w:r>
    </w:p>
    <w:p w14:paraId="01CBA44F" w14:textId="519D6B56" w:rsidR="0006585D" w:rsidRDefault="0006585D" w:rsidP="005B57DD">
      <w:pPr>
        <w:spacing w:line="480" w:lineRule="auto"/>
        <w:ind w:left="720" w:hanging="720"/>
        <w:contextualSpacing/>
        <w:rPr>
          <w:shd w:val="clear" w:color="auto" w:fill="FFFFFF"/>
        </w:rPr>
      </w:pPr>
      <w:proofErr w:type="spellStart"/>
      <w:r w:rsidRPr="0006585D">
        <w:rPr>
          <w:shd w:val="clear" w:color="auto" w:fill="FFFFFF"/>
        </w:rPr>
        <w:lastRenderedPageBreak/>
        <w:t>Saywitz</w:t>
      </w:r>
      <w:proofErr w:type="spellEnd"/>
      <w:r w:rsidRPr="0006585D">
        <w:rPr>
          <w:shd w:val="clear" w:color="auto" w:fill="FFFFFF"/>
        </w:rPr>
        <w:t xml:space="preserve">, K. J. (2002). Developmental underpinnings of children’s testimony. In H. L. Westcott, G. M. Davies, &amp; R. H. C. Bull (Eds.), </w:t>
      </w:r>
      <w:r w:rsidRPr="006C4BE0">
        <w:rPr>
          <w:i/>
          <w:iCs/>
          <w:shd w:val="clear" w:color="auto" w:fill="FFFFFF"/>
        </w:rPr>
        <w:t>Children’s testimony: A handbook of psychological research and forensic practice</w:t>
      </w:r>
      <w:r w:rsidRPr="0006585D">
        <w:rPr>
          <w:shd w:val="clear" w:color="auto" w:fill="FFFFFF"/>
        </w:rPr>
        <w:t xml:space="preserve"> (pp. 3–19). Chichester, England: John Wiley &amp; Sons Ltd.</w:t>
      </w:r>
    </w:p>
    <w:p w14:paraId="1F2BB662" w14:textId="4931D42E" w:rsidR="001020C5" w:rsidRPr="00E8502E" w:rsidRDefault="001020C5" w:rsidP="001020C5">
      <w:pPr>
        <w:spacing w:line="480" w:lineRule="auto"/>
        <w:ind w:left="720" w:hanging="720"/>
        <w:contextualSpacing/>
        <w:rPr>
          <w:shd w:val="clear" w:color="auto" w:fill="FFFFFF"/>
        </w:rPr>
      </w:pPr>
      <w:r w:rsidRPr="001020C5">
        <w:rPr>
          <w:shd w:val="clear" w:color="auto" w:fill="FFFFFF"/>
        </w:rPr>
        <w:t xml:space="preserve">Singh, K. K. &amp; </w:t>
      </w:r>
      <w:proofErr w:type="spellStart"/>
      <w:r w:rsidRPr="001020C5">
        <w:rPr>
          <w:shd w:val="clear" w:color="auto" w:fill="FFFFFF"/>
        </w:rPr>
        <w:t>Gudjonsson</w:t>
      </w:r>
      <w:proofErr w:type="spellEnd"/>
      <w:r w:rsidRPr="001020C5">
        <w:rPr>
          <w:shd w:val="clear" w:color="auto" w:fill="FFFFFF"/>
        </w:rPr>
        <w:t xml:space="preserve">, G. H. (1992). Interrogative suggestibility among adolescent boys and its relationship with intelligence, memory, and cognitive set. </w:t>
      </w:r>
      <w:r w:rsidRPr="00963A7D">
        <w:rPr>
          <w:i/>
          <w:shd w:val="clear" w:color="auto" w:fill="FFFFFF"/>
        </w:rPr>
        <w:t xml:space="preserve">Journal of Adolescence, 15, </w:t>
      </w:r>
      <w:r w:rsidRPr="001020C5">
        <w:rPr>
          <w:shd w:val="clear" w:color="auto" w:fill="FFFFFF"/>
        </w:rPr>
        <w:t>155–161.</w:t>
      </w:r>
    </w:p>
    <w:p w14:paraId="35DF07B1" w14:textId="6A14D11F" w:rsidR="003B7AB6" w:rsidRPr="00E8502E" w:rsidRDefault="003B7AB6" w:rsidP="001B76E7">
      <w:pPr>
        <w:widowControl w:val="0"/>
        <w:autoSpaceDE w:val="0"/>
        <w:autoSpaceDN w:val="0"/>
        <w:adjustRightInd w:val="0"/>
        <w:spacing w:line="480" w:lineRule="auto"/>
      </w:pPr>
      <w:r w:rsidRPr="00E8502E">
        <w:t xml:space="preserve">Sixth Amendment to the US Constitution: Rights of Accused in Criminal Prosecutions (p. </w:t>
      </w:r>
      <w:r w:rsidRPr="00E8502E">
        <w:tab/>
        <w:t>1399). Retrieved from: http://www.gpo.gov/fdsys/pkg/GPO- CONAN-</w:t>
      </w:r>
      <w:r w:rsidRPr="00E8502E">
        <w:tab/>
        <w:t xml:space="preserve">1992/pdf/GPO-CONAN-1992-10-7.pdf </w:t>
      </w:r>
    </w:p>
    <w:p w14:paraId="7D94397F" w14:textId="2400030D" w:rsidR="003B7AB6" w:rsidRPr="00E8502E" w:rsidRDefault="003B7AB6" w:rsidP="00F3036F">
      <w:pPr>
        <w:spacing w:line="480" w:lineRule="auto"/>
        <w:ind w:right="20"/>
        <w:contextualSpacing/>
      </w:pPr>
      <w:r w:rsidRPr="00E8502E">
        <w:t xml:space="preserve">Spencer, J. R. &amp; Lamb, M. E. (2012) (Eds.). </w:t>
      </w:r>
      <w:r w:rsidRPr="39123F4B">
        <w:rPr>
          <w:i/>
          <w:iCs/>
        </w:rPr>
        <w:t xml:space="preserve">Children and cross-examination: Time to </w:t>
      </w:r>
      <w:r w:rsidRPr="00E8502E">
        <w:rPr>
          <w:i/>
        </w:rPr>
        <w:tab/>
      </w:r>
      <w:r w:rsidRPr="39123F4B">
        <w:rPr>
          <w:i/>
          <w:iCs/>
        </w:rPr>
        <w:t>change the rules?</w:t>
      </w:r>
      <w:r w:rsidRPr="00E8502E">
        <w:t xml:space="preserve"> Oxford</w:t>
      </w:r>
      <w:r w:rsidR="00AA45D5">
        <w:t>, UK</w:t>
      </w:r>
      <w:r w:rsidRPr="00E8502E">
        <w:t xml:space="preserve"> and Portland, Oregon: Hart Publishing.</w:t>
      </w:r>
    </w:p>
    <w:p w14:paraId="3A6EC150" w14:textId="4E254162" w:rsidR="003B7AB6" w:rsidRDefault="003B7AB6" w:rsidP="00AC77AC">
      <w:pPr>
        <w:spacing w:line="480" w:lineRule="auto"/>
        <w:ind w:left="720" w:hanging="720"/>
        <w:rPr>
          <w:shd w:val="clear" w:color="auto" w:fill="FFFFFF"/>
        </w:rPr>
      </w:pPr>
      <w:r w:rsidRPr="00E8502E">
        <w:rPr>
          <w:shd w:val="clear" w:color="auto" w:fill="FFFFFF"/>
        </w:rPr>
        <w:t>Sternberg, K. J., Lamb, M. E., Davies, G. M., &amp; Westcott, H. L. (2001). The memorandum of good practice: Theory versus application. </w:t>
      </w:r>
      <w:r w:rsidRPr="39123F4B">
        <w:rPr>
          <w:i/>
          <w:iCs/>
          <w:shd w:val="clear" w:color="auto" w:fill="FFFFFF"/>
        </w:rPr>
        <w:t xml:space="preserve">Child </w:t>
      </w:r>
      <w:r w:rsidR="00AA45D5">
        <w:rPr>
          <w:i/>
          <w:iCs/>
          <w:shd w:val="clear" w:color="auto" w:fill="FFFFFF"/>
        </w:rPr>
        <w:t>A</w:t>
      </w:r>
      <w:r w:rsidR="00AA45D5" w:rsidRPr="39123F4B">
        <w:rPr>
          <w:i/>
          <w:iCs/>
          <w:shd w:val="clear" w:color="auto" w:fill="FFFFFF"/>
        </w:rPr>
        <w:t xml:space="preserve">buse </w:t>
      </w:r>
      <w:r w:rsidRPr="39123F4B">
        <w:rPr>
          <w:i/>
          <w:iCs/>
          <w:shd w:val="clear" w:color="auto" w:fill="FFFFFF"/>
        </w:rPr>
        <w:t xml:space="preserve">&amp; </w:t>
      </w:r>
      <w:r w:rsidR="00AA45D5">
        <w:rPr>
          <w:i/>
          <w:iCs/>
          <w:shd w:val="clear" w:color="auto" w:fill="FFFFFF"/>
        </w:rPr>
        <w:t>N</w:t>
      </w:r>
      <w:r w:rsidR="00AA45D5" w:rsidRPr="39123F4B">
        <w:rPr>
          <w:i/>
          <w:iCs/>
          <w:shd w:val="clear" w:color="auto" w:fill="FFFFFF"/>
        </w:rPr>
        <w:t>eglect</w:t>
      </w:r>
      <w:r w:rsidRPr="00E8502E">
        <w:rPr>
          <w:shd w:val="clear" w:color="auto" w:fill="FFFFFF"/>
        </w:rPr>
        <w:t>, </w:t>
      </w:r>
      <w:r w:rsidRPr="39123F4B">
        <w:rPr>
          <w:i/>
          <w:iCs/>
          <w:shd w:val="clear" w:color="auto" w:fill="FFFFFF"/>
        </w:rPr>
        <w:t>25</w:t>
      </w:r>
      <w:r w:rsidRPr="00E8502E">
        <w:rPr>
          <w:shd w:val="clear" w:color="auto" w:fill="FFFFFF"/>
        </w:rPr>
        <w:t>, 669-681.</w:t>
      </w:r>
      <w:r w:rsidR="00203439" w:rsidRPr="39123F4B">
        <w:t xml:space="preserve"> </w:t>
      </w:r>
      <w:proofErr w:type="spellStart"/>
      <w:r w:rsidR="00203439" w:rsidRPr="00203439">
        <w:rPr>
          <w:shd w:val="clear" w:color="auto" w:fill="FFFFFF"/>
        </w:rPr>
        <w:t>doi</w:t>
      </w:r>
      <w:proofErr w:type="spellEnd"/>
      <w:r w:rsidR="00FB526B">
        <w:rPr>
          <w:shd w:val="clear" w:color="auto" w:fill="FFFFFF"/>
        </w:rPr>
        <w:t xml:space="preserve">: </w:t>
      </w:r>
      <w:r w:rsidR="00203439" w:rsidRPr="00203439">
        <w:rPr>
          <w:shd w:val="clear" w:color="auto" w:fill="FFFFFF"/>
        </w:rPr>
        <w:t>10.1016/S0145-2134(01)00232-0</w:t>
      </w:r>
      <w:r w:rsidR="00203439">
        <w:rPr>
          <w:shd w:val="clear" w:color="auto" w:fill="FFFFFF"/>
        </w:rPr>
        <w:t xml:space="preserve"> </w:t>
      </w:r>
    </w:p>
    <w:p w14:paraId="45FADD6C" w14:textId="77777777" w:rsidR="003B7AB6" w:rsidRPr="00E8502E" w:rsidRDefault="003B7AB6" w:rsidP="00624B6F">
      <w:pPr>
        <w:widowControl w:val="0"/>
        <w:autoSpaceDE w:val="0"/>
        <w:autoSpaceDN w:val="0"/>
        <w:adjustRightInd w:val="0"/>
        <w:spacing w:line="480" w:lineRule="auto"/>
        <w:rPr>
          <w:rFonts w:eastAsia="MS Mincho"/>
        </w:rPr>
      </w:pPr>
      <w:r w:rsidRPr="00E8502E">
        <w:t xml:space="preserve">Stolzenberg, S. &amp; Lyon, T.D. (2014). How attorneys question children about the dynamics of </w:t>
      </w:r>
      <w:r w:rsidRPr="00E8502E">
        <w:tab/>
        <w:t xml:space="preserve">sexual abuse and disclosure in criminal trials. </w:t>
      </w:r>
      <w:r w:rsidRPr="39123F4B">
        <w:rPr>
          <w:i/>
          <w:iCs/>
        </w:rPr>
        <w:t>Psychology, Public Policy, &amp; Law, 20,</w:t>
      </w:r>
      <w:r w:rsidRPr="39123F4B">
        <w:t xml:space="preserve"> </w:t>
      </w:r>
      <w:r w:rsidRPr="00E8502E">
        <w:tab/>
        <w:t>19-30. doi:10.1037/a0035000</w:t>
      </w:r>
      <w:r w:rsidRPr="00E8502E">
        <w:rPr>
          <w:rFonts w:ascii="MS Mincho" w:eastAsia="MS Mincho" w:hAnsi="MS Mincho" w:cs="MS Mincho"/>
        </w:rPr>
        <w:t> </w:t>
      </w:r>
    </w:p>
    <w:p w14:paraId="440D5D63" w14:textId="352EC57C" w:rsidR="003B7AB6" w:rsidRPr="00E8502E" w:rsidRDefault="003B7AB6" w:rsidP="00624B6F">
      <w:pPr>
        <w:widowControl w:val="0"/>
        <w:autoSpaceDE w:val="0"/>
        <w:autoSpaceDN w:val="0"/>
        <w:adjustRightInd w:val="0"/>
        <w:spacing w:line="480" w:lineRule="auto"/>
      </w:pPr>
      <w:r w:rsidRPr="00E8502E">
        <w:t xml:space="preserve">Sutherland, R. &amp; Hayne, H. (2001). Age-related changes in the misinformation effect. </w:t>
      </w:r>
      <w:r w:rsidRPr="00E8502E">
        <w:tab/>
      </w:r>
      <w:r w:rsidRPr="00E8502E">
        <w:tab/>
      </w:r>
      <w:r w:rsidRPr="08D4D6A2">
        <w:rPr>
          <w:i/>
          <w:iCs/>
        </w:rPr>
        <w:t>Journal of Experimental Child Psychology, 79,</w:t>
      </w:r>
      <w:r w:rsidRPr="00E8502E">
        <w:t xml:space="preserve"> 388-404. </w:t>
      </w:r>
      <w:r w:rsidRPr="00E8502E">
        <w:tab/>
        <w:t>doi:10.1006/jecp.2000.2610</w:t>
      </w:r>
      <w:r w:rsidRPr="00E8502E">
        <w:rPr>
          <w:rFonts w:ascii="MS Mincho" w:eastAsia="MS Mincho" w:hAnsi="MS Mincho" w:cs="MS Mincho"/>
        </w:rPr>
        <w:t> </w:t>
      </w:r>
    </w:p>
    <w:p w14:paraId="4FC4810C" w14:textId="1E09F53A" w:rsidR="003B7AB6" w:rsidRDefault="0498DFD5" w:rsidP="005200B7">
      <w:pPr>
        <w:spacing w:line="480" w:lineRule="auto"/>
        <w:ind w:left="480" w:hanging="480"/>
      </w:pPr>
      <w:r w:rsidRPr="08D4D6A2">
        <w:rPr>
          <w:i/>
          <w:iCs/>
        </w:rPr>
        <w:t>The Advocate’s Gateway: Ground rules hearings and the fair treatment of vulnerable people in court</w:t>
      </w:r>
      <w:r w:rsidRPr="00E8502E">
        <w:t>. (2016). Retrieved from</w:t>
      </w:r>
      <w:r w:rsidR="00FB526B">
        <w:t>:</w:t>
      </w:r>
      <w:r w:rsidRPr="00E8502E">
        <w:t xml:space="preserve"> </w:t>
      </w:r>
      <w:r w:rsidR="009E6536" w:rsidRPr="009E6536">
        <w:lastRenderedPageBreak/>
        <w:t>http://www.theadvocatesgateway.org/images/toolkits/1-ground-rules-hearings-and-the-fair-treatment-of-vulnerable-people-in-court-2016.pdf</w:t>
      </w:r>
    </w:p>
    <w:p w14:paraId="5BF21C5C" w14:textId="2571E925" w:rsidR="006450E0" w:rsidRDefault="006450E0" w:rsidP="005200B7">
      <w:pPr>
        <w:spacing w:line="480" w:lineRule="auto"/>
        <w:ind w:left="480" w:hanging="480"/>
      </w:pPr>
      <w:r>
        <w:t>United Nations Convention of the Rights of the Child</w:t>
      </w:r>
      <w:r w:rsidR="001C5AD7">
        <w:t xml:space="preserve"> (1990). Retrieved from</w:t>
      </w:r>
      <w:r w:rsidR="00FB526B">
        <w:t>:</w:t>
      </w:r>
      <w:r w:rsidR="001C5AD7">
        <w:t xml:space="preserve"> </w:t>
      </w:r>
      <w:r w:rsidR="001C5AD7" w:rsidRPr="001C5AD7">
        <w:t>https://downloads.unicef.org.uk/wp-content/uploads/2010/05/UNCRC_united_nations_convention_on_the_rights_of_the_child.pdf?_ga=2.35084009.997400325.1517310777-759362699.1517310777</w:t>
      </w:r>
    </w:p>
    <w:p w14:paraId="24AE23E4" w14:textId="077E82C4" w:rsidR="009E6536" w:rsidRDefault="009E6536" w:rsidP="005200B7">
      <w:pPr>
        <w:spacing w:line="480" w:lineRule="auto"/>
        <w:ind w:left="480" w:hanging="480"/>
      </w:pPr>
      <w:proofErr w:type="spellStart"/>
      <w:r w:rsidRPr="009E6536">
        <w:t>Volpini</w:t>
      </w:r>
      <w:proofErr w:type="spellEnd"/>
      <w:r w:rsidRPr="009E6536">
        <w:t xml:space="preserve">, L., </w:t>
      </w:r>
      <w:proofErr w:type="spellStart"/>
      <w:r w:rsidRPr="009E6536">
        <w:t>Melis</w:t>
      </w:r>
      <w:proofErr w:type="spellEnd"/>
      <w:r w:rsidRPr="009E6536">
        <w:t xml:space="preserve">, M., </w:t>
      </w:r>
      <w:proofErr w:type="spellStart"/>
      <w:r w:rsidRPr="009E6536">
        <w:t>Petralia</w:t>
      </w:r>
      <w:proofErr w:type="spellEnd"/>
      <w:r w:rsidRPr="009E6536">
        <w:t xml:space="preserve">, S. and Rosenberg, M. D. (2016), Measuring </w:t>
      </w:r>
      <w:r w:rsidR="00FB526B">
        <w:t>c</w:t>
      </w:r>
      <w:r w:rsidRPr="009E6536">
        <w:t xml:space="preserve">hildren's </w:t>
      </w:r>
      <w:r w:rsidR="00FB526B">
        <w:t>s</w:t>
      </w:r>
      <w:r w:rsidRPr="009E6536">
        <w:t xml:space="preserve">uggestibility in </w:t>
      </w:r>
      <w:r w:rsidR="00FB526B">
        <w:t>f</w:t>
      </w:r>
      <w:r w:rsidRPr="009E6536">
        <w:t xml:space="preserve">orensic </w:t>
      </w:r>
      <w:r w:rsidR="00FB526B">
        <w:t>i</w:t>
      </w:r>
      <w:r w:rsidRPr="009E6536">
        <w:t xml:space="preserve">nterviews. </w:t>
      </w:r>
      <w:r w:rsidRPr="39123F4B">
        <w:rPr>
          <w:i/>
          <w:iCs/>
        </w:rPr>
        <w:t>J</w:t>
      </w:r>
      <w:r w:rsidR="00FB526B" w:rsidRPr="39123F4B">
        <w:rPr>
          <w:i/>
          <w:iCs/>
        </w:rPr>
        <w:t>ournal of</w:t>
      </w:r>
      <w:r w:rsidRPr="39123F4B">
        <w:rPr>
          <w:i/>
          <w:iCs/>
        </w:rPr>
        <w:t xml:space="preserve"> Forensic Sci</w:t>
      </w:r>
      <w:r w:rsidR="00FB526B" w:rsidRPr="39123F4B">
        <w:rPr>
          <w:i/>
          <w:iCs/>
        </w:rPr>
        <w:t xml:space="preserve">ence, </w:t>
      </w:r>
      <w:r w:rsidRPr="39123F4B">
        <w:rPr>
          <w:i/>
          <w:iCs/>
        </w:rPr>
        <w:t>61</w:t>
      </w:r>
      <w:r w:rsidR="00FB526B" w:rsidRPr="39123F4B">
        <w:rPr>
          <w:i/>
          <w:iCs/>
        </w:rPr>
        <w:t>,</w:t>
      </w:r>
      <w:r w:rsidRPr="39123F4B">
        <w:rPr>
          <w:i/>
          <w:iCs/>
        </w:rPr>
        <w:t xml:space="preserve"> </w:t>
      </w:r>
      <w:r w:rsidRPr="009E6536">
        <w:t>104–108. doi:10.1111/1556-4029.12987</w:t>
      </w:r>
    </w:p>
    <w:p w14:paraId="1B6B4557" w14:textId="6585C420" w:rsidR="00536B8D" w:rsidRDefault="00536B8D" w:rsidP="005200B7">
      <w:pPr>
        <w:spacing w:line="480" w:lineRule="auto"/>
        <w:ind w:left="480" w:hanging="480"/>
      </w:pPr>
      <w:r w:rsidRPr="00536B8D">
        <w:t xml:space="preserve">Westcott, H. L. &amp; Page, M. (2002). Cross-examination, sexual abuse and child witness identity. </w:t>
      </w:r>
      <w:r w:rsidRPr="00963A7D">
        <w:rPr>
          <w:i/>
        </w:rPr>
        <w:t>Child Abuse Review, 11,</w:t>
      </w:r>
      <w:r w:rsidRPr="00536B8D">
        <w:t xml:space="preserve"> 137–152. </w:t>
      </w:r>
      <w:proofErr w:type="spellStart"/>
      <w:r w:rsidRPr="00536B8D">
        <w:t>doi</w:t>
      </w:r>
      <w:proofErr w:type="spellEnd"/>
      <w:r w:rsidR="00F51D7F">
        <w:t xml:space="preserve">: </w:t>
      </w:r>
      <w:r w:rsidRPr="00536B8D">
        <w:t>10.1002/car.739</w:t>
      </w:r>
    </w:p>
    <w:p w14:paraId="52B83DA6" w14:textId="366AB8F8" w:rsidR="007D24A1" w:rsidRPr="007D24A1" w:rsidRDefault="007D24A1" w:rsidP="005200B7">
      <w:pPr>
        <w:spacing w:line="480" w:lineRule="auto"/>
        <w:ind w:left="480" w:hanging="480"/>
      </w:pPr>
      <w:proofErr w:type="spellStart"/>
      <w:r w:rsidRPr="007D24A1">
        <w:t>Wheatcroft</w:t>
      </w:r>
      <w:proofErr w:type="spellEnd"/>
      <w:r w:rsidRPr="007D24A1">
        <w:t xml:space="preserve">, J., Caruso, D., &amp; </w:t>
      </w:r>
      <w:proofErr w:type="spellStart"/>
      <w:r w:rsidRPr="007D24A1">
        <w:t>Krumrey</w:t>
      </w:r>
      <w:proofErr w:type="spellEnd"/>
      <w:r w:rsidRPr="007D24A1">
        <w:t xml:space="preserve">-Quinn, J. (2015). Rethinking </w:t>
      </w:r>
      <w:r w:rsidR="00FB526B">
        <w:t>l</w:t>
      </w:r>
      <w:r w:rsidRPr="007D24A1">
        <w:t>eading: The directive, non-directive divide. </w:t>
      </w:r>
      <w:r w:rsidRPr="39123F4B">
        <w:rPr>
          <w:i/>
          <w:iCs/>
        </w:rPr>
        <w:t>Criminal Law Review</w:t>
      </w:r>
      <w:r w:rsidRPr="39123F4B">
        <w:t>, </w:t>
      </w:r>
      <w:r w:rsidRPr="39123F4B">
        <w:rPr>
          <w:i/>
          <w:iCs/>
        </w:rPr>
        <w:t>5</w:t>
      </w:r>
      <w:r w:rsidRPr="007D24A1">
        <w:t>, 340-346.</w:t>
      </w:r>
    </w:p>
    <w:p w14:paraId="40977A48" w14:textId="2C06B911" w:rsidR="003B7AB6" w:rsidRPr="00E8502E" w:rsidRDefault="003B7AB6" w:rsidP="001D3B94">
      <w:pPr>
        <w:spacing w:line="480" w:lineRule="auto"/>
        <w:ind w:left="720" w:hanging="720"/>
      </w:pPr>
      <w:r w:rsidRPr="00E8502E">
        <w:rPr>
          <w:shd w:val="clear" w:color="auto" w:fill="FFFFFF"/>
        </w:rPr>
        <w:t>Younger, I. (1988). </w:t>
      </w:r>
      <w:r w:rsidRPr="39123F4B">
        <w:rPr>
          <w:i/>
          <w:iCs/>
          <w:shd w:val="clear" w:color="auto" w:fill="FFFFFF"/>
        </w:rPr>
        <w:t xml:space="preserve">The advocate's </w:t>
      </w:r>
      <w:proofErr w:type="spellStart"/>
      <w:r w:rsidRPr="39123F4B">
        <w:rPr>
          <w:i/>
          <w:iCs/>
          <w:shd w:val="clear" w:color="auto" w:fill="FFFFFF"/>
        </w:rPr>
        <w:t>deskbook</w:t>
      </w:r>
      <w:proofErr w:type="spellEnd"/>
      <w:r w:rsidRPr="39123F4B">
        <w:rPr>
          <w:i/>
          <w:iCs/>
          <w:shd w:val="clear" w:color="auto" w:fill="FFFFFF"/>
        </w:rPr>
        <w:t>: the essentials of trying a case</w:t>
      </w:r>
      <w:r w:rsidRPr="00E8502E">
        <w:rPr>
          <w:shd w:val="clear" w:color="auto" w:fill="FFFFFF"/>
        </w:rPr>
        <w:t xml:space="preserve">. </w:t>
      </w:r>
      <w:r w:rsidR="00973F36">
        <w:rPr>
          <w:shd w:val="clear" w:color="auto" w:fill="FFFFFF"/>
        </w:rPr>
        <w:t xml:space="preserve">New York: </w:t>
      </w:r>
      <w:r w:rsidRPr="00E8502E">
        <w:rPr>
          <w:shd w:val="clear" w:color="auto" w:fill="FFFFFF"/>
        </w:rPr>
        <w:t>Aspen Publishers.</w:t>
      </w:r>
    </w:p>
    <w:p w14:paraId="22F86BCF" w14:textId="3746C142" w:rsidR="00846837" w:rsidRPr="00846837" w:rsidRDefault="003B7AB6" w:rsidP="003302B4">
      <w:pPr>
        <w:spacing w:line="480" w:lineRule="auto"/>
        <w:ind w:left="810" w:hanging="810"/>
      </w:pPr>
      <w:r w:rsidRPr="00E8502E">
        <w:t>Youth Justice and Criminal Evidence Act</w:t>
      </w:r>
      <w:r w:rsidRPr="00E8502E">
        <w:rPr>
          <w:shd w:val="clear" w:color="auto" w:fill="FFFFFF"/>
        </w:rPr>
        <w:t xml:space="preserve">, </w:t>
      </w:r>
      <w:r w:rsidRPr="00E8502E">
        <w:t>United Kingdom Statutes</w:t>
      </w:r>
      <w:r w:rsidRPr="00E8502E">
        <w:rPr>
          <w:shd w:val="clear" w:color="auto" w:fill="FFFFFF"/>
        </w:rPr>
        <w:t>. (19</w:t>
      </w:r>
      <w:r w:rsidR="00203439">
        <w:rPr>
          <w:shd w:val="clear" w:color="auto" w:fill="FFFFFF"/>
        </w:rPr>
        <w:t xml:space="preserve">99). Retrieved </w:t>
      </w:r>
      <w:r w:rsidRPr="00E8502E">
        <w:rPr>
          <w:shd w:val="clear" w:color="auto" w:fill="FFFFFF"/>
        </w:rPr>
        <w:t>from</w:t>
      </w:r>
      <w:r w:rsidR="00FB526B">
        <w:rPr>
          <w:shd w:val="clear" w:color="auto" w:fill="FFFFFF"/>
        </w:rPr>
        <w:t>:</w:t>
      </w:r>
      <w:r w:rsidRPr="00E8502E">
        <w:rPr>
          <w:rStyle w:val="FootnoteTextChar"/>
          <w:shd w:val="clear" w:color="auto" w:fill="FFFFFF"/>
        </w:rPr>
        <w:t> </w:t>
      </w:r>
      <w:r w:rsidRPr="00E8502E">
        <w:t>http://www.legislation.gov.uk/ukpga/1999/23/pdfs/ukpga_19990023_en.pdf</w:t>
      </w:r>
    </w:p>
    <w:p w14:paraId="07F8FDEE" w14:textId="77777777" w:rsidR="003B7AB6" w:rsidRPr="00E8502E" w:rsidRDefault="003B7AB6" w:rsidP="003302B4">
      <w:pPr>
        <w:widowControl w:val="0"/>
        <w:autoSpaceDE w:val="0"/>
        <w:autoSpaceDN w:val="0"/>
        <w:adjustRightInd w:val="0"/>
        <w:spacing w:line="480" w:lineRule="auto"/>
      </w:pPr>
      <w:proofErr w:type="spellStart"/>
      <w:r w:rsidRPr="00E8502E">
        <w:t>Zajac</w:t>
      </w:r>
      <w:proofErr w:type="spellEnd"/>
      <w:r w:rsidRPr="00E8502E">
        <w:t xml:space="preserve">, R. &amp; </w:t>
      </w:r>
      <w:proofErr w:type="spellStart"/>
      <w:r w:rsidRPr="00E8502E">
        <w:t>Cannan</w:t>
      </w:r>
      <w:proofErr w:type="spellEnd"/>
      <w:r w:rsidRPr="00E8502E">
        <w:t xml:space="preserve">, P. (2009). Cross-examination of sexual assault complainants: A </w:t>
      </w:r>
      <w:r w:rsidRPr="00E8502E">
        <w:tab/>
        <w:t xml:space="preserve">developmental comparison. </w:t>
      </w:r>
      <w:r w:rsidRPr="39123F4B">
        <w:rPr>
          <w:i/>
          <w:iCs/>
        </w:rPr>
        <w:t>Psychiatry, Psychology and Law, 16,</w:t>
      </w:r>
      <w:r w:rsidRPr="00E8502E">
        <w:t xml:space="preserve"> 36-54. </w:t>
      </w:r>
      <w:proofErr w:type="spellStart"/>
      <w:r w:rsidRPr="00E8502E">
        <w:t>doi</w:t>
      </w:r>
      <w:proofErr w:type="spellEnd"/>
      <w:r w:rsidRPr="39123F4B">
        <w:t xml:space="preserve">: </w:t>
      </w:r>
      <w:r w:rsidRPr="00E8502E">
        <w:tab/>
        <w:t xml:space="preserve">10.1080/13218710802620448 </w:t>
      </w:r>
    </w:p>
    <w:p w14:paraId="76325B77" w14:textId="77777777" w:rsidR="003B7AB6" w:rsidRPr="00E8502E" w:rsidRDefault="003B7AB6" w:rsidP="00C33C9A">
      <w:pPr>
        <w:widowControl w:val="0"/>
        <w:autoSpaceDE w:val="0"/>
        <w:autoSpaceDN w:val="0"/>
        <w:adjustRightInd w:val="0"/>
        <w:spacing w:line="480" w:lineRule="auto"/>
      </w:pPr>
      <w:proofErr w:type="spellStart"/>
      <w:r w:rsidRPr="00E8502E">
        <w:t>Zajac</w:t>
      </w:r>
      <w:proofErr w:type="spellEnd"/>
      <w:r w:rsidRPr="00E8502E">
        <w:t xml:space="preserve">, R., Gross, J., &amp; Hayne, H. (2003). Asked and answered: Questioning children in the </w:t>
      </w:r>
      <w:r w:rsidRPr="00E8502E">
        <w:tab/>
        <w:t xml:space="preserve">courtroom. </w:t>
      </w:r>
      <w:r w:rsidRPr="39123F4B">
        <w:rPr>
          <w:i/>
          <w:iCs/>
        </w:rPr>
        <w:t xml:space="preserve">Psychiatry, Psychology and Law, 10, </w:t>
      </w:r>
      <w:r w:rsidRPr="00E8502E">
        <w:t xml:space="preserve">199-209. </w:t>
      </w:r>
      <w:proofErr w:type="spellStart"/>
      <w:r w:rsidRPr="00E8502E">
        <w:t>doi</w:t>
      </w:r>
      <w:proofErr w:type="spellEnd"/>
      <w:r w:rsidRPr="39123F4B">
        <w:t xml:space="preserve">: </w:t>
      </w:r>
      <w:r w:rsidRPr="00E8502E">
        <w:tab/>
        <w:t xml:space="preserve">10.1375/pplt.2003.10.1.199 </w:t>
      </w:r>
    </w:p>
    <w:p w14:paraId="04EBD36E" w14:textId="3070DF8A" w:rsidR="003B7AB6" w:rsidRPr="00E8502E" w:rsidRDefault="003B7AB6" w:rsidP="00C33C9A">
      <w:pPr>
        <w:widowControl w:val="0"/>
        <w:autoSpaceDE w:val="0"/>
        <w:autoSpaceDN w:val="0"/>
        <w:adjustRightInd w:val="0"/>
        <w:spacing w:line="480" w:lineRule="auto"/>
        <w:rPr>
          <w:rFonts w:eastAsia="MS Mincho"/>
        </w:rPr>
      </w:pPr>
      <w:proofErr w:type="spellStart"/>
      <w:r w:rsidRPr="00E8502E">
        <w:t>Zajac</w:t>
      </w:r>
      <w:proofErr w:type="spellEnd"/>
      <w:r w:rsidRPr="00E8502E">
        <w:t>, R. &amp; Hayne, H. (2003). I don’t think that’s what really happened: the effect of cross-</w:t>
      </w:r>
      <w:r w:rsidRPr="00E8502E">
        <w:tab/>
        <w:t xml:space="preserve">examination on the accuracy of children’s reports. </w:t>
      </w:r>
      <w:r w:rsidRPr="39123F4B">
        <w:rPr>
          <w:i/>
          <w:iCs/>
        </w:rPr>
        <w:t xml:space="preserve">Journal of Experimental </w:t>
      </w:r>
      <w:r w:rsidRPr="00E8502E">
        <w:rPr>
          <w:i/>
        </w:rPr>
        <w:lastRenderedPageBreak/>
        <w:tab/>
      </w:r>
      <w:r w:rsidRPr="39123F4B">
        <w:rPr>
          <w:i/>
          <w:iCs/>
        </w:rPr>
        <w:t xml:space="preserve">Psychology: Applied, 9, </w:t>
      </w:r>
      <w:r w:rsidRPr="00E8502E">
        <w:t xml:space="preserve">187-195. </w:t>
      </w:r>
      <w:proofErr w:type="spellStart"/>
      <w:r w:rsidRPr="00E8502E">
        <w:t>doi</w:t>
      </w:r>
      <w:proofErr w:type="spellEnd"/>
      <w:r w:rsidRPr="00E8502E">
        <w:t>: 10.1037/1076-898X.9.3.187</w:t>
      </w:r>
      <w:r w:rsidRPr="00E8502E">
        <w:rPr>
          <w:rFonts w:ascii="MS Mincho" w:eastAsia="MS Mincho" w:hAnsi="MS Mincho" w:cs="MS Mincho"/>
        </w:rPr>
        <w:t> </w:t>
      </w:r>
    </w:p>
    <w:p w14:paraId="4041CF78" w14:textId="77777777" w:rsidR="001D3B94" w:rsidRDefault="001D3B94">
      <w:r>
        <w:br w:type="page"/>
      </w:r>
    </w:p>
    <w:p w14:paraId="7E2CC951" w14:textId="77777777" w:rsidR="005B55F2" w:rsidRPr="008406E5" w:rsidRDefault="005B55F2" w:rsidP="08D4D6A2">
      <w:pPr>
        <w:spacing w:line="480" w:lineRule="auto"/>
        <w:outlineLvl w:val="0"/>
      </w:pPr>
      <w:r w:rsidRPr="008406E5">
        <w:lastRenderedPageBreak/>
        <w:t>Table 1</w:t>
      </w:r>
    </w:p>
    <w:p w14:paraId="173428A2" w14:textId="77777777" w:rsidR="005B55F2" w:rsidRPr="006C4BE0" w:rsidRDefault="005B55F2" w:rsidP="006C4BE0">
      <w:pPr>
        <w:spacing w:line="480" w:lineRule="auto"/>
        <w:outlineLvl w:val="0"/>
        <w:rPr>
          <w:i/>
          <w:iCs/>
        </w:rPr>
      </w:pPr>
      <w:r w:rsidRPr="08D4D6A2">
        <w:rPr>
          <w:i/>
          <w:iCs/>
        </w:rPr>
        <w:t>Question Types, Definitions, and Examples</w:t>
      </w:r>
    </w:p>
    <w:tbl>
      <w:tblPr>
        <w:tblStyle w:val="TableGrid"/>
        <w:tblW w:w="9447" w:type="dxa"/>
        <w:tblInd w:w="-420" w:type="dxa"/>
        <w:tblLook w:val="04A0" w:firstRow="1" w:lastRow="0" w:firstColumn="1" w:lastColumn="0" w:noHBand="0" w:noVBand="1"/>
      </w:tblPr>
      <w:tblGrid>
        <w:gridCol w:w="1426"/>
        <w:gridCol w:w="4097"/>
        <w:gridCol w:w="77"/>
        <w:gridCol w:w="3847"/>
      </w:tblGrid>
      <w:tr w:rsidR="005B55F2" w:rsidRPr="00890239" w14:paraId="2B8AA56D" w14:textId="77777777" w:rsidTr="006C4BE0">
        <w:trPr>
          <w:trHeight w:val="502"/>
        </w:trPr>
        <w:tc>
          <w:tcPr>
            <w:tcW w:w="1426" w:type="dxa"/>
            <w:tcBorders>
              <w:left w:val="nil"/>
              <w:right w:val="nil"/>
            </w:tcBorders>
          </w:tcPr>
          <w:p w14:paraId="47077A3C" w14:textId="77777777" w:rsidR="005B55F2" w:rsidRPr="006C4BE0" w:rsidRDefault="005B55F2" w:rsidP="0031117D">
            <w:pPr>
              <w:jc w:val="center"/>
              <w:rPr>
                <w:b/>
              </w:rPr>
            </w:pPr>
          </w:p>
          <w:p w14:paraId="04E93029" w14:textId="77777777" w:rsidR="005B55F2" w:rsidRPr="006C4BE0" w:rsidRDefault="005B55F2" w:rsidP="0031117D">
            <w:pPr>
              <w:jc w:val="center"/>
              <w:rPr>
                <w:b/>
              </w:rPr>
            </w:pPr>
          </w:p>
        </w:tc>
        <w:tc>
          <w:tcPr>
            <w:tcW w:w="4174" w:type="dxa"/>
            <w:gridSpan w:val="2"/>
            <w:tcBorders>
              <w:left w:val="nil"/>
              <w:right w:val="nil"/>
            </w:tcBorders>
            <w:vAlign w:val="center"/>
          </w:tcPr>
          <w:p w14:paraId="00E938A4" w14:textId="77777777" w:rsidR="005B55F2" w:rsidRPr="0076683A" w:rsidRDefault="005B55F2" w:rsidP="08D4D6A2">
            <w:pPr>
              <w:jc w:val="center"/>
            </w:pPr>
            <w:r w:rsidRPr="0076683A">
              <w:t>Definition</w:t>
            </w:r>
          </w:p>
        </w:tc>
        <w:tc>
          <w:tcPr>
            <w:tcW w:w="3847" w:type="dxa"/>
            <w:tcBorders>
              <w:left w:val="nil"/>
              <w:right w:val="nil"/>
            </w:tcBorders>
            <w:vAlign w:val="center"/>
          </w:tcPr>
          <w:p w14:paraId="0E2E9158" w14:textId="77777777" w:rsidR="005B55F2" w:rsidRPr="00890239" w:rsidRDefault="005B55F2" w:rsidP="08D4D6A2">
            <w:pPr>
              <w:jc w:val="center"/>
            </w:pPr>
            <w:r w:rsidRPr="0076683A">
              <w:t>Example</w:t>
            </w:r>
          </w:p>
        </w:tc>
      </w:tr>
      <w:tr w:rsidR="00890239" w:rsidRPr="00890239" w14:paraId="1413F969" w14:textId="77777777" w:rsidTr="006C4BE0">
        <w:trPr>
          <w:trHeight w:val="250"/>
        </w:trPr>
        <w:tc>
          <w:tcPr>
            <w:tcW w:w="9447" w:type="dxa"/>
            <w:gridSpan w:val="4"/>
            <w:tcBorders>
              <w:left w:val="nil"/>
              <w:bottom w:val="nil"/>
              <w:right w:val="nil"/>
            </w:tcBorders>
          </w:tcPr>
          <w:p w14:paraId="7EF78565" w14:textId="77777777" w:rsidR="00890239" w:rsidRPr="0076683A" w:rsidRDefault="00890239" w:rsidP="08D4D6A2">
            <w:r w:rsidRPr="0076683A">
              <w:t>Question Types</w:t>
            </w:r>
          </w:p>
          <w:p w14:paraId="504C2428" w14:textId="77777777" w:rsidR="00890239" w:rsidRPr="0076683A" w:rsidRDefault="00890239" w:rsidP="0031117D"/>
        </w:tc>
      </w:tr>
      <w:tr w:rsidR="005B55F2" w:rsidRPr="00890239" w14:paraId="3939D382" w14:textId="77777777" w:rsidTr="006C4BE0">
        <w:trPr>
          <w:trHeight w:val="250"/>
        </w:trPr>
        <w:tc>
          <w:tcPr>
            <w:tcW w:w="1426" w:type="dxa"/>
            <w:tcBorders>
              <w:top w:val="nil"/>
              <w:left w:val="nil"/>
              <w:bottom w:val="nil"/>
              <w:right w:val="nil"/>
            </w:tcBorders>
          </w:tcPr>
          <w:p w14:paraId="00F91E61" w14:textId="77777777" w:rsidR="005B55F2" w:rsidRPr="0076683A" w:rsidRDefault="005B55F2" w:rsidP="08D4D6A2">
            <w:r w:rsidRPr="0076683A">
              <w:t>Invitation</w:t>
            </w:r>
          </w:p>
        </w:tc>
        <w:tc>
          <w:tcPr>
            <w:tcW w:w="4174" w:type="dxa"/>
            <w:gridSpan w:val="2"/>
            <w:tcBorders>
              <w:top w:val="nil"/>
              <w:left w:val="nil"/>
              <w:bottom w:val="nil"/>
              <w:right w:val="nil"/>
            </w:tcBorders>
          </w:tcPr>
          <w:p w14:paraId="700F2DEA" w14:textId="77777777" w:rsidR="005B55F2" w:rsidRPr="006C4BE0" w:rsidRDefault="005B55F2" w:rsidP="0031117D">
            <w:pPr>
              <w:rPr>
                <w:shd w:val="clear" w:color="auto" w:fill="FFFFFF"/>
              </w:rPr>
            </w:pPr>
            <w:r w:rsidRPr="00890239">
              <w:rPr>
                <w:shd w:val="clear" w:color="auto" w:fill="FFFFFF"/>
              </w:rPr>
              <w:t>An open-ended request that the child recall information about the incident. Can be formulated as a statement, question, or imperative.</w:t>
            </w:r>
          </w:p>
          <w:p w14:paraId="116154D3" w14:textId="77777777" w:rsidR="005B55F2" w:rsidRPr="006C4BE0" w:rsidRDefault="005B55F2" w:rsidP="0031117D"/>
        </w:tc>
        <w:tc>
          <w:tcPr>
            <w:tcW w:w="3847" w:type="dxa"/>
            <w:tcBorders>
              <w:top w:val="nil"/>
              <w:left w:val="nil"/>
              <w:bottom w:val="nil"/>
              <w:right w:val="nil"/>
            </w:tcBorders>
          </w:tcPr>
          <w:p w14:paraId="5DFFCBC9" w14:textId="77777777" w:rsidR="005B55F2" w:rsidRPr="006C4BE0" w:rsidRDefault="005B55F2" w:rsidP="08D4D6A2">
            <w:r w:rsidRPr="00890239">
              <w:t>“Tell me everything that happened”</w:t>
            </w:r>
          </w:p>
        </w:tc>
      </w:tr>
      <w:tr w:rsidR="005B55F2" w:rsidRPr="00890239" w14:paraId="464BFFEF" w14:textId="77777777" w:rsidTr="006C4BE0">
        <w:trPr>
          <w:trHeight w:val="143"/>
        </w:trPr>
        <w:tc>
          <w:tcPr>
            <w:tcW w:w="1426" w:type="dxa"/>
            <w:tcBorders>
              <w:top w:val="nil"/>
              <w:left w:val="nil"/>
              <w:bottom w:val="nil"/>
              <w:right w:val="nil"/>
            </w:tcBorders>
          </w:tcPr>
          <w:p w14:paraId="7A73F4DF" w14:textId="77777777" w:rsidR="005B55F2" w:rsidRPr="0076683A" w:rsidRDefault="005B55F2" w:rsidP="08D4D6A2">
            <w:r w:rsidRPr="0076683A">
              <w:t>Directive</w:t>
            </w:r>
          </w:p>
        </w:tc>
        <w:tc>
          <w:tcPr>
            <w:tcW w:w="4174" w:type="dxa"/>
            <w:gridSpan w:val="2"/>
            <w:tcBorders>
              <w:top w:val="nil"/>
              <w:left w:val="nil"/>
              <w:bottom w:val="nil"/>
              <w:right w:val="nil"/>
            </w:tcBorders>
          </w:tcPr>
          <w:p w14:paraId="4D85F643" w14:textId="27C54D5A" w:rsidR="005B55F2" w:rsidRPr="006C4BE0" w:rsidRDefault="005B55F2" w:rsidP="006C4BE0">
            <w:pPr>
              <w:shd w:val="clear" w:color="auto" w:fill="FFFFFF" w:themeFill="background1"/>
            </w:pPr>
            <w:r w:rsidRPr="00890239">
              <w:t xml:space="preserve">A cued-recall prompt that focuses the child’s attention on information already mentioned and requests additional </w:t>
            </w:r>
            <w:r w:rsidR="00D913AA">
              <w:t xml:space="preserve">specific </w:t>
            </w:r>
            <w:r w:rsidRPr="00890239">
              <w:t xml:space="preserve">information, typically using </w:t>
            </w:r>
            <w:proofErr w:type="spellStart"/>
            <w:r w:rsidRPr="00890239">
              <w:t>wh</w:t>
            </w:r>
            <w:proofErr w:type="spellEnd"/>
            <w:r w:rsidRPr="00890239">
              <w:t>-questions (who, what, when, where, how).</w:t>
            </w:r>
          </w:p>
          <w:p w14:paraId="27454DDF" w14:textId="77777777" w:rsidR="005B55F2" w:rsidRPr="006C4BE0" w:rsidRDefault="005B55F2" w:rsidP="0031117D">
            <w:pPr>
              <w:shd w:val="clear" w:color="auto" w:fill="FFFFFF"/>
            </w:pPr>
          </w:p>
        </w:tc>
        <w:tc>
          <w:tcPr>
            <w:tcW w:w="3847" w:type="dxa"/>
            <w:tcBorders>
              <w:top w:val="nil"/>
              <w:left w:val="nil"/>
              <w:bottom w:val="nil"/>
              <w:right w:val="nil"/>
            </w:tcBorders>
          </w:tcPr>
          <w:p w14:paraId="28C91C36" w14:textId="77777777" w:rsidR="005B55F2" w:rsidRPr="006C4BE0" w:rsidRDefault="005B55F2" w:rsidP="08D4D6A2">
            <w:r w:rsidRPr="00890239">
              <w:t>“What colour was the shirt?” (When the shirt had been mentioned)</w:t>
            </w:r>
          </w:p>
        </w:tc>
      </w:tr>
      <w:tr w:rsidR="005B55F2" w:rsidRPr="00890239" w14:paraId="134666AC" w14:textId="77777777" w:rsidTr="006C4BE0">
        <w:trPr>
          <w:trHeight w:val="143"/>
        </w:trPr>
        <w:tc>
          <w:tcPr>
            <w:tcW w:w="1426" w:type="dxa"/>
            <w:tcBorders>
              <w:top w:val="nil"/>
              <w:left w:val="nil"/>
              <w:bottom w:val="nil"/>
              <w:right w:val="nil"/>
            </w:tcBorders>
          </w:tcPr>
          <w:p w14:paraId="6CA65621" w14:textId="77777777" w:rsidR="005B55F2" w:rsidRPr="0076683A" w:rsidRDefault="005B55F2" w:rsidP="08D4D6A2">
            <w:r w:rsidRPr="0076683A">
              <w:t>Option- posing</w:t>
            </w:r>
          </w:p>
        </w:tc>
        <w:tc>
          <w:tcPr>
            <w:tcW w:w="4174" w:type="dxa"/>
            <w:gridSpan w:val="2"/>
            <w:tcBorders>
              <w:top w:val="nil"/>
              <w:left w:val="nil"/>
              <w:bottom w:val="nil"/>
              <w:right w:val="nil"/>
            </w:tcBorders>
          </w:tcPr>
          <w:p w14:paraId="444315D1" w14:textId="57354498" w:rsidR="005B55F2" w:rsidRPr="006C4BE0" w:rsidRDefault="005B55F2" w:rsidP="08D4D6A2">
            <w:pPr>
              <w:shd w:val="clear" w:color="auto" w:fill="FFFFFF" w:themeFill="background1"/>
            </w:pPr>
            <w:r w:rsidRPr="00890239">
              <w:t>Closed-ended questions that refocus the child’s attention on details of the allegation that they have not previously mentioned, without implying an expected response.</w:t>
            </w:r>
          </w:p>
          <w:p w14:paraId="5CA8C712" w14:textId="77777777" w:rsidR="005B55F2" w:rsidRPr="006C4BE0" w:rsidRDefault="005B55F2" w:rsidP="0031117D">
            <w:pPr>
              <w:shd w:val="clear" w:color="auto" w:fill="FFFFFF" w:themeFill="background1"/>
            </w:pPr>
          </w:p>
        </w:tc>
        <w:tc>
          <w:tcPr>
            <w:tcW w:w="3847" w:type="dxa"/>
            <w:tcBorders>
              <w:top w:val="nil"/>
              <w:left w:val="nil"/>
              <w:bottom w:val="nil"/>
              <w:right w:val="nil"/>
            </w:tcBorders>
          </w:tcPr>
          <w:p w14:paraId="51E9D6B4" w14:textId="77777777" w:rsidR="005B55F2" w:rsidRPr="006C4BE0" w:rsidRDefault="005B55F2" w:rsidP="08D4D6A2">
            <w:r w:rsidRPr="00890239">
              <w:t>“Did it hurt?”</w:t>
            </w:r>
          </w:p>
          <w:p w14:paraId="12DE9714" w14:textId="77777777" w:rsidR="005B55F2" w:rsidRPr="006C4BE0" w:rsidRDefault="005B55F2" w:rsidP="08D4D6A2">
            <w:r w:rsidRPr="00890239">
              <w:t>“Were your clothes on or off when it happened?”</w:t>
            </w:r>
          </w:p>
          <w:p w14:paraId="00568C06" w14:textId="77777777" w:rsidR="005B55F2" w:rsidRPr="006C4BE0" w:rsidRDefault="005B55F2" w:rsidP="0031117D"/>
        </w:tc>
      </w:tr>
      <w:tr w:rsidR="005B55F2" w:rsidRPr="00890239" w14:paraId="77E9D23C" w14:textId="77777777" w:rsidTr="006C4BE0">
        <w:trPr>
          <w:trHeight w:val="855"/>
        </w:trPr>
        <w:tc>
          <w:tcPr>
            <w:tcW w:w="1426" w:type="dxa"/>
            <w:tcBorders>
              <w:top w:val="nil"/>
              <w:left w:val="nil"/>
              <w:bottom w:val="nil"/>
              <w:right w:val="nil"/>
            </w:tcBorders>
          </w:tcPr>
          <w:p w14:paraId="0EDD9993" w14:textId="77777777" w:rsidR="005B55F2" w:rsidRPr="0076683A" w:rsidRDefault="005B55F2" w:rsidP="08D4D6A2">
            <w:r w:rsidRPr="0076683A">
              <w:t>Suggestive</w:t>
            </w:r>
          </w:p>
        </w:tc>
        <w:tc>
          <w:tcPr>
            <w:tcW w:w="4174" w:type="dxa"/>
            <w:gridSpan w:val="2"/>
            <w:tcBorders>
              <w:top w:val="nil"/>
              <w:left w:val="nil"/>
              <w:bottom w:val="nil"/>
              <w:right w:val="nil"/>
            </w:tcBorders>
          </w:tcPr>
          <w:p w14:paraId="66594A03" w14:textId="77777777" w:rsidR="005B55F2" w:rsidRPr="006C4BE0" w:rsidRDefault="005B55F2" w:rsidP="08D4D6A2">
            <w:pPr>
              <w:shd w:val="clear" w:color="auto" w:fill="FFFFFF" w:themeFill="background1"/>
            </w:pPr>
            <w:r w:rsidRPr="00890239">
              <w:t>An utterance that assumes information not disclosed by the child or implies that a particular response is expected.</w:t>
            </w:r>
          </w:p>
        </w:tc>
        <w:tc>
          <w:tcPr>
            <w:tcW w:w="3847" w:type="dxa"/>
            <w:tcBorders>
              <w:top w:val="nil"/>
              <w:left w:val="nil"/>
              <w:bottom w:val="nil"/>
              <w:right w:val="nil"/>
            </w:tcBorders>
          </w:tcPr>
          <w:p w14:paraId="0A794E89" w14:textId="77777777" w:rsidR="005B55F2" w:rsidRPr="006C4BE0" w:rsidRDefault="005B55F2" w:rsidP="08D4D6A2">
            <w:r w:rsidRPr="00890239">
              <w:t>“Did it hurt when he put his finger in you?” (When the child has not mentioned digital penetration).</w:t>
            </w:r>
          </w:p>
          <w:p w14:paraId="6AC6839B" w14:textId="77777777" w:rsidR="005B55F2" w:rsidRPr="006C4BE0" w:rsidRDefault="005B55F2" w:rsidP="08D4D6A2">
            <w:r w:rsidRPr="00890239">
              <w:t>“He wanted you to kiss him, didn’t he?”</w:t>
            </w:r>
          </w:p>
          <w:p w14:paraId="5CB3C718" w14:textId="77777777" w:rsidR="005B55F2" w:rsidRPr="006C4BE0" w:rsidRDefault="005B55F2" w:rsidP="0031117D"/>
        </w:tc>
      </w:tr>
      <w:tr w:rsidR="00890239" w:rsidRPr="00890239" w14:paraId="3857E0A3" w14:textId="77777777" w:rsidTr="006C4BE0">
        <w:trPr>
          <w:trHeight w:val="539"/>
        </w:trPr>
        <w:tc>
          <w:tcPr>
            <w:tcW w:w="9447" w:type="dxa"/>
            <w:gridSpan w:val="4"/>
            <w:tcBorders>
              <w:top w:val="nil"/>
              <w:left w:val="nil"/>
              <w:bottom w:val="nil"/>
              <w:right w:val="nil"/>
            </w:tcBorders>
          </w:tcPr>
          <w:p w14:paraId="6AF79D3B" w14:textId="7FA23C19" w:rsidR="00890239" w:rsidRPr="00890239" w:rsidRDefault="00890239" w:rsidP="08D4D6A2">
            <w:r w:rsidRPr="0076683A">
              <w:t>Children’s Responses</w:t>
            </w:r>
          </w:p>
        </w:tc>
      </w:tr>
      <w:tr w:rsidR="00890239" w:rsidRPr="00890239" w14:paraId="20FC9337" w14:textId="77777777" w:rsidTr="006C4BE0">
        <w:trPr>
          <w:trHeight w:val="855"/>
        </w:trPr>
        <w:tc>
          <w:tcPr>
            <w:tcW w:w="1426" w:type="dxa"/>
            <w:tcBorders>
              <w:top w:val="nil"/>
              <w:left w:val="nil"/>
              <w:bottom w:val="nil"/>
              <w:right w:val="nil"/>
            </w:tcBorders>
          </w:tcPr>
          <w:p w14:paraId="35FC449C" w14:textId="13EF3406" w:rsidR="00890239" w:rsidRPr="0076683A" w:rsidRDefault="00890239" w:rsidP="08D4D6A2">
            <w:r w:rsidRPr="0076683A">
              <w:t>Responsive</w:t>
            </w:r>
          </w:p>
        </w:tc>
        <w:tc>
          <w:tcPr>
            <w:tcW w:w="4097" w:type="dxa"/>
            <w:tcBorders>
              <w:top w:val="nil"/>
              <w:left w:val="nil"/>
              <w:bottom w:val="nil"/>
              <w:right w:val="nil"/>
            </w:tcBorders>
          </w:tcPr>
          <w:p w14:paraId="19AFE209" w14:textId="71475E36" w:rsidR="00890239" w:rsidRPr="0076683A" w:rsidRDefault="00890239" w:rsidP="08D4D6A2">
            <w:r w:rsidRPr="0076683A">
              <w:t>Verbal and action responses related to t</w:t>
            </w:r>
            <w:r>
              <w:t xml:space="preserve">he lawyer’s previous utterance, </w:t>
            </w:r>
            <w:r w:rsidRPr="00890239">
              <w:t xml:space="preserve">even if </w:t>
            </w:r>
            <w:r>
              <w:t>the response</w:t>
            </w:r>
            <w:r w:rsidRPr="0076683A">
              <w:t xml:space="preserve"> did not contain new</w:t>
            </w:r>
          </w:p>
          <w:p w14:paraId="50263C46" w14:textId="6C3F4D46" w:rsidR="00890239" w:rsidRPr="0076683A" w:rsidRDefault="00890239" w:rsidP="08D4D6A2">
            <w:r w:rsidRPr="0076683A">
              <w:t xml:space="preserve">informative details, or when </w:t>
            </w:r>
            <w:r w:rsidR="00D913AA">
              <w:t>its</w:t>
            </w:r>
            <w:r w:rsidRPr="0076683A">
              <w:t xml:space="preserve"> meaning was unclear.</w:t>
            </w:r>
          </w:p>
          <w:p w14:paraId="29E0EB71" w14:textId="0AA752F5" w:rsidR="00890239" w:rsidRPr="0076683A" w:rsidRDefault="00890239" w:rsidP="00890239"/>
        </w:tc>
        <w:tc>
          <w:tcPr>
            <w:tcW w:w="3924" w:type="dxa"/>
            <w:gridSpan w:val="2"/>
            <w:tcBorders>
              <w:top w:val="nil"/>
              <w:left w:val="nil"/>
              <w:bottom w:val="nil"/>
              <w:right w:val="nil"/>
            </w:tcBorders>
          </w:tcPr>
          <w:p w14:paraId="59AB6E5D" w14:textId="77777777" w:rsidR="00890239" w:rsidRDefault="00D913AA" w:rsidP="08D4D6A2">
            <w:r>
              <w:t>Lawyer: “Did he take your trousers off?”</w:t>
            </w:r>
          </w:p>
          <w:p w14:paraId="62921AD4" w14:textId="77777777" w:rsidR="00D913AA" w:rsidRDefault="00D913AA" w:rsidP="08D4D6A2">
            <w:r>
              <w:t>Child: “Yes” [responsive]</w:t>
            </w:r>
          </w:p>
          <w:p w14:paraId="1B6C0EA0" w14:textId="77777777" w:rsidR="00D913AA" w:rsidRDefault="00D913AA" w:rsidP="08D4D6A2">
            <w:r>
              <w:t>Lawyer: “What did he do next?”</w:t>
            </w:r>
          </w:p>
          <w:p w14:paraId="34B50E91" w14:textId="7F395B70" w:rsidR="00D913AA" w:rsidRPr="0076683A" w:rsidRDefault="00D913AA" w:rsidP="08D4D6A2">
            <w:r>
              <w:t>Child: “I don’t know” [responsive]</w:t>
            </w:r>
          </w:p>
        </w:tc>
      </w:tr>
      <w:tr w:rsidR="00890239" w:rsidRPr="00890239" w14:paraId="3FB66D7B" w14:textId="77777777" w:rsidTr="006C4BE0">
        <w:trPr>
          <w:trHeight w:val="855"/>
        </w:trPr>
        <w:tc>
          <w:tcPr>
            <w:tcW w:w="1426" w:type="dxa"/>
            <w:tcBorders>
              <w:top w:val="nil"/>
              <w:left w:val="nil"/>
              <w:bottom w:val="nil"/>
              <w:right w:val="nil"/>
            </w:tcBorders>
          </w:tcPr>
          <w:p w14:paraId="139BE673" w14:textId="2B52287D" w:rsidR="00890239" w:rsidRPr="0076683A" w:rsidRDefault="00890239" w:rsidP="08D4D6A2">
            <w:r w:rsidRPr="0076683A">
              <w:t>Unresponsive</w:t>
            </w:r>
          </w:p>
        </w:tc>
        <w:tc>
          <w:tcPr>
            <w:tcW w:w="4097" w:type="dxa"/>
            <w:tcBorders>
              <w:top w:val="nil"/>
              <w:left w:val="nil"/>
              <w:bottom w:val="nil"/>
              <w:right w:val="nil"/>
            </w:tcBorders>
          </w:tcPr>
          <w:p w14:paraId="5D6EF895" w14:textId="57C1FB1B" w:rsidR="00890239" w:rsidRDefault="00890239" w:rsidP="08D4D6A2">
            <w:r>
              <w:t>Responses that do not relate to the question asked in the previous utterance but provide incident-related information. These include instances when children misunderstood the lawyers’ questions.</w:t>
            </w:r>
          </w:p>
          <w:p w14:paraId="5EE490BC" w14:textId="0293068D" w:rsidR="00D913AA" w:rsidRPr="0076683A" w:rsidRDefault="00D913AA" w:rsidP="00890239"/>
        </w:tc>
        <w:tc>
          <w:tcPr>
            <w:tcW w:w="3924" w:type="dxa"/>
            <w:gridSpan w:val="2"/>
            <w:tcBorders>
              <w:top w:val="nil"/>
              <w:left w:val="nil"/>
              <w:bottom w:val="nil"/>
              <w:right w:val="nil"/>
            </w:tcBorders>
          </w:tcPr>
          <w:p w14:paraId="73D823C8" w14:textId="77777777" w:rsidR="00890239" w:rsidRDefault="00D913AA" w:rsidP="08D4D6A2">
            <w:r>
              <w:t>Lawyer: “What did he say?”</w:t>
            </w:r>
          </w:p>
          <w:p w14:paraId="019156AA" w14:textId="42D5481F" w:rsidR="00D913AA" w:rsidRPr="0076683A" w:rsidRDefault="00D913AA" w:rsidP="08D4D6A2">
            <w:r>
              <w:t>Child: “I said stop!” [unresponsive]</w:t>
            </w:r>
          </w:p>
        </w:tc>
      </w:tr>
      <w:tr w:rsidR="00890239" w:rsidRPr="00890239" w14:paraId="1C972529" w14:textId="77777777" w:rsidTr="006C4BE0">
        <w:trPr>
          <w:trHeight w:val="855"/>
        </w:trPr>
        <w:tc>
          <w:tcPr>
            <w:tcW w:w="1426" w:type="dxa"/>
            <w:tcBorders>
              <w:top w:val="nil"/>
              <w:left w:val="nil"/>
              <w:bottom w:val="nil"/>
              <w:right w:val="nil"/>
            </w:tcBorders>
          </w:tcPr>
          <w:p w14:paraId="570FE346" w14:textId="76754EEA" w:rsidR="00890239" w:rsidRPr="0076683A" w:rsidRDefault="00890239" w:rsidP="08D4D6A2">
            <w:r w:rsidRPr="0076683A">
              <w:t>Compliance</w:t>
            </w:r>
          </w:p>
        </w:tc>
        <w:tc>
          <w:tcPr>
            <w:tcW w:w="4097" w:type="dxa"/>
            <w:tcBorders>
              <w:top w:val="nil"/>
              <w:left w:val="nil"/>
              <w:bottom w:val="nil"/>
              <w:right w:val="nil"/>
            </w:tcBorders>
          </w:tcPr>
          <w:p w14:paraId="321727EE" w14:textId="77777777" w:rsidR="00890239" w:rsidRPr="00890239" w:rsidRDefault="00890239" w:rsidP="08D4D6A2">
            <w:r w:rsidRPr="0076683A">
              <w:t>Children’s responses that acquiesce to the suggested conf</w:t>
            </w:r>
            <w:r w:rsidRPr="00890239">
              <w:t>rontation,</w:t>
            </w:r>
          </w:p>
          <w:p w14:paraId="7519ED93" w14:textId="77777777" w:rsidR="00890239" w:rsidRDefault="00890239" w:rsidP="08D4D6A2">
            <w:r w:rsidRPr="00890239">
              <w:t>supposition, or input.</w:t>
            </w:r>
          </w:p>
          <w:p w14:paraId="178EEA4B" w14:textId="5935841B" w:rsidR="00D913AA" w:rsidRPr="0076683A" w:rsidRDefault="00D913AA" w:rsidP="00890239"/>
        </w:tc>
        <w:tc>
          <w:tcPr>
            <w:tcW w:w="3924" w:type="dxa"/>
            <w:gridSpan w:val="2"/>
            <w:tcBorders>
              <w:top w:val="nil"/>
              <w:left w:val="nil"/>
              <w:bottom w:val="nil"/>
              <w:right w:val="nil"/>
            </w:tcBorders>
          </w:tcPr>
          <w:p w14:paraId="5503911E" w14:textId="1524BBD8" w:rsidR="00890239" w:rsidRDefault="00D913AA" w:rsidP="08D4D6A2">
            <w:r>
              <w:t>Lawyer: “It hurt when he touched you, didn’t it?” (when the child has not mentioned being hurt by the touch)</w:t>
            </w:r>
          </w:p>
          <w:p w14:paraId="7FF7F82D" w14:textId="77777777" w:rsidR="00D913AA" w:rsidRDefault="00D913AA" w:rsidP="08D4D6A2">
            <w:r>
              <w:t>Child: “Yeah”</w:t>
            </w:r>
          </w:p>
          <w:p w14:paraId="60BF0E5E" w14:textId="67E2B99F" w:rsidR="00D913AA" w:rsidRPr="0076683A" w:rsidRDefault="00D913AA" w:rsidP="00890239"/>
        </w:tc>
      </w:tr>
      <w:tr w:rsidR="00D913AA" w:rsidRPr="00890239" w14:paraId="2C28D02D" w14:textId="77777777" w:rsidTr="006C4BE0">
        <w:trPr>
          <w:trHeight w:val="855"/>
        </w:trPr>
        <w:tc>
          <w:tcPr>
            <w:tcW w:w="1426" w:type="dxa"/>
            <w:tcBorders>
              <w:top w:val="nil"/>
              <w:left w:val="nil"/>
              <w:bottom w:val="single" w:sz="4" w:space="0" w:color="auto"/>
              <w:right w:val="nil"/>
            </w:tcBorders>
          </w:tcPr>
          <w:p w14:paraId="30581840" w14:textId="29A23278" w:rsidR="00D913AA" w:rsidRPr="0076683A" w:rsidRDefault="00D913AA" w:rsidP="08D4D6A2">
            <w:r w:rsidRPr="0076683A">
              <w:t>Resistance</w:t>
            </w:r>
          </w:p>
        </w:tc>
        <w:tc>
          <w:tcPr>
            <w:tcW w:w="4097" w:type="dxa"/>
            <w:tcBorders>
              <w:top w:val="nil"/>
              <w:left w:val="nil"/>
              <w:bottom w:val="single" w:sz="4" w:space="0" w:color="auto"/>
              <w:right w:val="nil"/>
            </w:tcBorders>
          </w:tcPr>
          <w:p w14:paraId="77F072A9" w14:textId="77777777" w:rsidR="00D913AA" w:rsidRDefault="00D913AA" w:rsidP="08D4D6A2">
            <w:r w:rsidRPr="00890239">
              <w:t>Children’s responses that resist the suggested confrontation, supposition, or input.</w:t>
            </w:r>
          </w:p>
          <w:p w14:paraId="3EA72006" w14:textId="287A53E0" w:rsidR="00D913AA" w:rsidRPr="0076683A" w:rsidRDefault="00D913AA" w:rsidP="00D913AA"/>
        </w:tc>
        <w:tc>
          <w:tcPr>
            <w:tcW w:w="3924" w:type="dxa"/>
            <w:gridSpan w:val="2"/>
            <w:tcBorders>
              <w:top w:val="nil"/>
              <w:left w:val="nil"/>
              <w:bottom w:val="single" w:sz="4" w:space="0" w:color="auto"/>
              <w:right w:val="nil"/>
            </w:tcBorders>
          </w:tcPr>
          <w:p w14:paraId="21A1FD3F" w14:textId="487AE174" w:rsidR="00D913AA" w:rsidRDefault="00D913AA" w:rsidP="08D4D6A2">
            <w:r>
              <w:t>Lawyer: “You’re lying, aren’t you?”</w:t>
            </w:r>
          </w:p>
          <w:p w14:paraId="317D3A0D" w14:textId="1B0D0020" w:rsidR="00D913AA" w:rsidRPr="0076683A" w:rsidRDefault="00D913AA" w:rsidP="08D4D6A2">
            <w:r>
              <w:t>Child: “No I’m not.”</w:t>
            </w:r>
          </w:p>
        </w:tc>
      </w:tr>
    </w:tbl>
    <w:p w14:paraId="603344ED" w14:textId="77777777" w:rsidR="005B55F2" w:rsidRPr="008406E5" w:rsidRDefault="005B55F2" w:rsidP="08D4D6A2">
      <w:r w:rsidRPr="008406E5">
        <w:rPr>
          <w:sz w:val="20"/>
          <w:szCs w:val="20"/>
        </w:rPr>
        <w:t xml:space="preserve"> </w:t>
      </w:r>
      <w:r w:rsidRPr="08D4D6A2">
        <w:rPr>
          <w:i/>
          <w:iCs/>
          <w:sz w:val="20"/>
          <w:szCs w:val="20"/>
        </w:rPr>
        <w:t>Note.</w:t>
      </w:r>
      <w:r w:rsidRPr="23B9E151">
        <w:t xml:space="preserve"> </w:t>
      </w:r>
      <w:r w:rsidRPr="008406E5">
        <w:rPr>
          <w:sz w:val="20"/>
          <w:szCs w:val="20"/>
        </w:rPr>
        <w:t xml:space="preserve">Adapted from </w:t>
      </w:r>
      <w:r w:rsidRPr="0031117D">
        <w:rPr>
          <w:sz w:val="20"/>
          <w:szCs w:val="20"/>
        </w:rPr>
        <w:t xml:space="preserve">Andrews &amp; Lamb, 2016; Lamb, </w:t>
      </w:r>
      <w:proofErr w:type="spellStart"/>
      <w:r w:rsidRPr="0031117D">
        <w:rPr>
          <w:sz w:val="20"/>
          <w:szCs w:val="20"/>
        </w:rPr>
        <w:t>Orbach</w:t>
      </w:r>
      <w:proofErr w:type="spellEnd"/>
      <w:r w:rsidRPr="0031117D">
        <w:rPr>
          <w:sz w:val="20"/>
          <w:szCs w:val="20"/>
        </w:rPr>
        <w:t xml:space="preserve">, </w:t>
      </w:r>
      <w:proofErr w:type="spellStart"/>
      <w:r w:rsidRPr="0031117D">
        <w:rPr>
          <w:sz w:val="20"/>
          <w:szCs w:val="20"/>
        </w:rPr>
        <w:t>Hershkowitz</w:t>
      </w:r>
      <w:proofErr w:type="spellEnd"/>
      <w:r w:rsidRPr="0031117D">
        <w:rPr>
          <w:sz w:val="20"/>
          <w:szCs w:val="20"/>
        </w:rPr>
        <w:t xml:space="preserve">, </w:t>
      </w:r>
      <w:proofErr w:type="spellStart"/>
      <w:r w:rsidRPr="0031117D">
        <w:rPr>
          <w:sz w:val="20"/>
          <w:szCs w:val="20"/>
        </w:rPr>
        <w:t>Esplin</w:t>
      </w:r>
      <w:proofErr w:type="spellEnd"/>
      <w:r w:rsidRPr="0031117D">
        <w:rPr>
          <w:sz w:val="20"/>
          <w:szCs w:val="20"/>
        </w:rPr>
        <w:t>, &amp; Horowitz, 2007.</w:t>
      </w:r>
    </w:p>
    <w:p w14:paraId="29E81F20" w14:textId="77777777" w:rsidR="005B55F2" w:rsidRPr="008406E5" w:rsidRDefault="005B55F2" w:rsidP="005B55F2">
      <w:pPr>
        <w:spacing w:line="480" w:lineRule="auto"/>
        <w:ind w:right="14"/>
        <w:jc w:val="both"/>
      </w:pPr>
    </w:p>
    <w:p w14:paraId="6A4F5860" w14:textId="77777777" w:rsidR="005B55F2" w:rsidRPr="008406E5" w:rsidRDefault="005B55F2" w:rsidP="66326F81">
      <w:pPr>
        <w:spacing w:line="480" w:lineRule="auto"/>
      </w:pPr>
      <w:r w:rsidRPr="008406E5">
        <w:lastRenderedPageBreak/>
        <w:t xml:space="preserve">Table 2 </w:t>
      </w:r>
    </w:p>
    <w:p w14:paraId="00FE3C70" w14:textId="77777777" w:rsidR="005B55F2" w:rsidRPr="006C4BE0" w:rsidRDefault="005B55F2" w:rsidP="08D4D6A2">
      <w:pPr>
        <w:spacing w:line="480" w:lineRule="auto"/>
        <w:rPr>
          <w:i/>
          <w:iCs/>
        </w:rPr>
      </w:pPr>
      <w:r w:rsidRPr="08D4D6A2">
        <w:rPr>
          <w:i/>
          <w:iCs/>
        </w:rPr>
        <w:t xml:space="preserve">Breakdown of Courtroom Hearings and Examinations by Trial Condition </w:t>
      </w:r>
    </w:p>
    <w:tbl>
      <w:tblPr>
        <w:tblStyle w:val="TableGrid"/>
        <w:tblW w:w="9787" w:type="dxa"/>
        <w:tblInd w:w="-142" w:type="dxa"/>
        <w:tblLook w:val="04A0" w:firstRow="1" w:lastRow="0" w:firstColumn="1" w:lastColumn="0" w:noHBand="0" w:noVBand="1"/>
      </w:tblPr>
      <w:tblGrid>
        <w:gridCol w:w="3124"/>
        <w:gridCol w:w="709"/>
        <w:gridCol w:w="1134"/>
        <w:gridCol w:w="1242"/>
        <w:gridCol w:w="601"/>
        <w:gridCol w:w="709"/>
        <w:gridCol w:w="1134"/>
        <w:gridCol w:w="1134"/>
      </w:tblGrid>
      <w:tr w:rsidR="005B55F2" w:rsidRPr="008406E5" w14:paraId="760AD648" w14:textId="77777777" w:rsidTr="006C4BE0">
        <w:trPr>
          <w:trHeight w:val="485"/>
        </w:trPr>
        <w:tc>
          <w:tcPr>
            <w:tcW w:w="3124" w:type="dxa"/>
            <w:tcBorders>
              <w:top w:val="single" w:sz="4" w:space="0" w:color="auto"/>
              <w:left w:val="nil"/>
              <w:bottom w:val="nil"/>
              <w:right w:val="nil"/>
            </w:tcBorders>
          </w:tcPr>
          <w:p w14:paraId="34614BD6" w14:textId="77777777" w:rsidR="005B55F2" w:rsidRPr="008406E5" w:rsidRDefault="005B55F2" w:rsidP="0031117D">
            <w:pPr>
              <w:spacing w:line="480" w:lineRule="auto"/>
              <w:jc w:val="center"/>
              <w:rPr>
                <w:sz w:val="24"/>
                <w:szCs w:val="24"/>
              </w:rPr>
            </w:pPr>
          </w:p>
        </w:tc>
        <w:tc>
          <w:tcPr>
            <w:tcW w:w="3085" w:type="dxa"/>
            <w:gridSpan w:val="3"/>
            <w:tcBorders>
              <w:top w:val="single" w:sz="4" w:space="0" w:color="auto"/>
              <w:left w:val="nil"/>
              <w:bottom w:val="nil"/>
              <w:right w:val="nil"/>
            </w:tcBorders>
            <w:vAlign w:val="center"/>
          </w:tcPr>
          <w:p w14:paraId="13A71E99" w14:textId="77777777" w:rsidR="005B55F2" w:rsidRPr="006C4BE0" w:rsidRDefault="005B55F2" w:rsidP="006C4BE0">
            <w:pPr>
              <w:spacing w:line="480" w:lineRule="auto"/>
              <w:jc w:val="center"/>
              <w:rPr>
                <w:sz w:val="24"/>
                <w:szCs w:val="24"/>
              </w:rPr>
            </w:pPr>
            <w:r w:rsidRPr="0031117D">
              <w:t>NS28</w:t>
            </w:r>
          </w:p>
        </w:tc>
        <w:tc>
          <w:tcPr>
            <w:tcW w:w="601" w:type="dxa"/>
            <w:tcBorders>
              <w:top w:val="single" w:sz="4" w:space="0" w:color="auto"/>
              <w:left w:val="nil"/>
              <w:bottom w:val="nil"/>
              <w:right w:val="nil"/>
            </w:tcBorders>
            <w:vAlign w:val="center"/>
          </w:tcPr>
          <w:p w14:paraId="0D4D87FF" w14:textId="77777777" w:rsidR="005B55F2" w:rsidRPr="008406E5" w:rsidRDefault="005B55F2" w:rsidP="0031117D">
            <w:pPr>
              <w:spacing w:line="480" w:lineRule="auto"/>
              <w:jc w:val="center"/>
              <w:rPr>
                <w:bCs/>
                <w:i/>
                <w:iCs/>
                <w:sz w:val="24"/>
                <w:szCs w:val="24"/>
              </w:rPr>
            </w:pPr>
          </w:p>
        </w:tc>
        <w:tc>
          <w:tcPr>
            <w:tcW w:w="2977" w:type="dxa"/>
            <w:gridSpan w:val="3"/>
            <w:tcBorders>
              <w:top w:val="single" w:sz="4" w:space="0" w:color="auto"/>
              <w:left w:val="nil"/>
              <w:bottom w:val="nil"/>
              <w:right w:val="nil"/>
            </w:tcBorders>
            <w:vAlign w:val="center"/>
          </w:tcPr>
          <w:p w14:paraId="72670A80" w14:textId="77777777" w:rsidR="005B55F2" w:rsidRPr="006C4BE0" w:rsidRDefault="005B55F2" w:rsidP="006C4BE0">
            <w:pPr>
              <w:spacing w:line="480" w:lineRule="auto"/>
              <w:jc w:val="center"/>
              <w:rPr>
                <w:sz w:val="24"/>
                <w:szCs w:val="24"/>
              </w:rPr>
            </w:pPr>
            <w:r w:rsidRPr="0031117D">
              <w:t>S28</w:t>
            </w:r>
          </w:p>
        </w:tc>
      </w:tr>
      <w:tr w:rsidR="005B55F2" w:rsidRPr="008406E5" w14:paraId="5D63152D" w14:textId="77777777" w:rsidTr="006C4BE0">
        <w:trPr>
          <w:trHeight w:val="485"/>
        </w:trPr>
        <w:tc>
          <w:tcPr>
            <w:tcW w:w="3124" w:type="dxa"/>
            <w:tcBorders>
              <w:top w:val="single" w:sz="4" w:space="0" w:color="auto"/>
              <w:left w:val="nil"/>
              <w:bottom w:val="nil"/>
              <w:right w:val="nil"/>
            </w:tcBorders>
          </w:tcPr>
          <w:p w14:paraId="18CB8178" w14:textId="77777777" w:rsidR="005B55F2" w:rsidRPr="008406E5" w:rsidRDefault="005B55F2" w:rsidP="0031117D">
            <w:pPr>
              <w:spacing w:line="480" w:lineRule="auto"/>
              <w:jc w:val="center"/>
              <w:rPr>
                <w:sz w:val="24"/>
                <w:szCs w:val="24"/>
              </w:rPr>
            </w:pPr>
          </w:p>
        </w:tc>
        <w:tc>
          <w:tcPr>
            <w:tcW w:w="709" w:type="dxa"/>
            <w:tcBorders>
              <w:top w:val="single" w:sz="4" w:space="0" w:color="auto"/>
              <w:left w:val="nil"/>
              <w:bottom w:val="nil"/>
              <w:right w:val="nil"/>
            </w:tcBorders>
          </w:tcPr>
          <w:p w14:paraId="52328F11" w14:textId="4A76C067" w:rsidR="005B55F2" w:rsidRPr="006C4BE0" w:rsidRDefault="00CC034B" w:rsidP="006C4BE0">
            <w:pPr>
              <w:spacing w:line="480" w:lineRule="auto"/>
              <w:jc w:val="center"/>
              <w:rPr>
                <w:sz w:val="24"/>
                <w:szCs w:val="24"/>
              </w:rPr>
            </w:pPr>
            <w:r w:rsidRPr="08D4D6A2">
              <w:rPr>
                <w:i/>
                <w:iCs/>
              </w:rPr>
              <w:t>n</w:t>
            </w:r>
          </w:p>
        </w:tc>
        <w:tc>
          <w:tcPr>
            <w:tcW w:w="1134" w:type="dxa"/>
            <w:tcBorders>
              <w:top w:val="single" w:sz="4" w:space="0" w:color="auto"/>
              <w:left w:val="nil"/>
              <w:bottom w:val="nil"/>
              <w:right w:val="nil"/>
            </w:tcBorders>
          </w:tcPr>
          <w:p w14:paraId="78A75B09" w14:textId="77777777" w:rsidR="005B55F2" w:rsidRPr="006C4BE0" w:rsidRDefault="005B55F2" w:rsidP="006C4BE0">
            <w:pPr>
              <w:spacing w:line="480" w:lineRule="auto"/>
              <w:jc w:val="center"/>
              <w:rPr>
                <w:sz w:val="24"/>
                <w:szCs w:val="24"/>
              </w:rPr>
            </w:pPr>
            <w:r w:rsidRPr="08D4D6A2">
              <w:rPr>
                <w:i/>
                <w:iCs/>
              </w:rPr>
              <w:t xml:space="preserve">M </w:t>
            </w:r>
            <w:r w:rsidRPr="0031117D">
              <w:t>(min)</w:t>
            </w:r>
          </w:p>
        </w:tc>
        <w:tc>
          <w:tcPr>
            <w:tcW w:w="1242" w:type="dxa"/>
            <w:tcBorders>
              <w:top w:val="single" w:sz="4" w:space="0" w:color="auto"/>
              <w:left w:val="nil"/>
              <w:bottom w:val="nil"/>
              <w:right w:val="nil"/>
            </w:tcBorders>
          </w:tcPr>
          <w:p w14:paraId="475C5CA2" w14:textId="77777777" w:rsidR="005B55F2" w:rsidRPr="006C4BE0" w:rsidRDefault="005B55F2" w:rsidP="006C4BE0">
            <w:pPr>
              <w:spacing w:line="480" w:lineRule="auto"/>
              <w:jc w:val="center"/>
              <w:rPr>
                <w:sz w:val="24"/>
                <w:szCs w:val="24"/>
              </w:rPr>
            </w:pPr>
            <w:r w:rsidRPr="08D4D6A2">
              <w:rPr>
                <w:i/>
                <w:iCs/>
              </w:rPr>
              <w:t xml:space="preserve">SD </w:t>
            </w:r>
            <w:r w:rsidRPr="0031117D">
              <w:t>(min)</w:t>
            </w:r>
          </w:p>
        </w:tc>
        <w:tc>
          <w:tcPr>
            <w:tcW w:w="601" w:type="dxa"/>
            <w:tcBorders>
              <w:top w:val="single" w:sz="4" w:space="0" w:color="auto"/>
              <w:left w:val="nil"/>
              <w:bottom w:val="nil"/>
              <w:right w:val="nil"/>
            </w:tcBorders>
          </w:tcPr>
          <w:p w14:paraId="3D5A9023" w14:textId="77777777" w:rsidR="005B55F2" w:rsidRPr="008406E5" w:rsidRDefault="005B55F2" w:rsidP="0031117D">
            <w:pPr>
              <w:spacing w:line="480" w:lineRule="auto"/>
              <w:jc w:val="center"/>
              <w:rPr>
                <w:bCs/>
                <w:i/>
                <w:iCs/>
                <w:sz w:val="24"/>
                <w:szCs w:val="24"/>
              </w:rPr>
            </w:pPr>
          </w:p>
        </w:tc>
        <w:tc>
          <w:tcPr>
            <w:tcW w:w="709" w:type="dxa"/>
            <w:tcBorders>
              <w:top w:val="single" w:sz="4" w:space="0" w:color="auto"/>
              <w:left w:val="nil"/>
              <w:bottom w:val="nil"/>
              <w:right w:val="nil"/>
            </w:tcBorders>
          </w:tcPr>
          <w:p w14:paraId="56586E06" w14:textId="48C013AC" w:rsidR="005B55F2" w:rsidRPr="006C4BE0" w:rsidRDefault="00CC034B" w:rsidP="006C4BE0">
            <w:pPr>
              <w:spacing w:line="480" w:lineRule="auto"/>
              <w:jc w:val="center"/>
              <w:rPr>
                <w:sz w:val="24"/>
                <w:szCs w:val="24"/>
              </w:rPr>
            </w:pPr>
            <w:r w:rsidRPr="08D4D6A2">
              <w:rPr>
                <w:i/>
                <w:iCs/>
              </w:rPr>
              <w:t>n</w:t>
            </w:r>
          </w:p>
        </w:tc>
        <w:tc>
          <w:tcPr>
            <w:tcW w:w="1134" w:type="dxa"/>
            <w:tcBorders>
              <w:top w:val="single" w:sz="4" w:space="0" w:color="auto"/>
              <w:left w:val="nil"/>
              <w:bottom w:val="nil"/>
              <w:right w:val="nil"/>
            </w:tcBorders>
          </w:tcPr>
          <w:p w14:paraId="1981B7D2" w14:textId="77777777" w:rsidR="005B55F2" w:rsidRPr="006C4BE0" w:rsidRDefault="005B55F2" w:rsidP="006C4BE0">
            <w:pPr>
              <w:spacing w:line="480" w:lineRule="auto"/>
              <w:jc w:val="center"/>
              <w:rPr>
                <w:i/>
                <w:iCs/>
                <w:sz w:val="24"/>
                <w:szCs w:val="24"/>
              </w:rPr>
            </w:pPr>
            <w:r w:rsidRPr="08D4D6A2">
              <w:rPr>
                <w:i/>
                <w:iCs/>
              </w:rPr>
              <w:t xml:space="preserve">M </w:t>
            </w:r>
            <w:r w:rsidRPr="0031117D">
              <w:t>(min)</w:t>
            </w:r>
          </w:p>
        </w:tc>
        <w:tc>
          <w:tcPr>
            <w:tcW w:w="1134" w:type="dxa"/>
            <w:tcBorders>
              <w:top w:val="single" w:sz="4" w:space="0" w:color="auto"/>
              <w:left w:val="nil"/>
              <w:bottom w:val="nil"/>
              <w:right w:val="nil"/>
            </w:tcBorders>
          </w:tcPr>
          <w:p w14:paraId="2075AC63" w14:textId="77777777" w:rsidR="005B55F2" w:rsidRPr="006C4BE0" w:rsidRDefault="005B55F2" w:rsidP="006C4BE0">
            <w:pPr>
              <w:spacing w:line="480" w:lineRule="auto"/>
              <w:jc w:val="center"/>
              <w:rPr>
                <w:i/>
                <w:iCs/>
                <w:sz w:val="24"/>
                <w:szCs w:val="24"/>
              </w:rPr>
            </w:pPr>
            <w:r w:rsidRPr="08D4D6A2">
              <w:rPr>
                <w:i/>
                <w:iCs/>
              </w:rPr>
              <w:t xml:space="preserve">SD </w:t>
            </w:r>
            <w:r w:rsidRPr="0031117D">
              <w:t>(min)</w:t>
            </w:r>
          </w:p>
        </w:tc>
      </w:tr>
      <w:tr w:rsidR="005B55F2" w:rsidRPr="008406E5" w14:paraId="7BEF649E" w14:textId="77777777" w:rsidTr="006C4BE0">
        <w:trPr>
          <w:trHeight w:val="490"/>
        </w:trPr>
        <w:tc>
          <w:tcPr>
            <w:tcW w:w="3124" w:type="dxa"/>
            <w:tcBorders>
              <w:top w:val="nil"/>
              <w:left w:val="nil"/>
              <w:bottom w:val="nil"/>
              <w:right w:val="nil"/>
            </w:tcBorders>
            <w:vAlign w:val="center"/>
          </w:tcPr>
          <w:p w14:paraId="3D303691" w14:textId="77777777" w:rsidR="005B55F2" w:rsidRPr="006C4BE0" w:rsidRDefault="005B55F2" w:rsidP="006C4BE0">
            <w:pPr>
              <w:spacing w:line="480" w:lineRule="auto"/>
              <w:rPr>
                <w:sz w:val="24"/>
                <w:szCs w:val="24"/>
              </w:rPr>
            </w:pPr>
            <w:r w:rsidRPr="0031117D">
              <w:t>ABE Video-interview</w:t>
            </w:r>
          </w:p>
        </w:tc>
        <w:tc>
          <w:tcPr>
            <w:tcW w:w="709" w:type="dxa"/>
            <w:tcBorders>
              <w:top w:val="nil"/>
              <w:left w:val="nil"/>
              <w:bottom w:val="nil"/>
              <w:right w:val="nil"/>
            </w:tcBorders>
            <w:vAlign w:val="center"/>
          </w:tcPr>
          <w:p w14:paraId="7DAA1CA2" w14:textId="77777777" w:rsidR="005B55F2" w:rsidRPr="008406E5" w:rsidRDefault="005B55F2" w:rsidP="0031117D">
            <w:pPr>
              <w:spacing w:line="480" w:lineRule="auto"/>
              <w:jc w:val="right"/>
              <w:rPr>
                <w:sz w:val="24"/>
                <w:szCs w:val="24"/>
              </w:rPr>
            </w:pPr>
            <w:r w:rsidRPr="008406E5">
              <w:rPr>
                <w:sz w:val="24"/>
                <w:szCs w:val="24"/>
              </w:rPr>
              <w:t>41</w:t>
            </w:r>
          </w:p>
        </w:tc>
        <w:tc>
          <w:tcPr>
            <w:tcW w:w="1134" w:type="dxa"/>
            <w:tcBorders>
              <w:top w:val="nil"/>
              <w:left w:val="nil"/>
              <w:bottom w:val="nil"/>
              <w:right w:val="nil"/>
            </w:tcBorders>
            <w:vAlign w:val="center"/>
          </w:tcPr>
          <w:p w14:paraId="02196964" w14:textId="77777777" w:rsidR="005B55F2" w:rsidRPr="008406E5" w:rsidRDefault="005B55F2" w:rsidP="0031117D">
            <w:pPr>
              <w:spacing w:line="480" w:lineRule="auto"/>
              <w:jc w:val="right"/>
              <w:rPr>
                <w:sz w:val="24"/>
                <w:szCs w:val="24"/>
              </w:rPr>
            </w:pPr>
            <w:r w:rsidRPr="008406E5">
              <w:rPr>
                <w:sz w:val="24"/>
                <w:szCs w:val="24"/>
              </w:rPr>
              <w:t>46.68</w:t>
            </w:r>
          </w:p>
        </w:tc>
        <w:tc>
          <w:tcPr>
            <w:tcW w:w="1242" w:type="dxa"/>
            <w:tcBorders>
              <w:top w:val="nil"/>
              <w:left w:val="nil"/>
              <w:bottom w:val="nil"/>
              <w:right w:val="nil"/>
            </w:tcBorders>
            <w:vAlign w:val="center"/>
          </w:tcPr>
          <w:p w14:paraId="23ECE298" w14:textId="77777777" w:rsidR="005B55F2" w:rsidRPr="008406E5" w:rsidRDefault="005B55F2" w:rsidP="0031117D">
            <w:pPr>
              <w:spacing w:line="480" w:lineRule="auto"/>
              <w:jc w:val="right"/>
              <w:rPr>
                <w:sz w:val="24"/>
                <w:szCs w:val="24"/>
              </w:rPr>
            </w:pPr>
            <w:r w:rsidRPr="008406E5">
              <w:rPr>
                <w:sz w:val="24"/>
                <w:szCs w:val="24"/>
              </w:rPr>
              <w:t>22.35</w:t>
            </w:r>
          </w:p>
        </w:tc>
        <w:tc>
          <w:tcPr>
            <w:tcW w:w="601" w:type="dxa"/>
            <w:tcBorders>
              <w:top w:val="nil"/>
              <w:left w:val="nil"/>
              <w:bottom w:val="nil"/>
              <w:right w:val="nil"/>
            </w:tcBorders>
            <w:vAlign w:val="center"/>
          </w:tcPr>
          <w:p w14:paraId="51BD9CB7" w14:textId="77777777" w:rsidR="005B55F2" w:rsidRPr="008406E5" w:rsidRDefault="005B55F2" w:rsidP="0031117D">
            <w:pPr>
              <w:spacing w:line="480" w:lineRule="auto"/>
              <w:jc w:val="right"/>
              <w:rPr>
                <w:sz w:val="24"/>
                <w:szCs w:val="24"/>
              </w:rPr>
            </w:pPr>
          </w:p>
        </w:tc>
        <w:tc>
          <w:tcPr>
            <w:tcW w:w="709" w:type="dxa"/>
            <w:tcBorders>
              <w:top w:val="nil"/>
              <w:left w:val="nil"/>
              <w:bottom w:val="nil"/>
              <w:right w:val="nil"/>
            </w:tcBorders>
            <w:vAlign w:val="center"/>
          </w:tcPr>
          <w:p w14:paraId="7231EB80" w14:textId="77777777" w:rsidR="005B55F2" w:rsidRPr="008406E5" w:rsidRDefault="005B55F2" w:rsidP="0031117D">
            <w:pPr>
              <w:spacing w:line="480" w:lineRule="auto"/>
              <w:jc w:val="right"/>
              <w:rPr>
                <w:sz w:val="24"/>
                <w:szCs w:val="24"/>
              </w:rPr>
            </w:pPr>
            <w:r w:rsidRPr="008406E5">
              <w:rPr>
                <w:sz w:val="24"/>
                <w:szCs w:val="24"/>
              </w:rPr>
              <w:t>43</w:t>
            </w:r>
          </w:p>
        </w:tc>
        <w:tc>
          <w:tcPr>
            <w:tcW w:w="1134" w:type="dxa"/>
            <w:tcBorders>
              <w:top w:val="nil"/>
              <w:left w:val="nil"/>
              <w:bottom w:val="nil"/>
              <w:right w:val="nil"/>
            </w:tcBorders>
            <w:vAlign w:val="center"/>
          </w:tcPr>
          <w:p w14:paraId="0024713C" w14:textId="77777777" w:rsidR="005B55F2" w:rsidRPr="008406E5" w:rsidRDefault="005B55F2" w:rsidP="0031117D">
            <w:pPr>
              <w:spacing w:line="480" w:lineRule="auto"/>
              <w:jc w:val="right"/>
              <w:rPr>
                <w:sz w:val="24"/>
                <w:szCs w:val="24"/>
              </w:rPr>
            </w:pPr>
            <w:r w:rsidRPr="008406E5">
              <w:rPr>
                <w:sz w:val="24"/>
                <w:szCs w:val="24"/>
              </w:rPr>
              <w:t>46.58</w:t>
            </w:r>
          </w:p>
        </w:tc>
        <w:tc>
          <w:tcPr>
            <w:tcW w:w="1134" w:type="dxa"/>
            <w:tcBorders>
              <w:top w:val="nil"/>
              <w:left w:val="nil"/>
              <w:bottom w:val="nil"/>
              <w:right w:val="nil"/>
            </w:tcBorders>
            <w:vAlign w:val="center"/>
          </w:tcPr>
          <w:p w14:paraId="1118B549" w14:textId="77777777" w:rsidR="005B55F2" w:rsidRPr="008406E5" w:rsidRDefault="005B55F2" w:rsidP="0031117D">
            <w:pPr>
              <w:spacing w:line="480" w:lineRule="auto"/>
              <w:jc w:val="right"/>
              <w:rPr>
                <w:sz w:val="24"/>
                <w:szCs w:val="24"/>
              </w:rPr>
            </w:pPr>
            <w:r w:rsidRPr="008406E5">
              <w:rPr>
                <w:sz w:val="24"/>
                <w:szCs w:val="24"/>
              </w:rPr>
              <w:t>18.41</w:t>
            </w:r>
          </w:p>
        </w:tc>
      </w:tr>
      <w:tr w:rsidR="005B55F2" w:rsidRPr="008406E5" w14:paraId="78D5BA2D" w14:textId="77777777" w:rsidTr="006C4BE0">
        <w:trPr>
          <w:trHeight w:val="490"/>
        </w:trPr>
        <w:tc>
          <w:tcPr>
            <w:tcW w:w="3124" w:type="dxa"/>
            <w:tcBorders>
              <w:top w:val="nil"/>
              <w:left w:val="nil"/>
              <w:bottom w:val="nil"/>
              <w:right w:val="nil"/>
            </w:tcBorders>
            <w:vAlign w:val="center"/>
          </w:tcPr>
          <w:p w14:paraId="29F40B53" w14:textId="77777777" w:rsidR="005B55F2" w:rsidRPr="006C4BE0" w:rsidRDefault="005B55F2" w:rsidP="006C4BE0">
            <w:pPr>
              <w:spacing w:line="480" w:lineRule="auto"/>
              <w:rPr>
                <w:sz w:val="24"/>
                <w:szCs w:val="24"/>
              </w:rPr>
            </w:pPr>
            <w:r w:rsidRPr="0031117D">
              <w:t xml:space="preserve">Ground Rules Hearing </w:t>
            </w:r>
          </w:p>
        </w:tc>
        <w:tc>
          <w:tcPr>
            <w:tcW w:w="709" w:type="dxa"/>
            <w:tcBorders>
              <w:top w:val="nil"/>
              <w:left w:val="nil"/>
              <w:bottom w:val="nil"/>
              <w:right w:val="nil"/>
            </w:tcBorders>
            <w:vAlign w:val="center"/>
          </w:tcPr>
          <w:p w14:paraId="126339DC" w14:textId="77777777" w:rsidR="005B55F2" w:rsidRPr="008406E5" w:rsidRDefault="005B55F2" w:rsidP="0031117D">
            <w:pPr>
              <w:spacing w:line="480" w:lineRule="auto"/>
              <w:jc w:val="right"/>
              <w:rPr>
                <w:sz w:val="24"/>
                <w:szCs w:val="24"/>
              </w:rPr>
            </w:pPr>
            <w:r w:rsidRPr="008406E5">
              <w:rPr>
                <w:sz w:val="24"/>
                <w:szCs w:val="24"/>
              </w:rPr>
              <w:t>6</w:t>
            </w:r>
          </w:p>
        </w:tc>
        <w:tc>
          <w:tcPr>
            <w:tcW w:w="1134" w:type="dxa"/>
            <w:tcBorders>
              <w:top w:val="nil"/>
              <w:left w:val="nil"/>
              <w:bottom w:val="nil"/>
              <w:right w:val="nil"/>
            </w:tcBorders>
            <w:vAlign w:val="center"/>
          </w:tcPr>
          <w:p w14:paraId="03AF6413" w14:textId="77777777" w:rsidR="005B55F2" w:rsidRPr="008406E5" w:rsidRDefault="005B55F2" w:rsidP="0031117D">
            <w:pPr>
              <w:spacing w:line="480" w:lineRule="auto"/>
              <w:jc w:val="right"/>
              <w:rPr>
                <w:sz w:val="24"/>
                <w:szCs w:val="24"/>
              </w:rPr>
            </w:pPr>
            <w:r w:rsidRPr="008406E5">
              <w:rPr>
                <w:sz w:val="24"/>
                <w:szCs w:val="24"/>
              </w:rPr>
              <w:t>23.67</w:t>
            </w:r>
          </w:p>
        </w:tc>
        <w:tc>
          <w:tcPr>
            <w:tcW w:w="1242" w:type="dxa"/>
            <w:tcBorders>
              <w:top w:val="nil"/>
              <w:left w:val="nil"/>
              <w:bottom w:val="nil"/>
              <w:right w:val="nil"/>
            </w:tcBorders>
            <w:vAlign w:val="center"/>
          </w:tcPr>
          <w:p w14:paraId="7A9ED463" w14:textId="77777777" w:rsidR="005B55F2" w:rsidRPr="008406E5" w:rsidRDefault="005B55F2" w:rsidP="0031117D">
            <w:pPr>
              <w:spacing w:line="480" w:lineRule="auto"/>
              <w:jc w:val="right"/>
              <w:rPr>
                <w:sz w:val="24"/>
                <w:szCs w:val="24"/>
              </w:rPr>
            </w:pPr>
            <w:r w:rsidRPr="008406E5">
              <w:rPr>
                <w:sz w:val="24"/>
                <w:szCs w:val="24"/>
              </w:rPr>
              <w:t>22.67</w:t>
            </w:r>
          </w:p>
        </w:tc>
        <w:tc>
          <w:tcPr>
            <w:tcW w:w="601" w:type="dxa"/>
            <w:tcBorders>
              <w:top w:val="nil"/>
              <w:left w:val="nil"/>
              <w:bottom w:val="nil"/>
              <w:right w:val="nil"/>
            </w:tcBorders>
            <w:vAlign w:val="center"/>
          </w:tcPr>
          <w:p w14:paraId="3A46CF9A" w14:textId="77777777" w:rsidR="005B55F2" w:rsidRPr="008406E5" w:rsidRDefault="005B55F2" w:rsidP="0031117D">
            <w:pPr>
              <w:spacing w:line="480" w:lineRule="auto"/>
              <w:jc w:val="right"/>
              <w:rPr>
                <w:sz w:val="24"/>
                <w:szCs w:val="24"/>
              </w:rPr>
            </w:pPr>
          </w:p>
        </w:tc>
        <w:tc>
          <w:tcPr>
            <w:tcW w:w="709" w:type="dxa"/>
            <w:tcBorders>
              <w:top w:val="nil"/>
              <w:left w:val="nil"/>
              <w:bottom w:val="nil"/>
              <w:right w:val="nil"/>
            </w:tcBorders>
            <w:vAlign w:val="center"/>
          </w:tcPr>
          <w:p w14:paraId="499727AD" w14:textId="77777777" w:rsidR="005B55F2" w:rsidRPr="008406E5" w:rsidRDefault="005B55F2" w:rsidP="0031117D">
            <w:pPr>
              <w:spacing w:line="480" w:lineRule="auto"/>
              <w:jc w:val="right"/>
              <w:rPr>
                <w:sz w:val="24"/>
                <w:szCs w:val="24"/>
              </w:rPr>
            </w:pPr>
            <w:r w:rsidRPr="008406E5">
              <w:rPr>
                <w:sz w:val="24"/>
                <w:szCs w:val="24"/>
              </w:rPr>
              <w:t>43</w:t>
            </w:r>
          </w:p>
        </w:tc>
        <w:tc>
          <w:tcPr>
            <w:tcW w:w="1134" w:type="dxa"/>
            <w:tcBorders>
              <w:top w:val="nil"/>
              <w:left w:val="nil"/>
              <w:bottom w:val="nil"/>
              <w:right w:val="nil"/>
            </w:tcBorders>
            <w:vAlign w:val="center"/>
          </w:tcPr>
          <w:p w14:paraId="46DA04CB" w14:textId="77777777" w:rsidR="005B55F2" w:rsidRPr="008406E5" w:rsidRDefault="005B55F2" w:rsidP="0031117D">
            <w:pPr>
              <w:spacing w:line="480" w:lineRule="auto"/>
              <w:jc w:val="right"/>
              <w:rPr>
                <w:sz w:val="24"/>
                <w:szCs w:val="24"/>
              </w:rPr>
            </w:pPr>
            <w:r w:rsidRPr="008406E5">
              <w:rPr>
                <w:sz w:val="24"/>
                <w:szCs w:val="24"/>
              </w:rPr>
              <w:t>29.12</w:t>
            </w:r>
          </w:p>
        </w:tc>
        <w:tc>
          <w:tcPr>
            <w:tcW w:w="1134" w:type="dxa"/>
            <w:tcBorders>
              <w:top w:val="nil"/>
              <w:left w:val="nil"/>
              <w:bottom w:val="nil"/>
              <w:right w:val="nil"/>
            </w:tcBorders>
            <w:vAlign w:val="center"/>
          </w:tcPr>
          <w:p w14:paraId="34F6BDA2" w14:textId="77777777" w:rsidR="005B55F2" w:rsidRPr="008406E5" w:rsidRDefault="005B55F2" w:rsidP="0031117D">
            <w:pPr>
              <w:spacing w:line="480" w:lineRule="auto"/>
              <w:jc w:val="right"/>
              <w:rPr>
                <w:sz w:val="24"/>
                <w:szCs w:val="24"/>
              </w:rPr>
            </w:pPr>
            <w:r w:rsidRPr="008406E5">
              <w:rPr>
                <w:sz w:val="24"/>
                <w:szCs w:val="24"/>
              </w:rPr>
              <w:t>39.90</w:t>
            </w:r>
          </w:p>
        </w:tc>
      </w:tr>
      <w:tr w:rsidR="005B55F2" w:rsidRPr="008406E5" w14:paraId="42F3559C" w14:textId="77777777" w:rsidTr="006C4BE0">
        <w:trPr>
          <w:trHeight w:val="490"/>
        </w:trPr>
        <w:tc>
          <w:tcPr>
            <w:tcW w:w="3124" w:type="dxa"/>
            <w:tcBorders>
              <w:top w:val="nil"/>
              <w:left w:val="nil"/>
              <w:bottom w:val="nil"/>
              <w:right w:val="nil"/>
            </w:tcBorders>
            <w:vAlign w:val="center"/>
          </w:tcPr>
          <w:p w14:paraId="3A5457BE" w14:textId="77777777" w:rsidR="005B55F2" w:rsidRPr="006C4BE0" w:rsidRDefault="005B55F2" w:rsidP="006C4BE0">
            <w:pPr>
              <w:spacing w:line="480" w:lineRule="auto"/>
              <w:rPr>
                <w:sz w:val="24"/>
                <w:szCs w:val="24"/>
              </w:rPr>
            </w:pPr>
            <w:r w:rsidRPr="0031117D">
              <w:t xml:space="preserve">Additional Direct-examination </w:t>
            </w:r>
            <w:r w:rsidRPr="08D4D6A2">
              <w:rPr>
                <w:i/>
                <w:iCs/>
                <w:vertAlign w:val="superscript"/>
              </w:rPr>
              <w:t>a</w:t>
            </w:r>
          </w:p>
        </w:tc>
        <w:tc>
          <w:tcPr>
            <w:tcW w:w="709" w:type="dxa"/>
            <w:tcBorders>
              <w:top w:val="nil"/>
              <w:left w:val="nil"/>
              <w:bottom w:val="nil"/>
              <w:right w:val="nil"/>
            </w:tcBorders>
            <w:vAlign w:val="center"/>
          </w:tcPr>
          <w:p w14:paraId="50B6F68E" w14:textId="77777777" w:rsidR="005B55F2" w:rsidRPr="008406E5" w:rsidRDefault="005B55F2" w:rsidP="0031117D">
            <w:pPr>
              <w:spacing w:line="480" w:lineRule="auto"/>
              <w:jc w:val="right"/>
              <w:rPr>
                <w:sz w:val="24"/>
                <w:szCs w:val="24"/>
              </w:rPr>
            </w:pPr>
            <w:r w:rsidRPr="008406E5">
              <w:rPr>
                <w:sz w:val="24"/>
                <w:szCs w:val="24"/>
              </w:rPr>
              <w:t>19</w:t>
            </w:r>
          </w:p>
        </w:tc>
        <w:tc>
          <w:tcPr>
            <w:tcW w:w="1134" w:type="dxa"/>
            <w:tcBorders>
              <w:top w:val="nil"/>
              <w:left w:val="nil"/>
              <w:bottom w:val="nil"/>
              <w:right w:val="nil"/>
            </w:tcBorders>
            <w:vAlign w:val="center"/>
          </w:tcPr>
          <w:p w14:paraId="161D79F5" w14:textId="77777777" w:rsidR="005B55F2" w:rsidRPr="008406E5" w:rsidRDefault="005B55F2" w:rsidP="0031117D">
            <w:pPr>
              <w:spacing w:line="480" w:lineRule="auto"/>
              <w:jc w:val="right"/>
              <w:rPr>
                <w:sz w:val="24"/>
                <w:szCs w:val="24"/>
              </w:rPr>
            </w:pPr>
            <w:r w:rsidRPr="008406E5">
              <w:rPr>
                <w:sz w:val="24"/>
                <w:szCs w:val="24"/>
              </w:rPr>
              <w:t>9.75</w:t>
            </w:r>
          </w:p>
        </w:tc>
        <w:tc>
          <w:tcPr>
            <w:tcW w:w="1242" w:type="dxa"/>
            <w:tcBorders>
              <w:top w:val="nil"/>
              <w:left w:val="nil"/>
              <w:bottom w:val="nil"/>
              <w:right w:val="nil"/>
            </w:tcBorders>
            <w:vAlign w:val="center"/>
          </w:tcPr>
          <w:p w14:paraId="03DC73B7" w14:textId="77777777" w:rsidR="005B55F2" w:rsidRPr="008406E5" w:rsidRDefault="005B55F2" w:rsidP="0031117D">
            <w:pPr>
              <w:spacing w:line="480" w:lineRule="auto"/>
              <w:jc w:val="right"/>
              <w:rPr>
                <w:sz w:val="24"/>
                <w:szCs w:val="24"/>
              </w:rPr>
            </w:pPr>
            <w:r w:rsidRPr="008406E5">
              <w:rPr>
                <w:sz w:val="24"/>
                <w:szCs w:val="24"/>
              </w:rPr>
              <w:t>14.40</w:t>
            </w:r>
          </w:p>
        </w:tc>
        <w:tc>
          <w:tcPr>
            <w:tcW w:w="601" w:type="dxa"/>
            <w:tcBorders>
              <w:top w:val="nil"/>
              <w:left w:val="nil"/>
              <w:bottom w:val="nil"/>
              <w:right w:val="nil"/>
            </w:tcBorders>
            <w:vAlign w:val="center"/>
          </w:tcPr>
          <w:p w14:paraId="3B4FE070" w14:textId="77777777" w:rsidR="005B55F2" w:rsidRPr="008406E5" w:rsidRDefault="005B55F2" w:rsidP="0031117D">
            <w:pPr>
              <w:spacing w:line="480" w:lineRule="auto"/>
              <w:jc w:val="right"/>
              <w:rPr>
                <w:sz w:val="24"/>
                <w:szCs w:val="24"/>
              </w:rPr>
            </w:pPr>
          </w:p>
        </w:tc>
        <w:tc>
          <w:tcPr>
            <w:tcW w:w="709" w:type="dxa"/>
            <w:tcBorders>
              <w:top w:val="nil"/>
              <w:left w:val="nil"/>
              <w:bottom w:val="nil"/>
              <w:right w:val="nil"/>
            </w:tcBorders>
            <w:vAlign w:val="center"/>
          </w:tcPr>
          <w:p w14:paraId="026201EE" w14:textId="77777777" w:rsidR="005B55F2" w:rsidRPr="008406E5" w:rsidRDefault="005B55F2" w:rsidP="0031117D">
            <w:pPr>
              <w:spacing w:line="480" w:lineRule="auto"/>
              <w:jc w:val="right"/>
              <w:rPr>
                <w:sz w:val="24"/>
                <w:szCs w:val="24"/>
              </w:rPr>
            </w:pPr>
            <w:r w:rsidRPr="008406E5">
              <w:rPr>
                <w:sz w:val="24"/>
                <w:szCs w:val="24"/>
              </w:rPr>
              <w:t>3</w:t>
            </w:r>
          </w:p>
        </w:tc>
        <w:tc>
          <w:tcPr>
            <w:tcW w:w="1134" w:type="dxa"/>
            <w:tcBorders>
              <w:top w:val="nil"/>
              <w:left w:val="nil"/>
              <w:bottom w:val="nil"/>
              <w:right w:val="nil"/>
            </w:tcBorders>
            <w:vAlign w:val="center"/>
          </w:tcPr>
          <w:p w14:paraId="04F0C7C1" w14:textId="77777777" w:rsidR="005B55F2" w:rsidRPr="008406E5" w:rsidRDefault="005B55F2" w:rsidP="0031117D">
            <w:pPr>
              <w:spacing w:line="480" w:lineRule="auto"/>
              <w:jc w:val="right"/>
              <w:rPr>
                <w:sz w:val="24"/>
                <w:szCs w:val="24"/>
              </w:rPr>
            </w:pPr>
            <w:r w:rsidRPr="008406E5">
              <w:rPr>
                <w:sz w:val="24"/>
                <w:szCs w:val="24"/>
              </w:rPr>
              <w:t>1.80</w:t>
            </w:r>
          </w:p>
        </w:tc>
        <w:tc>
          <w:tcPr>
            <w:tcW w:w="1134" w:type="dxa"/>
            <w:tcBorders>
              <w:top w:val="nil"/>
              <w:left w:val="nil"/>
              <w:bottom w:val="nil"/>
              <w:right w:val="nil"/>
            </w:tcBorders>
            <w:vAlign w:val="center"/>
          </w:tcPr>
          <w:p w14:paraId="242BE4C0" w14:textId="77777777" w:rsidR="005B55F2" w:rsidRPr="008406E5" w:rsidRDefault="005B55F2" w:rsidP="0031117D">
            <w:pPr>
              <w:spacing w:line="480" w:lineRule="auto"/>
              <w:jc w:val="right"/>
              <w:rPr>
                <w:sz w:val="24"/>
                <w:szCs w:val="24"/>
              </w:rPr>
            </w:pPr>
            <w:r w:rsidRPr="008406E5">
              <w:rPr>
                <w:sz w:val="24"/>
                <w:szCs w:val="24"/>
              </w:rPr>
              <w:t>1.30</w:t>
            </w:r>
          </w:p>
        </w:tc>
      </w:tr>
      <w:tr w:rsidR="005B55F2" w:rsidRPr="008406E5" w14:paraId="0F03CC2F" w14:textId="77777777" w:rsidTr="006C4BE0">
        <w:trPr>
          <w:trHeight w:val="490"/>
        </w:trPr>
        <w:tc>
          <w:tcPr>
            <w:tcW w:w="3124" w:type="dxa"/>
            <w:tcBorders>
              <w:top w:val="nil"/>
              <w:left w:val="nil"/>
              <w:bottom w:val="nil"/>
              <w:right w:val="nil"/>
            </w:tcBorders>
            <w:vAlign w:val="center"/>
          </w:tcPr>
          <w:p w14:paraId="0C281149" w14:textId="77777777" w:rsidR="005B55F2" w:rsidRPr="006C4BE0" w:rsidRDefault="005B55F2" w:rsidP="006C4BE0">
            <w:pPr>
              <w:spacing w:line="480" w:lineRule="auto"/>
              <w:rPr>
                <w:sz w:val="24"/>
                <w:szCs w:val="24"/>
              </w:rPr>
            </w:pPr>
            <w:r w:rsidRPr="0031117D">
              <w:t>Cross-examination</w:t>
            </w:r>
          </w:p>
        </w:tc>
        <w:tc>
          <w:tcPr>
            <w:tcW w:w="709" w:type="dxa"/>
            <w:tcBorders>
              <w:top w:val="nil"/>
              <w:left w:val="nil"/>
              <w:bottom w:val="nil"/>
              <w:right w:val="nil"/>
            </w:tcBorders>
            <w:vAlign w:val="center"/>
          </w:tcPr>
          <w:p w14:paraId="782BE3F3" w14:textId="77777777" w:rsidR="005B55F2" w:rsidRPr="008406E5" w:rsidRDefault="005B55F2" w:rsidP="0031117D">
            <w:pPr>
              <w:spacing w:line="480" w:lineRule="auto"/>
              <w:jc w:val="right"/>
              <w:rPr>
                <w:sz w:val="24"/>
                <w:szCs w:val="24"/>
              </w:rPr>
            </w:pPr>
            <w:r w:rsidRPr="008406E5">
              <w:rPr>
                <w:sz w:val="24"/>
                <w:szCs w:val="24"/>
              </w:rPr>
              <w:t>44</w:t>
            </w:r>
          </w:p>
        </w:tc>
        <w:tc>
          <w:tcPr>
            <w:tcW w:w="1134" w:type="dxa"/>
            <w:tcBorders>
              <w:top w:val="nil"/>
              <w:left w:val="nil"/>
              <w:bottom w:val="nil"/>
              <w:right w:val="nil"/>
            </w:tcBorders>
            <w:vAlign w:val="center"/>
          </w:tcPr>
          <w:p w14:paraId="46D4D797" w14:textId="77777777" w:rsidR="005B55F2" w:rsidRPr="008406E5" w:rsidRDefault="005B55F2" w:rsidP="0031117D">
            <w:pPr>
              <w:spacing w:line="480" w:lineRule="auto"/>
              <w:jc w:val="right"/>
              <w:rPr>
                <w:sz w:val="24"/>
                <w:szCs w:val="24"/>
              </w:rPr>
            </w:pPr>
            <w:r w:rsidRPr="008406E5">
              <w:rPr>
                <w:sz w:val="24"/>
                <w:szCs w:val="24"/>
              </w:rPr>
              <w:t>27.76</w:t>
            </w:r>
          </w:p>
        </w:tc>
        <w:tc>
          <w:tcPr>
            <w:tcW w:w="1242" w:type="dxa"/>
            <w:tcBorders>
              <w:top w:val="nil"/>
              <w:left w:val="nil"/>
              <w:bottom w:val="nil"/>
              <w:right w:val="nil"/>
            </w:tcBorders>
            <w:vAlign w:val="center"/>
          </w:tcPr>
          <w:p w14:paraId="6E5F8E80" w14:textId="77777777" w:rsidR="005B55F2" w:rsidRPr="008406E5" w:rsidRDefault="005B55F2" w:rsidP="0031117D">
            <w:pPr>
              <w:spacing w:line="480" w:lineRule="auto"/>
              <w:jc w:val="right"/>
              <w:rPr>
                <w:sz w:val="24"/>
                <w:szCs w:val="24"/>
              </w:rPr>
            </w:pPr>
            <w:r w:rsidRPr="008406E5">
              <w:rPr>
                <w:sz w:val="24"/>
                <w:szCs w:val="24"/>
              </w:rPr>
              <w:t>15.47</w:t>
            </w:r>
          </w:p>
        </w:tc>
        <w:tc>
          <w:tcPr>
            <w:tcW w:w="601" w:type="dxa"/>
            <w:tcBorders>
              <w:top w:val="nil"/>
              <w:left w:val="nil"/>
              <w:bottom w:val="nil"/>
              <w:right w:val="nil"/>
            </w:tcBorders>
            <w:vAlign w:val="center"/>
          </w:tcPr>
          <w:p w14:paraId="62EAABC0" w14:textId="77777777" w:rsidR="005B55F2" w:rsidRPr="008406E5" w:rsidRDefault="005B55F2" w:rsidP="0031117D">
            <w:pPr>
              <w:spacing w:line="480" w:lineRule="auto"/>
              <w:jc w:val="right"/>
              <w:rPr>
                <w:sz w:val="24"/>
                <w:szCs w:val="24"/>
              </w:rPr>
            </w:pPr>
          </w:p>
        </w:tc>
        <w:tc>
          <w:tcPr>
            <w:tcW w:w="709" w:type="dxa"/>
            <w:tcBorders>
              <w:top w:val="nil"/>
              <w:left w:val="nil"/>
              <w:bottom w:val="nil"/>
              <w:right w:val="nil"/>
            </w:tcBorders>
            <w:vAlign w:val="center"/>
          </w:tcPr>
          <w:p w14:paraId="5FCBCA47" w14:textId="77777777" w:rsidR="005B55F2" w:rsidRPr="008406E5" w:rsidRDefault="005B55F2" w:rsidP="0031117D">
            <w:pPr>
              <w:spacing w:line="480" w:lineRule="auto"/>
              <w:jc w:val="right"/>
              <w:rPr>
                <w:sz w:val="24"/>
                <w:szCs w:val="24"/>
              </w:rPr>
            </w:pPr>
            <w:r w:rsidRPr="008406E5">
              <w:rPr>
                <w:sz w:val="24"/>
                <w:szCs w:val="24"/>
              </w:rPr>
              <w:t>43</w:t>
            </w:r>
          </w:p>
        </w:tc>
        <w:tc>
          <w:tcPr>
            <w:tcW w:w="1134" w:type="dxa"/>
            <w:tcBorders>
              <w:top w:val="nil"/>
              <w:left w:val="nil"/>
              <w:bottom w:val="nil"/>
              <w:right w:val="nil"/>
            </w:tcBorders>
            <w:vAlign w:val="center"/>
          </w:tcPr>
          <w:p w14:paraId="281BE45B" w14:textId="77777777" w:rsidR="005B55F2" w:rsidRPr="008406E5" w:rsidRDefault="005B55F2" w:rsidP="0031117D">
            <w:pPr>
              <w:spacing w:line="480" w:lineRule="auto"/>
              <w:jc w:val="right"/>
              <w:rPr>
                <w:sz w:val="24"/>
                <w:szCs w:val="24"/>
              </w:rPr>
            </w:pPr>
            <w:r w:rsidRPr="008406E5">
              <w:rPr>
                <w:sz w:val="24"/>
                <w:szCs w:val="24"/>
              </w:rPr>
              <w:t>16.30</w:t>
            </w:r>
          </w:p>
        </w:tc>
        <w:tc>
          <w:tcPr>
            <w:tcW w:w="1134" w:type="dxa"/>
            <w:tcBorders>
              <w:top w:val="nil"/>
              <w:left w:val="nil"/>
              <w:bottom w:val="nil"/>
              <w:right w:val="nil"/>
            </w:tcBorders>
            <w:vAlign w:val="center"/>
          </w:tcPr>
          <w:p w14:paraId="51143360" w14:textId="77777777" w:rsidR="005B55F2" w:rsidRPr="008406E5" w:rsidRDefault="005B55F2" w:rsidP="0031117D">
            <w:pPr>
              <w:spacing w:line="480" w:lineRule="auto"/>
              <w:jc w:val="right"/>
              <w:rPr>
                <w:sz w:val="24"/>
                <w:szCs w:val="24"/>
              </w:rPr>
            </w:pPr>
            <w:r w:rsidRPr="008406E5">
              <w:rPr>
                <w:sz w:val="24"/>
                <w:szCs w:val="24"/>
              </w:rPr>
              <w:t>12.03</w:t>
            </w:r>
          </w:p>
        </w:tc>
      </w:tr>
      <w:tr w:rsidR="005B55F2" w:rsidRPr="008406E5" w14:paraId="60D8A288" w14:textId="77777777" w:rsidTr="006C4BE0">
        <w:trPr>
          <w:trHeight w:val="490"/>
        </w:trPr>
        <w:tc>
          <w:tcPr>
            <w:tcW w:w="3124" w:type="dxa"/>
            <w:tcBorders>
              <w:top w:val="nil"/>
              <w:left w:val="nil"/>
              <w:bottom w:val="nil"/>
              <w:right w:val="nil"/>
            </w:tcBorders>
            <w:vAlign w:val="center"/>
          </w:tcPr>
          <w:p w14:paraId="1FBCE68A" w14:textId="77777777" w:rsidR="005B55F2" w:rsidRPr="006C4BE0" w:rsidRDefault="005B55F2" w:rsidP="006C4BE0">
            <w:pPr>
              <w:spacing w:line="480" w:lineRule="auto"/>
              <w:rPr>
                <w:sz w:val="24"/>
                <w:szCs w:val="24"/>
              </w:rPr>
            </w:pPr>
            <w:r w:rsidRPr="0031117D">
              <w:t>Redirect-examination</w:t>
            </w:r>
          </w:p>
        </w:tc>
        <w:tc>
          <w:tcPr>
            <w:tcW w:w="709" w:type="dxa"/>
            <w:tcBorders>
              <w:top w:val="nil"/>
              <w:left w:val="nil"/>
              <w:bottom w:val="nil"/>
              <w:right w:val="nil"/>
            </w:tcBorders>
            <w:vAlign w:val="center"/>
          </w:tcPr>
          <w:p w14:paraId="2CE51034" w14:textId="77777777" w:rsidR="005B55F2" w:rsidRPr="008406E5" w:rsidRDefault="005B55F2" w:rsidP="0031117D">
            <w:pPr>
              <w:spacing w:line="480" w:lineRule="auto"/>
              <w:jc w:val="right"/>
              <w:rPr>
                <w:sz w:val="24"/>
                <w:szCs w:val="24"/>
              </w:rPr>
            </w:pPr>
            <w:r w:rsidRPr="008406E5">
              <w:rPr>
                <w:sz w:val="24"/>
                <w:szCs w:val="24"/>
              </w:rPr>
              <w:t>29</w:t>
            </w:r>
          </w:p>
        </w:tc>
        <w:tc>
          <w:tcPr>
            <w:tcW w:w="1134" w:type="dxa"/>
            <w:tcBorders>
              <w:top w:val="nil"/>
              <w:left w:val="nil"/>
              <w:bottom w:val="nil"/>
              <w:right w:val="nil"/>
            </w:tcBorders>
            <w:vAlign w:val="center"/>
          </w:tcPr>
          <w:p w14:paraId="6AAB6D16" w14:textId="77777777" w:rsidR="005B55F2" w:rsidRPr="008406E5" w:rsidRDefault="005B55F2" w:rsidP="0031117D">
            <w:pPr>
              <w:spacing w:line="480" w:lineRule="auto"/>
              <w:jc w:val="right"/>
              <w:rPr>
                <w:sz w:val="24"/>
                <w:szCs w:val="24"/>
              </w:rPr>
            </w:pPr>
            <w:r w:rsidRPr="008406E5">
              <w:rPr>
                <w:sz w:val="24"/>
                <w:szCs w:val="24"/>
              </w:rPr>
              <w:t>4.51</w:t>
            </w:r>
          </w:p>
        </w:tc>
        <w:tc>
          <w:tcPr>
            <w:tcW w:w="1242" w:type="dxa"/>
            <w:tcBorders>
              <w:top w:val="nil"/>
              <w:left w:val="nil"/>
              <w:bottom w:val="nil"/>
              <w:right w:val="nil"/>
            </w:tcBorders>
            <w:vAlign w:val="center"/>
          </w:tcPr>
          <w:p w14:paraId="4D84C8CC" w14:textId="77777777" w:rsidR="005B55F2" w:rsidRPr="008406E5" w:rsidRDefault="005B55F2" w:rsidP="0031117D">
            <w:pPr>
              <w:spacing w:line="480" w:lineRule="auto"/>
              <w:jc w:val="right"/>
              <w:rPr>
                <w:sz w:val="24"/>
                <w:szCs w:val="24"/>
              </w:rPr>
            </w:pPr>
            <w:r w:rsidRPr="008406E5">
              <w:rPr>
                <w:sz w:val="24"/>
                <w:szCs w:val="24"/>
              </w:rPr>
              <w:t>3.40</w:t>
            </w:r>
          </w:p>
        </w:tc>
        <w:tc>
          <w:tcPr>
            <w:tcW w:w="601" w:type="dxa"/>
            <w:tcBorders>
              <w:top w:val="nil"/>
              <w:left w:val="nil"/>
              <w:bottom w:val="nil"/>
              <w:right w:val="nil"/>
            </w:tcBorders>
            <w:vAlign w:val="center"/>
          </w:tcPr>
          <w:p w14:paraId="7A1811D9" w14:textId="77777777" w:rsidR="005B55F2" w:rsidRPr="008406E5" w:rsidRDefault="005B55F2" w:rsidP="0031117D">
            <w:pPr>
              <w:spacing w:line="480" w:lineRule="auto"/>
              <w:jc w:val="right"/>
              <w:rPr>
                <w:sz w:val="24"/>
                <w:szCs w:val="24"/>
              </w:rPr>
            </w:pPr>
          </w:p>
        </w:tc>
        <w:tc>
          <w:tcPr>
            <w:tcW w:w="709" w:type="dxa"/>
            <w:tcBorders>
              <w:top w:val="nil"/>
              <w:left w:val="nil"/>
              <w:bottom w:val="nil"/>
              <w:right w:val="nil"/>
            </w:tcBorders>
            <w:vAlign w:val="center"/>
          </w:tcPr>
          <w:p w14:paraId="0871A693" w14:textId="77777777" w:rsidR="005B55F2" w:rsidRPr="008406E5" w:rsidRDefault="005B55F2" w:rsidP="0031117D">
            <w:pPr>
              <w:spacing w:line="480" w:lineRule="auto"/>
              <w:jc w:val="right"/>
              <w:rPr>
                <w:sz w:val="24"/>
                <w:szCs w:val="24"/>
              </w:rPr>
            </w:pPr>
            <w:r w:rsidRPr="008406E5">
              <w:rPr>
                <w:sz w:val="24"/>
                <w:szCs w:val="24"/>
              </w:rPr>
              <w:t>14</w:t>
            </w:r>
          </w:p>
        </w:tc>
        <w:tc>
          <w:tcPr>
            <w:tcW w:w="1134" w:type="dxa"/>
            <w:tcBorders>
              <w:top w:val="nil"/>
              <w:left w:val="nil"/>
              <w:bottom w:val="nil"/>
              <w:right w:val="nil"/>
            </w:tcBorders>
            <w:vAlign w:val="center"/>
          </w:tcPr>
          <w:p w14:paraId="0B1008E2" w14:textId="77777777" w:rsidR="005B55F2" w:rsidRPr="008406E5" w:rsidRDefault="005B55F2" w:rsidP="0031117D">
            <w:pPr>
              <w:spacing w:line="480" w:lineRule="auto"/>
              <w:jc w:val="right"/>
              <w:rPr>
                <w:sz w:val="24"/>
                <w:szCs w:val="24"/>
              </w:rPr>
            </w:pPr>
            <w:r w:rsidRPr="008406E5">
              <w:rPr>
                <w:sz w:val="24"/>
                <w:szCs w:val="24"/>
              </w:rPr>
              <w:t>3.51</w:t>
            </w:r>
          </w:p>
        </w:tc>
        <w:tc>
          <w:tcPr>
            <w:tcW w:w="1134" w:type="dxa"/>
            <w:tcBorders>
              <w:top w:val="nil"/>
              <w:left w:val="nil"/>
              <w:bottom w:val="nil"/>
              <w:right w:val="nil"/>
            </w:tcBorders>
            <w:vAlign w:val="center"/>
          </w:tcPr>
          <w:p w14:paraId="0131716A" w14:textId="77777777" w:rsidR="005B55F2" w:rsidRPr="008406E5" w:rsidRDefault="005B55F2" w:rsidP="0031117D">
            <w:pPr>
              <w:spacing w:line="480" w:lineRule="auto"/>
              <w:jc w:val="right"/>
              <w:rPr>
                <w:sz w:val="24"/>
                <w:szCs w:val="24"/>
              </w:rPr>
            </w:pPr>
            <w:r w:rsidRPr="008406E5">
              <w:rPr>
                <w:sz w:val="24"/>
                <w:szCs w:val="24"/>
              </w:rPr>
              <w:t>4.85</w:t>
            </w:r>
          </w:p>
        </w:tc>
      </w:tr>
      <w:tr w:rsidR="005B55F2" w:rsidRPr="008406E5" w14:paraId="77B7181B" w14:textId="77777777" w:rsidTr="006C4BE0">
        <w:trPr>
          <w:trHeight w:val="490"/>
        </w:trPr>
        <w:tc>
          <w:tcPr>
            <w:tcW w:w="3124" w:type="dxa"/>
            <w:tcBorders>
              <w:top w:val="nil"/>
              <w:left w:val="nil"/>
              <w:bottom w:val="nil"/>
              <w:right w:val="nil"/>
            </w:tcBorders>
            <w:vAlign w:val="center"/>
          </w:tcPr>
          <w:p w14:paraId="71E02FFE" w14:textId="77777777" w:rsidR="005B55F2" w:rsidRPr="006C4BE0" w:rsidRDefault="005B55F2" w:rsidP="006C4BE0">
            <w:pPr>
              <w:spacing w:line="480" w:lineRule="auto"/>
              <w:rPr>
                <w:sz w:val="24"/>
                <w:szCs w:val="24"/>
              </w:rPr>
            </w:pPr>
            <w:proofErr w:type="spellStart"/>
            <w:r w:rsidRPr="002D14BD">
              <w:t>Recross</w:t>
            </w:r>
            <w:proofErr w:type="spellEnd"/>
            <w:r w:rsidRPr="002D14BD">
              <w:t>-examination</w:t>
            </w:r>
          </w:p>
        </w:tc>
        <w:tc>
          <w:tcPr>
            <w:tcW w:w="709" w:type="dxa"/>
            <w:tcBorders>
              <w:top w:val="nil"/>
              <w:left w:val="nil"/>
              <w:bottom w:val="nil"/>
              <w:right w:val="nil"/>
            </w:tcBorders>
            <w:vAlign w:val="center"/>
          </w:tcPr>
          <w:p w14:paraId="409E20DB" w14:textId="77777777" w:rsidR="005B55F2" w:rsidRPr="008406E5" w:rsidRDefault="005B55F2" w:rsidP="0031117D">
            <w:pPr>
              <w:spacing w:line="480" w:lineRule="auto"/>
              <w:jc w:val="right"/>
              <w:rPr>
                <w:sz w:val="24"/>
                <w:szCs w:val="24"/>
              </w:rPr>
            </w:pPr>
            <w:r w:rsidRPr="008406E5">
              <w:rPr>
                <w:sz w:val="24"/>
                <w:szCs w:val="24"/>
              </w:rPr>
              <w:t>2</w:t>
            </w:r>
          </w:p>
        </w:tc>
        <w:tc>
          <w:tcPr>
            <w:tcW w:w="1134" w:type="dxa"/>
            <w:tcBorders>
              <w:top w:val="nil"/>
              <w:left w:val="nil"/>
              <w:bottom w:val="nil"/>
              <w:right w:val="nil"/>
            </w:tcBorders>
            <w:vAlign w:val="center"/>
          </w:tcPr>
          <w:p w14:paraId="0D5F3586" w14:textId="77777777" w:rsidR="005B55F2" w:rsidRPr="008406E5" w:rsidRDefault="005B55F2" w:rsidP="0031117D">
            <w:pPr>
              <w:spacing w:line="480" w:lineRule="auto"/>
              <w:jc w:val="right"/>
              <w:rPr>
                <w:sz w:val="24"/>
                <w:szCs w:val="24"/>
              </w:rPr>
            </w:pPr>
            <w:r w:rsidRPr="008406E5">
              <w:rPr>
                <w:sz w:val="24"/>
                <w:szCs w:val="24"/>
              </w:rPr>
              <w:t>1.23</w:t>
            </w:r>
          </w:p>
        </w:tc>
        <w:tc>
          <w:tcPr>
            <w:tcW w:w="1242" w:type="dxa"/>
            <w:tcBorders>
              <w:top w:val="nil"/>
              <w:left w:val="nil"/>
              <w:bottom w:val="nil"/>
              <w:right w:val="nil"/>
            </w:tcBorders>
            <w:vAlign w:val="center"/>
          </w:tcPr>
          <w:p w14:paraId="1894FF7E" w14:textId="77777777" w:rsidR="005B55F2" w:rsidRPr="008406E5" w:rsidRDefault="005B55F2" w:rsidP="0031117D">
            <w:pPr>
              <w:spacing w:line="480" w:lineRule="auto"/>
              <w:jc w:val="right"/>
              <w:rPr>
                <w:sz w:val="24"/>
                <w:szCs w:val="24"/>
              </w:rPr>
            </w:pPr>
            <w:r>
              <w:rPr>
                <w:sz w:val="24"/>
                <w:szCs w:val="24"/>
              </w:rPr>
              <w:t>0</w:t>
            </w:r>
            <w:r w:rsidRPr="008406E5">
              <w:rPr>
                <w:sz w:val="24"/>
                <w:szCs w:val="24"/>
              </w:rPr>
              <w:t>.78</w:t>
            </w:r>
          </w:p>
        </w:tc>
        <w:tc>
          <w:tcPr>
            <w:tcW w:w="601" w:type="dxa"/>
            <w:tcBorders>
              <w:top w:val="nil"/>
              <w:left w:val="nil"/>
              <w:bottom w:val="nil"/>
              <w:right w:val="nil"/>
            </w:tcBorders>
            <w:vAlign w:val="center"/>
          </w:tcPr>
          <w:p w14:paraId="271A45E3" w14:textId="77777777" w:rsidR="005B55F2" w:rsidRPr="008406E5" w:rsidRDefault="005B55F2" w:rsidP="0031117D">
            <w:pPr>
              <w:spacing w:line="480" w:lineRule="auto"/>
              <w:jc w:val="right"/>
              <w:rPr>
                <w:sz w:val="24"/>
                <w:szCs w:val="24"/>
              </w:rPr>
            </w:pPr>
          </w:p>
        </w:tc>
        <w:tc>
          <w:tcPr>
            <w:tcW w:w="709" w:type="dxa"/>
            <w:tcBorders>
              <w:top w:val="nil"/>
              <w:left w:val="nil"/>
              <w:bottom w:val="nil"/>
              <w:right w:val="nil"/>
            </w:tcBorders>
            <w:vAlign w:val="center"/>
          </w:tcPr>
          <w:p w14:paraId="35F7E963" w14:textId="77777777" w:rsidR="005B55F2" w:rsidRPr="008406E5" w:rsidRDefault="005B55F2" w:rsidP="0031117D">
            <w:pPr>
              <w:spacing w:line="480" w:lineRule="auto"/>
              <w:jc w:val="right"/>
              <w:rPr>
                <w:sz w:val="24"/>
                <w:szCs w:val="24"/>
              </w:rPr>
            </w:pPr>
            <w:r w:rsidRPr="008406E5">
              <w:rPr>
                <w:sz w:val="24"/>
                <w:szCs w:val="24"/>
              </w:rPr>
              <w:t>0</w:t>
            </w:r>
          </w:p>
        </w:tc>
        <w:tc>
          <w:tcPr>
            <w:tcW w:w="1134" w:type="dxa"/>
            <w:tcBorders>
              <w:top w:val="nil"/>
              <w:left w:val="nil"/>
              <w:bottom w:val="nil"/>
              <w:right w:val="nil"/>
            </w:tcBorders>
            <w:vAlign w:val="center"/>
          </w:tcPr>
          <w:p w14:paraId="02C13F3B" w14:textId="77777777" w:rsidR="005B55F2" w:rsidRPr="008406E5" w:rsidRDefault="005B55F2" w:rsidP="0031117D">
            <w:pPr>
              <w:spacing w:line="480" w:lineRule="auto"/>
              <w:jc w:val="right"/>
              <w:rPr>
                <w:sz w:val="24"/>
                <w:szCs w:val="24"/>
              </w:rPr>
            </w:pPr>
            <w:r w:rsidRPr="008406E5">
              <w:rPr>
                <w:sz w:val="24"/>
                <w:szCs w:val="24"/>
              </w:rPr>
              <w:t>-</w:t>
            </w:r>
          </w:p>
        </w:tc>
        <w:tc>
          <w:tcPr>
            <w:tcW w:w="1134" w:type="dxa"/>
            <w:tcBorders>
              <w:top w:val="nil"/>
              <w:left w:val="nil"/>
              <w:bottom w:val="nil"/>
              <w:right w:val="nil"/>
            </w:tcBorders>
            <w:vAlign w:val="center"/>
          </w:tcPr>
          <w:p w14:paraId="4AA359C1" w14:textId="77777777" w:rsidR="005B55F2" w:rsidRPr="008406E5" w:rsidRDefault="005B55F2" w:rsidP="0031117D">
            <w:pPr>
              <w:spacing w:line="480" w:lineRule="auto"/>
              <w:jc w:val="right"/>
              <w:rPr>
                <w:sz w:val="24"/>
                <w:szCs w:val="24"/>
              </w:rPr>
            </w:pPr>
            <w:r w:rsidRPr="008406E5">
              <w:rPr>
                <w:sz w:val="24"/>
                <w:szCs w:val="24"/>
              </w:rPr>
              <w:t>-</w:t>
            </w:r>
          </w:p>
        </w:tc>
      </w:tr>
      <w:tr w:rsidR="005B55F2" w:rsidRPr="008406E5" w14:paraId="3DDA44AF" w14:textId="77777777" w:rsidTr="006C4BE0">
        <w:trPr>
          <w:trHeight w:val="474"/>
        </w:trPr>
        <w:tc>
          <w:tcPr>
            <w:tcW w:w="3124" w:type="dxa"/>
            <w:tcBorders>
              <w:top w:val="nil"/>
              <w:left w:val="nil"/>
              <w:right w:val="nil"/>
            </w:tcBorders>
            <w:vAlign w:val="center"/>
          </w:tcPr>
          <w:p w14:paraId="4624B03B" w14:textId="77777777" w:rsidR="005B55F2" w:rsidRPr="006C4BE0" w:rsidRDefault="005B55F2" w:rsidP="006C4BE0">
            <w:pPr>
              <w:spacing w:line="480" w:lineRule="auto"/>
              <w:rPr>
                <w:sz w:val="24"/>
                <w:szCs w:val="24"/>
              </w:rPr>
            </w:pPr>
            <w:r w:rsidRPr="0031117D">
              <w:t xml:space="preserve">Total Evidence </w:t>
            </w:r>
            <w:r w:rsidRPr="0031117D">
              <w:rPr>
                <w:vertAlign w:val="superscript"/>
              </w:rPr>
              <w:t>b</w:t>
            </w:r>
          </w:p>
        </w:tc>
        <w:tc>
          <w:tcPr>
            <w:tcW w:w="709" w:type="dxa"/>
            <w:tcBorders>
              <w:top w:val="nil"/>
              <w:left w:val="nil"/>
              <w:right w:val="nil"/>
            </w:tcBorders>
            <w:vAlign w:val="center"/>
          </w:tcPr>
          <w:p w14:paraId="08899AFB" w14:textId="77777777" w:rsidR="005B55F2" w:rsidRPr="008406E5" w:rsidRDefault="005B55F2" w:rsidP="0031117D">
            <w:pPr>
              <w:spacing w:line="480" w:lineRule="auto"/>
              <w:jc w:val="right"/>
              <w:rPr>
                <w:sz w:val="24"/>
                <w:szCs w:val="24"/>
              </w:rPr>
            </w:pPr>
            <w:r w:rsidRPr="008406E5">
              <w:rPr>
                <w:sz w:val="24"/>
                <w:szCs w:val="24"/>
              </w:rPr>
              <w:t>44</w:t>
            </w:r>
          </w:p>
        </w:tc>
        <w:tc>
          <w:tcPr>
            <w:tcW w:w="1134" w:type="dxa"/>
            <w:tcBorders>
              <w:top w:val="nil"/>
              <w:left w:val="nil"/>
              <w:right w:val="nil"/>
            </w:tcBorders>
            <w:vAlign w:val="center"/>
          </w:tcPr>
          <w:p w14:paraId="220B56F8" w14:textId="77777777" w:rsidR="005B55F2" w:rsidRPr="008406E5" w:rsidRDefault="005B55F2" w:rsidP="0031117D">
            <w:pPr>
              <w:spacing w:line="480" w:lineRule="auto"/>
              <w:jc w:val="right"/>
              <w:rPr>
                <w:sz w:val="24"/>
                <w:szCs w:val="24"/>
              </w:rPr>
            </w:pPr>
            <w:r w:rsidRPr="008406E5">
              <w:rPr>
                <w:sz w:val="24"/>
                <w:szCs w:val="24"/>
              </w:rPr>
              <w:t>89.93</w:t>
            </w:r>
          </w:p>
        </w:tc>
        <w:tc>
          <w:tcPr>
            <w:tcW w:w="1242" w:type="dxa"/>
            <w:tcBorders>
              <w:top w:val="nil"/>
              <w:left w:val="nil"/>
              <w:right w:val="nil"/>
            </w:tcBorders>
            <w:vAlign w:val="center"/>
          </w:tcPr>
          <w:p w14:paraId="28141C05" w14:textId="77777777" w:rsidR="005B55F2" w:rsidRPr="008406E5" w:rsidRDefault="005B55F2" w:rsidP="0031117D">
            <w:pPr>
              <w:spacing w:line="480" w:lineRule="auto"/>
              <w:jc w:val="right"/>
              <w:rPr>
                <w:sz w:val="24"/>
                <w:szCs w:val="24"/>
              </w:rPr>
            </w:pPr>
            <w:r w:rsidRPr="008406E5">
              <w:rPr>
                <w:sz w:val="24"/>
                <w:szCs w:val="24"/>
              </w:rPr>
              <w:t>56.40</w:t>
            </w:r>
          </w:p>
        </w:tc>
        <w:tc>
          <w:tcPr>
            <w:tcW w:w="601" w:type="dxa"/>
            <w:tcBorders>
              <w:top w:val="nil"/>
              <w:left w:val="nil"/>
              <w:right w:val="nil"/>
            </w:tcBorders>
            <w:vAlign w:val="center"/>
          </w:tcPr>
          <w:p w14:paraId="2683C0F0" w14:textId="77777777" w:rsidR="005B55F2" w:rsidRPr="008406E5" w:rsidRDefault="005B55F2" w:rsidP="0031117D">
            <w:pPr>
              <w:spacing w:line="480" w:lineRule="auto"/>
              <w:jc w:val="right"/>
              <w:rPr>
                <w:sz w:val="24"/>
                <w:szCs w:val="24"/>
              </w:rPr>
            </w:pPr>
          </w:p>
        </w:tc>
        <w:tc>
          <w:tcPr>
            <w:tcW w:w="709" w:type="dxa"/>
            <w:tcBorders>
              <w:top w:val="nil"/>
              <w:left w:val="nil"/>
              <w:right w:val="nil"/>
            </w:tcBorders>
            <w:vAlign w:val="center"/>
          </w:tcPr>
          <w:p w14:paraId="278D77DA" w14:textId="77777777" w:rsidR="005B55F2" w:rsidRPr="008406E5" w:rsidRDefault="005B55F2" w:rsidP="0031117D">
            <w:pPr>
              <w:spacing w:line="480" w:lineRule="auto"/>
              <w:jc w:val="right"/>
              <w:rPr>
                <w:sz w:val="24"/>
                <w:szCs w:val="24"/>
              </w:rPr>
            </w:pPr>
            <w:r w:rsidRPr="008406E5">
              <w:rPr>
                <w:sz w:val="24"/>
                <w:szCs w:val="24"/>
              </w:rPr>
              <w:t>43</w:t>
            </w:r>
          </w:p>
        </w:tc>
        <w:tc>
          <w:tcPr>
            <w:tcW w:w="1134" w:type="dxa"/>
            <w:tcBorders>
              <w:top w:val="nil"/>
              <w:left w:val="nil"/>
              <w:right w:val="nil"/>
            </w:tcBorders>
            <w:vAlign w:val="center"/>
          </w:tcPr>
          <w:p w14:paraId="793BB6AA" w14:textId="77777777" w:rsidR="005B55F2" w:rsidRPr="008406E5" w:rsidRDefault="005B55F2" w:rsidP="0031117D">
            <w:pPr>
              <w:spacing w:line="480" w:lineRule="auto"/>
              <w:jc w:val="right"/>
              <w:rPr>
                <w:sz w:val="24"/>
                <w:szCs w:val="24"/>
              </w:rPr>
            </w:pPr>
            <w:r w:rsidRPr="008406E5">
              <w:rPr>
                <w:sz w:val="24"/>
                <w:szCs w:val="24"/>
              </w:rPr>
              <w:t>68.19</w:t>
            </w:r>
          </w:p>
        </w:tc>
        <w:tc>
          <w:tcPr>
            <w:tcW w:w="1134" w:type="dxa"/>
            <w:tcBorders>
              <w:top w:val="nil"/>
              <w:left w:val="nil"/>
              <w:right w:val="nil"/>
            </w:tcBorders>
            <w:vAlign w:val="center"/>
          </w:tcPr>
          <w:p w14:paraId="02DB9B1C" w14:textId="77777777" w:rsidR="005B55F2" w:rsidRPr="008406E5" w:rsidRDefault="005B55F2" w:rsidP="0031117D">
            <w:pPr>
              <w:spacing w:line="480" w:lineRule="auto"/>
              <w:jc w:val="right"/>
              <w:rPr>
                <w:sz w:val="24"/>
                <w:szCs w:val="24"/>
              </w:rPr>
            </w:pPr>
            <w:r w:rsidRPr="008406E5">
              <w:rPr>
                <w:sz w:val="24"/>
                <w:szCs w:val="24"/>
              </w:rPr>
              <w:t>36.59</w:t>
            </w:r>
          </w:p>
        </w:tc>
      </w:tr>
    </w:tbl>
    <w:p w14:paraId="7989BA4D" w14:textId="77777777" w:rsidR="005B55F2" w:rsidRPr="006C4BE0" w:rsidRDefault="005B55F2">
      <w:pPr>
        <w:rPr>
          <w:sz w:val="20"/>
          <w:szCs w:val="20"/>
        </w:rPr>
      </w:pPr>
      <w:r w:rsidRPr="08D4D6A2">
        <w:rPr>
          <w:i/>
          <w:iCs/>
          <w:sz w:val="20"/>
          <w:szCs w:val="20"/>
          <w:vertAlign w:val="superscript"/>
        </w:rPr>
        <w:t>a</w:t>
      </w:r>
      <w:r w:rsidRPr="0031117D">
        <w:rPr>
          <w:sz w:val="20"/>
          <w:szCs w:val="20"/>
        </w:rPr>
        <w:t xml:space="preserve"> “Additional Direct-examination” determined from case trial logs (see Henderson &amp; Lamb, 2017).</w:t>
      </w:r>
    </w:p>
    <w:p w14:paraId="33BD0CD1" w14:textId="77777777" w:rsidR="005B55F2" w:rsidRPr="006C4BE0" w:rsidRDefault="005B55F2">
      <w:pPr>
        <w:rPr>
          <w:sz w:val="20"/>
          <w:szCs w:val="20"/>
        </w:rPr>
      </w:pPr>
      <w:r w:rsidRPr="0031117D">
        <w:rPr>
          <w:sz w:val="20"/>
          <w:szCs w:val="20"/>
          <w:vertAlign w:val="superscript"/>
        </w:rPr>
        <w:t xml:space="preserve">b </w:t>
      </w:r>
      <w:r w:rsidRPr="0031117D">
        <w:rPr>
          <w:sz w:val="20"/>
          <w:szCs w:val="20"/>
        </w:rPr>
        <w:t xml:space="preserve">“Total Evidence” includes all variables except the Ground Rules Hearing. </w:t>
      </w:r>
    </w:p>
    <w:p w14:paraId="76A176AE" w14:textId="77777777" w:rsidR="005B55F2" w:rsidRPr="008406E5" w:rsidRDefault="005B55F2" w:rsidP="005B55F2">
      <w:pPr>
        <w:spacing w:line="480" w:lineRule="auto"/>
        <w:ind w:right="14"/>
        <w:jc w:val="both"/>
      </w:pPr>
    </w:p>
    <w:p w14:paraId="2B52D95D" w14:textId="77777777" w:rsidR="005B55F2" w:rsidRPr="008406E5" w:rsidRDefault="005B55F2" w:rsidP="005B55F2">
      <w:pPr>
        <w:spacing w:line="480" w:lineRule="auto"/>
        <w:ind w:right="14"/>
        <w:jc w:val="both"/>
      </w:pPr>
    </w:p>
    <w:p w14:paraId="24698AD8" w14:textId="77777777" w:rsidR="005B55F2" w:rsidRPr="008406E5" w:rsidRDefault="005B55F2" w:rsidP="005B55F2">
      <w:pPr>
        <w:spacing w:line="480" w:lineRule="auto"/>
        <w:ind w:right="14"/>
        <w:jc w:val="both"/>
      </w:pPr>
    </w:p>
    <w:p w14:paraId="000053F1" w14:textId="77777777" w:rsidR="005B55F2" w:rsidRPr="008406E5" w:rsidRDefault="005B55F2" w:rsidP="005B55F2">
      <w:pPr>
        <w:spacing w:line="480" w:lineRule="auto"/>
        <w:ind w:right="14"/>
        <w:jc w:val="both"/>
      </w:pPr>
    </w:p>
    <w:p w14:paraId="27A1055E" w14:textId="77777777" w:rsidR="005B55F2" w:rsidRPr="008406E5" w:rsidRDefault="005B55F2" w:rsidP="005B55F2">
      <w:pPr>
        <w:spacing w:line="480" w:lineRule="auto"/>
        <w:ind w:right="14"/>
        <w:jc w:val="both"/>
      </w:pPr>
    </w:p>
    <w:p w14:paraId="67579F32" w14:textId="77777777" w:rsidR="005B55F2" w:rsidRPr="008406E5" w:rsidRDefault="005B55F2" w:rsidP="005B55F2">
      <w:pPr>
        <w:spacing w:line="480" w:lineRule="auto"/>
        <w:ind w:right="14"/>
        <w:jc w:val="both"/>
      </w:pPr>
    </w:p>
    <w:p w14:paraId="278323B2" w14:textId="77777777" w:rsidR="005B55F2" w:rsidRPr="008406E5" w:rsidRDefault="005B55F2" w:rsidP="005B55F2">
      <w:pPr>
        <w:spacing w:line="480" w:lineRule="auto"/>
        <w:ind w:right="14"/>
        <w:jc w:val="both"/>
      </w:pPr>
    </w:p>
    <w:p w14:paraId="6CFD3808" w14:textId="77777777" w:rsidR="005B55F2" w:rsidRPr="008406E5" w:rsidRDefault="005B55F2" w:rsidP="005B55F2">
      <w:pPr>
        <w:spacing w:line="480" w:lineRule="auto"/>
        <w:ind w:right="14"/>
        <w:jc w:val="both"/>
      </w:pPr>
    </w:p>
    <w:p w14:paraId="495B78FA" w14:textId="77777777" w:rsidR="005B55F2" w:rsidRPr="008406E5" w:rsidRDefault="005B55F2" w:rsidP="005B55F2">
      <w:pPr>
        <w:spacing w:line="480" w:lineRule="auto"/>
        <w:ind w:right="14"/>
        <w:jc w:val="both"/>
      </w:pPr>
    </w:p>
    <w:p w14:paraId="553CE237" w14:textId="77777777" w:rsidR="005B55F2" w:rsidRPr="008406E5" w:rsidRDefault="005B55F2" w:rsidP="005B55F2">
      <w:pPr>
        <w:spacing w:line="480" w:lineRule="auto"/>
        <w:ind w:right="14"/>
        <w:jc w:val="both"/>
      </w:pPr>
    </w:p>
    <w:p w14:paraId="24C6125A" w14:textId="77777777" w:rsidR="005B55F2" w:rsidRDefault="005B55F2" w:rsidP="005B55F2">
      <w:pPr>
        <w:spacing w:line="480" w:lineRule="auto"/>
        <w:ind w:right="14"/>
        <w:jc w:val="both"/>
      </w:pPr>
    </w:p>
    <w:p w14:paraId="5DBAC662" w14:textId="77777777" w:rsidR="005B55F2" w:rsidRDefault="005B55F2" w:rsidP="005B55F2">
      <w:pPr>
        <w:spacing w:line="480" w:lineRule="auto"/>
        <w:ind w:right="14"/>
        <w:jc w:val="both"/>
      </w:pPr>
    </w:p>
    <w:p w14:paraId="61598693" w14:textId="77777777" w:rsidR="005B55F2" w:rsidRDefault="005B55F2" w:rsidP="005B55F2">
      <w:pPr>
        <w:spacing w:line="480" w:lineRule="auto"/>
        <w:ind w:right="14"/>
        <w:jc w:val="both"/>
      </w:pPr>
    </w:p>
    <w:p w14:paraId="1BBF3831" w14:textId="77777777" w:rsidR="005B55F2" w:rsidRPr="008406E5" w:rsidRDefault="005B55F2" w:rsidP="08D4D6A2">
      <w:pPr>
        <w:spacing w:line="480" w:lineRule="auto"/>
        <w:ind w:right="14"/>
        <w:jc w:val="both"/>
      </w:pPr>
      <w:r w:rsidRPr="008406E5">
        <w:lastRenderedPageBreak/>
        <w:t>Table 3</w:t>
      </w:r>
      <w:r w:rsidRPr="008406E5">
        <w:rPr>
          <w:vertAlign w:val="superscript"/>
        </w:rPr>
        <w:t xml:space="preserve"> </w:t>
      </w:r>
      <w:r w:rsidRPr="23B9E151">
        <w:t xml:space="preserve"> </w:t>
      </w:r>
    </w:p>
    <w:p w14:paraId="11DB6BF9" w14:textId="77777777" w:rsidR="005B55F2" w:rsidRPr="006C4BE0" w:rsidRDefault="005B55F2" w:rsidP="08D4D6A2">
      <w:pPr>
        <w:spacing w:line="480" w:lineRule="auto"/>
        <w:ind w:right="14"/>
        <w:jc w:val="both"/>
        <w:rPr>
          <w:i/>
          <w:iCs/>
        </w:rPr>
      </w:pPr>
      <w:r w:rsidRPr="08D4D6A2">
        <w:rPr>
          <w:i/>
          <w:iCs/>
        </w:rPr>
        <w:t xml:space="preserve">Characteristics of Cases in the NS28 and S28 Conditions </w:t>
      </w:r>
    </w:p>
    <w:tbl>
      <w:tblPr>
        <w:tblStyle w:val="TableGrid"/>
        <w:tblW w:w="6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3"/>
        <w:gridCol w:w="2373"/>
        <w:gridCol w:w="801"/>
        <w:gridCol w:w="904"/>
        <w:gridCol w:w="904"/>
      </w:tblGrid>
      <w:tr w:rsidR="005B55F2" w:rsidRPr="008406E5" w14:paraId="6B8F3C9F" w14:textId="77777777" w:rsidTr="006C4BE0">
        <w:trPr>
          <w:trHeight w:val="377"/>
        </w:trPr>
        <w:tc>
          <w:tcPr>
            <w:tcW w:w="1643" w:type="dxa"/>
            <w:tcBorders>
              <w:top w:val="single" w:sz="4" w:space="0" w:color="auto"/>
              <w:bottom w:val="single" w:sz="4" w:space="0" w:color="auto"/>
            </w:tcBorders>
          </w:tcPr>
          <w:p w14:paraId="29C9DD77" w14:textId="77777777" w:rsidR="005B55F2" w:rsidRPr="006C4BE0" w:rsidRDefault="005B55F2">
            <w:pPr>
              <w:ind w:right="14"/>
              <w:jc w:val="center"/>
              <w:rPr>
                <w:sz w:val="24"/>
                <w:szCs w:val="24"/>
              </w:rPr>
            </w:pPr>
            <w:r w:rsidRPr="0031117D">
              <w:t>Variables</w:t>
            </w:r>
            <w:r w:rsidRPr="008406E5">
              <w:rPr>
                <w:sz w:val="24"/>
                <w:szCs w:val="24"/>
                <w:vertAlign w:val="superscript"/>
              </w:rPr>
              <w:t xml:space="preserve"> a</w:t>
            </w:r>
          </w:p>
        </w:tc>
        <w:tc>
          <w:tcPr>
            <w:tcW w:w="2373" w:type="dxa"/>
            <w:tcBorders>
              <w:top w:val="single" w:sz="4" w:space="0" w:color="auto"/>
              <w:bottom w:val="single" w:sz="4" w:space="0" w:color="auto"/>
            </w:tcBorders>
          </w:tcPr>
          <w:p w14:paraId="4041E5F0" w14:textId="77777777" w:rsidR="005B55F2" w:rsidRPr="008406E5" w:rsidRDefault="005B55F2" w:rsidP="0031117D">
            <w:pPr>
              <w:ind w:right="14"/>
              <w:jc w:val="center"/>
              <w:rPr>
                <w:sz w:val="24"/>
                <w:szCs w:val="24"/>
              </w:rPr>
            </w:pPr>
          </w:p>
        </w:tc>
        <w:tc>
          <w:tcPr>
            <w:tcW w:w="801" w:type="dxa"/>
            <w:tcBorders>
              <w:top w:val="single" w:sz="4" w:space="0" w:color="auto"/>
              <w:bottom w:val="single" w:sz="4" w:space="0" w:color="auto"/>
            </w:tcBorders>
          </w:tcPr>
          <w:p w14:paraId="3B1EFB82" w14:textId="77777777" w:rsidR="005B55F2" w:rsidRPr="006C4BE0" w:rsidRDefault="005B55F2">
            <w:pPr>
              <w:ind w:right="14"/>
              <w:jc w:val="center"/>
              <w:rPr>
                <w:sz w:val="24"/>
                <w:szCs w:val="24"/>
              </w:rPr>
            </w:pPr>
            <w:r w:rsidRPr="0031117D">
              <w:t>NS28</w:t>
            </w:r>
          </w:p>
          <w:p w14:paraId="2EA38378" w14:textId="77777777" w:rsidR="005B55F2" w:rsidRPr="006C4BE0" w:rsidRDefault="005B55F2">
            <w:pPr>
              <w:ind w:right="14"/>
              <w:jc w:val="center"/>
              <w:rPr>
                <w:sz w:val="24"/>
                <w:szCs w:val="24"/>
              </w:rPr>
            </w:pPr>
            <w:r w:rsidRPr="23B9E151">
              <w:t>(</w:t>
            </w:r>
            <w:r w:rsidRPr="08D4D6A2">
              <w:rPr>
                <w:i/>
                <w:iCs/>
              </w:rPr>
              <w:t>44</w:t>
            </w:r>
            <w:r w:rsidRPr="23B9E151">
              <w:t>)</w:t>
            </w:r>
          </w:p>
        </w:tc>
        <w:tc>
          <w:tcPr>
            <w:tcW w:w="904" w:type="dxa"/>
            <w:tcBorders>
              <w:top w:val="single" w:sz="4" w:space="0" w:color="auto"/>
              <w:bottom w:val="single" w:sz="4" w:space="0" w:color="auto"/>
            </w:tcBorders>
          </w:tcPr>
          <w:p w14:paraId="51F752E2" w14:textId="77777777" w:rsidR="005B55F2" w:rsidRPr="006C4BE0" w:rsidRDefault="005B55F2">
            <w:pPr>
              <w:ind w:right="14"/>
              <w:jc w:val="center"/>
              <w:rPr>
                <w:sz w:val="24"/>
                <w:szCs w:val="24"/>
              </w:rPr>
            </w:pPr>
            <w:r w:rsidRPr="0031117D">
              <w:t>S28</w:t>
            </w:r>
          </w:p>
          <w:p w14:paraId="18337C19" w14:textId="77777777" w:rsidR="005B55F2" w:rsidRPr="006C4BE0" w:rsidRDefault="005B55F2">
            <w:pPr>
              <w:ind w:right="14"/>
              <w:jc w:val="center"/>
              <w:rPr>
                <w:sz w:val="24"/>
                <w:szCs w:val="24"/>
              </w:rPr>
            </w:pPr>
            <w:r w:rsidRPr="23B9E151">
              <w:t>(</w:t>
            </w:r>
            <w:r w:rsidRPr="08D4D6A2">
              <w:rPr>
                <w:i/>
                <w:iCs/>
              </w:rPr>
              <w:t>43</w:t>
            </w:r>
            <w:r w:rsidRPr="23B9E151">
              <w:t>)</w:t>
            </w:r>
          </w:p>
        </w:tc>
        <w:tc>
          <w:tcPr>
            <w:tcW w:w="904" w:type="dxa"/>
            <w:tcBorders>
              <w:top w:val="single" w:sz="4" w:space="0" w:color="auto"/>
              <w:bottom w:val="single" w:sz="4" w:space="0" w:color="auto"/>
            </w:tcBorders>
          </w:tcPr>
          <w:p w14:paraId="0A2C9650" w14:textId="0BBF88AD" w:rsidR="005B55F2" w:rsidRPr="006C4BE0" w:rsidRDefault="00CC034B">
            <w:pPr>
              <w:ind w:right="14"/>
              <w:jc w:val="center"/>
              <w:rPr>
                <w:sz w:val="24"/>
                <w:szCs w:val="24"/>
                <w:vertAlign w:val="superscript"/>
              </w:rPr>
            </w:pPr>
            <w:r w:rsidRPr="08D4D6A2">
              <w:rPr>
                <w:i/>
                <w:iCs/>
              </w:rPr>
              <w:t xml:space="preserve">  </w:t>
            </w:r>
            <w:proofErr w:type="spellStart"/>
            <w:r w:rsidR="005B55F2" w:rsidRPr="08D4D6A2">
              <w:rPr>
                <w:i/>
                <w:iCs/>
              </w:rPr>
              <w:t>p</w:t>
            </w:r>
            <w:r w:rsidR="005B55F2" w:rsidRPr="002D14BD">
              <w:rPr>
                <w:vertAlign w:val="superscript"/>
              </w:rPr>
              <w:t>b</w:t>
            </w:r>
            <w:proofErr w:type="spellEnd"/>
          </w:p>
        </w:tc>
      </w:tr>
      <w:tr w:rsidR="005B55F2" w:rsidRPr="008406E5" w14:paraId="70FEF4DA" w14:textId="77777777" w:rsidTr="006C4BE0">
        <w:tc>
          <w:tcPr>
            <w:tcW w:w="1643" w:type="dxa"/>
            <w:tcBorders>
              <w:top w:val="single" w:sz="4" w:space="0" w:color="auto"/>
            </w:tcBorders>
          </w:tcPr>
          <w:p w14:paraId="71159D7D" w14:textId="77777777" w:rsidR="005B55F2" w:rsidRPr="006C4BE0" w:rsidRDefault="005B55F2">
            <w:pPr>
              <w:ind w:right="14"/>
              <w:rPr>
                <w:sz w:val="24"/>
                <w:szCs w:val="24"/>
              </w:rPr>
            </w:pPr>
            <w:r w:rsidRPr="0031117D">
              <w:t>Gender</w:t>
            </w:r>
          </w:p>
        </w:tc>
        <w:tc>
          <w:tcPr>
            <w:tcW w:w="2373" w:type="dxa"/>
            <w:tcBorders>
              <w:top w:val="single" w:sz="4" w:space="0" w:color="auto"/>
            </w:tcBorders>
          </w:tcPr>
          <w:p w14:paraId="6547BCD1" w14:textId="77777777" w:rsidR="005B55F2" w:rsidRPr="008406E5" w:rsidRDefault="005B55F2" w:rsidP="0031117D">
            <w:pPr>
              <w:ind w:right="14"/>
              <w:rPr>
                <w:sz w:val="24"/>
                <w:szCs w:val="24"/>
              </w:rPr>
            </w:pPr>
            <w:r w:rsidRPr="008406E5">
              <w:rPr>
                <w:sz w:val="24"/>
                <w:szCs w:val="24"/>
              </w:rPr>
              <w:t>Male</w:t>
            </w:r>
          </w:p>
          <w:p w14:paraId="0C239A3C" w14:textId="77777777" w:rsidR="005B55F2" w:rsidRPr="008406E5" w:rsidRDefault="005B55F2" w:rsidP="0031117D">
            <w:pPr>
              <w:ind w:right="14"/>
              <w:rPr>
                <w:sz w:val="24"/>
                <w:szCs w:val="24"/>
              </w:rPr>
            </w:pPr>
            <w:r w:rsidRPr="008406E5">
              <w:rPr>
                <w:sz w:val="24"/>
                <w:szCs w:val="24"/>
              </w:rPr>
              <w:t>Female</w:t>
            </w:r>
          </w:p>
          <w:p w14:paraId="4CE0B062" w14:textId="77777777" w:rsidR="005B55F2" w:rsidRPr="008406E5" w:rsidRDefault="005B55F2" w:rsidP="0031117D">
            <w:pPr>
              <w:ind w:right="14"/>
              <w:rPr>
                <w:sz w:val="24"/>
                <w:szCs w:val="24"/>
              </w:rPr>
            </w:pPr>
          </w:p>
        </w:tc>
        <w:tc>
          <w:tcPr>
            <w:tcW w:w="801" w:type="dxa"/>
            <w:tcBorders>
              <w:top w:val="single" w:sz="4" w:space="0" w:color="auto"/>
            </w:tcBorders>
          </w:tcPr>
          <w:p w14:paraId="62DB8F78" w14:textId="77777777" w:rsidR="005B55F2" w:rsidRPr="008406E5" w:rsidRDefault="005B55F2" w:rsidP="0031117D">
            <w:pPr>
              <w:ind w:right="14"/>
              <w:jc w:val="right"/>
              <w:rPr>
                <w:sz w:val="24"/>
                <w:szCs w:val="24"/>
              </w:rPr>
            </w:pPr>
            <w:r w:rsidRPr="008406E5">
              <w:rPr>
                <w:sz w:val="24"/>
                <w:szCs w:val="24"/>
              </w:rPr>
              <w:t>11</w:t>
            </w:r>
          </w:p>
          <w:p w14:paraId="1C1BCFB4" w14:textId="77777777" w:rsidR="005B55F2" w:rsidRPr="008406E5" w:rsidRDefault="005B55F2" w:rsidP="0031117D">
            <w:pPr>
              <w:ind w:right="14"/>
              <w:jc w:val="right"/>
              <w:rPr>
                <w:sz w:val="24"/>
                <w:szCs w:val="24"/>
              </w:rPr>
            </w:pPr>
            <w:r w:rsidRPr="008406E5">
              <w:rPr>
                <w:sz w:val="24"/>
                <w:szCs w:val="24"/>
              </w:rPr>
              <w:t>33</w:t>
            </w:r>
          </w:p>
        </w:tc>
        <w:tc>
          <w:tcPr>
            <w:tcW w:w="904" w:type="dxa"/>
            <w:tcBorders>
              <w:top w:val="single" w:sz="4" w:space="0" w:color="auto"/>
            </w:tcBorders>
          </w:tcPr>
          <w:p w14:paraId="71FBEF73" w14:textId="77777777" w:rsidR="005B55F2" w:rsidRPr="008406E5" w:rsidRDefault="005B55F2" w:rsidP="0031117D">
            <w:pPr>
              <w:ind w:right="14"/>
              <w:jc w:val="right"/>
              <w:rPr>
                <w:sz w:val="24"/>
                <w:szCs w:val="24"/>
              </w:rPr>
            </w:pPr>
            <w:r w:rsidRPr="008406E5">
              <w:rPr>
                <w:sz w:val="24"/>
                <w:szCs w:val="24"/>
              </w:rPr>
              <w:t>7</w:t>
            </w:r>
          </w:p>
          <w:p w14:paraId="691DFE6B" w14:textId="77777777" w:rsidR="005B55F2" w:rsidRPr="008406E5" w:rsidRDefault="005B55F2" w:rsidP="0031117D">
            <w:pPr>
              <w:ind w:right="14"/>
              <w:jc w:val="right"/>
              <w:rPr>
                <w:sz w:val="24"/>
                <w:szCs w:val="24"/>
              </w:rPr>
            </w:pPr>
            <w:r w:rsidRPr="008406E5">
              <w:rPr>
                <w:sz w:val="24"/>
                <w:szCs w:val="24"/>
              </w:rPr>
              <w:t>36</w:t>
            </w:r>
          </w:p>
        </w:tc>
        <w:tc>
          <w:tcPr>
            <w:tcW w:w="904" w:type="dxa"/>
            <w:tcBorders>
              <w:top w:val="single" w:sz="4" w:space="0" w:color="auto"/>
            </w:tcBorders>
          </w:tcPr>
          <w:p w14:paraId="3EB64196" w14:textId="47CB21D6" w:rsidR="005B55F2" w:rsidRPr="008406E5" w:rsidRDefault="005B55F2" w:rsidP="0031117D">
            <w:pPr>
              <w:ind w:right="14"/>
              <w:jc w:val="right"/>
              <w:rPr>
                <w:sz w:val="24"/>
                <w:szCs w:val="24"/>
              </w:rPr>
            </w:pPr>
            <w:r w:rsidRPr="008406E5">
              <w:rPr>
                <w:sz w:val="24"/>
                <w:szCs w:val="24"/>
              </w:rPr>
              <w:t>0.</w:t>
            </w:r>
            <w:r w:rsidR="00363C60">
              <w:rPr>
                <w:sz w:val="24"/>
                <w:szCs w:val="24"/>
              </w:rPr>
              <w:t>32</w:t>
            </w:r>
          </w:p>
        </w:tc>
      </w:tr>
      <w:tr w:rsidR="005B55F2" w:rsidRPr="008406E5" w14:paraId="7E890F5B" w14:textId="77777777" w:rsidTr="08D4D6A2">
        <w:tc>
          <w:tcPr>
            <w:tcW w:w="1643" w:type="dxa"/>
          </w:tcPr>
          <w:p w14:paraId="0004357A" w14:textId="77777777" w:rsidR="005B55F2" w:rsidRPr="006C4BE0" w:rsidRDefault="005B55F2">
            <w:pPr>
              <w:ind w:right="14"/>
              <w:rPr>
                <w:sz w:val="24"/>
                <w:szCs w:val="24"/>
              </w:rPr>
            </w:pPr>
            <w:r w:rsidRPr="0031117D">
              <w:t>Age</w:t>
            </w:r>
          </w:p>
        </w:tc>
        <w:tc>
          <w:tcPr>
            <w:tcW w:w="2373" w:type="dxa"/>
          </w:tcPr>
          <w:p w14:paraId="3C843A8C" w14:textId="77777777" w:rsidR="005B55F2" w:rsidRPr="008406E5" w:rsidRDefault="005B55F2" w:rsidP="0031117D">
            <w:pPr>
              <w:ind w:right="14"/>
              <w:rPr>
                <w:sz w:val="24"/>
                <w:szCs w:val="24"/>
              </w:rPr>
            </w:pPr>
            <w:r w:rsidRPr="008406E5">
              <w:rPr>
                <w:sz w:val="24"/>
                <w:szCs w:val="24"/>
              </w:rPr>
              <w:t xml:space="preserve"> 6-12 </w:t>
            </w:r>
            <w:proofErr w:type="gramStart"/>
            <w:r w:rsidRPr="008406E5">
              <w:rPr>
                <w:sz w:val="24"/>
                <w:szCs w:val="24"/>
              </w:rPr>
              <w:t>years</w:t>
            </w:r>
            <w:proofErr w:type="gramEnd"/>
            <w:r w:rsidRPr="008406E5">
              <w:rPr>
                <w:sz w:val="24"/>
                <w:szCs w:val="24"/>
              </w:rPr>
              <w:t xml:space="preserve"> old</w:t>
            </w:r>
          </w:p>
          <w:p w14:paraId="37C6F3AA" w14:textId="77777777" w:rsidR="005B55F2" w:rsidRPr="008406E5" w:rsidRDefault="005B55F2" w:rsidP="0031117D">
            <w:pPr>
              <w:ind w:right="14"/>
              <w:rPr>
                <w:sz w:val="24"/>
                <w:szCs w:val="24"/>
              </w:rPr>
            </w:pPr>
            <w:r w:rsidRPr="008406E5">
              <w:rPr>
                <w:sz w:val="24"/>
                <w:szCs w:val="24"/>
              </w:rPr>
              <w:t xml:space="preserve">13-15 </w:t>
            </w:r>
            <w:proofErr w:type="gramStart"/>
            <w:r w:rsidRPr="008406E5">
              <w:rPr>
                <w:sz w:val="24"/>
                <w:szCs w:val="24"/>
              </w:rPr>
              <w:t>years</w:t>
            </w:r>
            <w:proofErr w:type="gramEnd"/>
            <w:r w:rsidRPr="008406E5">
              <w:rPr>
                <w:sz w:val="24"/>
                <w:szCs w:val="24"/>
              </w:rPr>
              <w:t xml:space="preserve"> old</w:t>
            </w:r>
          </w:p>
          <w:p w14:paraId="667E8A2F" w14:textId="77777777" w:rsidR="005B55F2" w:rsidRPr="008406E5" w:rsidRDefault="005B55F2" w:rsidP="0031117D">
            <w:pPr>
              <w:ind w:right="14"/>
              <w:rPr>
                <w:sz w:val="24"/>
                <w:szCs w:val="24"/>
              </w:rPr>
            </w:pPr>
          </w:p>
        </w:tc>
        <w:tc>
          <w:tcPr>
            <w:tcW w:w="801" w:type="dxa"/>
          </w:tcPr>
          <w:p w14:paraId="1F882D94" w14:textId="77777777" w:rsidR="005B55F2" w:rsidRPr="008406E5" w:rsidRDefault="005B55F2" w:rsidP="0031117D">
            <w:pPr>
              <w:ind w:right="14"/>
              <w:jc w:val="right"/>
              <w:rPr>
                <w:sz w:val="24"/>
                <w:szCs w:val="24"/>
              </w:rPr>
            </w:pPr>
            <w:r w:rsidRPr="008406E5">
              <w:rPr>
                <w:sz w:val="24"/>
                <w:szCs w:val="24"/>
              </w:rPr>
              <w:t>24</w:t>
            </w:r>
          </w:p>
          <w:p w14:paraId="46494DF3" w14:textId="77777777" w:rsidR="005B55F2" w:rsidRPr="008406E5" w:rsidRDefault="005B55F2" w:rsidP="0031117D">
            <w:pPr>
              <w:ind w:right="14"/>
              <w:jc w:val="right"/>
              <w:rPr>
                <w:sz w:val="24"/>
                <w:szCs w:val="24"/>
              </w:rPr>
            </w:pPr>
            <w:r w:rsidRPr="008406E5">
              <w:rPr>
                <w:sz w:val="24"/>
                <w:szCs w:val="24"/>
              </w:rPr>
              <w:t>20</w:t>
            </w:r>
          </w:p>
        </w:tc>
        <w:tc>
          <w:tcPr>
            <w:tcW w:w="904" w:type="dxa"/>
          </w:tcPr>
          <w:p w14:paraId="05402C30" w14:textId="77777777" w:rsidR="005B55F2" w:rsidRPr="008406E5" w:rsidRDefault="005B55F2" w:rsidP="0031117D">
            <w:pPr>
              <w:ind w:right="14"/>
              <w:jc w:val="right"/>
              <w:rPr>
                <w:sz w:val="24"/>
                <w:szCs w:val="24"/>
              </w:rPr>
            </w:pPr>
            <w:r w:rsidRPr="008406E5">
              <w:rPr>
                <w:sz w:val="24"/>
                <w:szCs w:val="24"/>
              </w:rPr>
              <w:t>22</w:t>
            </w:r>
          </w:p>
          <w:p w14:paraId="09EBD6CD" w14:textId="77777777" w:rsidR="005B55F2" w:rsidRPr="008406E5" w:rsidRDefault="005B55F2" w:rsidP="0031117D">
            <w:pPr>
              <w:ind w:right="14"/>
              <w:jc w:val="right"/>
              <w:rPr>
                <w:sz w:val="24"/>
                <w:szCs w:val="24"/>
              </w:rPr>
            </w:pPr>
            <w:r w:rsidRPr="008406E5">
              <w:rPr>
                <w:sz w:val="24"/>
                <w:szCs w:val="24"/>
              </w:rPr>
              <w:t>21</w:t>
            </w:r>
          </w:p>
        </w:tc>
        <w:tc>
          <w:tcPr>
            <w:tcW w:w="904" w:type="dxa"/>
          </w:tcPr>
          <w:p w14:paraId="379C3424" w14:textId="56DDDF37" w:rsidR="005B55F2" w:rsidRPr="008406E5" w:rsidRDefault="005B55F2" w:rsidP="0031117D">
            <w:pPr>
              <w:ind w:right="14"/>
              <w:jc w:val="right"/>
              <w:rPr>
                <w:sz w:val="24"/>
                <w:szCs w:val="24"/>
              </w:rPr>
            </w:pPr>
            <w:r w:rsidRPr="008406E5">
              <w:rPr>
                <w:sz w:val="24"/>
                <w:szCs w:val="24"/>
              </w:rPr>
              <w:t>0.</w:t>
            </w:r>
            <w:r w:rsidR="00B07525">
              <w:rPr>
                <w:sz w:val="24"/>
                <w:szCs w:val="24"/>
              </w:rPr>
              <w:t>76</w:t>
            </w:r>
          </w:p>
        </w:tc>
      </w:tr>
      <w:tr w:rsidR="005B55F2" w:rsidRPr="008406E5" w14:paraId="50D375EB" w14:textId="77777777" w:rsidTr="08D4D6A2">
        <w:tc>
          <w:tcPr>
            <w:tcW w:w="1643" w:type="dxa"/>
          </w:tcPr>
          <w:p w14:paraId="6B1F24CB" w14:textId="77777777" w:rsidR="005B55F2" w:rsidRPr="006C4BE0" w:rsidRDefault="005B55F2">
            <w:pPr>
              <w:ind w:right="14"/>
              <w:rPr>
                <w:sz w:val="24"/>
                <w:szCs w:val="24"/>
              </w:rPr>
            </w:pPr>
            <w:r w:rsidRPr="0031117D">
              <w:t>Frequency</w:t>
            </w:r>
          </w:p>
        </w:tc>
        <w:tc>
          <w:tcPr>
            <w:tcW w:w="2373" w:type="dxa"/>
          </w:tcPr>
          <w:p w14:paraId="24D38100" w14:textId="77777777" w:rsidR="005B55F2" w:rsidRPr="008406E5" w:rsidRDefault="005B55F2" w:rsidP="0031117D">
            <w:pPr>
              <w:ind w:right="14"/>
              <w:rPr>
                <w:sz w:val="24"/>
                <w:szCs w:val="24"/>
              </w:rPr>
            </w:pPr>
            <w:r w:rsidRPr="008406E5">
              <w:rPr>
                <w:sz w:val="24"/>
                <w:szCs w:val="24"/>
              </w:rPr>
              <w:t>Single</w:t>
            </w:r>
          </w:p>
          <w:p w14:paraId="61089D36" w14:textId="77777777" w:rsidR="005B55F2" w:rsidRPr="008406E5" w:rsidRDefault="005B55F2" w:rsidP="0031117D">
            <w:pPr>
              <w:ind w:right="14"/>
              <w:rPr>
                <w:sz w:val="24"/>
                <w:szCs w:val="24"/>
              </w:rPr>
            </w:pPr>
            <w:r w:rsidRPr="008406E5">
              <w:rPr>
                <w:sz w:val="24"/>
                <w:szCs w:val="24"/>
              </w:rPr>
              <w:t>Multiple</w:t>
            </w:r>
          </w:p>
          <w:p w14:paraId="22841402" w14:textId="77777777" w:rsidR="005B55F2" w:rsidRPr="008406E5" w:rsidRDefault="005B55F2" w:rsidP="0031117D">
            <w:pPr>
              <w:ind w:right="14"/>
              <w:rPr>
                <w:sz w:val="24"/>
                <w:szCs w:val="24"/>
              </w:rPr>
            </w:pPr>
            <w:r w:rsidRPr="008406E5">
              <w:rPr>
                <w:sz w:val="24"/>
                <w:szCs w:val="24"/>
              </w:rPr>
              <w:t>Unknown</w:t>
            </w:r>
          </w:p>
          <w:p w14:paraId="40006013" w14:textId="77777777" w:rsidR="005B55F2" w:rsidRPr="008406E5" w:rsidRDefault="005B55F2" w:rsidP="0031117D">
            <w:pPr>
              <w:ind w:right="14"/>
              <w:rPr>
                <w:sz w:val="24"/>
                <w:szCs w:val="24"/>
              </w:rPr>
            </w:pPr>
          </w:p>
        </w:tc>
        <w:tc>
          <w:tcPr>
            <w:tcW w:w="801" w:type="dxa"/>
          </w:tcPr>
          <w:p w14:paraId="6972A073" w14:textId="77777777" w:rsidR="005B55F2" w:rsidRPr="008406E5" w:rsidRDefault="005B55F2" w:rsidP="0031117D">
            <w:pPr>
              <w:ind w:right="14"/>
              <w:jc w:val="right"/>
              <w:rPr>
                <w:sz w:val="24"/>
                <w:szCs w:val="24"/>
              </w:rPr>
            </w:pPr>
            <w:r w:rsidRPr="008406E5">
              <w:rPr>
                <w:sz w:val="24"/>
                <w:szCs w:val="24"/>
              </w:rPr>
              <w:t>20</w:t>
            </w:r>
          </w:p>
          <w:p w14:paraId="6D825D07" w14:textId="77777777" w:rsidR="005B55F2" w:rsidRPr="008406E5" w:rsidRDefault="005B55F2" w:rsidP="0031117D">
            <w:pPr>
              <w:ind w:right="14"/>
              <w:jc w:val="right"/>
              <w:rPr>
                <w:sz w:val="24"/>
                <w:szCs w:val="24"/>
              </w:rPr>
            </w:pPr>
            <w:r w:rsidRPr="008406E5">
              <w:rPr>
                <w:sz w:val="24"/>
                <w:szCs w:val="24"/>
              </w:rPr>
              <w:t>23</w:t>
            </w:r>
          </w:p>
          <w:p w14:paraId="3D37BC0C" w14:textId="77777777" w:rsidR="005B55F2" w:rsidRPr="008406E5" w:rsidRDefault="005B55F2" w:rsidP="0031117D">
            <w:pPr>
              <w:ind w:right="14"/>
              <w:jc w:val="right"/>
              <w:rPr>
                <w:sz w:val="24"/>
                <w:szCs w:val="24"/>
              </w:rPr>
            </w:pPr>
            <w:r w:rsidRPr="008406E5">
              <w:rPr>
                <w:sz w:val="24"/>
                <w:szCs w:val="24"/>
              </w:rPr>
              <w:t>1</w:t>
            </w:r>
          </w:p>
        </w:tc>
        <w:tc>
          <w:tcPr>
            <w:tcW w:w="904" w:type="dxa"/>
          </w:tcPr>
          <w:p w14:paraId="1E35DE6B" w14:textId="77777777" w:rsidR="005B55F2" w:rsidRPr="008406E5" w:rsidRDefault="005B55F2" w:rsidP="0031117D">
            <w:pPr>
              <w:ind w:right="14"/>
              <w:jc w:val="right"/>
              <w:rPr>
                <w:sz w:val="24"/>
                <w:szCs w:val="24"/>
              </w:rPr>
            </w:pPr>
            <w:r w:rsidRPr="008406E5">
              <w:rPr>
                <w:sz w:val="24"/>
                <w:szCs w:val="24"/>
              </w:rPr>
              <w:t>16</w:t>
            </w:r>
          </w:p>
          <w:p w14:paraId="13A28258" w14:textId="77777777" w:rsidR="005B55F2" w:rsidRPr="008406E5" w:rsidRDefault="005B55F2" w:rsidP="0031117D">
            <w:pPr>
              <w:ind w:right="14"/>
              <w:jc w:val="right"/>
              <w:rPr>
                <w:sz w:val="24"/>
                <w:szCs w:val="24"/>
              </w:rPr>
            </w:pPr>
            <w:r w:rsidRPr="008406E5">
              <w:rPr>
                <w:sz w:val="24"/>
                <w:szCs w:val="24"/>
              </w:rPr>
              <w:t>21</w:t>
            </w:r>
          </w:p>
          <w:p w14:paraId="5C6F2AC8" w14:textId="77777777" w:rsidR="005B55F2" w:rsidRPr="008406E5" w:rsidRDefault="005B55F2" w:rsidP="0031117D">
            <w:pPr>
              <w:ind w:right="14"/>
              <w:jc w:val="right"/>
              <w:rPr>
                <w:sz w:val="24"/>
                <w:szCs w:val="24"/>
              </w:rPr>
            </w:pPr>
            <w:r w:rsidRPr="008406E5">
              <w:rPr>
                <w:sz w:val="24"/>
                <w:szCs w:val="24"/>
              </w:rPr>
              <w:t>6</w:t>
            </w:r>
          </w:p>
        </w:tc>
        <w:tc>
          <w:tcPr>
            <w:tcW w:w="904" w:type="dxa"/>
          </w:tcPr>
          <w:p w14:paraId="2FC91911" w14:textId="18C91DF8" w:rsidR="005B55F2" w:rsidRPr="008406E5" w:rsidRDefault="005B55F2" w:rsidP="0031117D">
            <w:pPr>
              <w:ind w:right="14"/>
              <w:jc w:val="right"/>
              <w:rPr>
                <w:sz w:val="24"/>
                <w:szCs w:val="24"/>
              </w:rPr>
            </w:pPr>
            <w:r w:rsidRPr="008406E5">
              <w:rPr>
                <w:sz w:val="24"/>
                <w:szCs w:val="24"/>
              </w:rPr>
              <w:t>0.</w:t>
            </w:r>
            <w:r w:rsidR="002D0C12">
              <w:rPr>
                <w:sz w:val="24"/>
                <w:szCs w:val="24"/>
              </w:rPr>
              <w:t>14</w:t>
            </w:r>
          </w:p>
        </w:tc>
      </w:tr>
      <w:tr w:rsidR="005B55F2" w:rsidRPr="008406E5" w14:paraId="3DE4C701" w14:textId="77777777" w:rsidTr="08D4D6A2">
        <w:tc>
          <w:tcPr>
            <w:tcW w:w="1643" w:type="dxa"/>
          </w:tcPr>
          <w:p w14:paraId="5B5FA2EB" w14:textId="77777777" w:rsidR="005B55F2" w:rsidRPr="006C4BE0" w:rsidRDefault="005B55F2">
            <w:pPr>
              <w:ind w:right="14"/>
              <w:rPr>
                <w:sz w:val="24"/>
                <w:szCs w:val="24"/>
              </w:rPr>
            </w:pPr>
            <w:r w:rsidRPr="0031117D">
              <w:t>Intermediary</w:t>
            </w:r>
          </w:p>
        </w:tc>
        <w:tc>
          <w:tcPr>
            <w:tcW w:w="2373" w:type="dxa"/>
          </w:tcPr>
          <w:p w14:paraId="7EF9F672" w14:textId="77777777" w:rsidR="005B55F2" w:rsidRPr="008406E5" w:rsidRDefault="005B55F2" w:rsidP="0031117D">
            <w:pPr>
              <w:tabs>
                <w:tab w:val="center" w:pos="1011"/>
              </w:tabs>
              <w:ind w:right="14"/>
              <w:rPr>
                <w:sz w:val="24"/>
                <w:szCs w:val="24"/>
              </w:rPr>
            </w:pPr>
            <w:r w:rsidRPr="008406E5">
              <w:rPr>
                <w:sz w:val="24"/>
                <w:szCs w:val="24"/>
              </w:rPr>
              <w:t>Yes</w:t>
            </w:r>
          </w:p>
          <w:p w14:paraId="567074E4" w14:textId="77777777" w:rsidR="005B55F2" w:rsidRPr="008406E5" w:rsidRDefault="005B55F2" w:rsidP="0031117D">
            <w:pPr>
              <w:tabs>
                <w:tab w:val="center" w:pos="1011"/>
              </w:tabs>
              <w:ind w:right="14"/>
              <w:rPr>
                <w:sz w:val="24"/>
                <w:szCs w:val="24"/>
              </w:rPr>
            </w:pPr>
            <w:r w:rsidRPr="008406E5">
              <w:rPr>
                <w:sz w:val="24"/>
                <w:szCs w:val="24"/>
              </w:rPr>
              <w:t>No</w:t>
            </w:r>
          </w:p>
          <w:p w14:paraId="334123DF" w14:textId="77777777" w:rsidR="005B55F2" w:rsidRPr="008406E5" w:rsidRDefault="005B55F2" w:rsidP="0031117D">
            <w:pPr>
              <w:tabs>
                <w:tab w:val="center" w:pos="1011"/>
              </w:tabs>
              <w:ind w:right="14"/>
              <w:rPr>
                <w:sz w:val="24"/>
                <w:szCs w:val="24"/>
              </w:rPr>
            </w:pPr>
          </w:p>
        </w:tc>
        <w:tc>
          <w:tcPr>
            <w:tcW w:w="801" w:type="dxa"/>
          </w:tcPr>
          <w:p w14:paraId="650A0211" w14:textId="77777777" w:rsidR="005B55F2" w:rsidRPr="008406E5" w:rsidRDefault="005B55F2" w:rsidP="0031117D">
            <w:pPr>
              <w:ind w:right="14"/>
              <w:jc w:val="right"/>
              <w:rPr>
                <w:sz w:val="24"/>
                <w:szCs w:val="24"/>
              </w:rPr>
            </w:pPr>
            <w:r w:rsidRPr="008406E5">
              <w:rPr>
                <w:sz w:val="24"/>
                <w:szCs w:val="24"/>
              </w:rPr>
              <w:t>6</w:t>
            </w:r>
          </w:p>
          <w:p w14:paraId="4BFE4122" w14:textId="77777777" w:rsidR="005B55F2" w:rsidRPr="008406E5" w:rsidRDefault="005B55F2" w:rsidP="0031117D">
            <w:pPr>
              <w:ind w:right="14"/>
              <w:jc w:val="right"/>
              <w:rPr>
                <w:sz w:val="24"/>
                <w:szCs w:val="24"/>
              </w:rPr>
            </w:pPr>
            <w:r w:rsidRPr="008406E5">
              <w:rPr>
                <w:sz w:val="24"/>
                <w:szCs w:val="24"/>
              </w:rPr>
              <w:t>38</w:t>
            </w:r>
          </w:p>
        </w:tc>
        <w:tc>
          <w:tcPr>
            <w:tcW w:w="904" w:type="dxa"/>
          </w:tcPr>
          <w:p w14:paraId="741591F6" w14:textId="77777777" w:rsidR="005B55F2" w:rsidRPr="008406E5" w:rsidRDefault="005B55F2" w:rsidP="0031117D">
            <w:pPr>
              <w:ind w:right="14"/>
              <w:jc w:val="right"/>
              <w:rPr>
                <w:sz w:val="24"/>
                <w:szCs w:val="24"/>
              </w:rPr>
            </w:pPr>
            <w:r w:rsidRPr="008406E5">
              <w:rPr>
                <w:sz w:val="24"/>
                <w:szCs w:val="24"/>
              </w:rPr>
              <w:t>8</w:t>
            </w:r>
          </w:p>
          <w:p w14:paraId="7A8D77AF" w14:textId="77777777" w:rsidR="005B55F2" w:rsidRPr="008406E5" w:rsidRDefault="005B55F2" w:rsidP="0031117D">
            <w:pPr>
              <w:ind w:right="14"/>
              <w:jc w:val="right"/>
              <w:rPr>
                <w:sz w:val="24"/>
                <w:szCs w:val="24"/>
              </w:rPr>
            </w:pPr>
            <w:r w:rsidRPr="008406E5">
              <w:rPr>
                <w:sz w:val="24"/>
                <w:szCs w:val="24"/>
              </w:rPr>
              <w:t>35</w:t>
            </w:r>
          </w:p>
        </w:tc>
        <w:tc>
          <w:tcPr>
            <w:tcW w:w="904" w:type="dxa"/>
          </w:tcPr>
          <w:p w14:paraId="20357561" w14:textId="768F7687" w:rsidR="005B55F2" w:rsidRPr="008406E5" w:rsidRDefault="005B55F2" w:rsidP="0031117D">
            <w:pPr>
              <w:ind w:right="14"/>
              <w:jc w:val="right"/>
              <w:rPr>
                <w:sz w:val="24"/>
                <w:szCs w:val="24"/>
              </w:rPr>
            </w:pPr>
            <w:r w:rsidRPr="008406E5">
              <w:rPr>
                <w:sz w:val="24"/>
                <w:szCs w:val="24"/>
              </w:rPr>
              <w:t>0.5</w:t>
            </w:r>
            <w:r w:rsidR="00394536">
              <w:rPr>
                <w:sz w:val="24"/>
                <w:szCs w:val="24"/>
              </w:rPr>
              <w:t>3</w:t>
            </w:r>
          </w:p>
        </w:tc>
      </w:tr>
      <w:tr w:rsidR="005B55F2" w:rsidRPr="008406E5" w14:paraId="6E53C724" w14:textId="77777777" w:rsidTr="08D4D6A2">
        <w:tc>
          <w:tcPr>
            <w:tcW w:w="1643" w:type="dxa"/>
          </w:tcPr>
          <w:p w14:paraId="0CB3571F" w14:textId="77777777" w:rsidR="005B55F2" w:rsidRPr="006C4BE0" w:rsidRDefault="005B55F2">
            <w:pPr>
              <w:ind w:right="14"/>
              <w:rPr>
                <w:sz w:val="24"/>
                <w:szCs w:val="24"/>
              </w:rPr>
            </w:pPr>
            <w:r w:rsidRPr="0031117D">
              <w:t xml:space="preserve">GRH </w:t>
            </w:r>
          </w:p>
          <w:p w14:paraId="5721E700" w14:textId="77777777" w:rsidR="005B55F2" w:rsidRPr="008406E5" w:rsidRDefault="005B55F2" w:rsidP="0031117D">
            <w:pPr>
              <w:ind w:right="14"/>
              <w:rPr>
                <w:sz w:val="24"/>
                <w:szCs w:val="24"/>
              </w:rPr>
            </w:pPr>
          </w:p>
        </w:tc>
        <w:tc>
          <w:tcPr>
            <w:tcW w:w="2373" w:type="dxa"/>
          </w:tcPr>
          <w:p w14:paraId="4AA7C151" w14:textId="77777777" w:rsidR="005B55F2" w:rsidRPr="008406E5" w:rsidRDefault="005B55F2" w:rsidP="0031117D">
            <w:pPr>
              <w:ind w:right="14"/>
              <w:rPr>
                <w:sz w:val="24"/>
                <w:szCs w:val="24"/>
              </w:rPr>
            </w:pPr>
            <w:r w:rsidRPr="008406E5">
              <w:rPr>
                <w:sz w:val="24"/>
                <w:szCs w:val="24"/>
              </w:rPr>
              <w:t>Yes</w:t>
            </w:r>
          </w:p>
          <w:p w14:paraId="20B023DC" w14:textId="77777777" w:rsidR="005B55F2" w:rsidRPr="008406E5" w:rsidRDefault="005B55F2" w:rsidP="0031117D">
            <w:pPr>
              <w:ind w:right="14"/>
              <w:rPr>
                <w:sz w:val="24"/>
                <w:szCs w:val="24"/>
              </w:rPr>
            </w:pPr>
            <w:r w:rsidRPr="008406E5">
              <w:rPr>
                <w:sz w:val="24"/>
                <w:szCs w:val="24"/>
              </w:rPr>
              <w:t>No</w:t>
            </w:r>
          </w:p>
          <w:p w14:paraId="205C63D3" w14:textId="77777777" w:rsidR="005B55F2" w:rsidRPr="008406E5" w:rsidRDefault="005B55F2" w:rsidP="0031117D">
            <w:pPr>
              <w:ind w:right="14"/>
              <w:rPr>
                <w:sz w:val="24"/>
                <w:szCs w:val="24"/>
              </w:rPr>
            </w:pPr>
          </w:p>
        </w:tc>
        <w:tc>
          <w:tcPr>
            <w:tcW w:w="801" w:type="dxa"/>
          </w:tcPr>
          <w:p w14:paraId="136E5246" w14:textId="77777777" w:rsidR="005B55F2" w:rsidRPr="008406E5" w:rsidRDefault="005B55F2" w:rsidP="0031117D">
            <w:pPr>
              <w:ind w:right="14"/>
              <w:jc w:val="right"/>
              <w:rPr>
                <w:sz w:val="24"/>
                <w:szCs w:val="24"/>
              </w:rPr>
            </w:pPr>
            <w:r w:rsidRPr="008406E5">
              <w:rPr>
                <w:sz w:val="24"/>
                <w:szCs w:val="24"/>
              </w:rPr>
              <w:t>6</w:t>
            </w:r>
          </w:p>
          <w:p w14:paraId="0A56F8E3" w14:textId="77777777" w:rsidR="005B55F2" w:rsidRPr="008406E5" w:rsidRDefault="005B55F2" w:rsidP="0031117D">
            <w:pPr>
              <w:ind w:right="14"/>
              <w:jc w:val="right"/>
              <w:rPr>
                <w:sz w:val="24"/>
                <w:szCs w:val="24"/>
              </w:rPr>
            </w:pPr>
            <w:r w:rsidRPr="008406E5">
              <w:rPr>
                <w:sz w:val="24"/>
                <w:szCs w:val="24"/>
              </w:rPr>
              <w:t>38</w:t>
            </w:r>
          </w:p>
        </w:tc>
        <w:tc>
          <w:tcPr>
            <w:tcW w:w="904" w:type="dxa"/>
          </w:tcPr>
          <w:p w14:paraId="4596CB72" w14:textId="77777777" w:rsidR="005B55F2" w:rsidRPr="008406E5" w:rsidRDefault="005B55F2" w:rsidP="0031117D">
            <w:pPr>
              <w:ind w:right="14"/>
              <w:jc w:val="right"/>
              <w:rPr>
                <w:sz w:val="24"/>
                <w:szCs w:val="24"/>
              </w:rPr>
            </w:pPr>
            <w:r w:rsidRPr="008406E5">
              <w:rPr>
                <w:sz w:val="24"/>
                <w:szCs w:val="24"/>
              </w:rPr>
              <w:t>43</w:t>
            </w:r>
          </w:p>
          <w:p w14:paraId="4507A9FB" w14:textId="77777777" w:rsidR="005B55F2" w:rsidRPr="008406E5" w:rsidRDefault="005B55F2" w:rsidP="0031117D">
            <w:pPr>
              <w:ind w:right="14"/>
              <w:jc w:val="right"/>
              <w:rPr>
                <w:sz w:val="24"/>
                <w:szCs w:val="24"/>
              </w:rPr>
            </w:pPr>
            <w:r w:rsidRPr="008406E5">
              <w:rPr>
                <w:sz w:val="24"/>
                <w:szCs w:val="24"/>
              </w:rPr>
              <w:t>0</w:t>
            </w:r>
          </w:p>
        </w:tc>
        <w:tc>
          <w:tcPr>
            <w:tcW w:w="904" w:type="dxa"/>
          </w:tcPr>
          <w:p w14:paraId="5210ECA8" w14:textId="6E95AC00" w:rsidR="005B55F2" w:rsidRPr="008406E5" w:rsidRDefault="00F51D7F" w:rsidP="0031117D">
            <w:pPr>
              <w:ind w:right="14"/>
              <w:jc w:val="right"/>
              <w:rPr>
                <w:sz w:val="24"/>
                <w:szCs w:val="24"/>
              </w:rPr>
            </w:pPr>
            <w:r>
              <w:rPr>
                <w:sz w:val="24"/>
                <w:szCs w:val="24"/>
              </w:rPr>
              <w:t xml:space="preserve"> </w:t>
            </w:r>
            <w:r w:rsidR="005B55F2" w:rsidRPr="008406E5">
              <w:rPr>
                <w:sz w:val="24"/>
                <w:szCs w:val="24"/>
              </w:rPr>
              <w:t>0 .00*</w:t>
            </w:r>
          </w:p>
        </w:tc>
      </w:tr>
      <w:tr w:rsidR="005B55F2" w:rsidRPr="008406E5" w14:paraId="7C06A1E9" w14:textId="77777777" w:rsidTr="08D4D6A2">
        <w:tc>
          <w:tcPr>
            <w:tcW w:w="1643" w:type="dxa"/>
          </w:tcPr>
          <w:p w14:paraId="1F0B8F50" w14:textId="77777777" w:rsidR="005B55F2" w:rsidRPr="006C4BE0" w:rsidRDefault="005B55F2">
            <w:pPr>
              <w:ind w:right="14"/>
              <w:rPr>
                <w:sz w:val="24"/>
                <w:szCs w:val="24"/>
              </w:rPr>
            </w:pPr>
            <w:r w:rsidRPr="0031117D">
              <w:t>Severity</w:t>
            </w:r>
          </w:p>
        </w:tc>
        <w:tc>
          <w:tcPr>
            <w:tcW w:w="2373" w:type="dxa"/>
          </w:tcPr>
          <w:p w14:paraId="1985C4CF" w14:textId="77777777" w:rsidR="005B55F2" w:rsidRPr="008406E5" w:rsidRDefault="005B55F2" w:rsidP="0031117D">
            <w:pPr>
              <w:ind w:right="14"/>
              <w:rPr>
                <w:sz w:val="24"/>
                <w:szCs w:val="24"/>
              </w:rPr>
            </w:pPr>
            <w:r w:rsidRPr="008406E5">
              <w:rPr>
                <w:sz w:val="24"/>
                <w:szCs w:val="24"/>
              </w:rPr>
              <w:t>Rape</w:t>
            </w:r>
          </w:p>
          <w:p w14:paraId="3BDBFD62" w14:textId="77777777" w:rsidR="005B55F2" w:rsidRPr="008406E5" w:rsidRDefault="005B55F2" w:rsidP="0031117D">
            <w:pPr>
              <w:ind w:right="14"/>
              <w:rPr>
                <w:sz w:val="24"/>
                <w:szCs w:val="24"/>
              </w:rPr>
            </w:pPr>
            <w:r w:rsidRPr="008406E5">
              <w:rPr>
                <w:sz w:val="24"/>
                <w:szCs w:val="24"/>
              </w:rPr>
              <w:t>Penetration</w:t>
            </w:r>
          </w:p>
          <w:p w14:paraId="01947DAF" w14:textId="77777777" w:rsidR="005B55F2" w:rsidRPr="008406E5" w:rsidRDefault="005B55F2" w:rsidP="0031117D">
            <w:pPr>
              <w:ind w:right="14"/>
              <w:rPr>
                <w:sz w:val="24"/>
                <w:szCs w:val="24"/>
              </w:rPr>
            </w:pPr>
            <w:r w:rsidRPr="008406E5">
              <w:rPr>
                <w:sz w:val="24"/>
                <w:szCs w:val="24"/>
              </w:rPr>
              <w:t>Sexual Assault</w:t>
            </w:r>
          </w:p>
          <w:p w14:paraId="38A65753" w14:textId="77777777" w:rsidR="005B55F2" w:rsidRPr="008406E5" w:rsidRDefault="005B55F2" w:rsidP="0031117D">
            <w:pPr>
              <w:ind w:right="14"/>
              <w:rPr>
                <w:sz w:val="24"/>
                <w:szCs w:val="24"/>
              </w:rPr>
            </w:pPr>
            <w:r w:rsidRPr="008406E5">
              <w:rPr>
                <w:sz w:val="24"/>
                <w:szCs w:val="24"/>
              </w:rPr>
              <w:t>Sexual Activity</w:t>
            </w:r>
          </w:p>
          <w:p w14:paraId="6070E032" w14:textId="77777777" w:rsidR="005B55F2" w:rsidRPr="008406E5" w:rsidRDefault="005B55F2" w:rsidP="0031117D">
            <w:pPr>
              <w:ind w:right="14"/>
              <w:rPr>
                <w:sz w:val="24"/>
                <w:szCs w:val="24"/>
              </w:rPr>
            </w:pPr>
            <w:r w:rsidRPr="008406E5">
              <w:rPr>
                <w:sz w:val="24"/>
                <w:szCs w:val="24"/>
              </w:rPr>
              <w:t>Inciting to Engage</w:t>
            </w:r>
          </w:p>
          <w:p w14:paraId="6555C9AF" w14:textId="77777777" w:rsidR="005B55F2" w:rsidRPr="008406E5" w:rsidRDefault="005B55F2" w:rsidP="0031117D">
            <w:pPr>
              <w:ind w:right="14"/>
              <w:rPr>
                <w:sz w:val="24"/>
                <w:szCs w:val="24"/>
              </w:rPr>
            </w:pPr>
            <w:r w:rsidRPr="008406E5">
              <w:rPr>
                <w:sz w:val="24"/>
                <w:szCs w:val="24"/>
              </w:rPr>
              <w:t>Grooming</w:t>
            </w:r>
          </w:p>
          <w:p w14:paraId="27273184" w14:textId="77777777" w:rsidR="005B55F2" w:rsidRPr="008406E5" w:rsidRDefault="005B55F2" w:rsidP="0031117D">
            <w:pPr>
              <w:ind w:right="14"/>
              <w:rPr>
                <w:sz w:val="24"/>
                <w:szCs w:val="24"/>
              </w:rPr>
            </w:pPr>
          </w:p>
        </w:tc>
        <w:tc>
          <w:tcPr>
            <w:tcW w:w="801" w:type="dxa"/>
          </w:tcPr>
          <w:p w14:paraId="25A360DB" w14:textId="77777777" w:rsidR="005B55F2" w:rsidRPr="008406E5" w:rsidRDefault="005B55F2" w:rsidP="0031117D">
            <w:pPr>
              <w:ind w:right="14"/>
              <w:jc w:val="right"/>
              <w:rPr>
                <w:sz w:val="24"/>
                <w:szCs w:val="24"/>
              </w:rPr>
            </w:pPr>
            <w:r w:rsidRPr="008406E5">
              <w:rPr>
                <w:sz w:val="24"/>
                <w:szCs w:val="24"/>
              </w:rPr>
              <w:t>16</w:t>
            </w:r>
          </w:p>
          <w:p w14:paraId="07C78B7A" w14:textId="77777777" w:rsidR="005B55F2" w:rsidRPr="008406E5" w:rsidRDefault="005B55F2" w:rsidP="0031117D">
            <w:pPr>
              <w:ind w:right="14"/>
              <w:jc w:val="right"/>
              <w:rPr>
                <w:sz w:val="24"/>
                <w:szCs w:val="24"/>
              </w:rPr>
            </w:pPr>
            <w:r w:rsidRPr="008406E5">
              <w:rPr>
                <w:sz w:val="24"/>
                <w:szCs w:val="24"/>
              </w:rPr>
              <w:t>3</w:t>
            </w:r>
          </w:p>
          <w:p w14:paraId="0D3E799A" w14:textId="77777777" w:rsidR="005B55F2" w:rsidRPr="008406E5" w:rsidRDefault="005B55F2" w:rsidP="0031117D">
            <w:pPr>
              <w:ind w:right="14"/>
              <w:jc w:val="right"/>
              <w:rPr>
                <w:sz w:val="24"/>
                <w:szCs w:val="24"/>
              </w:rPr>
            </w:pPr>
            <w:r w:rsidRPr="008406E5">
              <w:rPr>
                <w:sz w:val="24"/>
                <w:szCs w:val="24"/>
              </w:rPr>
              <w:t>14</w:t>
            </w:r>
          </w:p>
          <w:p w14:paraId="30CBB7DA" w14:textId="77777777" w:rsidR="005B55F2" w:rsidRPr="008406E5" w:rsidRDefault="005B55F2" w:rsidP="0031117D">
            <w:pPr>
              <w:ind w:right="14"/>
              <w:jc w:val="right"/>
              <w:rPr>
                <w:sz w:val="24"/>
                <w:szCs w:val="24"/>
              </w:rPr>
            </w:pPr>
            <w:r w:rsidRPr="008406E5">
              <w:rPr>
                <w:sz w:val="24"/>
                <w:szCs w:val="24"/>
              </w:rPr>
              <w:t>7</w:t>
            </w:r>
          </w:p>
          <w:p w14:paraId="1258F4CC" w14:textId="77777777" w:rsidR="005B55F2" w:rsidRPr="008406E5" w:rsidRDefault="005B55F2" w:rsidP="0031117D">
            <w:pPr>
              <w:ind w:right="14"/>
              <w:jc w:val="right"/>
              <w:rPr>
                <w:sz w:val="24"/>
                <w:szCs w:val="24"/>
              </w:rPr>
            </w:pPr>
            <w:r w:rsidRPr="008406E5">
              <w:rPr>
                <w:sz w:val="24"/>
                <w:szCs w:val="24"/>
              </w:rPr>
              <w:t>4</w:t>
            </w:r>
          </w:p>
          <w:p w14:paraId="79B3FE56" w14:textId="77777777" w:rsidR="005B55F2" w:rsidRPr="008406E5" w:rsidRDefault="005B55F2" w:rsidP="0031117D">
            <w:pPr>
              <w:ind w:right="14"/>
              <w:jc w:val="right"/>
              <w:rPr>
                <w:sz w:val="24"/>
                <w:szCs w:val="24"/>
              </w:rPr>
            </w:pPr>
            <w:r w:rsidRPr="008406E5">
              <w:rPr>
                <w:sz w:val="24"/>
                <w:szCs w:val="24"/>
              </w:rPr>
              <w:t>0</w:t>
            </w:r>
          </w:p>
        </w:tc>
        <w:tc>
          <w:tcPr>
            <w:tcW w:w="904" w:type="dxa"/>
          </w:tcPr>
          <w:p w14:paraId="09312D58" w14:textId="77777777" w:rsidR="005B55F2" w:rsidRPr="008406E5" w:rsidRDefault="005B55F2" w:rsidP="0031117D">
            <w:pPr>
              <w:ind w:right="14"/>
              <w:jc w:val="right"/>
              <w:rPr>
                <w:sz w:val="24"/>
                <w:szCs w:val="24"/>
              </w:rPr>
            </w:pPr>
            <w:r w:rsidRPr="008406E5">
              <w:rPr>
                <w:sz w:val="24"/>
                <w:szCs w:val="24"/>
              </w:rPr>
              <w:t>16</w:t>
            </w:r>
          </w:p>
          <w:p w14:paraId="3EA54570" w14:textId="77777777" w:rsidR="005B55F2" w:rsidRPr="008406E5" w:rsidRDefault="005B55F2" w:rsidP="0031117D">
            <w:pPr>
              <w:ind w:right="14"/>
              <w:jc w:val="right"/>
              <w:rPr>
                <w:sz w:val="24"/>
                <w:szCs w:val="24"/>
              </w:rPr>
            </w:pPr>
            <w:r w:rsidRPr="008406E5">
              <w:rPr>
                <w:sz w:val="24"/>
                <w:szCs w:val="24"/>
              </w:rPr>
              <w:t>3</w:t>
            </w:r>
          </w:p>
          <w:p w14:paraId="6565A391" w14:textId="77777777" w:rsidR="005B55F2" w:rsidRPr="008406E5" w:rsidRDefault="005B55F2" w:rsidP="0031117D">
            <w:pPr>
              <w:ind w:right="14"/>
              <w:jc w:val="right"/>
              <w:rPr>
                <w:sz w:val="24"/>
                <w:szCs w:val="24"/>
              </w:rPr>
            </w:pPr>
            <w:r w:rsidRPr="008406E5">
              <w:rPr>
                <w:sz w:val="24"/>
                <w:szCs w:val="24"/>
              </w:rPr>
              <w:t>13</w:t>
            </w:r>
          </w:p>
          <w:p w14:paraId="0740CF44" w14:textId="77777777" w:rsidR="005B55F2" w:rsidRPr="008406E5" w:rsidRDefault="005B55F2" w:rsidP="0031117D">
            <w:pPr>
              <w:ind w:right="14"/>
              <w:jc w:val="right"/>
              <w:rPr>
                <w:sz w:val="24"/>
                <w:szCs w:val="24"/>
              </w:rPr>
            </w:pPr>
            <w:r w:rsidRPr="008406E5">
              <w:rPr>
                <w:sz w:val="24"/>
                <w:szCs w:val="24"/>
              </w:rPr>
              <w:t>10</w:t>
            </w:r>
          </w:p>
          <w:p w14:paraId="5C5C1228" w14:textId="77777777" w:rsidR="005B55F2" w:rsidRPr="008406E5" w:rsidRDefault="005B55F2" w:rsidP="0031117D">
            <w:pPr>
              <w:ind w:right="14"/>
              <w:jc w:val="right"/>
              <w:rPr>
                <w:sz w:val="24"/>
                <w:szCs w:val="24"/>
              </w:rPr>
            </w:pPr>
            <w:r w:rsidRPr="008406E5">
              <w:rPr>
                <w:sz w:val="24"/>
                <w:szCs w:val="24"/>
              </w:rPr>
              <w:t>0</w:t>
            </w:r>
          </w:p>
          <w:p w14:paraId="53317A0C" w14:textId="77777777" w:rsidR="005B55F2" w:rsidRPr="008406E5" w:rsidRDefault="005B55F2" w:rsidP="0031117D">
            <w:pPr>
              <w:ind w:right="14"/>
              <w:jc w:val="right"/>
              <w:rPr>
                <w:sz w:val="24"/>
                <w:szCs w:val="24"/>
              </w:rPr>
            </w:pPr>
            <w:r w:rsidRPr="008406E5">
              <w:rPr>
                <w:sz w:val="24"/>
                <w:szCs w:val="24"/>
              </w:rPr>
              <w:t>1</w:t>
            </w:r>
          </w:p>
        </w:tc>
        <w:tc>
          <w:tcPr>
            <w:tcW w:w="904" w:type="dxa"/>
          </w:tcPr>
          <w:p w14:paraId="2C23FF51" w14:textId="78C30529" w:rsidR="005B55F2" w:rsidRPr="008406E5" w:rsidRDefault="005B44E7" w:rsidP="0031117D">
            <w:pPr>
              <w:ind w:right="14"/>
              <w:jc w:val="right"/>
              <w:rPr>
                <w:sz w:val="24"/>
                <w:szCs w:val="24"/>
              </w:rPr>
            </w:pPr>
            <w:r>
              <w:rPr>
                <w:sz w:val="24"/>
                <w:szCs w:val="24"/>
              </w:rPr>
              <w:t>0.85</w:t>
            </w:r>
          </w:p>
        </w:tc>
      </w:tr>
      <w:tr w:rsidR="005B55F2" w:rsidRPr="008406E5" w14:paraId="34387E15" w14:textId="77777777" w:rsidTr="08D4D6A2">
        <w:tc>
          <w:tcPr>
            <w:tcW w:w="1643" w:type="dxa"/>
          </w:tcPr>
          <w:p w14:paraId="257E5F88" w14:textId="77777777" w:rsidR="005B55F2" w:rsidRPr="006C4BE0" w:rsidRDefault="005B55F2">
            <w:pPr>
              <w:ind w:right="14"/>
              <w:rPr>
                <w:sz w:val="24"/>
                <w:szCs w:val="24"/>
              </w:rPr>
            </w:pPr>
            <w:r w:rsidRPr="0031117D">
              <w:t>Relationship to Child</w:t>
            </w:r>
          </w:p>
          <w:p w14:paraId="7C23AFDB" w14:textId="77777777" w:rsidR="005B55F2" w:rsidRPr="008406E5" w:rsidRDefault="005B55F2" w:rsidP="0031117D">
            <w:pPr>
              <w:ind w:right="14"/>
              <w:rPr>
                <w:sz w:val="24"/>
                <w:szCs w:val="24"/>
              </w:rPr>
            </w:pPr>
          </w:p>
        </w:tc>
        <w:tc>
          <w:tcPr>
            <w:tcW w:w="2373" w:type="dxa"/>
          </w:tcPr>
          <w:p w14:paraId="001E6165" w14:textId="77777777" w:rsidR="005B55F2" w:rsidRPr="008406E5" w:rsidRDefault="005B55F2" w:rsidP="0031117D">
            <w:pPr>
              <w:ind w:right="14"/>
              <w:rPr>
                <w:sz w:val="24"/>
                <w:szCs w:val="24"/>
              </w:rPr>
            </w:pPr>
            <w:r w:rsidRPr="008406E5">
              <w:rPr>
                <w:sz w:val="24"/>
                <w:szCs w:val="24"/>
              </w:rPr>
              <w:t>Father Figure</w:t>
            </w:r>
          </w:p>
          <w:p w14:paraId="288B047C" w14:textId="77777777" w:rsidR="005B55F2" w:rsidRPr="008406E5" w:rsidRDefault="005B55F2" w:rsidP="0031117D">
            <w:pPr>
              <w:ind w:right="14"/>
              <w:rPr>
                <w:sz w:val="24"/>
                <w:szCs w:val="24"/>
              </w:rPr>
            </w:pPr>
            <w:r w:rsidRPr="008406E5">
              <w:rPr>
                <w:sz w:val="24"/>
                <w:szCs w:val="24"/>
              </w:rPr>
              <w:t>Family Member</w:t>
            </w:r>
          </w:p>
          <w:p w14:paraId="7837C3A4" w14:textId="77777777" w:rsidR="005B55F2" w:rsidRPr="008406E5" w:rsidRDefault="005B55F2" w:rsidP="0031117D">
            <w:pPr>
              <w:ind w:right="14"/>
              <w:rPr>
                <w:sz w:val="24"/>
                <w:szCs w:val="24"/>
              </w:rPr>
            </w:pPr>
            <w:r w:rsidRPr="008406E5">
              <w:rPr>
                <w:sz w:val="24"/>
                <w:szCs w:val="24"/>
              </w:rPr>
              <w:t>Friend/Acquaintance</w:t>
            </w:r>
          </w:p>
          <w:p w14:paraId="0E595475" w14:textId="77777777" w:rsidR="005B55F2" w:rsidRPr="008406E5" w:rsidRDefault="005B55F2" w:rsidP="0031117D">
            <w:pPr>
              <w:ind w:right="14"/>
              <w:rPr>
                <w:sz w:val="24"/>
                <w:szCs w:val="24"/>
              </w:rPr>
            </w:pPr>
            <w:r w:rsidRPr="008406E5">
              <w:rPr>
                <w:sz w:val="24"/>
                <w:szCs w:val="24"/>
              </w:rPr>
              <w:t>Stranger</w:t>
            </w:r>
          </w:p>
          <w:p w14:paraId="1409B2F2" w14:textId="77777777" w:rsidR="005B55F2" w:rsidRPr="008406E5" w:rsidRDefault="005B55F2" w:rsidP="0031117D">
            <w:pPr>
              <w:ind w:right="14"/>
              <w:rPr>
                <w:sz w:val="24"/>
                <w:szCs w:val="24"/>
              </w:rPr>
            </w:pPr>
            <w:r w:rsidRPr="008406E5">
              <w:rPr>
                <w:sz w:val="24"/>
                <w:szCs w:val="24"/>
              </w:rPr>
              <w:t>Unable to determine</w:t>
            </w:r>
          </w:p>
          <w:p w14:paraId="5322A85B" w14:textId="77777777" w:rsidR="005B55F2" w:rsidRPr="008406E5" w:rsidRDefault="005B55F2" w:rsidP="0031117D">
            <w:pPr>
              <w:ind w:right="14"/>
              <w:rPr>
                <w:sz w:val="24"/>
                <w:szCs w:val="24"/>
              </w:rPr>
            </w:pPr>
          </w:p>
        </w:tc>
        <w:tc>
          <w:tcPr>
            <w:tcW w:w="801" w:type="dxa"/>
          </w:tcPr>
          <w:p w14:paraId="73A19EF8" w14:textId="77777777" w:rsidR="005B55F2" w:rsidRPr="008406E5" w:rsidRDefault="005B55F2" w:rsidP="0031117D">
            <w:pPr>
              <w:ind w:right="14"/>
              <w:jc w:val="right"/>
              <w:rPr>
                <w:sz w:val="24"/>
                <w:szCs w:val="24"/>
              </w:rPr>
            </w:pPr>
            <w:r w:rsidRPr="008406E5">
              <w:rPr>
                <w:sz w:val="24"/>
                <w:szCs w:val="24"/>
              </w:rPr>
              <w:t>10</w:t>
            </w:r>
          </w:p>
          <w:p w14:paraId="1A5C9039" w14:textId="77777777" w:rsidR="005B55F2" w:rsidRPr="008406E5" w:rsidRDefault="005B55F2" w:rsidP="0031117D">
            <w:pPr>
              <w:ind w:right="14"/>
              <w:jc w:val="right"/>
              <w:rPr>
                <w:sz w:val="24"/>
                <w:szCs w:val="24"/>
              </w:rPr>
            </w:pPr>
            <w:r w:rsidRPr="008406E5">
              <w:rPr>
                <w:sz w:val="24"/>
                <w:szCs w:val="24"/>
              </w:rPr>
              <w:t>12</w:t>
            </w:r>
          </w:p>
          <w:p w14:paraId="6C15A58F" w14:textId="77777777" w:rsidR="005B55F2" w:rsidRPr="008406E5" w:rsidRDefault="005B55F2" w:rsidP="0031117D">
            <w:pPr>
              <w:ind w:right="14"/>
              <w:jc w:val="right"/>
              <w:rPr>
                <w:sz w:val="24"/>
                <w:szCs w:val="24"/>
              </w:rPr>
            </w:pPr>
            <w:r w:rsidRPr="008406E5">
              <w:rPr>
                <w:sz w:val="24"/>
                <w:szCs w:val="24"/>
              </w:rPr>
              <w:t>21</w:t>
            </w:r>
          </w:p>
          <w:p w14:paraId="157D4A66" w14:textId="77777777" w:rsidR="005B55F2" w:rsidRPr="008406E5" w:rsidRDefault="005B55F2" w:rsidP="0031117D">
            <w:pPr>
              <w:ind w:right="14"/>
              <w:jc w:val="right"/>
              <w:rPr>
                <w:sz w:val="24"/>
                <w:szCs w:val="24"/>
              </w:rPr>
            </w:pPr>
            <w:r w:rsidRPr="008406E5">
              <w:rPr>
                <w:sz w:val="24"/>
                <w:szCs w:val="24"/>
              </w:rPr>
              <w:t>0</w:t>
            </w:r>
          </w:p>
          <w:p w14:paraId="029BF0D1" w14:textId="77777777" w:rsidR="005B55F2" w:rsidRPr="008406E5" w:rsidRDefault="005B55F2" w:rsidP="0031117D">
            <w:pPr>
              <w:ind w:right="14"/>
              <w:jc w:val="right"/>
              <w:rPr>
                <w:sz w:val="24"/>
                <w:szCs w:val="24"/>
              </w:rPr>
            </w:pPr>
            <w:r w:rsidRPr="008406E5">
              <w:rPr>
                <w:sz w:val="24"/>
                <w:szCs w:val="24"/>
              </w:rPr>
              <w:t>1</w:t>
            </w:r>
          </w:p>
        </w:tc>
        <w:tc>
          <w:tcPr>
            <w:tcW w:w="904" w:type="dxa"/>
          </w:tcPr>
          <w:p w14:paraId="33723986" w14:textId="77777777" w:rsidR="005B55F2" w:rsidRPr="008406E5" w:rsidRDefault="005B55F2" w:rsidP="0031117D">
            <w:pPr>
              <w:ind w:right="14"/>
              <w:jc w:val="right"/>
              <w:rPr>
                <w:sz w:val="24"/>
                <w:szCs w:val="24"/>
              </w:rPr>
            </w:pPr>
            <w:r w:rsidRPr="008406E5">
              <w:rPr>
                <w:sz w:val="24"/>
                <w:szCs w:val="24"/>
              </w:rPr>
              <w:t>12</w:t>
            </w:r>
          </w:p>
          <w:p w14:paraId="40159AFB" w14:textId="77777777" w:rsidR="005B55F2" w:rsidRPr="008406E5" w:rsidRDefault="005B55F2" w:rsidP="0031117D">
            <w:pPr>
              <w:ind w:right="14"/>
              <w:jc w:val="right"/>
              <w:rPr>
                <w:sz w:val="24"/>
                <w:szCs w:val="24"/>
              </w:rPr>
            </w:pPr>
            <w:r w:rsidRPr="008406E5">
              <w:rPr>
                <w:sz w:val="24"/>
                <w:szCs w:val="24"/>
              </w:rPr>
              <w:t>10</w:t>
            </w:r>
          </w:p>
          <w:p w14:paraId="17E75CBD" w14:textId="77777777" w:rsidR="005B55F2" w:rsidRPr="008406E5" w:rsidRDefault="005B55F2" w:rsidP="0031117D">
            <w:pPr>
              <w:ind w:right="14"/>
              <w:jc w:val="right"/>
              <w:rPr>
                <w:sz w:val="24"/>
                <w:szCs w:val="24"/>
              </w:rPr>
            </w:pPr>
            <w:r w:rsidRPr="008406E5">
              <w:rPr>
                <w:sz w:val="24"/>
                <w:szCs w:val="24"/>
              </w:rPr>
              <w:t>13</w:t>
            </w:r>
          </w:p>
          <w:p w14:paraId="21DD7210" w14:textId="77777777" w:rsidR="005B55F2" w:rsidRPr="008406E5" w:rsidRDefault="005B55F2" w:rsidP="0031117D">
            <w:pPr>
              <w:ind w:right="14"/>
              <w:jc w:val="right"/>
              <w:rPr>
                <w:sz w:val="24"/>
                <w:szCs w:val="24"/>
              </w:rPr>
            </w:pPr>
            <w:r w:rsidRPr="008406E5">
              <w:rPr>
                <w:sz w:val="24"/>
                <w:szCs w:val="24"/>
              </w:rPr>
              <w:t>4</w:t>
            </w:r>
          </w:p>
          <w:p w14:paraId="476D9A84" w14:textId="77777777" w:rsidR="005B55F2" w:rsidRPr="008406E5" w:rsidRDefault="005B55F2" w:rsidP="0031117D">
            <w:pPr>
              <w:ind w:right="14"/>
              <w:jc w:val="right"/>
              <w:rPr>
                <w:sz w:val="24"/>
                <w:szCs w:val="24"/>
              </w:rPr>
            </w:pPr>
            <w:r w:rsidRPr="008406E5">
              <w:rPr>
                <w:sz w:val="24"/>
                <w:szCs w:val="24"/>
              </w:rPr>
              <w:t>4</w:t>
            </w:r>
          </w:p>
        </w:tc>
        <w:tc>
          <w:tcPr>
            <w:tcW w:w="904" w:type="dxa"/>
          </w:tcPr>
          <w:p w14:paraId="52CD9776" w14:textId="6CA9FA4A" w:rsidR="005B55F2" w:rsidRPr="008406E5" w:rsidRDefault="005B55F2" w:rsidP="0031117D">
            <w:pPr>
              <w:ind w:right="14"/>
              <w:jc w:val="right"/>
              <w:rPr>
                <w:sz w:val="24"/>
                <w:szCs w:val="24"/>
              </w:rPr>
            </w:pPr>
            <w:r w:rsidRPr="008406E5">
              <w:rPr>
                <w:sz w:val="24"/>
                <w:szCs w:val="24"/>
              </w:rPr>
              <w:t>0.</w:t>
            </w:r>
            <w:r w:rsidR="00277B33">
              <w:rPr>
                <w:sz w:val="24"/>
                <w:szCs w:val="24"/>
              </w:rPr>
              <w:t>37</w:t>
            </w:r>
          </w:p>
        </w:tc>
      </w:tr>
      <w:tr w:rsidR="005B55F2" w:rsidRPr="008406E5" w14:paraId="168B0E2A" w14:textId="77777777" w:rsidTr="006C4BE0">
        <w:tc>
          <w:tcPr>
            <w:tcW w:w="1643" w:type="dxa"/>
            <w:tcBorders>
              <w:bottom w:val="single" w:sz="4" w:space="0" w:color="auto"/>
            </w:tcBorders>
          </w:tcPr>
          <w:p w14:paraId="7649BAE6" w14:textId="77777777" w:rsidR="005B55F2" w:rsidRPr="006C4BE0" w:rsidRDefault="005B55F2">
            <w:pPr>
              <w:ind w:right="14"/>
              <w:rPr>
                <w:sz w:val="24"/>
                <w:szCs w:val="24"/>
              </w:rPr>
            </w:pPr>
            <w:r w:rsidRPr="0031117D">
              <w:t>Verdict</w:t>
            </w:r>
          </w:p>
        </w:tc>
        <w:tc>
          <w:tcPr>
            <w:tcW w:w="2373" w:type="dxa"/>
            <w:tcBorders>
              <w:bottom w:val="single" w:sz="4" w:space="0" w:color="auto"/>
            </w:tcBorders>
          </w:tcPr>
          <w:p w14:paraId="05941081" w14:textId="77777777" w:rsidR="005B55F2" w:rsidRPr="008406E5" w:rsidRDefault="005B55F2" w:rsidP="0031117D">
            <w:pPr>
              <w:ind w:right="14"/>
              <w:rPr>
                <w:sz w:val="24"/>
                <w:szCs w:val="24"/>
              </w:rPr>
            </w:pPr>
            <w:r w:rsidRPr="008406E5">
              <w:rPr>
                <w:sz w:val="24"/>
                <w:szCs w:val="24"/>
              </w:rPr>
              <w:t>Guilty</w:t>
            </w:r>
          </w:p>
          <w:p w14:paraId="1C49DD96" w14:textId="77777777" w:rsidR="005B55F2" w:rsidRPr="008406E5" w:rsidRDefault="005B55F2" w:rsidP="0031117D">
            <w:pPr>
              <w:ind w:right="14"/>
              <w:rPr>
                <w:sz w:val="24"/>
                <w:szCs w:val="24"/>
              </w:rPr>
            </w:pPr>
            <w:r w:rsidRPr="008406E5">
              <w:rPr>
                <w:sz w:val="24"/>
                <w:szCs w:val="24"/>
              </w:rPr>
              <w:t>Not Guilty</w:t>
            </w:r>
          </w:p>
          <w:p w14:paraId="58C68A39" w14:textId="77777777" w:rsidR="005B55F2" w:rsidRPr="008406E5" w:rsidRDefault="005B55F2" w:rsidP="0031117D">
            <w:pPr>
              <w:ind w:right="14"/>
              <w:rPr>
                <w:sz w:val="24"/>
                <w:szCs w:val="24"/>
              </w:rPr>
            </w:pPr>
          </w:p>
        </w:tc>
        <w:tc>
          <w:tcPr>
            <w:tcW w:w="801" w:type="dxa"/>
            <w:tcBorders>
              <w:bottom w:val="single" w:sz="4" w:space="0" w:color="auto"/>
            </w:tcBorders>
          </w:tcPr>
          <w:p w14:paraId="53B19887" w14:textId="77777777" w:rsidR="005B55F2" w:rsidRPr="008406E5" w:rsidRDefault="005B55F2" w:rsidP="0031117D">
            <w:pPr>
              <w:ind w:right="14"/>
              <w:jc w:val="right"/>
              <w:rPr>
                <w:sz w:val="24"/>
                <w:szCs w:val="24"/>
              </w:rPr>
            </w:pPr>
            <w:r w:rsidRPr="008406E5">
              <w:rPr>
                <w:sz w:val="24"/>
                <w:szCs w:val="24"/>
              </w:rPr>
              <w:t>24</w:t>
            </w:r>
          </w:p>
          <w:p w14:paraId="5F355B7E" w14:textId="77777777" w:rsidR="005B55F2" w:rsidRPr="008406E5" w:rsidRDefault="005B55F2" w:rsidP="0031117D">
            <w:pPr>
              <w:ind w:right="14"/>
              <w:jc w:val="right"/>
              <w:rPr>
                <w:sz w:val="24"/>
                <w:szCs w:val="24"/>
              </w:rPr>
            </w:pPr>
            <w:r w:rsidRPr="008406E5">
              <w:rPr>
                <w:sz w:val="24"/>
                <w:szCs w:val="24"/>
              </w:rPr>
              <w:t>20</w:t>
            </w:r>
          </w:p>
        </w:tc>
        <w:tc>
          <w:tcPr>
            <w:tcW w:w="904" w:type="dxa"/>
            <w:tcBorders>
              <w:bottom w:val="single" w:sz="4" w:space="0" w:color="auto"/>
            </w:tcBorders>
          </w:tcPr>
          <w:p w14:paraId="1D03D28F" w14:textId="77777777" w:rsidR="005B55F2" w:rsidRPr="008406E5" w:rsidRDefault="005B55F2" w:rsidP="0031117D">
            <w:pPr>
              <w:ind w:right="14"/>
              <w:jc w:val="right"/>
              <w:rPr>
                <w:sz w:val="24"/>
                <w:szCs w:val="24"/>
              </w:rPr>
            </w:pPr>
            <w:r w:rsidRPr="008406E5">
              <w:rPr>
                <w:sz w:val="24"/>
                <w:szCs w:val="24"/>
              </w:rPr>
              <w:t>25</w:t>
            </w:r>
          </w:p>
          <w:p w14:paraId="36B16D00" w14:textId="77777777" w:rsidR="005B55F2" w:rsidRPr="008406E5" w:rsidRDefault="005B55F2" w:rsidP="0031117D">
            <w:pPr>
              <w:ind w:right="14"/>
              <w:jc w:val="right"/>
              <w:rPr>
                <w:sz w:val="24"/>
                <w:szCs w:val="24"/>
              </w:rPr>
            </w:pPr>
            <w:r w:rsidRPr="008406E5">
              <w:rPr>
                <w:sz w:val="24"/>
                <w:szCs w:val="24"/>
              </w:rPr>
              <w:t>18</w:t>
            </w:r>
          </w:p>
        </w:tc>
        <w:tc>
          <w:tcPr>
            <w:tcW w:w="904" w:type="dxa"/>
            <w:tcBorders>
              <w:bottom w:val="single" w:sz="4" w:space="0" w:color="auto"/>
            </w:tcBorders>
          </w:tcPr>
          <w:p w14:paraId="4FAF638E" w14:textId="4FF3E796" w:rsidR="005B55F2" w:rsidRPr="008406E5" w:rsidRDefault="005B55F2" w:rsidP="0031117D">
            <w:pPr>
              <w:ind w:right="14"/>
              <w:jc w:val="right"/>
              <w:rPr>
                <w:sz w:val="24"/>
                <w:szCs w:val="24"/>
              </w:rPr>
            </w:pPr>
            <w:r w:rsidRPr="008406E5">
              <w:rPr>
                <w:sz w:val="24"/>
                <w:szCs w:val="24"/>
              </w:rPr>
              <w:t>0.7</w:t>
            </w:r>
            <w:r w:rsidR="00B07525">
              <w:rPr>
                <w:sz w:val="24"/>
                <w:szCs w:val="24"/>
              </w:rPr>
              <w:t>4</w:t>
            </w:r>
          </w:p>
        </w:tc>
      </w:tr>
    </w:tbl>
    <w:p w14:paraId="6FAB10FC" w14:textId="77777777" w:rsidR="005B55F2" w:rsidRPr="00750E0E" w:rsidRDefault="005B55F2" w:rsidP="005B55F2">
      <w:pPr>
        <w:widowControl w:val="0"/>
        <w:autoSpaceDE w:val="0"/>
        <w:autoSpaceDN w:val="0"/>
        <w:adjustRightInd w:val="0"/>
        <w:ind w:left="720" w:hanging="720"/>
        <w:contextualSpacing/>
        <w:rPr>
          <w:sz w:val="20"/>
          <w:szCs w:val="20"/>
          <w:vertAlign w:val="superscript"/>
        </w:rPr>
      </w:pPr>
      <w:r w:rsidRPr="00750E0E">
        <w:rPr>
          <w:sz w:val="20"/>
          <w:szCs w:val="20"/>
          <w:vertAlign w:val="superscript"/>
        </w:rPr>
        <w:t>a</w:t>
      </w:r>
      <w:r w:rsidRPr="00750E0E">
        <w:rPr>
          <w:sz w:val="20"/>
          <w:szCs w:val="20"/>
        </w:rPr>
        <w:t xml:space="preserve"> Variables adapted from </w:t>
      </w:r>
      <w:r w:rsidRPr="002D14BD">
        <w:rPr>
          <w:sz w:val="20"/>
          <w:szCs w:val="20"/>
        </w:rPr>
        <w:t xml:space="preserve">Andrews &amp; Lamb, 2016; </w:t>
      </w:r>
      <w:proofErr w:type="spellStart"/>
      <w:r w:rsidRPr="002D14BD">
        <w:rPr>
          <w:sz w:val="20"/>
          <w:szCs w:val="20"/>
        </w:rPr>
        <w:t>Klemfuss</w:t>
      </w:r>
      <w:proofErr w:type="spellEnd"/>
      <w:r w:rsidRPr="002D14BD">
        <w:rPr>
          <w:sz w:val="20"/>
          <w:szCs w:val="20"/>
        </w:rPr>
        <w:t xml:space="preserve">, </w:t>
      </w:r>
      <w:proofErr w:type="spellStart"/>
      <w:r w:rsidRPr="002D14BD">
        <w:rPr>
          <w:sz w:val="20"/>
          <w:szCs w:val="20"/>
        </w:rPr>
        <w:t>Quas</w:t>
      </w:r>
      <w:proofErr w:type="spellEnd"/>
      <w:r w:rsidRPr="002D14BD">
        <w:rPr>
          <w:sz w:val="20"/>
          <w:szCs w:val="20"/>
        </w:rPr>
        <w:t>, &amp; Lyon, 2014.</w:t>
      </w:r>
    </w:p>
    <w:p w14:paraId="10B78870" w14:textId="77777777" w:rsidR="005B55F2" w:rsidRPr="00750E0E" w:rsidRDefault="005B55F2" w:rsidP="005B55F2">
      <w:pPr>
        <w:widowControl w:val="0"/>
        <w:autoSpaceDE w:val="0"/>
        <w:autoSpaceDN w:val="0"/>
        <w:adjustRightInd w:val="0"/>
        <w:ind w:left="720" w:hanging="720"/>
        <w:contextualSpacing/>
        <w:rPr>
          <w:sz w:val="20"/>
          <w:szCs w:val="20"/>
        </w:rPr>
      </w:pPr>
      <w:r w:rsidRPr="00750E0E">
        <w:rPr>
          <w:sz w:val="20"/>
          <w:szCs w:val="20"/>
          <w:vertAlign w:val="superscript"/>
        </w:rPr>
        <w:t>b</w:t>
      </w:r>
      <w:r w:rsidRPr="00750E0E">
        <w:rPr>
          <w:sz w:val="20"/>
          <w:szCs w:val="20"/>
        </w:rPr>
        <w:t xml:space="preserve"> Binary logistic regression was run to identify any significant differences between the conditions.</w:t>
      </w:r>
    </w:p>
    <w:p w14:paraId="6BF9F1F3" w14:textId="77777777" w:rsidR="005B55F2" w:rsidRPr="008406E5" w:rsidRDefault="005B55F2" w:rsidP="005B55F2">
      <w:pPr>
        <w:ind w:right="14"/>
        <w:jc w:val="center"/>
        <w:rPr>
          <w:i/>
        </w:rPr>
      </w:pPr>
    </w:p>
    <w:p w14:paraId="6EC3D922" w14:textId="77777777" w:rsidR="005B55F2" w:rsidRPr="008406E5" w:rsidRDefault="005B55F2" w:rsidP="005B55F2">
      <w:pPr>
        <w:widowControl w:val="0"/>
        <w:autoSpaceDE w:val="0"/>
        <w:autoSpaceDN w:val="0"/>
        <w:adjustRightInd w:val="0"/>
        <w:spacing w:line="480" w:lineRule="auto"/>
        <w:ind w:left="720" w:hanging="720"/>
        <w:contextualSpacing/>
      </w:pPr>
    </w:p>
    <w:p w14:paraId="6A6DCFE1" w14:textId="77777777" w:rsidR="005B55F2" w:rsidRPr="008406E5" w:rsidRDefault="005B55F2" w:rsidP="005B55F2">
      <w:pPr>
        <w:widowControl w:val="0"/>
        <w:autoSpaceDE w:val="0"/>
        <w:autoSpaceDN w:val="0"/>
        <w:adjustRightInd w:val="0"/>
        <w:spacing w:line="480" w:lineRule="auto"/>
        <w:ind w:left="720" w:hanging="720"/>
        <w:contextualSpacing/>
      </w:pPr>
    </w:p>
    <w:p w14:paraId="11CCE58D" w14:textId="77777777" w:rsidR="005B55F2" w:rsidRDefault="005B55F2" w:rsidP="005B55F2">
      <w:pPr>
        <w:widowControl w:val="0"/>
        <w:autoSpaceDE w:val="0"/>
        <w:autoSpaceDN w:val="0"/>
        <w:adjustRightInd w:val="0"/>
        <w:spacing w:line="480" w:lineRule="auto"/>
        <w:ind w:left="720" w:hanging="720"/>
        <w:contextualSpacing/>
      </w:pPr>
    </w:p>
    <w:p w14:paraId="7C8EFA88" w14:textId="77777777" w:rsidR="005B55F2" w:rsidRPr="008406E5" w:rsidRDefault="005B55F2" w:rsidP="005B55F2">
      <w:pPr>
        <w:widowControl w:val="0"/>
        <w:autoSpaceDE w:val="0"/>
        <w:autoSpaceDN w:val="0"/>
        <w:adjustRightInd w:val="0"/>
        <w:spacing w:line="480" w:lineRule="auto"/>
        <w:ind w:left="720" w:hanging="720"/>
        <w:contextualSpacing/>
      </w:pPr>
    </w:p>
    <w:p w14:paraId="428CA199" w14:textId="77777777" w:rsidR="005B55F2" w:rsidRDefault="005B55F2" w:rsidP="005B55F2">
      <w:pPr>
        <w:spacing w:line="480" w:lineRule="auto"/>
      </w:pPr>
    </w:p>
    <w:p w14:paraId="142E28F9" w14:textId="77777777" w:rsidR="005B55F2" w:rsidRPr="008406E5" w:rsidRDefault="005B55F2" w:rsidP="08D4D6A2">
      <w:pPr>
        <w:spacing w:line="480" w:lineRule="auto"/>
      </w:pPr>
      <w:r w:rsidRPr="008406E5">
        <w:lastRenderedPageBreak/>
        <w:t xml:space="preserve">Table 4 </w:t>
      </w:r>
    </w:p>
    <w:p w14:paraId="49E68BC8" w14:textId="77777777" w:rsidR="005B55F2" w:rsidRPr="006C4BE0" w:rsidRDefault="005B55F2" w:rsidP="006C4BE0">
      <w:pPr>
        <w:spacing w:line="480" w:lineRule="auto"/>
        <w:rPr>
          <w:i/>
          <w:iCs/>
        </w:rPr>
      </w:pPr>
      <w:r w:rsidRPr="08D4D6A2">
        <w:rPr>
          <w:i/>
          <w:iCs/>
        </w:rPr>
        <w:t xml:space="preserve">Non-Substantive and Substantive Questions Asked by Practitioners in S28 and NS28 Conditions </w:t>
      </w:r>
    </w:p>
    <w:tbl>
      <w:tblPr>
        <w:tblStyle w:val="TableGrid"/>
        <w:tblW w:w="11333" w:type="dxa"/>
        <w:tblInd w:w="-993" w:type="dxa"/>
        <w:tblLayout w:type="fixed"/>
        <w:tblLook w:val="04A0" w:firstRow="1" w:lastRow="0" w:firstColumn="1" w:lastColumn="0" w:noHBand="0" w:noVBand="1"/>
      </w:tblPr>
      <w:tblGrid>
        <w:gridCol w:w="1680"/>
        <w:gridCol w:w="1710"/>
        <w:gridCol w:w="765"/>
        <w:gridCol w:w="766"/>
        <w:gridCol w:w="765"/>
        <w:gridCol w:w="766"/>
        <w:gridCol w:w="766"/>
        <w:gridCol w:w="298"/>
        <w:gridCol w:w="689"/>
        <w:gridCol w:w="782"/>
        <w:gridCol w:w="782"/>
        <w:gridCol w:w="782"/>
        <w:gridCol w:w="782"/>
      </w:tblGrid>
      <w:tr w:rsidR="005B55F2" w:rsidRPr="008406E5" w14:paraId="660A6246" w14:textId="77777777" w:rsidTr="006C4BE0">
        <w:trPr>
          <w:trHeight w:val="485"/>
        </w:trPr>
        <w:tc>
          <w:tcPr>
            <w:tcW w:w="1680" w:type="dxa"/>
            <w:tcBorders>
              <w:left w:val="nil"/>
              <w:bottom w:val="single" w:sz="4" w:space="0" w:color="auto"/>
              <w:right w:val="nil"/>
            </w:tcBorders>
          </w:tcPr>
          <w:p w14:paraId="2C8D61C2" w14:textId="77777777" w:rsidR="005B55F2" w:rsidRPr="008406E5" w:rsidRDefault="005B55F2" w:rsidP="0031117D">
            <w:pPr>
              <w:spacing w:line="480" w:lineRule="auto"/>
              <w:rPr>
                <w:sz w:val="24"/>
                <w:szCs w:val="24"/>
              </w:rPr>
            </w:pPr>
          </w:p>
        </w:tc>
        <w:tc>
          <w:tcPr>
            <w:tcW w:w="1710" w:type="dxa"/>
            <w:tcBorders>
              <w:left w:val="nil"/>
              <w:bottom w:val="single" w:sz="4" w:space="0" w:color="auto"/>
              <w:right w:val="nil"/>
            </w:tcBorders>
          </w:tcPr>
          <w:p w14:paraId="46EC0ABF" w14:textId="77777777" w:rsidR="005B55F2" w:rsidRPr="008406E5" w:rsidRDefault="005B55F2" w:rsidP="0031117D">
            <w:pPr>
              <w:spacing w:line="480" w:lineRule="auto"/>
              <w:rPr>
                <w:sz w:val="24"/>
                <w:szCs w:val="24"/>
              </w:rPr>
            </w:pPr>
          </w:p>
        </w:tc>
        <w:tc>
          <w:tcPr>
            <w:tcW w:w="3828" w:type="dxa"/>
            <w:gridSpan w:val="5"/>
            <w:tcBorders>
              <w:left w:val="nil"/>
              <w:bottom w:val="single" w:sz="4" w:space="0" w:color="auto"/>
              <w:right w:val="nil"/>
            </w:tcBorders>
            <w:vAlign w:val="center"/>
          </w:tcPr>
          <w:p w14:paraId="68650EDC" w14:textId="77777777" w:rsidR="005B55F2" w:rsidRPr="008406E5" w:rsidRDefault="005B55F2" w:rsidP="0031117D">
            <w:pPr>
              <w:spacing w:line="480" w:lineRule="auto"/>
              <w:jc w:val="center"/>
              <w:rPr>
                <w:sz w:val="24"/>
                <w:szCs w:val="24"/>
              </w:rPr>
            </w:pPr>
            <w:r w:rsidRPr="008406E5">
              <w:rPr>
                <w:sz w:val="24"/>
                <w:szCs w:val="24"/>
              </w:rPr>
              <w:t>NS28</w:t>
            </w:r>
          </w:p>
        </w:tc>
        <w:tc>
          <w:tcPr>
            <w:tcW w:w="298" w:type="dxa"/>
            <w:tcBorders>
              <w:left w:val="nil"/>
              <w:bottom w:val="single" w:sz="4" w:space="0" w:color="auto"/>
              <w:right w:val="nil"/>
            </w:tcBorders>
            <w:vAlign w:val="center"/>
          </w:tcPr>
          <w:p w14:paraId="07F80716" w14:textId="77777777" w:rsidR="005B55F2" w:rsidRPr="008406E5" w:rsidRDefault="005B55F2" w:rsidP="0031117D">
            <w:pPr>
              <w:spacing w:line="480" w:lineRule="auto"/>
              <w:jc w:val="center"/>
              <w:rPr>
                <w:sz w:val="24"/>
                <w:szCs w:val="24"/>
              </w:rPr>
            </w:pPr>
          </w:p>
        </w:tc>
        <w:tc>
          <w:tcPr>
            <w:tcW w:w="3817" w:type="dxa"/>
            <w:gridSpan w:val="5"/>
            <w:tcBorders>
              <w:left w:val="nil"/>
              <w:bottom w:val="single" w:sz="4" w:space="0" w:color="auto"/>
              <w:right w:val="nil"/>
            </w:tcBorders>
            <w:vAlign w:val="center"/>
          </w:tcPr>
          <w:p w14:paraId="51347F74" w14:textId="77777777" w:rsidR="005B55F2" w:rsidRPr="008406E5" w:rsidRDefault="005B55F2" w:rsidP="0031117D">
            <w:pPr>
              <w:spacing w:line="480" w:lineRule="auto"/>
              <w:jc w:val="center"/>
              <w:rPr>
                <w:sz w:val="24"/>
                <w:szCs w:val="24"/>
              </w:rPr>
            </w:pPr>
            <w:r w:rsidRPr="008406E5">
              <w:rPr>
                <w:sz w:val="24"/>
                <w:szCs w:val="24"/>
              </w:rPr>
              <w:t>S28</w:t>
            </w:r>
          </w:p>
        </w:tc>
      </w:tr>
      <w:tr w:rsidR="005B55F2" w:rsidRPr="008406E5" w14:paraId="55358F25" w14:textId="77777777" w:rsidTr="006C4BE0">
        <w:tc>
          <w:tcPr>
            <w:tcW w:w="1680" w:type="dxa"/>
            <w:tcBorders>
              <w:top w:val="single" w:sz="4" w:space="0" w:color="auto"/>
              <w:left w:val="nil"/>
              <w:bottom w:val="nil"/>
              <w:right w:val="nil"/>
            </w:tcBorders>
          </w:tcPr>
          <w:p w14:paraId="37690F2A" w14:textId="77777777" w:rsidR="005B55F2" w:rsidRPr="008406E5" w:rsidRDefault="005B55F2" w:rsidP="0031117D">
            <w:pPr>
              <w:spacing w:line="480" w:lineRule="auto"/>
              <w:rPr>
                <w:sz w:val="24"/>
                <w:szCs w:val="24"/>
              </w:rPr>
            </w:pPr>
          </w:p>
        </w:tc>
        <w:tc>
          <w:tcPr>
            <w:tcW w:w="1710" w:type="dxa"/>
            <w:tcBorders>
              <w:top w:val="single" w:sz="4" w:space="0" w:color="auto"/>
              <w:left w:val="nil"/>
              <w:bottom w:val="nil"/>
              <w:right w:val="nil"/>
            </w:tcBorders>
          </w:tcPr>
          <w:p w14:paraId="5477A223" w14:textId="77777777" w:rsidR="005B55F2" w:rsidRPr="008406E5" w:rsidRDefault="005B55F2" w:rsidP="0031117D">
            <w:pPr>
              <w:spacing w:line="480" w:lineRule="auto"/>
              <w:rPr>
                <w:sz w:val="24"/>
                <w:szCs w:val="24"/>
              </w:rPr>
            </w:pPr>
          </w:p>
        </w:tc>
        <w:tc>
          <w:tcPr>
            <w:tcW w:w="765" w:type="dxa"/>
            <w:tcBorders>
              <w:top w:val="single" w:sz="4" w:space="0" w:color="auto"/>
              <w:left w:val="nil"/>
              <w:bottom w:val="nil"/>
              <w:right w:val="nil"/>
            </w:tcBorders>
            <w:vAlign w:val="center"/>
          </w:tcPr>
          <w:p w14:paraId="0C93F76D" w14:textId="77777777" w:rsidR="005B55F2" w:rsidRPr="006C4BE0" w:rsidRDefault="005B55F2" w:rsidP="006C4BE0">
            <w:pPr>
              <w:spacing w:line="480" w:lineRule="auto"/>
              <w:jc w:val="center"/>
              <w:rPr>
                <w:i/>
                <w:iCs/>
                <w:sz w:val="24"/>
                <w:szCs w:val="24"/>
              </w:rPr>
            </w:pPr>
            <w:r w:rsidRPr="08D4D6A2">
              <w:rPr>
                <w:i/>
                <w:iCs/>
              </w:rPr>
              <w:t>M</w:t>
            </w:r>
          </w:p>
        </w:tc>
        <w:tc>
          <w:tcPr>
            <w:tcW w:w="766" w:type="dxa"/>
            <w:tcBorders>
              <w:top w:val="single" w:sz="4" w:space="0" w:color="auto"/>
              <w:left w:val="nil"/>
              <w:bottom w:val="nil"/>
              <w:right w:val="nil"/>
            </w:tcBorders>
            <w:vAlign w:val="center"/>
          </w:tcPr>
          <w:p w14:paraId="2387DADB" w14:textId="77777777" w:rsidR="005B55F2" w:rsidRPr="006C4BE0" w:rsidRDefault="005B55F2" w:rsidP="006C4BE0">
            <w:pPr>
              <w:spacing w:line="480" w:lineRule="auto"/>
              <w:jc w:val="center"/>
              <w:rPr>
                <w:i/>
                <w:iCs/>
                <w:sz w:val="24"/>
                <w:szCs w:val="24"/>
              </w:rPr>
            </w:pPr>
            <w:r w:rsidRPr="08D4D6A2">
              <w:rPr>
                <w:i/>
                <w:iCs/>
              </w:rPr>
              <w:t>SD</w:t>
            </w:r>
          </w:p>
        </w:tc>
        <w:tc>
          <w:tcPr>
            <w:tcW w:w="765" w:type="dxa"/>
            <w:tcBorders>
              <w:top w:val="single" w:sz="4" w:space="0" w:color="auto"/>
              <w:left w:val="nil"/>
              <w:bottom w:val="nil"/>
              <w:right w:val="nil"/>
            </w:tcBorders>
            <w:vAlign w:val="center"/>
          </w:tcPr>
          <w:p w14:paraId="2DE3B743" w14:textId="77777777" w:rsidR="005B55F2" w:rsidRPr="006C4BE0" w:rsidRDefault="005B55F2" w:rsidP="006C4BE0">
            <w:pPr>
              <w:spacing w:line="480" w:lineRule="auto"/>
              <w:jc w:val="center"/>
              <w:rPr>
                <w:i/>
                <w:iCs/>
                <w:sz w:val="24"/>
                <w:szCs w:val="24"/>
              </w:rPr>
            </w:pPr>
            <w:r w:rsidRPr="08D4D6A2">
              <w:rPr>
                <w:i/>
                <w:iCs/>
              </w:rPr>
              <w:t>Min</w:t>
            </w:r>
          </w:p>
        </w:tc>
        <w:tc>
          <w:tcPr>
            <w:tcW w:w="766" w:type="dxa"/>
            <w:tcBorders>
              <w:top w:val="single" w:sz="4" w:space="0" w:color="auto"/>
              <w:left w:val="nil"/>
              <w:bottom w:val="nil"/>
              <w:right w:val="nil"/>
            </w:tcBorders>
            <w:vAlign w:val="center"/>
          </w:tcPr>
          <w:p w14:paraId="13FA458E" w14:textId="77777777" w:rsidR="005B55F2" w:rsidRPr="006C4BE0" w:rsidRDefault="005B55F2" w:rsidP="006C4BE0">
            <w:pPr>
              <w:spacing w:line="480" w:lineRule="auto"/>
              <w:jc w:val="center"/>
              <w:rPr>
                <w:i/>
                <w:iCs/>
                <w:sz w:val="24"/>
                <w:szCs w:val="24"/>
              </w:rPr>
            </w:pPr>
            <w:r w:rsidRPr="08D4D6A2">
              <w:rPr>
                <w:i/>
                <w:iCs/>
              </w:rPr>
              <w:t>Max</w:t>
            </w:r>
          </w:p>
        </w:tc>
        <w:tc>
          <w:tcPr>
            <w:tcW w:w="766" w:type="dxa"/>
            <w:tcBorders>
              <w:top w:val="single" w:sz="4" w:space="0" w:color="auto"/>
              <w:left w:val="nil"/>
              <w:bottom w:val="nil"/>
              <w:right w:val="nil"/>
            </w:tcBorders>
            <w:vAlign w:val="center"/>
          </w:tcPr>
          <w:p w14:paraId="034B259E" w14:textId="4DEB0A7F" w:rsidR="005B55F2" w:rsidRPr="006C4BE0" w:rsidRDefault="00CC034B" w:rsidP="006C4BE0">
            <w:pPr>
              <w:spacing w:line="480" w:lineRule="auto"/>
              <w:jc w:val="center"/>
              <w:rPr>
                <w:i/>
                <w:iCs/>
                <w:sz w:val="24"/>
                <w:szCs w:val="24"/>
              </w:rPr>
            </w:pPr>
            <w:r w:rsidRPr="08D4D6A2">
              <w:rPr>
                <w:i/>
                <w:iCs/>
              </w:rPr>
              <w:t>n</w:t>
            </w:r>
          </w:p>
        </w:tc>
        <w:tc>
          <w:tcPr>
            <w:tcW w:w="298" w:type="dxa"/>
            <w:tcBorders>
              <w:top w:val="single" w:sz="4" w:space="0" w:color="auto"/>
              <w:left w:val="nil"/>
              <w:bottom w:val="nil"/>
              <w:right w:val="nil"/>
            </w:tcBorders>
            <w:vAlign w:val="center"/>
          </w:tcPr>
          <w:p w14:paraId="74EEC762" w14:textId="77777777" w:rsidR="005B55F2" w:rsidRPr="008406E5" w:rsidRDefault="005B55F2" w:rsidP="0031117D">
            <w:pPr>
              <w:spacing w:line="480" w:lineRule="auto"/>
              <w:jc w:val="center"/>
              <w:rPr>
                <w:i/>
                <w:sz w:val="24"/>
                <w:szCs w:val="24"/>
              </w:rPr>
            </w:pPr>
          </w:p>
        </w:tc>
        <w:tc>
          <w:tcPr>
            <w:tcW w:w="689" w:type="dxa"/>
            <w:tcBorders>
              <w:top w:val="single" w:sz="4" w:space="0" w:color="auto"/>
              <w:left w:val="nil"/>
              <w:bottom w:val="nil"/>
              <w:right w:val="nil"/>
            </w:tcBorders>
            <w:vAlign w:val="center"/>
          </w:tcPr>
          <w:p w14:paraId="0763E229" w14:textId="77777777" w:rsidR="005B55F2" w:rsidRPr="006C4BE0" w:rsidRDefault="005B55F2" w:rsidP="006C4BE0">
            <w:pPr>
              <w:spacing w:line="480" w:lineRule="auto"/>
              <w:jc w:val="center"/>
              <w:rPr>
                <w:i/>
                <w:iCs/>
                <w:sz w:val="24"/>
                <w:szCs w:val="24"/>
              </w:rPr>
            </w:pPr>
            <w:r w:rsidRPr="08D4D6A2">
              <w:rPr>
                <w:i/>
                <w:iCs/>
              </w:rPr>
              <w:t>M</w:t>
            </w:r>
          </w:p>
        </w:tc>
        <w:tc>
          <w:tcPr>
            <w:tcW w:w="782" w:type="dxa"/>
            <w:tcBorders>
              <w:top w:val="single" w:sz="4" w:space="0" w:color="auto"/>
              <w:left w:val="nil"/>
              <w:bottom w:val="nil"/>
              <w:right w:val="nil"/>
            </w:tcBorders>
            <w:vAlign w:val="center"/>
          </w:tcPr>
          <w:p w14:paraId="1DE7E423" w14:textId="77777777" w:rsidR="005B55F2" w:rsidRPr="006C4BE0" w:rsidRDefault="005B55F2" w:rsidP="006C4BE0">
            <w:pPr>
              <w:spacing w:line="480" w:lineRule="auto"/>
              <w:jc w:val="center"/>
              <w:rPr>
                <w:i/>
                <w:iCs/>
                <w:sz w:val="24"/>
                <w:szCs w:val="24"/>
              </w:rPr>
            </w:pPr>
            <w:r w:rsidRPr="08D4D6A2">
              <w:rPr>
                <w:i/>
                <w:iCs/>
              </w:rPr>
              <w:t>SD</w:t>
            </w:r>
          </w:p>
        </w:tc>
        <w:tc>
          <w:tcPr>
            <w:tcW w:w="782" w:type="dxa"/>
            <w:tcBorders>
              <w:top w:val="single" w:sz="4" w:space="0" w:color="auto"/>
              <w:left w:val="nil"/>
              <w:bottom w:val="nil"/>
              <w:right w:val="nil"/>
            </w:tcBorders>
            <w:vAlign w:val="center"/>
          </w:tcPr>
          <w:p w14:paraId="6427D0C1" w14:textId="77777777" w:rsidR="005B55F2" w:rsidRPr="006C4BE0" w:rsidRDefault="005B55F2" w:rsidP="006C4BE0">
            <w:pPr>
              <w:spacing w:line="480" w:lineRule="auto"/>
              <w:jc w:val="center"/>
              <w:rPr>
                <w:i/>
                <w:iCs/>
                <w:sz w:val="24"/>
                <w:szCs w:val="24"/>
              </w:rPr>
            </w:pPr>
            <w:r w:rsidRPr="08D4D6A2">
              <w:rPr>
                <w:i/>
                <w:iCs/>
              </w:rPr>
              <w:t>Min</w:t>
            </w:r>
          </w:p>
        </w:tc>
        <w:tc>
          <w:tcPr>
            <w:tcW w:w="782" w:type="dxa"/>
            <w:tcBorders>
              <w:top w:val="single" w:sz="4" w:space="0" w:color="auto"/>
              <w:left w:val="nil"/>
              <w:bottom w:val="nil"/>
              <w:right w:val="nil"/>
            </w:tcBorders>
            <w:vAlign w:val="center"/>
          </w:tcPr>
          <w:p w14:paraId="6680653C" w14:textId="77777777" w:rsidR="005B55F2" w:rsidRPr="006C4BE0" w:rsidRDefault="005B55F2" w:rsidP="006C4BE0">
            <w:pPr>
              <w:spacing w:line="480" w:lineRule="auto"/>
              <w:jc w:val="center"/>
              <w:rPr>
                <w:i/>
                <w:iCs/>
                <w:sz w:val="24"/>
                <w:szCs w:val="24"/>
              </w:rPr>
            </w:pPr>
            <w:r w:rsidRPr="08D4D6A2">
              <w:rPr>
                <w:i/>
                <w:iCs/>
              </w:rPr>
              <w:t>Max</w:t>
            </w:r>
          </w:p>
        </w:tc>
        <w:tc>
          <w:tcPr>
            <w:tcW w:w="782" w:type="dxa"/>
            <w:tcBorders>
              <w:top w:val="single" w:sz="4" w:space="0" w:color="auto"/>
              <w:left w:val="nil"/>
              <w:bottom w:val="nil"/>
              <w:right w:val="nil"/>
            </w:tcBorders>
            <w:vAlign w:val="center"/>
          </w:tcPr>
          <w:p w14:paraId="66B8A8EE" w14:textId="4CFE8613" w:rsidR="005B55F2" w:rsidRPr="006C4BE0" w:rsidRDefault="00CC034B" w:rsidP="006C4BE0">
            <w:pPr>
              <w:spacing w:line="480" w:lineRule="auto"/>
              <w:jc w:val="center"/>
              <w:rPr>
                <w:i/>
                <w:iCs/>
                <w:sz w:val="24"/>
                <w:szCs w:val="24"/>
              </w:rPr>
            </w:pPr>
            <w:r w:rsidRPr="08D4D6A2">
              <w:rPr>
                <w:i/>
                <w:iCs/>
              </w:rPr>
              <w:t>n</w:t>
            </w:r>
          </w:p>
        </w:tc>
      </w:tr>
      <w:tr w:rsidR="005B55F2" w:rsidRPr="008406E5" w14:paraId="32ECE348" w14:textId="77777777" w:rsidTr="006C4BE0">
        <w:tc>
          <w:tcPr>
            <w:tcW w:w="1680" w:type="dxa"/>
            <w:tcBorders>
              <w:top w:val="nil"/>
              <w:left w:val="nil"/>
              <w:bottom w:val="nil"/>
              <w:right w:val="nil"/>
            </w:tcBorders>
            <w:vAlign w:val="center"/>
          </w:tcPr>
          <w:p w14:paraId="02C172BC" w14:textId="77777777" w:rsidR="005B55F2" w:rsidRPr="006C4BE0" w:rsidRDefault="005B55F2" w:rsidP="006C4BE0">
            <w:pPr>
              <w:spacing w:line="480" w:lineRule="auto"/>
              <w:rPr>
                <w:sz w:val="24"/>
                <w:szCs w:val="24"/>
              </w:rPr>
            </w:pPr>
            <w:r w:rsidRPr="62FF30AE">
              <w:t xml:space="preserve">Prosecutor </w:t>
            </w:r>
            <w:r w:rsidRPr="62FF30AE">
              <w:rPr>
                <w:vertAlign w:val="superscript"/>
              </w:rPr>
              <w:t>a</w:t>
            </w:r>
          </w:p>
        </w:tc>
        <w:tc>
          <w:tcPr>
            <w:tcW w:w="1710" w:type="dxa"/>
            <w:tcBorders>
              <w:top w:val="nil"/>
              <w:left w:val="nil"/>
              <w:bottom w:val="nil"/>
              <w:right w:val="nil"/>
            </w:tcBorders>
          </w:tcPr>
          <w:p w14:paraId="525B462D" w14:textId="77777777" w:rsidR="005B55F2" w:rsidRPr="00750E0E" w:rsidRDefault="005B55F2" w:rsidP="08D4D6A2">
            <w:pPr>
              <w:spacing w:line="480" w:lineRule="auto"/>
            </w:pPr>
            <w:r w:rsidRPr="00750E0E">
              <w:t xml:space="preserve">Substantive </w:t>
            </w:r>
            <w:r w:rsidRPr="00750E0E">
              <w:rPr>
                <w:vertAlign w:val="superscript"/>
              </w:rPr>
              <w:t>b</w:t>
            </w:r>
          </w:p>
        </w:tc>
        <w:tc>
          <w:tcPr>
            <w:tcW w:w="765" w:type="dxa"/>
            <w:tcBorders>
              <w:top w:val="nil"/>
              <w:left w:val="nil"/>
              <w:bottom w:val="nil"/>
              <w:right w:val="nil"/>
            </w:tcBorders>
            <w:vAlign w:val="center"/>
          </w:tcPr>
          <w:p w14:paraId="12A008D1" w14:textId="77777777" w:rsidR="005B55F2" w:rsidRPr="008406E5" w:rsidRDefault="005B55F2" w:rsidP="0031117D">
            <w:pPr>
              <w:spacing w:line="480" w:lineRule="auto"/>
              <w:jc w:val="right"/>
              <w:rPr>
                <w:sz w:val="24"/>
                <w:szCs w:val="24"/>
              </w:rPr>
            </w:pPr>
            <w:r w:rsidRPr="008406E5">
              <w:rPr>
                <w:sz w:val="24"/>
                <w:szCs w:val="24"/>
              </w:rPr>
              <w:t>42</w:t>
            </w:r>
          </w:p>
        </w:tc>
        <w:tc>
          <w:tcPr>
            <w:tcW w:w="766" w:type="dxa"/>
            <w:tcBorders>
              <w:top w:val="nil"/>
              <w:left w:val="nil"/>
              <w:bottom w:val="nil"/>
              <w:right w:val="nil"/>
            </w:tcBorders>
            <w:vAlign w:val="center"/>
          </w:tcPr>
          <w:p w14:paraId="207EE397" w14:textId="77777777" w:rsidR="005B55F2" w:rsidRPr="008406E5" w:rsidRDefault="005B55F2" w:rsidP="0031117D">
            <w:pPr>
              <w:spacing w:line="480" w:lineRule="auto"/>
              <w:jc w:val="right"/>
              <w:rPr>
                <w:sz w:val="24"/>
                <w:szCs w:val="24"/>
              </w:rPr>
            </w:pPr>
            <w:r w:rsidRPr="008406E5">
              <w:rPr>
                <w:sz w:val="24"/>
                <w:szCs w:val="24"/>
              </w:rPr>
              <w:t>57</w:t>
            </w:r>
          </w:p>
        </w:tc>
        <w:tc>
          <w:tcPr>
            <w:tcW w:w="765" w:type="dxa"/>
            <w:tcBorders>
              <w:top w:val="nil"/>
              <w:left w:val="nil"/>
              <w:bottom w:val="nil"/>
              <w:right w:val="nil"/>
            </w:tcBorders>
            <w:vAlign w:val="center"/>
          </w:tcPr>
          <w:p w14:paraId="3EEDCB08" w14:textId="77777777" w:rsidR="005B55F2" w:rsidRPr="008406E5" w:rsidRDefault="005B55F2" w:rsidP="0031117D">
            <w:pPr>
              <w:spacing w:line="480" w:lineRule="auto"/>
              <w:jc w:val="right"/>
              <w:rPr>
                <w:sz w:val="24"/>
                <w:szCs w:val="24"/>
              </w:rPr>
            </w:pPr>
            <w:r w:rsidRPr="008406E5">
              <w:rPr>
                <w:sz w:val="24"/>
                <w:szCs w:val="24"/>
              </w:rPr>
              <w:t>1</w:t>
            </w:r>
          </w:p>
        </w:tc>
        <w:tc>
          <w:tcPr>
            <w:tcW w:w="766" w:type="dxa"/>
            <w:tcBorders>
              <w:top w:val="nil"/>
              <w:left w:val="nil"/>
              <w:bottom w:val="nil"/>
              <w:right w:val="nil"/>
            </w:tcBorders>
            <w:vAlign w:val="center"/>
          </w:tcPr>
          <w:p w14:paraId="4392CE11" w14:textId="77777777" w:rsidR="005B55F2" w:rsidRPr="008406E5" w:rsidRDefault="005B55F2" w:rsidP="0031117D">
            <w:pPr>
              <w:spacing w:line="480" w:lineRule="auto"/>
              <w:jc w:val="right"/>
              <w:rPr>
                <w:sz w:val="24"/>
                <w:szCs w:val="24"/>
              </w:rPr>
            </w:pPr>
            <w:r w:rsidRPr="008406E5">
              <w:rPr>
                <w:sz w:val="24"/>
                <w:szCs w:val="24"/>
              </w:rPr>
              <w:t>261</w:t>
            </w:r>
          </w:p>
        </w:tc>
        <w:tc>
          <w:tcPr>
            <w:tcW w:w="766" w:type="dxa"/>
            <w:tcBorders>
              <w:top w:val="nil"/>
              <w:left w:val="nil"/>
              <w:bottom w:val="nil"/>
              <w:right w:val="nil"/>
            </w:tcBorders>
            <w:vAlign w:val="center"/>
          </w:tcPr>
          <w:p w14:paraId="71F84C0C" w14:textId="77777777" w:rsidR="005B55F2" w:rsidRPr="008406E5" w:rsidRDefault="005B55F2" w:rsidP="0031117D">
            <w:pPr>
              <w:spacing w:line="480" w:lineRule="auto"/>
              <w:jc w:val="right"/>
              <w:rPr>
                <w:sz w:val="24"/>
                <w:szCs w:val="24"/>
              </w:rPr>
            </w:pPr>
            <w:r w:rsidRPr="008406E5">
              <w:rPr>
                <w:sz w:val="24"/>
                <w:szCs w:val="24"/>
              </w:rPr>
              <w:t>29</w:t>
            </w:r>
          </w:p>
        </w:tc>
        <w:tc>
          <w:tcPr>
            <w:tcW w:w="298" w:type="dxa"/>
            <w:tcBorders>
              <w:top w:val="nil"/>
              <w:left w:val="nil"/>
              <w:bottom w:val="nil"/>
              <w:right w:val="nil"/>
            </w:tcBorders>
            <w:vAlign w:val="center"/>
          </w:tcPr>
          <w:p w14:paraId="5D8A5B73" w14:textId="77777777" w:rsidR="005B55F2" w:rsidRPr="008406E5" w:rsidRDefault="005B55F2" w:rsidP="0031117D">
            <w:pPr>
              <w:spacing w:line="480" w:lineRule="auto"/>
              <w:jc w:val="right"/>
              <w:rPr>
                <w:sz w:val="24"/>
                <w:szCs w:val="24"/>
              </w:rPr>
            </w:pPr>
          </w:p>
        </w:tc>
        <w:tc>
          <w:tcPr>
            <w:tcW w:w="689" w:type="dxa"/>
            <w:tcBorders>
              <w:top w:val="nil"/>
              <w:left w:val="nil"/>
              <w:bottom w:val="nil"/>
              <w:right w:val="nil"/>
            </w:tcBorders>
            <w:vAlign w:val="center"/>
          </w:tcPr>
          <w:p w14:paraId="1FE3249E" w14:textId="77777777" w:rsidR="005B55F2" w:rsidRPr="008406E5" w:rsidRDefault="005B55F2" w:rsidP="0031117D">
            <w:pPr>
              <w:spacing w:line="480" w:lineRule="auto"/>
              <w:jc w:val="right"/>
              <w:rPr>
                <w:sz w:val="24"/>
                <w:szCs w:val="24"/>
              </w:rPr>
            </w:pPr>
            <w:r w:rsidRPr="008406E5">
              <w:rPr>
                <w:sz w:val="24"/>
                <w:szCs w:val="24"/>
              </w:rPr>
              <w:t>11</w:t>
            </w:r>
          </w:p>
        </w:tc>
        <w:tc>
          <w:tcPr>
            <w:tcW w:w="782" w:type="dxa"/>
            <w:tcBorders>
              <w:top w:val="nil"/>
              <w:left w:val="nil"/>
              <w:bottom w:val="nil"/>
              <w:right w:val="nil"/>
            </w:tcBorders>
            <w:vAlign w:val="center"/>
          </w:tcPr>
          <w:p w14:paraId="68009311" w14:textId="77777777" w:rsidR="005B55F2" w:rsidRPr="008406E5" w:rsidRDefault="005B55F2" w:rsidP="0031117D">
            <w:pPr>
              <w:spacing w:line="480" w:lineRule="auto"/>
              <w:jc w:val="right"/>
              <w:rPr>
                <w:sz w:val="24"/>
                <w:szCs w:val="24"/>
              </w:rPr>
            </w:pPr>
            <w:r w:rsidRPr="008406E5">
              <w:rPr>
                <w:sz w:val="24"/>
                <w:szCs w:val="24"/>
              </w:rPr>
              <w:t>17</w:t>
            </w:r>
          </w:p>
        </w:tc>
        <w:tc>
          <w:tcPr>
            <w:tcW w:w="782" w:type="dxa"/>
            <w:tcBorders>
              <w:top w:val="nil"/>
              <w:left w:val="nil"/>
              <w:bottom w:val="nil"/>
              <w:right w:val="nil"/>
            </w:tcBorders>
            <w:vAlign w:val="center"/>
          </w:tcPr>
          <w:p w14:paraId="7916F2ED" w14:textId="77777777" w:rsidR="005B55F2" w:rsidRPr="008406E5" w:rsidRDefault="005B55F2" w:rsidP="0031117D">
            <w:pPr>
              <w:spacing w:line="480" w:lineRule="auto"/>
              <w:jc w:val="right"/>
              <w:rPr>
                <w:sz w:val="24"/>
                <w:szCs w:val="24"/>
              </w:rPr>
            </w:pPr>
            <w:r w:rsidRPr="008406E5">
              <w:rPr>
                <w:sz w:val="24"/>
                <w:szCs w:val="24"/>
              </w:rPr>
              <w:t>2</w:t>
            </w:r>
          </w:p>
        </w:tc>
        <w:tc>
          <w:tcPr>
            <w:tcW w:w="782" w:type="dxa"/>
            <w:tcBorders>
              <w:top w:val="nil"/>
              <w:left w:val="nil"/>
              <w:bottom w:val="nil"/>
              <w:right w:val="nil"/>
            </w:tcBorders>
            <w:vAlign w:val="center"/>
          </w:tcPr>
          <w:p w14:paraId="007262B1" w14:textId="77777777" w:rsidR="005B55F2" w:rsidRPr="008406E5" w:rsidRDefault="005B55F2" w:rsidP="0031117D">
            <w:pPr>
              <w:spacing w:line="480" w:lineRule="auto"/>
              <w:jc w:val="right"/>
              <w:rPr>
                <w:sz w:val="24"/>
                <w:szCs w:val="24"/>
              </w:rPr>
            </w:pPr>
            <w:r w:rsidRPr="008406E5">
              <w:rPr>
                <w:sz w:val="24"/>
                <w:szCs w:val="24"/>
              </w:rPr>
              <w:t>72</w:t>
            </w:r>
          </w:p>
        </w:tc>
        <w:tc>
          <w:tcPr>
            <w:tcW w:w="782" w:type="dxa"/>
            <w:tcBorders>
              <w:top w:val="nil"/>
              <w:left w:val="nil"/>
              <w:bottom w:val="nil"/>
              <w:right w:val="nil"/>
            </w:tcBorders>
            <w:vAlign w:val="center"/>
          </w:tcPr>
          <w:p w14:paraId="3F40C5B1" w14:textId="77777777" w:rsidR="005B55F2" w:rsidRPr="008406E5" w:rsidRDefault="005B55F2" w:rsidP="0031117D">
            <w:pPr>
              <w:spacing w:line="480" w:lineRule="auto"/>
              <w:jc w:val="right"/>
              <w:rPr>
                <w:sz w:val="24"/>
                <w:szCs w:val="24"/>
              </w:rPr>
            </w:pPr>
            <w:r w:rsidRPr="008406E5">
              <w:rPr>
                <w:sz w:val="24"/>
                <w:szCs w:val="24"/>
              </w:rPr>
              <w:t>17</w:t>
            </w:r>
          </w:p>
        </w:tc>
      </w:tr>
      <w:tr w:rsidR="005B55F2" w:rsidRPr="008406E5" w14:paraId="5194DC8C" w14:textId="77777777" w:rsidTr="006C4BE0">
        <w:tc>
          <w:tcPr>
            <w:tcW w:w="1680" w:type="dxa"/>
            <w:tcBorders>
              <w:top w:val="nil"/>
              <w:left w:val="nil"/>
              <w:bottom w:val="nil"/>
              <w:right w:val="nil"/>
            </w:tcBorders>
            <w:vAlign w:val="center"/>
          </w:tcPr>
          <w:p w14:paraId="44D80724" w14:textId="77777777" w:rsidR="005B55F2" w:rsidRPr="00750E0E" w:rsidRDefault="005B55F2" w:rsidP="0031117D">
            <w:pPr>
              <w:spacing w:line="480" w:lineRule="auto"/>
              <w:rPr>
                <w:sz w:val="24"/>
              </w:rPr>
            </w:pPr>
          </w:p>
        </w:tc>
        <w:tc>
          <w:tcPr>
            <w:tcW w:w="1710" w:type="dxa"/>
            <w:tcBorders>
              <w:top w:val="nil"/>
              <w:left w:val="nil"/>
              <w:bottom w:val="nil"/>
              <w:right w:val="nil"/>
            </w:tcBorders>
          </w:tcPr>
          <w:p w14:paraId="2E96BC95" w14:textId="77777777" w:rsidR="005B55F2" w:rsidRPr="00750E0E" w:rsidRDefault="005B55F2" w:rsidP="08D4D6A2">
            <w:pPr>
              <w:spacing w:line="480" w:lineRule="auto"/>
            </w:pPr>
            <w:r w:rsidRPr="00750E0E">
              <w:t>Non-Substantive</w:t>
            </w:r>
          </w:p>
        </w:tc>
        <w:tc>
          <w:tcPr>
            <w:tcW w:w="765" w:type="dxa"/>
            <w:tcBorders>
              <w:top w:val="nil"/>
              <w:left w:val="nil"/>
              <w:bottom w:val="nil"/>
              <w:right w:val="nil"/>
            </w:tcBorders>
            <w:vAlign w:val="center"/>
          </w:tcPr>
          <w:p w14:paraId="67CD6510" w14:textId="77777777" w:rsidR="005B55F2" w:rsidRPr="008406E5" w:rsidRDefault="005B55F2" w:rsidP="0031117D">
            <w:pPr>
              <w:spacing w:line="480" w:lineRule="auto"/>
              <w:jc w:val="right"/>
              <w:rPr>
                <w:sz w:val="24"/>
                <w:szCs w:val="24"/>
              </w:rPr>
            </w:pPr>
            <w:r w:rsidRPr="008406E5">
              <w:rPr>
                <w:sz w:val="24"/>
                <w:szCs w:val="24"/>
              </w:rPr>
              <w:t>6</w:t>
            </w:r>
          </w:p>
        </w:tc>
        <w:tc>
          <w:tcPr>
            <w:tcW w:w="766" w:type="dxa"/>
            <w:tcBorders>
              <w:top w:val="nil"/>
              <w:left w:val="nil"/>
              <w:bottom w:val="nil"/>
              <w:right w:val="nil"/>
            </w:tcBorders>
            <w:vAlign w:val="center"/>
          </w:tcPr>
          <w:p w14:paraId="4DAAF4D9" w14:textId="77777777" w:rsidR="005B55F2" w:rsidRPr="008406E5" w:rsidRDefault="005B55F2" w:rsidP="0031117D">
            <w:pPr>
              <w:spacing w:line="480" w:lineRule="auto"/>
              <w:jc w:val="right"/>
              <w:rPr>
                <w:sz w:val="24"/>
                <w:szCs w:val="24"/>
              </w:rPr>
            </w:pPr>
            <w:r w:rsidRPr="008406E5">
              <w:rPr>
                <w:sz w:val="24"/>
                <w:szCs w:val="24"/>
              </w:rPr>
              <w:t>11</w:t>
            </w:r>
          </w:p>
        </w:tc>
        <w:tc>
          <w:tcPr>
            <w:tcW w:w="765" w:type="dxa"/>
            <w:tcBorders>
              <w:top w:val="nil"/>
              <w:left w:val="nil"/>
              <w:bottom w:val="nil"/>
              <w:right w:val="nil"/>
            </w:tcBorders>
            <w:vAlign w:val="center"/>
          </w:tcPr>
          <w:p w14:paraId="32800119" w14:textId="77777777" w:rsidR="005B55F2" w:rsidRPr="008406E5" w:rsidRDefault="005B55F2" w:rsidP="0031117D">
            <w:pPr>
              <w:spacing w:line="480" w:lineRule="auto"/>
              <w:jc w:val="right"/>
              <w:rPr>
                <w:sz w:val="24"/>
                <w:szCs w:val="24"/>
              </w:rPr>
            </w:pPr>
            <w:r w:rsidRPr="008406E5">
              <w:rPr>
                <w:sz w:val="24"/>
                <w:szCs w:val="24"/>
              </w:rPr>
              <w:t>1</w:t>
            </w:r>
          </w:p>
        </w:tc>
        <w:tc>
          <w:tcPr>
            <w:tcW w:w="766" w:type="dxa"/>
            <w:tcBorders>
              <w:top w:val="nil"/>
              <w:left w:val="nil"/>
              <w:bottom w:val="nil"/>
              <w:right w:val="nil"/>
            </w:tcBorders>
            <w:vAlign w:val="center"/>
          </w:tcPr>
          <w:p w14:paraId="73B6F4DF" w14:textId="77777777" w:rsidR="005B55F2" w:rsidRPr="008406E5" w:rsidRDefault="005B55F2" w:rsidP="0031117D">
            <w:pPr>
              <w:spacing w:line="480" w:lineRule="auto"/>
              <w:jc w:val="right"/>
              <w:rPr>
                <w:sz w:val="24"/>
                <w:szCs w:val="24"/>
              </w:rPr>
            </w:pPr>
            <w:r w:rsidRPr="008406E5">
              <w:rPr>
                <w:sz w:val="24"/>
                <w:szCs w:val="24"/>
              </w:rPr>
              <w:t>59</w:t>
            </w:r>
          </w:p>
        </w:tc>
        <w:tc>
          <w:tcPr>
            <w:tcW w:w="766" w:type="dxa"/>
            <w:tcBorders>
              <w:top w:val="nil"/>
              <w:left w:val="nil"/>
              <w:bottom w:val="nil"/>
              <w:right w:val="nil"/>
            </w:tcBorders>
            <w:vAlign w:val="center"/>
          </w:tcPr>
          <w:p w14:paraId="4CDCF237" w14:textId="77777777" w:rsidR="005B55F2" w:rsidRPr="008406E5" w:rsidRDefault="005B55F2" w:rsidP="0031117D">
            <w:pPr>
              <w:spacing w:line="480" w:lineRule="auto"/>
              <w:jc w:val="right"/>
              <w:rPr>
                <w:sz w:val="24"/>
                <w:szCs w:val="24"/>
              </w:rPr>
            </w:pPr>
            <w:r w:rsidRPr="008406E5">
              <w:rPr>
                <w:sz w:val="24"/>
                <w:szCs w:val="24"/>
              </w:rPr>
              <w:t>31</w:t>
            </w:r>
          </w:p>
        </w:tc>
        <w:tc>
          <w:tcPr>
            <w:tcW w:w="298" w:type="dxa"/>
            <w:tcBorders>
              <w:top w:val="nil"/>
              <w:left w:val="nil"/>
              <w:bottom w:val="nil"/>
              <w:right w:val="nil"/>
            </w:tcBorders>
            <w:vAlign w:val="center"/>
          </w:tcPr>
          <w:p w14:paraId="534514B3" w14:textId="77777777" w:rsidR="005B55F2" w:rsidRPr="008406E5" w:rsidRDefault="005B55F2" w:rsidP="0031117D">
            <w:pPr>
              <w:spacing w:line="480" w:lineRule="auto"/>
              <w:jc w:val="right"/>
              <w:rPr>
                <w:sz w:val="24"/>
                <w:szCs w:val="24"/>
              </w:rPr>
            </w:pPr>
          </w:p>
        </w:tc>
        <w:tc>
          <w:tcPr>
            <w:tcW w:w="689" w:type="dxa"/>
            <w:tcBorders>
              <w:top w:val="nil"/>
              <w:left w:val="nil"/>
              <w:bottom w:val="nil"/>
              <w:right w:val="nil"/>
            </w:tcBorders>
            <w:vAlign w:val="center"/>
          </w:tcPr>
          <w:p w14:paraId="1C380660" w14:textId="77777777" w:rsidR="005B55F2" w:rsidRPr="008406E5" w:rsidRDefault="005B55F2" w:rsidP="0031117D">
            <w:pPr>
              <w:spacing w:line="480" w:lineRule="auto"/>
              <w:jc w:val="right"/>
              <w:rPr>
                <w:sz w:val="24"/>
                <w:szCs w:val="24"/>
              </w:rPr>
            </w:pPr>
            <w:r w:rsidRPr="008406E5">
              <w:rPr>
                <w:sz w:val="24"/>
                <w:szCs w:val="24"/>
              </w:rPr>
              <w:t>3</w:t>
            </w:r>
          </w:p>
        </w:tc>
        <w:tc>
          <w:tcPr>
            <w:tcW w:w="782" w:type="dxa"/>
            <w:tcBorders>
              <w:top w:val="nil"/>
              <w:left w:val="nil"/>
              <w:bottom w:val="nil"/>
              <w:right w:val="nil"/>
            </w:tcBorders>
            <w:vAlign w:val="center"/>
          </w:tcPr>
          <w:p w14:paraId="2C594135" w14:textId="77777777" w:rsidR="005B55F2" w:rsidRPr="008406E5" w:rsidRDefault="005B55F2" w:rsidP="0031117D">
            <w:pPr>
              <w:spacing w:line="480" w:lineRule="auto"/>
              <w:jc w:val="right"/>
              <w:rPr>
                <w:sz w:val="24"/>
                <w:szCs w:val="24"/>
              </w:rPr>
            </w:pPr>
            <w:r w:rsidRPr="008406E5">
              <w:rPr>
                <w:sz w:val="24"/>
                <w:szCs w:val="24"/>
              </w:rPr>
              <w:t>1</w:t>
            </w:r>
          </w:p>
        </w:tc>
        <w:tc>
          <w:tcPr>
            <w:tcW w:w="782" w:type="dxa"/>
            <w:tcBorders>
              <w:top w:val="nil"/>
              <w:left w:val="nil"/>
              <w:bottom w:val="nil"/>
              <w:right w:val="nil"/>
            </w:tcBorders>
            <w:vAlign w:val="center"/>
          </w:tcPr>
          <w:p w14:paraId="772747CC" w14:textId="77777777" w:rsidR="005B55F2" w:rsidRPr="008406E5" w:rsidRDefault="005B55F2" w:rsidP="0031117D">
            <w:pPr>
              <w:spacing w:line="480" w:lineRule="auto"/>
              <w:jc w:val="right"/>
              <w:rPr>
                <w:sz w:val="24"/>
                <w:szCs w:val="24"/>
              </w:rPr>
            </w:pPr>
            <w:r w:rsidRPr="008406E5">
              <w:rPr>
                <w:sz w:val="24"/>
                <w:szCs w:val="24"/>
              </w:rPr>
              <w:t>1</w:t>
            </w:r>
          </w:p>
        </w:tc>
        <w:tc>
          <w:tcPr>
            <w:tcW w:w="782" w:type="dxa"/>
            <w:tcBorders>
              <w:top w:val="nil"/>
              <w:left w:val="nil"/>
              <w:bottom w:val="nil"/>
              <w:right w:val="nil"/>
            </w:tcBorders>
            <w:vAlign w:val="center"/>
          </w:tcPr>
          <w:p w14:paraId="38FA4A21" w14:textId="77777777" w:rsidR="005B55F2" w:rsidRPr="008406E5" w:rsidRDefault="005B55F2" w:rsidP="0031117D">
            <w:pPr>
              <w:spacing w:line="480" w:lineRule="auto"/>
              <w:jc w:val="right"/>
              <w:rPr>
                <w:sz w:val="24"/>
                <w:szCs w:val="24"/>
              </w:rPr>
            </w:pPr>
            <w:r w:rsidRPr="008406E5">
              <w:rPr>
                <w:sz w:val="24"/>
                <w:szCs w:val="24"/>
              </w:rPr>
              <w:t>5</w:t>
            </w:r>
          </w:p>
        </w:tc>
        <w:tc>
          <w:tcPr>
            <w:tcW w:w="782" w:type="dxa"/>
            <w:tcBorders>
              <w:top w:val="nil"/>
              <w:left w:val="nil"/>
              <w:bottom w:val="nil"/>
              <w:right w:val="nil"/>
            </w:tcBorders>
            <w:vAlign w:val="center"/>
          </w:tcPr>
          <w:p w14:paraId="74FAB8EA" w14:textId="77777777" w:rsidR="005B55F2" w:rsidRPr="008406E5" w:rsidRDefault="005B55F2" w:rsidP="0031117D">
            <w:pPr>
              <w:spacing w:line="480" w:lineRule="auto"/>
              <w:jc w:val="right"/>
              <w:rPr>
                <w:sz w:val="24"/>
                <w:szCs w:val="24"/>
              </w:rPr>
            </w:pPr>
            <w:r w:rsidRPr="008406E5">
              <w:rPr>
                <w:sz w:val="24"/>
                <w:szCs w:val="24"/>
              </w:rPr>
              <w:t>16</w:t>
            </w:r>
          </w:p>
        </w:tc>
      </w:tr>
      <w:tr w:rsidR="005B55F2" w:rsidRPr="008406E5" w14:paraId="51A579A9" w14:textId="77777777" w:rsidTr="006C4BE0">
        <w:tc>
          <w:tcPr>
            <w:tcW w:w="1680" w:type="dxa"/>
            <w:tcBorders>
              <w:top w:val="nil"/>
              <w:left w:val="nil"/>
              <w:bottom w:val="nil"/>
              <w:right w:val="nil"/>
            </w:tcBorders>
            <w:vAlign w:val="center"/>
          </w:tcPr>
          <w:p w14:paraId="56DDC44B" w14:textId="7A9721C3" w:rsidR="005B55F2" w:rsidRPr="006C4BE0" w:rsidRDefault="005B55F2" w:rsidP="006C4BE0">
            <w:pPr>
              <w:spacing w:line="480" w:lineRule="auto"/>
              <w:rPr>
                <w:sz w:val="24"/>
                <w:szCs w:val="24"/>
              </w:rPr>
            </w:pPr>
            <w:r w:rsidRPr="62FF30AE">
              <w:t>Defence</w:t>
            </w:r>
          </w:p>
        </w:tc>
        <w:tc>
          <w:tcPr>
            <w:tcW w:w="1710" w:type="dxa"/>
            <w:tcBorders>
              <w:top w:val="nil"/>
              <w:left w:val="nil"/>
              <w:bottom w:val="nil"/>
              <w:right w:val="nil"/>
            </w:tcBorders>
          </w:tcPr>
          <w:p w14:paraId="14C05E7F" w14:textId="77777777" w:rsidR="005B55F2" w:rsidRPr="00750E0E" w:rsidRDefault="005B55F2" w:rsidP="08D4D6A2">
            <w:pPr>
              <w:spacing w:line="480" w:lineRule="auto"/>
            </w:pPr>
            <w:r w:rsidRPr="00750E0E">
              <w:t xml:space="preserve">Substantive </w:t>
            </w:r>
            <w:r w:rsidRPr="00750E0E">
              <w:rPr>
                <w:vertAlign w:val="superscript"/>
              </w:rPr>
              <w:t>b</w:t>
            </w:r>
            <w:r w:rsidRPr="23B9E151">
              <w:t xml:space="preserve"> </w:t>
            </w:r>
          </w:p>
        </w:tc>
        <w:tc>
          <w:tcPr>
            <w:tcW w:w="765" w:type="dxa"/>
            <w:tcBorders>
              <w:top w:val="nil"/>
              <w:left w:val="nil"/>
              <w:bottom w:val="nil"/>
              <w:right w:val="nil"/>
            </w:tcBorders>
            <w:vAlign w:val="center"/>
          </w:tcPr>
          <w:p w14:paraId="32F5DB2B" w14:textId="77777777" w:rsidR="005B55F2" w:rsidRPr="008406E5" w:rsidRDefault="005B55F2" w:rsidP="0031117D">
            <w:pPr>
              <w:spacing w:line="480" w:lineRule="auto"/>
              <w:jc w:val="right"/>
              <w:rPr>
                <w:sz w:val="24"/>
                <w:szCs w:val="24"/>
              </w:rPr>
            </w:pPr>
            <w:r w:rsidRPr="008406E5">
              <w:rPr>
                <w:sz w:val="24"/>
                <w:szCs w:val="24"/>
              </w:rPr>
              <w:t>128</w:t>
            </w:r>
          </w:p>
        </w:tc>
        <w:tc>
          <w:tcPr>
            <w:tcW w:w="766" w:type="dxa"/>
            <w:tcBorders>
              <w:top w:val="nil"/>
              <w:left w:val="nil"/>
              <w:bottom w:val="nil"/>
              <w:right w:val="nil"/>
            </w:tcBorders>
            <w:vAlign w:val="center"/>
          </w:tcPr>
          <w:p w14:paraId="1CE5E0D5" w14:textId="77777777" w:rsidR="005B55F2" w:rsidRPr="008406E5" w:rsidRDefault="005B55F2" w:rsidP="0031117D">
            <w:pPr>
              <w:spacing w:line="480" w:lineRule="auto"/>
              <w:jc w:val="right"/>
              <w:rPr>
                <w:sz w:val="24"/>
                <w:szCs w:val="24"/>
              </w:rPr>
            </w:pPr>
            <w:r w:rsidRPr="008406E5">
              <w:rPr>
                <w:sz w:val="24"/>
                <w:szCs w:val="24"/>
              </w:rPr>
              <w:t>84</w:t>
            </w:r>
          </w:p>
        </w:tc>
        <w:tc>
          <w:tcPr>
            <w:tcW w:w="765" w:type="dxa"/>
            <w:tcBorders>
              <w:top w:val="nil"/>
              <w:left w:val="nil"/>
              <w:bottom w:val="nil"/>
              <w:right w:val="nil"/>
            </w:tcBorders>
            <w:vAlign w:val="center"/>
          </w:tcPr>
          <w:p w14:paraId="39EF078C" w14:textId="77777777" w:rsidR="005B55F2" w:rsidRPr="008406E5" w:rsidRDefault="005B55F2" w:rsidP="0031117D">
            <w:pPr>
              <w:spacing w:line="480" w:lineRule="auto"/>
              <w:jc w:val="right"/>
              <w:rPr>
                <w:sz w:val="24"/>
                <w:szCs w:val="24"/>
              </w:rPr>
            </w:pPr>
            <w:r w:rsidRPr="008406E5">
              <w:rPr>
                <w:sz w:val="24"/>
                <w:szCs w:val="24"/>
              </w:rPr>
              <w:t>4</w:t>
            </w:r>
          </w:p>
        </w:tc>
        <w:tc>
          <w:tcPr>
            <w:tcW w:w="766" w:type="dxa"/>
            <w:tcBorders>
              <w:top w:val="nil"/>
              <w:left w:val="nil"/>
              <w:bottom w:val="nil"/>
              <w:right w:val="nil"/>
            </w:tcBorders>
            <w:vAlign w:val="center"/>
          </w:tcPr>
          <w:p w14:paraId="22015A3B" w14:textId="77777777" w:rsidR="005B55F2" w:rsidRPr="008406E5" w:rsidRDefault="005B55F2" w:rsidP="0031117D">
            <w:pPr>
              <w:spacing w:line="480" w:lineRule="auto"/>
              <w:jc w:val="right"/>
              <w:rPr>
                <w:sz w:val="24"/>
                <w:szCs w:val="24"/>
              </w:rPr>
            </w:pPr>
            <w:r w:rsidRPr="008406E5">
              <w:rPr>
                <w:sz w:val="24"/>
                <w:szCs w:val="24"/>
              </w:rPr>
              <w:t>350</w:t>
            </w:r>
          </w:p>
        </w:tc>
        <w:tc>
          <w:tcPr>
            <w:tcW w:w="766" w:type="dxa"/>
            <w:tcBorders>
              <w:top w:val="nil"/>
              <w:left w:val="nil"/>
              <w:bottom w:val="nil"/>
              <w:right w:val="nil"/>
            </w:tcBorders>
            <w:vAlign w:val="center"/>
          </w:tcPr>
          <w:p w14:paraId="28EF5124" w14:textId="77777777" w:rsidR="005B55F2" w:rsidRPr="008406E5" w:rsidRDefault="005B55F2" w:rsidP="0031117D">
            <w:pPr>
              <w:spacing w:line="480" w:lineRule="auto"/>
              <w:jc w:val="right"/>
              <w:rPr>
                <w:sz w:val="24"/>
                <w:szCs w:val="24"/>
              </w:rPr>
            </w:pPr>
            <w:r w:rsidRPr="008406E5">
              <w:rPr>
                <w:sz w:val="24"/>
                <w:szCs w:val="24"/>
              </w:rPr>
              <w:t>44</w:t>
            </w:r>
          </w:p>
        </w:tc>
        <w:tc>
          <w:tcPr>
            <w:tcW w:w="298" w:type="dxa"/>
            <w:tcBorders>
              <w:top w:val="nil"/>
              <w:left w:val="nil"/>
              <w:bottom w:val="nil"/>
              <w:right w:val="nil"/>
            </w:tcBorders>
            <w:vAlign w:val="center"/>
          </w:tcPr>
          <w:p w14:paraId="0008A567" w14:textId="77777777" w:rsidR="005B55F2" w:rsidRPr="008406E5" w:rsidRDefault="005B55F2" w:rsidP="0031117D">
            <w:pPr>
              <w:spacing w:line="480" w:lineRule="auto"/>
              <w:jc w:val="right"/>
              <w:rPr>
                <w:sz w:val="24"/>
                <w:szCs w:val="24"/>
              </w:rPr>
            </w:pPr>
          </w:p>
        </w:tc>
        <w:tc>
          <w:tcPr>
            <w:tcW w:w="689" w:type="dxa"/>
            <w:tcBorders>
              <w:top w:val="nil"/>
              <w:left w:val="nil"/>
              <w:bottom w:val="nil"/>
              <w:right w:val="nil"/>
            </w:tcBorders>
            <w:vAlign w:val="center"/>
          </w:tcPr>
          <w:p w14:paraId="66BE134B" w14:textId="77777777" w:rsidR="005B55F2" w:rsidRPr="008406E5" w:rsidRDefault="005B55F2" w:rsidP="0031117D">
            <w:pPr>
              <w:spacing w:line="480" w:lineRule="auto"/>
              <w:jc w:val="right"/>
              <w:rPr>
                <w:sz w:val="24"/>
                <w:szCs w:val="24"/>
              </w:rPr>
            </w:pPr>
            <w:r w:rsidRPr="008406E5">
              <w:rPr>
                <w:sz w:val="24"/>
                <w:szCs w:val="24"/>
              </w:rPr>
              <w:t>73</w:t>
            </w:r>
          </w:p>
        </w:tc>
        <w:tc>
          <w:tcPr>
            <w:tcW w:w="782" w:type="dxa"/>
            <w:tcBorders>
              <w:top w:val="nil"/>
              <w:left w:val="nil"/>
              <w:bottom w:val="nil"/>
              <w:right w:val="nil"/>
            </w:tcBorders>
            <w:vAlign w:val="center"/>
          </w:tcPr>
          <w:p w14:paraId="24F70AE7" w14:textId="77777777" w:rsidR="005B55F2" w:rsidRPr="008406E5" w:rsidRDefault="005B55F2" w:rsidP="0031117D">
            <w:pPr>
              <w:spacing w:line="480" w:lineRule="auto"/>
              <w:jc w:val="right"/>
              <w:rPr>
                <w:sz w:val="24"/>
                <w:szCs w:val="24"/>
              </w:rPr>
            </w:pPr>
            <w:r w:rsidRPr="008406E5">
              <w:rPr>
                <w:sz w:val="24"/>
                <w:szCs w:val="24"/>
              </w:rPr>
              <w:t>55</w:t>
            </w:r>
          </w:p>
        </w:tc>
        <w:tc>
          <w:tcPr>
            <w:tcW w:w="782" w:type="dxa"/>
            <w:tcBorders>
              <w:top w:val="nil"/>
              <w:left w:val="nil"/>
              <w:bottom w:val="nil"/>
              <w:right w:val="nil"/>
            </w:tcBorders>
            <w:vAlign w:val="center"/>
          </w:tcPr>
          <w:p w14:paraId="3469FB30" w14:textId="77777777" w:rsidR="005B55F2" w:rsidRPr="008406E5" w:rsidRDefault="005B55F2" w:rsidP="0031117D">
            <w:pPr>
              <w:spacing w:line="480" w:lineRule="auto"/>
              <w:jc w:val="right"/>
              <w:rPr>
                <w:sz w:val="24"/>
                <w:szCs w:val="24"/>
              </w:rPr>
            </w:pPr>
            <w:r w:rsidRPr="008406E5">
              <w:rPr>
                <w:sz w:val="24"/>
                <w:szCs w:val="24"/>
              </w:rPr>
              <w:t>11</w:t>
            </w:r>
          </w:p>
        </w:tc>
        <w:tc>
          <w:tcPr>
            <w:tcW w:w="782" w:type="dxa"/>
            <w:tcBorders>
              <w:top w:val="nil"/>
              <w:left w:val="nil"/>
              <w:bottom w:val="nil"/>
              <w:right w:val="nil"/>
            </w:tcBorders>
            <w:vAlign w:val="center"/>
          </w:tcPr>
          <w:p w14:paraId="60D62DE9" w14:textId="77777777" w:rsidR="005B55F2" w:rsidRPr="008406E5" w:rsidRDefault="005B55F2" w:rsidP="0031117D">
            <w:pPr>
              <w:spacing w:line="480" w:lineRule="auto"/>
              <w:jc w:val="right"/>
              <w:rPr>
                <w:sz w:val="24"/>
                <w:szCs w:val="24"/>
              </w:rPr>
            </w:pPr>
            <w:r w:rsidRPr="008406E5">
              <w:rPr>
                <w:sz w:val="24"/>
                <w:szCs w:val="24"/>
              </w:rPr>
              <w:t>328</w:t>
            </w:r>
          </w:p>
        </w:tc>
        <w:tc>
          <w:tcPr>
            <w:tcW w:w="782" w:type="dxa"/>
            <w:tcBorders>
              <w:top w:val="nil"/>
              <w:left w:val="nil"/>
              <w:bottom w:val="nil"/>
              <w:right w:val="nil"/>
            </w:tcBorders>
            <w:vAlign w:val="center"/>
          </w:tcPr>
          <w:p w14:paraId="13AC3CCE" w14:textId="77777777" w:rsidR="005B55F2" w:rsidRPr="008406E5" w:rsidRDefault="005B55F2" w:rsidP="0031117D">
            <w:pPr>
              <w:spacing w:line="480" w:lineRule="auto"/>
              <w:jc w:val="right"/>
              <w:rPr>
                <w:sz w:val="24"/>
                <w:szCs w:val="24"/>
              </w:rPr>
            </w:pPr>
            <w:r w:rsidRPr="008406E5">
              <w:rPr>
                <w:sz w:val="24"/>
                <w:szCs w:val="24"/>
              </w:rPr>
              <w:t>43</w:t>
            </w:r>
          </w:p>
        </w:tc>
      </w:tr>
      <w:tr w:rsidR="005B55F2" w:rsidRPr="008406E5" w14:paraId="241FBE30" w14:textId="77777777" w:rsidTr="006C4BE0">
        <w:tc>
          <w:tcPr>
            <w:tcW w:w="1680" w:type="dxa"/>
            <w:tcBorders>
              <w:top w:val="nil"/>
              <w:left w:val="nil"/>
              <w:bottom w:val="nil"/>
              <w:right w:val="nil"/>
            </w:tcBorders>
            <w:vAlign w:val="center"/>
          </w:tcPr>
          <w:p w14:paraId="54392588" w14:textId="77777777" w:rsidR="005B55F2" w:rsidRPr="00750E0E" w:rsidRDefault="005B55F2" w:rsidP="0031117D">
            <w:pPr>
              <w:spacing w:line="480" w:lineRule="auto"/>
              <w:rPr>
                <w:sz w:val="24"/>
              </w:rPr>
            </w:pPr>
          </w:p>
        </w:tc>
        <w:tc>
          <w:tcPr>
            <w:tcW w:w="1710" w:type="dxa"/>
            <w:tcBorders>
              <w:top w:val="nil"/>
              <w:left w:val="nil"/>
              <w:bottom w:val="nil"/>
              <w:right w:val="nil"/>
            </w:tcBorders>
          </w:tcPr>
          <w:p w14:paraId="2F61A3C8" w14:textId="77777777" w:rsidR="005B55F2" w:rsidRPr="00750E0E" w:rsidRDefault="005B55F2" w:rsidP="08D4D6A2">
            <w:pPr>
              <w:spacing w:line="480" w:lineRule="auto"/>
            </w:pPr>
            <w:r w:rsidRPr="00750E0E">
              <w:t>Non-Substantive</w:t>
            </w:r>
          </w:p>
        </w:tc>
        <w:tc>
          <w:tcPr>
            <w:tcW w:w="765" w:type="dxa"/>
            <w:tcBorders>
              <w:top w:val="nil"/>
              <w:left w:val="nil"/>
              <w:bottom w:val="nil"/>
              <w:right w:val="nil"/>
            </w:tcBorders>
            <w:vAlign w:val="center"/>
          </w:tcPr>
          <w:p w14:paraId="4FD4ED2C" w14:textId="77777777" w:rsidR="005B55F2" w:rsidRPr="008406E5" w:rsidRDefault="005B55F2" w:rsidP="0031117D">
            <w:pPr>
              <w:spacing w:line="480" w:lineRule="auto"/>
              <w:jc w:val="right"/>
              <w:rPr>
                <w:sz w:val="24"/>
                <w:szCs w:val="24"/>
              </w:rPr>
            </w:pPr>
            <w:r w:rsidRPr="008406E5">
              <w:rPr>
                <w:sz w:val="24"/>
                <w:szCs w:val="24"/>
              </w:rPr>
              <w:t>10</w:t>
            </w:r>
          </w:p>
        </w:tc>
        <w:tc>
          <w:tcPr>
            <w:tcW w:w="766" w:type="dxa"/>
            <w:tcBorders>
              <w:top w:val="nil"/>
              <w:left w:val="nil"/>
              <w:bottom w:val="nil"/>
              <w:right w:val="nil"/>
            </w:tcBorders>
            <w:vAlign w:val="center"/>
          </w:tcPr>
          <w:p w14:paraId="369B8FB2" w14:textId="77777777" w:rsidR="005B55F2" w:rsidRPr="008406E5" w:rsidRDefault="005B55F2" w:rsidP="0031117D">
            <w:pPr>
              <w:spacing w:line="480" w:lineRule="auto"/>
              <w:jc w:val="right"/>
              <w:rPr>
                <w:sz w:val="24"/>
                <w:szCs w:val="24"/>
              </w:rPr>
            </w:pPr>
            <w:r w:rsidRPr="008406E5">
              <w:rPr>
                <w:sz w:val="24"/>
                <w:szCs w:val="24"/>
              </w:rPr>
              <w:t>9</w:t>
            </w:r>
          </w:p>
        </w:tc>
        <w:tc>
          <w:tcPr>
            <w:tcW w:w="765" w:type="dxa"/>
            <w:tcBorders>
              <w:top w:val="nil"/>
              <w:left w:val="nil"/>
              <w:bottom w:val="nil"/>
              <w:right w:val="nil"/>
            </w:tcBorders>
            <w:vAlign w:val="center"/>
          </w:tcPr>
          <w:p w14:paraId="08E469EC" w14:textId="77777777" w:rsidR="005B55F2" w:rsidRPr="008406E5" w:rsidRDefault="005B55F2" w:rsidP="0031117D">
            <w:pPr>
              <w:spacing w:line="480" w:lineRule="auto"/>
              <w:jc w:val="right"/>
              <w:rPr>
                <w:sz w:val="24"/>
                <w:szCs w:val="24"/>
              </w:rPr>
            </w:pPr>
            <w:r w:rsidRPr="008406E5">
              <w:rPr>
                <w:sz w:val="24"/>
                <w:szCs w:val="24"/>
              </w:rPr>
              <w:t>1</w:t>
            </w:r>
          </w:p>
        </w:tc>
        <w:tc>
          <w:tcPr>
            <w:tcW w:w="766" w:type="dxa"/>
            <w:tcBorders>
              <w:top w:val="nil"/>
              <w:left w:val="nil"/>
              <w:bottom w:val="nil"/>
              <w:right w:val="nil"/>
            </w:tcBorders>
            <w:vAlign w:val="center"/>
          </w:tcPr>
          <w:p w14:paraId="3DC0366F" w14:textId="77777777" w:rsidR="005B55F2" w:rsidRPr="008406E5" w:rsidRDefault="005B55F2" w:rsidP="0031117D">
            <w:pPr>
              <w:spacing w:line="480" w:lineRule="auto"/>
              <w:jc w:val="right"/>
              <w:rPr>
                <w:sz w:val="24"/>
                <w:szCs w:val="24"/>
              </w:rPr>
            </w:pPr>
            <w:r w:rsidRPr="008406E5">
              <w:rPr>
                <w:sz w:val="24"/>
                <w:szCs w:val="24"/>
              </w:rPr>
              <w:t>50</w:t>
            </w:r>
          </w:p>
        </w:tc>
        <w:tc>
          <w:tcPr>
            <w:tcW w:w="766" w:type="dxa"/>
            <w:tcBorders>
              <w:top w:val="nil"/>
              <w:left w:val="nil"/>
              <w:bottom w:val="nil"/>
              <w:right w:val="nil"/>
            </w:tcBorders>
            <w:vAlign w:val="center"/>
          </w:tcPr>
          <w:p w14:paraId="11F526E7" w14:textId="77777777" w:rsidR="005B55F2" w:rsidRPr="008406E5" w:rsidRDefault="005B55F2" w:rsidP="0031117D">
            <w:pPr>
              <w:spacing w:line="480" w:lineRule="auto"/>
              <w:jc w:val="right"/>
              <w:rPr>
                <w:sz w:val="24"/>
                <w:szCs w:val="24"/>
              </w:rPr>
            </w:pPr>
            <w:r w:rsidRPr="008406E5">
              <w:rPr>
                <w:sz w:val="24"/>
                <w:szCs w:val="24"/>
              </w:rPr>
              <w:t>43</w:t>
            </w:r>
          </w:p>
        </w:tc>
        <w:tc>
          <w:tcPr>
            <w:tcW w:w="298" w:type="dxa"/>
            <w:tcBorders>
              <w:top w:val="nil"/>
              <w:left w:val="nil"/>
              <w:bottom w:val="nil"/>
              <w:right w:val="nil"/>
            </w:tcBorders>
            <w:vAlign w:val="center"/>
          </w:tcPr>
          <w:p w14:paraId="04E238F3" w14:textId="77777777" w:rsidR="005B55F2" w:rsidRPr="008406E5" w:rsidRDefault="005B55F2" w:rsidP="0031117D">
            <w:pPr>
              <w:spacing w:line="480" w:lineRule="auto"/>
              <w:jc w:val="right"/>
              <w:rPr>
                <w:sz w:val="24"/>
                <w:szCs w:val="24"/>
              </w:rPr>
            </w:pPr>
          </w:p>
        </w:tc>
        <w:tc>
          <w:tcPr>
            <w:tcW w:w="689" w:type="dxa"/>
            <w:tcBorders>
              <w:top w:val="nil"/>
              <w:left w:val="nil"/>
              <w:bottom w:val="nil"/>
              <w:right w:val="nil"/>
            </w:tcBorders>
            <w:vAlign w:val="center"/>
          </w:tcPr>
          <w:p w14:paraId="75AF6B43" w14:textId="77777777" w:rsidR="005B55F2" w:rsidRPr="008406E5" w:rsidRDefault="005B55F2" w:rsidP="0031117D">
            <w:pPr>
              <w:spacing w:line="480" w:lineRule="auto"/>
              <w:jc w:val="right"/>
              <w:rPr>
                <w:sz w:val="24"/>
                <w:szCs w:val="24"/>
              </w:rPr>
            </w:pPr>
            <w:r w:rsidRPr="008406E5">
              <w:rPr>
                <w:sz w:val="24"/>
                <w:szCs w:val="24"/>
              </w:rPr>
              <w:t>5</w:t>
            </w:r>
          </w:p>
        </w:tc>
        <w:tc>
          <w:tcPr>
            <w:tcW w:w="782" w:type="dxa"/>
            <w:tcBorders>
              <w:top w:val="nil"/>
              <w:left w:val="nil"/>
              <w:bottom w:val="nil"/>
              <w:right w:val="nil"/>
            </w:tcBorders>
            <w:vAlign w:val="center"/>
          </w:tcPr>
          <w:p w14:paraId="65B2D0E4" w14:textId="77777777" w:rsidR="005B55F2" w:rsidRPr="008406E5" w:rsidRDefault="005B55F2" w:rsidP="0031117D">
            <w:pPr>
              <w:spacing w:line="480" w:lineRule="auto"/>
              <w:jc w:val="right"/>
              <w:rPr>
                <w:sz w:val="24"/>
                <w:szCs w:val="24"/>
              </w:rPr>
            </w:pPr>
            <w:r w:rsidRPr="008406E5">
              <w:rPr>
                <w:sz w:val="24"/>
                <w:szCs w:val="24"/>
              </w:rPr>
              <w:t>4</w:t>
            </w:r>
          </w:p>
        </w:tc>
        <w:tc>
          <w:tcPr>
            <w:tcW w:w="782" w:type="dxa"/>
            <w:tcBorders>
              <w:top w:val="nil"/>
              <w:left w:val="nil"/>
              <w:bottom w:val="nil"/>
              <w:right w:val="nil"/>
            </w:tcBorders>
            <w:vAlign w:val="center"/>
          </w:tcPr>
          <w:p w14:paraId="180495DE" w14:textId="77777777" w:rsidR="005B55F2" w:rsidRPr="008406E5" w:rsidRDefault="005B55F2" w:rsidP="0031117D">
            <w:pPr>
              <w:spacing w:line="480" w:lineRule="auto"/>
              <w:jc w:val="right"/>
              <w:rPr>
                <w:sz w:val="24"/>
                <w:szCs w:val="24"/>
              </w:rPr>
            </w:pPr>
            <w:r w:rsidRPr="008406E5">
              <w:rPr>
                <w:sz w:val="24"/>
                <w:szCs w:val="24"/>
              </w:rPr>
              <w:t>1</w:t>
            </w:r>
          </w:p>
        </w:tc>
        <w:tc>
          <w:tcPr>
            <w:tcW w:w="782" w:type="dxa"/>
            <w:tcBorders>
              <w:top w:val="nil"/>
              <w:left w:val="nil"/>
              <w:bottom w:val="nil"/>
              <w:right w:val="nil"/>
            </w:tcBorders>
            <w:vAlign w:val="center"/>
          </w:tcPr>
          <w:p w14:paraId="02F633BA" w14:textId="77777777" w:rsidR="005B55F2" w:rsidRPr="008406E5" w:rsidRDefault="005B55F2" w:rsidP="0031117D">
            <w:pPr>
              <w:spacing w:line="480" w:lineRule="auto"/>
              <w:jc w:val="right"/>
              <w:rPr>
                <w:sz w:val="24"/>
                <w:szCs w:val="24"/>
              </w:rPr>
            </w:pPr>
            <w:r w:rsidRPr="008406E5">
              <w:rPr>
                <w:sz w:val="24"/>
                <w:szCs w:val="24"/>
              </w:rPr>
              <w:t>16</w:t>
            </w:r>
          </w:p>
        </w:tc>
        <w:tc>
          <w:tcPr>
            <w:tcW w:w="782" w:type="dxa"/>
            <w:tcBorders>
              <w:top w:val="nil"/>
              <w:left w:val="nil"/>
              <w:bottom w:val="nil"/>
              <w:right w:val="nil"/>
            </w:tcBorders>
            <w:vAlign w:val="center"/>
          </w:tcPr>
          <w:p w14:paraId="3A2B2463" w14:textId="77777777" w:rsidR="005B55F2" w:rsidRPr="008406E5" w:rsidRDefault="005B55F2" w:rsidP="0031117D">
            <w:pPr>
              <w:spacing w:line="480" w:lineRule="auto"/>
              <w:jc w:val="right"/>
              <w:rPr>
                <w:sz w:val="24"/>
                <w:szCs w:val="24"/>
              </w:rPr>
            </w:pPr>
            <w:r w:rsidRPr="008406E5">
              <w:rPr>
                <w:sz w:val="24"/>
                <w:szCs w:val="24"/>
              </w:rPr>
              <w:t>42</w:t>
            </w:r>
          </w:p>
        </w:tc>
      </w:tr>
      <w:tr w:rsidR="005B55F2" w:rsidRPr="008406E5" w14:paraId="3A77F555" w14:textId="77777777" w:rsidTr="006C4BE0">
        <w:tc>
          <w:tcPr>
            <w:tcW w:w="1680" w:type="dxa"/>
            <w:tcBorders>
              <w:top w:val="nil"/>
              <w:left w:val="nil"/>
              <w:bottom w:val="nil"/>
              <w:right w:val="nil"/>
            </w:tcBorders>
            <w:vAlign w:val="center"/>
          </w:tcPr>
          <w:p w14:paraId="70D00835" w14:textId="77777777" w:rsidR="005B55F2" w:rsidRPr="006C4BE0" w:rsidRDefault="005B55F2" w:rsidP="006C4BE0">
            <w:pPr>
              <w:spacing w:line="480" w:lineRule="auto"/>
              <w:rPr>
                <w:sz w:val="24"/>
                <w:szCs w:val="24"/>
              </w:rPr>
            </w:pPr>
            <w:r w:rsidRPr="62FF30AE">
              <w:t>Judge</w:t>
            </w:r>
          </w:p>
        </w:tc>
        <w:tc>
          <w:tcPr>
            <w:tcW w:w="1710" w:type="dxa"/>
            <w:tcBorders>
              <w:top w:val="nil"/>
              <w:left w:val="nil"/>
              <w:bottom w:val="nil"/>
              <w:right w:val="nil"/>
            </w:tcBorders>
          </w:tcPr>
          <w:p w14:paraId="77D7D21C" w14:textId="77777777" w:rsidR="005B55F2" w:rsidRPr="00750E0E" w:rsidRDefault="005B55F2" w:rsidP="08D4D6A2">
            <w:pPr>
              <w:spacing w:line="480" w:lineRule="auto"/>
            </w:pPr>
            <w:r w:rsidRPr="00750E0E">
              <w:t xml:space="preserve">Substantive </w:t>
            </w:r>
            <w:r w:rsidRPr="00750E0E">
              <w:rPr>
                <w:vertAlign w:val="superscript"/>
              </w:rPr>
              <w:t>b</w:t>
            </w:r>
          </w:p>
        </w:tc>
        <w:tc>
          <w:tcPr>
            <w:tcW w:w="765" w:type="dxa"/>
            <w:tcBorders>
              <w:top w:val="nil"/>
              <w:left w:val="nil"/>
              <w:bottom w:val="nil"/>
              <w:right w:val="nil"/>
            </w:tcBorders>
            <w:vAlign w:val="center"/>
          </w:tcPr>
          <w:p w14:paraId="2DA47BED" w14:textId="77777777" w:rsidR="005B55F2" w:rsidRPr="008406E5" w:rsidRDefault="005B55F2" w:rsidP="0031117D">
            <w:pPr>
              <w:spacing w:line="480" w:lineRule="auto"/>
              <w:jc w:val="right"/>
              <w:rPr>
                <w:sz w:val="24"/>
                <w:szCs w:val="24"/>
              </w:rPr>
            </w:pPr>
            <w:r w:rsidRPr="008406E5">
              <w:rPr>
                <w:sz w:val="24"/>
                <w:szCs w:val="24"/>
              </w:rPr>
              <w:t>7</w:t>
            </w:r>
          </w:p>
        </w:tc>
        <w:tc>
          <w:tcPr>
            <w:tcW w:w="766" w:type="dxa"/>
            <w:tcBorders>
              <w:top w:val="nil"/>
              <w:left w:val="nil"/>
              <w:bottom w:val="nil"/>
              <w:right w:val="nil"/>
            </w:tcBorders>
            <w:vAlign w:val="center"/>
          </w:tcPr>
          <w:p w14:paraId="1A330166" w14:textId="77777777" w:rsidR="005B55F2" w:rsidRPr="008406E5" w:rsidRDefault="005B55F2" w:rsidP="0031117D">
            <w:pPr>
              <w:spacing w:line="480" w:lineRule="auto"/>
              <w:jc w:val="right"/>
              <w:rPr>
                <w:sz w:val="24"/>
                <w:szCs w:val="24"/>
              </w:rPr>
            </w:pPr>
            <w:r w:rsidRPr="008406E5">
              <w:rPr>
                <w:sz w:val="24"/>
                <w:szCs w:val="24"/>
              </w:rPr>
              <w:t>8</w:t>
            </w:r>
          </w:p>
        </w:tc>
        <w:tc>
          <w:tcPr>
            <w:tcW w:w="765" w:type="dxa"/>
            <w:tcBorders>
              <w:top w:val="nil"/>
              <w:left w:val="nil"/>
              <w:bottom w:val="nil"/>
              <w:right w:val="nil"/>
            </w:tcBorders>
            <w:vAlign w:val="center"/>
          </w:tcPr>
          <w:p w14:paraId="31C978C7" w14:textId="77777777" w:rsidR="005B55F2" w:rsidRPr="008406E5" w:rsidRDefault="005B55F2" w:rsidP="0031117D">
            <w:pPr>
              <w:spacing w:line="480" w:lineRule="auto"/>
              <w:jc w:val="right"/>
              <w:rPr>
                <w:sz w:val="24"/>
                <w:szCs w:val="24"/>
              </w:rPr>
            </w:pPr>
            <w:r w:rsidRPr="008406E5">
              <w:rPr>
                <w:sz w:val="24"/>
                <w:szCs w:val="24"/>
              </w:rPr>
              <w:t>1</w:t>
            </w:r>
          </w:p>
        </w:tc>
        <w:tc>
          <w:tcPr>
            <w:tcW w:w="766" w:type="dxa"/>
            <w:tcBorders>
              <w:top w:val="nil"/>
              <w:left w:val="nil"/>
              <w:bottom w:val="nil"/>
              <w:right w:val="nil"/>
            </w:tcBorders>
            <w:vAlign w:val="center"/>
          </w:tcPr>
          <w:p w14:paraId="192B3227" w14:textId="77777777" w:rsidR="005B55F2" w:rsidRPr="008406E5" w:rsidRDefault="005B55F2" w:rsidP="0031117D">
            <w:pPr>
              <w:spacing w:line="480" w:lineRule="auto"/>
              <w:jc w:val="right"/>
              <w:rPr>
                <w:sz w:val="24"/>
                <w:szCs w:val="24"/>
              </w:rPr>
            </w:pPr>
            <w:r w:rsidRPr="008406E5">
              <w:rPr>
                <w:sz w:val="24"/>
                <w:szCs w:val="24"/>
              </w:rPr>
              <w:t>35</w:t>
            </w:r>
          </w:p>
        </w:tc>
        <w:tc>
          <w:tcPr>
            <w:tcW w:w="766" w:type="dxa"/>
            <w:tcBorders>
              <w:top w:val="nil"/>
              <w:left w:val="nil"/>
              <w:bottom w:val="nil"/>
              <w:right w:val="nil"/>
            </w:tcBorders>
            <w:vAlign w:val="center"/>
          </w:tcPr>
          <w:p w14:paraId="292FBD10" w14:textId="77777777" w:rsidR="005B55F2" w:rsidRPr="008406E5" w:rsidRDefault="005B55F2" w:rsidP="0031117D">
            <w:pPr>
              <w:spacing w:line="480" w:lineRule="auto"/>
              <w:jc w:val="right"/>
              <w:rPr>
                <w:sz w:val="24"/>
                <w:szCs w:val="24"/>
              </w:rPr>
            </w:pPr>
            <w:r w:rsidRPr="008406E5">
              <w:rPr>
                <w:sz w:val="24"/>
                <w:szCs w:val="24"/>
              </w:rPr>
              <w:t>24</w:t>
            </w:r>
          </w:p>
        </w:tc>
        <w:tc>
          <w:tcPr>
            <w:tcW w:w="298" w:type="dxa"/>
            <w:tcBorders>
              <w:top w:val="nil"/>
              <w:left w:val="nil"/>
              <w:bottom w:val="nil"/>
              <w:right w:val="nil"/>
            </w:tcBorders>
            <w:vAlign w:val="center"/>
          </w:tcPr>
          <w:p w14:paraId="2774DFD0" w14:textId="77777777" w:rsidR="005B55F2" w:rsidRPr="008406E5" w:rsidRDefault="005B55F2" w:rsidP="0031117D">
            <w:pPr>
              <w:spacing w:line="480" w:lineRule="auto"/>
              <w:jc w:val="right"/>
              <w:rPr>
                <w:sz w:val="24"/>
                <w:szCs w:val="24"/>
              </w:rPr>
            </w:pPr>
          </w:p>
        </w:tc>
        <w:tc>
          <w:tcPr>
            <w:tcW w:w="689" w:type="dxa"/>
            <w:tcBorders>
              <w:top w:val="nil"/>
              <w:left w:val="nil"/>
              <w:bottom w:val="nil"/>
              <w:right w:val="nil"/>
            </w:tcBorders>
            <w:vAlign w:val="center"/>
          </w:tcPr>
          <w:p w14:paraId="49BAEF9A" w14:textId="77777777" w:rsidR="005B55F2" w:rsidRPr="008406E5" w:rsidRDefault="005B55F2" w:rsidP="0031117D">
            <w:pPr>
              <w:spacing w:line="480" w:lineRule="auto"/>
              <w:jc w:val="right"/>
              <w:rPr>
                <w:sz w:val="24"/>
                <w:szCs w:val="24"/>
              </w:rPr>
            </w:pPr>
            <w:r w:rsidRPr="008406E5">
              <w:rPr>
                <w:sz w:val="24"/>
                <w:szCs w:val="24"/>
              </w:rPr>
              <w:t>3</w:t>
            </w:r>
          </w:p>
        </w:tc>
        <w:tc>
          <w:tcPr>
            <w:tcW w:w="782" w:type="dxa"/>
            <w:tcBorders>
              <w:top w:val="nil"/>
              <w:left w:val="nil"/>
              <w:bottom w:val="nil"/>
              <w:right w:val="nil"/>
            </w:tcBorders>
            <w:vAlign w:val="center"/>
          </w:tcPr>
          <w:p w14:paraId="2386B3E6" w14:textId="77777777" w:rsidR="005B55F2" w:rsidRPr="008406E5" w:rsidRDefault="005B55F2" w:rsidP="0031117D">
            <w:pPr>
              <w:spacing w:line="480" w:lineRule="auto"/>
              <w:jc w:val="right"/>
              <w:rPr>
                <w:sz w:val="24"/>
                <w:szCs w:val="24"/>
              </w:rPr>
            </w:pPr>
            <w:r w:rsidRPr="008406E5">
              <w:rPr>
                <w:sz w:val="24"/>
                <w:szCs w:val="24"/>
              </w:rPr>
              <w:t>1</w:t>
            </w:r>
          </w:p>
        </w:tc>
        <w:tc>
          <w:tcPr>
            <w:tcW w:w="782" w:type="dxa"/>
            <w:tcBorders>
              <w:top w:val="nil"/>
              <w:left w:val="nil"/>
              <w:bottom w:val="nil"/>
              <w:right w:val="nil"/>
            </w:tcBorders>
            <w:vAlign w:val="center"/>
          </w:tcPr>
          <w:p w14:paraId="01B046F1" w14:textId="77777777" w:rsidR="005B55F2" w:rsidRPr="008406E5" w:rsidRDefault="005B55F2" w:rsidP="0031117D">
            <w:pPr>
              <w:spacing w:line="480" w:lineRule="auto"/>
              <w:jc w:val="right"/>
              <w:rPr>
                <w:sz w:val="24"/>
                <w:szCs w:val="24"/>
              </w:rPr>
            </w:pPr>
            <w:r w:rsidRPr="008406E5">
              <w:rPr>
                <w:sz w:val="24"/>
                <w:szCs w:val="24"/>
              </w:rPr>
              <w:t>1</w:t>
            </w:r>
          </w:p>
        </w:tc>
        <w:tc>
          <w:tcPr>
            <w:tcW w:w="782" w:type="dxa"/>
            <w:tcBorders>
              <w:top w:val="nil"/>
              <w:left w:val="nil"/>
              <w:bottom w:val="nil"/>
              <w:right w:val="nil"/>
            </w:tcBorders>
            <w:vAlign w:val="center"/>
          </w:tcPr>
          <w:p w14:paraId="629E2A7F" w14:textId="77777777" w:rsidR="005B55F2" w:rsidRPr="008406E5" w:rsidRDefault="005B55F2" w:rsidP="0031117D">
            <w:pPr>
              <w:spacing w:line="480" w:lineRule="auto"/>
              <w:jc w:val="right"/>
              <w:rPr>
                <w:sz w:val="24"/>
                <w:szCs w:val="24"/>
              </w:rPr>
            </w:pPr>
            <w:r w:rsidRPr="008406E5">
              <w:rPr>
                <w:sz w:val="24"/>
                <w:szCs w:val="24"/>
              </w:rPr>
              <w:t>6</w:t>
            </w:r>
          </w:p>
        </w:tc>
        <w:tc>
          <w:tcPr>
            <w:tcW w:w="782" w:type="dxa"/>
            <w:tcBorders>
              <w:top w:val="nil"/>
              <w:left w:val="nil"/>
              <w:bottom w:val="nil"/>
              <w:right w:val="nil"/>
            </w:tcBorders>
            <w:vAlign w:val="center"/>
          </w:tcPr>
          <w:p w14:paraId="68D124A6" w14:textId="77777777" w:rsidR="005B55F2" w:rsidRPr="008406E5" w:rsidRDefault="005B55F2" w:rsidP="0031117D">
            <w:pPr>
              <w:spacing w:line="480" w:lineRule="auto"/>
              <w:jc w:val="right"/>
              <w:rPr>
                <w:sz w:val="24"/>
                <w:szCs w:val="24"/>
              </w:rPr>
            </w:pPr>
            <w:r w:rsidRPr="008406E5">
              <w:rPr>
                <w:sz w:val="24"/>
                <w:szCs w:val="24"/>
              </w:rPr>
              <w:t>14</w:t>
            </w:r>
          </w:p>
        </w:tc>
      </w:tr>
      <w:tr w:rsidR="005B55F2" w:rsidRPr="008406E5" w14:paraId="68CE5EC7" w14:textId="77777777" w:rsidTr="006C4BE0">
        <w:tc>
          <w:tcPr>
            <w:tcW w:w="1680" w:type="dxa"/>
            <w:tcBorders>
              <w:top w:val="nil"/>
              <w:left w:val="nil"/>
              <w:bottom w:val="nil"/>
              <w:right w:val="nil"/>
            </w:tcBorders>
            <w:vAlign w:val="center"/>
          </w:tcPr>
          <w:p w14:paraId="270B8F7A" w14:textId="77777777" w:rsidR="005B55F2" w:rsidRPr="00750E0E" w:rsidRDefault="005B55F2" w:rsidP="0031117D">
            <w:pPr>
              <w:spacing w:line="480" w:lineRule="auto"/>
              <w:rPr>
                <w:sz w:val="24"/>
              </w:rPr>
            </w:pPr>
          </w:p>
        </w:tc>
        <w:tc>
          <w:tcPr>
            <w:tcW w:w="1710" w:type="dxa"/>
            <w:tcBorders>
              <w:top w:val="nil"/>
              <w:left w:val="nil"/>
              <w:bottom w:val="nil"/>
              <w:right w:val="nil"/>
            </w:tcBorders>
          </w:tcPr>
          <w:p w14:paraId="018C0DBF" w14:textId="77777777" w:rsidR="005B55F2" w:rsidRPr="00750E0E" w:rsidRDefault="005B55F2" w:rsidP="08D4D6A2">
            <w:pPr>
              <w:spacing w:line="480" w:lineRule="auto"/>
            </w:pPr>
            <w:r w:rsidRPr="00750E0E">
              <w:t>Non-Substantive</w:t>
            </w:r>
          </w:p>
        </w:tc>
        <w:tc>
          <w:tcPr>
            <w:tcW w:w="765" w:type="dxa"/>
            <w:tcBorders>
              <w:top w:val="nil"/>
              <w:left w:val="nil"/>
              <w:bottom w:val="nil"/>
              <w:right w:val="nil"/>
            </w:tcBorders>
            <w:vAlign w:val="center"/>
          </w:tcPr>
          <w:p w14:paraId="74F8045E" w14:textId="77777777" w:rsidR="005B55F2" w:rsidRPr="008406E5" w:rsidRDefault="005B55F2" w:rsidP="0031117D">
            <w:pPr>
              <w:spacing w:line="480" w:lineRule="auto"/>
              <w:jc w:val="right"/>
              <w:rPr>
                <w:sz w:val="24"/>
                <w:szCs w:val="24"/>
              </w:rPr>
            </w:pPr>
            <w:r w:rsidRPr="008406E5">
              <w:rPr>
                <w:sz w:val="24"/>
                <w:szCs w:val="24"/>
              </w:rPr>
              <w:t>12</w:t>
            </w:r>
          </w:p>
        </w:tc>
        <w:tc>
          <w:tcPr>
            <w:tcW w:w="766" w:type="dxa"/>
            <w:tcBorders>
              <w:top w:val="nil"/>
              <w:left w:val="nil"/>
              <w:bottom w:val="nil"/>
              <w:right w:val="nil"/>
            </w:tcBorders>
            <w:vAlign w:val="center"/>
          </w:tcPr>
          <w:p w14:paraId="69CC7BE3" w14:textId="77777777" w:rsidR="005B55F2" w:rsidRPr="008406E5" w:rsidRDefault="005B55F2" w:rsidP="0031117D">
            <w:pPr>
              <w:spacing w:line="480" w:lineRule="auto"/>
              <w:jc w:val="right"/>
              <w:rPr>
                <w:sz w:val="24"/>
                <w:szCs w:val="24"/>
              </w:rPr>
            </w:pPr>
            <w:r w:rsidRPr="008406E5">
              <w:rPr>
                <w:sz w:val="24"/>
                <w:szCs w:val="24"/>
              </w:rPr>
              <w:t>8</w:t>
            </w:r>
          </w:p>
        </w:tc>
        <w:tc>
          <w:tcPr>
            <w:tcW w:w="765" w:type="dxa"/>
            <w:tcBorders>
              <w:top w:val="nil"/>
              <w:left w:val="nil"/>
              <w:bottom w:val="nil"/>
              <w:right w:val="nil"/>
            </w:tcBorders>
            <w:vAlign w:val="center"/>
          </w:tcPr>
          <w:p w14:paraId="64B9B4DD" w14:textId="77777777" w:rsidR="005B55F2" w:rsidRPr="008406E5" w:rsidRDefault="005B55F2" w:rsidP="0031117D">
            <w:pPr>
              <w:spacing w:line="480" w:lineRule="auto"/>
              <w:jc w:val="right"/>
              <w:rPr>
                <w:sz w:val="24"/>
                <w:szCs w:val="24"/>
              </w:rPr>
            </w:pPr>
            <w:r w:rsidRPr="008406E5">
              <w:rPr>
                <w:sz w:val="24"/>
                <w:szCs w:val="24"/>
              </w:rPr>
              <w:t>1</w:t>
            </w:r>
          </w:p>
        </w:tc>
        <w:tc>
          <w:tcPr>
            <w:tcW w:w="766" w:type="dxa"/>
            <w:tcBorders>
              <w:top w:val="nil"/>
              <w:left w:val="nil"/>
              <w:bottom w:val="nil"/>
              <w:right w:val="nil"/>
            </w:tcBorders>
            <w:vAlign w:val="center"/>
          </w:tcPr>
          <w:p w14:paraId="435C76B9" w14:textId="77777777" w:rsidR="005B55F2" w:rsidRPr="008406E5" w:rsidRDefault="005B55F2" w:rsidP="0031117D">
            <w:pPr>
              <w:spacing w:line="480" w:lineRule="auto"/>
              <w:jc w:val="right"/>
              <w:rPr>
                <w:sz w:val="24"/>
                <w:szCs w:val="24"/>
              </w:rPr>
            </w:pPr>
            <w:r w:rsidRPr="008406E5">
              <w:rPr>
                <w:sz w:val="24"/>
                <w:szCs w:val="24"/>
              </w:rPr>
              <w:t>37</w:t>
            </w:r>
          </w:p>
        </w:tc>
        <w:tc>
          <w:tcPr>
            <w:tcW w:w="766" w:type="dxa"/>
            <w:tcBorders>
              <w:top w:val="nil"/>
              <w:left w:val="nil"/>
              <w:bottom w:val="nil"/>
              <w:right w:val="nil"/>
            </w:tcBorders>
            <w:vAlign w:val="center"/>
          </w:tcPr>
          <w:p w14:paraId="4D437B63" w14:textId="77777777" w:rsidR="005B55F2" w:rsidRPr="008406E5" w:rsidRDefault="005B55F2" w:rsidP="0031117D">
            <w:pPr>
              <w:spacing w:line="480" w:lineRule="auto"/>
              <w:jc w:val="right"/>
              <w:rPr>
                <w:sz w:val="24"/>
                <w:szCs w:val="24"/>
              </w:rPr>
            </w:pPr>
            <w:r w:rsidRPr="008406E5">
              <w:rPr>
                <w:sz w:val="24"/>
                <w:szCs w:val="24"/>
              </w:rPr>
              <w:t>44</w:t>
            </w:r>
          </w:p>
        </w:tc>
        <w:tc>
          <w:tcPr>
            <w:tcW w:w="298" w:type="dxa"/>
            <w:tcBorders>
              <w:top w:val="nil"/>
              <w:left w:val="nil"/>
              <w:bottom w:val="nil"/>
              <w:right w:val="nil"/>
            </w:tcBorders>
            <w:vAlign w:val="center"/>
          </w:tcPr>
          <w:p w14:paraId="30E1592F" w14:textId="77777777" w:rsidR="005B55F2" w:rsidRPr="008406E5" w:rsidRDefault="005B55F2" w:rsidP="0031117D">
            <w:pPr>
              <w:spacing w:line="480" w:lineRule="auto"/>
              <w:jc w:val="right"/>
              <w:rPr>
                <w:sz w:val="24"/>
                <w:szCs w:val="24"/>
              </w:rPr>
            </w:pPr>
          </w:p>
        </w:tc>
        <w:tc>
          <w:tcPr>
            <w:tcW w:w="689" w:type="dxa"/>
            <w:tcBorders>
              <w:top w:val="nil"/>
              <w:left w:val="nil"/>
              <w:bottom w:val="nil"/>
              <w:right w:val="nil"/>
            </w:tcBorders>
            <w:vAlign w:val="center"/>
          </w:tcPr>
          <w:p w14:paraId="50274035" w14:textId="77777777" w:rsidR="005B55F2" w:rsidRPr="008406E5" w:rsidRDefault="005B55F2" w:rsidP="0031117D">
            <w:pPr>
              <w:spacing w:line="480" w:lineRule="auto"/>
              <w:jc w:val="right"/>
              <w:rPr>
                <w:sz w:val="24"/>
                <w:szCs w:val="24"/>
              </w:rPr>
            </w:pPr>
            <w:r w:rsidRPr="008406E5">
              <w:rPr>
                <w:sz w:val="24"/>
                <w:szCs w:val="24"/>
              </w:rPr>
              <w:t>9</w:t>
            </w:r>
          </w:p>
        </w:tc>
        <w:tc>
          <w:tcPr>
            <w:tcW w:w="782" w:type="dxa"/>
            <w:tcBorders>
              <w:top w:val="nil"/>
              <w:left w:val="nil"/>
              <w:bottom w:val="nil"/>
              <w:right w:val="nil"/>
            </w:tcBorders>
            <w:vAlign w:val="center"/>
          </w:tcPr>
          <w:p w14:paraId="0CD70CD2" w14:textId="77777777" w:rsidR="005B55F2" w:rsidRPr="008406E5" w:rsidRDefault="005B55F2" w:rsidP="0031117D">
            <w:pPr>
              <w:spacing w:line="480" w:lineRule="auto"/>
              <w:jc w:val="right"/>
              <w:rPr>
                <w:sz w:val="24"/>
                <w:szCs w:val="24"/>
              </w:rPr>
            </w:pPr>
            <w:r w:rsidRPr="008406E5">
              <w:rPr>
                <w:sz w:val="24"/>
                <w:szCs w:val="24"/>
              </w:rPr>
              <w:t>7</w:t>
            </w:r>
          </w:p>
        </w:tc>
        <w:tc>
          <w:tcPr>
            <w:tcW w:w="782" w:type="dxa"/>
            <w:tcBorders>
              <w:top w:val="nil"/>
              <w:left w:val="nil"/>
              <w:bottom w:val="nil"/>
              <w:right w:val="nil"/>
            </w:tcBorders>
            <w:vAlign w:val="center"/>
          </w:tcPr>
          <w:p w14:paraId="3113866B" w14:textId="77777777" w:rsidR="005B55F2" w:rsidRPr="008406E5" w:rsidRDefault="005B55F2" w:rsidP="0031117D">
            <w:pPr>
              <w:spacing w:line="480" w:lineRule="auto"/>
              <w:jc w:val="right"/>
              <w:rPr>
                <w:sz w:val="24"/>
                <w:szCs w:val="24"/>
              </w:rPr>
            </w:pPr>
            <w:r w:rsidRPr="008406E5">
              <w:rPr>
                <w:sz w:val="24"/>
                <w:szCs w:val="24"/>
              </w:rPr>
              <w:t>1</w:t>
            </w:r>
          </w:p>
        </w:tc>
        <w:tc>
          <w:tcPr>
            <w:tcW w:w="782" w:type="dxa"/>
            <w:tcBorders>
              <w:top w:val="nil"/>
              <w:left w:val="nil"/>
              <w:bottom w:val="nil"/>
              <w:right w:val="nil"/>
            </w:tcBorders>
            <w:vAlign w:val="center"/>
          </w:tcPr>
          <w:p w14:paraId="55187E34" w14:textId="77777777" w:rsidR="005B55F2" w:rsidRPr="008406E5" w:rsidRDefault="005B55F2" w:rsidP="0031117D">
            <w:pPr>
              <w:spacing w:line="480" w:lineRule="auto"/>
              <w:jc w:val="right"/>
              <w:rPr>
                <w:sz w:val="24"/>
                <w:szCs w:val="24"/>
              </w:rPr>
            </w:pPr>
            <w:r w:rsidRPr="008406E5">
              <w:rPr>
                <w:sz w:val="24"/>
                <w:szCs w:val="24"/>
              </w:rPr>
              <w:t>28</w:t>
            </w:r>
          </w:p>
        </w:tc>
        <w:tc>
          <w:tcPr>
            <w:tcW w:w="782" w:type="dxa"/>
            <w:tcBorders>
              <w:top w:val="nil"/>
              <w:left w:val="nil"/>
              <w:bottom w:val="nil"/>
              <w:right w:val="nil"/>
            </w:tcBorders>
            <w:vAlign w:val="center"/>
          </w:tcPr>
          <w:p w14:paraId="27AE67BC" w14:textId="77777777" w:rsidR="005B55F2" w:rsidRPr="008406E5" w:rsidRDefault="005B55F2" w:rsidP="0031117D">
            <w:pPr>
              <w:spacing w:line="480" w:lineRule="auto"/>
              <w:jc w:val="right"/>
              <w:rPr>
                <w:sz w:val="24"/>
                <w:szCs w:val="24"/>
              </w:rPr>
            </w:pPr>
            <w:r w:rsidRPr="008406E5">
              <w:rPr>
                <w:sz w:val="24"/>
                <w:szCs w:val="24"/>
              </w:rPr>
              <w:t>43</w:t>
            </w:r>
          </w:p>
        </w:tc>
      </w:tr>
      <w:tr w:rsidR="005B55F2" w:rsidRPr="008406E5" w14:paraId="69187A83" w14:textId="77777777" w:rsidTr="006C4BE0">
        <w:tc>
          <w:tcPr>
            <w:tcW w:w="1680" w:type="dxa"/>
            <w:tcBorders>
              <w:top w:val="nil"/>
              <w:left w:val="nil"/>
              <w:bottom w:val="nil"/>
              <w:right w:val="nil"/>
            </w:tcBorders>
            <w:vAlign w:val="center"/>
          </w:tcPr>
          <w:p w14:paraId="5016DD12" w14:textId="77777777" w:rsidR="005B55F2" w:rsidRPr="006C4BE0" w:rsidRDefault="005B55F2" w:rsidP="006C4BE0">
            <w:pPr>
              <w:spacing w:line="480" w:lineRule="auto"/>
              <w:rPr>
                <w:sz w:val="24"/>
                <w:szCs w:val="24"/>
              </w:rPr>
            </w:pPr>
            <w:r w:rsidRPr="62FF30AE">
              <w:t>Intermediary</w:t>
            </w:r>
            <w:r w:rsidRPr="62FF30AE">
              <w:rPr>
                <w:vertAlign w:val="superscript"/>
              </w:rPr>
              <w:t xml:space="preserve"> a</w:t>
            </w:r>
          </w:p>
        </w:tc>
        <w:tc>
          <w:tcPr>
            <w:tcW w:w="1710" w:type="dxa"/>
            <w:tcBorders>
              <w:top w:val="nil"/>
              <w:left w:val="nil"/>
              <w:bottom w:val="nil"/>
              <w:right w:val="nil"/>
            </w:tcBorders>
          </w:tcPr>
          <w:p w14:paraId="182BE125" w14:textId="77777777" w:rsidR="005B55F2" w:rsidRPr="00750E0E" w:rsidRDefault="005B55F2" w:rsidP="08D4D6A2">
            <w:pPr>
              <w:spacing w:line="480" w:lineRule="auto"/>
            </w:pPr>
            <w:r w:rsidRPr="00750E0E">
              <w:t xml:space="preserve">Substantive </w:t>
            </w:r>
            <w:r w:rsidRPr="00750E0E">
              <w:rPr>
                <w:vertAlign w:val="superscript"/>
              </w:rPr>
              <w:t>b</w:t>
            </w:r>
          </w:p>
        </w:tc>
        <w:tc>
          <w:tcPr>
            <w:tcW w:w="765" w:type="dxa"/>
            <w:tcBorders>
              <w:top w:val="nil"/>
              <w:left w:val="nil"/>
              <w:bottom w:val="nil"/>
              <w:right w:val="nil"/>
            </w:tcBorders>
            <w:vAlign w:val="center"/>
          </w:tcPr>
          <w:p w14:paraId="6669079B" w14:textId="77777777" w:rsidR="005B55F2" w:rsidRPr="008406E5" w:rsidRDefault="005B55F2" w:rsidP="0031117D">
            <w:pPr>
              <w:spacing w:line="480" w:lineRule="auto"/>
              <w:jc w:val="right"/>
              <w:rPr>
                <w:sz w:val="24"/>
                <w:szCs w:val="24"/>
              </w:rPr>
            </w:pPr>
            <w:r w:rsidRPr="008406E5">
              <w:rPr>
                <w:sz w:val="24"/>
                <w:szCs w:val="24"/>
              </w:rPr>
              <w:t>4</w:t>
            </w:r>
          </w:p>
        </w:tc>
        <w:tc>
          <w:tcPr>
            <w:tcW w:w="766" w:type="dxa"/>
            <w:tcBorders>
              <w:top w:val="nil"/>
              <w:left w:val="nil"/>
              <w:bottom w:val="nil"/>
              <w:right w:val="nil"/>
            </w:tcBorders>
            <w:vAlign w:val="center"/>
          </w:tcPr>
          <w:p w14:paraId="6655A3DE" w14:textId="77777777" w:rsidR="005B55F2" w:rsidRPr="008406E5" w:rsidRDefault="005B55F2" w:rsidP="0031117D">
            <w:pPr>
              <w:spacing w:line="480" w:lineRule="auto"/>
              <w:jc w:val="right"/>
              <w:rPr>
                <w:sz w:val="24"/>
                <w:szCs w:val="24"/>
              </w:rPr>
            </w:pPr>
            <w:r w:rsidRPr="008406E5">
              <w:rPr>
                <w:sz w:val="24"/>
                <w:szCs w:val="24"/>
              </w:rPr>
              <w:t>4</w:t>
            </w:r>
          </w:p>
        </w:tc>
        <w:tc>
          <w:tcPr>
            <w:tcW w:w="765" w:type="dxa"/>
            <w:tcBorders>
              <w:top w:val="nil"/>
              <w:left w:val="nil"/>
              <w:bottom w:val="nil"/>
              <w:right w:val="nil"/>
            </w:tcBorders>
            <w:vAlign w:val="center"/>
          </w:tcPr>
          <w:p w14:paraId="7E7C5E53" w14:textId="77777777" w:rsidR="005B55F2" w:rsidRPr="008406E5" w:rsidRDefault="005B55F2" w:rsidP="0031117D">
            <w:pPr>
              <w:spacing w:line="480" w:lineRule="auto"/>
              <w:jc w:val="right"/>
              <w:rPr>
                <w:sz w:val="24"/>
                <w:szCs w:val="24"/>
              </w:rPr>
            </w:pPr>
            <w:r w:rsidRPr="008406E5">
              <w:rPr>
                <w:sz w:val="24"/>
                <w:szCs w:val="24"/>
              </w:rPr>
              <w:t>1</w:t>
            </w:r>
          </w:p>
        </w:tc>
        <w:tc>
          <w:tcPr>
            <w:tcW w:w="766" w:type="dxa"/>
            <w:tcBorders>
              <w:top w:val="nil"/>
              <w:left w:val="nil"/>
              <w:bottom w:val="nil"/>
              <w:right w:val="nil"/>
            </w:tcBorders>
            <w:vAlign w:val="center"/>
          </w:tcPr>
          <w:p w14:paraId="043B9ED3" w14:textId="77777777" w:rsidR="005B55F2" w:rsidRPr="008406E5" w:rsidRDefault="005B55F2" w:rsidP="0031117D">
            <w:pPr>
              <w:spacing w:line="480" w:lineRule="auto"/>
              <w:jc w:val="right"/>
              <w:rPr>
                <w:sz w:val="24"/>
                <w:szCs w:val="24"/>
              </w:rPr>
            </w:pPr>
            <w:r w:rsidRPr="008406E5">
              <w:rPr>
                <w:sz w:val="24"/>
                <w:szCs w:val="24"/>
              </w:rPr>
              <w:t>9</w:t>
            </w:r>
          </w:p>
        </w:tc>
        <w:tc>
          <w:tcPr>
            <w:tcW w:w="766" w:type="dxa"/>
            <w:tcBorders>
              <w:top w:val="nil"/>
              <w:left w:val="nil"/>
              <w:bottom w:val="nil"/>
              <w:right w:val="nil"/>
            </w:tcBorders>
            <w:vAlign w:val="center"/>
          </w:tcPr>
          <w:p w14:paraId="7E48C41D" w14:textId="77777777" w:rsidR="005B55F2" w:rsidRPr="008406E5" w:rsidRDefault="005B55F2" w:rsidP="0031117D">
            <w:pPr>
              <w:spacing w:line="480" w:lineRule="auto"/>
              <w:jc w:val="right"/>
              <w:rPr>
                <w:sz w:val="24"/>
                <w:szCs w:val="24"/>
              </w:rPr>
            </w:pPr>
            <w:r w:rsidRPr="008406E5">
              <w:rPr>
                <w:sz w:val="24"/>
                <w:szCs w:val="24"/>
              </w:rPr>
              <w:t>4</w:t>
            </w:r>
          </w:p>
        </w:tc>
        <w:tc>
          <w:tcPr>
            <w:tcW w:w="298" w:type="dxa"/>
            <w:tcBorders>
              <w:top w:val="nil"/>
              <w:left w:val="nil"/>
              <w:bottom w:val="nil"/>
              <w:right w:val="nil"/>
            </w:tcBorders>
            <w:vAlign w:val="center"/>
          </w:tcPr>
          <w:p w14:paraId="489886F8" w14:textId="77777777" w:rsidR="005B55F2" w:rsidRPr="008406E5" w:rsidRDefault="005B55F2" w:rsidP="0031117D">
            <w:pPr>
              <w:spacing w:line="480" w:lineRule="auto"/>
              <w:jc w:val="right"/>
              <w:rPr>
                <w:sz w:val="24"/>
                <w:szCs w:val="24"/>
              </w:rPr>
            </w:pPr>
          </w:p>
        </w:tc>
        <w:tc>
          <w:tcPr>
            <w:tcW w:w="689" w:type="dxa"/>
            <w:tcBorders>
              <w:top w:val="nil"/>
              <w:left w:val="nil"/>
              <w:bottom w:val="nil"/>
              <w:right w:val="nil"/>
            </w:tcBorders>
            <w:vAlign w:val="center"/>
          </w:tcPr>
          <w:p w14:paraId="1E7EAA71" w14:textId="77777777" w:rsidR="005B55F2" w:rsidRPr="008406E5" w:rsidRDefault="005B55F2" w:rsidP="0031117D">
            <w:pPr>
              <w:spacing w:line="480" w:lineRule="auto"/>
              <w:jc w:val="right"/>
              <w:rPr>
                <w:sz w:val="24"/>
                <w:szCs w:val="24"/>
              </w:rPr>
            </w:pPr>
            <w:r w:rsidRPr="008406E5">
              <w:rPr>
                <w:sz w:val="24"/>
                <w:szCs w:val="24"/>
              </w:rPr>
              <w:t>2</w:t>
            </w:r>
          </w:p>
        </w:tc>
        <w:tc>
          <w:tcPr>
            <w:tcW w:w="782" w:type="dxa"/>
            <w:tcBorders>
              <w:top w:val="nil"/>
              <w:left w:val="nil"/>
              <w:bottom w:val="nil"/>
              <w:right w:val="nil"/>
            </w:tcBorders>
            <w:vAlign w:val="center"/>
          </w:tcPr>
          <w:p w14:paraId="7C5D7C6D" w14:textId="77777777" w:rsidR="005B55F2" w:rsidRPr="008406E5" w:rsidRDefault="005B55F2" w:rsidP="0031117D">
            <w:pPr>
              <w:spacing w:line="480" w:lineRule="auto"/>
              <w:jc w:val="right"/>
              <w:rPr>
                <w:sz w:val="24"/>
                <w:szCs w:val="24"/>
              </w:rPr>
            </w:pPr>
            <w:r w:rsidRPr="008406E5">
              <w:rPr>
                <w:sz w:val="24"/>
                <w:szCs w:val="24"/>
              </w:rPr>
              <w:t>1</w:t>
            </w:r>
          </w:p>
        </w:tc>
        <w:tc>
          <w:tcPr>
            <w:tcW w:w="782" w:type="dxa"/>
            <w:tcBorders>
              <w:top w:val="nil"/>
              <w:left w:val="nil"/>
              <w:bottom w:val="nil"/>
              <w:right w:val="nil"/>
            </w:tcBorders>
            <w:vAlign w:val="center"/>
          </w:tcPr>
          <w:p w14:paraId="297B5776" w14:textId="77777777" w:rsidR="005B55F2" w:rsidRPr="008406E5" w:rsidRDefault="005B55F2" w:rsidP="0031117D">
            <w:pPr>
              <w:spacing w:line="480" w:lineRule="auto"/>
              <w:jc w:val="right"/>
              <w:rPr>
                <w:sz w:val="24"/>
                <w:szCs w:val="24"/>
              </w:rPr>
            </w:pPr>
            <w:r w:rsidRPr="008406E5">
              <w:rPr>
                <w:sz w:val="24"/>
                <w:szCs w:val="24"/>
              </w:rPr>
              <w:t>1</w:t>
            </w:r>
          </w:p>
        </w:tc>
        <w:tc>
          <w:tcPr>
            <w:tcW w:w="782" w:type="dxa"/>
            <w:tcBorders>
              <w:top w:val="nil"/>
              <w:left w:val="nil"/>
              <w:bottom w:val="nil"/>
              <w:right w:val="nil"/>
            </w:tcBorders>
            <w:vAlign w:val="center"/>
          </w:tcPr>
          <w:p w14:paraId="7BD71910" w14:textId="77777777" w:rsidR="005B55F2" w:rsidRPr="008406E5" w:rsidRDefault="005B55F2" w:rsidP="0031117D">
            <w:pPr>
              <w:spacing w:line="480" w:lineRule="auto"/>
              <w:jc w:val="right"/>
              <w:rPr>
                <w:sz w:val="24"/>
                <w:szCs w:val="24"/>
              </w:rPr>
            </w:pPr>
            <w:r w:rsidRPr="008406E5">
              <w:rPr>
                <w:sz w:val="24"/>
                <w:szCs w:val="24"/>
              </w:rPr>
              <w:t>4</w:t>
            </w:r>
          </w:p>
        </w:tc>
        <w:tc>
          <w:tcPr>
            <w:tcW w:w="782" w:type="dxa"/>
            <w:tcBorders>
              <w:top w:val="nil"/>
              <w:left w:val="nil"/>
              <w:bottom w:val="nil"/>
              <w:right w:val="nil"/>
            </w:tcBorders>
            <w:vAlign w:val="center"/>
          </w:tcPr>
          <w:p w14:paraId="05E97ACB" w14:textId="77777777" w:rsidR="005B55F2" w:rsidRPr="008406E5" w:rsidRDefault="005B55F2" w:rsidP="0031117D">
            <w:pPr>
              <w:spacing w:line="480" w:lineRule="auto"/>
              <w:jc w:val="right"/>
              <w:rPr>
                <w:sz w:val="24"/>
                <w:szCs w:val="24"/>
              </w:rPr>
            </w:pPr>
            <w:r w:rsidRPr="008406E5">
              <w:rPr>
                <w:sz w:val="24"/>
                <w:szCs w:val="24"/>
              </w:rPr>
              <w:t>4</w:t>
            </w:r>
          </w:p>
        </w:tc>
      </w:tr>
      <w:tr w:rsidR="005B55F2" w:rsidRPr="008406E5" w14:paraId="52D060CC" w14:textId="77777777" w:rsidTr="006C4BE0">
        <w:tc>
          <w:tcPr>
            <w:tcW w:w="1680" w:type="dxa"/>
            <w:tcBorders>
              <w:top w:val="nil"/>
              <w:left w:val="nil"/>
              <w:right w:val="nil"/>
            </w:tcBorders>
            <w:vAlign w:val="center"/>
          </w:tcPr>
          <w:p w14:paraId="6B20D957" w14:textId="77777777" w:rsidR="005B55F2" w:rsidRPr="00750E0E" w:rsidRDefault="005B55F2" w:rsidP="0031117D">
            <w:pPr>
              <w:spacing w:line="480" w:lineRule="auto"/>
            </w:pPr>
          </w:p>
        </w:tc>
        <w:tc>
          <w:tcPr>
            <w:tcW w:w="1710" w:type="dxa"/>
            <w:tcBorders>
              <w:top w:val="nil"/>
              <w:left w:val="nil"/>
              <w:right w:val="nil"/>
            </w:tcBorders>
          </w:tcPr>
          <w:p w14:paraId="663ED211" w14:textId="77777777" w:rsidR="005B55F2" w:rsidRPr="00750E0E" w:rsidRDefault="005B55F2" w:rsidP="08D4D6A2">
            <w:pPr>
              <w:spacing w:line="480" w:lineRule="auto"/>
            </w:pPr>
            <w:r w:rsidRPr="00750E0E">
              <w:t>Non-Substantive</w:t>
            </w:r>
          </w:p>
        </w:tc>
        <w:tc>
          <w:tcPr>
            <w:tcW w:w="765" w:type="dxa"/>
            <w:tcBorders>
              <w:top w:val="nil"/>
              <w:left w:val="nil"/>
              <w:right w:val="nil"/>
            </w:tcBorders>
            <w:vAlign w:val="center"/>
          </w:tcPr>
          <w:p w14:paraId="130DD2EF" w14:textId="77777777" w:rsidR="005B55F2" w:rsidRPr="008406E5" w:rsidRDefault="005B55F2" w:rsidP="0031117D">
            <w:pPr>
              <w:spacing w:line="480" w:lineRule="auto"/>
              <w:jc w:val="right"/>
              <w:rPr>
                <w:sz w:val="24"/>
                <w:szCs w:val="24"/>
              </w:rPr>
            </w:pPr>
            <w:r w:rsidRPr="008406E5">
              <w:rPr>
                <w:sz w:val="24"/>
                <w:szCs w:val="24"/>
              </w:rPr>
              <w:t>5</w:t>
            </w:r>
          </w:p>
        </w:tc>
        <w:tc>
          <w:tcPr>
            <w:tcW w:w="766" w:type="dxa"/>
            <w:tcBorders>
              <w:top w:val="nil"/>
              <w:left w:val="nil"/>
              <w:right w:val="nil"/>
            </w:tcBorders>
            <w:vAlign w:val="center"/>
          </w:tcPr>
          <w:p w14:paraId="1461DEDD" w14:textId="77777777" w:rsidR="005B55F2" w:rsidRPr="008406E5" w:rsidRDefault="005B55F2" w:rsidP="0031117D">
            <w:pPr>
              <w:spacing w:line="480" w:lineRule="auto"/>
              <w:jc w:val="right"/>
              <w:rPr>
                <w:sz w:val="24"/>
                <w:szCs w:val="24"/>
              </w:rPr>
            </w:pPr>
            <w:r w:rsidRPr="008406E5">
              <w:rPr>
                <w:sz w:val="24"/>
                <w:szCs w:val="24"/>
              </w:rPr>
              <w:t>5</w:t>
            </w:r>
          </w:p>
        </w:tc>
        <w:tc>
          <w:tcPr>
            <w:tcW w:w="765" w:type="dxa"/>
            <w:tcBorders>
              <w:top w:val="nil"/>
              <w:left w:val="nil"/>
              <w:right w:val="nil"/>
            </w:tcBorders>
            <w:vAlign w:val="center"/>
          </w:tcPr>
          <w:p w14:paraId="09AF7511" w14:textId="77777777" w:rsidR="005B55F2" w:rsidRPr="008406E5" w:rsidRDefault="005B55F2" w:rsidP="0031117D">
            <w:pPr>
              <w:spacing w:line="480" w:lineRule="auto"/>
              <w:jc w:val="right"/>
              <w:rPr>
                <w:sz w:val="24"/>
                <w:szCs w:val="24"/>
              </w:rPr>
            </w:pPr>
            <w:r w:rsidRPr="008406E5">
              <w:rPr>
                <w:sz w:val="24"/>
                <w:szCs w:val="24"/>
              </w:rPr>
              <w:t>1</w:t>
            </w:r>
          </w:p>
        </w:tc>
        <w:tc>
          <w:tcPr>
            <w:tcW w:w="766" w:type="dxa"/>
            <w:tcBorders>
              <w:top w:val="nil"/>
              <w:left w:val="nil"/>
              <w:right w:val="nil"/>
            </w:tcBorders>
            <w:vAlign w:val="center"/>
          </w:tcPr>
          <w:p w14:paraId="2B2ACA2B" w14:textId="77777777" w:rsidR="005B55F2" w:rsidRPr="008406E5" w:rsidRDefault="005B55F2" w:rsidP="0031117D">
            <w:pPr>
              <w:spacing w:line="480" w:lineRule="auto"/>
              <w:jc w:val="right"/>
              <w:rPr>
                <w:sz w:val="24"/>
                <w:szCs w:val="24"/>
              </w:rPr>
            </w:pPr>
            <w:r w:rsidRPr="008406E5">
              <w:rPr>
                <w:sz w:val="24"/>
                <w:szCs w:val="24"/>
              </w:rPr>
              <w:t>13</w:t>
            </w:r>
          </w:p>
        </w:tc>
        <w:tc>
          <w:tcPr>
            <w:tcW w:w="766" w:type="dxa"/>
            <w:tcBorders>
              <w:top w:val="nil"/>
              <w:left w:val="nil"/>
              <w:right w:val="nil"/>
            </w:tcBorders>
            <w:vAlign w:val="center"/>
          </w:tcPr>
          <w:p w14:paraId="239AA7EB" w14:textId="77777777" w:rsidR="005B55F2" w:rsidRPr="008406E5" w:rsidRDefault="005B55F2" w:rsidP="0031117D">
            <w:pPr>
              <w:spacing w:line="480" w:lineRule="auto"/>
              <w:jc w:val="right"/>
              <w:rPr>
                <w:sz w:val="24"/>
                <w:szCs w:val="24"/>
              </w:rPr>
            </w:pPr>
            <w:r w:rsidRPr="008406E5">
              <w:rPr>
                <w:sz w:val="24"/>
                <w:szCs w:val="24"/>
              </w:rPr>
              <w:t>5</w:t>
            </w:r>
          </w:p>
        </w:tc>
        <w:tc>
          <w:tcPr>
            <w:tcW w:w="298" w:type="dxa"/>
            <w:tcBorders>
              <w:top w:val="nil"/>
              <w:left w:val="nil"/>
              <w:right w:val="nil"/>
            </w:tcBorders>
            <w:vAlign w:val="center"/>
          </w:tcPr>
          <w:p w14:paraId="7F28A31B" w14:textId="77777777" w:rsidR="005B55F2" w:rsidRPr="008406E5" w:rsidRDefault="005B55F2" w:rsidP="0031117D">
            <w:pPr>
              <w:spacing w:line="480" w:lineRule="auto"/>
              <w:jc w:val="right"/>
              <w:rPr>
                <w:sz w:val="24"/>
                <w:szCs w:val="24"/>
              </w:rPr>
            </w:pPr>
          </w:p>
        </w:tc>
        <w:tc>
          <w:tcPr>
            <w:tcW w:w="689" w:type="dxa"/>
            <w:tcBorders>
              <w:top w:val="nil"/>
              <w:left w:val="nil"/>
              <w:right w:val="nil"/>
            </w:tcBorders>
            <w:vAlign w:val="center"/>
          </w:tcPr>
          <w:p w14:paraId="5506409D" w14:textId="77777777" w:rsidR="005B55F2" w:rsidRPr="008406E5" w:rsidRDefault="005B55F2" w:rsidP="0031117D">
            <w:pPr>
              <w:spacing w:line="480" w:lineRule="auto"/>
              <w:jc w:val="right"/>
              <w:rPr>
                <w:sz w:val="24"/>
                <w:szCs w:val="24"/>
              </w:rPr>
            </w:pPr>
            <w:r w:rsidRPr="008406E5">
              <w:rPr>
                <w:sz w:val="24"/>
                <w:szCs w:val="24"/>
              </w:rPr>
              <w:t>2</w:t>
            </w:r>
          </w:p>
        </w:tc>
        <w:tc>
          <w:tcPr>
            <w:tcW w:w="782" w:type="dxa"/>
            <w:tcBorders>
              <w:top w:val="nil"/>
              <w:left w:val="nil"/>
              <w:right w:val="nil"/>
            </w:tcBorders>
            <w:vAlign w:val="center"/>
          </w:tcPr>
          <w:p w14:paraId="6BE99FF9" w14:textId="77777777" w:rsidR="005B55F2" w:rsidRPr="008406E5" w:rsidRDefault="005B55F2" w:rsidP="0031117D">
            <w:pPr>
              <w:spacing w:line="480" w:lineRule="auto"/>
              <w:jc w:val="right"/>
              <w:rPr>
                <w:sz w:val="24"/>
                <w:szCs w:val="24"/>
              </w:rPr>
            </w:pPr>
            <w:r w:rsidRPr="008406E5">
              <w:rPr>
                <w:sz w:val="24"/>
                <w:szCs w:val="24"/>
              </w:rPr>
              <w:t>2</w:t>
            </w:r>
          </w:p>
        </w:tc>
        <w:tc>
          <w:tcPr>
            <w:tcW w:w="782" w:type="dxa"/>
            <w:tcBorders>
              <w:top w:val="nil"/>
              <w:left w:val="nil"/>
              <w:right w:val="nil"/>
            </w:tcBorders>
            <w:vAlign w:val="center"/>
          </w:tcPr>
          <w:p w14:paraId="7CAB0498" w14:textId="77777777" w:rsidR="005B55F2" w:rsidRPr="008406E5" w:rsidRDefault="005B55F2" w:rsidP="0031117D">
            <w:pPr>
              <w:spacing w:line="480" w:lineRule="auto"/>
              <w:jc w:val="right"/>
              <w:rPr>
                <w:sz w:val="24"/>
                <w:szCs w:val="24"/>
              </w:rPr>
            </w:pPr>
            <w:r w:rsidRPr="008406E5">
              <w:rPr>
                <w:sz w:val="24"/>
                <w:szCs w:val="24"/>
              </w:rPr>
              <w:t>1</w:t>
            </w:r>
          </w:p>
        </w:tc>
        <w:tc>
          <w:tcPr>
            <w:tcW w:w="782" w:type="dxa"/>
            <w:tcBorders>
              <w:top w:val="nil"/>
              <w:left w:val="nil"/>
              <w:right w:val="nil"/>
            </w:tcBorders>
            <w:vAlign w:val="center"/>
          </w:tcPr>
          <w:p w14:paraId="47DC4636" w14:textId="77777777" w:rsidR="005B55F2" w:rsidRPr="008406E5" w:rsidRDefault="005B55F2" w:rsidP="0031117D">
            <w:pPr>
              <w:spacing w:line="480" w:lineRule="auto"/>
              <w:jc w:val="right"/>
              <w:rPr>
                <w:sz w:val="24"/>
                <w:szCs w:val="24"/>
              </w:rPr>
            </w:pPr>
            <w:r w:rsidRPr="008406E5">
              <w:rPr>
                <w:sz w:val="24"/>
                <w:szCs w:val="24"/>
              </w:rPr>
              <w:t>4</w:t>
            </w:r>
          </w:p>
        </w:tc>
        <w:tc>
          <w:tcPr>
            <w:tcW w:w="782" w:type="dxa"/>
            <w:tcBorders>
              <w:top w:val="nil"/>
              <w:left w:val="nil"/>
              <w:right w:val="nil"/>
            </w:tcBorders>
            <w:vAlign w:val="center"/>
          </w:tcPr>
          <w:p w14:paraId="687E5D5B" w14:textId="77777777" w:rsidR="005B55F2" w:rsidRPr="008406E5" w:rsidRDefault="005B55F2" w:rsidP="0031117D">
            <w:pPr>
              <w:spacing w:line="480" w:lineRule="auto"/>
              <w:jc w:val="right"/>
              <w:rPr>
                <w:sz w:val="24"/>
                <w:szCs w:val="24"/>
              </w:rPr>
            </w:pPr>
            <w:r w:rsidRPr="008406E5">
              <w:rPr>
                <w:sz w:val="24"/>
                <w:szCs w:val="24"/>
              </w:rPr>
              <w:t>4</w:t>
            </w:r>
          </w:p>
        </w:tc>
      </w:tr>
    </w:tbl>
    <w:p w14:paraId="1F1E4BCD" w14:textId="77777777" w:rsidR="005B55F2" w:rsidRPr="00750E0E" w:rsidRDefault="005B55F2" w:rsidP="005B55F2">
      <w:pPr>
        <w:outlineLvl w:val="0"/>
        <w:rPr>
          <w:sz w:val="20"/>
          <w:szCs w:val="20"/>
        </w:rPr>
      </w:pPr>
      <w:r w:rsidRPr="00750E0E">
        <w:rPr>
          <w:sz w:val="20"/>
          <w:szCs w:val="20"/>
          <w:vertAlign w:val="superscript"/>
        </w:rPr>
        <w:t xml:space="preserve">a </w:t>
      </w:r>
      <w:r w:rsidRPr="00750E0E">
        <w:rPr>
          <w:sz w:val="20"/>
          <w:szCs w:val="20"/>
        </w:rPr>
        <w:t>Prosecutors and intermediaries who did not ask any questions were excluded.</w:t>
      </w:r>
    </w:p>
    <w:p w14:paraId="684EBB35" w14:textId="5B6A5BDF" w:rsidR="005B55F2" w:rsidRPr="00750E0E" w:rsidRDefault="005B55F2" w:rsidP="005B55F2">
      <w:pPr>
        <w:rPr>
          <w:sz w:val="20"/>
          <w:szCs w:val="20"/>
        </w:rPr>
      </w:pPr>
      <w:proofErr w:type="gramStart"/>
      <w:r w:rsidRPr="00750E0E">
        <w:rPr>
          <w:sz w:val="20"/>
          <w:szCs w:val="20"/>
          <w:vertAlign w:val="superscript"/>
        </w:rPr>
        <w:t xml:space="preserve">b  </w:t>
      </w:r>
      <w:r w:rsidRPr="00750E0E">
        <w:rPr>
          <w:sz w:val="20"/>
          <w:szCs w:val="20"/>
        </w:rPr>
        <w:t>Substantive</w:t>
      </w:r>
      <w:proofErr w:type="gramEnd"/>
      <w:r w:rsidRPr="00750E0E">
        <w:rPr>
          <w:sz w:val="20"/>
          <w:szCs w:val="20"/>
        </w:rPr>
        <w:t xml:space="preserve"> utterances included invitations, directive, option-posing, and suggestive prompts. </w:t>
      </w:r>
    </w:p>
    <w:p w14:paraId="2F70C1E3" w14:textId="77777777" w:rsidR="005B55F2" w:rsidRPr="008406E5" w:rsidRDefault="005B55F2" w:rsidP="005B55F2">
      <w:pPr>
        <w:rPr>
          <w:highlight w:val="yellow"/>
        </w:rPr>
      </w:pPr>
    </w:p>
    <w:p w14:paraId="13CAEEF2" w14:textId="77777777" w:rsidR="005B55F2" w:rsidRPr="008406E5" w:rsidRDefault="005B55F2" w:rsidP="005B55F2"/>
    <w:p w14:paraId="6B3D6658" w14:textId="77777777" w:rsidR="005B55F2" w:rsidRPr="008406E5" w:rsidRDefault="005B55F2" w:rsidP="005B55F2"/>
    <w:p w14:paraId="2D8C3328" w14:textId="77777777" w:rsidR="005B55F2" w:rsidRPr="008406E5" w:rsidRDefault="005B55F2" w:rsidP="005B55F2"/>
    <w:p w14:paraId="769362AA" w14:textId="77777777" w:rsidR="005B55F2" w:rsidRPr="008406E5" w:rsidRDefault="005B55F2" w:rsidP="005B55F2"/>
    <w:p w14:paraId="0F3D0B7F" w14:textId="77777777" w:rsidR="005B55F2" w:rsidRPr="008406E5" w:rsidRDefault="005B55F2" w:rsidP="005B55F2"/>
    <w:p w14:paraId="33EEC4CE" w14:textId="77777777" w:rsidR="005B55F2" w:rsidRPr="008406E5" w:rsidRDefault="005B55F2" w:rsidP="005B55F2"/>
    <w:p w14:paraId="6A00D91E" w14:textId="77777777" w:rsidR="005B55F2" w:rsidRPr="008406E5" w:rsidRDefault="005B55F2" w:rsidP="005B55F2"/>
    <w:p w14:paraId="3D963C46" w14:textId="77777777" w:rsidR="005B55F2" w:rsidRPr="008406E5" w:rsidRDefault="005B55F2" w:rsidP="005B55F2"/>
    <w:p w14:paraId="4793243E" w14:textId="77777777" w:rsidR="005B55F2" w:rsidRPr="008406E5" w:rsidRDefault="005B55F2" w:rsidP="005B55F2"/>
    <w:p w14:paraId="72E23E0E" w14:textId="77777777" w:rsidR="005B55F2" w:rsidRPr="008406E5" w:rsidRDefault="005B55F2" w:rsidP="005B55F2"/>
    <w:p w14:paraId="6C738FA0" w14:textId="77777777" w:rsidR="005B55F2" w:rsidRPr="008406E5" w:rsidRDefault="005B55F2" w:rsidP="005B55F2"/>
    <w:p w14:paraId="12F7397E" w14:textId="77777777" w:rsidR="005B55F2" w:rsidRDefault="005B55F2" w:rsidP="005B55F2"/>
    <w:p w14:paraId="31654FCC" w14:textId="77777777" w:rsidR="005B55F2" w:rsidRDefault="005B55F2" w:rsidP="005B55F2"/>
    <w:p w14:paraId="16B3015B" w14:textId="77777777" w:rsidR="005B55F2" w:rsidRDefault="005B55F2" w:rsidP="005B55F2"/>
    <w:p w14:paraId="6C47B508" w14:textId="77777777" w:rsidR="005B55F2" w:rsidRDefault="005B55F2" w:rsidP="005B55F2"/>
    <w:p w14:paraId="15F8DDDC" w14:textId="77777777" w:rsidR="005B55F2" w:rsidRDefault="005B55F2" w:rsidP="005B55F2"/>
    <w:p w14:paraId="0763EE68" w14:textId="77777777" w:rsidR="005B55F2" w:rsidRDefault="005B55F2" w:rsidP="005B55F2"/>
    <w:p w14:paraId="1FBDC913" w14:textId="77777777" w:rsidR="005B55F2" w:rsidRDefault="005B55F2" w:rsidP="005B55F2"/>
    <w:p w14:paraId="4ED7A7B5" w14:textId="77777777" w:rsidR="005B55F2" w:rsidRDefault="005B55F2" w:rsidP="005B55F2"/>
    <w:p w14:paraId="4249A15F" w14:textId="77777777" w:rsidR="005B55F2" w:rsidRDefault="005B55F2" w:rsidP="005B55F2"/>
    <w:p w14:paraId="1DC09274" w14:textId="77777777" w:rsidR="005B55F2" w:rsidRDefault="005B55F2" w:rsidP="005B55F2"/>
    <w:p w14:paraId="2859E6BC" w14:textId="77777777" w:rsidR="005B55F2" w:rsidRPr="008406E5" w:rsidRDefault="005B55F2" w:rsidP="08D4D6A2">
      <w:r w:rsidRPr="008406E5">
        <w:lastRenderedPageBreak/>
        <w:t>Table 5</w:t>
      </w:r>
    </w:p>
    <w:p w14:paraId="1BF58CA5" w14:textId="77777777" w:rsidR="005B55F2" w:rsidRPr="008406E5" w:rsidRDefault="005B55F2" w:rsidP="08D4D6A2">
      <w:pPr>
        <w:textAlignment w:val="baseline"/>
      </w:pPr>
      <w:r w:rsidRPr="008406E5">
        <w:t> </w:t>
      </w:r>
    </w:p>
    <w:p w14:paraId="36216152" w14:textId="77777777" w:rsidR="005B55F2" w:rsidRPr="008406E5" w:rsidRDefault="005B55F2" w:rsidP="08D4D6A2">
      <w:pPr>
        <w:textAlignment w:val="baseline"/>
      </w:pPr>
      <w:r w:rsidRPr="08D4D6A2">
        <w:rPr>
          <w:i/>
          <w:iCs/>
        </w:rPr>
        <w:t>Utterance Type Proportions by Trial Condition, Lawyer Role, and Children’s Age </w:t>
      </w:r>
      <w:r w:rsidRPr="23B9E151">
        <w:t> </w:t>
      </w:r>
    </w:p>
    <w:p w14:paraId="399F564A" w14:textId="77777777" w:rsidR="005B55F2" w:rsidRPr="008406E5" w:rsidRDefault="005B55F2" w:rsidP="08D4D6A2">
      <w:pPr>
        <w:textAlignment w:val="baseline"/>
      </w:pPr>
      <w:r w:rsidRPr="008406E5">
        <w:t> </w:t>
      </w:r>
    </w:p>
    <w:tbl>
      <w:tblPr>
        <w:tblW w:w="9452" w:type="dxa"/>
        <w:tblInd w:w="-4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4"/>
        <w:gridCol w:w="1303"/>
        <w:gridCol w:w="1469"/>
        <w:gridCol w:w="560"/>
        <w:gridCol w:w="560"/>
        <w:gridCol w:w="568"/>
        <w:gridCol w:w="617"/>
        <w:gridCol w:w="386"/>
        <w:gridCol w:w="560"/>
        <w:gridCol w:w="560"/>
        <w:gridCol w:w="568"/>
        <w:gridCol w:w="617"/>
      </w:tblGrid>
      <w:tr w:rsidR="005B55F2" w:rsidRPr="008406E5" w14:paraId="65E19239" w14:textId="77777777" w:rsidTr="006C4BE0">
        <w:trPr>
          <w:trHeight w:val="360"/>
        </w:trPr>
        <w:tc>
          <w:tcPr>
            <w:tcW w:w="1684" w:type="dxa"/>
            <w:tcBorders>
              <w:top w:val="single" w:sz="4" w:space="0" w:color="auto"/>
              <w:left w:val="nil"/>
              <w:bottom w:val="single" w:sz="4" w:space="0" w:color="auto"/>
              <w:right w:val="nil"/>
            </w:tcBorders>
            <w:shd w:val="clear" w:color="auto" w:fill="auto"/>
            <w:hideMark/>
          </w:tcPr>
          <w:p w14:paraId="30BE2402" w14:textId="77777777" w:rsidR="005B55F2" w:rsidRPr="008406E5" w:rsidRDefault="005B55F2" w:rsidP="0031117D">
            <w:pPr>
              <w:spacing w:beforeAutospacing="1" w:afterAutospacing="1"/>
              <w:textAlignment w:val="baseline"/>
            </w:pPr>
          </w:p>
        </w:tc>
        <w:tc>
          <w:tcPr>
            <w:tcW w:w="1303" w:type="dxa"/>
            <w:tcBorders>
              <w:top w:val="single" w:sz="4" w:space="0" w:color="auto"/>
              <w:left w:val="nil"/>
              <w:bottom w:val="single" w:sz="4" w:space="0" w:color="auto"/>
              <w:right w:val="nil"/>
            </w:tcBorders>
            <w:shd w:val="clear" w:color="auto" w:fill="auto"/>
            <w:hideMark/>
          </w:tcPr>
          <w:p w14:paraId="09783360" w14:textId="77777777" w:rsidR="005B55F2" w:rsidRPr="008406E5" w:rsidRDefault="005B55F2" w:rsidP="08D4D6A2">
            <w:pPr>
              <w:spacing w:beforeAutospacing="1" w:afterAutospacing="1"/>
              <w:textAlignment w:val="baseline"/>
            </w:pPr>
            <w:r w:rsidRPr="008406E5">
              <w:t> </w:t>
            </w:r>
          </w:p>
        </w:tc>
        <w:tc>
          <w:tcPr>
            <w:tcW w:w="1469" w:type="dxa"/>
            <w:tcBorders>
              <w:top w:val="single" w:sz="4" w:space="0" w:color="auto"/>
              <w:left w:val="nil"/>
              <w:bottom w:val="single" w:sz="4" w:space="0" w:color="auto"/>
              <w:right w:val="nil"/>
            </w:tcBorders>
            <w:shd w:val="clear" w:color="auto" w:fill="auto"/>
            <w:hideMark/>
          </w:tcPr>
          <w:p w14:paraId="6357AAC3" w14:textId="77777777" w:rsidR="005B55F2" w:rsidRPr="008406E5" w:rsidRDefault="005B55F2" w:rsidP="08D4D6A2">
            <w:pPr>
              <w:spacing w:beforeAutospacing="1" w:afterAutospacing="1"/>
              <w:textAlignment w:val="baseline"/>
            </w:pPr>
            <w:r w:rsidRPr="008406E5">
              <w:t> </w:t>
            </w:r>
          </w:p>
        </w:tc>
        <w:tc>
          <w:tcPr>
            <w:tcW w:w="2305" w:type="dxa"/>
            <w:gridSpan w:val="4"/>
            <w:tcBorders>
              <w:top w:val="single" w:sz="4" w:space="0" w:color="auto"/>
              <w:left w:val="nil"/>
              <w:bottom w:val="single" w:sz="4" w:space="0" w:color="auto"/>
              <w:right w:val="nil"/>
            </w:tcBorders>
            <w:shd w:val="clear" w:color="auto" w:fill="auto"/>
            <w:vAlign w:val="center"/>
            <w:hideMark/>
          </w:tcPr>
          <w:p w14:paraId="353EE038" w14:textId="77777777" w:rsidR="005B55F2" w:rsidRPr="008406E5" w:rsidRDefault="005B55F2" w:rsidP="006C4BE0">
            <w:pPr>
              <w:spacing w:beforeAutospacing="1" w:afterAutospacing="1"/>
              <w:jc w:val="center"/>
              <w:textAlignment w:val="baseline"/>
            </w:pPr>
            <w:r w:rsidRPr="008406E5">
              <w:rPr>
                <w:color w:val="000000"/>
              </w:rPr>
              <w:t>NS28</w:t>
            </w:r>
            <w:r w:rsidRPr="23B9E151">
              <w:t> </w:t>
            </w:r>
          </w:p>
        </w:tc>
        <w:tc>
          <w:tcPr>
            <w:tcW w:w="386" w:type="dxa"/>
            <w:tcBorders>
              <w:top w:val="single" w:sz="4" w:space="0" w:color="auto"/>
              <w:left w:val="nil"/>
              <w:bottom w:val="single" w:sz="4" w:space="0" w:color="auto"/>
              <w:right w:val="nil"/>
            </w:tcBorders>
            <w:shd w:val="clear" w:color="auto" w:fill="auto"/>
            <w:vAlign w:val="center"/>
            <w:hideMark/>
          </w:tcPr>
          <w:p w14:paraId="482C94F7" w14:textId="77777777" w:rsidR="005B55F2" w:rsidRPr="008406E5" w:rsidRDefault="005B55F2" w:rsidP="08D4D6A2">
            <w:pPr>
              <w:spacing w:beforeAutospacing="1" w:afterAutospacing="1"/>
              <w:jc w:val="center"/>
              <w:textAlignment w:val="baseline"/>
            </w:pPr>
            <w:r w:rsidRPr="008406E5">
              <w:t> </w:t>
            </w:r>
          </w:p>
        </w:tc>
        <w:tc>
          <w:tcPr>
            <w:tcW w:w="2305" w:type="dxa"/>
            <w:gridSpan w:val="4"/>
            <w:tcBorders>
              <w:top w:val="single" w:sz="4" w:space="0" w:color="auto"/>
              <w:left w:val="nil"/>
              <w:bottom w:val="single" w:sz="4" w:space="0" w:color="auto"/>
              <w:right w:val="nil"/>
            </w:tcBorders>
            <w:shd w:val="clear" w:color="auto" w:fill="auto"/>
            <w:vAlign w:val="center"/>
            <w:hideMark/>
          </w:tcPr>
          <w:p w14:paraId="715BB2A7" w14:textId="77777777" w:rsidR="005B55F2" w:rsidRPr="008406E5" w:rsidRDefault="005B55F2" w:rsidP="006C4BE0">
            <w:pPr>
              <w:spacing w:beforeAutospacing="1" w:afterAutospacing="1"/>
              <w:jc w:val="center"/>
              <w:textAlignment w:val="baseline"/>
            </w:pPr>
            <w:r w:rsidRPr="008406E5">
              <w:rPr>
                <w:color w:val="000000"/>
              </w:rPr>
              <w:t>S28</w:t>
            </w:r>
            <w:r w:rsidRPr="23B9E151">
              <w:t> </w:t>
            </w:r>
          </w:p>
        </w:tc>
      </w:tr>
      <w:tr w:rsidR="005B55F2" w:rsidRPr="008406E5" w14:paraId="778AE2AF" w14:textId="77777777" w:rsidTr="006C4BE0">
        <w:trPr>
          <w:trHeight w:val="420"/>
        </w:trPr>
        <w:tc>
          <w:tcPr>
            <w:tcW w:w="1684" w:type="dxa"/>
            <w:tcBorders>
              <w:top w:val="single" w:sz="4" w:space="0" w:color="auto"/>
              <w:left w:val="nil"/>
              <w:bottom w:val="nil"/>
              <w:right w:val="nil"/>
            </w:tcBorders>
            <w:shd w:val="clear" w:color="auto" w:fill="auto"/>
            <w:hideMark/>
          </w:tcPr>
          <w:p w14:paraId="19B381BB" w14:textId="77777777" w:rsidR="005B55F2" w:rsidRPr="008406E5" w:rsidRDefault="005B55F2" w:rsidP="0031117D">
            <w:pPr>
              <w:spacing w:beforeAutospacing="1" w:afterAutospacing="1"/>
              <w:textAlignment w:val="baseline"/>
            </w:pPr>
          </w:p>
        </w:tc>
        <w:tc>
          <w:tcPr>
            <w:tcW w:w="1303" w:type="dxa"/>
            <w:tcBorders>
              <w:top w:val="single" w:sz="4" w:space="0" w:color="auto"/>
              <w:left w:val="nil"/>
              <w:bottom w:val="nil"/>
              <w:right w:val="nil"/>
            </w:tcBorders>
            <w:shd w:val="clear" w:color="auto" w:fill="auto"/>
            <w:hideMark/>
          </w:tcPr>
          <w:p w14:paraId="1684A16D" w14:textId="77777777" w:rsidR="005B55F2" w:rsidRPr="008406E5" w:rsidRDefault="005B55F2" w:rsidP="08D4D6A2">
            <w:pPr>
              <w:spacing w:beforeAutospacing="1" w:afterAutospacing="1"/>
              <w:textAlignment w:val="baseline"/>
            </w:pPr>
            <w:r w:rsidRPr="008406E5">
              <w:t> </w:t>
            </w:r>
          </w:p>
        </w:tc>
        <w:tc>
          <w:tcPr>
            <w:tcW w:w="1469" w:type="dxa"/>
            <w:tcBorders>
              <w:top w:val="single" w:sz="4" w:space="0" w:color="auto"/>
              <w:left w:val="nil"/>
              <w:bottom w:val="nil"/>
              <w:right w:val="nil"/>
            </w:tcBorders>
            <w:shd w:val="clear" w:color="auto" w:fill="auto"/>
            <w:hideMark/>
          </w:tcPr>
          <w:p w14:paraId="793198CD" w14:textId="77777777" w:rsidR="005B55F2" w:rsidRPr="008406E5" w:rsidRDefault="005B55F2" w:rsidP="08D4D6A2">
            <w:pPr>
              <w:spacing w:beforeAutospacing="1" w:afterAutospacing="1"/>
              <w:textAlignment w:val="baseline"/>
            </w:pPr>
            <w:r w:rsidRPr="008406E5">
              <w:t> </w:t>
            </w:r>
          </w:p>
        </w:tc>
        <w:tc>
          <w:tcPr>
            <w:tcW w:w="560" w:type="dxa"/>
            <w:tcBorders>
              <w:top w:val="single" w:sz="4" w:space="0" w:color="auto"/>
              <w:left w:val="nil"/>
              <w:bottom w:val="nil"/>
              <w:right w:val="nil"/>
            </w:tcBorders>
            <w:shd w:val="clear" w:color="auto" w:fill="auto"/>
            <w:vAlign w:val="center"/>
            <w:hideMark/>
          </w:tcPr>
          <w:p w14:paraId="7EBFF83D" w14:textId="77777777" w:rsidR="005B55F2" w:rsidRPr="008406E5" w:rsidRDefault="005B55F2" w:rsidP="006C4BE0">
            <w:pPr>
              <w:spacing w:beforeAutospacing="1" w:afterAutospacing="1"/>
              <w:jc w:val="center"/>
              <w:textAlignment w:val="baseline"/>
            </w:pPr>
            <w:r w:rsidRPr="08D4D6A2">
              <w:rPr>
                <w:i/>
                <w:iCs/>
                <w:color w:val="000000"/>
              </w:rPr>
              <w:t>M</w:t>
            </w:r>
          </w:p>
        </w:tc>
        <w:tc>
          <w:tcPr>
            <w:tcW w:w="560" w:type="dxa"/>
            <w:tcBorders>
              <w:top w:val="single" w:sz="4" w:space="0" w:color="auto"/>
              <w:left w:val="nil"/>
              <w:bottom w:val="nil"/>
              <w:right w:val="nil"/>
            </w:tcBorders>
            <w:shd w:val="clear" w:color="auto" w:fill="auto"/>
            <w:vAlign w:val="center"/>
            <w:hideMark/>
          </w:tcPr>
          <w:p w14:paraId="25A34176" w14:textId="77777777" w:rsidR="005B55F2" w:rsidRPr="008406E5" w:rsidRDefault="005B55F2" w:rsidP="006C4BE0">
            <w:pPr>
              <w:spacing w:beforeAutospacing="1" w:afterAutospacing="1"/>
              <w:jc w:val="center"/>
              <w:textAlignment w:val="baseline"/>
            </w:pPr>
            <w:r w:rsidRPr="08D4D6A2">
              <w:rPr>
                <w:i/>
                <w:iCs/>
                <w:color w:val="000000"/>
              </w:rPr>
              <w:t>SD</w:t>
            </w:r>
          </w:p>
        </w:tc>
        <w:tc>
          <w:tcPr>
            <w:tcW w:w="568" w:type="dxa"/>
            <w:tcBorders>
              <w:top w:val="single" w:sz="4" w:space="0" w:color="auto"/>
              <w:left w:val="nil"/>
              <w:bottom w:val="nil"/>
              <w:right w:val="nil"/>
            </w:tcBorders>
            <w:shd w:val="clear" w:color="auto" w:fill="auto"/>
            <w:vAlign w:val="center"/>
            <w:hideMark/>
          </w:tcPr>
          <w:p w14:paraId="031304BE" w14:textId="77777777" w:rsidR="005B55F2" w:rsidRPr="008406E5" w:rsidRDefault="005B55F2" w:rsidP="006C4BE0">
            <w:pPr>
              <w:spacing w:beforeAutospacing="1" w:afterAutospacing="1"/>
              <w:jc w:val="center"/>
              <w:textAlignment w:val="baseline"/>
            </w:pPr>
            <w:r w:rsidRPr="08D4D6A2">
              <w:rPr>
                <w:i/>
                <w:iCs/>
                <w:color w:val="000000"/>
              </w:rPr>
              <w:t>Min</w:t>
            </w:r>
          </w:p>
        </w:tc>
        <w:tc>
          <w:tcPr>
            <w:tcW w:w="617" w:type="dxa"/>
            <w:tcBorders>
              <w:top w:val="single" w:sz="4" w:space="0" w:color="auto"/>
              <w:left w:val="nil"/>
              <w:bottom w:val="nil"/>
              <w:right w:val="nil"/>
            </w:tcBorders>
            <w:shd w:val="clear" w:color="auto" w:fill="auto"/>
            <w:vAlign w:val="center"/>
            <w:hideMark/>
          </w:tcPr>
          <w:p w14:paraId="0BA99B55" w14:textId="77777777" w:rsidR="005B55F2" w:rsidRPr="008406E5" w:rsidRDefault="005B55F2" w:rsidP="006C4BE0">
            <w:pPr>
              <w:spacing w:beforeAutospacing="1" w:afterAutospacing="1"/>
              <w:jc w:val="center"/>
              <w:textAlignment w:val="baseline"/>
            </w:pPr>
            <w:r w:rsidRPr="08D4D6A2">
              <w:rPr>
                <w:i/>
                <w:iCs/>
                <w:color w:val="000000"/>
              </w:rPr>
              <w:t>Max</w:t>
            </w:r>
          </w:p>
        </w:tc>
        <w:tc>
          <w:tcPr>
            <w:tcW w:w="386" w:type="dxa"/>
            <w:tcBorders>
              <w:top w:val="single" w:sz="4" w:space="0" w:color="auto"/>
              <w:left w:val="nil"/>
              <w:bottom w:val="nil"/>
              <w:right w:val="nil"/>
            </w:tcBorders>
            <w:shd w:val="clear" w:color="auto" w:fill="auto"/>
            <w:vAlign w:val="center"/>
            <w:hideMark/>
          </w:tcPr>
          <w:p w14:paraId="04B8C91A" w14:textId="77777777" w:rsidR="005B55F2" w:rsidRPr="008406E5" w:rsidRDefault="005B55F2" w:rsidP="0031117D">
            <w:pPr>
              <w:spacing w:beforeAutospacing="1" w:afterAutospacing="1"/>
              <w:jc w:val="center"/>
              <w:textAlignment w:val="baseline"/>
            </w:pPr>
          </w:p>
        </w:tc>
        <w:tc>
          <w:tcPr>
            <w:tcW w:w="560" w:type="dxa"/>
            <w:tcBorders>
              <w:top w:val="single" w:sz="4" w:space="0" w:color="auto"/>
              <w:left w:val="nil"/>
              <w:bottom w:val="nil"/>
              <w:right w:val="nil"/>
            </w:tcBorders>
            <w:shd w:val="clear" w:color="auto" w:fill="auto"/>
            <w:vAlign w:val="center"/>
            <w:hideMark/>
          </w:tcPr>
          <w:p w14:paraId="40079DE9" w14:textId="77777777" w:rsidR="005B55F2" w:rsidRPr="008406E5" w:rsidRDefault="005B55F2" w:rsidP="006C4BE0">
            <w:pPr>
              <w:spacing w:beforeAutospacing="1" w:afterAutospacing="1"/>
              <w:jc w:val="center"/>
              <w:textAlignment w:val="baseline"/>
            </w:pPr>
            <w:r w:rsidRPr="08D4D6A2">
              <w:rPr>
                <w:i/>
                <w:iCs/>
                <w:color w:val="000000"/>
              </w:rPr>
              <w:t>M</w:t>
            </w:r>
          </w:p>
        </w:tc>
        <w:tc>
          <w:tcPr>
            <w:tcW w:w="560" w:type="dxa"/>
            <w:tcBorders>
              <w:top w:val="single" w:sz="4" w:space="0" w:color="auto"/>
              <w:left w:val="nil"/>
              <w:bottom w:val="nil"/>
              <w:right w:val="nil"/>
            </w:tcBorders>
            <w:shd w:val="clear" w:color="auto" w:fill="auto"/>
            <w:vAlign w:val="center"/>
            <w:hideMark/>
          </w:tcPr>
          <w:p w14:paraId="7F41DC6B" w14:textId="77777777" w:rsidR="005B55F2" w:rsidRPr="008406E5" w:rsidRDefault="005B55F2" w:rsidP="006C4BE0">
            <w:pPr>
              <w:spacing w:beforeAutospacing="1" w:afterAutospacing="1"/>
              <w:jc w:val="center"/>
              <w:textAlignment w:val="baseline"/>
            </w:pPr>
            <w:r w:rsidRPr="08D4D6A2">
              <w:rPr>
                <w:i/>
                <w:iCs/>
                <w:color w:val="000000"/>
              </w:rPr>
              <w:t>SD</w:t>
            </w:r>
          </w:p>
        </w:tc>
        <w:tc>
          <w:tcPr>
            <w:tcW w:w="568" w:type="dxa"/>
            <w:tcBorders>
              <w:top w:val="single" w:sz="4" w:space="0" w:color="auto"/>
              <w:left w:val="nil"/>
              <w:bottom w:val="nil"/>
              <w:right w:val="nil"/>
            </w:tcBorders>
            <w:shd w:val="clear" w:color="auto" w:fill="auto"/>
            <w:vAlign w:val="center"/>
            <w:hideMark/>
          </w:tcPr>
          <w:p w14:paraId="1CB1F9F2" w14:textId="77777777" w:rsidR="005B55F2" w:rsidRPr="008406E5" w:rsidRDefault="005B55F2" w:rsidP="006C4BE0">
            <w:pPr>
              <w:spacing w:beforeAutospacing="1" w:afterAutospacing="1"/>
              <w:jc w:val="center"/>
              <w:textAlignment w:val="baseline"/>
            </w:pPr>
            <w:r w:rsidRPr="08D4D6A2">
              <w:rPr>
                <w:i/>
                <w:iCs/>
                <w:color w:val="000000"/>
              </w:rPr>
              <w:t>Min</w:t>
            </w:r>
          </w:p>
        </w:tc>
        <w:tc>
          <w:tcPr>
            <w:tcW w:w="617" w:type="dxa"/>
            <w:tcBorders>
              <w:top w:val="single" w:sz="4" w:space="0" w:color="auto"/>
              <w:left w:val="nil"/>
              <w:bottom w:val="nil"/>
              <w:right w:val="nil"/>
            </w:tcBorders>
            <w:shd w:val="clear" w:color="auto" w:fill="auto"/>
            <w:vAlign w:val="center"/>
            <w:hideMark/>
          </w:tcPr>
          <w:p w14:paraId="72CE832A" w14:textId="77777777" w:rsidR="005B55F2" w:rsidRPr="008406E5" w:rsidRDefault="005B55F2" w:rsidP="006C4BE0">
            <w:pPr>
              <w:spacing w:beforeAutospacing="1" w:afterAutospacing="1"/>
              <w:jc w:val="center"/>
              <w:textAlignment w:val="baseline"/>
            </w:pPr>
            <w:r w:rsidRPr="08D4D6A2">
              <w:rPr>
                <w:i/>
                <w:iCs/>
                <w:color w:val="000000"/>
              </w:rPr>
              <w:t>Max</w:t>
            </w:r>
          </w:p>
        </w:tc>
      </w:tr>
      <w:tr w:rsidR="005B55F2" w:rsidRPr="008406E5" w14:paraId="3CF6947B" w14:textId="77777777" w:rsidTr="006C4BE0">
        <w:trPr>
          <w:trHeight w:val="420"/>
        </w:trPr>
        <w:tc>
          <w:tcPr>
            <w:tcW w:w="1684" w:type="dxa"/>
            <w:vMerge w:val="restart"/>
            <w:tcBorders>
              <w:top w:val="nil"/>
              <w:left w:val="nil"/>
              <w:bottom w:val="nil"/>
              <w:right w:val="nil"/>
            </w:tcBorders>
            <w:shd w:val="clear" w:color="auto" w:fill="auto"/>
            <w:hideMark/>
          </w:tcPr>
          <w:p w14:paraId="26273A4E" w14:textId="77777777" w:rsidR="005B55F2" w:rsidRPr="008406E5" w:rsidRDefault="005B55F2" w:rsidP="006C4BE0">
            <w:pPr>
              <w:spacing w:beforeAutospacing="1" w:afterAutospacing="1"/>
              <w:textAlignment w:val="baseline"/>
            </w:pPr>
            <w:r>
              <w:rPr>
                <w:color w:val="000000"/>
              </w:rPr>
              <w:t>6-12 years</w:t>
            </w:r>
          </w:p>
          <w:p w14:paraId="49F47703" w14:textId="77777777" w:rsidR="005B55F2" w:rsidRPr="008406E5" w:rsidRDefault="005B55F2" w:rsidP="0031117D">
            <w:pPr>
              <w:spacing w:beforeAutospacing="1" w:afterAutospacing="1"/>
              <w:textAlignment w:val="baseline"/>
            </w:pPr>
          </w:p>
          <w:p w14:paraId="42867C2A" w14:textId="77777777" w:rsidR="005B55F2" w:rsidRPr="008406E5" w:rsidRDefault="005B55F2" w:rsidP="0031117D">
            <w:pPr>
              <w:spacing w:beforeAutospacing="1" w:afterAutospacing="1"/>
              <w:textAlignment w:val="baseline"/>
            </w:pPr>
          </w:p>
          <w:p w14:paraId="3C563B70" w14:textId="77777777" w:rsidR="005B55F2" w:rsidRPr="008406E5" w:rsidRDefault="005B55F2" w:rsidP="0031117D">
            <w:pPr>
              <w:spacing w:beforeAutospacing="1" w:afterAutospacing="1"/>
              <w:textAlignment w:val="baseline"/>
            </w:pPr>
          </w:p>
          <w:p w14:paraId="53330BE8" w14:textId="77777777" w:rsidR="005B55F2" w:rsidRPr="008406E5" w:rsidRDefault="005B55F2" w:rsidP="0031117D">
            <w:pPr>
              <w:spacing w:beforeAutospacing="1" w:afterAutospacing="1"/>
              <w:textAlignment w:val="baseline"/>
            </w:pPr>
          </w:p>
        </w:tc>
        <w:tc>
          <w:tcPr>
            <w:tcW w:w="1303" w:type="dxa"/>
            <w:tcBorders>
              <w:top w:val="nil"/>
              <w:left w:val="nil"/>
              <w:bottom w:val="nil"/>
              <w:right w:val="nil"/>
            </w:tcBorders>
            <w:shd w:val="clear" w:color="auto" w:fill="auto"/>
            <w:hideMark/>
          </w:tcPr>
          <w:p w14:paraId="685CA36A" w14:textId="77777777" w:rsidR="005B55F2" w:rsidRPr="008406E5" w:rsidRDefault="005B55F2" w:rsidP="006C4BE0">
            <w:pPr>
              <w:spacing w:beforeAutospacing="1" w:afterAutospacing="1"/>
              <w:textAlignment w:val="baseline"/>
            </w:pPr>
            <w:r w:rsidRPr="008406E5">
              <w:rPr>
                <w:color w:val="000000"/>
              </w:rPr>
              <w:t>Prosecutor</w:t>
            </w:r>
            <w:r w:rsidRPr="23B9E151">
              <w:t> </w:t>
            </w:r>
          </w:p>
        </w:tc>
        <w:tc>
          <w:tcPr>
            <w:tcW w:w="1469" w:type="dxa"/>
            <w:tcBorders>
              <w:top w:val="nil"/>
              <w:left w:val="nil"/>
              <w:bottom w:val="nil"/>
              <w:right w:val="nil"/>
            </w:tcBorders>
            <w:shd w:val="clear" w:color="auto" w:fill="auto"/>
            <w:hideMark/>
          </w:tcPr>
          <w:p w14:paraId="44F5F512" w14:textId="77777777" w:rsidR="005B55F2" w:rsidRPr="008406E5" w:rsidRDefault="005B55F2" w:rsidP="006C4BE0">
            <w:pPr>
              <w:spacing w:beforeAutospacing="1" w:afterAutospacing="1"/>
              <w:textAlignment w:val="baseline"/>
            </w:pPr>
            <w:r w:rsidRPr="008406E5">
              <w:rPr>
                <w:color w:val="000000"/>
              </w:rPr>
              <w:t>Directive</w:t>
            </w:r>
            <w:r w:rsidRPr="23B9E151">
              <w:t> </w:t>
            </w:r>
          </w:p>
        </w:tc>
        <w:tc>
          <w:tcPr>
            <w:tcW w:w="560" w:type="dxa"/>
            <w:tcBorders>
              <w:top w:val="nil"/>
              <w:left w:val="nil"/>
              <w:bottom w:val="nil"/>
              <w:right w:val="nil"/>
            </w:tcBorders>
            <w:shd w:val="clear" w:color="auto" w:fill="auto"/>
            <w:hideMark/>
          </w:tcPr>
          <w:p w14:paraId="2AC78C08" w14:textId="77777777" w:rsidR="005B55F2" w:rsidRPr="008406E5" w:rsidRDefault="005B55F2" w:rsidP="08D4D6A2">
            <w:pPr>
              <w:spacing w:beforeAutospacing="1" w:afterAutospacing="1"/>
              <w:jc w:val="right"/>
              <w:textAlignment w:val="baseline"/>
            </w:pPr>
            <w:r w:rsidRPr="008406E5">
              <w:rPr>
                <w:color w:val="000000"/>
              </w:rPr>
              <w:t>.24</w:t>
            </w:r>
            <w:r w:rsidRPr="008406E5">
              <w:t> </w:t>
            </w:r>
          </w:p>
        </w:tc>
        <w:tc>
          <w:tcPr>
            <w:tcW w:w="560" w:type="dxa"/>
            <w:tcBorders>
              <w:top w:val="nil"/>
              <w:left w:val="nil"/>
              <w:bottom w:val="nil"/>
              <w:right w:val="nil"/>
            </w:tcBorders>
            <w:shd w:val="clear" w:color="auto" w:fill="auto"/>
            <w:hideMark/>
          </w:tcPr>
          <w:p w14:paraId="4453D63D" w14:textId="77777777" w:rsidR="005B55F2" w:rsidRPr="008406E5" w:rsidRDefault="005B55F2" w:rsidP="08D4D6A2">
            <w:pPr>
              <w:spacing w:beforeAutospacing="1" w:afterAutospacing="1"/>
              <w:jc w:val="right"/>
              <w:textAlignment w:val="baseline"/>
            </w:pPr>
            <w:r w:rsidRPr="008406E5">
              <w:rPr>
                <w:color w:val="000000"/>
              </w:rPr>
              <w:t>.18</w:t>
            </w:r>
            <w:r w:rsidRPr="008406E5">
              <w:t> </w:t>
            </w:r>
          </w:p>
        </w:tc>
        <w:tc>
          <w:tcPr>
            <w:tcW w:w="568" w:type="dxa"/>
            <w:tcBorders>
              <w:top w:val="nil"/>
              <w:left w:val="nil"/>
              <w:bottom w:val="nil"/>
              <w:right w:val="nil"/>
            </w:tcBorders>
            <w:shd w:val="clear" w:color="auto" w:fill="auto"/>
            <w:hideMark/>
          </w:tcPr>
          <w:p w14:paraId="5F4EB900"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nil"/>
              <w:right w:val="nil"/>
            </w:tcBorders>
            <w:shd w:val="clear" w:color="auto" w:fill="auto"/>
            <w:hideMark/>
          </w:tcPr>
          <w:p w14:paraId="6A1C22D8" w14:textId="77777777" w:rsidR="005B55F2" w:rsidRPr="008406E5" w:rsidRDefault="005B55F2" w:rsidP="08D4D6A2">
            <w:pPr>
              <w:spacing w:beforeAutospacing="1" w:afterAutospacing="1"/>
              <w:jc w:val="right"/>
              <w:textAlignment w:val="baseline"/>
            </w:pPr>
            <w:r w:rsidRPr="008406E5">
              <w:rPr>
                <w:color w:val="000000"/>
              </w:rPr>
              <w:t>.59</w:t>
            </w:r>
            <w:r w:rsidRPr="008406E5">
              <w:t> </w:t>
            </w:r>
          </w:p>
        </w:tc>
        <w:tc>
          <w:tcPr>
            <w:tcW w:w="386" w:type="dxa"/>
            <w:tcBorders>
              <w:top w:val="nil"/>
              <w:left w:val="nil"/>
              <w:bottom w:val="nil"/>
              <w:right w:val="nil"/>
            </w:tcBorders>
            <w:shd w:val="clear" w:color="auto" w:fill="auto"/>
            <w:hideMark/>
          </w:tcPr>
          <w:p w14:paraId="54719D3F"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25AA5F7E" w14:textId="77777777" w:rsidR="005B55F2" w:rsidRPr="008406E5" w:rsidRDefault="005B55F2" w:rsidP="08D4D6A2">
            <w:pPr>
              <w:spacing w:beforeAutospacing="1" w:afterAutospacing="1"/>
              <w:jc w:val="right"/>
              <w:textAlignment w:val="baseline"/>
            </w:pPr>
            <w:r w:rsidRPr="008406E5">
              <w:rPr>
                <w:color w:val="000000"/>
              </w:rPr>
              <w:t>.34</w:t>
            </w:r>
            <w:r w:rsidRPr="008406E5">
              <w:t> </w:t>
            </w:r>
          </w:p>
        </w:tc>
        <w:tc>
          <w:tcPr>
            <w:tcW w:w="560" w:type="dxa"/>
            <w:tcBorders>
              <w:top w:val="nil"/>
              <w:left w:val="nil"/>
              <w:bottom w:val="nil"/>
              <w:right w:val="nil"/>
            </w:tcBorders>
            <w:shd w:val="clear" w:color="auto" w:fill="auto"/>
            <w:hideMark/>
          </w:tcPr>
          <w:p w14:paraId="141E23F1" w14:textId="77777777" w:rsidR="005B55F2" w:rsidRPr="008406E5" w:rsidRDefault="005B55F2" w:rsidP="08D4D6A2">
            <w:pPr>
              <w:spacing w:beforeAutospacing="1" w:afterAutospacing="1"/>
              <w:jc w:val="right"/>
              <w:textAlignment w:val="baseline"/>
            </w:pPr>
            <w:r w:rsidRPr="008406E5">
              <w:rPr>
                <w:color w:val="000000"/>
              </w:rPr>
              <w:t>.14</w:t>
            </w:r>
            <w:r w:rsidRPr="008406E5">
              <w:t> </w:t>
            </w:r>
          </w:p>
        </w:tc>
        <w:tc>
          <w:tcPr>
            <w:tcW w:w="568" w:type="dxa"/>
            <w:tcBorders>
              <w:top w:val="nil"/>
              <w:left w:val="nil"/>
              <w:bottom w:val="nil"/>
              <w:right w:val="nil"/>
            </w:tcBorders>
            <w:shd w:val="clear" w:color="auto" w:fill="auto"/>
            <w:hideMark/>
          </w:tcPr>
          <w:p w14:paraId="63558CBF" w14:textId="77777777" w:rsidR="005B55F2" w:rsidRPr="008406E5" w:rsidRDefault="005B55F2" w:rsidP="08D4D6A2">
            <w:pPr>
              <w:spacing w:beforeAutospacing="1" w:afterAutospacing="1"/>
              <w:jc w:val="right"/>
              <w:textAlignment w:val="baseline"/>
            </w:pPr>
            <w:r w:rsidRPr="008406E5">
              <w:rPr>
                <w:color w:val="000000"/>
              </w:rPr>
              <w:t>.10</w:t>
            </w:r>
            <w:r w:rsidRPr="008406E5">
              <w:t> </w:t>
            </w:r>
          </w:p>
        </w:tc>
        <w:tc>
          <w:tcPr>
            <w:tcW w:w="617" w:type="dxa"/>
            <w:tcBorders>
              <w:top w:val="nil"/>
              <w:left w:val="nil"/>
              <w:bottom w:val="nil"/>
              <w:right w:val="nil"/>
            </w:tcBorders>
            <w:shd w:val="clear" w:color="auto" w:fill="auto"/>
            <w:hideMark/>
          </w:tcPr>
          <w:p w14:paraId="64055E11" w14:textId="77777777" w:rsidR="005B55F2" w:rsidRPr="008406E5" w:rsidRDefault="005B55F2" w:rsidP="08D4D6A2">
            <w:pPr>
              <w:spacing w:beforeAutospacing="1" w:afterAutospacing="1"/>
              <w:jc w:val="right"/>
              <w:textAlignment w:val="baseline"/>
            </w:pPr>
            <w:r w:rsidRPr="008406E5">
              <w:rPr>
                <w:color w:val="000000"/>
              </w:rPr>
              <w:t>.43</w:t>
            </w:r>
            <w:r w:rsidRPr="008406E5">
              <w:t> </w:t>
            </w:r>
          </w:p>
        </w:tc>
      </w:tr>
      <w:tr w:rsidR="005B55F2" w:rsidRPr="008406E5" w14:paraId="6FB9D154" w14:textId="77777777" w:rsidTr="006C4BE0">
        <w:trPr>
          <w:trHeight w:val="420"/>
        </w:trPr>
        <w:tc>
          <w:tcPr>
            <w:tcW w:w="1684" w:type="dxa"/>
            <w:vMerge/>
            <w:tcBorders>
              <w:top w:val="nil"/>
              <w:left w:val="nil"/>
              <w:bottom w:val="nil"/>
              <w:right w:val="nil"/>
            </w:tcBorders>
            <w:shd w:val="clear" w:color="auto" w:fill="auto"/>
            <w:hideMark/>
          </w:tcPr>
          <w:p w14:paraId="5AAB1883" w14:textId="77777777" w:rsidR="005B55F2" w:rsidRPr="008406E5" w:rsidRDefault="005B55F2" w:rsidP="0031117D"/>
        </w:tc>
        <w:tc>
          <w:tcPr>
            <w:tcW w:w="1303" w:type="dxa"/>
            <w:tcBorders>
              <w:top w:val="nil"/>
              <w:left w:val="nil"/>
              <w:bottom w:val="nil"/>
              <w:right w:val="nil"/>
            </w:tcBorders>
            <w:shd w:val="clear" w:color="auto" w:fill="auto"/>
            <w:hideMark/>
          </w:tcPr>
          <w:p w14:paraId="70D82DA8"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305C7E98" w14:textId="77777777" w:rsidR="005B55F2" w:rsidRPr="008406E5" w:rsidRDefault="005B55F2" w:rsidP="006C4BE0">
            <w:pPr>
              <w:spacing w:beforeAutospacing="1" w:afterAutospacing="1"/>
              <w:textAlignment w:val="baseline"/>
            </w:pPr>
            <w:r w:rsidRPr="008406E5">
              <w:rPr>
                <w:color w:val="000000"/>
              </w:rPr>
              <w:t>Option-Posing</w:t>
            </w:r>
            <w:r w:rsidRPr="23B9E151">
              <w:t> </w:t>
            </w:r>
          </w:p>
        </w:tc>
        <w:tc>
          <w:tcPr>
            <w:tcW w:w="560" w:type="dxa"/>
            <w:tcBorders>
              <w:top w:val="nil"/>
              <w:left w:val="nil"/>
              <w:bottom w:val="nil"/>
              <w:right w:val="nil"/>
            </w:tcBorders>
            <w:shd w:val="clear" w:color="auto" w:fill="auto"/>
            <w:hideMark/>
          </w:tcPr>
          <w:p w14:paraId="67714ABC" w14:textId="77777777" w:rsidR="005B55F2" w:rsidRPr="008406E5" w:rsidRDefault="005B55F2" w:rsidP="08D4D6A2">
            <w:pPr>
              <w:spacing w:beforeAutospacing="1" w:afterAutospacing="1"/>
              <w:jc w:val="right"/>
              <w:textAlignment w:val="baseline"/>
            </w:pPr>
            <w:r w:rsidRPr="008406E5">
              <w:rPr>
                <w:color w:val="000000"/>
              </w:rPr>
              <w:t>.75</w:t>
            </w:r>
            <w:r w:rsidRPr="008406E5">
              <w:t> </w:t>
            </w:r>
          </w:p>
        </w:tc>
        <w:tc>
          <w:tcPr>
            <w:tcW w:w="560" w:type="dxa"/>
            <w:tcBorders>
              <w:top w:val="nil"/>
              <w:left w:val="nil"/>
              <w:bottom w:val="nil"/>
              <w:right w:val="nil"/>
            </w:tcBorders>
            <w:shd w:val="clear" w:color="auto" w:fill="auto"/>
            <w:hideMark/>
          </w:tcPr>
          <w:p w14:paraId="004CED03" w14:textId="77777777" w:rsidR="005B55F2" w:rsidRPr="008406E5" w:rsidRDefault="005B55F2" w:rsidP="08D4D6A2">
            <w:pPr>
              <w:spacing w:beforeAutospacing="1" w:afterAutospacing="1"/>
              <w:jc w:val="right"/>
              <w:textAlignment w:val="baseline"/>
            </w:pPr>
            <w:r w:rsidRPr="008406E5">
              <w:rPr>
                <w:color w:val="000000"/>
              </w:rPr>
              <w:t>.18</w:t>
            </w:r>
            <w:r w:rsidRPr="008406E5">
              <w:t> </w:t>
            </w:r>
          </w:p>
        </w:tc>
        <w:tc>
          <w:tcPr>
            <w:tcW w:w="568" w:type="dxa"/>
            <w:tcBorders>
              <w:top w:val="nil"/>
              <w:left w:val="nil"/>
              <w:bottom w:val="nil"/>
              <w:right w:val="nil"/>
            </w:tcBorders>
            <w:shd w:val="clear" w:color="auto" w:fill="auto"/>
            <w:hideMark/>
          </w:tcPr>
          <w:p w14:paraId="222D2FFC" w14:textId="77777777" w:rsidR="005B55F2" w:rsidRPr="008406E5" w:rsidRDefault="005B55F2" w:rsidP="08D4D6A2">
            <w:pPr>
              <w:spacing w:beforeAutospacing="1" w:afterAutospacing="1"/>
              <w:jc w:val="right"/>
              <w:textAlignment w:val="baseline"/>
            </w:pPr>
            <w:r w:rsidRPr="008406E5">
              <w:rPr>
                <w:color w:val="000000"/>
              </w:rPr>
              <w:t>.40</w:t>
            </w:r>
            <w:r w:rsidRPr="008406E5">
              <w:t> </w:t>
            </w:r>
          </w:p>
        </w:tc>
        <w:tc>
          <w:tcPr>
            <w:tcW w:w="617" w:type="dxa"/>
            <w:tcBorders>
              <w:top w:val="nil"/>
              <w:left w:val="nil"/>
              <w:bottom w:val="nil"/>
              <w:right w:val="nil"/>
            </w:tcBorders>
            <w:shd w:val="clear" w:color="auto" w:fill="auto"/>
            <w:hideMark/>
          </w:tcPr>
          <w:p w14:paraId="3A968A40" w14:textId="77777777" w:rsidR="005B55F2" w:rsidRPr="008406E5" w:rsidRDefault="005B55F2" w:rsidP="08D4D6A2">
            <w:pPr>
              <w:spacing w:beforeAutospacing="1" w:afterAutospacing="1"/>
              <w:jc w:val="right"/>
              <w:textAlignment w:val="baseline"/>
            </w:pPr>
            <w:r w:rsidRPr="008406E5">
              <w:rPr>
                <w:color w:val="000000"/>
              </w:rPr>
              <w:t>1.00</w:t>
            </w:r>
            <w:r w:rsidRPr="008406E5">
              <w:t> </w:t>
            </w:r>
          </w:p>
        </w:tc>
        <w:tc>
          <w:tcPr>
            <w:tcW w:w="386" w:type="dxa"/>
            <w:tcBorders>
              <w:top w:val="nil"/>
              <w:left w:val="nil"/>
              <w:bottom w:val="nil"/>
              <w:right w:val="nil"/>
            </w:tcBorders>
            <w:shd w:val="clear" w:color="auto" w:fill="auto"/>
            <w:hideMark/>
          </w:tcPr>
          <w:p w14:paraId="3C4287DA"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5F627E6D" w14:textId="77777777" w:rsidR="005B55F2" w:rsidRPr="008406E5" w:rsidRDefault="005B55F2" w:rsidP="08D4D6A2">
            <w:pPr>
              <w:spacing w:beforeAutospacing="1" w:afterAutospacing="1"/>
              <w:jc w:val="right"/>
              <w:textAlignment w:val="baseline"/>
            </w:pPr>
            <w:r w:rsidRPr="008406E5">
              <w:rPr>
                <w:color w:val="000000"/>
              </w:rPr>
              <w:t>.63</w:t>
            </w:r>
            <w:r w:rsidRPr="008406E5">
              <w:t> </w:t>
            </w:r>
          </w:p>
        </w:tc>
        <w:tc>
          <w:tcPr>
            <w:tcW w:w="560" w:type="dxa"/>
            <w:tcBorders>
              <w:top w:val="nil"/>
              <w:left w:val="nil"/>
              <w:bottom w:val="nil"/>
              <w:right w:val="nil"/>
            </w:tcBorders>
            <w:shd w:val="clear" w:color="auto" w:fill="auto"/>
            <w:hideMark/>
          </w:tcPr>
          <w:p w14:paraId="6098F955" w14:textId="77777777" w:rsidR="005B55F2" w:rsidRPr="008406E5" w:rsidRDefault="005B55F2" w:rsidP="08D4D6A2">
            <w:pPr>
              <w:spacing w:beforeAutospacing="1" w:afterAutospacing="1"/>
              <w:jc w:val="right"/>
              <w:textAlignment w:val="baseline"/>
            </w:pPr>
            <w:r w:rsidRPr="008406E5">
              <w:rPr>
                <w:color w:val="000000"/>
              </w:rPr>
              <w:t>.17</w:t>
            </w:r>
            <w:r w:rsidRPr="008406E5">
              <w:t> </w:t>
            </w:r>
          </w:p>
        </w:tc>
        <w:tc>
          <w:tcPr>
            <w:tcW w:w="568" w:type="dxa"/>
            <w:tcBorders>
              <w:top w:val="nil"/>
              <w:left w:val="nil"/>
              <w:bottom w:val="nil"/>
              <w:right w:val="nil"/>
            </w:tcBorders>
            <w:shd w:val="clear" w:color="auto" w:fill="auto"/>
            <w:hideMark/>
          </w:tcPr>
          <w:p w14:paraId="67A214A2" w14:textId="77777777" w:rsidR="005B55F2" w:rsidRPr="008406E5" w:rsidRDefault="005B55F2" w:rsidP="08D4D6A2">
            <w:pPr>
              <w:spacing w:beforeAutospacing="1" w:afterAutospacing="1"/>
              <w:jc w:val="right"/>
              <w:textAlignment w:val="baseline"/>
            </w:pPr>
            <w:r w:rsidRPr="008406E5">
              <w:rPr>
                <w:color w:val="000000"/>
              </w:rPr>
              <w:t>.43</w:t>
            </w:r>
            <w:r w:rsidRPr="008406E5">
              <w:t> </w:t>
            </w:r>
          </w:p>
        </w:tc>
        <w:tc>
          <w:tcPr>
            <w:tcW w:w="617" w:type="dxa"/>
            <w:tcBorders>
              <w:top w:val="nil"/>
              <w:left w:val="nil"/>
              <w:bottom w:val="nil"/>
              <w:right w:val="nil"/>
            </w:tcBorders>
            <w:shd w:val="clear" w:color="auto" w:fill="auto"/>
            <w:hideMark/>
          </w:tcPr>
          <w:p w14:paraId="4FFE7420" w14:textId="77777777" w:rsidR="005B55F2" w:rsidRPr="008406E5" w:rsidRDefault="005B55F2" w:rsidP="08D4D6A2">
            <w:pPr>
              <w:spacing w:beforeAutospacing="1" w:afterAutospacing="1"/>
              <w:jc w:val="right"/>
              <w:textAlignment w:val="baseline"/>
            </w:pPr>
            <w:r w:rsidRPr="008406E5">
              <w:rPr>
                <w:color w:val="000000"/>
              </w:rPr>
              <w:t>.90</w:t>
            </w:r>
            <w:r w:rsidRPr="008406E5">
              <w:t> </w:t>
            </w:r>
          </w:p>
        </w:tc>
      </w:tr>
      <w:tr w:rsidR="005B55F2" w:rsidRPr="008406E5" w14:paraId="25181A1C" w14:textId="77777777" w:rsidTr="006C4BE0">
        <w:trPr>
          <w:trHeight w:val="420"/>
        </w:trPr>
        <w:tc>
          <w:tcPr>
            <w:tcW w:w="1684" w:type="dxa"/>
            <w:vMerge/>
            <w:tcBorders>
              <w:top w:val="nil"/>
              <w:left w:val="nil"/>
              <w:bottom w:val="nil"/>
              <w:right w:val="nil"/>
            </w:tcBorders>
            <w:shd w:val="clear" w:color="auto" w:fill="auto"/>
            <w:hideMark/>
          </w:tcPr>
          <w:p w14:paraId="46A07E53" w14:textId="77777777" w:rsidR="005B55F2" w:rsidRPr="008406E5" w:rsidRDefault="005B55F2" w:rsidP="0031117D"/>
        </w:tc>
        <w:tc>
          <w:tcPr>
            <w:tcW w:w="1303" w:type="dxa"/>
            <w:tcBorders>
              <w:top w:val="nil"/>
              <w:left w:val="nil"/>
              <w:bottom w:val="nil"/>
              <w:right w:val="nil"/>
            </w:tcBorders>
            <w:shd w:val="clear" w:color="auto" w:fill="auto"/>
            <w:hideMark/>
          </w:tcPr>
          <w:p w14:paraId="161B04E8"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2597E816" w14:textId="77777777" w:rsidR="005B55F2" w:rsidRPr="008406E5" w:rsidRDefault="005B55F2" w:rsidP="006C4BE0">
            <w:pPr>
              <w:spacing w:beforeAutospacing="1" w:afterAutospacing="1"/>
              <w:textAlignment w:val="baseline"/>
            </w:pPr>
            <w:r w:rsidRPr="008406E5">
              <w:rPr>
                <w:color w:val="000000"/>
              </w:rPr>
              <w:t>Suggestive</w:t>
            </w:r>
            <w:r w:rsidRPr="23B9E151">
              <w:t> </w:t>
            </w:r>
          </w:p>
        </w:tc>
        <w:tc>
          <w:tcPr>
            <w:tcW w:w="560" w:type="dxa"/>
            <w:tcBorders>
              <w:top w:val="nil"/>
              <w:left w:val="nil"/>
              <w:bottom w:val="nil"/>
              <w:right w:val="nil"/>
            </w:tcBorders>
            <w:shd w:val="clear" w:color="auto" w:fill="auto"/>
            <w:hideMark/>
          </w:tcPr>
          <w:p w14:paraId="4FAF697C" w14:textId="77777777" w:rsidR="005B55F2" w:rsidRPr="008406E5" w:rsidRDefault="005B55F2" w:rsidP="08D4D6A2">
            <w:pPr>
              <w:spacing w:beforeAutospacing="1" w:afterAutospacing="1"/>
              <w:jc w:val="right"/>
              <w:textAlignment w:val="baseline"/>
            </w:pPr>
            <w:r w:rsidRPr="008406E5">
              <w:rPr>
                <w:color w:val="000000"/>
              </w:rPr>
              <w:t>.01</w:t>
            </w:r>
            <w:r w:rsidRPr="008406E5">
              <w:t> </w:t>
            </w:r>
          </w:p>
        </w:tc>
        <w:tc>
          <w:tcPr>
            <w:tcW w:w="560" w:type="dxa"/>
            <w:tcBorders>
              <w:top w:val="nil"/>
              <w:left w:val="nil"/>
              <w:bottom w:val="nil"/>
              <w:right w:val="nil"/>
            </w:tcBorders>
            <w:shd w:val="clear" w:color="auto" w:fill="auto"/>
            <w:hideMark/>
          </w:tcPr>
          <w:p w14:paraId="176E9D8E" w14:textId="77777777" w:rsidR="005B55F2" w:rsidRPr="008406E5" w:rsidRDefault="005B55F2" w:rsidP="08D4D6A2">
            <w:pPr>
              <w:spacing w:beforeAutospacing="1" w:afterAutospacing="1"/>
              <w:jc w:val="right"/>
              <w:textAlignment w:val="baseline"/>
            </w:pPr>
            <w:r w:rsidRPr="008406E5">
              <w:rPr>
                <w:color w:val="000000"/>
              </w:rPr>
              <w:t>.02</w:t>
            </w:r>
            <w:r w:rsidRPr="008406E5">
              <w:t> </w:t>
            </w:r>
          </w:p>
        </w:tc>
        <w:tc>
          <w:tcPr>
            <w:tcW w:w="568" w:type="dxa"/>
            <w:tcBorders>
              <w:top w:val="nil"/>
              <w:left w:val="nil"/>
              <w:bottom w:val="nil"/>
              <w:right w:val="nil"/>
            </w:tcBorders>
            <w:shd w:val="clear" w:color="auto" w:fill="auto"/>
            <w:hideMark/>
          </w:tcPr>
          <w:p w14:paraId="099F0C75"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nil"/>
              <w:right w:val="nil"/>
            </w:tcBorders>
            <w:shd w:val="clear" w:color="auto" w:fill="auto"/>
            <w:hideMark/>
          </w:tcPr>
          <w:p w14:paraId="35AD9D00" w14:textId="77777777" w:rsidR="005B55F2" w:rsidRPr="008406E5" w:rsidRDefault="005B55F2" w:rsidP="08D4D6A2">
            <w:pPr>
              <w:spacing w:beforeAutospacing="1" w:afterAutospacing="1"/>
              <w:jc w:val="right"/>
              <w:textAlignment w:val="baseline"/>
            </w:pPr>
            <w:r w:rsidRPr="008406E5">
              <w:rPr>
                <w:color w:val="000000"/>
              </w:rPr>
              <w:t>.08</w:t>
            </w:r>
            <w:r w:rsidRPr="008406E5">
              <w:t> </w:t>
            </w:r>
          </w:p>
        </w:tc>
        <w:tc>
          <w:tcPr>
            <w:tcW w:w="386" w:type="dxa"/>
            <w:tcBorders>
              <w:top w:val="nil"/>
              <w:left w:val="nil"/>
              <w:bottom w:val="nil"/>
              <w:right w:val="nil"/>
            </w:tcBorders>
            <w:shd w:val="clear" w:color="auto" w:fill="auto"/>
            <w:hideMark/>
          </w:tcPr>
          <w:p w14:paraId="606CE130"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4C07E69F" w14:textId="77777777" w:rsidR="005B55F2" w:rsidRPr="008406E5" w:rsidRDefault="005B55F2" w:rsidP="08D4D6A2">
            <w:pPr>
              <w:spacing w:beforeAutospacing="1" w:afterAutospacing="1"/>
              <w:jc w:val="right"/>
              <w:textAlignment w:val="baseline"/>
            </w:pPr>
            <w:r w:rsidRPr="008406E5">
              <w:rPr>
                <w:color w:val="000000"/>
              </w:rPr>
              <w:t>.03</w:t>
            </w:r>
            <w:r w:rsidRPr="008406E5">
              <w:t> </w:t>
            </w:r>
          </w:p>
        </w:tc>
        <w:tc>
          <w:tcPr>
            <w:tcW w:w="560" w:type="dxa"/>
            <w:tcBorders>
              <w:top w:val="nil"/>
              <w:left w:val="nil"/>
              <w:bottom w:val="nil"/>
              <w:right w:val="nil"/>
            </w:tcBorders>
            <w:shd w:val="clear" w:color="auto" w:fill="auto"/>
            <w:hideMark/>
          </w:tcPr>
          <w:p w14:paraId="66274916" w14:textId="77777777" w:rsidR="005B55F2" w:rsidRPr="008406E5" w:rsidRDefault="005B55F2" w:rsidP="08D4D6A2">
            <w:pPr>
              <w:spacing w:beforeAutospacing="1" w:afterAutospacing="1"/>
              <w:jc w:val="right"/>
              <w:textAlignment w:val="baseline"/>
            </w:pPr>
            <w:r w:rsidRPr="008406E5">
              <w:rPr>
                <w:color w:val="000000"/>
              </w:rPr>
              <w:t>.06</w:t>
            </w:r>
            <w:r w:rsidRPr="008406E5">
              <w:t> </w:t>
            </w:r>
          </w:p>
        </w:tc>
        <w:tc>
          <w:tcPr>
            <w:tcW w:w="568" w:type="dxa"/>
            <w:tcBorders>
              <w:top w:val="nil"/>
              <w:left w:val="nil"/>
              <w:bottom w:val="nil"/>
              <w:right w:val="nil"/>
            </w:tcBorders>
            <w:shd w:val="clear" w:color="auto" w:fill="auto"/>
            <w:hideMark/>
          </w:tcPr>
          <w:p w14:paraId="0C2BBD58"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nil"/>
              <w:right w:val="nil"/>
            </w:tcBorders>
            <w:shd w:val="clear" w:color="auto" w:fill="auto"/>
            <w:hideMark/>
          </w:tcPr>
          <w:p w14:paraId="050B7F1C" w14:textId="77777777" w:rsidR="005B55F2" w:rsidRPr="008406E5" w:rsidRDefault="005B55F2" w:rsidP="08D4D6A2">
            <w:pPr>
              <w:spacing w:beforeAutospacing="1" w:afterAutospacing="1"/>
              <w:jc w:val="right"/>
              <w:textAlignment w:val="baseline"/>
            </w:pPr>
            <w:r w:rsidRPr="008406E5">
              <w:rPr>
                <w:color w:val="000000"/>
              </w:rPr>
              <w:t>.14</w:t>
            </w:r>
            <w:r w:rsidRPr="008406E5">
              <w:t> </w:t>
            </w:r>
          </w:p>
        </w:tc>
      </w:tr>
      <w:tr w:rsidR="005B55F2" w:rsidRPr="008406E5" w14:paraId="57FA231B" w14:textId="77777777" w:rsidTr="006C4BE0">
        <w:trPr>
          <w:trHeight w:val="420"/>
        </w:trPr>
        <w:tc>
          <w:tcPr>
            <w:tcW w:w="1684" w:type="dxa"/>
            <w:vMerge/>
            <w:tcBorders>
              <w:top w:val="nil"/>
              <w:left w:val="nil"/>
              <w:bottom w:val="nil"/>
              <w:right w:val="nil"/>
            </w:tcBorders>
            <w:shd w:val="clear" w:color="auto" w:fill="auto"/>
            <w:hideMark/>
          </w:tcPr>
          <w:p w14:paraId="28AE5BD8" w14:textId="77777777" w:rsidR="005B55F2" w:rsidRPr="008406E5" w:rsidRDefault="005B55F2" w:rsidP="0031117D"/>
        </w:tc>
        <w:tc>
          <w:tcPr>
            <w:tcW w:w="1303" w:type="dxa"/>
            <w:tcBorders>
              <w:top w:val="nil"/>
              <w:left w:val="nil"/>
              <w:bottom w:val="nil"/>
              <w:right w:val="nil"/>
            </w:tcBorders>
            <w:shd w:val="clear" w:color="auto" w:fill="auto"/>
            <w:hideMark/>
          </w:tcPr>
          <w:p w14:paraId="440645BC" w14:textId="61A8A9FF" w:rsidR="005B55F2" w:rsidRPr="008406E5" w:rsidRDefault="005B55F2" w:rsidP="006C4BE0">
            <w:pPr>
              <w:spacing w:beforeAutospacing="1" w:afterAutospacing="1"/>
              <w:textAlignment w:val="baseline"/>
            </w:pPr>
            <w:r w:rsidRPr="008406E5">
              <w:rPr>
                <w:color w:val="000000"/>
              </w:rPr>
              <w:t>Defence</w:t>
            </w:r>
            <w:r w:rsidRPr="23B9E151">
              <w:t> </w:t>
            </w:r>
          </w:p>
        </w:tc>
        <w:tc>
          <w:tcPr>
            <w:tcW w:w="1469" w:type="dxa"/>
            <w:tcBorders>
              <w:top w:val="nil"/>
              <w:left w:val="nil"/>
              <w:bottom w:val="nil"/>
              <w:right w:val="nil"/>
            </w:tcBorders>
            <w:shd w:val="clear" w:color="auto" w:fill="auto"/>
            <w:hideMark/>
          </w:tcPr>
          <w:p w14:paraId="3FAE1616" w14:textId="77777777" w:rsidR="005B55F2" w:rsidRPr="008406E5" w:rsidRDefault="005B55F2" w:rsidP="006C4BE0">
            <w:pPr>
              <w:spacing w:beforeAutospacing="1" w:afterAutospacing="1"/>
              <w:textAlignment w:val="baseline"/>
            </w:pPr>
            <w:r w:rsidRPr="008406E5">
              <w:rPr>
                <w:color w:val="000000"/>
              </w:rPr>
              <w:t>Directive</w:t>
            </w:r>
            <w:r w:rsidRPr="23B9E151">
              <w:t> </w:t>
            </w:r>
          </w:p>
        </w:tc>
        <w:tc>
          <w:tcPr>
            <w:tcW w:w="560" w:type="dxa"/>
            <w:tcBorders>
              <w:top w:val="nil"/>
              <w:left w:val="nil"/>
              <w:bottom w:val="nil"/>
              <w:right w:val="nil"/>
            </w:tcBorders>
            <w:shd w:val="clear" w:color="auto" w:fill="auto"/>
            <w:hideMark/>
          </w:tcPr>
          <w:p w14:paraId="14922D33" w14:textId="77777777" w:rsidR="005B55F2" w:rsidRPr="008406E5" w:rsidRDefault="005B55F2" w:rsidP="08D4D6A2">
            <w:pPr>
              <w:spacing w:beforeAutospacing="1" w:afterAutospacing="1"/>
              <w:jc w:val="right"/>
              <w:textAlignment w:val="baseline"/>
            </w:pPr>
            <w:r w:rsidRPr="008406E5">
              <w:rPr>
                <w:color w:val="000000"/>
              </w:rPr>
              <w:t>.15</w:t>
            </w:r>
            <w:r w:rsidRPr="008406E5">
              <w:t> </w:t>
            </w:r>
          </w:p>
        </w:tc>
        <w:tc>
          <w:tcPr>
            <w:tcW w:w="560" w:type="dxa"/>
            <w:tcBorders>
              <w:top w:val="nil"/>
              <w:left w:val="nil"/>
              <w:bottom w:val="nil"/>
              <w:right w:val="nil"/>
            </w:tcBorders>
            <w:shd w:val="clear" w:color="auto" w:fill="auto"/>
            <w:hideMark/>
          </w:tcPr>
          <w:p w14:paraId="46DCC3E3" w14:textId="77777777" w:rsidR="005B55F2" w:rsidRPr="008406E5" w:rsidRDefault="005B55F2" w:rsidP="08D4D6A2">
            <w:pPr>
              <w:spacing w:beforeAutospacing="1" w:afterAutospacing="1"/>
              <w:jc w:val="right"/>
              <w:textAlignment w:val="baseline"/>
            </w:pPr>
            <w:r w:rsidRPr="008406E5">
              <w:rPr>
                <w:color w:val="000000"/>
              </w:rPr>
              <w:t>.14</w:t>
            </w:r>
            <w:r w:rsidRPr="008406E5">
              <w:t> </w:t>
            </w:r>
          </w:p>
        </w:tc>
        <w:tc>
          <w:tcPr>
            <w:tcW w:w="568" w:type="dxa"/>
            <w:tcBorders>
              <w:top w:val="nil"/>
              <w:left w:val="nil"/>
              <w:bottom w:val="nil"/>
              <w:right w:val="nil"/>
            </w:tcBorders>
            <w:shd w:val="clear" w:color="auto" w:fill="auto"/>
            <w:hideMark/>
          </w:tcPr>
          <w:p w14:paraId="1E53A473"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nil"/>
              <w:right w:val="nil"/>
            </w:tcBorders>
            <w:shd w:val="clear" w:color="auto" w:fill="auto"/>
            <w:hideMark/>
          </w:tcPr>
          <w:p w14:paraId="09D8801C" w14:textId="77777777" w:rsidR="005B55F2" w:rsidRPr="008406E5" w:rsidRDefault="005B55F2" w:rsidP="08D4D6A2">
            <w:pPr>
              <w:spacing w:beforeAutospacing="1" w:afterAutospacing="1"/>
              <w:jc w:val="right"/>
              <w:textAlignment w:val="baseline"/>
            </w:pPr>
            <w:r w:rsidRPr="008406E5">
              <w:rPr>
                <w:color w:val="000000"/>
              </w:rPr>
              <w:t>.53</w:t>
            </w:r>
            <w:r w:rsidRPr="008406E5">
              <w:t> </w:t>
            </w:r>
          </w:p>
        </w:tc>
        <w:tc>
          <w:tcPr>
            <w:tcW w:w="386" w:type="dxa"/>
            <w:tcBorders>
              <w:top w:val="nil"/>
              <w:left w:val="nil"/>
              <w:bottom w:val="nil"/>
              <w:right w:val="nil"/>
            </w:tcBorders>
            <w:shd w:val="clear" w:color="auto" w:fill="auto"/>
            <w:hideMark/>
          </w:tcPr>
          <w:p w14:paraId="51B76BB7"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04AC3881" w14:textId="77777777" w:rsidR="005B55F2" w:rsidRPr="008406E5" w:rsidRDefault="005B55F2" w:rsidP="08D4D6A2">
            <w:pPr>
              <w:spacing w:beforeAutospacing="1" w:afterAutospacing="1"/>
              <w:jc w:val="right"/>
              <w:textAlignment w:val="baseline"/>
            </w:pPr>
            <w:r w:rsidRPr="008406E5">
              <w:rPr>
                <w:color w:val="000000"/>
              </w:rPr>
              <w:t>.17</w:t>
            </w:r>
            <w:r w:rsidRPr="008406E5">
              <w:t> </w:t>
            </w:r>
          </w:p>
        </w:tc>
        <w:tc>
          <w:tcPr>
            <w:tcW w:w="560" w:type="dxa"/>
            <w:tcBorders>
              <w:top w:val="nil"/>
              <w:left w:val="nil"/>
              <w:bottom w:val="nil"/>
              <w:right w:val="nil"/>
            </w:tcBorders>
            <w:shd w:val="clear" w:color="auto" w:fill="auto"/>
            <w:hideMark/>
          </w:tcPr>
          <w:p w14:paraId="5E006B5A" w14:textId="77777777" w:rsidR="005B55F2" w:rsidRPr="008406E5" w:rsidRDefault="005B55F2" w:rsidP="08D4D6A2">
            <w:pPr>
              <w:spacing w:beforeAutospacing="1" w:afterAutospacing="1"/>
              <w:jc w:val="right"/>
              <w:textAlignment w:val="baseline"/>
            </w:pPr>
            <w:r w:rsidRPr="008406E5">
              <w:rPr>
                <w:color w:val="000000"/>
              </w:rPr>
              <w:t>.10</w:t>
            </w:r>
            <w:r w:rsidRPr="008406E5">
              <w:t> </w:t>
            </w:r>
          </w:p>
        </w:tc>
        <w:tc>
          <w:tcPr>
            <w:tcW w:w="568" w:type="dxa"/>
            <w:tcBorders>
              <w:top w:val="nil"/>
              <w:left w:val="nil"/>
              <w:bottom w:val="nil"/>
              <w:right w:val="nil"/>
            </w:tcBorders>
            <w:shd w:val="clear" w:color="auto" w:fill="auto"/>
            <w:hideMark/>
          </w:tcPr>
          <w:p w14:paraId="51234844" w14:textId="77777777" w:rsidR="005B55F2" w:rsidRPr="008406E5" w:rsidRDefault="005B55F2" w:rsidP="08D4D6A2">
            <w:pPr>
              <w:spacing w:beforeAutospacing="1" w:afterAutospacing="1"/>
              <w:jc w:val="right"/>
              <w:textAlignment w:val="baseline"/>
            </w:pPr>
            <w:r w:rsidRPr="008406E5">
              <w:rPr>
                <w:color w:val="000000"/>
              </w:rPr>
              <w:t>.01</w:t>
            </w:r>
            <w:r w:rsidRPr="008406E5">
              <w:t> </w:t>
            </w:r>
          </w:p>
        </w:tc>
        <w:tc>
          <w:tcPr>
            <w:tcW w:w="617" w:type="dxa"/>
            <w:tcBorders>
              <w:top w:val="nil"/>
              <w:left w:val="nil"/>
              <w:bottom w:val="nil"/>
              <w:right w:val="nil"/>
            </w:tcBorders>
            <w:shd w:val="clear" w:color="auto" w:fill="auto"/>
            <w:hideMark/>
          </w:tcPr>
          <w:p w14:paraId="51983A1C" w14:textId="77777777" w:rsidR="005B55F2" w:rsidRPr="008406E5" w:rsidRDefault="005B55F2" w:rsidP="08D4D6A2">
            <w:pPr>
              <w:spacing w:beforeAutospacing="1" w:afterAutospacing="1"/>
              <w:jc w:val="right"/>
              <w:textAlignment w:val="baseline"/>
            </w:pPr>
            <w:r w:rsidRPr="008406E5">
              <w:rPr>
                <w:color w:val="000000"/>
              </w:rPr>
              <w:t>.34</w:t>
            </w:r>
            <w:r w:rsidRPr="008406E5">
              <w:t> </w:t>
            </w:r>
          </w:p>
        </w:tc>
      </w:tr>
      <w:tr w:rsidR="005B55F2" w:rsidRPr="008406E5" w14:paraId="00734D80" w14:textId="77777777" w:rsidTr="006C4BE0">
        <w:trPr>
          <w:trHeight w:val="420"/>
        </w:trPr>
        <w:tc>
          <w:tcPr>
            <w:tcW w:w="1684" w:type="dxa"/>
            <w:vMerge/>
            <w:tcBorders>
              <w:top w:val="nil"/>
              <w:left w:val="nil"/>
              <w:bottom w:val="nil"/>
              <w:right w:val="nil"/>
            </w:tcBorders>
            <w:shd w:val="clear" w:color="auto" w:fill="auto"/>
            <w:hideMark/>
          </w:tcPr>
          <w:p w14:paraId="3221A1F8" w14:textId="77777777" w:rsidR="005B55F2" w:rsidRPr="008406E5" w:rsidRDefault="005B55F2" w:rsidP="0031117D"/>
        </w:tc>
        <w:tc>
          <w:tcPr>
            <w:tcW w:w="1303" w:type="dxa"/>
            <w:tcBorders>
              <w:top w:val="nil"/>
              <w:left w:val="nil"/>
              <w:bottom w:val="nil"/>
              <w:right w:val="nil"/>
            </w:tcBorders>
            <w:shd w:val="clear" w:color="auto" w:fill="auto"/>
            <w:hideMark/>
          </w:tcPr>
          <w:p w14:paraId="4F4F74CB"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36407773" w14:textId="77777777" w:rsidR="005B55F2" w:rsidRPr="008406E5" w:rsidRDefault="005B55F2" w:rsidP="006C4BE0">
            <w:pPr>
              <w:spacing w:beforeAutospacing="1" w:afterAutospacing="1"/>
              <w:textAlignment w:val="baseline"/>
            </w:pPr>
            <w:r w:rsidRPr="008406E5">
              <w:rPr>
                <w:color w:val="000000"/>
              </w:rPr>
              <w:t>Option-Posing</w:t>
            </w:r>
            <w:r w:rsidRPr="23B9E151">
              <w:t> </w:t>
            </w:r>
          </w:p>
        </w:tc>
        <w:tc>
          <w:tcPr>
            <w:tcW w:w="560" w:type="dxa"/>
            <w:tcBorders>
              <w:top w:val="nil"/>
              <w:left w:val="nil"/>
              <w:bottom w:val="nil"/>
              <w:right w:val="nil"/>
            </w:tcBorders>
            <w:shd w:val="clear" w:color="auto" w:fill="auto"/>
            <w:hideMark/>
          </w:tcPr>
          <w:p w14:paraId="6233393D" w14:textId="77777777" w:rsidR="005B55F2" w:rsidRPr="008406E5" w:rsidRDefault="005B55F2" w:rsidP="08D4D6A2">
            <w:pPr>
              <w:spacing w:beforeAutospacing="1" w:afterAutospacing="1"/>
              <w:jc w:val="right"/>
              <w:textAlignment w:val="baseline"/>
            </w:pPr>
            <w:r w:rsidRPr="008406E5">
              <w:rPr>
                <w:color w:val="000000"/>
              </w:rPr>
              <w:t>.63</w:t>
            </w:r>
            <w:r w:rsidRPr="008406E5">
              <w:t> </w:t>
            </w:r>
          </w:p>
        </w:tc>
        <w:tc>
          <w:tcPr>
            <w:tcW w:w="560" w:type="dxa"/>
            <w:tcBorders>
              <w:top w:val="nil"/>
              <w:left w:val="nil"/>
              <w:bottom w:val="nil"/>
              <w:right w:val="nil"/>
            </w:tcBorders>
            <w:shd w:val="clear" w:color="auto" w:fill="auto"/>
            <w:hideMark/>
          </w:tcPr>
          <w:p w14:paraId="6227B76B" w14:textId="77777777" w:rsidR="005B55F2" w:rsidRPr="008406E5" w:rsidRDefault="005B55F2" w:rsidP="08D4D6A2">
            <w:pPr>
              <w:spacing w:beforeAutospacing="1" w:afterAutospacing="1"/>
              <w:jc w:val="right"/>
              <w:textAlignment w:val="baseline"/>
            </w:pPr>
            <w:r w:rsidRPr="008406E5">
              <w:rPr>
                <w:color w:val="000000"/>
              </w:rPr>
              <w:t>.17</w:t>
            </w:r>
            <w:r w:rsidRPr="008406E5">
              <w:t> </w:t>
            </w:r>
          </w:p>
        </w:tc>
        <w:tc>
          <w:tcPr>
            <w:tcW w:w="568" w:type="dxa"/>
            <w:tcBorders>
              <w:top w:val="nil"/>
              <w:left w:val="nil"/>
              <w:bottom w:val="nil"/>
              <w:right w:val="nil"/>
            </w:tcBorders>
            <w:shd w:val="clear" w:color="auto" w:fill="auto"/>
            <w:hideMark/>
          </w:tcPr>
          <w:p w14:paraId="28B4710B" w14:textId="77777777" w:rsidR="005B55F2" w:rsidRPr="008406E5" w:rsidRDefault="005B55F2" w:rsidP="08D4D6A2">
            <w:pPr>
              <w:spacing w:beforeAutospacing="1" w:afterAutospacing="1"/>
              <w:jc w:val="right"/>
              <w:textAlignment w:val="baseline"/>
            </w:pPr>
            <w:r w:rsidRPr="008406E5">
              <w:rPr>
                <w:color w:val="000000"/>
              </w:rPr>
              <w:t>.26</w:t>
            </w:r>
            <w:r w:rsidRPr="008406E5">
              <w:t> </w:t>
            </w:r>
          </w:p>
        </w:tc>
        <w:tc>
          <w:tcPr>
            <w:tcW w:w="617" w:type="dxa"/>
            <w:tcBorders>
              <w:top w:val="nil"/>
              <w:left w:val="nil"/>
              <w:bottom w:val="nil"/>
              <w:right w:val="nil"/>
            </w:tcBorders>
            <w:shd w:val="clear" w:color="auto" w:fill="auto"/>
            <w:hideMark/>
          </w:tcPr>
          <w:p w14:paraId="2D617F6D" w14:textId="77777777" w:rsidR="005B55F2" w:rsidRPr="008406E5" w:rsidRDefault="005B55F2" w:rsidP="08D4D6A2">
            <w:pPr>
              <w:spacing w:beforeAutospacing="1" w:afterAutospacing="1"/>
              <w:jc w:val="right"/>
              <w:textAlignment w:val="baseline"/>
            </w:pPr>
            <w:r w:rsidRPr="008406E5">
              <w:rPr>
                <w:color w:val="000000"/>
              </w:rPr>
              <w:t>1.00</w:t>
            </w:r>
            <w:r w:rsidRPr="008406E5">
              <w:t> </w:t>
            </w:r>
          </w:p>
        </w:tc>
        <w:tc>
          <w:tcPr>
            <w:tcW w:w="386" w:type="dxa"/>
            <w:tcBorders>
              <w:top w:val="nil"/>
              <w:left w:val="nil"/>
              <w:bottom w:val="nil"/>
              <w:right w:val="nil"/>
            </w:tcBorders>
            <w:shd w:val="clear" w:color="auto" w:fill="auto"/>
            <w:hideMark/>
          </w:tcPr>
          <w:p w14:paraId="10623691"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22D41478" w14:textId="77777777" w:rsidR="005B55F2" w:rsidRPr="008406E5" w:rsidRDefault="005B55F2" w:rsidP="08D4D6A2">
            <w:pPr>
              <w:spacing w:beforeAutospacing="1" w:afterAutospacing="1"/>
              <w:jc w:val="right"/>
              <w:textAlignment w:val="baseline"/>
            </w:pPr>
            <w:r w:rsidRPr="008406E5">
              <w:rPr>
                <w:color w:val="000000"/>
              </w:rPr>
              <w:t>.76</w:t>
            </w:r>
            <w:r w:rsidRPr="008406E5">
              <w:t> </w:t>
            </w:r>
          </w:p>
        </w:tc>
        <w:tc>
          <w:tcPr>
            <w:tcW w:w="560" w:type="dxa"/>
            <w:tcBorders>
              <w:top w:val="nil"/>
              <w:left w:val="nil"/>
              <w:bottom w:val="nil"/>
              <w:right w:val="nil"/>
            </w:tcBorders>
            <w:shd w:val="clear" w:color="auto" w:fill="auto"/>
            <w:hideMark/>
          </w:tcPr>
          <w:p w14:paraId="3D22177C" w14:textId="77777777" w:rsidR="005B55F2" w:rsidRPr="008406E5" w:rsidRDefault="005B55F2" w:rsidP="08D4D6A2">
            <w:pPr>
              <w:spacing w:beforeAutospacing="1" w:afterAutospacing="1"/>
              <w:jc w:val="right"/>
              <w:textAlignment w:val="baseline"/>
            </w:pPr>
            <w:r w:rsidRPr="008406E5">
              <w:rPr>
                <w:color w:val="000000"/>
              </w:rPr>
              <w:t>.10</w:t>
            </w:r>
            <w:r w:rsidRPr="008406E5">
              <w:t> </w:t>
            </w:r>
          </w:p>
        </w:tc>
        <w:tc>
          <w:tcPr>
            <w:tcW w:w="568" w:type="dxa"/>
            <w:tcBorders>
              <w:top w:val="nil"/>
              <w:left w:val="nil"/>
              <w:bottom w:val="nil"/>
              <w:right w:val="nil"/>
            </w:tcBorders>
            <w:shd w:val="clear" w:color="auto" w:fill="auto"/>
            <w:hideMark/>
          </w:tcPr>
          <w:p w14:paraId="5FEBCC5B" w14:textId="77777777" w:rsidR="005B55F2" w:rsidRPr="008406E5" w:rsidRDefault="005B55F2" w:rsidP="08D4D6A2">
            <w:pPr>
              <w:spacing w:beforeAutospacing="1" w:afterAutospacing="1"/>
              <w:jc w:val="right"/>
              <w:textAlignment w:val="baseline"/>
            </w:pPr>
            <w:r w:rsidRPr="008406E5">
              <w:rPr>
                <w:color w:val="000000"/>
              </w:rPr>
              <w:t>.54</w:t>
            </w:r>
            <w:r w:rsidRPr="008406E5">
              <w:t> </w:t>
            </w:r>
          </w:p>
        </w:tc>
        <w:tc>
          <w:tcPr>
            <w:tcW w:w="617" w:type="dxa"/>
            <w:tcBorders>
              <w:top w:val="nil"/>
              <w:left w:val="nil"/>
              <w:bottom w:val="nil"/>
              <w:right w:val="nil"/>
            </w:tcBorders>
            <w:shd w:val="clear" w:color="auto" w:fill="auto"/>
            <w:hideMark/>
          </w:tcPr>
          <w:p w14:paraId="740BB6DE" w14:textId="77777777" w:rsidR="005B55F2" w:rsidRPr="008406E5" w:rsidRDefault="005B55F2" w:rsidP="08D4D6A2">
            <w:pPr>
              <w:spacing w:beforeAutospacing="1" w:afterAutospacing="1"/>
              <w:jc w:val="right"/>
              <w:textAlignment w:val="baseline"/>
            </w:pPr>
            <w:r w:rsidRPr="008406E5">
              <w:rPr>
                <w:color w:val="000000"/>
              </w:rPr>
              <w:t>.91</w:t>
            </w:r>
            <w:r w:rsidRPr="008406E5">
              <w:t> </w:t>
            </w:r>
          </w:p>
        </w:tc>
      </w:tr>
      <w:tr w:rsidR="005B55F2" w:rsidRPr="008406E5" w14:paraId="26102DEC" w14:textId="77777777" w:rsidTr="006C4BE0">
        <w:trPr>
          <w:trHeight w:val="420"/>
        </w:trPr>
        <w:tc>
          <w:tcPr>
            <w:tcW w:w="1684" w:type="dxa"/>
            <w:vMerge/>
            <w:tcBorders>
              <w:top w:val="nil"/>
              <w:left w:val="nil"/>
              <w:bottom w:val="nil"/>
              <w:right w:val="nil"/>
            </w:tcBorders>
            <w:shd w:val="clear" w:color="auto" w:fill="auto"/>
            <w:hideMark/>
          </w:tcPr>
          <w:p w14:paraId="6270DBE0" w14:textId="77777777" w:rsidR="005B55F2" w:rsidRPr="008406E5" w:rsidRDefault="005B55F2" w:rsidP="0031117D"/>
        </w:tc>
        <w:tc>
          <w:tcPr>
            <w:tcW w:w="1303" w:type="dxa"/>
            <w:tcBorders>
              <w:top w:val="nil"/>
              <w:left w:val="nil"/>
              <w:bottom w:val="nil"/>
              <w:right w:val="nil"/>
            </w:tcBorders>
            <w:shd w:val="clear" w:color="auto" w:fill="auto"/>
            <w:hideMark/>
          </w:tcPr>
          <w:p w14:paraId="1EAFF8F2"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5FEE0F50" w14:textId="77777777" w:rsidR="005B55F2" w:rsidRPr="008406E5" w:rsidRDefault="005B55F2" w:rsidP="006C4BE0">
            <w:pPr>
              <w:spacing w:beforeAutospacing="1" w:afterAutospacing="1"/>
              <w:textAlignment w:val="baseline"/>
            </w:pPr>
            <w:r w:rsidRPr="008406E5">
              <w:rPr>
                <w:color w:val="000000"/>
              </w:rPr>
              <w:t>Suggestive</w:t>
            </w:r>
            <w:r w:rsidRPr="23B9E151">
              <w:t> </w:t>
            </w:r>
          </w:p>
        </w:tc>
        <w:tc>
          <w:tcPr>
            <w:tcW w:w="560" w:type="dxa"/>
            <w:tcBorders>
              <w:top w:val="nil"/>
              <w:left w:val="nil"/>
              <w:bottom w:val="nil"/>
              <w:right w:val="nil"/>
            </w:tcBorders>
            <w:shd w:val="clear" w:color="auto" w:fill="auto"/>
            <w:hideMark/>
          </w:tcPr>
          <w:p w14:paraId="4ACE6121" w14:textId="77777777" w:rsidR="005B55F2" w:rsidRPr="008406E5" w:rsidRDefault="005B55F2" w:rsidP="08D4D6A2">
            <w:pPr>
              <w:spacing w:beforeAutospacing="1" w:afterAutospacing="1"/>
              <w:jc w:val="right"/>
              <w:textAlignment w:val="baseline"/>
            </w:pPr>
            <w:r w:rsidRPr="008406E5">
              <w:rPr>
                <w:color w:val="000000"/>
              </w:rPr>
              <w:t>.22</w:t>
            </w:r>
            <w:r w:rsidRPr="008406E5">
              <w:t> </w:t>
            </w:r>
          </w:p>
        </w:tc>
        <w:tc>
          <w:tcPr>
            <w:tcW w:w="560" w:type="dxa"/>
            <w:tcBorders>
              <w:top w:val="nil"/>
              <w:left w:val="nil"/>
              <w:bottom w:val="nil"/>
              <w:right w:val="nil"/>
            </w:tcBorders>
            <w:shd w:val="clear" w:color="auto" w:fill="auto"/>
            <w:hideMark/>
          </w:tcPr>
          <w:p w14:paraId="6A710C7F" w14:textId="77777777" w:rsidR="005B55F2" w:rsidRPr="008406E5" w:rsidRDefault="005B55F2" w:rsidP="08D4D6A2">
            <w:pPr>
              <w:spacing w:beforeAutospacing="1" w:afterAutospacing="1"/>
              <w:jc w:val="right"/>
              <w:textAlignment w:val="baseline"/>
            </w:pPr>
            <w:r w:rsidRPr="008406E5">
              <w:rPr>
                <w:color w:val="000000"/>
              </w:rPr>
              <w:t>.19</w:t>
            </w:r>
            <w:r w:rsidRPr="008406E5">
              <w:t> </w:t>
            </w:r>
          </w:p>
        </w:tc>
        <w:tc>
          <w:tcPr>
            <w:tcW w:w="568" w:type="dxa"/>
            <w:tcBorders>
              <w:top w:val="nil"/>
              <w:left w:val="nil"/>
              <w:bottom w:val="nil"/>
              <w:right w:val="nil"/>
            </w:tcBorders>
            <w:shd w:val="clear" w:color="auto" w:fill="auto"/>
            <w:hideMark/>
          </w:tcPr>
          <w:p w14:paraId="0DF9585B"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nil"/>
              <w:right w:val="nil"/>
            </w:tcBorders>
            <w:shd w:val="clear" w:color="auto" w:fill="auto"/>
            <w:hideMark/>
          </w:tcPr>
          <w:p w14:paraId="31BF43F8" w14:textId="77777777" w:rsidR="005B55F2" w:rsidRPr="008406E5" w:rsidRDefault="005B55F2" w:rsidP="08D4D6A2">
            <w:pPr>
              <w:spacing w:beforeAutospacing="1" w:afterAutospacing="1"/>
              <w:jc w:val="right"/>
              <w:textAlignment w:val="baseline"/>
            </w:pPr>
            <w:r w:rsidRPr="008406E5">
              <w:rPr>
                <w:color w:val="000000"/>
              </w:rPr>
              <w:t>.68</w:t>
            </w:r>
            <w:r w:rsidRPr="008406E5">
              <w:t> </w:t>
            </w:r>
          </w:p>
        </w:tc>
        <w:tc>
          <w:tcPr>
            <w:tcW w:w="386" w:type="dxa"/>
            <w:tcBorders>
              <w:top w:val="nil"/>
              <w:left w:val="nil"/>
              <w:bottom w:val="nil"/>
              <w:right w:val="nil"/>
            </w:tcBorders>
            <w:shd w:val="clear" w:color="auto" w:fill="auto"/>
            <w:hideMark/>
          </w:tcPr>
          <w:p w14:paraId="119F61AE"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2A7308DC" w14:textId="77777777" w:rsidR="005B55F2" w:rsidRPr="008406E5" w:rsidRDefault="005B55F2" w:rsidP="08D4D6A2">
            <w:pPr>
              <w:spacing w:beforeAutospacing="1" w:afterAutospacing="1"/>
              <w:jc w:val="right"/>
              <w:textAlignment w:val="baseline"/>
            </w:pPr>
            <w:r w:rsidRPr="008406E5">
              <w:rPr>
                <w:color w:val="000000"/>
              </w:rPr>
              <w:t>.07</w:t>
            </w:r>
            <w:r w:rsidRPr="008406E5">
              <w:t> </w:t>
            </w:r>
          </w:p>
        </w:tc>
        <w:tc>
          <w:tcPr>
            <w:tcW w:w="560" w:type="dxa"/>
            <w:tcBorders>
              <w:top w:val="nil"/>
              <w:left w:val="nil"/>
              <w:bottom w:val="nil"/>
              <w:right w:val="nil"/>
            </w:tcBorders>
            <w:shd w:val="clear" w:color="auto" w:fill="auto"/>
            <w:hideMark/>
          </w:tcPr>
          <w:p w14:paraId="1A279FB0" w14:textId="77777777" w:rsidR="005B55F2" w:rsidRPr="008406E5" w:rsidRDefault="005B55F2" w:rsidP="08D4D6A2">
            <w:pPr>
              <w:spacing w:beforeAutospacing="1" w:afterAutospacing="1"/>
              <w:jc w:val="right"/>
              <w:textAlignment w:val="baseline"/>
            </w:pPr>
            <w:r w:rsidRPr="008406E5">
              <w:rPr>
                <w:color w:val="000000"/>
              </w:rPr>
              <w:t>.09</w:t>
            </w:r>
            <w:r w:rsidRPr="008406E5">
              <w:t> </w:t>
            </w:r>
          </w:p>
        </w:tc>
        <w:tc>
          <w:tcPr>
            <w:tcW w:w="568" w:type="dxa"/>
            <w:tcBorders>
              <w:top w:val="nil"/>
              <w:left w:val="nil"/>
              <w:bottom w:val="nil"/>
              <w:right w:val="nil"/>
            </w:tcBorders>
            <w:shd w:val="clear" w:color="auto" w:fill="auto"/>
            <w:hideMark/>
          </w:tcPr>
          <w:p w14:paraId="7D25EC84"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nil"/>
              <w:right w:val="nil"/>
            </w:tcBorders>
            <w:shd w:val="clear" w:color="auto" w:fill="auto"/>
            <w:hideMark/>
          </w:tcPr>
          <w:p w14:paraId="32EF6C08" w14:textId="77777777" w:rsidR="005B55F2" w:rsidRPr="008406E5" w:rsidRDefault="005B55F2" w:rsidP="08D4D6A2">
            <w:pPr>
              <w:spacing w:beforeAutospacing="1" w:afterAutospacing="1"/>
              <w:jc w:val="right"/>
              <w:textAlignment w:val="baseline"/>
            </w:pPr>
            <w:r w:rsidRPr="008406E5">
              <w:rPr>
                <w:color w:val="000000"/>
              </w:rPr>
              <w:t>.32</w:t>
            </w:r>
            <w:r w:rsidRPr="008406E5">
              <w:t> </w:t>
            </w:r>
          </w:p>
        </w:tc>
      </w:tr>
      <w:tr w:rsidR="0076683A" w:rsidRPr="008406E5" w14:paraId="0E5A29D3" w14:textId="77777777" w:rsidTr="006C4BE0">
        <w:trPr>
          <w:trHeight w:val="247"/>
        </w:trPr>
        <w:tc>
          <w:tcPr>
            <w:tcW w:w="1684" w:type="dxa"/>
            <w:tcBorders>
              <w:top w:val="nil"/>
              <w:left w:val="nil"/>
              <w:bottom w:val="nil"/>
              <w:right w:val="nil"/>
            </w:tcBorders>
            <w:shd w:val="clear" w:color="auto" w:fill="auto"/>
          </w:tcPr>
          <w:p w14:paraId="0CDBC821" w14:textId="77777777" w:rsidR="0076683A" w:rsidRPr="008406E5" w:rsidRDefault="0076683A" w:rsidP="0031117D"/>
        </w:tc>
        <w:tc>
          <w:tcPr>
            <w:tcW w:w="1303" w:type="dxa"/>
            <w:tcBorders>
              <w:top w:val="nil"/>
              <w:left w:val="nil"/>
              <w:bottom w:val="nil"/>
              <w:right w:val="nil"/>
            </w:tcBorders>
            <w:shd w:val="clear" w:color="auto" w:fill="auto"/>
          </w:tcPr>
          <w:p w14:paraId="669952B5" w14:textId="77777777" w:rsidR="0076683A" w:rsidRPr="008406E5" w:rsidRDefault="0076683A">
            <w:pPr>
              <w:spacing w:beforeAutospacing="1" w:afterAutospacing="1"/>
              <w:textAlignment w:val="baseline"/>
            </w:pPr>
          </w:p>
        </w:tc>
        <w:tc>
          <w:tcPr>
            <w:tcW w:w="1469" w:type="dxa"/>
            <w:tcBorders>
              <w:top w:val="nil"/>
              <w:left w:val="nil"/>
              <w:bottom w:val="nil"/>
              <w:right w:val="nil"/>
            </w:tcBorders>
            <w:shd w:val="clear" w:color="auto" w:fill="auto"/>
          </w:tcPr>
          <w:p w14:paraId="2306D6DA" w14:textId="77777777" w:rsidR="0076683A" w:rsidRPr="008406E5" w:rsidRDefault="0076683A" w:rsidP="23B9E151">
            <w:pPr>
              <w:spacing w:beforeAutospacing="1" w:afterAutospacing="1"/>
              <w:textAlignment w:val="baseline"/>
              <w:rPr>
                <w:color w:val="000000"/>
              </w:rPr>
            </w:pPr>
          </w:p>
        </w:tc>
        <w:tc>
          <w:tcPr>
            <w:tcW w:w="560" w:type="dxa"/>
            <w:tcBorders>
              <w:top w:val="nil"/>
              <w:left w:val="nil"/>
              <w:bottom w:val="nil"/>
              <w:right w:val="nil"/>
            </w:tcBorders>
            <w:shd w:val="clear" w:color="auto" w:fill="auto"/>
          </w:tcPr>
          <w:p w14:paraId="586D2EA7" w14:textId="77777777" w:rsidR="0076683A" w:rsidRPr="008406E5" w:rsidRDefault="0076683A">
            <w:pPr>
              <w:spacing w:beforeAutospacing="1" w:afterAutospacing="1"/>
              <w:jc w:val="right"/>
              <w:textAlignment w:val="baseline"/>
              <w:rPr>
                <w:color w:val="000000"/>
              </w:rPr>
            </w:pPr>
          </w:p>
        </w:tc>
        <w:tc>
          <w:tcPr>
            <w:tcW w:w="560" w:type="dxa"/>
            <w:tcBorders>
              <w:top w:val="nil"/>
              <w:left w:val="nil"/>
              <w:bottom w:val="nil"/>
              <w:right w:val="nil"/>
            </w:tcBorders>
            <w:shd w:val="clear" w:color="auto" w:fill="auto"/>
          </w:tcPr>
          <w:p w14:paraId="6FA3A51E" w14:textId="77777777" w:rsidR="0076683A" w:rsidRPr="008406E5" w:rsidRDefault="0076683A">
            <w:pPr>
              <w:spacing w:beforeAutospacing="1" w:afterAutospacing="1"/>
              <w:jc w:val="right"/>
              <w:textAlignment w:val="baseline"/>
              <w:rPr>
                <w:color w:val="000000"/>
              </w:rPr>
            </w:pPr>
          </w:p>
        </w:tc>
        <w:tc>
          <w:tcPr>
            <w:tcW w:w="568" w:type="dxa"/>
            <w:tcBorders>
              <w:top w:val="nil"/>
              <w:left w:val="nil"/>
              <w:bottom w:val="nil"/>
              <w:right w:val="nil"/>
            </w:tcBorders>
            <w:shd w:val="clear" w:color="auto" w:fill="auto"/>
          </w:tcPr>
          <w:p w14:paraId="740251AD" w14:textId="77777777" w:rsidR="0076683A" w:rsidRPr="008406E5" w:rsidRDefault="0076683A">
            <w:pPr>
              <w:spacing w:beforeAutospacing="1" w:afterAutospacing="1"/>
              <w:jc w:val="right"/>
              <w:textAlignment w:val="baseline"/>
              <w:rPr>
                <w:color w:val="000000"/>
              </w:rPr>
            </w:pPr>
          </w:p>
        </w:tc>
        <w:tc>
          <w:tcPr>
            <w:tcW w:w="617" w:type="dxa"/>
            <w:tcBorders>
              <w:top w:val="nil"/>
              <w:left w:val="nil"/>
              <w:bottom w:val="nil"/>
              <w:right w:val="nil"/>
            </w:tcBorders>
            <w:shd w:val="clear" w:color="auto" w:fill="auto"/>
          </w:tcPr>
          <w:p w14:paraId="18045BB3" w14:textId="77777777" w:rsidR="0076683A" w:rsidRPr="008406E5" w:rsidRDefault="0076683A">
            <w:pPr>
              <w:spacing w:beforeAutospacing="1" w:afterAutospacing="1"/>
              <w:jc w:val="right"/>
              <w:textAlignment w:val="baseline"/>
              <w:rPr>
                <w:color w:val="000000"/>
              </w:rPr>
            </w:pPr>
          </w:p>
        </w:tc>
        <w:tc>
          <w:tcPr>
            <w:tcW w:w="386" w:type="dxa"/>
            <w:tcBorders>
              <w:top w:val="nil"/>
              <w:left w:val="nil"/>
              <w:bottom w:val="nil"/>
              <w:right w:val="nil"/>
            </w:tcBorders>
            <w:shd w:val="clear" w:color="auto" w:fill="auto"/>
          </w:tcPr>
          <w:p w14:paraId="7A3EB39F" w14:textId="77777777" w:rsidR="0076683A" w:rsidRPr="008406E5" w:rsidRDefault="0076683A">
            <w:pPr>
              <w:spacing w:beforeAutospacing="1" w:afterAutospacing="1"/>
              <w:jc w:val="right"/>
              <w:textAlignment w:val="baseline"/>
            </w:pPr>
          </w:p>
        </w:tc>
        <w:tc>
          <w:tcPr>
            <w:tcW w:w="560" w:type="dxa"/>
            <w:tcBorders>
              <w:top w:val="nil"/>
              <w:left w:val="nil"/>
              <w:bottom w:val="nil"/>
              <w:right w:val="nil"/>
            </w:tcBorders>
            <w:shd w:val="clear" w:color="auto" w:fill="auto"/>
          </w:tcPr>
          <w:p w14:paraId="527DD38C" w14:textId="77777777" w:rsidR="0076683A" w:rsidRPr="008406E5" w:rsidRDefault="0076683A">
            <w:pPr>
              <w:spacing w:beforeAutospacing="1" w:afterAutospacing="1"/>
              <w:jc w:val="right"/>
              <w:textAlignment w:val="baseline"/>
              <w:rPr>
                <w:color w:val="000000"/>
              </w:rPr>
            </w:pPr>
          </w:p>
        </w:tc>
        <w:tc>
          <w:tcPr>
            <w:tcW w:w="560" w:type="dxa"/>
            <w:tcBorders>
              <w:top w:val="nil"/>
              <w:left w:val="nil"/>
              <w:bottom w:val="nil"/>
              <w:right w:val="nil"/>
            </w:tcBorders>
            <w:shd w:val="clear" w:color="auto" w:fill="auto"/>
          </w:tcPr>
          <w:p w14:paraId="40297435" w14:textId="77777777" w:rsidR="0076683A" w:rsidRPr="008406E5" w:rsidRDefault="0076683A">
            <w:pPr>
              <w:spacing w:beforeAutospacing="1" w:afterAutospacing="1"/>
              <w:jc w:val="right"/>
              <w:textAlignment w:val="baseline"/>
              <w:rPr>
                <w:color w:val="000000"/>
              </w:rPr>
            </w:pPr>
          </w:p>
        </w:tc>
        <w:tc>
          <w:tcPr>
            <w:tcW w:w="568" w:type="dxa"/>
            <w:tcBorders>
              <w:top w:val="nil"/>
              <w:left w:val="nil"/>
              <w:bottom w:val="nil"/>
              <w:right w:val="nil"/>
            </w:tcBorders>
            <w:shd w:val="clear" w:color="auto" w:fill="auto"/>
          </w:tcPr>
          <w:p w14:paraId="115BE0A3" w14:textId="77777777" w:rsidR="0076683A" w:rsidRPr="008406E5" w:rsidRDefault="0076683A">
            <w:pPr>
              <w:spacing w:beforeAutospacing="1" w:afterAutospacing="1"/>
              <w:jc w:val="right"/>
              <w:textAlignment w:val="baseline"/>
              <w:rPr>
                <w:color w:val="000000"/>
              </w:rPr>
            </w:pPr>
          </w:p>
        </w:tc>
        <w:tc>
          <w:tcPr>
            <w:tcW w:w="617" w:type="dxa"/>
            <w:tcBorders>
              <w:top w:val="nil"/>
              <w:left w:val="nil"/>
              <w:bottom w:val="nil"/>
              <w:right w:val="nil"/>
            </w:tcBorders>
            <w:shd w:val="clear" w:color="auto" w:fill="auto"/>
          </w:tcPr>
          <w:p w14:paraId="0CC5765B" w14:textId="77777777" w:rsidR="0076683A" w:rsidRPr="008406E5" w:rsidRDefault="0076683A">
            <w:pPr>
              <w:spacing w:beforeAutospacing="1" w:afterAutospacing="1"/>
              <w:jc w:val="right"/>
              <w:textAlignment w:val="baseline"/>
              <w:rPr>
                <w:color w:val="000000"/>
              </w:rPr>
            </w:pPr>
          </w:p>
        </w:tc>
      </w:tr>
      <w:tr w:rsidR="005B55F2" w:rsidRPr="008406E5" w14:paraId="60702A8F" w14:textId="77777777" w:rsidTr="006C4BE0">
        <w:trPr>
          <w:trHeight w:val="420"/>
        </w:trPr>
        <w:tc>
          <w:tcPr>
            <w:tcW w:w="1684" w:type="dxa"/>
            <w:vMerge w:val="restart"/>
            <w:tcBorders>
              <w:top w:val="nil"/>
              <w:left w:val="nil"/>
              <w:bottom w:val="nil"/>
              <w:right w:val="nil"/>
            </w:tcBorders>
            <w:shd w:val="clear" w:color="auto" w:fill="auto"/>
            <w:hideMark/>
          </w:tcPr>
          <w:p w14:paraId="55BE875B" w14:textId="77777777" w:rsidR="005B55F2" w:rsidRPr="008406E5" w:rsidRDefault="005B55F2" w:rsidP="006C4BE0">
            <w:pPr>
              <w:spacing w:beforeAutospacing="1" w:afterAutospacing="1"/>
              <w:textAlignment w:val="baseline"/>
            </w:pPr>
            <w:r w:rsidRPr="008406E5">
              <w:rPr>
                <w:color w:val="000000"/>
              </w:rPr>
              <w:t>13-15 years</w:t>
            </w:r>
          </w:p>
        </w:tc>
        <w:tc>
          <w:tcPr>
            <w:tcW w:w="1303" w:type="dxa"/>
            <w:tcBorders>
              <w:top w:val="nil"/>
              <w:left w:val="nil"/>
              <w:bottom w:val="nil"/>
              <w:right w:val="nil"/>
            </w:tcBorders>
            <w:shd w:val="clear" w:color="auto" w:fill="auto"/>
            <w:hideMark/>
          </w:tcPr>
          <w:p w14:paraId="095B98FC" w14:textId="77777777" w:rsidR="005B55F2" w:rsidRPr="008406E5" w:rsidRDefault="005B55F2" w:rsidP="006C4BE0">
            <w:pPr>
              <w:spacing w:beforeAutospacing="1" w:afterAutospacing="1"/>
              <w:textAlignment w:val="baseline"/>
            </w:pPr>
            <w:r w:rsidRPr="008406E5">
              <w:rPr>
                <w:color w:val="000000"/>
              </w:rPr>
              <w:t>Prosecutor</w:t>
            </w:r>
            <w:r w:rsidRPr="23B9E151">
              <w:t> </w:t>
            </w:r>
          </w:p>
        </w:tc>
        <w:tc>
          <w:tcPr>
            <w:tcW w:w="1469" w:type="dxa"/>
            <w:tcBorders>
              <w:top w:val="nil"/>
              <w:left w:val="nil"/>
              <w:bottom w:val="nil"/>
              <w:right w:val="nil"/>
            </w:tcBorders>
            <w:shd w:val="clear" w:color="auto" w:fill="auto"/>
            <w:hideMark/>
          </w:tcPr>
          <w:p w14:paraId="1A08B6BE" w14:textId="77777777" w:rsidR="005B55F2" w:rsidRPr="008406E5" w:rsidRDefault="005B55F2" w:rsidP="006C4BE0">
            <w:pPr>
              <w:spacing w:beforeAutospacing="1" w:afterAutospacing="1"/>
              <w:textAlignment w:val="baseline"/>
            </w:pPr>
            <w:r w:rsidRPr="008406E5">
              <w:rPr>
                <w:color w:val="000000"/>
              </w:rPr>
              <w:t>Directive</w:t>
            </w:r>
            <w:r w:rsidRPr="23B9E151">
              <w:t> </w:t>
            </w:r>
          </w:p>
        </w:tc>
        <w:tc>
          <w:tcPr>
            <w:tcW w:w="560" w:type="dxa"/>
            <w:tcBorders>
              <w:top w:val="nil"/>
              <w:left w:val="nil"/>
              <w:bottom w:val="nil"/>
              <w:right w:val="nil"/>
            </w:tcBorders>
            <w:shd w:val="clear" w:color="auto" w:fill="auto"/>
            <w:hideMark/>
          </w:tcPr>
          <w:p w14:paraId="5B575D88" w14:textId="77777777" w:rsidR="005B55F2" w:rsidRPr="008406E5" w:rsidRDefault="005B55F2" w:rsidP="08D4D6A2">
            <w:pPr>
              <w:spacing w:beforeAutospacing="1" w:afterAutospacing="1"/>
              <w:jc w:val="right"/>
              <w:textAlignment w:val="baseline"/>
            </w:pPr>
            <w:r w:rsidRPr="008406E5">
              <w:rPr>
                <w:color w:val="000000"/>
              </w:rPr>
              <w:t>.28</w:t>
            </w:r>
            <w:r w:rsidRPr="008406E5">
              <w:t> </w:t>
            </w:r>
          </w:p>
        </w:tc>
        <w:tc>
          <w:tcPr>
            <w:tcW w:w="560" w:type="dxa"/>
            <w:tcBorders>
              <w:top w:val="nil"/>
              <w:left w:val="nil"/>
              <w:bottom w:val="nil"/>
              <w:right w:val="nil"/>
            </w:tcBorders>
            <w:shd w:val="clear" w:color="auto" w:fill="auto"/>
            <w:hideMark/>
          </w:tcPr>
          <w:p w14:paraId="41AC0153" w14:textId="77777777" w:rsidR="005B55F2" w:rsidRPr="008406E5" w:rsidRDefault="005B55F2" w:rsidP="08D4D6A2">
            <w:pPr>
              <w:spacing w:beforeAutospacing="1" w:afterAutospacing="1"/>
              <w:jc w:val="right"/>
              <w:textAlignment w:val="baseline"/>
            </w:pPr>
            <w:r w:rsidRPr="008406E5">
              <w:rPr>
                <w:color w:val="000000"/>
              </w:rPr>
              <w:t>.15</w:t>
            </w:r>
            <w:r w:rsidRPr="008406E5">
              <w:t> </w:t>
            </w:r>
          </w:p>
        </w:tc>
        <w:tc>
          <w:tcPr>
            <w:tcW w:w="568" w:type="dxa"/>
            <w:tcBorders>
              <w:top w:val="nil"/>
              <w:left w:val="nil"/>
              <w:bottom w:val="nil"/>
              <w:right w:val="nil"/>
            </w:tcBorders>
            <w:shd w:val="clear" w:color="auto" w:fill="auto"/>
            <w:hideMark/>
          </w:tcPr>
          <w:p w14:paraId="7EBB9B99"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nil"/>
              <w:right w:val="nil"/>
            </w:tcBorders>
            <w:shd w:val="clear" w:color="auto" w:fill="auto"/>
            <w:hideMark/>
          </w:tcPr>
          <w:p w14:paraId="7E4D4399" w14:textId="77777777" w:rsidR="005B55F2" w:rsidRPr="008406E5" w:rsidRDefault="005B55F2" w:rsidP="08D4D6A2">
            <w:pPr>
              <w:spacing w:beforeAutospacing="1" w:afterAutospacing="1"/>
              <w:jc w:val="right"/>
              <w:textAlignment w:val="baseline"/>
            </w:pPr>
            <w:r w:rsidRPr="008406E5">
              <w:rPr>
                <w:color w:val="000000"/>
              </w:rPr>
              <w:t>.50</w:t>
            </w:r>
            <w:r w:rsidRPr="008406E5">
              <w:t> </w:t>
            </w:r>
          </w:p>
        </w:tc>
        <w:tc>
          <w:tcPr>
            <w:tcW w:w="386" w:type="dxa"/>
            <w:tcBorders>
              <w:top w:val="nil"/>
              <w:left w:val="nil"/>
              <w:bottom w:val="nil"/>
              <w:right w:val="nil"/>
            </w:tcBorders>
            <w:shd w:val="clear" w:color="auto" w:fill="auto"/>
            <w:hideMark/>
          </w:tcPr>
          <w:p w14:paraId="75275112"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005E0F90" w14:textId="77777777" w:rsidR="005B55F2" w:rsidRPr="008406E5" w:rsidRDefault="005B55F2" w:rsidP="08D4D6A2">
            <w:pPr>
              <w:spacing w:beforeAutospacing="1" w:afterAutospacing="1"/>
              <w:jc w:val="right"/>
              <w:textAlignment w:val="baseline"/>
            </w:pPr>
            <w:r w:rsidRPr="008406E5">
              <w:rPr>
                <w:color w:val="000000"/>
              </w:rPr>
              <w:t>.21</w:t>
            </w:r>
            <w:r w:rsidRPr="008406E5">
              <w:t> </w:t>
            </w:r>
          </w:p>
        </w:tc>
        <w:tc>
          <w:tcPr>
            <w:tcW w:w="560" w:type="dxa"/>
            <w:tcBorders>
              <w:top w:val="nil"/>
              <w:left w:val="nil"/>
              <w:bottom w:val="nil"/>
              <w:right w:val="nil"/>
            </w:tcBorders>
            <w:shd w:val="clear" w:color="auto" w:fill="auto"/>
            <w:hideMark/>
          </w:tcPr>
          <w:p w14:paraId="3387A9B5" w14:textId="77777777" w:rsidR="005B55F2" w:rsidRPr="008406E5" w:rsidRDefault="005B55F2" w:rsidP="08D4D6A2">
            <w:pPr>
              <w:spacing w:beforeAutospacing="1" w:afterAutospacing="1"/>
              <w:jc w:val="right"/>
              <w:textAlignment w:val="baseline"/>
            </w:pPr>
            <w:r w:rsidRPr="008406E5">
              <w:rPr>
                <w:color w:val="000000"/>
              </w:rPr>
              <w:t>.27</w:t>
            </w:r>
            <w:r w:rsidRPr="008406E5">
              <w:t> </w:t>
            </w:r>
          </w:p>
        </w:tc>
        <w:tc>
          <w:tcPr>
            <w:tcW w:w="568" w:type="dxa"/>
            <w:tcBorders>
              <w:top w:val="nil"/>
              <w:left w:val="nil"/>
              <w:bottom w:val="nil"/>
              <w:right w:val="nil"/>
            </w:tcBorders>
            <w:shd w:val="clear" w:color="auto" w:fill="auto"/>
            <w:hideMark/>
          </w:tcPr>
          <w:p w14:paraId="7686468A"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nil"/>
              <w:right w:val="nil"/>
            </w:tcBorders>
            <w:shd w:val="clear" w:color="auto" w:fill="auto"/>
            <w:hideMark/>
          </w:tcPr>
          <w:p w14:paraId="184D16CB" w14:textId="77777777" w:rsidR="005B55F2" w:rsidRPr="008406E5" w:rsidRDefault="005B55F2" w:rsidP="08D4D6A2">
            <w:pPr>
              <w:spacing w:beforeAutospacing="1" w:afterAutospacing="1"/>
              <w:jc w:val="right"/>
              <w:textAlignment w:val="baseline"/>
            </w:pPr>
            <w:r w:rsidRPr="008406E5">
              <w:rPr>
                <w:color w:val="000000"/>
              </w:rPr>
              <w:t>.75</w:t>
            </w:r>
            <w:r w:rsidRPr="008406E5">
              <w:t> </w:t>
            </w:r>
          </w:p>
        </w:tc>
      </w:tr>
      <w:tr w:rsidR="005B55F2" w:rsidRPr="008406E5" w14:paraId="5498E27C" w14:textId="77777777" w:rsidTr="006C4BE0">
        <w:trPr>
          <w:trHeight w:val="420"/>
        </w:trPr>
        <w:tc>
          <w:tcPr>
            <w:tcW w:w="1684" w:type="dxa"/>
            <w:vMerge/>
            <w:tcBorders>
              <w:top w:val="nil"/>
              <w:left w:val="nil"/>
              <w:bottom w:val="nil"/>
              <w:right w:val="nil"/>
            </w:tcBorders>
            <w:shd w:val="clear" w:color="auto" w:fill="auto"/>
            <w:hideMark/>
          </w:tcPr>
          <w:p w14:paraId="4A1D8E5C" w14:textId="77777777" w:rsidR="005B55F2" w:rsidRPr="008406E5" w:rsidRDefault="005B55F2" w:rsidP="0031117D"/>
        </w:tc>
        <w:tc>
          <w:tcPr>
            <w:tcW w:w="1303" w:type="dxa"/>
            <w:tcBorders>
              <w:top w:val="nil"/>
              <w:left w:val="nil"/>
              <w:bottom w:val="nil"/>
              <w:right w:val="nil"/>
            </w:tcBorders>
            <w:shd w:val="clear" w:color="auto" w:fill="auto"/>
            <w:hideMark/>
          </w:tcPr>
          <w:p w14:paraId="6AEB342A"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5C3D19CE" w14:textId="77777777" w:rsidR="005B55F2" w:rsidRPr="008406E5" w:rsidRDefault="005B55F2" w:rsidP="006C4BE0">
            <w:pPr>
              <w:spacing w:beforeAutospacing="1" w:afterAutospacing="1"/>
              <w:textAlignment w:val="baseline"/>
            </w:pPr>
            <w:r w:rsidRPr="008406E5">
              <w:rPr>
                <w:color w:val="000000"/>
              </w:rPr>
              <w:t>Option-Posing</w:t>
            </w:r>
            <w:r w:rsidRPr="23B9E151">
              <w:t> </w:t>
            </w:r>
          </w:p>
        </w:tc>
        <w:tc>
          <w:tcPr>
            <w:tcW w:w="560" w:type="dxa"/>
            <w:tcBorders>
              <w:top w:val="nil"/>
              <w:left w:val="nil"/>
              <w:bottom w:val="nil"/>
              <w:right w:val="nil"/>
            </w:tcBorders>
            <w:shd w:val="clear" w:color="auto" w:fill="auto"/>
            <w:hideMark/>
          </w:tcPr>
          <w:p w14:paraId="2F13D911" w14:textId="77777777" w:rsidR="005B55F2" w:rsidRPr="008406E5" w:rsidRDefault="005B55F2" w:rsidP="08D4D6A2">
            <w:pPr>
              <w:spacing w:beforeAutospacing="1" w:afterAutospacing="1"/>
              <w:jc w:val="right"/>
              <w:textAlignment w:val="baseline"/>
            </w:pPr>
            <w:r w:rsidRPr="008406E5">
              <w:rPr>
                <w:color w:val="000000"/>
              </w:rPr>
              <w:t>.69</w:t>
            </w:r>
            <w:r w:rsidRPr="008406E5">
              <w:t> </w:t>
            </w:r>
          </w:p>
        </w:tc>
        <w:tc>
          <w:tcPr>
            <w:tcW w:w="560" w:type="dxa"/>
            <w:tcBorders>
              <w:top w:val="nil"/>
              <w:left w:val="nil"/>
              <w:bottom w:val="nil"/>
              <w:right w:val="nil"/>
            </w:tcBorders>
            <w:shd w:val="clear" w:color="auto" w:fill="auto"/>
            <w:hideMark/>
          </w:tcPr>
          <w:p w14:paraId="277B23DD" w14:textId="77777777" w:rsidR="005B55F2" w:rsidRPr="008406E5" w:rsidRDefault="005B55F2" w:rsidP="08D4D6A2">
            <w:pPr>
              <w:spacing w:beforeAutospacing="1" w:afterAutospacing="1"/>
              <w:jc w:val="right"/>
              <w:textAlignment w:val="baseline"/>
            </w:pPr>
            <w:r w:rsidRPr="008406E5">
              <w:rPr>
                <w:color w:val="000000"/>
              </w:rPr>
              <w:t>.16</w:t>
            </w:r>
            <w:r w:rsidRPr="008406E5">
              <w:t> </w:t>
            </w:r>
          </w:p>
        </w:tc>
        <w:tc>
          <w:tcPr>
            <w:tcW w:w="568" w:type="dxa"/>
            <w:tcBorders>
              <w:top w:val="nil"/>
              <w:left w:val="nil"/>
              <w:bottom w:val="nil"/>
              <w:right w:val="nil"/>
            </w:tcBorders>
            <w:shd w:val="clear" w:color="auto" w:fill="auto"/>
            <w:hideMark/>
          </w:tcPr>
          <w:p w14:paraId="3A1BA216" w14:textId="77777777" w:rsidR="005B55F2" w:rsidRPr="008406E5" w:rsidRDefault="005B55F2" w:rsidP="08D4D6A2">
            <w:pPr>
              <w:spacing w:beforeAutospacing="1" w:afterAutospacing="1"/>
              <w:jc w:val="right"/>
              <w:textAlignment w:val="baseline"/>
            </w:pPr>
            <w:r w:rsidRPr="008406E5">
              <w:rPr>
                <w:color w:val="000000"/>
              </w:rPr>
              <w:t>.50</w:t>
            </w:r>
            <w:r w:rsidRPr="008406E5">
              <w:t> </w:t>
            </w:r>
          </w:p>
        </w:tc>
        <w:tc>
          <w:tcPr>
            <w:tcW w:w="617" w:type="dxa"/>
            <w:tcBorders>
              <w:top w:val="nil"/>
              <w:left w:val="nil"/>
              <w:bottom w:val="nil"/>
              <w:right w:val="nil"/>
            </w:tcBorders>
            <w:shd w:val="clear" w:color="auto" w:fill="auto"/>
            <w:hideMark/>
          </w:tcPr>
          <w:p w14:paraId="512606CC" w14:textId="77777777" w:rsidR="005B55F2" w:rsidRPr="008406E5" w:rsidRDefault="005B55F2" w:rsidP="08D4D6A2">
            <w:pPr>
              <w:spacing w:beforeAutospacing="1" w:afterAutospacing="1"/>
              <w:jc w:val="right"/>
              <w:textAlignment w:val="baseline"/>
            </w:pPr>
            <w:r w:rsidRPr="008406E5">
              <w:rPr>
                <w:color w:val="000000"/>
              </w:rPr>
              <w:t>1.00</w:t>
            </w:r>
            <w:r w:rsidRPr="008406E5">
              <w:t> </w:t>
            </w:r>
          </w:p>
        </w:tc>
        <w:tc>
          <w:tcPr>
            <w:tcW w:w="386" w:type="dxa"/>
            <w:tcBorders>
              <w:top w:val="nil"/>
              <w:left w:val="nil"/>
              <w:bottom w:val="nil"/>
              <w:right w:val="nil"/>
            </w:tcBorders>
            <w:shd w:val="clear" w:color="auto" w:fill="auto"/>
            <w:hideMark/>
          </w:tcPr>
          <w:p w14:paraId="3ADFB406"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330A23F2" w14:textId="77777777" w:rsidR="005B55F2" w:rsidRPr="008406E5" w:rsidRDefault="005B55F2" w:rsidP="08D4D6A2">
            <w:pPr>
              <w:spacing w:beforeAutospacing="1" w:afterAutospacing="1"/>
              <w:jc w:val="right"/>
              <w:textAlignment w:val="baseline"/>
            </w:pPr>
            <w:r w:rsidRPr="008406E5">
              <w:rPr>
                <w:color w:val="000000"/>
              </w:rPr>
              <w:t>.78</w:t>
            </w:r>
            <w:r w:rsidRPr="008406E5">
              <w:t> </w:t>
            </w:r>
          </w:p>
        </w:tc>
        <w:tc>
          <w:tcPr>
            <w:tcW w:w="560" w:type="dxa"/>
            <w:tcBorders>
              <w:top w:val="nil"/>
              <w:left w:val="nil"/>
              <w:bottom w:val="nil"/>
              <w:right w:val="nil"/>
            </w:tcBorders>
            <w:shd w:val="clear" w:color="auto" w:fill="auto"/>
            <w:hideMark/>
          </w:tcPr>
          <w:p w14:paraId="2711C59F" w14:textId="77777777" w:rsidR="005B55F2" w:rsidRPr="008406E5" w:rsidRDefault="005B55F2" w:rsidP="08D4D6A2">
            <w:pPr>
              <w:spacing w:beforeAutospacing="1" w:afterAutospacing="1"/>
              <w:jc w:val="right"/>
              <w:textAlignment w:val="baseline"/>
            </w:pPr>
            <w:r w:rsidRPr="008406E5">
              <w:rPr>
                <w:color w:val="000000"/>
              </w:rPr>
              <w:t>.28</w:t>
            </w:r>
            <w:r w:rsidRPr="008406E5">
              <w:t> </w:t>
            </w:r>
          </w:p>
        </w:tc>
        <w:tc>
          <w:tcPr>
            <w:tcW w:w="568" w:type="dxa"/>
            <w:tcBorders>
              <w:top w:val="nil"/>
              <w:left w:val="nil"/>
              <w:bottom w:val="nil"/>
              <w:right w:val="nil"/>
            </w:tcBorders>
            <w:shd w:val="clear" w:color="auto" w:fill="auto"/>
            <w:hideMark/>
          </w:tcPr>
          <w:p w14:paraId="6FD71BE8" w14:textId="77777777" w:rsidR="005B55F2" w:rsidRPr="008406E5" w:rsidRDefault="005B55F2" w:rsidP="08D4D6A2">
            <w:pPr>
              <w:spacing w:beforeAutospacing="1" w:afterAutospacing="1"/>
              <w:jc w:val="right"/>
              <w:textAlignment w:val="baseline"/>
            </w:pPr>
            <w:r w:rsidRPr="008406E5">
              <w:rPr>
                <w:color w:val="000000"/>
              </w:rPr>
              <w:t>.25</w:t>
            </w:r>
            <w:r w:rsidRPr="008406E5">
              <w:t> </w:t>
            </w:r>
          </w:p>
        </w:tc>
        <w:tc>
          <w:tcPr>
            <w:tcW w:w="617" w:type="dxa"/>
            <w:tcBorders>
              <w:top w:val="nil"/>
              <w:left w:val="nil"/>
              <w:bottom w:val="nil"/>
              <w:right w:val="nil"/>
            </w:tcBorders>
            <w:shd w:val="clear" w:color="auto" w:fill="auto"/>
            <w:hideMark/>
          </w:tcPr>
          <w:p w14:paraId="2A56877F" w14:textId="77777777" w:rsidR="005B55F2" w:rsidRPr="008406E5" w:rsidRDefault="005B55F2" w:rsidP="08D4D6A2">
            <w:pPr>
              <w:spacing w:beforeAutospacing="1" w:afterAutospacing="1"/>
              <w:jc w:val="right"/>
              <w:textAlignment w:val="baseline"/>
            </w:pPr>
            <w:r w:rsidRPr="008406E5">
              <w:rPr>
                <w:color w:val="000000"/>
              </w:rPr>
              <w:t>1.00</w:t>
            </w:r>
            <w:r w:rsidRPr="008406E5">
              <w:t> </w:t>
            </w:r>
          </w:p>
        </w:tc>
      </w:tr>
      <w:tr w:rsidR="005B55F2" w:rsidRPr="008406E5" w14:paraId="40AA3D90" w14:textId="77777777" w:rsidTr="006C4BE0">
        <w:trPr>
          <w:trHeight w:val="420"/>
        </w:trPr>
        <w:tc>
          <w:tcPr>
            <w:tcW w:w="1684" w:type="dxa"/>
            <w:vMerge/>
            <w:tcBorders>
              <w:top w:val="nil"/>
              <w:left w:val="nil"/>
              <w:bottom w:val="nil"/>
              <w:right w:val="nil"/>
            </w:tcBorders>
            <w:shd w:val="clear" w:color="auto" w:fill="auto"/>
            <w:hideMark/>
          </w:tcPr>
          <w:p w14:paraId="0835969A" w14:textId="77777777" w:rsidR="005B55F2" w:rsidRPr="008406E5" w:rsidRDefault="005B55F2" w:rsidP="0031117D"/>
        </w:tc>
        <w:tc>
          <w:tcPr>
            <w:tcW w:w="1303" w:type="dxa"/>
            <w:tcBorders>
              <w:top w:val="nil"/>
              <w:left w:val="nil"/>
              <w:bottom w:val="nil"/>
              <w:right w:val="nil"/>
            </w:tcBorders>
            <w:shd w:val="clear" w:color="auto" w:fill="auto"/>
            <w:hideMark/>
          </w:tcPr>
          <w:p w14:paraId="0ADF4679"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329F5019" w14:textId="77777777" w:rsidR="005B55F2" w:rsidRPr="008406E5" w:rsidRDefault="005B55F2" w:rsidP="006C4BE0">
            <w:pPr>
              <w:spacing w:beforeAutospacing="1" w:afterAutospacing="1"/>
              <w:textAlignment w:val="baseline"/>
            </w:pPr>
            <w:r w:rsidRPr="008406E5">
              <w:rPr>
                <w:color w:val="000000"/>
              </w:rPr>
              <w:t>Suggestive</w:t>
            </w:r>
            <w:r w:rsidRPr="23B9E151">
              <w:t> </w:t>
            </w:r>
          </w:p>
        </w:tc>
        <w:tc>
          <w:tcPr>
            <w:tcW w:w="560" w:type="dxa"/>
            <w:tcBorders>
              <w:top w:val="nil"/>
              <w:left w:val="nil"/>
              <w:bottom w:val="nil"/>
              <w:right w:val="nil"/>
            </w:tcBorders>
            <w:shd w:val="clear" w:color="auto" w:fill="auto"/>
            <w:hideMark/>
          </w:tcPr>
          <w:p w14:paraId="24D09524" w14:textId="77777777" w:rsidR="005B55F2" w:rsidRPr="008406E5" w:rsidRDefault="005B55F2" w:rsidP="08D4D6A2">
            <w:pPr>
              <w:spacing w:beforeAutospacing="1" w:afterAutospacing="1"/>
              <w:jc w:val="right"/>
              <w:textAlignment w:val="baseline"/>
            </w:pPr>
            <w:r w:rsidRPr="008406E5">
              <w:rPr>
                <w:color w:val="000000"/>
              </w:rPr>
              <w:t>.02</w:t>
            </w:r>
            <w:r w:rsidRPr="008406E5">
              <w:t> </w:t>
            </w:r>
          </w:p>
        </w:tc>
        <w:tc>
          <w:tcPr>
            <w:tcW w:w="560" w:type="dxa"/>
            <w:tcBorders>
              <w:top w:val="nil"/>
              <w:left w:val="nil"/>
              <w:bottom w:val="nil"/>
              <w:right w:val="nil"/>
            </w:tcBorders>
            <w:shd w:val="clear" w:color="auto" w:fill="auto"/>
            <w:hideMark/>
          </w:tcPr>
          <w:p w14:paraId="70F6598C" w14:textId="77777777" w:rsidR="005B55F2" w:rsidRPr="008406E5" w:rsidRDefault="005B55F2" w:rsidP="08D4D6A2">
            <w:pPr>
              <w:spacing w:beforeAutospacing="1" w:afterAutospacing="1"/>
              <w:jc w:val="right"/>
              <w:textAlignment w:val="baseline"/>
            </w:pPr>
            <w:r w:rsidRPr="008406E5">
              <w:rPr>
                <w:color w:val="000000"/>
              </w:rPr>
              <w:t>.03</w:t>
            </w:r>
            <w:r w:rsidRPr="008406E5">
              <w:t> </w:t>
            </w:r>
          </w:p>
        </w:tc>
        <w:tc>
          <w:tcPr>
            <w:tcW w:w="568" w:type="dxa"/>
            <w:tcBorders>
              <w:top w:val="nil"/>
              <w:left w:val="nil"/>
              <w:bottom w:val="nil"/>
              <w:right w:val="nil"/>
            </w:tcBorders>
            <w:shd w:val="clear" w:color="auto" w:fill="auto"/>
            <w:hideMark/>
          </w:tcPr>
          <w:p w14:paraId="35D63709"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nil"/>
              <w:right w:val="nil"/>
            </w:tcBorders>
            <w:shd w:val="clear" w:color="auto" w:fill="auto"/>
            <w:hideMark/>
          </w:tcPr>
          <w:p w14:paraId="760A32C0" w14:textId="77777777" w:rsidR="005B55F2" w:rsidRPr="008406E5" w:rsidRDefault="005B55F2" w:rsidP="08D4D6A2">
            <w:pPr>
              <w:spacing w:beforeAutospacing="1" w:afterAutospacing="1"/>
              <w:jc w:val="right"/>
              <w:textAlignment w:val="baseline"/>
            </w:pPr>
            <w:r w:rsidRPr="008406E5">
              <w:rPr>
                <w:color w:val="000000"/>
              </w:rPr>
              <w:t>.08</w:t>
            </w:r>
            <w:r w:rsidRPr="008406E5">
              <w:t> </w:t>
            </w:r>
          </w:p>
        </w:tc>
        <w:tc>
          <w:tcPr>
            <w:tcW w:w="386" w:type="dxa"/>
            <w:tcBorders>
              <w:top w:val="nil"/>
              <w:left w:val="nil"/>
              <w:bottom w:val="nil"/>
              <w:right w:val="nil"/>
            </w:tcBorders>
            <w:shd w:val="clear" w:color="auto" w:fill="auto"/>
            <w:hideMark/>
          </w:tcPr>
          <w:p w14:paraId="0049F1D4"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2FCF1215" w14:textId="77777777" w:rsidR="005B55F2" w:rsidRPr="008406E5" w:rsidRDefault="005B55F2" w:rsidP="08D4D6A2">
            <w:pPr>
              <w:spacing w:beforeAutospacing="1" w:afterAutospacing="1"/>
              <w:jc w:val="right"/>
              <w:textAlignment w:val="baseline"/>
            </w:pPr>
            <w:r w:rsidRPr="008406E5">
              <w:rPr>
                <w:color w:val="000000"/>
              </w:rPr>
              <w:t>.01</w:t>
            </w:r>
            <w:r w:rsidRPr="008406E5">
              <w:t> </w:t>
            </w:r>
          </w:p>
        </w:tc>
        <w:tc>
          <w:tcPr>
            <w:tcW w:w="560" w:type="dxa"/>
            <w:tcBorders>
              <w:top w:val="nil"/>
              <w:left w:val="nil"/>
              <w:bottom w:val="nil"/>
              <w:right w:val="nil"/>
            </w:tcBorders>
            <w:shd w:val="clear" w:color="auto" w:fill="auto"/>
            <w:hideMark/>
          </w:tcPr>
          <w:p w14:paraId="35F56EB9" w14:textId="77777777" w:rsidR="005B55F2" w:rsidRPr="008406E5" w:rsidRDefault="005B55F2" w:rsidP="08D4D6A2">
            <w:pPr>
              <w:spacing w:beforeAutospacing="1" w:afterAutospacing="1"/>
              <w:jc w:val="right"/>
              <w:textAlignment w:val="baseline"/>
            </w:pPr>
            <w:r w:rsidRPr="008406E5">
              <w:rPr>
                <w:color w:val="000000"/>
              </w:rPr>
              <w:t>.03</w:t>
            </w:r>
            <w:r w:rsidRPr="008406E5">
              <w:t> </w:t>
            </w:r>
          </w:p>
        </w:tc>
        <w:tc>
          <w:tcPr>
            <w:tcW w:w="568" w:type="dxa"/>
            <w:tcBorders>
              <w:top w:val="nil"/>
              <w:left w:val="nil"/>
              <w:bottom w:val="nil"/>
              <w:right w:val="nil"/>
            </w:tcBorders>
            <w:shd w:val="clear" w:color="auto" w:fill="auto"/>
            <w:hideMark/>
          </w:tcPr>
          <w:p w14:paraId="23A56ED3"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nil"/>
              <w:right w:val="nil"/>
            </w:tcBorders>
            <w:shd w:val="clear" w:color="auto" w:fill="auto"/>
            <w:hideMark/>
          </w:tcPr>
          <w:p w14:paraId="1C99504C" w14:textId="77777777" w:rsidR="005B55F2" w:rsidRPr="008406E5" w:rsidRDefault="005B55F2" w:rsidP="08D4D6A2">
            <w:pPr>
              <w:spacing w:beforeAutospacing="1" w:afterAutospacing="1"/>
              <w:jc w:val="right"/>
              <w:textAlignment w:val="baseline"/>
            </w:pPr>
            <w:r w:rsidRPr="008406E5">
              <w:rPr>
                <w:color w:val="000000"/>
              </w:rPr>
              <w:t>.09</w:t>
            </w:r>
            <w:r w:rsidRPr="008406E5">
              <w:t> </w:t>
            </w:r>
          </w:p>
        </w:tc>
      </w:tr>
      <w:tr w:rsidR="005B55F2" w:rsidRPr="008406E5" w14:paraId="171D231E" w14:textId="77777777" w:rsidTr="006C4BE0">
        <w:trPr>
          <w:trHeight w:val="420"/>
        </w:trPr>
        <w:tc>
          <w:tcPr>
            <w:tcW w:w="1684" w:type="dxa"/>
            <w:vMerge/>
            <w:tcBorders>
              <w:top w:val="nil"/>
              <w:left w:val="nil"/>
              <w:bottom w:val="nil"/>
              <w:right w:val="nil"/>
            </w:tcBorders>
            <w:shd w:val="clear" w:color="auto" w:fill="auto"/>
            <w:hideMark/>
          </w:tcPr>
          <w:p w14:paraId="5E08A1DD" w14:textId="77777777" w:rsidR="005B55F2" w:rsidRPr="008406E5" w:rsidRDefault="005B55F2" w:rsidP="0031117D"/>
        </w:tc>
        <w:tc>
          <w:tcPr>
            <w:tcW w:w="1303" w:type="dxa"/>
            <w:tcBorders>
              <w:top w:val="nil"/>
              <w:left w:val="nil"/>
              <w:bottom w:val="nil"/>
              <w:right w:val="nil"/>
            </w:tcBorders>
            <w:shd w:val="clear" w:color="auto" w:fill="auto"/>
            <w:hideMark/>
          </w:tcPr>
          <w:p w14:paraId="0C36925A" w14:textId="5F81BE56" w:rsidR="005B55F2" w:rsidRPr="008406E5" w:rsidRDefault="005B55F2" w:rsidP="006C4BE0">
            <w:pPr>
              <w:spacing w:beforeAutospacing="1" w:afterAutospacing="1"/>
              <w:textAlignment w:val="baseline"/>
            </w:pPr>
            <w:r w:rsidRPr="008406E5">
              <w:rPr>
                <w:color w:val="000000"/>
              </w:rPr>
              <w:t>Defence</w:t>
            </w:r>
            <w:r w:rsidRPr="23B9E151">
              <w:t> </w:t>
            </w:r>
          </w:p>
        </w:tc>
        <w:tc>
          <w:tcPr>
            <w:tcW w:w="1469" w:type="dxa"/>
            <w:tcBorders>
              <w:top w:val="nil"/>
              <w:left w:val="nil"/>
              <w:bottom w:val="nil"/>
              <w:right w:val="nil"/>
            </w:tcBorders>
            <w:shd w:val="clear" w:color="auto" w:fill="auto"/>
            <w:hideMark/>
          </w:tcPr>
          <w:p w14:paraId="24992BDD" w14:textId="77777777" w:rsidR="005B55F2" w:rsidRPr="008406E5" w:rsidRDefault="005B55F2" w:rsidP="006C4BE0">
            <w:pPr>
              <w:spacing w:beforeAutospacing="1" w:afterAutospacing="1"/>
              <w:textAlignment w:val="baseline"/>
            </w:pPr>
            <w:r w:rsidRPr="008406E5">
              <w:rPr>
                <w:color w:val="000000"/>
              </w:rPr>
              <w:t>Directive</w:t>
            </w:r>
            <w:r w:rsidRPr="23B9E151">
              <w:t> </w:t>
            </w:r>
          </w:p>
        </w:tc>
        <w:tc>
          <w:tcPr>
            <w:tcW w:w="560" w:type="dxa"/>
            <w:tcBorders>
              <w:top w:val="nil"/>
              <w:left w:val="nil"/>
              <w:bottom w:val="nil"/>
              <w:right w:val="nil"/>
            </w:tcBorders>
            <w:shd w:val="clear" w:color="auto" w:fill="auto"/>
            <w:hideMark/>
          </w:tcPr>
          <w:p w14:paraId="2334745C" w14:textId="77777777" w:rsidR="005B55F2" w:rsidRPr="008406E5" w:rsidRDefault="005B55F2" w:rsidP="08D4D6A2">
            <w:pPr>
              <w:spacing w:beforeAutospacing="1" w:afterAutospacing="1"/>
              <w:jc w:val="right"/>
              <w:textAlignment w:val="baseline"/>
            </w:pPr>
            <w:r w:rsidRPr="008406E5">
              <w:rPr>
                <w:color w:val="000000"/>
              </w:rPr>
              <w:t>.11</w:t>
            </w:r>
            <w:r w:rsidRPr="008406E5">
              <w:t> </w:t>
            </w:r>
          </w:p>
        </w:tc>
        <w:tc>
          <w:tcPr>
            <w:tcW w:w="560" w:type="dxa"/>
            <w:tcBorders>
              <w:top w:val="nil"/>
              <w:left w:val="nil"/>
              <w:bottom w:val="nil"/>
              <w:right w:val="nil"/>
            </w:tcBorders>
            <w:shd w:val="clear" w:color="auto" w:fill="auto"/>
            <w:hideMark/>
          </w:tcPr>
          <w:p w14:paraId="2E60B44E" w14:textId="77777777" w:rsidR="005B55F2" w:rsidRPr="008406E5" w:rsidRDefault="005B55F2" w:rsidP="08D4D6A2">
            <w:pPr>
              <w:spacing w:beforeAutospacing="1" w:afterAutospacing="1"/>
              <w:jc w:val="right"/>
              <w:textAlignment w:val="baseline"/>
            </w:pPr>
            <w:r w:rsidRPr="008406E5">
              <w:rPr>
                <w:color w:val="000000"/>
              </w:rPr>
              <w:t>.08</w:t>
            </w:r>
            <w:r w:rsidRPr="008406E5">
              <w:t> </w:t>
            </w:r>
          </w:p>
        </w:tc>
        <w:tc>
          <w:tcPr>
            <w:tcW w:w="568" w:type="dxa"/>
            <w:tcBorders>
              <w:top w:val="nil"/>
              <w:left w:val="nil"/>
              <w:bottom w:val="nil"/>
              <w:right w:val="nil"/>
            </w:tcBorders>
            <w:shd w:val="clear" w:color="auto" w:fill="auto"/>
            <w:hideMark/>
          </w:tcPr>
          <w:p w14:paraId="4EF1E7BB"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nil"/>
              <w:right w:val="nil"/>
            </w:tcBorders>
            <w:shd w:val="clear" w:color="auto" w:fill="auto"/>
            <w:hideMark/>
          </w:tcPr>
          <w:p w14:paraId="3153D125" w14:textId="77777777" w:rsidR="005B55F2" w:rsidRPr="008406E5" w:rsidRDefault="005B55F2" w:rsidP="08D4D6A2">
            <w:pPr>
              <w:spacing w:beforeAutospacing="1" w:afterAutospacing="1"/>
              <w:jc w:val="right"/>
              <w:textAlignment w:val="baseline"/>
            </w:pPr>
            <w:r w:rsidRPr="008406E5">
              <w:rPr>
                <w:color w:val="000000"/>
              </w:rPr>
              <w:t>.26</w:t>
            </w:r>
            <w:r w:rsidRPr="008406E5">
              <w:t> </w:t>
            </w:r>
          </w:p>
        </w:tc>
        <w:tc>
          <w:tcPr>
            <w:tcW w:w="386" w:type="dxa"/>
            <w:tcBorders>
              <w:top w:val="nil"/>
              <w:left w:val="nil"/>
              <w:bottom w:val="nil"/>
              <w:right w:val="nil"/>
            </w:tcBorders>
            <w:shd w:val="clear" w:color="auto" w:fill="auto"/>
            <w:hideMark/>
          </w:tcPr>
          <w:p w14:paraId="778B349B"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326E190B" w14:textId="77777777" w:rsidR="005B55F2" w:rsidRPr="008406E5" w:rsidRDefault="005B55F2" w:rsidP="08D4D6A2">
            <w:pPr>
              <w:spacing w:beforeAutospacing="1" w:afterAutospacing="1"/>
              <w:jc w:val="right"/>
              <w:textAlignment w:val="baseline"/>
            </w:pPr>
            <w:r w:rsidRPr="008406E5">
              <w:rPr>
                <w:color w:val="000000"/>
              </w:rPr>
              <w:t>.18</w:t>
            </w:r>
            <w:r w:rsidRPr="008406E5">
              <w:t> </w:t>
            </w:r>
          </w:p>
        </w:tc>
        <w:tc>
          <w:tcPr>
            <w:tcW w:w="560" w:type="dxa"/>
            <w:tcBorders>
              <w:top w:val="nil"/>
              <w:left w:val="nil"/>
              <w:bottom w:val="nil"/>
              <w:right w:val="nil"/>
            </w:tcBorders>
            <w:shd w:val="clear" w:color="auto" w:fill="auto"/>
            <w:hideMark/>
          </w:tcPr>
          <w:p w14:paraId="44C382DA" w14:textId="77777777" w:rsidR="005B55F2" w:rsidRPr="008406E5" w:rsidRDefault="005B55F2" w:rsidP="08D4D6A2">
            <w:pPr>
              <w:spacing w:beforeAutospacing="1" w:afterAutospacing="1"/>
              <w:jc w:val="right"/>
              <w:textAlignment w:val="baseline"/>
            </w:pPr>
            <w:r w:rsidRPr="008406E5">
              <w:rPr>
                <w:color w:val="000000"/>
              </w:rPr>
              <w:t>.11</w:t>
            </w:r>
            <w:r w:rsidRPr="008406E5">
              <w:t> </w:t>
            </w:r>
          </w:p>
        </w:tc>
        <w:tc>
          <w:tcPr>
            <w:tcW w:w="568" w:type="dxa"/>
            <w:tcBorders>
              <w:top w:val="nil"/>
              <w:left w:val="nil"/>
              <w:bottom w:val="nil"/>
              <w:right w:val="nil"/>
            </w:tcBorders>
            <w:shd w:val="clear" w:color="auto" w:fill="auto"/>
            <w:hideMark/>
          </w:tcPr>
          <w:p w14:paraId="1B7FC674"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nil"/>
              <w:right w:val="nil"/>
            </w:tcBorders>
            <w:shd w:val="clear" w:color="auto" w:fill="auto"/>
            <w:hideMark/>
          </w:tcPr>
          <w:p w14:paraId="0FED2124" w14:textId="77777777" w:rsidR="005B55F2" w:rsidRPr="008406E5" w:rsidRDefault="005B55F2" w:rsidP="08D4D6A2">
            <w:pPr>
              <w:spacing w:beforeAutospacing="1" w:afterAutospacing="1"/>
              <w:jc w:val="right"/>
              <w:textAlignment w:val="baseline"/>
            </w:pPr>
            <w:r w:rsidRPr="008406E5">
              <w:rPr>
                <w:color w:val="000000"/>
              </w:rPr>
              <w:t>.39</w:t>
            </w:r>
            <w:r w:rsidRPr="008406E5">
              <w:t> </w:t>
            </w:r>
          </w:p>
        </w:tc>
      </w:tr>
      <w:tr w:rsidR="005B55F2" w:rsidRPr="008406E5" w14:paraId="68AB0AA2" w14:textId="77777777" w:rsidTr="006C4BE0">
        <w:trPr>
          <w:trHeight w:val="420"/>
        </w:trPr>
        <w:tc>
          <w:tcPr>
            <w:tcW w:w="1684" w:type="dxa"/>
            <w:vMerge/>
            <w:tcBorders>
              <w:top w:val="nil"/>
              <w:left w:val="nil"/>
              <w:bottom w:val="nil"/>
              <w:right w:val="nil"/>
            </w:tcBorders>
            <w:shd w:val="clear" w:color="auto" w:fill="auto"/>
            <w:hideMark/>
          </w:tcPr>
          <w:p w14:paraId="53D902D9" w14:textId="77777777" w:rsidR="005B55F2" w:rsidRPr="008406E5" w:rsidRDefault="005B55F2" w:rsidP="0031117D"/>
        </w:tc>
        <w:tc>
          <w:tcPr>
            <w:tcW w:w="1303" w:type="dxa"/>
            <w:tcBorders>
              <w:top w:val="nil"/>
              <w:left w:val="nil"/>
              <w:bottom w:val="nil"/>
              <w:right w:val="nil"/>
            </w:tcBorders>
            <w:shd w:val="clear" w:color="auto" w:fill="auto"/>
            <w:hideMark/>
          </w:tcPr>
          <w:p w14:paraId="474F2D93"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43944C13" w14:textId="77777777" w:rsidR="005B55F2" w:rsidRPr="008406E5" w:rsidRDefault="005B55F2" w:rsidP="006C4BE0">
            <w:pPr>
              <w:spacing w:beforeAutospacing="1" w:afterAutospacing="1"/>
              <w:textAlignment w:val="baseline"/>
            </w:pPr>
            <w:r w:rsidRPr="008406E5">
              <w:rPr>
                <w:color w:val="000000"/>
              </w:rPr>
              <w:t>Option-Posing</w:t>
            </w:r>
            <w:r w:rsidRPr="23B9E151">
              <w:t> </w:t>
            </w:r>
          </w:p>
        </w:tc>
        <w:tc>
          <w:tcPr>
            <w:tcW w:w="560" w:type="dxa"/>
            <w:tcBorders>
              <w:top w:val="nil"/>
              <w:left w:val="nil"/>
              <w:bottom w:val="nil"/>
              <w:right w:val="nil"/>
            </w:tcBorders>
            <w:shd w:val="clear" w:color="auto" w:fill="auto"/>
            <w:hideMark/>
          </w:tcPr>
          <w:p w14:paraId="2B374F6B" w14:textId="77777777" w:rsidR="005B55F2" w:rsidRPr="008406E5" w:rsidRDefault="005B55F2" w:rsidP="08D4D6A2">
            <w:pPr>
              <w:spacing w:beforeAutospacing="1" w:afterAutospacing="1"/>
              <w:jc w:val="right"/>
              <w:textAlignment w:val="baseline"/>
            </w:pPr>
            <w:r w:rsidRPr="008406E5">
              <w:rPr>
                <w:color w:val="000000"/>
              </w:rPr>
              <w:t>.57</w:t>
            </w:r>
            <w:r w:rsidRPr="008406E5">
              <w:t> </w:t>
            </w:r>
          </w:p>
        </w:tc>
        <w:tc>
          <w:tcPr>
            <w:tcW w:w="560" w:type="dxa"/>
            <w:tcBorders>
              <w:top w:val="nil"/>
              <w:left w:val="nil"/>
              <w:bottom w:val="nil"/>
              <w:right w:val="nil"/>
            </w:tcBorders>
            <w:shd w:val="clear" w:color="auto" w:fill="auto"/>
            <w:hideMark/>
          </w:tcPr>
          <w:p w14:paraId="03EE7F89" w14:textId="77777777" w:rsidR="005B55F2" w:rsidRPr="008406E5" w:rsidRDefault="005B55F2" w:rsidP="08D4D6A2">
            <w:pPr>
              <w:spacing w:beforeAutospacing="1" w:afterAutospacing="1"/>
              <w:jc w:val="right"/>
              <w:textAlignment w:val="baseline"/>
            </w:pPr>
            <w:r w:rsidRPr="008406E5">
              <w:rPr>
                <w:color w:val="000000"/>
              </w:rPr>
              <w:t>.14</w:t>
            </w:r>
            <w:r w:rsidRPr="008406E5">
              <w:t> </w:t>
            </w:r>
          </w:p>
        </w:tc>
        <w:tc>
          <w:tcPr>
            <w:tcW w:w="568" w:type="dxa"/>
            <w:tcBorders>
              <w:top w:val="nil"/>
              <w:left w:val="nil"/>
              <w:bottom w:val="nil"/>
              <w:right w:val="nil"/>
            </w:tcBorders>
            <w:shd w:val="clear" w:color="auto" w:fill="auto"/>
            <w:hideMark/>
          </w:tcPr>
          <w:p w14:paraId="6F9F5F11" w14:textId="77777777" w:rsidR="005B55F2" w:rsidRPr="008406E5" w:rsidRDefault="005B55F2" w:rsidP="08D4D6A2">
            <w:pPr>
              <w:spacing w:beforeAutospacing="1" w:afterAutospacing="1"/>
              <w:jc w:val="right"/>
              <w:textAlignment w:val="baseline"/>
            </w:pPr>
            <w:r w:rsidRPr="008406E5">
              <w:rPr>
                <w:color w:val="000000"/>
              </w:rPr>
              <w:t>.27</w:t>
            </w:r>
            <w:r w:rsidRPr="008406E5">
              <w:t> </w:t>
            </w:r>
          </w:p>
        </w:tc>
        <w:tc>
          <w:tcPr>
            <w:tcW w:w="617" w:type="dxa"/>
            <w:tcBorders>
              <w:top w:val="nil"/>
              <w:left w:val="nil"/>
              <w:bottom w:val="nil"/>
              <w:right w:val="nil"/>
            </w:tcBorders>
            <w:shd w:val="clear" w:color="auto" w:fill="auto"/>
            <w:hideMark/>
          </w:tcPr>
          <w:p w14:paraId="500F0723" w14:textId="77777777" w:rsidR="005B55F2" w:rsidRPr="008406E5" w:rsidRDefault="005B55F2" w:rsidP="08D4D6A2">
            <w:pPr>
              <w:spacing w:beforeAutospacing="1" w:afterAutospacing="1"/>
              <w:jc w:val="right"/>
              <w:textAlignment w:val="baseline"/>
            </w:pPr>
            <w:r w:rsidRPr="008406E5">
              <w:rPr>
                <w:color w:val="000000"/>
              </w:rPr>
              <w:t>.80</w:t>
            </w:r>
            <w:r w:rsidRPr="008406E5">
              <w:t> </w:t>
            </w:r>
          </w:p>
        </w:tc>
        <w:tc>
          <w:tcPr>
            <w:tcW w:w="386" w:type="dxa"/>
            <w:tcBorders>
              <w:top w:val="nil"/>
              <w:left w:val="nil"/>
              <w:bottom w:val="nil"/>
              <w:right w:val="nil"/>
            </w:tcBorders>
            <w:shd w:val="clear" w:color="auto" w:fill="auto"/>
            <w:hideMark/>
          </w:tcPr>
          <w:p w14:paraId="6B919C35"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4C229CEE" w14:textId="77777777" w:rsidR="005B55F2" w:rsidRPr="008406E5" w:rsidRDefault="005B55F2" w:rsidP="08D4D6A2">
            <w:pPr>
              <w:spacing w:beforeAutospacing="1" w:afterAutospacing="1"/>
              <w:jc w:val="right"/>
              <w:textAlignment w:val="baseline"/>
            </w:pPr>
            <w:r w:rsidRPr="008406E5">
              <w:rPr>
                <w:color w:val="000000"/>
              </w:rPr>
              <w:t>.70</w:t>
            </w:r>
            <w:r w:rsidRPr="008406E5">
              <w:t> </w:t>
            </w:r>
          </w:p>
        </w:tc>
        <w:tc>
          <w:tcPr>
            <w:tcW w:w="560" w:type="dxa"/>
            <w:tcBorders>
              <w:top w:val="nil"/>
              <w:left w:val="nil"/>
              <w:bottom w:val="nil"/>
              <w:right w:val="nil"/>
            </w:tcBorders>
            <w:shd w:val="clear" w:color="auto" w:fill="auto"/>
            <w:hideMark/>
          </w:tcPr>
          <w:p w14:paraId="66EB4414" w14:textId="77777777" w:rsidR="005B55F2" w:rsidRPr="008406E5" w:rsidRDefault="005B55F2" w:rsidP="08D4D6A2">
            <w:pPr>
              <w:spacing w:beforeAutospacing="1" w:afterAutospacing="1"/>
              <w:jc w:val="right"/>
              <w:textAlignment w:val="baseline"/>
            </w:pPr>
            <w:r w:rsidRPr="008406E5">
              <w:rPr>
                <w:color w:val="000000"/>
              </w:rPr>
              <w:t>.13</w:t>
            </w:r>
            <w:r w:rsidRPr="008406E5">
              <w:t> </w:t>
            </w:r>
          </w:p>
        </w:tc>
        <w:tc>
          <w:tcPr>
            <w:tcW w:w="568" w:type="dxa"/>
            <w:tcBorders>
              <w:top w:val="nil"/>
              <w:left w:val="nil"/>
              <w:bottom w:val="nil"/>
              <w:right w:val="nil"/>
            </w:tcBorders>
            <w:shd w:val="clear" w:color="auto" w:fill="auto"/>
            <w:hideMark/>
          </w:tcPr>
          <w:p w14:paraId="6A9FA980" w14:textId="77777777" w:rsidR="005B55F2" w:rsidRPr="008406E5" w:rsidRDefault="005B55F2" w:rsidP="08D4D6A2">
            <w:pPr>
              <w:spacing w:beforeAutospacing="1" w:afterAutospacing="1"/>
              <w:jc w:val="right"/>
              <w:textAlignment w:val="baseline"/>
            </w:pPr>
            <w:r w:rsidRPr="008406E5">
              <w:rPr>
                <w:color w:val="000000"/>
              </w:rPr>
              <w:t>.38</w:t>
            </w:r>
            <w:r w:rsidRPr="008406E5">
              <w:t> </w:t>
            </w:r>
          </w:p>
        </w:tc>
        <w:tc>
          <w:tcPr>
            <w:tcW w:w="617" w:type="dxa"/>
            <w:tcBorders>
              <w:top w:val="nil"/>
              <w:left w:val="nil"/>
              <w:bottom w:val="nil"/>
              <w:right w:val="nil"/>
            </w:tcBorders>
            <w:shd w:val="clear" w:color="auto" w:fill="auto"/>
            <w:hideMark/>
          </w:tcPr>
          <w:p w14:paraId="0A368578" w14:textId="77777777" w:rsidR="005B55F2" w:rsidRPr="008406E5" w:rsidRDefault="005B55F2" w:rsidP="08D4D6A2">
            <w:pPr>
              <w:spacing w:beforeAutospacing="1" w:afterAutospacing="1"/>
              <w:jc w:val="right"/>
              <w:textAlignment w:val="baseline"/>
            </w:pPr>
            <w:r w:rsidRPr="008406E5">
              <w:rPr>
                <w:color w:val="000000"/>
              </w:rPr>
              <w:t>.96</w:t>
            </w:r>
            <w:r w:rsidRPr="008406E5">
              <w:t> </w:t>
            </w:r>
          </w:p>
        </w:tc>
      </w:tr>
      <w:tr w:rsidR="005B55F2" w:rsidRPr="008406E5" w14:paraId="4D6C43ED" w14:textId="77777777" w:rsidTr="006C4BE0">
        <w:trPr>
          <w:trHeight w:val="420"/>
        </w:trPr>
        <w:tc>
          <w:tcPr>
            <w:tcW w:w="1684" w:type="dxa"/>
            <w:vMerge/>
            <w:tcBorders>
              <w:top w:val="nil"/>
              <w:left w:val="nil"/>
              <w:bottom w:val="nil"/>
              <w:right w:val="nil"/>
            </w:tcBorders>
            <w:shd w:val="clear" w:color="auto" w:fill="auto"/>
            <w:hideMark/>
          </w:tcPr>
          <w:p w14:paraId="04C3D1FB" w14:textId="77777777" w:rsidR="005B55F2" w:rsidRPr="008406E5" w:rsidRDefault="005B55F2" w:rsidP="0031117D"/>
        </w:tc>
        <w:tc>
          <w:tcPr>
            <w:tcW w:w="1303" w:type="dxa"/>
            <w:tcBorders>
              <w:top w:val="nil"/>
              <w:left w:val="nil"/>
              <w:bottom w:val="nil"/>
              <w:right w:val="nil"/>
            </w:tcBorders>
            <w:shd w:val="clear" w:color="auto" w:fill="auto"/>
            <w:hideMark/>
          </w:tcPr>
          <w:p w14:paraId="675B3797"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3170788B" w14:textId="77777777" w:rsidR="005B55F2" w:rsidRPr="008406E5" w:rsidRDefault="005B55F2" w:rsidP="006C4BE0">
            <w:pPr>
              <w:spacing w:beforeAutospacing="1" w:afterAutospacing="1"/>
              <w:textAlignment w:val="baseline"/>
            </w:pPr>
            <w:r w:rsidRPr="008406E5">
              <w:rPr>
                <w:color w:val="000000"/>
              </w:rPr>
              <w:t>Suggestive</w:t>
            </w:r>
            <w:r w:rsidRPr="23B9E151">
              <w:t> </w:t>
            </w:r>
          </w:p>
        </w:tc>
        <w:tc>
          <w:tcPr>
            <w:tcW w:w="560" w:type="dxa"/>
            <w:tcBorders>
              <w:top w:val="nil"/>
              <w:left w:val="nil"/>
              <w:bottom w:val="nil"/>
              <w:right w:val="nil"/>
            </w:tcBorders>
            <w:shd w:val="clear" w:color="auto" w:fill="auto"/>
            <w:hideMark/>
          </w:tcPr>
          <w:p w14:paraId="42CD3A6C" w14:textId="77777777" w:rsidR="005B55F2" w:rsidRPr="008406E5" w:rsidRDefault="005B55F2" w:rsidP="08D4D6A2">
            <w:pPr>
              <w:spacing w:beforeAutospacing="1" w:afterAutospacing="1"/>
              <w:jc w:val="right"/>
              <w:textAlignment w:val="baseline"/>
            </w:pPr>
            <w:r w:rsidRPr="008406E5">
              <w:rPr>
                <w:color w:val="000000"/>
              </w:rPr>
              <w:t>.33</w:t>
            </w:r>
            <w:r w:rsidRPr="008406E5">
              <w:t> </w:t>
            </w:r>
          </w:p>
        </w:tc>
        <w:tc>
          <w:tcPr>
            <w:tcW w:w="560" w:type="dxa"/>
            <w:tcBorders>
              <w:top w:val="nil"/>
              <w:left w:val="nil"/>
              <w:bottom w:val="nil"/>
              <w:right w:val="nil"/>
            </w:tcBorders>
            <w:shd w:val="clear" w:color="auto" w:fill="auto"/>
            <w:hideMark/>
          </w:tcPr>
          <w:p w14:paraId="5647177A" w14:textId="77777777" w:rsidR="005B55F2" w:rsidRPr="008406E5" w:rsidRDefault="005B55F2" w:rsidP="08D4D6A2">
            <w:pPr>
              <w:spacing w:beforeAutospacing="1" w:afterAutospacing="1"/>
              <w:jc w:val="right"/>
              <w:textAlignment w:val="baseline"/>
            </w:pPr>
            <w:r w:rsidRPr="008406E5">
              <w:rPr>
                <w:color w:val="000000"/>
              </w:rPr>
              <w:t>.18</w:t>
            </w:r>
            <w:r w:rsidRPr="008406E5">
              <w:t> </w:t>
            </w:r>
          </w:p>
        </w:tc>
        <w:tc>
          <w:tcPr>
            <w:tcW w:w="568" w:type="dxa"/>
            <w:tcBorders>
              <w:top w:val="nil"/>
              <w:left w:val="nil"/>
              <w:bottom w:val="nil"/>
              <w:right w:val="nil"/>
            </w:tcBorders>
            <w:shd w:val="clear" w:color="auto" w:fill="auto"/>
            <w:hideMark/>
          </w:tcPr>
          <w:p w14:paraId="005C7FC9" w14:textId="77777777" w:rsidR="005B55F2" w:rsidRPr="008406E5" w:rsidRDefault="005B55F2" w:rsidP="08D4D6A2">
            <w:pPr>
              <w:spacing w:beforeAutospacing="1" w:afterAutospacing="1"/>
              <w:jc w:val="right"/>
              <w:textAlignment w:val="baseline"/>
            </w:pPr>
            <w:r w:rsidRPr="008406E5">
              <w:rPr>
                <w:color w:val="000000"/>
              </w:rPr>
              <w:t>.20</w:t>
            </w:r>
            <w:r w:rsidRPr="008406E5">
              <w:t> </w:t>
            </w:r>
          </w:p>
        </w:tc>
        <w:tc>
          <w:tcPr>
            <w:tcW w:w="617" w:type="dxa"/>
            <w:tcBorders>
              <w:top w:val="nil"/>
              <w:left w:val="nil"/>
              <w:bottom w:val="nil"/>
              <w:right w:val="nil"/>
            </w:tcBorders>
            <w:shd w:val="clear" w:color="auto" w:fill="auto"/>
            <w:hideMark/>
          </w:tcPr>
          <w:p w14:paraId="779EFB09" w14:textId="77777777" w:rsidR="005B55F2" w:rsidRPr="008406E5" w:rsidRDefault="005B55F2" w:rsidP="08D4D6A2">
            <w:pPr>
              <w:spacing w:beforeAutospacing="1" w:afterAutospacing="1"/>
              <w:jc w:val="right"/>
              <w:textAlignment w:val="baseline"/>
            </w:pPr>
            <w:r w:rsidRPr="008406E5">
              <w:rPr>
                <w:color w:val="000000"/>
              </w:rPr>
              <w:t>.71</w:t>
            </w:r>
            <w:r w:rsidRPr="008406E5">
              <w:t> </w:t>
            </w:r>
          </w:p>
        </w:tc>
        <w:tc>
          <w:tcPr>
            <w:tcW w:w="386" w:type="dxa"/>
            <w:tcBorders>
              <w:top w:val="nil"/>
              <w:left w:val="nil"/>
              <w:bottom w:val="nil"/>
              <w:right w:val="nil"/>
            </w:tcBorders>
            <w:shd w:val="clear" w:color="auto" w:fill="auto"/>
            <w:hideMark/>
          </w:tcPr>
          <w:p w14:paraId="2911913E"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21FDBAE3" w14:textId="77777777" w:rsidR="005B55F2" w:rsidRPr="008406E5" w:rsidRDefault="005B55F2" w:rsidP="08D4D6A2">
            <w:pPr>
              <w:spacing w:beforeAutospacing="1" w:afterAutospacing="1"/>
              <w:jc w:val="right"/>
              <w:textAlignment w:val="baseline"/>
            </w:pPr>
            <w:r w:rsidRPr="008406E5">
              <w:rPr>
                <w:color w:val="000000"/>
              </w:rPr>
              <w:t>.13</w:t>
            </w:r>
            <w:r w:rsidRPr="008406E5">
              <w:t> </w:t>
            </w:r>
          </w:p>
        </w:tc>
        <w:tc>
          <w:tcPr>
            <w:tcW w:w="560" w:type="dxa"/>
            <w:tcBorders>
              <w:top w:val="nil"/>
              <w:left w:val="nil"/>
              <w:bottom w:val="nil"/>
              <w:right w:val="nil"/>
            </w:tcBorders>
            <w:shd w:val="clear" w:color="auto" w:fill="auto"/>
            <w:hideMark/>
          </w:tcPr>
          <w:p w14:paraId="1DF75542" w14:textId="77777777" w:rsidR="005B55F2" w:rsidRPr="008406E5" w:rsidRDefault="005B55F2" w:rsidP="08D4D6A2">
            <w:pPr>
              <w:spacing w:beforeAutospacing="1" w:afterAutospacing="1"/>
              <w:jc w:val="right"/>
              <w:textAlignment w:val="baseline"/>
            </w:pPr>
            <w:r w:rsidRPr="008406E5">
              <w:rPr>
                <w:color w:val="000000"/>
              </w:rPr>
              <w:t>.15</w:t>
            </w:r>
            <w:r w:rsidRPr="008406E5">
              <w:t> </w:t>
            </w:r>
          </w:p>
        </w:tc>
        <w:tc>
          <w:tcPr>
            <w:tcW w:w="568" w:type="dxa"/>
            <w:tcBorders>
              <w:top w:val="nil"/>
              <w:left w:val="nil"/>
              <w:bottom w:val="nil"/>
              <w:right w:val="nil"/>
            </w:tcBorders>
            <w:shd w:val="clear" w:color="auto" w:fill="auto"/>
            <w:hideMark/>
          </w:tcPr>
          <w:p w14:paraId="348E80B2"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nil"/>
              <w:right w:val="nil"/>
            </w:tcBorders>
            <w:shd w:val="clear" w:color="auto" w:fill="auto"/>
            <w:hideMark/>
          </w:tcPr>
          <w:p w14:paraId="59EBFD96" w14:textId="77777777" w:rsidR="005B55F2" w:rsidRPr="008406E5" w:rsidRDefault="005B55F2" w:rsidP="08D4D6A2">
            <w:pPr>
              <w:spacing w:beforeAutospacing="1" w:afterAutospacing="1"/>
              <w:jc w:val="right"/>
              <w:textAlignment w:val="baseline"/>
            </w:pPr>
            <w:r w:rsidRPr="008406E5">
              <w:rPr>
                <w:color w:val="000000"/>
              </w:rPr>
              <w:t>.62</w:t>
            </w:r>
            <w:r w:rsidRPr="008406E5">
              <w:t> </w:t>
            </w:r>
          </w:p>
        </w:tc>
      </w:tr>
      <w:tr w:rsidR="0076683A" w:rsidRPr="008406E5" w14:paraId="1C96A8B1" w14:textId="77777777" w:rsidTr="006C4BE0">
        <w:trPr>
          <w:trHeight w:val="145"/>
        </w:trPr>
        <w:tc>
          <w:tcPr>
            <w:tcW w:w="1684" w:type="dxa"/>
            <w:tcBorders>
              <w:top w:val="nil"/>
              <w:left w:val="nil"/>
              <w:bottom w:val="nil"/>
              <w:right w:val="nil"/>
            </w:tcBorders>
            <w:shd w:val="clear" w:color="auto" w:fill="auto"/>
          </w:tcPr>
          <w:p w14:paraId="431A4B93" w14:textId="77777777" w:rsidR="0076683A" w:rsidRPr="008406E5" w:rsidRDefault="0076683A" w:rsidP="0031117D"/>
        </w:tc>
        <w:tc>
          <w:tcPr>
            <w:tcW w:w="1303" w:type="dxa"/>
            <w:tcBorders>
              <w:top w:val="nil"/>
              <w:left w:val="nil"/>
              <w:bottom w:val="nil"/>
              <w:right w:val="nil"/>
            </w:tcBorders>
            <w:shd w:val="clear" w:color="auto" w:fill="auto"/>
          </w:tcPr>
          <w:p w14:paraId="62D22E07" w14:textId="77777777" w:rsidR="0076683A" w:rsidRPr="008406E5" w:rsidRDefault="0076683A">
            <w:pPr>
              <w:spacing w:beforeAutospacing="1" w:afterAutospacing="1"/>
              <w:textAlignment w:val="baseline"/>
            </w:pPr>
          </w:p>
        </w:tc>
        <w:tc>
          <w:tcPr>
            <w:tcW w:w="1469" w:type="dxa"/>
            <w:tcBorders>
              <w:top w:val="nil"/>
              <w:left w:val="nil"/>
              <w:bottom w:val="nil"/>
              <w:right w:val="nil"/>
            </w:tcBorders>
            <w:shd w:val="clear" w:color="auto" w:fill="auto"/>
          </w:tcPr>
          <w:p w14:paraId="343CA466" w14:textId="77777777" w:rsidR="0076683A" w:rsidRPr="008406E5" w:rsidRDefault="0076683A" w:rsidP="23B9E151">
            <w:pPr>
              <w:spacing w:beforeAutospacing="1" w:afterAutospacing="1"/>
              <w:textAlignment w:val="baseline"/>
              <w:rPr>
                <w:color w:val="000000"/>
              </w:rPr>
            </w:pPr>
          </w:p>
        </w:tc>
        <w:tc>
          <w:tcPr>
            <w:tcW w:w="560" w:type="dxa"/>
            <w:tcBorders>
              <w:top w:val="nil"/>
              <w:left w:val="nil"/>
              <w:bottom w:val="nil"/>
              <w:right w:val="nil"/>
            </w:tcBorders>
            <w:shd w:val="clear" w:color="auto" w:fill="auto"/>
          </w:tcPr>
          <w:p w14:paraId="157BBF70" w14:textId="77777777" w:rsidR="0076683A" w:rsidRPr="008406E5" w:rsidRDefault="0076683A">
            <w:pPr>
              <w:spacing w:beforeAutospacing="1" w:afterAutospacing="1"/>
              <w:jc w:val="right"/>
              <w:textAlignment w:val="baseline"/>
              <w:rPr>
                <w:color w:val="000000"/>
              </w:rPr>
            </w:pPr>
          </w:p>
        </w:tc>
        <w:tc>
          <w:tcPr>
            <w:tcW w:w="560" w:type="dxa"/>
            <w:tcBorders>
              <w:top w:val="nil"/>
              <w:left w:val="nil"/>
              <w:bottom w:val="nil"/>
              <w:right w:val="nil"/>
            </w:tcBorders>
            <w:shd w:val="clear" w:color="auto" w:fill="auto"/>
          </w:tcPr>
          <w:p w14:paraId="476BF21F" w14:textId="77777777" w:rsidR="0076683A" w:rsidRPr="008406E5" w:rsidRDefault="0076683A">
            <w:pPr>
              <w:spacing w:beforeAutospacing="1" w:afterAutospacing="1"/>
              <w:jc w:val="right"/>
              <w:textAlignment w:val="baseline"/>
              <w:rPr>
                <w:color w:val="000000"/>
              </w:rPr>
            </w:pPr>
          </w:p>
        </w:tc>
        <w:tc>
          <w:tcPr>
            <w:tcW w:w="568" w:type="dxa"/>
            <w:tcBorders>
              <w:top w:val="nil"/>
              <w:left w:val="nil"/>
              <w:bottom w:val="nil"/>
              <w:right w:val="nil"/>
            </w:tcBorders>
            <w:shd w:val="clear" w:color="auto" w:fill="auto"/>
          </w:tcPr>
          <w:p w14:paraId="13345F37" w14:textId="77777777" w:rsidR="0076683A" w:rsidRPr="008406E5" w:rsidRDefault="0076683A">
            <w:pPr>
              <w:spacing w:beforeAutospacing="1" w:afterAutospacing="1"/>
              <w:jc w:val="right"/>
              <w:textAlignment w:val="baseline"/>
              <w:rPr>
                <w:color w:val="000000"/>
              </w:rPr>
            </w:pPr>
          </w:p>
        </w:tc>
        <w:tc>
          <w:tcPr>
            <w:tcW w:w="617" w:type="dxa"/>
            <w:tcBorders>
              <w:top w:val="nil"/>
              <w:left w:val="nil"/>
              <w:bottom w:val="nil"/>
              <w:right w:val="nil"/>
            </w:tcBorders>
            <w:shd w:val="clear" w:color="auto" w:fill="auto"/>
          </w:tcPr>
          <w:p w14:paraId="5B356D30" w14:textId="77777777" w:rsidR="0076683A" w:rsidRPr="008406E5" w:rsidRDefault="0076683A">
            <w:pPr>
              <w:spacing w:beforeAutospacing="1" w:afterAutospacing="1"/>
              <w:jc w:val="right"/>
              <w:textAlignment w:val="baseline"/>
              <w:rPr>
                <w:color w:val="000000"/>
              </w:rPr>
            </w:pPr>
          </w:p>
        </w:tc>
        <w:tc>
          <w:tcPr>
            <w:tcW w:w="386" w:type="dxa"/>
            <w:tcBorders>
              <w:top w:val="nil"/>
              <w:left w:val="nil"/>
              <w:bottom w:val="nil"/>
              <w:right w:val="nil"/>
            </w:tcBorders>
            <w:shd w:val="clear" w:color="auto" w:fill="auto"/>
          </w:tcPr>
          <w:p w14:paraId="2BAAAAB9" w14:textId="77777777" w:rsidR="0076683A" w:rsidRPr="008406E5" w:rsidRDefault="0076683A">
            <w:pPr>
              <w:spacing w:beforeAutospacing="1" w:afterAutospacing="1"/>
              <w:jc w:val="right"/>
              <w:textAlignment w:val="baseline"/>
            </w:pPr>
          </w:p>
        </w:tc>
        <w:tc>
          <w:tcPr>
            <w:tcW w:w="560" w:type="dxa"/>
            <w:tcBorders>
              <w:top w:val="nil"/>
              <w:left w:val="nil"/>
              <w:bottom w:val="nil"/>
              <w:right w:val="nil"/>
            </w:tcBorders>
            <w:shd w:val="clear" w:color="auto" w:fill="auto"/>
          </w:tcPr>
          <w:p w14:paraId="4D643E58" w14:textId="77777777" w:rsidR="0076683A" w:rsidRPr="008406E5" w:rsidRDefault="0076683A">
            <w:pPr>
              <w:spacing w:beforeAutospacing="1" w:afterAutospacing="1"/>
              <w:jc w:val="right"/>
              <w:textAlignment w:val="baseline"/>
              <w:rPr>
                <w:color w:val="000000"/>
              </w:rPr>
            </w:pPr>
          </w:p>
        </w:tc>
        <w:tc>
          <w:tcPr>
            <w:tcW w:w="560" w:type="dxa"/>
            <w:tcBorders>
              <w:top w:val="nil"/>
              <w:left w:val="nil"/>
              <w:bottom w:val="nil"/>
              <w:right w:val="nil"/>
            </w:tcBorders>
            <w:shd w:val="clear" w:color="auto" w:fill="auto"/>
          </w:tcPr>
          <w:p w14:paraId="19B88638" w14:textId="77777777" w:rsidR="0076683A" w:rsidRPr="008406E5" w:rsidRDefault="0076683A">
            <w:pPr>
              <w:spacing w:beforeAutospacing="1" w:afterAutospacing="1"/>
              <w:jc w:val="right"/>
              <w:textAlignment w:val="baseline"/>
              <w:rPr>
                <w:color w:val="000000"/>
              </w:rPr>
            </w:pPr>
          </w:p>
        </w:tc>
        <w:tc>
          <w:tcPr>
            <w:tcW w:w="568" w:type="dxa"/>
            <w:tcBorders>
              <w:top w:val="nil"/>
              <w:left w:val="nil"/>
              <w:bottom w:val="nil"/>
              <w:right w:val="nil"/>
            </w:tcBorders>
            <w:shd w:val="clear" w:color="auto" w:fill="auto"/>
          </w:tcPr>
          <w:p w14:paraId="5701DA6C" w14:textId="77777777" w:rsidR="0076683A" w:rsidRPr="008406E5" w:rsidRDefault="0076683A">
            <w:pPr>
              <w:spacing w:beforeAutospacing="1" w:afterAutospacing="1"/>
              <w:jc w:val="right"/>
              <w:textAlignment w:val="baseline"/>
              <w:rPr>
                <w:color w:val="000000"/>
              </w:rPr>
            </w:pPr>
          </w:p>
        </w:tc>
        <w:tc>
          <w:tcPr>
            <w:tcW w:w="617" w:type="dxa"/>
            <w:tcBorders>
              <w:top w:val="nil"/>
              <w:left w:val="nil"/>
              <w:bottom w:val="nil"/>
              <w:right w:val="nil"/>
            </w:tcBorders>
            <w:shd w:val="clear" w:color="auto" w:fill="auto"/>
          </w:tcPr>
          <w:p w14:paraId="7D255765" w14:textId="77777777" w:rsidR="0076683A" w:rsidRPr="008406E5" w:rsidRDefault="0076683A">
            <w:pPr>
              <w:spacing w:beforeAutospacing="1" w:afterAutospacing="1"/>
              <w:jc w:val="right"/>
              <w:textAlignment w:val="baseline"/>
              <w:rPr>
                <w:color w:val="000000"/>
              </w:rPr>
            </w:pPr>
          </w:p>
        </w:tc>
      </w:tr>
      <w:tr w:rsidR="005B55F2" w:rsidRPr="008406E5" w14:paraId="3CB1EC42" w14:textId="77777777" w:rsidTr="006C4BE0">
        <w:trPr>
          <w:trHeight w:val="420"/>
        </w:trPr>
        <w:tc>
          <w:tcPr>
            <w:tcW w:w="1684" w:type="dxa"/>
            <w:vMerge w:val="restart"/>
            <w:tcBorders>
              <w:top w:val="nil"/>
              <w:left w:val="nil"/>
              <w:bottom w:val="nil"/>
              <w:right w:val="nil"/>
            </w:tcBorders>
            <w:shd w:val="clear" w:color="auto" w:fill="auto"/>
            <w:hideMark/>
          </w:tcPr>
          <w:p w14:paraId="4D76AC2B" w14:textId="77777777" w:rsidR="005B55F2" w:rsidRPr="008406E5" w:rsidRDefault="005B55F2" w:rsidP="006C4BE0">
            <w:pPr>
              <w:spacing w:beforeAutospacing="1" w:afterAutospacing="1"/>
              <w:textAlignment w:val="baseline"/>
            </w:pPr>
            <w:r w:rsidRPr="008406E5">
              <w:rPr>
                <w:color w:val="000000"/>
              </w:rPr>
              <w:t>Total</w:t>
            </w:r>
          </w:p>
        </w:tc>
        <w:tc>
          <w:tcPr>
            <w:tcW w:w="1303" w:type="dxa"/>
            <w:tcBorders>
              <w:top w:val="nil"/>
              <w:left w:val="nil"/>
              <w:bottom w:val="nil"/>
              <w:right w:val="nil"/>
            </w:tcBorders>
            <w:shd w:val="clear" w:color="auto" w:fill="auto"/>
            <w:hideMark/>
          </w:tcPr>
          <w:p w14:paraId="5CB7DBFD" w14:textId="77777777" w:rsidR="005B55F2" w:rsidRPr="008406E5" w:rsidRDefault="005B55F2" w:rsidP="006C4BE0">
            <w:pPr>
              <w:spacing w:beforeAutospacing="1" w:afterAutospacing="1"/>
              <w:textAlignment w:val="baseline"/>
            </w:pPr>
            <w:r w:rsidRPr="008406E5">
              <w:rPr>
                <w:color w:val="000000"/>
              </w:rPr>
              <w:t>Prosecutor</w:t>
            </w:r>
            <w:r w:rsidRPr="23B9E151">
              <w:t> </w:t>
            </w:r>
          </w:p>
        </w:tc>
        <w:tc>
          <w:tcPr>
            <w:tcW w:w="1469" w:type="dxa"/>
            <w:tcBorders>
              <w:top w:val="nil"/>
              <w:left w:val="nil"/>
              <w:bottom w:val="nil"/>
              <w:right w:val="nil"/>
            </w:tcBorders>
            <w:shd w:val="clear" w:color="auto" w:fill="auto"/>
            <w:hideMark/>
          </w:tcPr>
          <w:p w14:paraId="147F681B" w14:textId="77777777" w:rsidR="005B55F2" w:rsidRPr="008406E5" w:rsidRDefault="005B55F2" w:rsidP="006C4BE0">
            <w:pPr>
              <w:spacing w:beforeAutospacing="1" w:afterAutospacing="1"/>
              <w:textAlignment w:val="baseline"/>
            </w:pPr>
            <w:r w:rsidRPr="008406E5">
              <w:rPr>
                <w:color w:val="000000"/>
              </w:rPr>
              <w:t>Directive</w:t>
            </w:r>
            <w:r w:rsidRPr="23B9E151">
              <w:t> </w:t>
            </w:r>
          </w:p>
        </w:tc>
        <w:tc>
          <w:tcPr>
            <w:tcW w:w="560" w:type="dxa"/>
            <w:tcBorders>
              <w:top w:val="nil"/>
              <w:left w:val="nil"/>
              <w:bottom w:val="nil"/>
              <w:right w:val="nil"/>
            </w:tcBorders>
            <w:shd w:val="clear" w:color="auto" w:fill="auto"/>
            <w:hideMark/>
          </w:tcPr>
          <w:p w14:paraId="76C99C90" w14:textId="77777777" w:rsidR="005B55F2" w:rsidRPr="008406E5" w:rsidRDefault="005B55F2" w:rsidP="08D4D6A2">
            <w:pPr>
              <w:spacing w:beforeAutospacing="1" w:afterAutospacing="1"/>
              <w:jc w:val="right"/>
              <w:textAlignment w:val="baseline"/>
            </w:pPr>
            <w:r w:rsidRPr="008406E5">
              <w:rPr>
                <w:color w:val="000000"/>
              </w:rPr>
              <w:t>.26</w:t>
            </w:r>
            <w:r w:rsidRPr="008406E5">
              <w:t> </w:t>
            </w:r>
          </w:p>
        </w:tc>
        <w:tc>
          <w:tcPr>
            <w:tcW w:w="560" w:type="dxa"/>
            <w:tcBorders>
              <w:top w:val="nil"/>
              <w:left w:val="nil"/>
              <w:bottom w:val="nil"/>
              <w:right w:val="nil"/>
            </w:tcBorders>
            <w:shd w:val="clear" w:color="auto" w:fill="auto"/>
            <w:hideMark/>
          </w:tcPr>
          <w:p w14:paraId="2F882877" w14:textId="77777777" w:rsidR="005B55F2" w:rsidRPr="008406E5" w:rsidRDefault="005B55F2" w:rsidP="08D4D6A2">
            <w:pPr>
              <w:spacing w:beforeAutospacing="1" w:afterAutospacing="1"/>
              <w:jc w:val="right"/>
              <w:textAlignment w:val="baseline"/>
            </w:pPr>
            <w:r w:rsidRPr="008406E5">
              <w:rPr>
                <w:color w:val="000000"/>
              </w:rPr>
              <w:t>.16</w:t>
            </w:r>
            <w:r w:rsidRPr="008406E5">
              <w:t> </w:t>
            </w:r>
          </w:p>
        </w:tc>
        <w:tc>
          <w:tcPr>
            <w:tcW w:w="568" w:type="dxa"/>
            <w:tcBorders>
              <w:top w:val="nil"/>
              <w:left w:val="nil"/>
              <w:bottom w:val="nil"/>
              <w:right w:val="nil"/>
            </w:tcBorders>
            <w:shd w:val="clear" w:color="auto" w:fill="auto"/>
            <w:hideMark/>
          </w:tcPr>
          <w:p w14:paraId="1585234B"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nil"/>
              <w:right w:val="nil"/>
            </w:tcBorders>
            <w:shd w:val="clear" w:color="auto" w:fill="auto"/>
            <w:hideMark/>
          </w:tcPr>
          <w:p w14:paraId="2FA7A15B" w14:textId="77777777" w:rsidR="005B55F2" w:rsidRPr="008406E5" w:rsidRDefault="005B55F2" w:rsidP="08D4D6A2">
            <w:pPr>
              <w:spacing w:beforeAutospacing="1" w:afterAutospacing="1"/>
              <w:jc w:val="right"/>
              <w:textAlignment w:val="baseline"/>
            </w:pPr>
            <w:r w:rsidRPr="008406E5">
              <w:rPr>
                <w:color w:val="000000"/>
              </w:rPr>
              <w:t>.59</w:t>
            </w:r>
            <w:r w:rsidRPr="008406E5">
              <w:t> </w:t>
            </w:r>
          </w:p>
        </w:tc>
        <w:tc>
          <w:tcPr>
            <w:tcW w:w="386" w:type="dxa"/>
            <w:tcBorders>
              <w:top w:val="nil"/>
              <w:left w:val="nil"/>
              <w:bottom w:val="nil"/>
              <w:right w:val="nil"/>
            </w:tcBorders>
            <w:shd w:val="clear" w:color="auto" w:fill="auto"/>
            <w:hideMark/>
          </w:tcPr>
          <w:p w14:paraId="4CE5E0DF"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29F0A96C" w14:textId="77777777" w:rsidR="005B55F2" w:rsidRPr="008406E5" w:rsidRDefault="005B55F2" w:rsidP="08D4D6A2">
            <w:pPr>
              <w:spacing w:beforeAutospacing="1" w:afterAutospacing="1"/>
              <w:jc w:val="right"/>
              <w:textAlignment w:val="baseline"/>
            </w:pPr>
            <w:r w:rsidRPr="008406E5">
              <w:rPr>
                <w:color w:val="000000"/>
              </w:rPr>
              <w:t>.25</w:t>
            </w:r>
            <w:r w:rsidRPr="008406E5">
              <w:t> </w:t>
            </w:r>
          </w:p>
        </w:tc>
        <w:tc>
          <w:tcPr>
            <w:tcW w:w="560" w:type="dxa"/>
            <w:tcBorders>
              <w:top w:val="nil"/>
              <w:left w:val="nil"/>
              <w:bottom w:val="nil"/>
              <w:right w:val="nil"/>
            </w:tcBorders>
            <w:shd w:val="clear" w:color="auto" w:fill="auto"/>
            <w:hideMark/>
          </w:tcPr>
          <w:p w14:paraId="10A068FB" w14:textId="77777777" w:rsidR="005B55F2" w:rsidRPr="008406E5" w:rsidRDefault="005B55F2" w:rsidP="08D4D6A2">
            <w:pPr>
              <w:spacing w:beforeAutospacing="1" w:afterAutospacing="1"/>
              <w:jc w:val="right"/>
              <w:textAlignment w:val="baseline"/>
            </w:pPr>
            <w:r w:rsidRPr="008406E5">
              <w:rPr>
                <w:color w:val="000000"/>
              </w:rPr>
              <w:t>.24</w:t>
            </w:r>
            <w:r w:rsidRPr="008406E5">
              <w:t> </w:t>
            </w:r>
          </w:p>
        </w:tc>
        <w:tc>
          <w:tcPr>
            <w:tcW w:w="568" w:type="dxa"/>
            <w:tcBorders>
              <w:top w:val="nil"/>
              <w:left w:val="nil"/>
              <w:bottom w:val="nil"/>
              <w:right w:val="nil"/>
            </w:tcBorders>
            <w:shd w:val="clear" w:color="auto" w:fill="auto"/>
            <w:hideMark/>
          </w:tcPr>
          <w:p w14:paraId="74E8295E"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nil"/>
              <w:right w:val="nil"/>
            </w:tcBorders>
            <w:shd w:val="clear" w:color="auto" w:fill="auto"/>
            <w:hideMark/>
          </w:tcPr>
          <w:p w14:paraId="0987E03B" w14:textId="77777777" w:rsidR="005B55F2" w:rsidRPr="008406E5" w:rsidRDefault="005B55F2" w:rsidP="08D4D6A2">
            <w:pPr>
              <w:spacing w:beforeAutospacing="1" w:afterAutospacing="1"/>
              <w:jc w:val="right"/>
              <w:textAlignment w:val="baseline"/>
            </w:pPr>
            <w:r w:rsidRPr="008406E5">
              <w:rPr>
                <w:color w:val="000000"/>
              </w:rPr>
              <w:t>.75</w:t>
            </w:r>
            <w:r w:rsidRPr="008406E5">
              <w:t> </w:t>
            </w:r>
          </w:p>
        </w:tc>
      </w:tr>
      <w:tr w:rsidR="005B55F2" w:rsidRPr="008406E5" w14:paraId="751B4DB9" w14:textId="77777777" w:rsidTr="006C4BE0">
        <w:trPr>
          <w:trHeight w:val="420"/>
        </w:trPr>
        <w:tc>
          <w:tcPr>
            <w:tcW w:w="1684" w:type="dxa"/>
            <w:vMerge/>
            <w:tcBorders>
              <w:top w:val="nil"/>
              <w:left w:val="nil"/>
              <w:bottom w:val="nil"/>
              <w:right w:val="nil"/>
            </w:tcBorders>
            <w:shd w:val="clear" w:color="auto" w:fill="auto"/>
            <w:hideMark/>
          </w:tcPr>
          <w:p w14:paraId="10C17BFE" w14:textId="77777777" w:rsidR="005B55F2" w:rsidRPr="008406E5" w:rsidRDefault="005B55F2" w:rsidP="0031117D"/>
        </w:tc>
        <w:tc>
          <w:tcPr>
            <w:tcW w:w="1303" w:type="dxa"/>
            <w:tcBorders>
              <w:top w:val="nil"/>
              <w:left w:val="nil"/>
              <w:bottom w:val="nil"/>
              <w:right w:val="nil"/>
            </w:tcBorders>
            <w:shd w:val="clear" w:color="auto" w:fill="auto"/>
            <w:hideMark/>
          </w:tcPr>
          <w:p w14:paraId="69BE74D8"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4A957DCD" w14:textId="77777777" w:rsidR="005B55F2" w:rsidRPr="008406E5" w:rsidRDefault="005B55F2" w:rsidP="006C4BE0">
            <w:pPr>
              <w:spacing w:beforeAutospacing="1" w:afterAutospacing="1"/>
              <w:textAlignment w:val="baseline"/>
            </w:pPr>
            <w:r w:rsidRPr="008406E5">
              <w:rPr>
                <w:color w:val="000000"/>
              </w:rPr>
              <w:t>Option-Posing</w:t>
            </w:r>
            <w:r w:rsidRPr="23B9E151">
              <w:t> </w:t>
            </w:r>
          </w:p>
        </w:tc>
        <w:tc>
          <w:tcPr>
            <w:tcW w:w="560" w:type="dxa"/>
            <w:tcBorders>
              <w:top w:val="nil"/>
              <w:left w:val="nil"/>
              <w:bottom w:val="nil"/>
              <w:right w:val="nil"/>
            </w:tcBorders>
            <w:shd w:val="clear" w:color="auto" w:fill="auto"/>
            <w:hideMark/>
          </w:tcPr>
          <w:p w14:paraId="6407FA8F" w14:textId="77777777" w:rsidR="005B55F2" w:rsidRPr="008406E5" w:rsidRDefault="005B55F2" w:rsidP="08D4D6A2">
            <w:pPr>
              <w:spacing w:beforeAutospacing="1" w:afterAutospacing="1"/>
              <w:jc w:val="right"/>
              <w:textAlignment w:val="baseline"/>
            </w:pPr>
            <w:r w:rsidRPr="008406E5">
              <w:rPr>
                <w:color w:val="000000"/>
              </w:rPr>
              <w:t>.72</w:t>
            </w:r>
            <w:r w:rsidRPr="008406E5">
              <w:t> </w:t>
            </w:r>
          </w:p>
        </w:tc>
        <w:tc>
          <w:tcPr>
            <w:tcW w:w="560" w:type="dxa"/>
            <w:tcBorders>
              <w:top w:val="nil"/>
              <w:left w:val="nil"/>
              <w:bottom w:val="nil"/>
              <w:right w:val="nil"/>
            </w:tcBorders>
            <w:shd w:val="clear" w:color="auto" w:fill="auto"/>
            <w:hideMark/>
          </w:tcPr>
          <w:p w14:paraId="21243F08" w14:textId="77777777" w:rsidR="005B55F2" w:rsidRPr="008406E5" w:rsidRDefault="005B55F2" w:rsidP="08D4D6A2">
            <w:pPr>
              <w:spacing w:beforeAutospacing="1" w:afterAutospacing="1"/>
              <w:jc w:val="right"/>
              <w:textAlignment w:val="baseline"/>
            </w:pPr>
            <w:r w:rsidRPr="008406E5">
              <w:rPr>
                <w:color w:val="000000"/>
              </w:rPr>
              <w:t>.17</w:t>
            </w:r>
            <w:r w:rsidRPr="008406E5">
              <w:t> </w:t>
            </w:r>
          </w:p>
        </w:tc>
        <w:tc>
          <w:tcPr>
            <w:tcW w:w="568" w:type="dxa"/>
            <w:tcBorders>
              <w:top w:val="nil"/>
              <w:left w:val="nil"/>
              <w:bottom w:val="nil"/>
              <w:right w:val="nil"/>
            </w:tcBorders>
            <w:shd w:val="clear" w:color="auto" w:fill="auto"/>
            <w:hideMark/>
          </w:tcPr>
          <w:p w14:paraId="0692CBC9" w14:textId="77777777" w:rsidR="005B55F2" w:rsidRPr="008406E5" w:rsidRDefault="005B55F2" w:rsidP="08D4D6A2">
            <w:pPr>
              <w:spacing w:beforeAutospacing="1" w:afterAutospacing="1"/>
              <w:jc w:val="right"/>
              <w:textAlignment w:val="baseline"/>
            </w:pPr>
            <w:r w:rsidRPr="008406E5">
              <w:rPr>
                <w:color w:val="000000"/>
              </w:rPr>
              <w:t>.41</w:t>
            </w:r>
            <w:r w:rsidRPr="008406E5">
              <w:t> </w:t>
            </w:r>
          </w:p>
        </w:tc>
        <w:tc>
          <w:tcPr>
            <w:tcW w:w="617" w:type="dxa"/>
            <w:tcBorders>
              <w:top w:val="nil"/>
              <w:left w:val="nil"/>
              <w:bottom w:val="nil"/>
              <w:right w:val="nil"/>
            </w:tcBorders>
            <w:shd w:val="clear" w:color="auto" w:fill="auto"/>
            <w:hideMark/>
          </w:tcPr>
          <w:p w14:paraId="48A08223" w14:textId="77777777" w:rsidR="005B55F2" w:rsidRPr="008406E5" w:rsidRDefault="005B55F2" w:rsidP="08D4D6A2">
            <w:pPr>
              <w:spacing w:beforeAutospacing="1" w:afterAutospacing="1"/>
              <w:jc w:val="right"/>
              <w:textAlignment w:val="baseline"/>
            </w:pPr>
            <w:r w:rsidRPr="008406E5">
              <w:rPr>
                <w:color w:val="000000"/>
              </w:rPr>
              <w:t>1.00</w:t>
            </w:r>
            <w:r w:rsidRPr="008406E5">
              <w:t> </w:t>
            </w:r>
          </w:p>
        </w:tc>
        <w:tc>
          <w:tcPr>
            <w:tcW w:w="386" w:type="dxa"/>
            <w:tcBorders>
              <w:top w:val="nil"/>
              <w:left w:val="nil"/>
              <w:bottom w:val="nil"/>
              <w:right w:val="nil"/>
            </w:tcBorders>
            <w:shd w:val="clear" w:color="auto" w:fill="auto"/>
            <w:hideMark/>
          </w:tcPr>
          <w:p w14:paraId="50AD4152"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21AFC101" w14:textId="77777777" w:rsidR="005B55F2" w:rsidRPr="008406E5" w:rsidRDefault="005B55F2" w:rsidP="08D4D6A2">
            <w:pPr>
              <w:spacing w:beforeAutospacing="1" w:afterAutospacing="1"/>
              <w:jc w:val="right"/>
              <w:textAlignment w:val="baseline"/>
            </w:pPr>
            <w:r w:rsidRPr="008406E5">
              <w:rPr>
                <w:color w:val="000000"/>
              </w:rPr>
              <w:t>.74</w:t>
            </w:r>
            <w:r w:rsidRPr="008406E5">
              <w:t> </w:t>
            </w:r>
          </w:p>
        </w:tc>
        <w:tc>
          <w:tcPr>
            <w:tcW w:w="560" w:type="dxa"/>
            <w:tcBorders>
              <w:top w:val="nil"/>
              <w:left w:val="nil"/>
              <w:bottom w:val="nil"/>
              <w:right w:val="nil"/>
            </w:tcBorders>
            <w:shd w:val="clear" w:color="auto" w:fill="auto"/>
            <w:hideMark/>
          </w:tcPr>
          <w:p w14:paraId="6E8C1183" w14:textId="77777777" w:rsidR="005B55F2" w:rsidRPr="008406E5" w:rsidRDefault="005B55F2" w:rsidP="08D4D6A2">
            <w:pPr>
              <w:spacing w:beforeAutospacing="1" w:afterAutospacing="1"/>
              <w:jc w:val="right"/>
              <w:textAlignment w:val="baseline"/>
            </w:pPr>
            <w:r w:rsidRPr="008406E5">
              <w:rPr>
                <w:color w:val="000000"/>
              </w:rPr>
              <w:t>.26</w:t>
            </w:r>
            <w:r w:rsidRPr="008406E5">
              <w:t> </w:t>
            </w:r>
          </w:p>
        </w:tc>
        <w:tc>
          <w:tcPr>
            <w:tcW w:w="568" w:type="dxa"/>
            <w:tcBorders>
              <w:top w:val="nil"/>
              <w:left w:val="nil"/>
              <w:bottom w:val="nil"/>
              <w:right w:val="nil"/>
            </w:tcBorders>
            <w:shd w:val="clear" w:color="auto" w:fill="auto"/>
            <w:hideMark/>
          </w:tcPr>
          <w:p w14:paraId="0E88B9BE" w14:textId="77777777" w:rsidR="005B55F2" w:rsidRPr="008406E5" w:rsidRDefault="005B55F2" w:rsidP="08D4D6A2">
            <w:pPr>
              <w:spacing w:beforeAutospacing="1" w:afterAutospacing="1"/>
              <w:jc w:val="right"/>
              <w:textAlignment w:val="baseline"/>
            </w:pPr>
            <w:r w:rsidRPr="008406E5">
              <w:rPr>
                <w:color w:val="000000"/>
              </w:rPr>
              <w:t>.25</w:t>
            </w:r>
            <w:r w:rsidRPr="008406E5">
              <w:t> </w:t>
            </w:r>
          </w:p>
        </w:tc>
        <w:tc>
          <w:tcPr>
            <w:tcW w:w="617" w:type="dxa"/>
            <w:tcBorders>
              <w:top w:val="nil"/>
              <w:left w:val="nil"/>
              <w:bottom w:val="nil"/>
              <w:right w:val="nil"/>
            </w:tcBorders>
            <w:shd w:val="clear" w:color="auto" w:fill="auto"/>
            <w:hideMark/>
          </w:tcPr>
          <w:p w14:paraId="2E4A57E9" w14:textId="77777777" w:rsidR="005B55F2" w:rsidRPr="008406E5" w:rsidRDefault="005B55F2" w:rsidP="08D4D6A2">
            <w:pPr>
              <w:spacing w:beforeAutospacing="1" w:afterAutospacing="1"/>
              <w:jc w:val="right"/>
              <w:textAlignment w:val="baseline"/>
            </w:pPr>
            <w:r w:rsidRPr="008406E5">
              <w:rPr>
                <w:color w:val="000000"/>
              </w:rPr>
              <w:t>1.00</w:t>
            </w:r>
            <w:r w:rsidRPr="008406E5">
              <w:t> </w:t>
            </w:r>
          </w:p>
        </w:tc>
      </w:tr>
      <w:tr w:rsidR="005B55F2" w:rsidRPr="008406E5" w14:paraId="071216B1" w14:textId="77777777" w:rsidTr="006C4BE0">
        <w:trPr>
          <w:trHeight w:val="420"/>
        </w:trPr>
        <w:tc>
          <w:tcPr>
            <w:tcW w:w="1684" w:type="dxa"/>
            <w:vMerge/>
            <w:tcBorders>
              <w:top w:val="nil"/>
              <w:left w:val="nil"/>
              <w:bottom w:val="nil"/>
              <w:right w:val="nil"/>
            </w:tcBorders>
            <w:shd w:val="clear" w:color="auto" w:fill="auto"/>
            <w:hideMark/>
          </w:tcPr>
          <w:p w14:paraId="3381A85F" w14:textId="77777777" w:rsidR="005B55F2" w:rsidRPr="008406E5" w:rsidRDefault="005B55F2" w:rsidP="0031117D"/>
        </w:tc>
        <w:tc>
          <w:tcPr>
            <w:tcW w:w="1303" w:type="dxa"/>
            <w:tcBorders>
              <w:top w:val="nil"/>
              <w:left w:val="nil"/>
              <w:bottom w:val="nil"/>
              <w:right w:val="nil"/>
            </w:tcBorders>
            <w:shd w:val="clear" w:color="auto" w:fill="auto"/>
            <w:hideMark/>
          </w:tcPr>
          <w:p w14:paraId="10250939"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77DF98D5" w14:textId="77777777" w:rsidR="005B55F2" w:rsidRPr="008406E5" w:rsidRDefault="005B55F2" w:rsidP="006C4BE0">
            <w:pPr>
              <w:spacing w:beforeAutospacing="1" w:afterAutospacing="1"/>
              <w:textAlignment w:val="baseline"/>
            </w:pPr>
            <w:r w:rsidRPr="008406E5">
              <w:rPr>
                <w:color w:val="000000"/>
              </w:rPr>
              <w:t>Suggestive</w:t>
            </w:r>
            <w:r w:rsidRPr="23B9E151">
              <w:t> </w:t>
            </w:r>
          </w:p>
        </w:tc>
        <w:tc>
          <w:tcPr>
            <w:tcW w:w="560" w:type="dxa"/>
            <w:tcBorders>
              <w:top w:val="nil"/>
              <w:left w:val="nil"/>
              <w:bottom w:val="nil"/>
              <w:right w:val="nil"/>
            </w:tcBorders>
            <w:shd w:val="clear" w:color="auto" w:fill="auto"/>
            <w:hideMark/>
          </w:tcPr>
          <w:p w14:paraId="57F72E5F" w14:textId="77777777" w:rsidR="005B55F2" w:rsidRPr="008406E5" w:rsidRDefault="005B55F2" w:rsidP="08D4D6A2">
            <w:pPr>
              <w:spacing w:beforeAutospacing="1" w:afterAutospacing="1"/>
              <w:jc w:val="right"/>
              <w:textAlignment w:val="baseline"/>
            </w:pPr>
            <w:r w:rsidRPr="008406E5">
              <w:rPr>
                <w:color w:val="000000"/>
              </w:rPr>
              <w:t>.02</w:t>
            </w:r>
            <w:r w:rsidRPr="008406E5">
              <w:t> </w:t>
            </w:r>
          </w:p>
        </w:tc>
        <w:tc>
          <w:tcPr>
            <w:tcW w:w="560" w:type="dxa"/>
            <w:tcBorders>
              <w:top w:val="nil"/>
              <w:left w:val="nil"/>
              <w:bottom w:val="nil"/>
              <w:right w:val="nil"/>
            </w:tcBorders>
            <w:shd w:val="clear" w:color="auto" w:fill="auto"/>
            <w:hideMark/>
          </w:tcPr>
          <w:p w14:paraId="40BACA41" w14:textId="77777777" w:rsidR="005B55F2" w:rsidRPr="008406E5" w:rsidRDefault="005B55F2" w:rsidP="08D4D6A2">
            <w:pPr>
              <w:spacing w:beforeAutospacing="1" w:afterAutospacing="1"/>
              <w:jc w:val="right"/>
              <w:textAlignment w:val="baseline"/>
            </w:pPr>
            <w:r w:rsidRPr="008406E5">
              <w:rPr>
                <w:color w:val="000000"/>
              </w:rPr>
              <w:t>.03</w:t>
            </w:r>
            <w:r w:rsidRPr="008406E5">
              <w:t> </w:t>
            </w:r>
          </w:p>
        </w:tc>
        <w:tc>
          <w:tcPr>
            <w:tcW w:w="568" w:type="dxa"/>
            <w:tcBorders>
              <w:top w:val="nil"/>
              <w:left w:val="nil"/>
              <w:bottom w:val="nil"/>
              <w:right w:val="nil"/>
            </w:tcBorders>
            <w:shd w:val="clear" w:color="auto" w:fill="auto"/>
            <w:hideMark/>
          </w:tcPr>
          <w:p w14:paraId="58EDEDFD"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nil"/>
              <w:right w:val="nil"/>
            </w:tcBorders>
            <w:shd w:val="clear" w:color="auto" w:fill="auto"/>
            <w:hideMark/>
          </w:tcPr>
          <w:p w14:paraId="3ACFDC9A" w14:textId="77777777" w:rsidR="005B55F2" w:rsidRPr="008406E5" w:rsidRDefault="005B55F2" w:rsidP="08D4D6A2">
            <w:pPr>
              <w:spacing w:beforeAutospacing="1" w:afterAutospacing="1"/>
              <w:jc w:val="right"/>
              <w:textAlignment w:val="baseline"/>
            </w:pPr>
            <w:r w:rsidRPr="008406E5">
              <w:rPr>
                <w:color w:val="000000"/>
              </w:rPr>
              <w:t>.08</w:t>
            </w:r>
            <w:r w:rsidRPr="008406E5">
              <w:t> </w:t>
            </w:r>
          </w:p>
        </w:tc>
        <w:tc>
          <w:tcPr>
            <w:tcW w:w="386" w:type="dxa"/>
            <w:tcBorders>
              <w:top w:val="nil"/>
              <w:left w:val="nil"/>
              <w:bottom w:val="nil"/>
              <w:right w:val="nil"/>
            </w:tcBorders>
            <w:shd w:val="clear" w:color="auto" w:fill="auto"/>
            <w:hideMark/>
          </w:tcPr>
          <w:p w14:paraId="534EC3AE"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0FB5CBD9" w14:textId="77777777" w:rsidR="005B55F2" w:rsidRPr="008406E5" w:rsidRDefault="005B55F2" w:rsidP="08D4D6A2">
            <w:pPr>
              <w:spacing w:beforeAutospacing="1" w:afterAutospacing="1"/>
              <w:jc w:val="right"/>
              <w:textAlignment w:val="baseline"/>
            </w:pPr>
            <w:r w:rsidRPr="008406E5">
              <w:rPr>
                <w:color w:val="000000"/>
              </w:rPr>
              <w:t>.01</w:t>
            </w:r>
            <w:r w:rsidRPr="008406E5">
              <w:t> </w:t>
            </w:r>
          </w:p>
        </w:tc>
        <w:tc>
          <w:tcPr>
            <w:tcW w:w="560" w:type="dxa"/>
            <w:tcBorders>
              <w:top w:val="nil"/>
              <w:left w:val="nil"/>
              <w:bottom w:val="nil"/>
              <w:right w:val="nil"/>
            </w:tcBorders>
            <w:shd w:val="clear" w:color="auto" w:fill="auto"/>
            <w:hideMark/>
          </w:tcPr>
          <w:p w14:paraId="4C59EAF2" w14:textId="77777777" w:rsidR="005B55F2" w:rsidRPr="008406E5" w:rsidRDefault="005B55F2" w:rsidP="08D4D6A2">
            <w:pPr>
              <w:spacing w:beforeAutospacing="1" w:afterAutospacing="1"/>
              <w:jc w:val="right"/>
              <w:textAlignment w:val="baseline"/>
            </w:pPr>
            <w:r w:rsidRPr="008406E5">
              <w:rPr>
                <w:color w:val="000000"/>
              </w:rPr>
              <w:t>.04</w:t>
            </w:r>
            <w:r w:rsidRPr="008406E5">
              <w:t> </w:t>
            </w:r>
          </w:p>
        </w:tc>
        <w:tc>
          <w:tcPr>
            <w:tcW w:w="568" w:type="dxa"/>
            <w:tcBorders>
              <w:top w:val="nil"/>
              <w:left w:val="nil"/>
              <w:bottom w:val="nil"/>
              <w:right w:val="nil"/>
            </w:tcBorders>
            <w:shd w:val="clear" w:color="auto" w:fill="auto"/>
            <w:hideMark/>
          </w:tcPr>
          <w:p w14:paraId="309718B6"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nil"/>
              <w:right w:val="nil"/>
            </w:tcBorders>
            <w:shd w:val="clear" w:color="auto" w:fill="auto"/>
            <w:hideMark/>
          </w:tcPr>
          <w:p w14:paraId="2F9BCCF1" w14:textId="77777777" w:rsidR="005B55F2" w:rsidRPr="008406E5" w:rsidRDefault="005B55F2" w:rsidP="08D4D6A2">
            <w:pPr>
              <w:spacing w:beforeAutospacing="1" w:afterAutospacing="1"/>
              <w:jc w:val="right"/>
              <w:textAlignment w:val="baseline"/>
            </w:pPr>
            <w:r w:rsidRPr="008406E5">
              <w:rPr>
                <w:color w:val="000000"/>
              </w:rPr>
              <w:t>.14</w:t>
            </w:r>
            <w:r w:rsidRPr="008406E5">
              <w:t> </w:t>
            </w:r>
          </w:p>
        </w:tc>
      </w:tr>
      <w:tr w:rsidR="005B55F2" w:rsidRPr="008406E5" w14:paraId="1C8BC4D0" w14:textId="77777777" w:rsidTr="006C4BE0">
        <w:trPr>
          <w:trHeight w:val="420"/>
        </w:trPr>
        <w:tc>
          <w:tcPr>
            <w:tcW w:w="1684" w:type="dxa"/>
            <w:vMerge/>
            <w:tcBorders>
              <w:top w:val="nil"/>
              <w:left w:val="nil"/>
              <w:bottom w:val="nil"/>
              <w:right w:val="nil"/>
            </w:tcBorders>
            <w:shd w:val="clear" w:color="auto" w:fill="auto"/>
            <w:hideMark/>
          </w:tcPr>
          <w:p w14:paraId="5BFD2F4F" w14:textId="77777777" w:rsidR="005B55F2" w:rsidRPr="008406E5" w:rsidRDefault="005B55F2" w:rsidP="0031117D"/>
        </w:tc>
        <w:tc>
          <w:tcPr>
            <w:tcW w:w="1303" w:type="dxa"/>
            <w:tcBorders>
              <w:top w:val="nil"/>
              <w:left w:val="nil"/>
              <w:bottom w:val="nil"/>
              <w:right w:val="nil"/>
            </w:tcBorders>
            <w:shd w:val="clear" w:color="auto" w:fill="auto"/>
            <w:hideMark/>
          </w:tcPr>
          <w:p w14:paraId="1B0CCD95" w14:textId="5119C614" w:rsidR="005B55F2" w:rsidRPr="008406E5" w:rsidRDefault="005B55F2" w:rsidP="006C4BE0">
            <w:pPr>
              <w:spacing w:beforeAutospacing="1" w:afterAutospacing="1"/>
              <w:textAlignment w:val="baseline"/>
            </w:pPr>
            <w:r w:rsidRPr="008406E5">
              <w:rPr>
                <w:color w:val="000000"/>
              </w:rPr>
              <w:t>Defence</w:t>
            </w:r>
            <w:r w:rsidRPr="23B9E151">
              <w:t> </w:t>
            </w:r>
          </w:p>
        </w:tc>
        <w:tc>
          <w:tcPr>
            <w:tcW w:w="1469" w:type="dxa"/>
            <w:tcBorders>
              <w:top w:val="nil"/>
              <w:left w:val="nil"/>
              <w:bottom w:val="nil"/>
              <w:right w:val="nil"/>
            </w:tcBorders>
            <w:shd w:val="clear" w:color="auto" w:fill="auto"/>
            <w:hideMark/>
          </w:tcPr>
          <w:p w14:paraId="55378579" w14:textId="77777777" w:rsidR="005B55F2" w:rsidRPr="008406E5" w:rsidRDefault="005B55F2" w:rsidP="006C4BE0">
            <w:pPr>
              <w:spacing w:beforeAutospacing="1" w:afterAutospacing="1"/>
              <w:textAlignment w:val="baseline"/>
            </w:pPr>
            <w:r w:rsidRPr="008406E5">
              <w:rPr>
                <w:color w:val="000000"/>
              </w:rPr>
              <w:t>Directive</w:t>
            </w:r>
            <w:r w:rsidRPr="23B9E151">
              <w:t> </w:t>
            </w:r>
          </w:p>
        </w:tc>
        <w:tc>
          <w:tcPr>
            <w:tcW w:w="560" w:type="dxa"/>
            <w:tcBorders>
              <w:top w:val="nil"/>
              <w:left w:val="nil"/>
              <w:bottom w:val="nil"/>
              <w:right w:val="nil"/>
            </w:tcBorders>
            <w:shd w:val="clear" w:color="auto" w:fill="auto"/>
            <w:hideMark/>
          </w:tcPr>
          <w:p w14:paraId="4E086393" w14:textId="77777777" w:rsidR="005B55F2" w:rsidRPr="008406E5" w:rsidRDefault="005B55F2" w:rsidP="08D4D6A2">
            <w:pPr>
              <w:spacing w:beforeAutospacing="1" w:afterAutospacing="1"/>
              <w:jc w:val="right"/>
              <w:textAlignment w:val="baseline"/>
            </w:pPr>
            <w:r w:rsidRPr="008406E5">
              <w:rPr>
                <w:color w:val="000000"/>
              </w:rPr>
              <w:t>.13</w:t>
            </w:r>
            <w:r w:rsidRPr="008406E5">
              <w:t> </w:t>
            </w:r>
          </w:p>
        </w:tc>
        <w:tc>
          <w:tcPr>
            <w:tcW w:w="560" w:type="dxa"/>
            <w:tcBorders>
              <w:top w:val="nil"/>
              <w:left w:val="nil"/>
              <w:bottom w:val="nil"/>
              <w:right w:val="nil"/>
            </w:tcBorders>
            <w:shd w:val="clear" w:color="auto" w:fill="auto"/>
            <w:hideMark/>
          </w:tcPr>
          <w:p w14:paraId="32E0D878" w14:textId="77777777" w:rsidR="005B55F2" w:rsidRPr="008406E5" w:rsidRDefault="005B55F2" w:rsidP="08D4D6A2">
            <w:pPr>
              <w:spacing w:beforeAutospacing="1" w:afterAutospacing="1"/>
              <w:jc w:val="right"/>
              <w:textAlignment w:val="baseline"/>
            </w:pPr>
            <w:r w:rsidRPr="008406E5">
              <w:rPr>
                <w:color w:val="000000"/>
              </w:rPr>
              <w:t>.11</w:t>
            </w:r>
            <w:r w:rsidRPr="008406E5">
              <w:t> </w:t>
            </w:r>
          </w:p>
        </w:tc>
        <w:tc>
          <w:tcPr>
            <w:tcW w:w="568" w:type="dxa"/>
            <w:tcBorders>
              <w:top w:val="nil"/>
              <w:left w:val="nil"/>
              <w:bottom w:val="nil"/>
              <w:right w:val="nil"/>
            </w:tcBorders>
            <w:shd w:val="clear" w:color="auto" w:fill="auto"/>
            <w:hideMark/>
          </w:tcPr>
          <w:p w14:paraId="76DD33CE"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nil"/>
              <w:right w:val="nil"/>
            </w:tcBorders>
            <w:shd w:val="clear" w:color="auto" w:fill="auto"/>
            <w:hideMark/>
          </w:tcPr>
          <w:p w14:paraId="1F19593A" w14:textId="77777777" w:rsidR="005B55F2" w:rsidRPr="008406E5" w:rsidRDefault="005B55F2" w:rsidP="08D4D6A2">
            <w:pPr>
              <w:spacing w:beforeAutospacing="1" w:afterAutospacing="1"/>
              <w:jc w:val="right"/>
              <w:textAlignment w:val="baseline"/>
            </w:pPr>
            <w:r w:rsidRPr="008406E5">
              <w:rPr>
                <w:color w:val="000000"/>
              </w:rPr>
              <w:t>.53</w:t>
            </w:r>
            <w:r w:rsidRPr="008406E5">
              <w:t> </w:t>
            </w:r>
          </w:p>
        </w:tc>
        <w:tc>
          <w:tcPr>
            <w:tcW w:w="386" w:type="dxa"/>
            <w:tcBorders>
              <w:top w:val="nil"/>
              <w:left w:val="nil"/>
              <w:bottom w:val="nil"/>
              <w:right w:val="nil"/>
            </w:tcBorders>
            <w:shd w:val="clear" w:color="auto" w:fill="auto"/>
            <w:hideMark/>
          </w:tcPr>
          <w:p w14:paraId="2A80D56C"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2B88516C" w14:textId="77777777" w:rsidR="005B55F2" w:rsidRPr="008406E5" w:rsidRDefault="005B55F2" w:rsidP="08D4D6A2">
            <w:pPr>
              <w:spacing w:beforeAutospacing="1" w:afterAutospacing="1"/>
              <w:jc w:val="right"/>
              <w:textAlignment w:val="baseline"/>
            </w:pPr>
            <w:r w:rsidRPr="008406E5">
              <w:rPr>
                <w:color w:val="000000"/>
              </w:rPr>
              <w:t>.18</w:t>
            </w:r>
            <w:r w:rsidRPr="008406E5">
              <w:t> </w:t>
            </w:r>
          </w:p>
        </w:tc>
        <w:tc>
          <w:tcPr>
            <w:tcW w:w="560" w:type="dxa"/>
            <w:tcBorders>
              <w:top w:val="nil"/>
              <w:left w:val="nil"/>
              <w:bottom w:val="nil"/>
              <w:right w:val="nil"/>
            </w:tcBorders>
            <w:shd w:val="clear" w:color="auto" w:fill="auto"/>
            <w:hideMark/>
          </w:tcPr>
          <w:p w14:paraId="27A87720" w14:textId="77777777" w:rsidR="005B55F2" w:rsidRPr="008406E5" w:rsidRDefault="005B55F2" w:rsidP="08D4D6A2">
            <w:pPr>
              <w:spacing w:beforeAutospacing="1" w:afterAutospacing="1"/>
              <w:jc w:val="right"/>
              <w:textAlignment w:val="baseline"/>
            </w:pPr>
            <w:r w:rsidRPr="008406E5">
              <w:rPr>
                <w:color w:val="000000"/>
              </w:rPr>
              <w:t>.10</w:t>
            </w:r>
            <w:r w:rsidRPr="008406E5">
              <w:t> </w:t>
            </w:r>
          </w:p>
        </w:tc>
        <w:tc>
          <w:tcPr>
            <w:tcW w:w="568" w:type="dxa"/>
            <w:tcBorders>
              <w:top w:val="nil"/>
              <w:left w:val="nil"/>
              <w:bottom w:val="nil"/>
              <w:right w:val="nil"/>
            </w:tcBorders>
            <w:shd w:val="clear" w:color="auto" w:fill="auto"/>
            <w:hideMark/>
          </w:tcPr>
          <w:p w14:paraId="04EEC6C4"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nil"/>
              <w:right w:val="nil"/>
            </w:tcBorders>
            <w:shd w:val="clear" w:color="auto" w:fill="auto"/>
            <w:hideMark/>
          </w:tcPr>
          <w:p w14:paraId="574C1343" w14:textId="77777777" w:rsidR="005B55F2" w:rsidRPr="008406E5" w:rsidRDefault="005B55F2" w:rsidP="08D4D6A2">
            <w:pPr>
              <w:spacing w:beforeAutospacing="1" w:afterAutospacing="1"/>
              <w:jc w:val="right"/>
              <w:textAlignment w:val="baseline"/>
            </w:pPr>
            <w:r w:rsidRPr="008406E5">
              <w:rPr>
                <w:color w:val="000000"/>
              </w:rPr>
              <w:t>.39</w:t>
            </w:r>
            <w:r w:rsidRPr="008406E5">
              <w:t> </w:t>
            </w:r>
          </w:p>
        </w:tc>
      </w:tr>
      <w:tr w:rsidR="005B55F2" w:rsidRPr="008406E5" w14:paraId="572ECF5B" w14:textId="77777777" w:rsidTr="006C4BE0">
        <w:trPr>
          <w:trHeight w:val="420"/>
        </w:trPr>
        <w:tc>
          <w:tcPr>
            <w:tcW w:w="1684" w:type="dxa"/>
            <w:vMerge/>
            <w:tcBorders>
              <w:top w:val="nil"/>
              <w:left w:val="nil"/>
              <w:bottom w:val="nil"/>
              <w:right w:val="nil"/>
            </w:tcBorders>
            <w:shd w:val="clear" w:color="auto" w:fill="auto"/>
            <w:hideMark/>
          </w:tcPr>
          <w:p w14:paraId="390A2060" w14:textId="77777777" w:rsidR="005B55F2" w:rsidRPr="008406E5" w:rsidRDefault="005B55F2" w:rsidP="0031117D"/>
        </w:tc>
        <w:tc>
          <w:tcPr>
            <w:tcW w:w="1303" w:type="dxa"/>
            <w:tcBorders>
              <w:top w:val="nil"/>
              <w:left w:val="nil"/>
              <w:bottom w:val="nil"/>
              <w:right w:val="nil"/>
            </w:tcBorders>
            <w:shd w:val="clear" w:color="auto" w:fill="auto"/>
            <w:hideMark/>
          </w:tcPr>
          <w:p w14:paraId="5488E149"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22378244" w14:textId="77777777" w:rsidR="005B55F2" w:rsidRPr="008406E5" w:rsidRDefault="005B55F2" w:rsidP="006C4BE0">
            <w:pPr>
              <w:spacing w:beforeAutospacing="1" w:afterAutospacing="1"/>
              <w:textAlignment w:val="baseline"/>
            </w:pPr>
            <w:r w:rsidRPr="008406E5">
              <w:rPr>
                <w:color w:val="000000"/>
              </w:rPr>
              <w:t>Option-Posing</w:t>
            </w:r>
            <w:r w:rsidRPr="23B9E151">
              <w:t> </w:t>
            </w:r>
          </w:p>
        </w:tc>
        <w:tc>
          <w:tcPr>
            <w:tcW w:w="560" w:type="dxa"/>
            <w:tcBorders>
              <w:top w:val="nil"/>
              <w:left w:val="nil"/>
              <w:bottom w:val="nil"/>
              <w:right w:val="nil"/>
            </w:tcBorders>
            <w:shd w:val="clear" w:color="auto" w:fill="auto"/>
            <w:hideMark/>
          </w:tcPr>
          <w:p w14:paraId="468D2EE3" w14:textId="77777777" w:rsidR="005B55F2" w:rsidRPr="008406E5" w:rsidRDefault="005B55F2" w:rsidP="08D4D6A2">
            <w:pPr>
              <w:spacing w:beforeAutospacing="1" w:afterAutospacing="1"/>
              <w:jc w:val="right"/>
              <w:textAlignment w:val="baseline"/>
            </w:pPr>
            <w:r w:rsidRPr="008406E5">
              <w:rPr>
                <w:color w:val="000000"/>
              </w:rPr>
              <w:t>.60</w:t>
            </w:r>
            <w:r w:rsidRPr="008406E5">
              <w:t> </w:t>
            </w:r>
          </w:p>
        </w:tc>
        <w:tc>
          <w:tcPr>
            <w:tcW w:w="560" w:type="dxa"/>
            <w:tcBorders>
              <w:top w:val="nil"/>
              <w:left w:val="nil"/>
              <w:bottom w:val="nil"/>
              <w:right w:val="nil"/>
            </w:tcBorders>
            <w:shd w:val="clear" w:color="auto" w:fill="auto"/>
            <w:hideMark/>
          </w:tcPr>
          <w:p w14:paraId="314C9F8B" w14:textId="77777777" w:rsidR="005B55F2" w:rsidRPr="008406E5" w:rsidRDefault="005B55F2" w:rsidP="08D4D6A2">
            <w:pPr>
              <w:spacing w:beforeAutospacing="1" w:afterAutospacing="1"/>
              <w:jc w:val="right"/>
              <w:textAlignment w:val="baseline"/>
            </w:pPr>
            <w:r w:rsidRPr="008406E5">
              <w:rPr>
                <w:color w:val="000000"/>
              </w:rPr>
              <w:t>.15</w:t>
            </w:r>
            <w:r w:rsidRPr="008406E5">
              <w:t> </w:t>
            </w:r>
          </w:p>
        </w:tc>
        <w:tc>
          <w:tcPr>
            <w:tcW w:w="568" w:type="dxa"/>
            <w:tcBorders>
              <w:top w:val="nil"/>
              <w:left w:val="nil"/>
              <w:bottom w:val="nil"/>
              <w:right w:val="nil"/>
            </w:tcBorders>
            <w:shd w:val="clear" w:color="auto" w:fill="auto"/>
            <w:hideMark/>
          </w:tcPr>
          <w:p w14:paraId="6391729B" w14:textId="77777777" w:rsidR="005B55F2" w:rsidRPr="008406E5" w:rsidRDefault="005B55F2" w:rsidP="08D4D6A2">
            <w:pPr>
              <w:spacing w:beforeAutospacing="1" w:afterAutospacing="1"/>
              <w:jc w:val="right"/>
              <w:textAlignment w:val="baseline"/>
            </w:pPr>
            <w:r w:rsidRPr="008406E5">
              <w:rPr>
                <w:color w:val="000000"/>
              </w:rPr>
              <w:t>.26</w:t>
            </w:r>
            <w:r w:rsidRPr="008406E5">
              <w:t> </w:t>
            </w:r>
          </w:p>
        </w:tc>
        <w:tc>
          <w:tcPr>
            <w:tcW w:w="617" w:type="dxa"/>
            <w:tcBorders>
              <w:top w:val="nil"/>
              <w:left w:val="nil"/>
              <w:bottom w:val="nil"/>
              <w:right w:val="nil"/>
            </w:tcBorders>
            <w:shd w:val="clear" w:color="auto" w:fill="auto"/>
            <w:hideMark/>
          </w:tcPr>
          <w:p w14:paraId="5DE69FB7" w14:textId="77777777" w:rsidR="005B55F2" w:rsidRPr="008406E5" w:rsidRDefault="005B55F2" w:rsidP="08D4D6A2">
            <w:pPr>
              <w:spacing w:beforeAutospacing="1" w:afterAutospacing="1"/>
              <w:jc w:val="right"/>
              <w:textAlignment w:val="baseline"/>
            </w:pPr>
            <w:r w:rsidRPr="008406E5">
              <w:rPr>
                <w:color w:val="000000"/>
              </w:rPr>
              <w:t>1.00</w:t>
            </w:r>
            <w:r w:rsidRPr="008406E5">
              <w:t> </w:t>
            </w:r>
          </w:p>
        </w:tc>
        <w:tc>
          <w:tcPr>
            <w:tcW w:w="386" w:type="dxa"/>
            <w:tcBorders>
              <w:top w:val="nil"/>
              <w:left w:val="nil"/>
              <w:bottom w:val="nil"/>
              <w:right w:val="nil"/>
            </w:tcBorders>
            <w:shd w:val="clear" w:color="auto" w:fill="auto"/>
            <w:hideMark/>
          </w:tcPr>
          <w:p w14:paraId="738A0F89"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1282F5BB" w14:textId="77777777" w:rsidR="005B55F2" w:rsidRPr="008406E5" w:rsidRDefault="005B55F2" w:rsidP="08D4D6A2">
            <w:pPr>
              <w:spacing w:beforeAutospacing="1" w:afterAutospacing="1"/>
              <w:jc w:val="right"/>
              <w:textAlignment w:val="baseline"/>
            </w:pPr>
            <w:r w:rsidRPr="008406E5">
              <w:rPr>
                <w:color w:val="000000"/>
              </w:rPr>
              <w:t>.73</w:t>
            </w:r>
            <w:r w:rsidRPr="008406E5">
              <w:t> </w:t>
            </w:r>
          </w:p>
        </w:tc>
        <w:tc>
          <w:tcPr>
            <w:tcW w:w="560" w:type="dxa"/>
            <w:tcBorders>
              <w:top w:val="nil"/>
              <w:left w:val="nil"/>
              <w:bottom w:val="nil"/>
              <w:right w:val="nil"/>
            </w:tcBorders>
            <w:shd w:val="clear" w:color="auto" w:fill="auto"/>
            <w:hideMark/>
          </w:tcPr>
          <w:p w14:paraId="4519BD42" w14:textId="77777777" w:rsidR="005B55F2" w:rsidRPr="008406E5" w:rsidRDefault="005B55F2" w:rsidP="08D4D6A2">
            <w:pPr>
              <w:spacing w:beforeAutospacing="1" w:afterAutospacing="1"/>
              <w:jc w:val="right"/>
              <w:textAlignment w:val="baseline"/>
            </w:pPr>
            <w:r w:rsidRPr="008406E5">
              <w:rPr>
                <w:color w:val="000000"/>
              </w:rPr>
              <w:t>.17</w:t>
            </w:r>
            <w:r w:rsidRPr="008406E5">
              <w:t> </w:t>
            </w:r>
          </w:p>
        </w:tc>
        <w:tc>
          <w:tcPr>
            <w:tcW w:w="568" w:type="dxa"/>
            <w:tcBorders>
              <w:top w:val="nil"/>
              <w:left w:val="nil"/>
              <w:bottom w:val="nil"/>
              <w:right w:val="nil"/>
            </w:tcBorders>
            <w:shd w:val="clear" w:color="auto" w:fill="auto"/>
            <w:hideMark/>
          </w:tcPr>
          <w:p w14:paraId="077E5AE8" w14:textId="77777777" w:rsidR="005B55F2" w:rsidRPr="008406E5" w:rsidRDefault="005B55F2" w:rsidP="08D4D6A2">
            <w:pPr>
              <w:spacing w:beforeAutospacing="1" w:afterAutospacing="1"/>
              <w:jc w:val="right"/>
              <w:textAlignment w:val="baseline"/>
            </w:pPr>
            <w:r w:rsidRPr="008406E5">
              <w:rPr>
                <w:color w:val="000000"/>
              </w:rPr>
              <w:t>.38</w:t>
            </w:r>
            <w:r w:rsidRPr="008406E5">
              <w:t> </w:t>
            </w:r>
          </w:p>
        </w:tc>
        <w:tc>
          <w:tcPr>
            <w:tcW w:w="617" w:type="dxa"/>
            <w:tcBorders>
              <w:top w:val="nil"/>
              <w:left w:val="nil"/>
              <w:bottom w:val="nil"/>
              <w:right w:val="nil"/>
            </w:tcBorders>
            <w:shd w:val="clear" w:color="auto" w:fill="auto"/>
            <w:hideMark/>
          </w:tcPr>
          <w:p w14:paraId="1572262A" w14:textId="77777777" w:rsidR="005B55F2" w:rsidRPr="008406E5" w:rsidRDefault="005B55F2" w:rsidP="08D4D6A2">
            <w:pPr>
              <w:spacing w:beforeAutospacing="1" w:afterAutospacing="1"/>
              <w:jc w:val="right"/>
              <w:textAlignment w:val="baseline"/>
            </w:pPr>
            <w:r w:rsidRPr="008406E5">
              <w:rPr>
                <w:color w:val="000000"/>
              </w:rPr>
              <w:t>.96</w:t>
            </w:r>
            <w:r w:rsidRPr="008406E5">
              <w:t> </w:t>
            </w:r>
          </w:p>
        </w:tc>
      </w:tr>
      <w:tr w:rsidR="005B55F2" w:rsidRPr="008406E5" w14:paraId="09CDD76E" w14:textId="77777777" w:rsidTr="006C4BE0">
        <w:trPr>
          <w:trHeight w:val="420"/>
        </w:trPr>
        <w:tc>
          <w:tcPr>
            <w:tcW w:w="1684" w:type="dxa"/>
            <w:vMerge/>
            <w:tcBorders>
              <w:top w:val="nil"/>
              <w:left w:val="nil"/>
              <w:bottom w:val="single" w:sz="4" w:space="0" w:color="auto"/>
              <w:right w:val="nil"/>
            </w:tcBorders>
            <w:shd w:val="clear" w:color="auto" w:fill="auto"/>
            <w:hideMark/>
          </w:tcPr>
          <w:p w14:paraId="39D5B571" w14:textId="77777777" w:rsidR="005B55F2" w:rsidRPr="008406E5" w:rsidRDefault="005B55F2" w:rsidP="0031117D"/>
        </w:tc>
        <w:tc>
          <w:tcPr>
            <w:tcW w:w="1303" w:type="dxa"/>
            <w:tcBorders>
              <w:top w:val="nil"/>
              <w:left w:val="nil"/>
              <w:bottom w:val="single" w:sz="4" w:space="0" w:color="auto"/>
              <w:right w:val="nil"/>
            </w:tcBorders>
            <w:shd w:val="clear" w:color="auto" w:fill="auto"/>
            <w:hideMark/>
          </w:tcPr>
          <w:p w14:paraId="569E92A8"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single" w:sz="4" w:space="0" w:color="auto"/>
              <w:right w:val="nil"/>
            </w:tcBorders>
            <w:shd w:val="clear" w:color="auto" w:fill="auto"/>
            <w:hideMark/>
          </w:tcPr>
          <w:p w14:paraId="1C6D125F" w14:textId="77777777" w:rsidR="005B55F2" w:rsidRPr="008406E5" w:rsidRDefault="005B55F2" w:rsidP="006C4BE0">
            <w:pPr>
              <w:spacing w:beforeAutospacing="1" w:afterAutospacing="1"/>
              <w:textAlignment w:val="baseline"/>
            </w:pPr>
            <w:r w:rsidRPr="008406E5">
              <w:rPr>
                <w:color w:val="000000"/>
              </w:rPr>
              <w:t>Suggestive</w:t>
            </w:r>
            <w:r w:rsidRPr="23B9E151">
              <w:t> </w:t>
            </w:r>
          </w:p>
        </w:tc>
        <w:tc>
          <w:tcPr>
            <w:tcW w:w="560" w:type="dxa"/>
            <w:tcBorders>
              <w:top w:val="nil"/>
              <w:left w:val="nil"/>
              <w:bottom w:val="single" w:sz="4" w:space="0" w:color="auto"/>
              <w:right w:val="nil"/>
            </w:tcBorders>
            <w:shd w:val="clear" w:color="auto" w:fill="auto"/>
            <w:hideMark/>
          </w:tcPr>
          <w:p w14:paraId="1F668A19" w14:textId="77777777" w:rsidR="005B55F2" w:rsidRPr="008406E5" w:rsidRDefault="005B55F2" w:rsidP="08D4D6A2">
            <w:pPr>
              <w:spacing w:beforeAutospacing="1" w:afterAutospacing="1"/>
              <w:jc w:val="right"/>
              <w:textAlignment w:val="baseline"/>
            </w:pPr>
            <w:r w:rsidRPr="008406E5">
              <w:rPr>
                <w:color w:val="000000"/>
              </w:rPr>
              <w:t>.27</w:t>
            </w:r>
            <w:r w:rsidRPr="008406E5">
              <w:t> </w:t>
            </w:r>
          </w:p>
        </w:tc>
        <w:tc>
          <w:tcPr>
            <w:tcW w:w="560" w:type="dxa"/>
            <w:tcBorders>
              <w:top w:val="nil"/>
              <w:left w:val="nil"/>
              <w:bottom w:val="single" w:sz="4" w:space="0" w:color="auto"/>
              <w:right w:val="nil"/>
            </w:tcBorders>
            <w:shd w:val="clear" w:color="auto" w:fill="auto"/>
            <w:hideMark/>
          </w:tcPr>
          <w:p w14:paraId="3BCCB4C7" w14:textId="77777777" w:rsidR="005B55F2" w:rsidRPr="008406E5" w:rsidRDefault="005B55F2" w:rsidP="08D4D6A2">
            <w:pPr>
              <w:spacing w:beforeAutospacing="1" w:afterAutospacing="1"/>
              <w:jc w:val="right"/>
              <w:textAlignment w:val="baseline"/>
            </w:pPr>
            <w:r w:rsidRPr="008406E5">
              <w:rPr>
                <w:color w:val="000000"/>
              </w:rPr>
              <w:t>.19</w:t>
            </w:r>
            <w:r w:rsidRPr="008406E5">
              <w:t> </w:t>
            </w:r>
          </w:p>
        </w:tc>
        <w:tc>
          <w:tcPr>
            <w:tcW w:w="568" w:type="dxa"/>
            <w:tcBorders>
              <w:top w:val="nil"/>
              <w:left w:val="nil"/>
              <w:bottom w:val="single" w:sz="4" w:space="0" w:color="auto"/>
              <w:right w:val="nil"/>
            </w:tcBorders>
            <w:shd w:val="clear" w:color="auto" w:fill="auto"/>
            <w:hideMark/>
          </w:tcPr>
          <w:p w14:paraId="37400C03"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single" w:sz="4" w:space="0" w:color="auto"/>
              <w:right w:val="nil"/>
            </w:tcBorders>
            <w:shd w:val="clear" w:color="auto" w:fill="auto"/>
            <w:hideMark/>
          </w:tcPr>
          <w:p w14:paraId="2F19A123" w14:textId="77777777" w:rsidR="005B55F2" w:rsidRPr="008406E5" w:rsidRDefault="005B55F2" w:rsidP="08D4D6A2">
            <w:pPr>
              <w:spacing w:beforeAutospacing="1" w:afterAutospacing="1"/>
              <w:jc w:val="right"/>
              <w:textAlignment w:val="baseline"/>
            </w:pPr>
            <w:r w:rsidRPr="008406E5">
              <w:rPr>
                <w:color w:val="000000"/>
              </w:rPr>
              <w:t>.71</w:t>
            </w:r>
            <w:r w:rsidRPr="008406E5">
              <w:t> </w:t>
            </w:r>
          </w:p>
        </w:tc>
        <w:tc>
          <w:tcPr>
            <w:tcW w:w="386" w:type="dxa"/>
            <w:tcBorders>
              <w:top w:val="nil"/>
              <w:left w:val="nil"/>
              <w:bottom w:val="single" w:sz="4" w:space="0" w:color="auto"/>
              <w:right w:val="nil"/>
            </w:tcBorders>
            <w:shd w:val="clear" w:color="auto" w:fill="auto"/>
            <w:hideMark/>
          </w:tcPr>
          <w:p w14:paraId="05479196"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single" w:sz="4" w:space="0" w:color="auto"/>
              <w:right w:val="nil"/>
            </w:tcBorders>
            <w:shd w:val="clear" w:color="auto" w:fill="auto"/>
            <w:hideMark/>
          </w:tcPr>
          <w:p w14:paraId="25A8E11D" w14:textId="77777777" w:rsidR="005B55F2" w:rsidRPr="008406E5" w:rsidRDefault="005B55F2" w:rsidP="08D4D6A2">
            <w:pPr>
              <w:spacing w:beforeAutospacing="1" w:afterAutospacing="1"/>
              <w:jc w:val="right"/>
              <w:textAlignment w:val="baseline"/>
            </w:pPr>
            <w:r w:rsidRPr="008406E5">
              <w:rPr>
                <w:color w:val="000000"/>
              </w:rPr>
              <w:t>.10</w:t>
            </w:r>
            <w:r w:rsidRPr="008406E5">
              <w:t> </w:t>
            </w:r>
          </w:p>
        </w:tc>
        <w:tc>
          <w:tcPr>
            <w:tcW w:w="560" w:type="dxa"/>
            <w:tcBorders>
              <w:top w:val="nil"/>
              <w:left w:val="nil"/>
              <w:bottom w:val="single" w:sz="4" w:space="0" w:color="auto"/>
              <w:right w:val="nil"/>
            </w:tcBorders>
            <w:shd w:val="clear" w:color="auto" w:fill="auto"/>
            <w:hideMark/>
          </w:tcPr>
          <w:p w14:paraId="5AD0E329" w14:textId="77777777" w:rsidR="005B55F2" w:rsidRPr="008406E5" w:rsidRDefault="005B55F2" w:rsidP="08D4D6A2">
            <w:pPr>
              <w:spacing w:beforeAutospacing="1" w:afterAutospacing="1"/>
              <w:jc w:val="right"/>
              <w:textAlignment w:val="baseline"/>
            </w:pPr>
            <w:r w:rsidRPr="008406E5">
              <w:rPr>
                <w:color w:val="000000"/>
              </w:rPr>
              <w:t>.12</w:t>
            </w:r>
            <w:r w:rsidRPr="008406E5">
              <w:t> </w:t>
            </w:r>
          </w:p>
        </w:tc>
        <w:tc>
          <w:tcPr>
            <w:tcW w:w="568" w:type="dxa"/>
            <w:tcBorders>
              <w:top w:val="nil"/>
              <w:left w:val="nil"/>
              <w:bottom w:val="single" w:sz="4" w:space="0" w:color="auto"/>
              <w:right w:val="nil"/>
            </w:tcBorders>
            <w:shd w:val="clear" w:color="auto" w:fill="auto"/>
            <w:hideMark/>
          </w:tcPr>
          <w:p w14:paraId="1AA77CA1" w14:textId="77777777" w:rsidR="005B55F2" w:rsidRPr="008406E5" w:rsidRDefault="005B55F2" w:rsidP="08D4D6A2">
            <w:pPr>
              <w:spacing w:beforeAutospacing="1" w:afterAutospacing="1"/>
              <w:jc w:val="right"/>
              <w:textAlignment w:val="baseline"/>
            </w:pPr>
            <w:r w:rsidRPr="008406E5">
              <w:rPr>
                <w:color w:val="000000"/>
              </w:rPr>
              <w:t>.00</w:t>
            </w:r>
            <w:r w:rsidRPr="008406E5">
              <w:t> </w:t>
            </w:r>
          </w:p>
        </w:tc>
        <w:tc>
          <w:tcPr>
            <w:tcW w:w="617" w:type="dxa"/>
            <w:tcBorders>
              <w:top w:val="nil"/>
              <w:left w:val="nil"/>
              <w:bottom w:val="single" w:sz="4" w:space="0" w:color="auto"/>
              <w:right w:val="nil"/>
            </w:tcBorders>
            <w:shd w:val="clear" w:color="auto" w:fill="auto"/>
            <w:hideMark/>
          </w:tcPr>
          <w:p w14:paraId="2664F313" w14:textId="77777777" w:rsidR="005B55F2" w:rsidRPr="008406E5" w:rsidRDefault="005B55F2" w:rsidP="08D4D6A2">
            <w:pPr>
              <w:spacing w:beforeAutospacing="1" w:afterAutospacing="1"/>
              <w:jc w:val="right"/>
              <w:textAlignment w:val="baseline"/>
            </w:pPr>
            <w:r w:rsidRPr="008406E5">
              <w:rPr>
                <w:color w:val="000000"/>
              </w:rPr>
              <w:t>.62</w:t>
            </w:r>
            <w:r w:rsidRPr="008406E5">
              <w:t> </w:t>
            </w:r>
          </w:p>
        </w:tc>
      </w:tr>
    </w:tbl>
    <w:p w14:paraId="38CE3AED" w14:textId="1A53531B" w:rsidR="005B55F2" w:rsidRPr="008406E5" w:rsidRDefault="005B55F2" w:rsidP="23B9E151">
      <w:pPr>
        <w:textAlignment w:val="baseline"/>
      </w:pPr>
    </w:p>
    <w:p w14:paraId="5AB77721" w14:textId="09A7E52A" w:rsidR="005B55F2" w:rsidRDefault="005B55F2" w:rsidP="23B9E151">
      <w:pPr>
        <w:textAlignment w:val="baseline"/>
      </w:pPr>
    </w:p>
    <w:p w14:paraId="4B620F72" w14:textId="77777777" w:rsidR="005B55F2" w:rsidRDefault="005B55F2" w:rsidP="005B55F2">
      <w:pPr>
        <w:textAlignment w:val="baseline"/>
      </w:pPr>
    </w:p>
    <w:p w14:paraId="0BF755D2" w14:textId="77777777" w:rsidR="005B55F2" w:rsidRDefault="005B55F2" w:rsidP="005B55F2">
      <w:pPr>
        <w:textAlignment w:val="baseline"/>
      </w:pPr>
    </w:p>
    <w:p w14:paraId="2AA3FEC1" w14:textId="77777777" w:rsidR="005B55F2" w:rsidRDefault="005B55F2" w:rsidP="005B55F2">
      <w:pPr>
        <w:textAlignment w:val="baseline"/>
      </w:pPr>
    </w:p>
    <w:p w14:paraId="7071050E" w14:textId="77777777" w:rsidR="005B55F2" w:rsidRDefault="005B55F2" w:rsidP="005B55F2">
      <w:pPr>
        <w:textAlignment w:val="baseline"/>
      </w:pPr>
    </w:p>
    <w:p w14:paraId="3ADBED36" w14:textId="77777777" w:rsidR="005B55F2" w:rsidRDefault="005B55F2" w:rsidP="005B55F2">
      <w:pPr>
        <w:textAlignment w:val="baseline"/>
      </w:pPr>
    </w:p>
    <w:p w14:paraId="222805AA" w14:textId="77777777" w:rsidR="005B55F2" w:rsidRDefault="005B55F2" w:rsidP="005B55F2">
      <w:pPr>
        <w:textAlignment w:val="baseline"/>
      </w:pPr>
    </w:p>
    <w:p w14:paraId="746E0473" w14:textId="77777777" w:rsidR="005B55F2" w:rsidRDefault="005B55F2" w:rsidP="005B55F2">
      <w:pPr>
        <w:textAlignment w:val="baseline"/>
      </w:pPr>
    </w:p>
    <w:p w14:paraId="3BADAABC" w14:textId="77777777" w:rsidR="005B55F2" w:rsidRDefault="005B55F2" w:rsidP="005B55F2">
      <w:pPr>
        <w:textAlignment w:val="baseline"/>
      </w:pPr>
    </w:p>
    <w:p w14:paraId="107BCAFD" w14:textId="77777777" w:rsidR="005B55F2" w:rsidRDefault="005B55F2" w:rsidP="005B55F2">
      <w:pPr>
        <w:textAlignment w:val="baseline"/>
      </w:pPr>
    </w:p>
    <w:p w14:paraId="7826F378" w14:textId="77777777" w:rsidR="005B55F2" w:rsidRDefault="005B55F2" w:rsidP="005B55F2">
      <w:pPr>
        <w:textAlignment w:val="baseline"/>
      </w:pPr>
    </w:p>
    <w:p w14:paraId="09573F34" w14:textId="77777777" w:rsidR="005B55F2" w:rsidRPr="008406E5" w:rsidRDefault="005B55F2" w:rsidP="005B55F2">
      <w:pPr>
        <w:textAlignment w:val="baseline"/>
      </w:pPr>
    </w:p>
    <w:p w14:paraId="7FBF36EA" w14:textId="77777777" w:rsidR="005B55F2" w:rsidRDefault="005B55F2" w:rsidP="005B55F2">
      <w:pPr>
        <w:textAlignment w:val="baseline"/>
      </w:pPr>
    </w:p>
    <w:p w14:paraId="1F2C49E5" w14:textId="77777777" w:rsidR="005B55F2" w:rsidRPr="008406E5" w:rsidRDefault="005B55F2" w:rsidP="08D4D6A2">
      <w:pPr>
        <w:textAlignment w:val="baseline"/>
      </w:pPr>
      <w:r w:rsidRPr="008406E5">
        <w:lastRenderedPageBreak/>
        <w:t>Table 6 </w:t>
      </w:r>
    </w:p>
    <w:p w14:paraId="011B997B" w14:textId="77777777" w:rsidR="005B55F2" w:rsidRPr="008406E5" w:rsidRDefault="005B55F2" w:rsidP="08D4D6A2">
      <w:pPr>
        <w:textAlignment w:val="baseline"/>
      </w:pPr>
      <w:r w:rsidRPr="008406E5">
        <w:t> </w:t>
      </w:r>
    </w:p>
    <w:p w14:paraId="1ADBBB82" w14:textId="3B100FFC" w:rsidR="005B55F2" w:rsidRPr="008406E5" w:rsidRDefault="005B55F2" w:rsidP="08D4D6A2">
      <w:pPr>
        <w:textAlignment w:val="baseline"/>
      </w:pPr>
      <w:r w:rsidRPr="08D4D6A2">
        <w:rPr>
          <w:i/>
          <w:iCs/>
        </w:rPr>
        <w:t>Responsive</w:t>
      </w:r>
      <w:r w:rsidR="00B23476">
        <w:rPr>
          <w:i/>
          <w:iCs/>
        </w:rPr>
        <w:t xml:space="preserve">ness to different types of questions addressed to children in each age group by prosecutors and defence lawyers. </w:t>
      </w:r>
      <w:r w:rsidRPr="08D4D6A2">
        <w:rPr>
          <w:i/>
          <w:iCs/>
        </w:rPr>
        <w:t xml:space="preserve"> </w:t>
      </w:r>
    </w:p>
    <w:p w14:paraId="7AB52A10" w14:textId="77777777" w:rsidR="005B55F2" w:rsidRDefault="005B55F2" w:rsidP="08D4D6A2">
      <w:pPr>
        <w:textAlignment w:val="baseline"/>
      </w:pPr>
      <w:r w:rsidRPr="008406E5">
        <w:t> </w:t>
      </w:r>
    </w:p>
    <w:tbl>
      <w:tblPr>
        <w:tblW w:w="82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4"/>
        <w:gridCol w:w="1303"/>
        <w:gridCol w:w="1469"/>
        <w:gridCol w:w="560"/>
        <w:gridCol w:w="560"/>
        <w:gridCol w:w="568"/>
        <w:gridCol w:w="386"/>
        <w:gridCol w:w="560"/>
        <w:gridCol w:w="560"/>
        <w:gridCol w:w="568"/>
      </w:tblGrid>
      <w:tr w:rsidR="005B55F2" w:rsidRPr="008406E5" w14:paraId="179B398E" w14:textId="77777777" w:rsidTr="006C4BE0">
        <w:trPr>
          <w:trHeight w:val="420"/>
        </w:trPr>
        <w:tc>
          <w:tcPr>
            <w:tcW w:w="1684" w:type="dxa"/>
            <w:tcBorders>
              <w:top w:val="single" w:sz="4" w:space="0" w:color="auto"/>
              <w:left w:val="nil"/>
              <w:bottom w:val="nil"/>
              <w:right w:val="nil"/>
            </w:tcBorders>
            <w:shd w:val="clear" w:color="auto" w:fill="auto"/>
          </w:tcPr>
          <w:p w14:paraId="131BAA3A" w14:textId="77777777" w:rsidR="005B55F2" w:rsidRPr="008406E5" w:rsidRDefault="005B55F2" w:rsidP="0031117D">
            <w:pPr>
              <w:spacing w:beforeAutospacing="1" w:afterAutospacing="1"/>
              <w:textAlignment w:val="baseline"/>
            </w:pPr>
          </w:p>
        </w:tc>
        <w:tc>
          <w:tcPr>
            <w:tcW w:w="1303" w:type="dxa"/>
            <w:tcBorders>
              <w:top w:val="single" w:sz="4" w:space="0" w:color="auto"/>
              <w:left w:val="nil"/>
              <w:bottom w:val="nil"/>
              <w:right w:val="nil"/>
            </w:tcBorders>
            <w:shd w:val="clear" w:color="auto" w:fill="auto"/>
          </w:tcPr>
          <w:p w14:paraId="275E3F6D" w14:textId="77777777" w:rsidR="005B55F2" w:rsidRPr="008406E5" w:rsidRDefault="005B55F2" w:rsidP="0031117D">
            <w:pPr>
              <w:spacing w:beforeAutospacing="1" w:afterAutospacing="1"/>
              <w:textAlignment w:val="baseline"/>
            </w:pPr>
          </w:p>
        </w:tc>
        <w:tc>
          <w:tcPr>
            <w:tcW w:w="1469" w:type="dxa"/>
            <w:tcBorders>
              <w:top w:val="single" w:sz="4" w:space="0" w:color="auto"/>
              <w:left w:val="nil"/>
              <w:bottom w:val="nil"/>
              <w:right w:val="nil"/>
            </w:tcBorders>
            <w:shd w:val="clear" w:color="auto" w:fill="auto"/>
          </w:tcPr>
          <w:p w14:paraId="65B3EF98" w14:textId="77777777" w:rsidR="005B55F2" w:rsidRPr="008406E5" w:rsidRDefault="005B55F2" w:rsidP="0031117D">
            <w:pPr>
              <w:spacing w:beforeAutospacing="1" w:afterAutospacing="1"/>
              <w:textAlignment w:val="baseline"/>
            </w:pPr>
          </w:p>
        </w:tc>
        <w:tc>
          <w:tcPr>
            <w:tcW w:w="1688" w:type="dxa"/>
            <w:gridSpan w:val="3"/>
            <w:tcBorders>
              <w:top w:val="single" w:sz="4" w:space="0" w:color="auto"/>
              <w:left w:val="nil"/>
              <w:bottom w:val="nil"/>
              <w:right w:val="nil"/>
            </w:tcBorders>
            <w:shd w:val="clear" w:color="auto" w:fill="auto"/>
            <w:vAlign w:val="center"/>
          </w:tcPr>
          <w:p w14:paraId="42FB807F" w14:textId="77777777" w:rsidR="005B55F2" w:rsidRPr="006C4BE0" w:rsidRDefault="005B55F2" w:rsidP="006C4BE0">
            <w:pPr>
              <w:spacing w:beforeAutospacing="1" w:afterAutospacing="1"/>
              <w:jc w:val="center"/>
              <w:textAlignment w:val="baseline"/>
              <w:rPr>
                <w:color w:val="000000" w:themeColor="text1"/>
              </w:rPr>
            </w:pPr>
            <w:r w:rsidRPr="0031117D">
              <w:rPr>
                <w:color w:val="000000"/>
              </w:rPr>
              <w:t>NS28</w:t>
            </w:r>
          </w:p>
        </w:tc>
        <w:tc>
          <w:tcPr>
            <w:tcW w:w="386" w:type="dxa"/>
            <w:tcBorders>
              <w:top w:val="single" w:sz="4" w:space="0" w:color="auto"/>
              <w:left w:val="nil"/>
              <w:bottom w:val="nil"/>
              <w:right w:val="nil"/>
            </w:tcBorders>
            <w:shd w:val="clear" w:color="auto" w:fill="auto"/>
            <w:vAlign w:val="center"/>
          </w:tcPr>
          <w:p w14:paraId="457D5FA7" w14:textId="77777777" w:rsidR="005B55F2" w:rsidRPr="008406E5" w:rsidRDefault="005B55F2" w:rsidP="0031117D">
            <w:pPr>
              <w:spacing w:beforeAutospacing="1" w:afterAutospacing="1"/>
              <w:jc w:val="center"/>
              <w:textAlignment w:val="baseline"/>
            </w:pPr>
          </w:p>
        </w:tc>
        <w:tc>
          <w:tcPr>
            <w:tcW w:w="1688" w:type="dxa"/>
            <w:gridSpan w:val="3"/>
            <w:tcBorders>
              <w:top w:val="single" w:sz="4" w:space="0" w:color="auto"/>
              <w:left w:val="nil"/>
              <w:bottom w:val="nil"/>
              <w:right w:val="nil"/>
            </w:tcBorders>
            <w:shd w:val="clear" w:color="auto" w:fill="auto"/>
            <w:vAlign w:val="center"/>
          </w:tcPr>
          <w:p w14:paraId="75CB6980" w14:textId="77777777" w:rsidR="005B55F2" w:rsidRPr="006C4BE0" w:rsidRDefault="005B55F2" w:rsidP="006C4BE0">
            <w:pPr>
              <w:spacing w:beforeAutospacing="1" w:afterAutospacing="1"/>
              <w:jc w:val="center"/>
              <w:textAlignment w:val="baseline"/>
              <w:rPr>
                <w:color w:val="000000" w:themeColor="text1"/>
              </w:rPr>
            </w:pPr>
            <w:r w:rsidRPr="0031117D">
              <w:rPr>
                <w:color w:val="000000"/>
              </w:rPr>
              <w:t>S28</w:t>
            </w:r>
          </w:p>
        </w:tc>
      </w:tr>
      <w:tr w:rsidR="005B55F2" w:rsidRPr="008406E5" w14:paraId="5A689EA7" w14:textId="77777777" w:rsidTr="006C4BE0">
        <w:trPr>
          <w:trHeight w:val="420"/>
        </w:trPr>
        <w:tc>
          <w:tcPr>
            <w:tcW w:w="1684" w:type="dxa"/>
            <w:tcBorders>
              <w:top w:val="single" w:sz="4" w:space="0" w:color="auto"/>
              <w:left w:val="nil"/>
              <w:bottom w:val="nil"/>
              <w:right w:val="nil"/>
            </w:tcBorders>
            <w:shd w:val="clear" w:color="auto" w:fill="auto"/>
            <w:hideMark/>
          </w:tcPr>
          <w:p w14:paraId="38FBBF59" w14:textId="77777777" w:rsidR="005B55F2" w:rsidRPr="008406E5" w:rsidRDefault="005B55F2" w:rsidP="0031117D">
            <w:pPr>
              <w:spacing w:beforeAutospacing="1" w:afterAutospacing="1"/>
              <w:textAlignment w:val="baseline"/>
            </w:pPr>
          </w:p>
        </w:tc>
        <w:tc>
          <w:tcPr>
            <w:tcW w:w="1303" w:type="dxa"/>
            <w:tcBorders>
              <w:top w:val="single" w:sz="4" w:space="0" w:color="auto"/>
              <w:left w:val="nil"/>
              <w:bottom w:val="nil"/>
              <w:right w:val="nil"/>
            </w:tcBorders>
            <w:shd w:val="clear" w:color="auto" w:fill="auto"/>
            <w:hideMark/>
          </w:tcPr>
          <w:p w14:paraId="2CE88D1A" w14:textId="77777777" w:rsidR="005B55F2" w:rsidRPr="008406E5" w:rsidRDefault="005B55F2" w:rsidP="08D4D6A2">
            <w:pPr>
              <w:spacing w:beforeAutospacing="1" w:afterAutospacing="1"/>
              <w:textAlignment w:val="baseline"/>
            </w:pPr>
            <w:r w:rsidRPr="008406E5">
              <w:t> </w:t>
            </w:r>
          </w:p>
        </w:tc>
        <w:tc>
          <w:tcPr>
            <w:tcW w:w="1469" w:type="dxa"/>
            <w:tcBorders>
              <w:top w:val="single" w:sz="4" w:space="0" w:color="auto"/>
              <w:left w:val="nil"/>
              <w:bottom w:val="nil"/>
              <w:right w:val="nil"/>
            </w:tcBorders>
            <w:shd w:val="clear" w:color="auto" w:fill="auto"/>
            <w:hideMark/>
          </w:tcPr>
          <w:p w14:paraId="7079FB21" w14:textId="77777777" w:rsidR="005B55F2" w:rsidRPr="008406E5" w:rsidRDefault="005B55F2" w:rsidP="08D4D6A2">
            <w:pPr>
              <w:spacing w:beforeAutospacing="1" w:afterAutospacing="1"/>
              <w:textAlignment w:val="baseline"/>
            </w:pPr>
            <w:r w:rsidRPr="008406E5">
              <w:t> </w:t>
            </w:r>
          </w:p>
        </w:tc>
        <w:tc>
          <w:tcPr>
            <w:tcW w:w="560" w:type="dxa"/>
            <w:tcBorders>
              <w:top w:val="single" w:sz="4" w:space="0" w:color="auto"/>
              <w:left w:val="nil"/>
              <w:bottom w:val="nil"/>
              <w:right w:val="nil"/>
            </w:tcBorders>
            <w:shd w:val="clear" w:color="auto" w:fill="auto"/>
            <w:vAlign w:val="center"/>
            <w:hideMark/>
          </w:tcPr>
          <w:p w14:paraId="12A41548" w14:textId="77777777" w:rsidR="005B55F2" w:rsidRPr="008406E5" w:rsidRDefault="005B55F2" w:rsidP="006C4BE0">
            <w:pPr>
              <w:spacing w:beforeAutospacing="1" w:afterAutospacing="1"/>
              <w:jc w:val="center"/>
              <w:textAlignment w:val="baseline"/>
            </w:pPr>
            <w:r w:rsidRPr="08D4D6A2">
              <w:rPr>
                <w:i/>
                <w:iCs/>
                <w:color w:val="000000"/>
              </w:rPr>
              <w:t>M</w:t>
            </w:r>
          </w:p>
        </w:tc>
        <w:tc>
          <w:tcPr>
            <w:tcW w:w="560" w:type="dxa"/>
            <w:tcBorders>
              <w:top w:val="single" w:sz="4" w:space="0" w:color="auto"/>
              <w:left w:val="nil"/>
              <w:bottom w:val="nil"/>
              <w:right w:val="nil"/>
            </w:tcBorders>
            <w:shd w:val="clear" w:color="auto" w:fill="auto"/>
            <w:vAlign w:val="center"/>
            <w:hideMark/>
          </w:tcPr>
          <w:p w14:paraId="3BD11B09" w14:textId="77777777" w:rsidR="005B55F2" w:rsidRPr="008406E5" w:rsidRDefault="005B55F2" w:rsidP="006C4BE0">
            <w:pPr>
              <w:spacing w:beforeAutospacing="1" w:afterAutospacing="1"/>
              <w:jc w:val="center"/>
              <w:textAlignment w:val="baseline"/>
            </w:pPr>
            <w:r w:rsidRPr="08D4D6A2">
              <w:rPr>
                <w:i/>
                <w:iCs/>
                <w:color w:val="000000"/>
              </w:rPr>
              <w:t>SD</w:t>
            </w:r>
          </w:p>
        </w:tc>
        <w:tc>
          <w:tcPr>
            <w:tcW w:w="568" w:type="dxa"/>
            <w:tcBorders>
              <w:top w:val="single" w:sz="4" w:space="0" w:color="auto"/>
              <w:left w:val="nil"/>
              <w:bottom w:val="nil"/>
              <w:right w:val="nil"/>
            </w:tcBorders>
            <w:shd w:val="clear" w:color="auto" w:fill="auto"/>
            <w:vAlign w:val="center"/>
            <w:hideMark/>
          </w:tcPr>
          <w:p w14:paraId="600704BB" w14:textId="724210C2" w:rsidR="005B55F2" w:rsidRPr="008406E5" w:rsidRDefault="00CC034B" w:rsidP="006C4BE0">
            <w:pPr>
              <w:spacing w:beforeAutospacing="1" w:afterAutospacing="1"/>
              <w:jc w:val="center"/>
              <w:textAlignment w:val="baseline"/>
            </w:pPr>
            <w:r w:rsidRPr="08D4D6A2">
              <w:rPr>
                <w:i/>
                <w:iCs/>
                <w:color w:val="000000"/>
              </w:rPr>
              <w:t>n</w:t>
            </w:r>
          </w:p>
        </w:tc>
        <w:tc>
          <w:tcPr>
            <w:tcW w:w="386" w:type="dxa"/>
            <w:tcBorders>
              <w:top w:val="single" w:sz="4" w:space="0" w:color="auto"/>
              <w:left w:val="nil"/>
              <w:bottom w:val="nil"/>
              <w:right w:val="nil"/>
            </w:tcBorders>
            <w:shd w:val="clear" w:color="auto" w:fill="auto"/>
            <w:vAlign w:val="center"/>
            <w:hideMark/>
          </w:tcPr>
          <w:p w14:paraId="084D5952" w14:textId="77777777" w:rsidR="005B55F2" w:rsidRPr="008406E5" w:rsidRDefault="005B55F2" w:rsidP="0031117D">
            <w:pPr>
              <w:spacing w:beforeAutospacing="1" w:afterAutospacing="1"/>
              <w:jc w:val="center"/>
              <w:textAlignment w:val="baseline"/>
            </w:pPr>
          </w:p>
        </w:tc>
        <w:tc>
          <w:tcPr>
            <w:tcW w:w="560" w:type="dxa"/>
            <w:tcBorders>
              <w:top w:val="single" w:sz="4" w:space="0" w:color="auto"/>
              <w:left w:val="nil"/>
              <w:bottom w:val="nil"/>
              <w:right w:val="nil"/>
            </w:tcBorders>
            <w:shd w:val="clear" w:color="auto" w:fill="auto"/>
            <w:vAlign w:val="center"/>
            <w:hideMark/>
          </w:tcPr>
          <w:p w14:paraId="1A685B09" w14:textId="77777777" w:rsidR="005B55F2" w:rsidRPr="008406E5" w:rsidRDefault="005B55F2" w:rsidP="006C4BE0">
            <w:pPr>
              <w:spacing w:beforeAutospacing="1" w:afterAutospacing="1"/>
              <w:jc w:val="center"/>
              <w:textAlignment w:val="baseline"/>
            </w:pPr>
            <w:r w:rsidRPr="08D4D6A2">
              <w:rPr>
                <w:i/>
                <w:iCs/>
                <w:color w:val="000000"/>
              </w:rPr>
              <w:t>M</w:t>
            </w:r>
          </w:p>
        </w:tc>
        <w:tc>
          <w:tcPr>
            <w:tcW w:w="560" w:type="dxa"/>
            <w:tcBorders>
              <w:top w:val="single" w:sz="4" w:space="0" w:color="auto"/>
              <w:left w:val="nil"/>
              <w:bottom w:val="nil"/>
              <w:right w:val="nil"/>
            </w:tcBorders>
            <w:shd w:val="clear" w:color="auto" w:fill="auto"/>
            <w:vAlign w:val="center"/>
            <w:hideMark/>
          </w:tcPr>
          <w:p w14:paraId="30791D3F" w14:textId="77777777" w:rsidR="005B55F2" w:rsidRPr="008406E5" w:rsidRDefault="005B55F2" w:rsidP="006C4BE0">
            <w:pPr>
              <w:spacing w:beforeAutospacing="1" w:afterAutospacing="1"/>
              <w:jc w:val="center"/>
              <w:textAlignment w:val="baseline"/>
            </w:pPr>
            <w:r w:rsidRPr="08D4D6A2">
              <w:rPr>
                <w:i/>
                <w:iCs/>
                <w:color w:val="000000"/>
              </w:rPr>
              <w:t>SD</w:t>
            </w:r>
          </w:p>
        </w:tc>
        <w:tc>
          <w:tcPr>
            <w:tcW w:w="568" w:type="dxa"/>
            <w:tcBorders>
              <w:top w:val="single" w:sz="4" w:space="0" w:color="auto"/>
              <w:left w:val="nil"/>
              <w:bottom w:val="nil"/>
              <w:right w:val="nil"/>
            </w:tcBorders>
            <w:shd w:val="clear" w:color="auto" w:fill="auto"/>
            <w:vAlign w:val="center"/>
            <w:hideMark/>
          </w:tcPr>
          <w:p w14:paraId="3163BD79" w14:textId="6B89D6FD" w:rsidR="005B55F2" w:rsidRPr="008406E5" w:rsidRDefault="00CC034B" w:rsidP="006C4BE0">
            <w:pPr>
              <w:spacing w:beforeAutospacing="1" w:afterAutospacing="1"/>
              <w:jc w:val="center"/>
              <w:textAlignment w:val="baseline"/>
            </w:pPr>
            <w:r w:rsidRPr="08D4D6A2">
              <w:rPr>
                <w:i/>
                <w:iCs/>
                <w:color w:val="000000"/>
              </w:rPr>
              <w:t>n</w:t>
            </w:r>
          </w:p>
        </w:tc>
      </w:tr>
      <w:tr w:rsidR="005B55F2" w:rsidRPr="008406E5" w14:paraId="539ECDCD" w14:textId="77777777" w:rsidTr="006C4BE0">
        <w:trPr>
          <w:trHeight w:val="420"/>
        </w:trPr>
        <w:tc>
          <w:tcPr>
            <w:tcW w:w="1684" w:type="dxa"/>
            <w:vMerge w:val="restart"/>
            <w:tcBorders>
              <w:top w:val="nil"/>
              <w:left w:val="nil"/>
              <w:bottom w:val="nil"/>
              <w:right w:val="nil"/>
            </w:tcBorders>
            <w:shd w:val="clear" w:color="auto" w:fill="auto"/>
            <w:hideMark/>
          </w:tcPr>
          <w:p w14:paraId="7A9B4262" w14:textId="77777777" w:rsidR="005B55F2" w:rsidRPr="008406E5" w:rsidRDefault="005B55F2" w:rsidP="006C4BE0">
            <w:pPr>
              <w:spacing w:beforeAutospacing="1" w:afterAutospacing="1"/>
              <w:textAlignment w:val="baseline"/>
            </w:pPr>
            <w:r>
              <w:rPr>
                <w:color w:val="000000"/>
              </w:rPr>
              <w:t>6-12 years</w:t>
            </w:r>
          </w:p>
          <w:p w14:paraId="314EA203" w14:textId="77777777" w:rsidR="005B55F2" w:rsidRPr="008406E5" w:rsidRDefault="005B55F2" w:rsidP="0031117D">
            <w:pPr>
              <w:spacing w:beforeAutospacing="1" w:afterAutospacing="1"/>
              <w:textAlignment w:val="baseline"/>
            </w:pPr>
          </w:p>
          <w:p w14:paraId="30AA2309" w14:textId="77777777" w:rsidR="005B55F2" w:rsidRPr="008406E5" w:rsidRDefault="005B55F2" w:rsidP="0031117D">
            <w:pPr>
              <w:spacing w:beforeAutospacing="1" w:afterAutospacing="1"/>
              <w:textAlignment w:val="baseline"/>
            </w:pPr>
          </w:p>
          <w:p w14:paraId="0A0ED0DD" w14:textId="77777777" w:rsidR="005B55F2" w:rsidRPr="008406E5" w:rsidRDefault="005B55F2" w:rsidP="0031117D">
            <w:pPr>
              <w:spacing w:beforeAutospacing="1" w:afterAutospacing="1"/>
              <w:textAlignment w:val="baseline"/>
            </w:pPr>
          </w:p>
          <w:p w14:paraId="756F516C" w14:textId="77777777" w:rsidR="005B55F2" w:rsidRPr="008406E5" w:rsidRDefault="005B55F2" w:rsidP="0031117D">
            <w:pPr>
              <w:spacing w:beforeAutospacing="1" w:afterAutospacing="1"/>
              <w:textAlignment w:val="baseline"/>
            </w:pPr>
          </w:p>
        </w:tc>
        <w:tc>
          <w:tcPr>
            <w:tcW w:w="1303" w:type="dxa"/>
            <w:tcBorders>
              <w:top w:val="nil"/>
              <w:left w:val="nil"/>
              <w:bottom w:val="nil"/>
              <w:right w:val="nil"/>
            </w:tcBorders>
            <w:shd w:val="clear" w:color="auto" w:fill="auto"/>
            <w:hideMark/>
          </w:tcPr>
          <w:p w14:paraId="4A93A3B4" w14:textId="77777777" w:rsidR="005B55F2" w:rsidRPr="008406E5" w:rsidRDefault="005B55F2" w:rsidP="006C4BE0">
            <w:pPr>
              <w:spacing w:beforeAutospacing="1" w:afterAutospacing="1"/>
              <w:textAlignment w:val="baseline"/>
            </w:pPr>
            <w:r w:rsidRPr="008406E5">
              <w:rPr>
                <w:color w:val="000000"/>
              </w:rPr>
              <w:t>Prosecutor</w:t>
            </w:r>
            <w:r w:rsidRPr="23B9E151">
              <w:t> </w:t>
            </w:r>
          </w:p>
        </w:tc>
        <w:tc>
          <w:tcPr>
            <w:tcW w:w="1469" w:type="dxa"/>
            <w:tcBorders>
              <w:top w:val="nil"/>
              <w:left w:val="nil"/>
              <w:bottom w:val="nil"/>
              <w:right w:val="nil"/>
            </w:tcBorders>
            <w:shd w:val="clear" w:color="auto" w:fill="auto"/>
            <w:hideMark/>
          </w:tcPr>
          <w:p w14:paraId="1CFC19D1" w14:textId="77777777" w:rsidR="005B55F2" w:rsidRPr="008406E5" w:rsidRDefault="005B55F2" w:rsidP="006C4BE0">
            <w:pPr>
              <w:spacing w:beforeAutospacing="1" w:afterAutospacing="1"/>
              <w:textAlignment w:val="baseline"/>
            </w:pPr>
            <w:r w:rsidRPr="008406E5">
              <w:rPr>
                <w:color w:val="000000"/>
              </w:rPr>
              <w:t>Directive</w:t>
            </w:r>
            <w:r w:rsidRPr="23B9E151">
              <w:t> </w:t>
            </w:r>
          </w:p>
        </w:tc>
        <w:tc>
          <w:tcPr>
            <w:tcW w:w="560" w:type="dxa"/>
            <w:tcBorders>
              <w:top w:val="nil"/>
              <w:left w:val="nil"/>
              <w:bottom w:val="nil"/>
              <w:right w:val="nil"/>
            </w:tcBorders>
            <w:shd w:val="clear" w:color="auto" w:fill="auto"/>
            <w:hideMark/>
          </w:tcPr>
          <w:p w14:paraId="0E773036" w14:textId="77777777" w:rsidR="005B55F2" w:rsidRPr="008406E5" w:rsidRDefault="005B55F2" w:rsidP="08D4D6A2">
            <w:pPr>
              <w:spacing w:beforeAutospacing="1" w:afterAutospacing="1"/>
              <w:jc w:val="right"/>
              <w:textAlignment w:val="baseline"/>
            </w:pPr>
            <w:r>
              <w:rPr>
                <w:color w:val="000000"/>
              </w:rPr>
              <w:t>.88</w:t>
            </w:r>
            <w:r w:rsidRPr="008406E5">
              <w:t> </w:t>
            </w:r>
          </w:p>
        </w:tc>
        <w:tc>
          <w:tcPr>
            <w:tcW w:w="560" w:type="dxa"/>
            <w:tcBorders>
              <w:top w:val="nil"/>
              <w:left w:val="nil"/>
              <w:bottom w:val="nil"/>
              <w:right w:val="nil"/>
            </w:tcBorders>
            <w:shd w:val="clear" w:color="auto" w:fill="auto"/>
            <w:hideMark/>
          </w:tcPr>
          <w:p w14:paraId="0D812D76" w14:textId="77777777" w:rsidR="005B55F2" w:rsidRPr="008406E5" w:rsidRDefault="005B55F2" w:rsidP="08D4D6A2">
            <w:pPr>
              <w:spacing w:beforeAutospacing="1" w:afterAutospacing="1"/>
              <w:jc w:val="right"/>
              <w:textAlignment w:val="baseline"/>
            </w:pPr>
            <w:r>
              <w:rPr>
                <w:color w:val="000000"/>
              </w:rPr>
              <w:t>.17</w:t>
            </w:r>
          </w:p>
        </w:tc>
        <w:tc>
          <w:tcPr>
            <w:tcW w:w="568" w:type="dxa"/>
            <w:tcBorders>
              <w:top w:val="nil"/>
              <w:left w:val="nil"/>
              <w:bottom w:val="nil"/>
              <w:right w:val="nil"/>
            </w:tcBorders>
            <w:shd w:val="clear" w:color="auto" w:fill="auto"/>
            <w:hideMark/>
          </w:tcPr>
          <w:p w14:paraId="2FB9B0EE" w14:textId="77777777" w:rsidR="005B55F2" w:rsidRPr="008406E5" w:rsidRDefault="005B55F2" w:rsidP="08D4D6A2">
            <w:pPr>
              <w:spacing w:beforeAutospacing="1" w:afterAutospacing="1"/>
              <w:jc w:val="right"/>
              <w:textAlignment w:val="baseline"/>
            </w:pPr>
            <w:r>
              <w:rPr>
                <w:color w:val="000000"/>
              </w:rPr>
              <w:t>11</w:t>
            </w:r>
          </w:p>
        </w:tc>
        <w:tc>
          <w:tcPr>
            <w:tcW w:w="386" w:type="dxa"/>
            <w:tcBorders>
              <w:top w:val="nil"/>
              <w:left w:val="nil"/>
              <w:bottom w:val="nil"/>
              <w:right w:val="nil"/>
            </w:tcBorders>
            <w:shd w:val="clear" w:color="auto" w:fill="auto"/>
            <w:hideMark/>
          </w:tcPr>
          <w:p w14:paraId="01C5629F"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0C651E2B" w14:textId="77777777" w:rsidR="005B55F2" w:rsidRPr="008406E5" w:rsidRDefault="005B55F2" w:rsidP="08D4D6A2">
            <w:pPr>
              <w:spacing w:beforeAutospacing="1" w:afterAutospacing="1"/>
              <w:jc w:val="right"/>
              <w:textAlignment w:val="baseline"/>
            </w:pPr>
            <w:r>
              <w:rPr>
                <w:color w:val="000000"/>
              </w:rPr>
              <w:t>.92</w:t>
            </w:r>
          </w:p>
        </w:tc>
        <w:tc>
          <w:tcPr>
            <w:tcW w:w="560" w:type="dxa"/>
            <w:tcBorders>
              <w:top w:val="nil"/>
              <w:left w:val="nil"/>
              <w:bottom w:val="nil"/>
              <w:right w:val="nil"/>
            </w:tcBorders>
            <w:shd w:val="clear" w:color="auto" w:fill="auto"/>
            <w:hideMark/>
          </w:tcPr>
          <w:p w14:paraId="1E431824" w14:textId="77777777" w:rsidR="005B55F2" w:rsidRPr="008406E5" w:rsidRDefault="005B55F2" w:rsidP="08D4D6A2">
            <w:pPr>
              <w:spacing w:beforeAutospacing="1" w:afterAutospacing="1"/>
              <w:jc w:val="right"/>
              <w:textAlignment w:val="baseline"/>
            </w:pPr>
            <w:r>
              <w:rPr>
                <w:color w:val="000000"/>
              </w:rPr>
              <w:t>.20</w:t>
            </w:r>
          </w:p>
        </w:tc>
        <w:tc>
          <w:tcPr>
            <w:tcW w:w="568" w:type="dxa"/>
            <w:tcBorders>
              <w:top w:val="nil"/>
              <w:left w:val="nil"/>
              <w:bottom w:val="nil"/>
              <w:right w:val="nil"/>
            </w:tcBorders>
            <w:shd w:val="clear" w:color="auto" w:fill="auto"/>
            <w:hideMark/>
          </w:tcPr>
          <w:p w14:paraId="0F01D040" w14:textId="77777777" w:rsidR="005B55F2" w:rsidRPr="008406E5" w:rsidRDefault="005B55F2" w:rsidP="08D4D6A2">
            <w:pPr>
              <w:spacing w:beforeAutospacing="1" w:afterAutospacing="1"/>
              <w:jc w:val="right"/>
              <w:textAlignment w:val="baseline"/>
            </w:pPr>
            <w:r>
              <w:rPr>
                <w:color w:val="000000"/>
              </w:rPr>
              <w:t>6</w:t>
            </w:r>
            <w:r w:rsidRPr="008406E5">
              <w:t> </w:t>
            </w:r>
          </w:p>
        </w:tc>
      </w:tr>
      <w:tr w:rsidR="005B55F2" w:rsidRPr="008406E5" w14:paraId="7E1D2CA2" w14:textId="77777777" w:rsidTr="006C4BE0">
        <w:trPr>
          <w:trHeight w:val="420"/>
        </w:trPr>
        <w:tc>
          <w:tcPr>
            <w:tcW w:w="1684" w:type="dxa"/>
            <w:vMerge/>
            <w:tcBorders>
              <w:top w:val="nil"/>
              <w:left w:val="nil"/>
              <w:bottom w:val="nil"/>
              <w:right w:val="nil"/>
            </w:tcBorders>
            <w:shd w:val="clear" w:color="auto" w:fill="auto"/>
            <w:hideMark/>
          </w:tcPr>
          <w:p w14:paraId="0E4A098E" w14:textId="77777777" w:rsidR="005B55F2" w:rsidRPr="008406E5" w:rsidRDefault="005B55F2" w:rsidP="0031117D"/>
        </w:tc>
        <w:tc>
          <w:tcPr>
            <w:tcW w:w="1303" w:type="dxa"/>
            <w:tcBorders>
              <w:top w:val="nil"/>
              <w:left w:val="nil"/>
              <w:bottom w:val="nil"/>
              <w:right w:val="nil"/>
            </w:tcBorders>
            <w:shd w:val="clear" w:color="auto" w:fill="auto"/>
            <w:hideMark/>
          </w:tcPr>
          <w:p w14:paraId="495D40BC"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19895653" w14:textId="77777777" w:rsidR="005B55F2" w:rsidRPr="008406E5" w:rsidRDefault="005B55F2" w:rsidP="006C4BE0">
            <w:pPr>
              <w:spacing w:beforeAutospacing="1" w:afterAutospacing="1"/>
              <w:textAlignment w:val="baseline"/>
            </w:pPr>
            <w:r w:rsidRPr="008406E5">
              <w:rPr>
                <w:color w:val="000000"/>
              </w:rPr>
              <w:t>Option-Posing</w:t>
            </w:r>
            <w:r w:rsidRPr="23B9E151">
              <w:t> </w:t>
            </w:r>
          </w:p>
        </w:tc>
        <w:tc>
          <w:tcPr>
            <w:tcW w:w="560" w:type="dxa"/>
            <w:tcBorders>
              <w:top w:val="nil"/>
              <w:left w:val="nil"/>
              <w:bottom w:val="nil"/>
              <w:right w:val="nil"/>
            </w:tcBorders>
            <w:shd w:val="clear" w:color="auto" w:fill="auto"/>
            <w:hideMark/>
          </w:tcPr>
          <w:p w14:paraId="44C16274" w14:textId="77777777" w:rsidR="005B55F2" w:rsidRPr="008406E5" w:rsidRDefault="005B55F2" w:rsidP="08D4D6A2">
            <w:pPr>
              <w:spacing w:beforeAutospacing="1" w:afterAutospacing="1"/>
              <w:jc w:val="right"/>
              <w:textAlignment w:val="baseline"/>
            </w:pPr>
            <w:r>
              <w:rPr>
                <w:color w:val="000000"/>
              </w:rPr>
              <w:t>.88</w:t>
            </w:r>
          </w:p>
        </w:tc>
        <w:tc>
          <w:tcPr>
            <w:tcW w:w="560" w:type="dxa"/>
            <w:tcBorders>
              <w:top w:val="nil"/>
              <w:left w:val="nil"/>
              <w:bottom w:val="nil"/>
              <w:right w:val="nil"/>
            </w:tcBorders>
            <w:shd w:val="clear" w:color="auto" w:fill="auto"/>
            <w:hideMark/>
          </w:tcPr>
          <w:p w14:paraId="49EACDBD" w14:textId="77777777" w:rsidR="005B55F2" w:rsidRPr="008406E5" w:rsidRDefault="005B55F2" w:rsidP="08D4D6A2">
            <w:pPr>
              <w:spacing w:beforeAutospacing="1" w:afterAutospacing="1"/>
              <w:jc w:val="right"/>
              <w:textAlignment w:val="baseline"/>
            </w:pPr>
            <w:r>
              <w:rPr>
                <w:color w:val="000000"/>
              </w:rPr>
              <w:t>.15</w:t>
            </w:r>
          </w:p>
        </w:tc>
        <w:tc>
          <w:tcPr>
            <w:tcW w:w="568" w:type="dxa"/>
            <w:tcBorders>
              <w:top w:val="nil"/>
              <w:left w:val="nil"/>
              <w:bottom w:val="nil"/>
              <w:right w:val="nil"/>
            </w:tcBorders>
            <w:shd w:val="clear" w:color="auto" w:fill="auto"/>
            <w:hideMark/>
          </w:tcPr>
          <w:p w14:paraId="4FE39E15" w14:textId="77777777" w:rsidR="005B55F2" w:rsidRPr="008406E5" w:rsidRDefault="005B55F2" w:rsidP="08D4D6A2">
            <w:pPr>
              <w:spacing w:beforeAutospacing="1" w:afterAutospacing="1"/>
              <w:jc w:val="right"/>
              <w:textAlignment w:val="baseline"/>
            </w:pPr>
            <w:r>
              <w:rPr>
                <w:color w:val="000000"/>
              </w:rPr>
              <w:t>14</w:t>
            </w:r>
            <w:r w:rsidRPr="008406E5">
              <w:t> </w:t>
            </w:r>
          </w:p>
        </w:tc>
        <w:tc>
          <w:tcPr>
            <w:tcW w:w="386" w:type="dxa"/>
            <w:tcBorders>
              <w:top w:val="nil"/>
              <w:left w:val="nil"/>
              <w:bottom w:val="nil"/>
              <w:right w:val="nil"/>
            </w:tcBorders>
            <w:shd w:val="clear" w:color="auto" w:fill="auto"/>
            <w:hideMark/>
          </w:tcPr>
          <w:p w14:paraId="6A345DF9"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76060B32" w14:textId="77777777" w:rsidR="005B55F2" w:rsidRPr="008406E5" w:rsidRDefault="005B55F2" w:rsidP="08D4D6A2">
            <w:pPr>
              <w:spacing w:beforeAutospacing="1" w:afterAutospacing="1"/>
              <w:jc w:val="right"/>
              <w:textAlignment w:val="baseline"/>
            </w:pPr>
            <w:r>
              <w:rPr>
                <w:color w:val="000000"/>
              </w:rPr>
              <w:t>.90</w:t>
            </w:r>
          </w:p>
        </w:tc>
        <w:tc>
          <w:tcPr>
            <w:tcW w:w="560" w:type="dxa"/>
            <w:tcBorders>
              <w:top w:val="nil"/>
              <w:left w:val="nil"/>
              <w:bottom w:val="nil"/>
              <w:right w:val="nil"/>
            </w:tcBorders>
            <w:shd w:val="clear" w:color="auto" w:fill="auto"/>
            <w:hideMark/>
          </w:tcPr>
          <w:p w14:paraId="60E87306" w14:textId="77777777" w:rsidR="005B55F2" w:rsidRPr="008406E5" w:rsidRDefault="005B55F2" w:rsidP="08D4D6A2">
            <w:pPr>
              <w:spacing w:beforeAutospacing="1" w:afterAutospacing="1"/>
              <w:jc w:val="right"/>
              <w:textAlignment w:val="baseline"/>
            </w:pPr>
            <w:r>
              <w:rPr>
                <w:color w:val="000000"/>
              </w:rPr>
              <w:t>.22</w:t>
            </w:r>
          </w:p>
        </w:tc>
        <w:tc>
          <w:tcPr>
            <w:tcW w:w="568" w:type="dxa"/>
            <w:tcBorders>
              <w:top w:val="nil"/>
              <w:left w:val="nil"/>
              <w:bottom w:val="nil"/>
              <w:right w:val="nil"/>
            </w:tcBorders>
            <w:shd w:val="clear" w:color="auto" w:fill="auto"/>
            <w:hideMark/>
          </w:tcPr>
          <w:p w14:paraId="5091A2BE" w14:textId="77777777" w:rsidR="005B55F2" w:rsidRPr="008406E5" w:rsidRDefault="005B55F2" w:rsidP="08D4D6A2">
            <w:pPr>
              <w:spacing w:beforeAutospacing="1" w:afterAutospacing="1"/>
              <w:jc w:val="right"/>
              <w:textAlignment w:val="baseline"/>
            </w:pPr>
            <w:r>
              <w:rPr>
                <w:color w:val="000000"/>
              </w:rPr>
              <w:t>5</w:t>
            </w:r>
            <w:r w:rsidRPr="008406E5">
              <w:t> </w:t>
            </w:r>
          </w:p>
        </w:tc>
      </w:tr>
      <w:tr w:rsidR="005B55F2" w:rsidRPr="008406E5" w14:paraId="4C6C68B5" w14:textId="77777777" w:rsidTr="006C4BE0">
        <w:trPr>
          <w:trHeight w:val="420"/>
        </w:trPr>
        <w:tc>
          <w:tcPr>
            <w:tcW w:w="1684" w:type="dxa"/>
            <w:vMerge/>
            <w:tcBorders>
              <w:top w:val="nil"/>
              <w:left w:val="nil"/>
              <w:bottom w:val="nil"/>
              <w:right w:val="nil"/>
            </w:tcBorders>
            <w:shd w:val="clear" w:color="auto" w:fill="auto"/>
            <w:hideMark/>
          </w:tcPr>
          <w:p w14:paraId="40464C58" w14:textId="77777777" w:rsidR="005B55F2" w:rsidRPr="008406E5" w:rsidRDefault="005B55F2" w:rsidP="0031117D"/>
        </w:tc>
        <w:tc>
          <w:tcPr>
            <w:tcW w:w="1303" w:type="dxa"/>
            <w:tcBorders>
              <w:top w:val="nil"/>
              <w:left w:val="nil"/>
              <w:bottom w:val="nil"/>
              <w:right w:val="nil"/>
            </w:tcBorders>
            <w:shd w:val="clear" w:color="auto" w:fill="auto"/>
            <w:hideMark/>
          </w:tcPr>
          <w:p w14:paraId="63EBB1CB"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6410B32D" w14:textId="77777777" w:rsidR="005B55F2" w:rsidRPr="008406E5" w:rsidRDefault="005B55F2" w:rsidP="006C4BE0">
            <w:pPr>
              <w:spacing w:beforeAutospacing="1" w:afterAutospacing="1"/>
              <w:textAlignment w:val="baseline"/>
            </w:pPr>
            <w:r w:rsidRPr="008406E5">
              <w:rPr>
                <w:color w:val="000000"/>
              </w:rPr>
              <w:t>Suggestive</w:t>
            </w:r>
            <w:r w:rsidRPr="23B9E151">
              <w:t> </w:t>
            </w:r>
          </w:p>
        </w:tc>
        <w:tc>
          <w:tcPr>
            <w:tcW w:w="560" w:type="dxa"/>
            <w:tcBorders>
              <w:top w:val="nil"/>
              <w:left w:val="nil"/>
              <w:bottom w:val="nil"/>
              <w:right w:val="nil"/>
            </w:tcBorders>
            <w:shd w:val="clear" w:color="auto" w:fill="auto"/>
            <w:hideMark/>
          </w:tcPr>
          <w:p w14:paraId="6FB6BDE8" w14:textId="77777777" w:rsidR="005B55F2" w:rsidRPr="008406E5" w:rsidRDefault="005B55F2" w:rsidP="08D4D6A2">
            <w:pPr>
              <w:spacing w:beforeAutospacing="1" w:afterAutospacing="1"/>
              <w:jc w:val="right"/>
              <w:textAlignment w:val="baseline"/>
            </w:pPr>
            <w:r>
              <w:rPr>
                <w:color w:val="000000"/>
              </w:rPr>
              <w:t>1.0</w:t>
            </w:r>
          </w:p>
        </w:tc>
        <w:tc>
          <w:tcPr>
            <w:tcW w:w="560" w:type="dxa"/>
            <w:tcBorders>
              <w:top w:val="nil"/>
              <w:left w:val="nil"/>
              <w:bottom w:val="nil"/>
              <w:right w:val="nil"/>
            </w:tcBorders>
            <w:shd w:val="clear" w:color="auto" w:fill="auto"/>
            <w:hideMark/>
          </w:tcPr>
          <w:p w14:paraId="50A05116" w14:textId="77777777" w:rsidR="005B55F2" w:rsidRPr="008406E5" w:rsidRDefault="005B55F2" w:rsidP="08D4D6A2">
            <w:pPr>
              <w:spacing w:beforeAutospacing="1" w:afterAutospacing="1"/>
              <w:jc w:val="right"/>
              <w:textAlignment w:val="baseline"/>
            </w:pPr>
            <w:r>
              <w:rPr>
                <w:color w:val="000000"/>
              </w:rPr>
              <w:t>.00</w:t>
            </w:r>
          </w:p>
        </w:tc>
        <w:tc>
          <w:tcPr>
            <w:tcW w:w="568" w:type="dxa"/>
            <w:tcBorders>
              <w:top w:val="nil"/>
              <w:left w:val="nil"/>
              <w:bottom w:val="nil"/>
              <w:right w:val="nil"/>
            </w:tcBorders>
            <w:shd w:val="clear" w:color="auto" w:fill="auto"/>
            <w:hideMark/>
          </w:tcPr>
          <w:p w14:paraId="315390BC" w14:textId="77777777" w:rsidR="005B55F2" w:rsidRPr="008406E5" w:rsidRDefault="005B55F2" w:rsidP="08D4D6A2">
            <w:pPr>
              <w:spacing w:beforeAutospacing="1" w:afterAutospacing="1"/>
              <w:jc w:val="right"/>
              <w:textAlignment w:val="baseline"/>
            </w:pPr>
            <w:r>
              <w:rPr>
                <w:color w:val="000000"/>
              </w:rPr>
              <w:t>2</w:t>
            </w:r>
            <w:r w:rsidRPr="008406E5">
              <w:t> </w:t>
            </w:r>
          </w:p>
        </w:tc>
        <w:tc>
          <w:tcPr>
            <w:tcW w:w="386" w:type="dxa"/>
            <w:tcBorders>
              <w:top w:val="nil"/>
              <w:left w:val="nil"/>
              <w:bottom w:val="nil"/>
              <w:right w:val="nil"/>
            </w:tcBorders>
            <w:shd w:val="clear" w:color="auto" w:fill="auto"/>
            <w:hideMark/>
          </w:tcPr>
          <w:p w14:paraId="6DE44AAB"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6A11822C" w14:textId="77777777" w:rsidR="005B55F2" w:rsidRPr="008406E5" w:rsidRDefault="005B55F2" w:rsidP="08D4D6A2">
            <w:pPr>
              <w:spacing w:beforeAutospacing="1" w:afterAutospacing="1"/>
              <w:jc w:val="right"/>
              <w:textAlignment w:val="baseline"/>
            </w:pPr>
            <w:r>
              <w:rPr>
                <w:color w:val="000000"/>
              </w:rPr>
              <w:t>1.0</w:t>
            </w:r>
          </w:p>
        </w:tc>
        <w:tc>
          <w:tcPr>
            <w:tcW w:w="560" w:type="dxa"/>
            <w:tcBorders>
              <w:top w:val="nil"/>
              <w:left w:val="nil"/>
              <w:bottom w:val="nil"/>
              <w:right w:val="nil"/>
            </w:tcBorders>
            <w:shd w:val="clear" w:color="auto" w:fill="auto"/>
            <w:hideMark/>
          </w:tcPr>
          <w:p w14:paraId="3CBBBC29" w14:textId="77777777" w:rsidR="005B55F2" w:rsidRPr="008406E5" w:rsidRDefault="005B55F2" w:rsidP="08D4D6A2">
            <w:pPr>
              <w:spacing w:beforeAutospacing="1" w:afterAutospacing="1"/>
              <w:jc w:val="right"/>
              <w:textAlignment w:val="baseline"/>
            </w:pPr>
            <w:r>
              <w:rPr>
                <w:color w:val="000000"/>
              </w:rPr>
              <w:t>.00</w:t>
            </w:r>
          </w:p>
        </w:tc>
        <w:tc>
          <w:tcPr>
            <w:tcW w:w="568" w:type="dxa"/>
            <w:tcBorders>
              <w:top w:val="nil"/>
              <w:left w:val="nil"/>
              <w:bottom w:val="nil"/>
              <w:right w:val="nil"/>
            </w:tcBorders>
            <w:shd w:val="clear" w:color="auto" w:fill="auto"/>
            <w:hideMark/>
          </w:tcPr>
          <w:p w14:paraId="092E3323" w14:textId="77777777" w:rsidR="005B55F2" w:rsidRPr="008406E5" w:rsidRDefault="005B55F2" w:rsidP="08D4D6A2">
            <w:pPr>
              <w:spacing w:beforeAutospacing="1" w:afterAutospacing="1"/>
              <w:jc w:val="right"/>
              <w:textAlignment w:val="baseline"/>
            </w:pPr>
            <w:r>
              <w:rPr>
                <w:color w:val="000000"/>
              </w:rPr>
              <w:t>2</w:t>
            </w:r>
            <w:r w:rsidRPr="008406E5">
              <w:t> </w:t>
            </w:r>
          </w:p>
        </w:tc>
      </w:tr>
      <w:tr w:rsidR="005B55F2" w:rsidRPr="008406E5" w14:paraId="649CCE4D" w14:textId="77777777" w:rsidTr="006C4BE0">
        <w:trPr>
          <w:trHeight w:val="420"/>
        </w:trPr>
        <w:tc>
          <w:tcPr>
            <w:tcW w:w="1684" w:type="dxa"/>
            <w:vMerge/>
            <w:tcBorders>
              <w:top w:val="nil"/>
              <w:left w:val="nil"/>
              <w:bottom w:val="nil"/>
              <w:right w:val="nil"/>
            </w:tcBorders>
            <w:shd w:val="clear" w:color="auto" w:fill="auto"/>
            <w:hideMark/>
          </w:tcPr>
          <w:p w14:paraId="75F9BAEC" w14:textId="77777777" w:rsidR="005B55F2" w:rsidRPr="008406E5" w:rsidRDefault="005B55F2" w:rsidP="0031117D"/>
        </w:tc>
        <w:tc>
          <w:tcPr>
            <w:tcW w:w="1303" w:type="dxa"/>
            <w:tcBorders>
              <w:top w:val="nil"/>
              <w:left w:val="nil"/>
              <w:bottom w:val="nil"/>
              <w:right w:val="nil"/>
            </w:tcBorders>
            <w:shd w:val="clear" w:color="auto" w:fill="auto"/>
            <w:hideMark/>
          </w:tcPr>
          <w:p w14:paraId="0884E168" w14:textId="3BC8E212" w:rsidR="005B55F2" w:rsidRPr="008406E5" w:rsidRDefault="005B55F2" w:rsidP="006C4BE0">
            <w:pPr>
              <w:spacing w:beforeAutospacing="1" w:afterAutospacing="1"/>
              <w:textAlignment w:val="baseline"/>
            </w:pPr>
            <w:r w:rsidRPr="008406E5">
              <w:rPr>
                <w:color w:val="000000"/>
              </w:rPr>
              <w:t>Defence</w:t>
            </w:r>
            <w:r w:rsidRPr="23B9E151">
              <w:t> </w:t>
            </w:r>
          </w:p>
        </w:tc>
        <w:tc>
          <w:tcPr>
            <w:tcW w:w="1469" w:type="dxa"/>
            <w:tcBorders>
              <w:top w:val="nil"/>
              <w:left w:val="nil"/>
              <w:bottom w:val="nil"/>
              <w:right w:val="nil"/>
            </w:tcBorders>
            <w:shd w:val="clear" w:color="auto" w:fill="auto"/>
            <w:hideMark/>
          </w:tcPr>
          <w:p w14:paraId="6CC7F505" w14:textId="77777777" w:rsidR="005B55F2" w:rsidRPr="008406E5" w:rsidRDefault="005B55F2" w:rsidP="006C4BE0">
            <w:pPr>
              <w:spacing w:beforeAutospacing="1" w:afterAutospacing="1"/>
              <w:textAlignment w:val="baseline"/>
            </w:pPr>
            <w:r w:rsidRPr="008406E5">
              <w:rPr>
                <w:color w:val="000000"/>
              </w:rPr>
              <w:t>Directive</w:t>
            </w:r>
            <w:r w:rsidRPr="23B9E151">
              <w:t> </w:t>
            </w:r>
          </w:p>
        </w:tc>
        <w:tc>
          <w:tcPr>
            <w:tcW w:w="560" w:type="dxa"/>
            <w:tcBorders>
              <w:top w:val="nil"/>
              <w:left w:val="nil"/>
              <w:bottom w:val="nil"/>
              <w:right w:val="nil"/>
            </w:tcBorders>
            <w:shd w:val="clear" w:color="auto" w:fill="auto"/>
            <w:hideMark/>
          </w:tcPr>
          <w:p w14:paraId="4E0FC165" w14:textId="77777777" w:rsidR="005B55F2" w:rsidRPr="008406E5" w:rsidRDefault="005B55F2" w:rsidP="08D4D6A2">
            <w:pPr>
              <w:spacing w:beforeAutospacing="1" w:afterAutospacing="1"/>
              <w:jc w:val="right"/>
              <w:textAlignment w:val="baseline"/>
            </w:pPr>
            <w:r>
              <w:rPr>
                <w:color w:val="000000"/>
              </w:rPr>
              <w:t>.84</w:t>
            </w:r>
          </w:p>
        </w:tc>
        <w:tc>
          <w:tcPr>
            <w:tcW w:w="560" w:type="dxa"/>
            <w:tcBorders>
              <w:top w:val="nil"/>
              <w:left w:val="nil"/>
              <w:bottom w:val="nil"/>
              <w:right w:val="nil"/>
            </w:tcBorders>
            <w:shd w:val="clear" w:color="auto" w:fill="auto"/>
            <w:hideMark/>
          </w:tcPr>
          <w:p w14:paraId="4D7B0DD7" w14:textId="77777777" w:rsidR="005B55F2" w:rsidRPr="008406E5" w:rsidRDefault="005B55F2" w:rsidP="08D4D6A2">
            <w:pPr>
              <w:spacing w:beforeAutospacing="1" w:afterAutospacing="1"/>
              <w:jc w:val="right"/>
              <w:textAlignment w:val="baseline"/>
            </w:pPr>
            <w:r>
              <w:rPr>
                <w:color w:val="000000"/>
              </w:rPr>
              <w:t>.24</w:t>
            </w:r>
          </w:p>
        </w:tc>
        <w:tc>
          <w:tcPr>
            <w:tcW w:w="568" w:type="dxa"/>
            <w:tcBorders>
              <w:top w:val="nil"/>
              <w:left w:val="nil"/>
              <w:bottom w:val="nil"/>
              <w:right w:val="nil"/>
            </w:tcBorders>
            <w:shd w:val="clear" w:color="auto" w:fill="auto"/>
            <w:hideMark/>
          </w:tcPr>
          <w:p w14:paraId="04CEDC42" w14:textId="77777777" w:rsidR="005B55F2" w:rsidRPr="008406E5" w:rsidRDefault="005B55F2" w:rsidP="08D4D6A2">
            <w:pPr>
              <w:spacing w:beforeAutospacing="1" w:afterAutospacing="1"/>
              <w:jc w:val="right"/>
              <w:textAlignment w:val="baseline"/>
            </w:pPr>
            <w:r>
              <w:rPr>
                <w:color w:val="000000"/>
              </w:rPr>
              <w:t>23</w:t>
            </w:r>
            <w:r w:rsidRPr="008406E5">
              <w:t> </w:t>
            </w:r>
          </w:p>
        </w:tc>
        <w:tc>
          <w:tcPr>
            <w:tcW w:w="386" w:type="dxa"/>
            <w:tcBorders>
              <w:top w:val="nil"/>
              <w:left w:val="nil"/>
              <w:bottom w:val="nil"/>
              <w:right w:val="nil"/>
            </w:tcBorders>
            <w:shd w:val="clear" w:color="auto" w:fill="auto"/>
            <w:hideMark/>
          </w:tcPr>
          <w:p w14:paraId="0EE479B7"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6E1E1B9F" w14:textId="77777777" w:rsidR="005B55F2" w:rsidRPr="008406E5" w:rsidRDefault="005B55F2" w:rsidP="08D4D6A2">
            <w:pPr>
              <w:spacing w:beforeAutospacing="1" w:afterAutospacing="1"/>
              <w:jc w:val="right"/>
              <w:textAlignment w:val="baseline"/>
            </w:pPr>
            <w:r>
              <w:rPr>
                <w:color w:val="000000"/>
              </w:rPr>
              <w:t>.88</w:t>
            </w:r>
          </w:p>
        </w:tc>
        <w:tc>
          <w:tcPr>
            <w:tcW w:w="560" w:type="dxa"/>
            <w:tcBorders>
              <w:top w:val="nil"/>
              <w:left w:val="nil"/>
              <w:bottom w:val="nil"/>
              <w:right w:val="nil"/>
            </w:tcBorders>
            <w:shd w:val="clear" w:color="auto" w:fill="auto"/>
            <w:hideMark/>
          </w:tcPr>
          <w:p w14:paraId="1416A12B" w14:textId="77777777" w:rsidR="005B55F2" w:rsidRPr="008406E5" w:rsidRDefault="005B55F2" w:rsidP="08D4D6A2">
            <w:pPr>
              <w:spacing w:beforeAutospacing="1" w:afterAutospacing="1"/>
              <w:jc w:val="right"/>
              <w:textAlignment w:val="baseline"/>
            </w:pPr>
            <w:r>
              <w:rPr>
                <w:color w:val="000000"/>
              </w:rPr>
              <w:t>.19</w:t>
            </w:r>
          </w:p>
        </w:tc>
        <w:tc>
          <w:tcPr>
            <w:tcW w:w="568" w:type="dxa"/>
            <w:tcBorders>
              <w:top w:val="nil"/>
              <w:left w:val="nil"/>
              <w:bottom w:val="nil"/>
              <w:right w:val="nil"/>
            </w:tcBorders>
            <w:shd w:val="clear" w:color="auto" w:fill="auto"/>
            <w:hideMark/>
          </w:tcPr>
          <w:p w14:paraId="4331B295" w14:textId="77777777" w:rsidR="005B55F2" w:rsidRPr="008406E5" w:rsidRDefault="005B55F2" w:rsidP="08D4D6A2">
            <w:pPr>
              <w:spacing w:beforeAutospacing="1" w:afterAutospacing="1"/>
              <w:jc w:val="right"/>
              <w:textAlignment w:val="baseline"/>
            </w:pPr>
            <w:r>
              <w:rPr>
                <w:color w:val="000000"/>
              </w:rPr>
              <w:t>22</w:t>
            </w:r>
            <w:r w:rsidRPr="008406E5">
              <w:t> </w:t>
            </w:r>
          </w:p>
        </w:tc>
      </w:tr>
      <w:tr w:rsidR="005B55F2" w:rsidRPr="008406E5" w14:paraId="0F77B845" w14:textId="77777777" w:rsidTr="006C4BE0">
        <w:trPr>
          <w:trHeight w:val="420"/>
        </w:trPr>
        <w:tc>
          <w:tcPr>
            <w:tcW w:w="1684" w:type="dxa"/>
            <w:vMerge/>
            <w:tcBorders>
              <w:top w:val="nil"/>
              <w:left w:val="nil"/>
              <w:bottom w:val="nil"/>
              <w:right w:val="nil"/>
            </w:tcBorders>
            <w:shd w:val="clear" w:color="auto" w:fill="auto"/>
            <w:hideMark/>
          </w:tcPr>
          <w:p w14:paraId="6EA34772" w14:textId="77777777" w:rsidR="005B55F2" w:rsidRPr="008406E5" w:rsidRDefault="005B55F2" w:rsidP="0031117D"/>
        </w:tc>
        <w:tc>
          <w:tcPr>
            <w:tcW w:w="1303" w:type="dxa"/>
            <w:tcBorders>
              <w:top w:val="nil"/>
              <w:left w:val="nil"/>
              <w:bottom w:val="nil"/>
              <w:right w:val="nil"/>
            </w:tcBorders>
            <w:shd w:val="clear" w:color="auto" w:fill="auto"/>
            <w:hideMark/>
          </w:tcPr>
          <w:p w14:paraId="08F8DAB3"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4DEAC949" w14:textId="77777777" w:rsidR="005B55F2" w:rsidRPr="008406E5" w:rsidRDefault="005B55F2" w:rsidP="006C4BE0">
            <w:pPr>
              <w:spacing w:beforeAutospacing="1" w:afterAutospacing="1"/>
              <w:textAlignment w:val="baseline"/>
            </w:pPr>
            <w:r w:rsidRPr="008406E5">
              <w:rPr>
                <w:color w:val="000000"/>
              </w:rPr>
              <w:t>Option-Posing</w:t>
            </w:r>
            <w:r w:rsidRPr="23B9E151">
              <w:t> </w:t>
            </w:r>
          </w:p>
        </w:tc>
        <w:tc>
          <w:tcPr>
            <w:tcW w:w="560" w:type="dxa"/>
            <w:tcBorders>
              <w:top w:val="nil"/>
              <w:left w:val="nil"/>
              <w:bottom w:val="nil"/>
              <w:right w:val="nil"/>
            </w:tcBorders>
            <w:shd w:val="clear" w:color="auto" w:fill="auto"/>
            <w:hideMark/>
          </w:tcPr>
          <w:p w14:paraId="4338E191" w14:textId="77777777" w:rsidR="005B55F2" w:rsidRPr="008406E5" w:rsidRDefault="005B55F2" w:rsidP="08D4D6A2">
            <w:pPr>
              <w:spacing w:beforeAutospacing="1" w:afterAutospacing="1"/>
              <w:jc w:val="right"/>
              <w:textAlignment w:val="baseline"/>
            </w:pPr>
            <w:r>
              <w:rPr>
                <w:color w:val="000000"/>
              </w:rPr>
              <w:t>.94</w:t>
            </w:r>
          </w:p>
        </w:tc>
        <w:tc>
          <w:tcPr>
            <w:tcW w:w="560" w:type="dxa"/>
            <w:tcBorders>
              <w:top w:val="nil"/>
              <w:left w:val="nil"/>
              <w:bottom w:val="nil"/>
              <w:right w:val="nil"/>
            </w:tcBorders>
            <w:shd w:val="clear" w:color="auto" w:fill="auto"/>
            <w:hideMark/>
          </w:tcPr>
          <w:p w14:paraId="78324EAA" w14:textId="77777777" w:rsidR="005B55F2" w:rsidRPr="008406E5" w:rsidRDefault="005B55F2" w:rsidP="08D4D6A2">
            <w:pPr>
              <w:spacing w:beforeAutospacing="1" w:afterAutospacing="1"/>
              <w:jc w:val="right"/>
              <w:textAlignment w:val="baseline"/>
            </w:pPr>
            <w:r>
              <w:rPr>
                <w:color w:val="000000"/>
              </w:rPr>
              <w:t>.05</w:t>
            </w:r>
          </w:p>
        </w:tc>
        <w:tc>
          <w:tcPr>
            <w:tcW w:w="568" w:type="dxa"/>
            <w:tcBorders>
              <w:top w:val="nil"/>
              <w:left w:val="nil"/>
              <w:bottom w:val="nil"/>
              <w:right w:val="nil"/>
            </w:tcBorders>
            <w:shd w:val="clear" w:color="auto" w:fill="auto"/>
            <w:hideMark/>
          </w:tcPr>
          <w:p w14:paraId="3D00CB8A" w14:textId="77777777" w:rsidR="005B55F2" w:rsidRPr="008406E5" w:rsidRDefault="005B55F2" w:rsidP="08D4D6A2">
            <w:pPr>
              <w:spacing w:beforeAutospacing="1" w:afterAutospacing="1"/>
              <w:jc w:val="right"/>
              <w:textAlignment w:val="baseline"/>
            </w:pPr>
            <w:r>
              <w:rPr>
                <w:color w:val="000000"/>
              </w:rPr>
              <w:t>24</w:t>
            </w:r>
            <w:r w:rsidRPr="008406E5">
              <w:t> </w:t>
            </w:r>
          </w:p>
        </w:tc>
        <w:tc>
          <w:tcPr>
            <w:tcW w:w="386" w:type="dxa"/>
            <w:tcBorders>
              <w:top w:val="nil"/>
              <w:left w:val="nil"/>
              <w:bottom w:val="nil"/>
              <w:right w:val="nil"/>
            </w:tcBorders>
            <w:shd w:val="clear" w:color="auto" w:fill="auto"/>
            <w:hideMark/>
          </w:tcPr>
          <w:p w14:paraId="628D49AB"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61500B79" w14:textId="77777777" w:rsidR="005B55F2" w:rsidRPr="008406E5" w:rsidRDefault="005B55F2" w:rsidP="08D4D6A2">
            <w:pPr>
              <w:spacing w:beforeAutospacing="1" w:afterAutospacing="1"/>
              <w:jc w:val="right"/>
              <w:textAlignment w:val="baseline"/>
            </w:pPr>
            <w:r>
              <w:rPr>
                <w:color w:val="000000"/>
              </w:rPr>
              <w:t>.87</w:t>
            </w:r>
          </w:p>
        </w:tc>
        <w:tc>
          <w:tcPr>
            <w:tcW w:w="560" w:type="dxa"/>
            <w:tcBorders>
              <w:top w:val="nil"/>
              <w:left w:val="nil"/>
              <w:bottom w:val="nil"/>
              <w:right w:val="nil"/>
            </w:tcBorders>
            <w:shd w:val="clear" w:color="auto" w:fill="auto"/>
            <w:hideMark/>
          </w:tcPr>
          <w:p w14:paraId="56D4FF71" w14:textId="77777777" w:rsidR="005B55F2" w:rsidRPr="008406E5" w:rsidRDefault="005B55F2" w:rsidP="08D4D6A2">
            <w:pPr>
              <w:spacing w:beforeAutospacing="1" w:afterAutospacing="1"/>
              <w:jc w:val="right"/>
              <w:textAlignment w:val="baseline"/>
            </w:pPr>
            <w:r>
              <w:rPr>
                <w:color w:val="000000"/>
              </w:rPr>
              <w:t>.20</w:t>
            </w:r>
          </w:p>
        </w:tc>
        <w:tc>
          <w:tcPr>
            <w:tcW w:w="568" w:type="dxa"/>
            <w:tcBorders>
              <w:top w:val="nil"/>
              <w:left w:val="nil"/>
              <w:bottom w:val="nil"/>
              <w:right w:val="nil"/>
            </w:tcBorders>
            <w:shd w:val="clear" w:color="auto" w:fill="auto"/>
            <w:hideMark/>
          </w:tcPr>
          <w:p w14:paraId="44586DC3" w14:textId="77777777" w:rsidR="005B55F2" w:rsidRPr="008406E5" w:rsidRDefault="005B55F2" w:rsidP="08D4D6A2">
            <w:pPr>
              <w:spacing w:beforeAutospacing="1" w:afterAutospacing="1"/>
              <w:jc w:val="right"/>
              <w:textAlignment w:val="baseline"/>
            </w:pPr>
            <w:r>
              <w:rPr>
                <w:color w:val="000000"/>
              </w:rPr>
              <w:t>22</w:t>
            </w:r>
            <w:r w:rsidRPr="008406E5">
              <w:t> </w:t>
            </w:r>
          </w:p>
        </w:tc>
      </w:tr>
      <w:tr w:rsidR="005B55F2" w:rsidRPr="008406E5" w14:paraId="5F89F099" w14:textId="77777777" w:rsidTr="006C4BE0">
        <w:trPr>
          <w:trHeight w:val="420"/>
        </w:trPr>
        <w:tc>
          <w:tcPr>
            <w:tcW w:w="1684" w:type="dxa"/>
            <w:vMerge/>
            <w:tcBorders>
              <w:top w:val="nil"/>
              <w:left w:val="nil"/>
              <w:bottom w:val="nil"/>
              <w:right w:val="nil"/>
            </w:tcBorders>
            <w:shd w:val="clear" w:color="auto" w:fill="auto"/>
            <w:hideMark/>
          </w:tcPr>
          <w:p w14:paraId="7EE4EE27" w14:textId="77777777" w:rsidR="005B55F2" w:rsidRPr="008406E5" w:rsidRDefault="005B55F2" w:rsidP="0031117D"/>
        </w:tc>
        <w:tc>
          <w:tcPr>
            <w:tcW w:w="1303" w:type="dxa"/>
            <w:tcBorders>
              <w:top w:val="nil"/>
              <w:left w:val="nil"/>
              <w:bottom w:val="nil"/>
              <w:right w:val="nil"/>
            </w:tcBorders>
            <w:shd w:val="clear" w:color="auto" w:fill="auto"/>
            <w:hideMark/>
          </w:tcPr>
          <w:p w14:paraId="2F914C20"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74222823" w14:textId="77777777" w:rsidR="005B55F2" w:rsidRPr="008406E5" w:rsidRDefault="005B55F2" w:rsidP="006C4BE0">
            <w:pPr>
              <w:spacing w:beforeAutospacing="1" w:afterAutospacing="1"/>
              <w:textAlignment w:val="baseline"/>
            </w:pPr>
            <w:r w:rsidRPr="008406E5">
              <w:rPr>
                <w:color w:val="000000"/>
              </w:rPr>
              <w:t>Suggestive</w:t>
            </w:r>
            <w:r w:rsidRPr="23B9E151">
              <w:t> </w:t>
            </w:r>
          </w:p>
        </w:tc>
        <w:tc>
          <w:tcPr>
            <w:tcW w:w="560" w:type="dxa"/>
            <w:tcBorders>
              <w:top w:val="nil"/>
              <w:left w:val="nil"/>
              <w:bottom w:val="nil"/>
              <w:right w:val="nil"/>
            </w:tcBorders>
            <w:shd w:val="clear" w:color="auto" w:fill="auto"/>
            <w:hideMark/>
          </w:tcPr>
          <w:p w14:paraId="5D6AAF9D" w14:textId="77777777" w:rsidR="005B55F2" w:rsidRPr="008406E5" w:rsidRDefault="005B55F2" w:rsidP="08D4D6A2">
            <w:pPr>
              <w:spacing w:beforeAutospacing="1" w:afterAutospacing="1"/>
              <w:jc w:val="right"/>
              <w:textAlignment w:val="baseline"/>
            </w:pPr>
            <w:r>
              <w:rPr>
                <w:color w:val="000000"/>
              </w:rPr>
              <w:t>.90</w:t>
            </w:r>
          </w:p>
        </w:tc>
        <w:tc>
          <w:tcPr>
            <w:tcW w:w="560" w:type="dxa"/>
            <w:tcBorders>
              <w:top w:val="nil"/>
              <w:left w:val="nil"/>
              <w:bottom w:val="nil"/>
              <w:right w:val="nil"/>
            </w:tcBorders>
            <w:shd w:val="clear" w:color="auto" w:fill="auto"/>
            <w:hideMark/>
          </w:tcPr>
          <w:p w14:paraId="60DFFF43" w14:textId="77777777" w:rsidR="005B55F2" w:rsidRPr="008406E5" w:rsidRDefault="005B55F2" w:rsidP="08D4D6A2">
            <w:pPr>
              <w:spacing w:beforeAutospacing="1" w:afterAutospacing="1"/>
              <w:jc w:val="right"/>
              <w:textAlignment w:val="baseline"/>
            </w:pPr>
            <w:r>
              <w:rPr>
                <w:color w:val="000000"/>
              </w:rPr>
              <w:t>.08</w:t>
            </w:r>
          </w:p>
        </w:tc>
        <w:tc>
          <w:tcPr>
            <w:tcW w:w="568" w:type="dxa"/>
            <w:tcBorders>
              <w:top w:val="nil"/>
              <w:left w:val="nil"/>
              <w:bottom w:val="nil"/>
              <w:right w:val="nil"/>
            </w:tcBorders>
            <w:shd w:val="clear" w:color="auto" w:fill="auto"/>
            <w:hideMark/>
          </w:tcPr>
          <w:p w14:paraId="0C509665" w14:textId="77777777" w:rsidR="005B55F2" w:rsidRPr="008406E5" w:rsidRDefault="005B55F2" w:rsidP="08D4D6A2">
            <w:pPr>
              <w:spacing w:beforeAutospacing="1" w:afterAutospacing="1"/>
              <w:jc w:val="right"/>
              <w:textAlignment w:val="baseline"/>
            </w:pPr>
            <w:r>
              <w:rPr>
                <w:color w:val="000000"/>
              </w:rPr>
              <w:t>19</w:t>
            </w:r>
            <w:r w:rsidRPr="008406E5">
              <w:t> </w:t>
            </w:r>
          </w:p>
        </w:tc>
        <w:tc>
          <w:tcPr>
            <w:tcW w:w="386" w:type="dxa"/>
            <w:tcBorders>
              <w:top w:val="nil"/>
              <w:left w:val="nil"/>
              <w:bottom w:val="nil"/>
              <w:right w:val="nil"/>
            </w:tcBorders>
            <w:shd w:val="clear" w:color="auto" w:fill="auto"/>
            <w:hideMark/>
          </w:tcPr>
          <w:p w14:paraId="0AA64722"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28039DCC" w14:textId="77777777" w:rsidR="005B55F2" w:rsidRPr="008406E5" w:rsidRDefault="005B55F2" w:rsidP="08D4D6A2">
            <w:pPr>
              <w:spacing w:beforeAutospacing="1" w:afterAutospacing="1"/>
              <w:jc w:val="right"/>
              <w:textAlignment w:val="baseline"/>
            </w:pPr>
            <w:r>
              <w:rPr>
                <w:color w:val="000000"/>
              </w:rPr>
              <w:t>.91</w:t>
            </w:r>
          </w:p>
        </w:tc>
        <w:tc>
          <w:tcPr>
            <w:tcW w:w="560" w:type="dxa"/>
            <w:tcBorders>
              <w:top w:val="nil"/>
              <w:left w:val="nil"/>
              <w:bottom w:val="nil"/>
              <w:right w:val="nil"/>
            </w:tcBorders>
            <w:shd w:val="clear" w:color="auto" w:fill="auto"/>
            <w:hideMark/>
          </w:tcPr>
          <w:p w14:paraId="2DC968A9" w14:textId="77777777" w:rsidR="005B55F2" w:rsidRPr="008406E5" w:rsidRDefault="005B55F2" w:rsidP="08D4D6A2">
            <w:pPr>
              <w:spacing w:beforeAutospacing="1" w:afterAutospacing="1"/>
              <w:jc w:val="right"/>
              <w:textAlignment w:val="baseline"/>
            </w:pPr>
            <w:r>
              <w:rPr>
                <w:color w:val="000000"/>
              </w:rPr>
              <w:t>.20</w:t>
            </w:r>
          </w:p>
        </w:tc>
        <w:tc>
          <w:tcPr>
            <w:tcW w:w="568" w:type="dxa"/>
            <w:tcBorders>
              <w:top w:val="nil"/>
              <w:left w:val="nil"/>
              <w:bottom w:val="nil"/>
              <w:right w:val="nil"/>
            </w:tcBorders>
            <w:shd w:val="clear" w:color="auto" w:fill="auto"/>
            <w:hideMark/>
          </w:tcPr>
          <w:p w14:paraId="22C0F529" w14:textId="77777777" w:rsidR="005B55F2" w:rsidRPr="008406E5" w:rsidRDefault="005B55F2" w:rsidP="08D4D6A2">
            <w:pPr>
              <w:spacing w:beforeAutospacing="1" w:afterAutospacing="1"/>
              <w:jc w:val="right"/>
              <w:textAlignment w:val="baseline"/>
            </w:pPr>
            <w:r>
              <w:rPr>
                <w:color w:val="000000"/>
              </w:rPr>
              <w:t>14</w:t>
            </w:r>
            <w:r w:rsidRPr="008406E5">
              <w:t> </w:t>
            </w:r>
          </w:p>
        </w:tc>
      </w:tr>
      <w:tr w:rsidR="0076683A" w:rsidRPr="008406E5" w14:paraId="7024C69A" w14:textId="77777777" w:rsidTr="006C4BE0">
        <w:trPr>
          <w:trHeight w:val="80"/>
        </w:trPr>
        <w:tc>
          <w:tcPr>
            <w:tcW w:w="1684" w:type="dxa"/>
            <w:tcBorders>
              <w:top w:val="nil"/>
              <w:left w:val="nil"/>
              <w:bottom w:val="nil"/>
              <w:right w:val="nil"/>
            </w:tcBorders>
            <w:shd w:val="clear" w:color="auto" w:fill="auto"/>
          </w:tcPr>
          <w:p w14:paraId="2259E317" w14:textId="77777777" w:rsidR="0076683A" w:rsidRPr="008406E5" w:rsidRDefault="0076683A" w:rsidP="0031117D"/>
        </w:tc>
        <w:tc>
          <w:tcPr>
            <w:tcW w:w="1303" w:type="dxa"/>
            <w:tcBorders>
              <w:top w:val="nil"/>
              <w:left w:val="nil"/>
              <w:bottom w:val="nil"/>
              <w:right w:val="nil"/>
            </w:tcBorders>
            <w:shd w:val="clear" w:color="auto" w:fill="auto"/>
          </w:tcPr>
          <w:p w14:paraId="6D69A166" w14:textId="77777777" w:rsidR="0076683A" w:rsidRPr="008406E5" w:rsidRDefault="0076683A">
            <w:pPr>
              <w:spacing w:beforeAutospacing="1" w:afterAutospacing="1"/>
              <w:textAlignment w:val="baseline"/>
            </w:pPr>
          </w:p>
        </w:tc>
        <w:tc>
          <w:tcPr>
            <w:tcW w:w="1469" w:type="dxa"/>
            <w:tcBorders>
              <w:top w:val="nil"/>
              <w:left w:val="nil"/>
              <w:bottom w:val="nil"/>
              <w:right w:val="nil"/>
            </w:tcBorders>
            <w:shd w:val="clear" w:color="auto" w:fill="auto"/>
          </w:tcPr>
          <w:p w14:paraId="0861C12A" w14:textId="77777777" w:rsidR="0076683A" w:rsidRPr="008406E5" w:rsidRDefault="0076683A" w:rsidP="23B9E151">
            <w:pPr>
              <w:spacing w:beforeAutospacing="1" w:afterAutospacing="1"/>
              <w:textAlignment w:val="baseline"/>
              <w:rPr>
                <w:color w:val="000000"/>
              </w:rPr>
            </w:pPr>
          </w:p>
        </w:tc>
        <w:tc>
          <w:tcPr>
            <w:tcW w:w="560" w:type="dxa"/>
            <w:tcBorders>
              <w:top w:val="nil"/>
              <w:left w:val="nil"/>
              <w:bottom w:val="nil"/>
              <w:right w:val="nil"/>
            </w:tcBorders>
            <w:shd w:val="clear" w:color="auto" w:fill="auto"/>
          </w:tcPr>
          <w:p w14:paraId="293C2C85" w14:textId="77777777" w:rsidR="0076683A" w:rsidRDefault="0076683A">
            <w:pPr>
              <w:spacing w:beforeAutospacing="1" w:afterAutospacing="1"/>
              <w:jc w:val="right"/>
              <w:textAlignment w:val="baseline"/>
              <w:rPr>
                <w:color w:val="000000"/>
              </w:rPr>
            </w:pPr>
          </w:p>
        </w:tc>
        <w:tc>
          <w:tcPr>
            <w:tcW w:w="560" w:type="dxa"/>
            <w:tcBorders>
              <w:top w:val="nil"/>
              <w:left w:val="nil"/>
              <w:bottom w:val="nil"/>
              <w:right w:val="nil"/>
            </w:tcBorders>
            <w:shd w:val="clear" w:color="auto" w:fill="auto"/>
          </w:tcPr>
          <w:p w14:paraId="0484B001" w14:textId="77777777" w:rsidR="0076683A" w:rsidRDefault="0076683A">
            <w:pPr>
              <w:spacing w:beforeAutospacing="1" w:afterAutospacing="1"/>
              <w:jc w:val="right"/>
              <w:textAlignment w:val="baseline"/>
              <w:rPr>
                <w:color w:val="000000"/>
              </w:rPr>
            </w:pPr>
          </w:p>
        </w:tc>
        <w:tc>
          <w:tcPr>
            <w:tcW w:w="568" w:type="dxa"/>
            <w:tcBorders>
              <w:top w:val="nil"/>
              <w:left w:val="nil"/>
              <w:bottom w:val="nil"/>
              <w:right w:val="nil"/>
            </w:tcBorders>
            <w:shd w:val="clear" w:color="auto" w:fill="auto"/>
          </w:tcPr>
          <w:p w14:paraId="7160C6FD" w14:textId="77777777" w:rsidR="0076683A" w:rsidRDefault="0076683A">
            <w:pPr>
              <w:spacing w:beforeAutospacing="1" w:afterAutospacing="1"/>
              <w:jc w:val="right"/>
              <w:textAlignment w:val="baseline"/>
              <w:rPr>
                <w:color w:val="000000"/>
              </w:rPr>
            </w:pPr>
          </w:p>
        </w:tc>
        <w:tc>
          <w:tcPr>
            <w:tcW w:w="386" w:type="dxa"/>
            <w:tcBorders>
              <w:top w:val="nil"/>
              <w:left w:val="nil"/>
              <w:bottom w:val="nil"/>
              <w:right w:val="nil"/>
            </w:tcBorders>
            <w:shd w:val="clear" w:color="auto" w:fill="auto"/>
          </w:tcPr>
          <w:p w14:paraId="28BED3B2" w14:textId="77777777" w:rsidR="0076683A" w:rsidRPr="008406E5" w:rsidRDefault="0076683A">
            <w:pPr>
              <w:spacing w:beforeAutospacing="1" w:afterAutospacing="1"/>
              <w:jc w:val="right"/>
              <w:textAlignment w:val="baseline"/>
            </w:pPr>
          </w:p>
        </w:tc>
        <w:tc>
          <w:tcPr>
            <w:tcW w:w="560" w:type="dxa"/>
            <w:tcBorders>
              <w:top w:val="nil"/>
              <w:left w:val="nil"/>
              <w:bottom w:val="nil"/>
              <w:right w:val="nil"/>
            </w:tcBorders>
            <w:shd w:val="clear" w:color="auto" w:fill="auto"/>
          </w:tcPr>
          <w:p w14:paraId="3BCC09D6" w14:textId="77777777" w:rsidR="0076683A" w:rsidRDefault="0076683A">
            <w:pPr>
              <w:spacing w:beforeAutospacing="1" w:afterAutospacing="1"/>
              <w:jc w:val="right"/>
              <w:textAlignment w:val="baseline"/>
              <w:rPr>
                <w:color w:val="000000"/>
              </w:rPr>
            </w:pPr>
          </w:p>
        </w:tc>
        <w:tc>
          <w:tcPr>
            <w:tcW w:w="560" w:type="dxa"/>
            <w:tcBorders>
              <w:top w:val="nil"/>
              <w:left w:val="nil"/>
              <w:bottom w:val="nil"/>
              <w:right w:val="nil"/>
            </w:tcBorders>
            <w:shd w:val="clear" w:color="auto" w:fill="auto"/>
          </w:tcPr>
          <w:p w14:paraId="1DA23D19" w14:textId="77777777" w:rsidR="0076683A" w:rsidRDefault="0076683A">
            <w:pPr>
              <w:spacing w:beforeAutospacing="1" w:afterAutospacing="1"/>
              <w:jc w:val="right"/>
              <w:textAlignment w:val="baseline"/>
              <w:rPr>
                <w:color w:val="000000"/>
              </w:rPr>
            </w:pPr>
          </w:p>
        </w:tc>
        <w:tc>
          <w:tcPr>
            <w:tcW w:w="568" w:type="dxa"/>
            <w:tcBorders>
              <w:top w:val="nil"/>
              <w:left w:val="nil"/>
              <w:bottom w:val="nil"/>
              <w:right w:val="nil"/>
            </w:tcBorders>
            <w:shd w:val="clear" w:color="auto" w:fill="auto"/>
          </w:tcPr>
          <w:p w14:paraId="740EA033" w14:textId="77777777" w:rsidR="0076683A" w:rsidRDefault="0076683A">
            <w:pPr>
              <w:spacing w:beforeAutospacing="1" w:afterAutospacing="1"/>
              <w:jc w:val="right"/>
              <w:textAlignment w:val="baseline"/>
              <w:rPr>
                <w:color w:val="000000"/>
              </w:rPr>
            </w:pPr>
          </w:p>
        </w:tc>
      </w:tr>
      <w:tr w:rsidR="005B55F2" w:rsidRPr="008406E5" w14:paraId="236D501F" w14:textId="77777777" w:rsidTr="006C4BE0">
        <w:trPr>
          <w:trHeight w:val="420"/>
        </w:trPr>
        <w:tc>
          <w:tcPr>
            <w:tcW w:w="1684" w:type="dxa"/>
            <w:vMerge w:val="restart"/>
            <w:tcBorders>
              <w:top w:val="nil"/>
              <w:left w:val="nil"/>
              <w:bottom w:val="nil"/>
              <w:right w:val="nil"/>
            </w:tcBorders>
            <w:shd w:val="clear" w:color="auto" w:fill="auto"/>
            <w:hideMark/>
          </w:tcPr>
          <w:p w14:paraId="49DFFB18" w14:textId="77777777" w:rsidR="005B55F2" w:rsidRPr="008406E5" w:rsidRDefault="005B55F2" w:rsidP="006C4BE0">
            <w:pPr>
              <w:spacing w:beforeAutospacing="1" w:afterAutospacing="1"/>
              <w:textAlignment w:val="baseline"/>
            </w:pPr>
            <w:r w:rsidRPr="008406E5">
              <w:rPr>
                <w:color w:val="000000"/>
              </w:rPr>
              <w:t>13-15 years</w:t>
            </w:r>
          </w:p>
        </w:tc>
        <w:tc>
          <w:tcPr>
            <w:tcW w:w="1303" w:type="dxa"/>
            <w:tcBorders>
              <w:top w:val="nil"/>
              <w:left w:val="nil"/>
              <w:bottom w:val="nil"/>
              <w:right w:val="nil"/>
            </w:tcBorders>
            <w:shd w:val="clear" w:color="auto" w:fill="auto"/>
            <w:hideMark/>
          </w:tcPr>
          <w:p w14:paraId="30B09592" w14:textId="77777777" w:rsidR="005B55F2" w:rsidRPr="008406E5" w:rsidRDefault="005B55F2" w:rsidP="006C4BE0">
            <w:pPr>
              <w:spacing w:beforeAutospacing="1" w:afterAutospacing="1"/>
              <w:textAlignment w:val="baseline"/>
            </w:pPr>
            <w:r w:rsidRPr="008406E5">
              <w:rPr>
                <w:color w:val="000000"/>
              </w:rPr>
              <w:t>Prosecutor</w:t>
            </w:r>
            <w:r w:rsidRPr="23B9E151">
              <w:t> </w:t>
            </w:r>
          </w:p>
        </w:tc>
        <w:tc>
          <w:tcPr>
            <w:tcW w:w="1469" w:type="dxa"/>
            <w:tcBorders>
              <w:top w:val="nil"/>
              <w:left w:val="nil"/>
              <w:bottom w:val="nil"/>
              <w:right w:val="nil"/>
            </w:tcBorders>
            <w:shd w:val="clear" w:color="auto" w:fill="auto"/>
            <w:hideMark/>
          </w:tcPr>
          <w:p w14:paraId="0166D151" w14:textId="77777777" w:rsidR="005B55F2" w:rsidRPr="008406E5" w:rsidRDefault="005B55F2" w:rsidP="006C4BE0">
            <w:pPr>
              <w:spacing w:beforeAutospacing="1" w:afterAutospacing="1"/>
              <w:textAlignment w:val="baseline"/>
            </w:pPr>
            <w:r w:rsidRPr="008406E5">
              <w:rPr>
                <w:color w:val="000000"/>
              </w:rPr>
              <w:t>Directive</w:t>
            </w:r>
            <w:r w:rsidRPr="23B9E151">
              <w:t> </w:t>
            </w:r>
          </w:p>
        </w:tc>
        <w:tc>
          <w:tcPr>
            <w:tcW w:w="560" w:type="dxa"/>
            <w:tcBorders>
              <w:top w:val="nil"/>
              <w:left w:val="nil"/>
              <w:bottom w:val="nil"/>
              <w:right w:val="nil"/>
            </w:tcBorders>
            <w:shd w:val="clear" w:color="auto" w:fill="auto"/>
            <w:hideMark/>
          </w:tcPr>
          <w:p w14:paraId="6078CAA5" w14:textId="77777777" w:rsidR="005B55F2" w:rsidRPr="008406E5" w:rsidRDefault="005B55F2" w:rsidP="08D4D6A2">
            <w:pPr>
              <w:spacing w:beforeAutospacing="1" w:afterAutospacing="1"/>
              <w:jc w:val="right"/>
              <w:textAlignment w:val="baseline"/>
            </w:pPr>
            <w:r>
              <w:rPr>
                <w:color w:val="000000"/>
              </w:rPr>
              <w:t>.87</w:t>
            </w:r>
            <w:r w:rsidRPr="008406E5">
              <w:t> </w:t>
            </w:r>
          </w:p>
        </w:tc>
        <w:tc>
          <w:tcPr>
            <w:tcW w:w="560" w:type="dxa"/>
            <w:tcBorders>
              <w:top w:val="nil"/>
              <w:left w:val="nil"/>
              <w:bottom w:val="nil"/>
              <w:right w:val="nil"/>
            </w:tcBorders>
            <w:shd w:val="clear" w:color="auto" w:fill="auto"/>
            <w:hideMark/>
          </w:tcPr>
          <w:p w14:paraId="1502FAF4" w14:textId="77777777" w:rsidR="005B55F2" w:rsidRPr="008406E5" w:rsidRDefault="005B55F2" w:rsidP="08D4D6A2">
            <w:pPr>
              <w:spacing w:beforeAutospacing="1" w:afterAutospacing="1"/>
              <w:jc w:val="right"/>
              <w:textAlignment w:val="baseline"/>
            </w:pPr>
            <w:r>
              <w:rPr>
                <w:color w:val="000000"/>
              </w:rPr>
              <w:t>.27</w:t>
            </w:r>
            <w:r w:rsidRPr="008406E5">
              <w:t> </w:t>
            </w:r>
          </w:p>
        </w:tc>
        <w:tc>
          <w:tcPr>
            <w:tcW w:w="568" w:type="dxa"/>
            <w:tcBorders>
              <w:top w:val="nil"/>
              <w:left w:val="nil"/>
              <w:bottom w:val="nil"/>
              <w:right w:val="nil"/>
            </w:tcBorders>
            <w:shd w:val="clear" w:color="auto" w:fill="auto"/>
            <w:hideMark/>
          </w:tcPr>
          <w:p w14:paraId="2E622DDF" w14:textId="77777777" w:rsidR="005B55F2" w:rsidRPr="008406E5" w:rsidRDefault="005B55F2" w:rsidP="08D4D6A2">
            <w:pPr>
              <w:spacing w:beforeAutospacing="1" w:afterAutospacing="1"/>
              <w:jc w:val="right"/>
              <w:textAlignment w:val="baseline"/>
            </w:pPr>
            <w:r>
              <w:rPr>
                <w:color w:val="000000"/>
              </w:rPr>
              <w:t>13</w:t>
            </w:r>
            <w:r w:rsidRPr="008406E5">
              <w:t> </w:t>
            </w:r>
          </w:p>
        </w:tc>
        <w:tc>
          <w:tcPr>
            <w:tcW w:w="386" w:type="dxa"/>
            <w:tcBorders>
              <w:top w:val="nil"/>
              <w:left w:val="nil"/>
              <w:bottom w:val="nil"/>
              <w:right w:val="nil"/>
            </w:tcBorders>
            <w:shd w:val="clear" w:color="auto" w:fill="auto"/>
            <w:hideMark/>
          </w:tcPr>
          <w:p w14:paraId="07868594"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4EBF2FC5" w14:textId="77777777" w:rsidR="005B55F2" w:rsidRPr="008406E5" w:rsidRDefault="005B55F2" w:rsidP="08D4D6A2">
            <w:pPr>
              <w:spacing w:beforeAutospacing="1" w:afterAutospacing="1"/>
              <w:jc w:val="right"/>
              <w:textAlignment w:val="baseline"/>
            </w:pPr>
            <w:r>
              <w:rPr>
                <w:color w:val="000000"/>
              </w:rPr>
              <w:t>.72</w:t>
            </w:r>
            <w:r w:rsidRPr="008406E5">
              <w:t> </w:t>
            </w:r>
          </w:p>
        </w:tc>
        <w:tc>
          <w:tcPr>
            <w:tcW w:w="560" w:type="dxa"/>
            <w:tcBorders>
              <w:top w:val="nil"/>
              <w:left w:val="nil"/>
              <w:bottom w:val="nil"/>
              <w:right w:val="nil"/>
            </w:tcBorders>
            <w:shd w:val="clear" w:color="auto" w:fill="auto"/>
            <w:hideMark/>
          </w:tcPr>
          <w:p w14:paraId="17986A77" w14:textId="77777777" w:rsidR="005B55F2" w:rsidRPr="008406E5" w:rsidRDefault="005B55F2" w:rsidP="08D4D6A2">
            <w:pPr>
              <w:spacing w:beforeAutospacing="1" w:afterAutospacing="1"/>
              <w:jc w:val="right"/>
              <w:textAlignment w:val="baseline"/>
            </w:pPr>
            <w:r>
              <w:rPr>
                <w:color w:val="000000"/>
              </w:rPr>
              <w:t>.42</w:t>
            </w:r>
          </w:p>
        </w:tc>
        <w:tc>
          <w:tcPr>
            <w:tcW w:w="568" w:type="dxa"/>
            <w:tcBorders>
              <w:top w:val="nil"/>
              <w:left w:val="nil"/>
              <w:bottom w:val="nil"/>
              <w:right w:val="nil"/>
            </w:tcBorders>
            <w:shd w:val="clear" w:color="auto" w:fill="auto"/>
            <w:hideMark/>
          </w:tcPr>
          <w:p w14:paraId="4D391F29" w14:textId="77777777" w:rsidR="005B55F2" w:rsidRPr="008406E5" w:rsidRDefault="005B55F2" w:rsidP="08D4D6A2">
            <w:pPr>
              <w:spacing w:beforeAutospacing="1" w:afterAutospacing="1"/>
              <w:jc w:val="right"/>
              <w:textAlignment w:val="baseline"/>
            </w:pPr>
            <w:r>
              <w:rPr>
                <w:color w:val="000000"/>
              </w:rPr>
              <w:t>5</w:t>
            </w:r>
            <w:r w:rsidRPr="008406E5">
              <w:t> </w:t>
            </w:r>
          </w:p>
        </w:tc>
      </w:tr>
      <w:tr w:rsidR="005B55F2" w:rsidRPr="008406E5" w14:paraId="28EF8471" w14:textId="77777777" w:rsidTr="006C4BE0">
        <w:trPr>
          <w:trHeight w:val="420"/>
        </w:trPr>
        <w:tc>
          <w:tcPr>
            <w:tcW w:w="1684" w:type="dxa"/>
            <w:vMerge/>
            <w:tcBorders>
              <w:top w:val="nil"/>
              <w:left w:val="nil"/>
              <w:bottom w:val="nil"/>
              <w:right w:val="nil"/>
            </w:tcBorders>
            <w:shd w:val="clear" w:color="auto" w:fill="auto"/>
            <w:hideMark/>
          </w:tcPr>
          <w:p w14:paraId="33A78224" w14:textId="77777777" w:rsidR="005B55F2" w:rsidRPr="008406E5" w:rsidRDefault="005B55F2" w:rsidP="0031117D"/>
        </w:tc>
        <w:tc>
          <w:tcPr>
            <w:tcW w:w="1303" w:type="dxa"/>
            <w:tcBorders>
              <w:top w:val="nil"/>
              <w:left w:val="nil"/>
              <w:bottom w:val="nil"/>
              <w:right w:val="nil"/>
            </w:tcBorders>
            <w:shd w:val="clear" w:color="auto" w:fill="auto"/>
            <w:hideMark/>
          </w:tcPr>
          <w:p w14:paraId="3C38607E"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59DA8B34" w14:textId="77777777" w:rsidR="005B55F2" w:rsidRPr="008406E5" w:rsidRDefault="005B55F2" w:rsidP="006C4BE0">
            <w:pPr>
              <w:spacing w:beforeAutospacing="1" w:afterAutospacing="1"/>
              <w:textAlignment w:val="baseline"/>
            </w:pPr>
            <w:r w:rsidRPr="008406E5">
              <w:rPr>
                <w:color w:val="000000"/>
              </w:rPr>
              <w:t>Option-Posing</w:t>
            </w:r>
            <w:r w:rsidRPr="23B9E151">
              <w:t> </w:t>
            </w:r>
          </w:p>
        </w:tc>
        <w:tc>
          <w:tcPr>
            <w:tcW w:w="560" w:type="dxa"/>
            <w:tcBorders>
              <w:top w:val="nil"/>
              <w:left w:val="nil"/>
              <w:bottom w:val="nil"/>
              <w:right w:val="nil"/>
            </w:tcBorders>
            <w:shd w:val="clear" w:color="auto" w:fill="auto"/>
            <w:hideMark/>
          </w:tcPr>
          <w:p w14:paraId="301B2408" w14:textId="77777777" w:rsidR="005B55F2" w:rsidRPr="008406E5" w:rsidRDefault="005B55F2" w:rsidP="08D4D6A2">
            <w:pPr>
              <w:spacing w:beforeAutospacing="1" w:afterAutospacing="1"/>
              <w:jc w:val="right"/>
              <w:textAlignment w:val="baseline"/>
            </w:pPr>
            <w:r>
              <w:rPr>
                <w:color w:val="000000"/>
              </w:rPr>
              <w:t>.94</w:t>
            </w:r>
            <w:r w:rsidRPr="008406E5">
              <w:t> </w:t>
            </w:r>
          </w:p>
        </w:tc>
        <w:tc>
          <w:tcPr>
            <w:tcW w:w="560" w:type="dxa"/>
            <w:tcBorders>
              <w:top w:val="nil"/>
              <w:left w:val="nil"/>
              <w:bottom w:val="nil"/>
              <w:right w:val="nil"/>
            </w:tcBorders>
            <w:shd w:val="clear" w:color="auto" w:fill="auto"/>
            <w:hideMark/>
          </w:tcPr>
          <w:p w14:paraId="1C420E17" w14:textId="77777777" w:rsidR="005B55F2" w:rsidRPr="008406E5" w:rsidRDefault="005B55F2" w:rsidP="08D4D6A2">
            <w:pPr>
              <w:spacing w:beforeAutospacing="1" w:afterAutospacing="1"/>
              <w:jc w:val="right"/>
              <w:textAlignment w:val="baseline"/>
            </w:pPr>
            <w:r>
              <w:rPr>
                <w:color w:val="000000"/>
              </w:rPr>
              <w:t>.11</w:t>
            </w:r>
            <w:r w:rsidRPr="008406E5">
              <w:t> </w:t>
            </w:r>
          </w:p>
        </w:tc>
        <w:tc>
          <w:tcPr>
            <w:tcW w:w="568" w:type="dxa"/>
            <w:tcBorders>
              <w:top w:val="nil"/>
              <w:left w:val="nil"/>
              <w:bottom w:val="nil"/>
              <w:right w:val="nil"/>
            </w:tcBorders>
            <w:shd w:val="clear" w:color="auto" w:fill="auto"/>
            <w:hideMark/>
          </w:tcPr>
          <w:p w14:paraId="2D235143" w14:textId="77777777" w:rsidR="005B55F2" w:rsidRPr="008406E5" w:rsidRDefault="005B55F2" w:rsidP="08D4D6A2">
            <w:pPr>
              <w:spacing w:beforeAutospacing="1" w:afterAutospacing="1"/>
              <w:jc w:val="right"/>
              <w:textAlignment w:val="baseline"/>
            </w:pPr>
            <w:r>
              <w:rPr>
                <w:color w:val="000000"/>
              </w:rPr>
              <w:t>15</w:t>
            </w:r>
            <w:r w:rsidRPr="008406E5">
              <w:t> </w:t>
            </w:r>
          </w:p>
        </w:tc>
        <w:tc>
          <w:tcPr>
            <w:tcW w:w="386" w:type="dxa"/>
            <w:tcBorders>
              <w:top w:val="nil"/>
              <w:left w:val="nil"/>
              <w:bottom w:val="nil"/>
              <w:right w:val="nil"/>
            </w:tcBorders>
            <w:shd w:val="clear" w:color="auto" w:fill="auto"/>
            <w:hideMark/>
          </w:tcPr>
          <w:p w14:paraId="3EF14710"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494014D7" w14:textId="77777777" w:rsidR="005B55F2" w:rsidRPr="008406E5" w:rsidRDefault="005B55F2" w:rsidP="08D4D6A2">
            <w:pPr>
              <w:spacing w:beforeAutospacing="1" w:afterAutospacing="1"/>
              <w:jc w:val="right"/>
              <w:textAlignment w:val="baseline"/>
            </w:pPr>
            <w:r>
              <w:rPr>
                <w:color w:val="000000"/>
              </w:rPr>
              <w:t>.96</w:t>
            </w:r>
          </w:p>
        </w:tc>
        <w:tc>
          <w:tcPr>
            <w:tcW w:w="560" w:type="dxa"/>
            <w:tcBorders>
              <w:top w:val="nil"/>
              <w:left w:val="nil"/>
              <w:bottom w:val="nil"/>
              <w:right w:val="nil"/>
            </w:tcBorders>
            <w:shd w:val="clear" w:color="auto" w:fill="auto"/>
            <w:hideMark/>
          </w:tcPr>
          <w:p w14:paraId="3A6C68C1" w14:textId="77777777" w:rsidR="005B55F2" w:rsidRPr="008406E5" w:rsidRDefault="005B55F2" w:rsidP="08D4D6A2">
            <w:pPr>
              <w:spacing w:beforeAutospacing="1" w:afterAutospacing="1"/>
              <w:jc w:val="right"/>
              <w:textAlignment w:val="baseline"/>
            </w:pPr>
            <w:r>
              <w:rPr>
                <w:color w:val="000000"/>
              </w:rPr>
              <w:t>.13</w:t>
            </w:r>
          </w:p>
        </w:tc>
        <w:tc>
          <w:tcPr>
            <w:tcW w:w="568" w:type="dxa"/>
            <w:tcBorders>
              <w:top w:val="nil"/>
              <w:left w:val="nil"/>
              <w:bottom w:val="nil"/>
              <w:right w:val="nil"/>
            </w:tcBorders>
            <w:shd w:val="clear" w:color="auto" w:fill="auto"/>
          </w:tcPr>
          <w:p w14:paraId="6BFB761F" w14:textId="77777777" w:rsidR="005B55F2" w:rsidRPr="008406E5" w:rsidRDefault="005B55F2" w:rsidP="08D4D6A2">
            <w:pPr>
              <w:spacing w:beforeAutospacing="1" w:afterAutospacing="1"/>
              <w:jc w:val="right"/>
              <w:textAlignment w:val="baseline"/>
            </w:pPr>
            <w:r>
              <w:rPr>
                <w:color w:val="000000"/>
              </w:rPr>
              <w:t>11</w:t>
            </w:r>
            <w:r w:rsidRPr="008406E5">
              <w:t> </w:t>
            </w:r>
          </w:p>
        </w:tc>
      </w:tr>
      <w:tr w:rsidR="005B55F2" w:rsidRPr="008406E5" w14:paraId="42A199D3" w14:textId="77777777" w:rsidTr="006C4BE0">
        <w:trPr>
          <w:trHeight w:val="420"/>
        </w:trPr>
        <w:tc>
          <w:tcPr>
            <w:tcW w:w="1684" w:type="dxa"/>
            <w:vMerge/>
            <w:tcBorders>
              <w:top w:val="nil"/>
              <w:left w:val="nil"/>
              <w:bottom w:val="nil"/>
              <w:right w:val="nil"/>
            </w:tcBorders>
            <w:shd w:val="clear" w:color="auto" w:fill="auto"/>
            <w:hideMark/>
          </w:tcPr>
          <w:p w14:paraId="07B89C3A" w14:textId="77777777" w:rsidR="005B55F2" w:rsidRPr="008406E5" w:rsidRDefault="005B55F2" w:rsidP="0031117D"/>
        </w:tc>
        <w:tc>
          <w:tcPr>
            <w:tcW w:w="1303" w:type="dxa"/>
            <w:tcBorders>
              <w:top w:val="nil"/>
              <w:left w:val="nil"/>
              <w:bottom w:val="nil"/>
              <w:right w:val="nil"/>
            </w:tcBorders>
            <w:shd w:val="clear" w:color="auto" w:fill="auto"/>
            <w:hideMark/>
          </w:tcPr>
          <w:p w14:paraId="504E00E3"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5B84D78F" w14:textId="77777777" w:rsidR="005B55F2" w:rsidRPr="008406E5" w:rsidRDefault="005B55F2" w:rsidP="006C4BE0">
            <w:pPr>
              <w:spacing w:beforeAutospacing="1" w:afterAutospacing="1"/>
              <w:textAlignment w:val="baseline"/>
            </w:pPr>
            <w:r w:rsidRPr="008406E5">
              <w:rPr>
                <w:color w:val="000000"/>
              </w:rPr>
              <w:t>Suggestive</w:t>
            </w:r>
            <w:r w:rsidRPr="23B9E151">
              <w:t> </w:t>
            </w:r>
          </w:p>
        </w:tc>
        <w:tc>
          <w:tcPr>
            <w:tcW w:w="560" w:type="dxa"/>
            <w:tcBorders>
              <w:top w:val="nil"/>
              <w:left w:val="nil"/>
              <w:bottom w:val="nil"/>
              <w:right w:val="nil"/>
            </w:tcBorders>
            <w:shd w:val="clear" w:color="auto" w:fill="auto"/>
            <w:hideMark/>
          </w:tcPr>
          <w:p w14:paraId="124E73A6" w14:textId="77777777" w:rsidR="005B55F2" w:rsidRPr="008406E5" w:rsidRDefault="005B55F2" w:rsidP="08D4D6A2">
            <w:pPr>
              <w:spacing w:beforeAutospacing="1" w:afterAutospacing="1"/>
              <w:jc w:val="right"/>
              <w:textAlignment w:val="baseline"/>
            </w:pPr>
            <w:r>
              <w:rPr>
                <w:color w:val="000000"/>
              </w:rPr>
              <w:t>1.0</w:t>
            </w:r>
            <w:r w:rsidRPr="008406E5">
              <w:t> </w:t>
            </w:r>
          </w:p>
        </w:tc>
        <w:tc>
          <w:tcPr>
            <w:tcW w:w="560" w:type="dxa"/>
            <w:tcBorders>
              <w:top w:val="nil"/>
              <w:left w:val="nil"/>
              <w:bottom w:val="nil"/>
              <w:right w:val="nil"/>
            </w:tcBorders>
            <w:shd w:val="clear" w:color="auto" w:fill="auto"/>
            <w:hideMark/>
          </w:tcPr>
          <w:p w14:paraId="66B773F4" w14:textId="77777777" w:rsidR="005B55F2" w:rsidRPr="008406E5" w:rsidRDefault="005B55F2" w:rsidP="08D4D6A2">
            <w:pPr>
              <w:spacing w:beforeAutospacing="1" w:afterAutospacing="1"/>
              <w:jc w:val="right"/>
              <w:textAlignment w:val="baseline"/>
            </w:pPr>
            <w:r>
              <w:rPr>
                <w:color w:val="000000"/>
              </w:rPr>
              <w:t>0.0</w:t>
            </w:r>
            <w:r w:rsidRPr="008406E5">
              <w:t> </w:t>
            </w:r>
          </w:p>
        </w:tc>
        <w:tc>
          <w:tcPr>
            <w:tcW w:w="568" w:type="dxa"/>
            <w:tcBorders>
              <w:top w:val="nil"/>
              <w:left w:val="nil"/>
              <w:bottom w:val="nil"/>
              <w:right w:val="nil"/>
            </w:tcBorders>
            <w:shd w:val="clear" w:color="auto" w:fill="auto"/>
            <w:hideMark/>
          </w:tcPr>
          <w:p w14:paraId="26E850E0" w14:textId="77777777" w:rsidR="005B55F2" w:rsidRPr="008406E5" w:rsidRDefault="005B55F2" w:rsidP="08D4D6A2">
            <w:pPr>
              <w:spacing w:beforeAutospacing="1" w:afterAutospacing="1"/>
              <w:jc w:val="right"/>
              <w:textAlignment w:val="baseline"/>
            </w:pPr>
            <w:r>
              <w:rPr>
                <w:color w:val="000000"/>
              </w:rPr>
              <w:t>8</w:t>
            </w:r>
            <w:r w:rsidRPr="008406E5">
              <w:t> </w:t>
            </w:r>
          </w:p>
        </w:tc>
        <w:tc>
          <w:tcPr>
            <w:tcW w:w="386" w:type="dxa"/>
            <w:tcBorders>
              <w:top w:val="nil"/>
              <w:left w:val="nil"/>
              <w:bottom w:val="nil"/>
              <w:right w:val="nil"/>
            </w:tcBorders>
            <w:shd w:val="clear" w:color="auto" w:fill="auto"/>
            <w:hideMark/>
          </w:tcPr>
          <w:p w14:paraId="3973772B"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1DAF85A3" w14:textId="77777777" w:rsidR="005B55F2" w:rsidRPr="008406E5" w:rsidRDefault="005B55F2" w:rsidP="08D4D6A2">
            <w:pPr>
              <w:spacing w:beforeAutospacing="1" w:afterAutospacing="1"/>
              <w:jc w:val="right"/>
              <w:textAlignment w:val="baseline"/>
            </w:pPr>
            <w:r w:rsidRPr="008406E5">
              <w:rPr>
                <w:color w:val="000000"/>
              </w:rPr>
              <w:t>1</w:t>
            </w:r>
            <w:r>
              <w:rPr>
                <w:color w:val="000000"/>
              </w:rPr>
              <w:t>.0</w:t>
            </w:r>
            <w:r w:rsidRPr="008406E5">
              <w:t> </w:t>
            </w:r>
          </w:p>
        </w:tc>
        <w:tc>
          <w:tcPr>
            <w:tcW w:w="560" w:type="dxa"/>
            <w:tcBorders>
              <w:top w:val="nil"/>
              <w:left w:val="nil"/>
              <w:bottom w:val="nil"/>
              <w:right w:val="nil"/>
            </w:tcBorders>
            <w:shd w:val="clear" w:color="auto" w:fill="auto"/>
            <w:hideMark/>
          </w:tcPr>
          <w:p w14:paraId="71A68FF5" w14:textId="77777777" w:rsidR="005B55F2" w:rsidRPr="008406E5" w:rsidRDefault="005B55F2" w:rsidP="08D4D6A2">
            <w:pPr>
              <w:spacing w:beforeAutospacing="1" w:afterAutospacing="1"/>
              <w:jc w:val="right"/>
              <w:textAlignment w:val="baseline"/>
            </w:pPr>
            <w:r>
              <w:rPr>
                <w:color w:val="000000"/>
              </w:rPr>
              <w:t>-</w:t>
            </w:r>
          </w:p>
        </w:tc>
        <w:tc>
          <w:tcPr>
            <w:tcW w:w="568" w:type="dxa"/>
            <w:tcBorders>
              <w:top w:val="nil"/>
              <w:left w:val="nil"/>
              <w:bottom w:val="nil"/>
              <w:right w:val="nil"/>
            </w:tcBorders>
            <w:shd w:val="clear" w:color="auto" w:fill="auto"/>
          </w:tcPr>
          <w:p w14:paraId="1DEDB0BA" w14:textId="77777777" w:rsidR="005B55F2" w:rsidRPr="008406E5" w:rsidRDefault="005B55F2" w:rsidP="08D4D6A2">
            <w:pPr>
              <w:spacing w:beforeAutospacing="1" w:afterAutospacing="1"/>
              <w:jc w:val="right"/>
              <w:textAlignment w:val="baseline"/>
            </w:pPr>
            <w:r>
              <w:rPr>
                <w:color w:val="000000"/>
              </w:rPr>
              <w:t>1</w:t>
            </w:r>
            <w:r w:rsidRPr="008406E5">
              <w:t> </w:t>
            </w:r>
          </w:p>
        </w:tc>
      </w:tr>
      <w:tr w:rsidR="005B55F2" w:rsidRPr="008406E5" w14:paraId="32D07889" w14:textId="77777777" w:rsidTr="006C4BE0">
        <w:trPr>
          <w:trHeight w:val="420"/>
        </w:trPr>
        <w:tc>
          <w:tcPr>
            <w:tcW w:w="1684" w:type="dxa"/>
            <w:vMerge/>
            <w:tcBorders>
              <w:top w:val="nil"/>
              <w:left w:val="nil"/>
              <w:bottom w:val="nil"/>
              <w:right w:val="nil"/>
            </w:tcBorders>
            <w:shd w:val="clear" w:color="auto" w:fill="auto"/>
            <w:hideMark/>
          </w:tcPr>
          <w:p w14:paraId="4C970DB7" w14:textId="77777777" w:rsidR="005B55F2" w:rsidRPr="008406E5" w:rsidRDefault="005B55F2" w:rsidP="0031117D"/>
        </w:tc>
        <w:tc>
          <w:tcPr>
            <w:tcW w:w="1303" w:type="dxa"/>
            <w:tcBorders>
              <w:top w:val="nil"/>
              <w:left w:val="nil"/>
              <w:bottom w:val="nil"/>
              <w:right w:val="nil"/>
            </w:tcBorders>
            <w:shd w:val="clear" w:color="auto" w:fill="auto"/>
            <w:hideMark/>
          </w:tcPr>
          <w:p w14:paraId="59F60C0E" w14:textId="1C98435A" w:rsidR="005B55F2" w:rsidRPr="008406E5" w:rsidRDefault="005B55F2" w:rsidP="006C4BE0">
            <w:pPr>
              <w:spacing w:beforeAutospacing="1" w:afterAutospacing="1"/>
              <w:textAlignment w:val="baseline"/>
            </w:pPr>
            <w:r w:rsidRPr="008406E5">
              <w:rPr>
                <w:color w:val="000000"/>
              </w:rPr>
              <w:t>Defence</w:t>
            </w:r>
            <w:r w:rsidRPr="23B9E151">
              <w:t> </w:t>
            </w:r>
          </w:p>
        </w:tc>
        <w:tc>
          <w:tcPr>
            <w:tcW w:w="1469" w:type="dxa"/>
            <w:tcBorders>
              <w:top w:val="nil"/>
              <w:left w:val="nil"/>
              <w:bottom w:val="nil"/>
              <w:right w:val="nil"/>
            </w:tcBorders>
            <w:shd w:val="clear" w:color="auto" w:fill="auto"/>
            <w:hideMark/>
          </w:tcPr>
          <w:p w14:paraId="4F39687A" w14:textId="77777777" w:rsidR="005B55F2" w:rsidRPr="008406E5" w:rsidRDefault="005B55F2" w:rsidP="006C4BE0">
            <w:pPr>
              <w:spacing w:beforeAutospacing="1" w:afterAutospacing="1"/>
              <w:textAlignment w:val="baseline"/>
            </w:pPr>
            <w:r w:rsidRPr="008406E5">
              <w:rPr>
                <w:color w:val="000000"/>
              </w:rPr>
              <w:t>Directive</w:t>
            </w:r>
            <w:r w:rsidRPr="23B9E151">
              <w:t> </w:t>
            </w:r>
          </w:p>
        </w:tc>
        <w:tc>
          <w:tcPr>
            <w:tcW w:w="560" w:type="dxa"/>
            <w:tcBorders>
              <w:top w:val="nil"/>
              <w:left w:val="nil"/>
              <w:bottom w:val="nil"/>
              <w:right w:val="nil"/>
            </w:tcBorders>
            <w:shd w:val="clear" w:color="auto" w:fill="auto"/>
            <w:hideMark/>
          </w:tcPr>
          <w:p w14:paraId="6869DFAB" w14:textId="77777777" w:rsidR="005B55F2" w:rsidRPr="008406E5" w:rsidRDefault="005B55F2" w:rsidP="08D4D6A2">
            <w:pPr>
              <w:spacing w:beforeAutospacing="1" w:afterAutospacing="1"/>
              <w:jc w:val="right"/>
              <w:textAlignment w:val="baseline"/>
            </w:pPr>
            <w:r>
              <w:rPr>
                <w:color w:val="000000"/>
              </w:rPr>
              <w:t>.89</w:t>
            </w:r>
            <w:r w:rsidRPr="008406E5">
              <w:t> </w:t>
            </w:r>
          </w:p>
        </w:tc>
        <w:tc>
          <w:tcPr>
            <w:tcW w:w="560" w:type="dxa"/>
            <w:tcBorders>
              <w:top w:val="nil"/>
              <w:left w:val="nil"/>
              <w:bottom w:val="nil"/>
              <w:right w:val="nil"/>
            </w:tcBorders>
            <w:shd w:val="clear" w:color="auto" w:fill="auto"/>
            <w:hideMark/>
          </w:tcPr>
          <w:p w14:paraId="40B68AAC" w14:textId="77777777" w:rsidR="005B55F2" w:rsidRPr="008406E5" w:rsidRDefault="005B55F2" w:rsidP="08D4D6A2">
            <w:pPr>
              <w:spacing w:beforeAutospacing="1" w:afterAutospacing="1"/>
              <w:jc w:val="right"/>
              <w:textAlignment w:val="baseline"/>
            </w:pPr>
            <w:r>
              <w:rPr>
                <w:color w:val="000000"/>
              </w:rPr>
              <w:t>.10</w:t>
            </w:r>
          </w:p>
        </w:tc>
        <w:tc>
          <w:tcPr>
            <w:tcW w:w="568" w:type="dxa"/>
            <w:tcBorders>
              <w:top w:val="nil"/>
              <w:left w:val="nil"/>
              <w:bottom w:val="nil"/>
              <w:right w:val="nil"/>
            </w:tcBorders>
            <w:shd w:val="clear" w:color="auto" w:fill="auto"/>
            <w:hideMark/>
          </w:tcPr>
          <w:p w14:paraId="35F2C360" w14:textId="77777777" w:rsidR="005B55F2" w:rsidRPr="008406E5" w:rsidRDefault="005B55F2" w:rsidP="08D4D6A2">
            <w:pPr>
              <w:spacing w:beforeAutospacing="1" w:afterAutospacing="1"/>
              <w:jc w:val="right"/>
              <w:textAlignment w:val="baseline"/>
            </w:pPr>
            <w:r>
              <w:rPr>
                <w:color w:val="000000"/>
              </w:rPr>
              <w:t>19</w:t>
            </w:r>
            <w:r w:rsidRPr="008406E5">
              <w:t> </w:t>
            </w:r>
          </w:p>
        </w:tc>
        <w:tc>
          <w:tcPr>
            <w:tcW w:w="386" w:type="dxa"/>
            <w:tcBorders>
              <w:top w:val="nil"/>
              <w:left w:val="nil"/>
              <w:bottom w:val="nil"/>
              <w:right w:val="nil"/>
            </w:tcBorders>
            <w:shd w:val="clear" w:color="auto" w:fill="auto"/>
            <w:hideMark/>
          </w:tcPr>
          <w:p w14:paraId="3D3DFA04"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0DAD3184" w14:textId="77777777" w:rsidR="005B55F2" w:rsidRPr="008406E5" w:rsidRDefault="005B55F2" w:rsidP="08D4D6A2">
            <w:pPr>
              <w:spacing w:beforeAutospacing="1" w:afterAutospacing="1"/>
              <w:jc w:val="right"/>
              <w:textAlignment w:val="baseline"/>
            </w:pPr>
            <w:r>
              <w:rPr>
                <w:color w:val="000000"/>
              </w:rPr>
              <w:t>.94</w:t>
            </w:r>
          </w:p>
        </w:tc>
        <w:tc>
          <w:tcPr>
            <w:tcW w:w="560" w:type="dxa"/>
            <w:tcBorders>
              <w:top w:val="nil"/>
              <w:left w:val="nil"/>
              <w:bottom w:val="nil"/>
              <w:right w:val="nil"/>
            </w:tcBorders>
            <w:shd w:val="clear" w:color="auto" w:fill="auto"/>
            <w:hideMark/>
          </w:tcPr>
          <w:p w14:paraId="4851420F" w14:textId="77777777" w:rsidR="005B55F2" w:rsidRPr="008406E5" w:rsidRDefault="005B55F2" w:rsidP="08D4D6A2">
            <w:pPr>
              <w:spacing w:beforeAutospacing="1" w:afterAutospacing="1"/>
              <w:jc w:val="right"/>
              <w:textAlignment w:val="baseline"/>
            </w:pPr>
            <w:r>
              <w:rPr>
                <w:color w:val="000000"/>
              </w:rPr>
              <w:t>.07</w:t>
            </w:r>
          </w:p>
        </w:tc>
        <w:tc>
          <w:tcPr>
            <w:tcW w:w="568" w:type="dxa"/>
            <w:tcBorders>
              <w:top w:val="nil"/>
              <w:left w:val="nil"/>
              <w:bottom w:val="nil"/>
              <w:right w:val="nil"/>
            </w:tcBorders>
            <w:shd w:val="clear" w:color="auto" w:fill="auto"/>
          </w:tcPr>
          <w:p w14:paraId="7060209F" w14:textId="77777777" w:rsidR="005B55F2" w:rsidRPr="008406E5" w:rsidRDefault="005B55F2" w:rsidP="08D4D6A2">
            <w:pPr>
              <w:spacing w:beforeAutospacing="1" w:afterAutospacing="1"/>
              <w:jc w:val="right"/>
              <w:textAlignment w:val="baseline"/>
            </w:pPr>
            <w:r>
              <w:rPr>
                <w:color w:val="000000"/>
              </w:rPr>
              <w:t>19</w:t>
            </w:r>
            <w:r w:rsidRPr="008406E5">
              <w:t> </w:t>
            </w:r>
          </w:p>
        </w:tc>
      </w:tr>
      <w:tr w:rsidR="005B55F2" w:rsidRPr="008406E5" w14:paraId="794D7ACB" w14:textId="77777777" w:rsidTr="006C4BE0">
        <w:trPr>
          <w:trHeight w:val="420"/>
        </w:trPr>
        <w:tc>
          <w:tcPr>
            <w:tcW w:w="1684" w:type="dxa"/>
            <w:vMerge/>
            <w:tcBorders>
              <w:top w:val="nil"/>
              <w:left w:val="nil"/>
              <w:bottom w:val="nil"/>
              <w:right w:val="nil"/>
            </w:tcBorders>
            <w:shd w:val="clear" w:color="auto" w:fill="auto"/>
            <w:hideMark/>
          </w:tcPr>
          <w:p w14:paraId="02ACF484" w14:textId="77777777" w:rsidR="005B55F2" w:rsidRPr="008406E5" w:rsidRDefault="005B55F2" w:rsidP="0031117D"/>
        </w:tc>
        <w:tc>
          <w:tcPr>
            <w:tcW w:w="1303" w:type="dxa"/>
            <w:tcBorders>
              <w:top w:val="nil"/>
              <w:left w:val="nil"/>
              <w:bottom w:val="nil"/>
              <w:right w:val="nil"/>
            </w:tcBorders>
            <w:shd w:val="clear" w:color="auto" w:fill="auto"/>
            <w:hideMark/>
          </w:tcPr>
          <w:p w14:paraId="402D3023"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209C93CC" w14:textId="77777777" w:rsidR="005B55F2" w:rsidRPr="008406E5" w:rsidRDefault="005B55F2" w:rsidP="006C4BE0">
            <w:pPr>
              <w:spacing w:beforeAutospacing="1" w:afterAutospacing="1"/>
              <w:textAlignment w:val="baseline"/>
            </w:pPr>
            <w:r w:rsidRPr="008406E5">
              <w:rPr>
                <w:color w:val="000000"/>
              </w:rPr>
              <w:t>Option-Posing</w:t>
            </w:r>
            <w:r w:rsidRPr="23B9E151">
              <w:t> </w:t>
            </w:r>
          </w:p>
        </w:tc>
        <w:tc>
          <w:tcPr>
            <w:tcW w:w="560" w:type="dxa"/>
            <w:tcBorders>
              <w:top w:val="nil"/>
              <w:left w:val="nil"/>
              <w:bottom w:val="nil"/>
              <w:right w:val="nil"/>
            </w:tcBorders>
            <w:shd w:val="clear" w:color="auto" w:fill="auto"/>
            <w:hideMark/>
          </w:tcPr>
          <w:p w14:paraId="31DEC4DD" w14:textId="77777777" w:rsidR="005B55F2" w:rsidRPr="008406E5" w:rsidRDefault="005B55F2" w:rsidP="08D4D6A2">
            <w:pPr>
              <w:spacing w:beforeAutospacing="1" w:afterAutospacing="1"/>
              <w:jc w:val="right"/>
              <w:textAlignment w:val="baseline"/>
            </w:pPr>
            <w:r>
              <w:rPr>
                <w:color w:val="000000"/>
              </w:rPr>
              <w:t>.88</w:t>
            </w:r>
            <w:r w:rsidRPr="008406E5">
              <w:t> </w:t>
            </w:r>
          </w:p>
        </w:tc>
        <w:tc>
          <w:tcPr>
            <w:tcW w:w="560" w:type="dxa"/>
            <w:tcBorders>
              <w:top w:val="nil"/>
              <w:left w:val="nil"/>
              <w:bottom w:val="nil"/>
              <w:right w:val="nil"/>
            </w:tcBorders>
            <w:shd w:val="clear" w:color="auto" w:fill="auto"/>
            <w:hideMark/>
          </w:tcPr>
          <w:p w14:paraId="4A331E43" w14:textId="77777777" w:rsidR="005B55F2" w:rsidRPr="008406E5" w:rsidRDefault="005B55F2" w:rsidP="08D4D6A2">
            <w:pPr>
              <w:spacing w:beforeAutospacing="1" w:afterAutospacing="1"/>
              <w:jc w:val="right"/>
              <w:textAlignment w:val="baseline"/>
            </w:pPr>
            <w:r>
              <w:rPr>
                <w:color w:val="000000"/>
              </w:rPr>
              <w:t>.20</w:t>
            </w:r>
          </w:p>
        </w:tc>
        <w:tc>
          <w:tcPr>
            <w:tcW w:w="568" w:type="dxa"/>
            <w:tcBorders>
              <w:top w:val="nil"/>
              <w:left w:val="nil"/>
              <w:bottom w:val="nil"/>
              <w:right w:val="nil"/>
            </w:tcBorders>
            <w:shd w:val="clear" w:color="auto" w:fill="auto"/>
            <w:hideMark/>
          </w:tcPr>
          <w:p w14:paraId="261CD139" w14:textId="77777777" w:rsidR="005B55F2" w:rsidRPr="008406E5" w:rsidRDefault="005B55F2" w:rsidP="08D4D6A2">
            <w:pPr>
              <w:spacing w:beforeAutospacing="1" w:afterAutospacing="1"/>
              <w:jc w:val="right"/>
              <w:textAlignment w:val="baseline"/>
            </w:pPr>
            <w:r>
              <w:rPr>
                <w:color w:val="000000"/>
              </w:rPr>
              <w:t>20</w:t>
            </w:r>
            <w:r w:rsidRPr="008406E5">
              <w:t> </w:t>
            </w:r>
          </w:p>
        </w:tc>
        <w:tc>
          <w:tcPr>
            <w:tcW w:w="386" w:type="dxa"/>
            <w:tcBorders>
              <w:top w:val="nil"/>
              <w:left w:val="nil"/>
              <w:bottom w:val="nil"/>
              <w:right w:val="nil"/>
            </w:tcBorders>
            <w:shd w:val="clear" w:color="auto" w:fill="auto"/>
            <w:hideMark/>
          </w:tcPr>
          <w:p w14:paraId="3A934C3A"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3FE022B7" w14:textId="77777777" w:rsidR="005B55F2" w:rsidRPr="008406E5" w:rsidRDefault="005B55F2" w:rsidP="08D4D6A2">
            <w:pPr>
              <w:spacing w:beforeAutospacing="1" w:afterAutospacing="1"/>
              <w:jc w:val="right"/>
              <w:textAlignment w:val="baseline"/>
            </w:pPr>
            <w:r>
              <w:rPr>
                <w:color w:val="000000"/>
              </w:rPr>
              <w:t>.95</w:t>
            </w:r>
          </w:p>
        </w:tc>
        <w:tc>
          <w:tcPr>
            <w:tcW w:w="560" w:type="dxa"/>
            <w:tcBorders>
              <w:top w:val="nil"/>
              <w:left w:val="nil"/>
              <w:bottom w:val="nil"/>
              <w:right w:val="nil"/>
            </w:tcBorders>
            <w:shd w:val="clear" w:color="auto" w:fill="auto"/>
            <w:hideMark/>
          </w:tcPr>
          <w:p w14:paraId="14A09190" w14:textId="77777777" w:rsidR="005B55F2" w:rsidRPr="008406E5" w:rsidRDefault="005B55F2" w:rsidP="08D4D6A2">
            <w:pPr>
              <w:spacing w:beforeAutospacing="1" w:afterAutospacing="1"/>
              <w:jc w:val="right"/>
              <w:textAlignment w:val="baseline"/>
            </w:pPr>
            <w:r>
              <w:rPr>
                <w:color w:val="000000"/>
              </w:rPr>
              <w:t>.04</w:t>
            </w:r>
          </w:p>
        </w:tc>
        <w:tc>
          <w:tcPr>
            <w:tcW w:w="568" w:type="dxa"/>
            <w:tcBorders>
              <w:top w:val="nil"/>
              <w:left w:val="nil"/>
              <w:bottom w:val="nil"/>
              <w:right w:val="nil"/>
            </w:tcBorders>
            <w:shd w:val="clear" w:color="auto" w:fill="auto"/>
          </w:tcPr>
          <w:p w14:paraId="6EFCF4F0" w14:textId="77777777" w:rsidR="005B55F2" w:rsidRPr="008406E5" w:rsidRDefault="005B55F2" w:rsidP="08D4D6A2">
            <w:pPr>
              <w:spacing w:beforeAutospacing="1" w:afterAutospacing="1"/>
              <w:jc w:val="right"/>
              <w:textAlignment w:val="baseline"/>
            </w:pPr>
            <w:r>
              <w:rPr>
                <w:color w:val="000000"/>
              </w:rPr>
              <w:t>21</w:t>
            </w:r>
            <w:r w:rsidRPr="008406E5">
              <w:t> </w:t>
            </w:r>
          </w:p>
        </w:tc>
      </w:tr>
      <w:tr w:rsidR="005B55F2" w:rsidRPr="008406E5" w14:paraId="2681F44B" w14:textId="77777777" w:rsidTr="006C4BE0">
        <w:trPr>
          <w:trHeight w:val="420"/>
        </w:trPr>
        <w:tc>
          <w:tcPr>
            <w:tcW w:w="1684" w:type="dxa"/>
            <w:vMerge/>
            <w:tcBorders>
              <w:top w:val="nil"/>
              <w:left w:val="nil"/>
              <w:bottom w:val="nil"/>
              <w:right w:val="nil"/>
            </w:tcBorders>
            <w:shd w:val="clear" w:color="auto" w:fill="auto"/>
            <w:hideMark/>
          </w:tcPr>
          <w:p w14:paraId="2C6CB542" w14:textId="77777777" w:rsidR="005B55F2" w:rsidRPr="008406E5" w:rsidRDefault="005B55F2" w:rsidP="0031117D"/>
        </w:tc>
        <w:tc>
          <w:tcPr>
            <w:tcW w:w="1303" w:type="dxa"/>
            <w:tcBorders>
              <w:top w:val="nil"/>
              <w:left w:val="nil"/>
              <w:bottom w:val="nil"/>
              <w:right w:val="nil"/>
            </w:tcBorders>
            <w:shd w:val="clear" w:color="auto" w:fill="auto"/>
            <w:hideMark/>
          </w:tcPr>
          <w:p w14:paraId="61727406"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7ED9FC38" w14:textId="77777777" w:rsidR="005B55F2" w:rsidRPr="008406E5" w:rsidRDefault="005B55F2" w:rsidP="006C4BE0">
            <w:pPr>
              <w:spacing w:beforeAutospacing="1" w:afterAutospacing="1"/>
              <w:textAlignment w:val="baseline"/>
            </w:pPr>
            <w:r w:rsidRPr="008406E5">
              <w:rPr>
                <w:color w:val="000000"/>
              </w:rPr>
              <w:t>Suggestive</w:t>
            </w:r>
            <w:r w:rsidRPr="23B9E151">
              <w:t> </w:t>
            </w:r>
          </w:p>
        </w:tc>
        <w:tc>
          <w:tcPr>
            <w:tcW w:w="560" w:type="dxa"/>
            <w:tcBorders>
              <w:top w:val="nil"/>
              <w:left w:val="nil"/>
              <w:bottom w:val="nil"/>
              <w:right w:val="nil"/>
            </w:tcBorders>
            <w:shd w:val="clear" w:color="auto" w:fill="auto"/>
            <w:hideMark/>
          </w:tcPr>
          <w:p w14:paraId="0BADDBB8" w14:textId="77777777" w:rsidR="005B55F2" w:rsidRPr="008406E5" w:rsidRDefault="005B55F2" w:rsidP="08D4D6A2">
            <w:pPr>
              <w:spacing w:beforeAutospacing="1" w:afterAutospacing="1"/>
              <w:jc w:val="right"/>
              <w:textAlignment w:val="baseline"/>
            </w:pPr>
            <w:r>
              <w:rPr>
                <w:color w:val="000000"/>
              </w:rPr>
              <w:t>.90</w:t>
            </w:r>
            <w:r w:rsidRPr="008406E5">
              <w:t> </w:t>
            </w:r>
          </w:p>
        </w:tc>
        <w:tc>
          <w:tcPr>
            <w:tcW w:w="560" w:type="dxa"/>
            <w:tcBorders>
              <w:top w:val="nil"/>
              <w:left w:val="nil"/>
              <w:bottom w:val="nil"/>
              <w:right w:val="nil"/>
            </w:tcBorders>
            <w:shd w:val="clear" w:color="auto" w:fill="auto"/>
            <w:hideMark/>
          </w:tcPr>
          <w:p w14:paraId="27D2E08F" w14:textId="77777777" w:rsidR="005B55F2" w:rsidRPr="008406E5" w:rsidRDefault="005B55F2" w:rsidP="08D4D6A2">
            <w:pPr>
              <w:spacing w:beforeAutospacing="1" w:afterAutospacing="1"/>
              <w:jc w:val="right"/>
              <w:textAlignment w:val="baseline"/>
            </w:pPr>
            <w:r>
              <w:rPr>
                <w:color w:val="000000"/>
              </w:rPr>
              <w:t>.10</w:t>
            </w:r>
          </w:p>
        </w:tc>
        <w:tc>
          <w:tcPr>
            <w:tcW w:w="568" w:type="dxa"/>
            <w:tcBorders>
              <w:top w:val="nil"/>
              <w:left w:val="nil"/>
              <w:bottom w:val="nil"/>
              <w:right w:val="nil"/>
            </w:tcBorders>
            <w:shd w:val="clear" w:color="auto" w:fill="auto"/>
            <w:hideMark/>
          </w:tcPr>
          <w:p w14:paraId="5FFDA90F" w14:textId="77777777" w:rsidR="005B55F2" w:rsidRPr="008406E5" w:rsidRDefault="005B55F2" w:rsidP="08D4D6A2">
            <w:pPr>
              <w:spacing w:beforeAutospacing="1" w:afterAutospacing="1"/>
              <w:jc w:val="right"/>
              <w:textAlignment w:val="baseline"/>
            </w:pPr>
            <w:r>
              <w:rPr>
                <w:color w:val="000000"/>
              </w:rPr>
              <w:t>20</w:t>
            </w:r>
            <w:r w:rsidRPr="008406E5">
              <w:t> </w:t>
            </w:r>
          </w:p>
        </w:tc>
        <w:tc>
          <w:tcPr>
            <w:tcW w:w="386" w:type="dxa"/>
            <w:tcBorders>
              <w:top w:val="nil"/>
              <w:left w:val="nil"/>
              <w:bottom w:val="nil"/>
              <w:right w:val="nil"/>
            </w:tcBorders>
            <w:shd w:val="clear" w:color="auto" w:fill="auto"/>
            <w:hideMark/>
          </w:tcPr>
          <w:p w14:paraId="214B9FDC" w14:textId="77777777" w:rsidR="005B55F2" w:rsidRPr="008406E5" w:rsidRDefault="005B55F2" w:rsidP="08D4D6A2">
            <w:pPr>
              <w:spacing w:beforeAutospacing="1" w:afterAutospacing="1"/>
              <w:jc w:val="right"/>
              <w:textAlignment w:val="baseline"/>
            </w:pPr>
            <w:r w:rsidRPr="008406E5">
              <w:t> </w:t>
            </w:r>
          </w:p>
        </w:tc>
        <w:tc>
          <w:tcPr>
            <w:tcW w:w="560" w:type="dxa"/>
            <w:tcBorders>
              <w:top w:val="nil"/>
              <w:left w:val="nil"/>
              <w:bottom w:val="nil"/>
              <w:right w:val="nil"/>
            </w:tcBorders>
            <w:shd w:val="clear" w:color="auto" w:fill="auto"/>
            <w:hideMark/>
          </w:tcPr>
          <w:p w14:paraId="6D40749D" w14:textId="77777777" w:rsidR="005B55F2" w:rsidRPr="008406E5" w:rsidRDefault="005B55F2" w:rsidP="08D4D6A2">
            <w:pPr>
              <w:spacing w:beforeAutospacing="1" w:afterAutospacing="1"/>
              <w:jc w:val="right"/>
              <w:textAlignment w:val="baseline"/>
            </w:pPr>
            <w:r>
              <w:rPr>
                <w:color w:val="000000"/>
              </w:rPr>
              <w:t>.91</w:t>
            </w:r>
          </w:p>
        </w:tc>
        <w:tc>
          <w:tcPr>
            <w:tcW w:w="560" w:type="dxa"/>
            <w:tcBorders>
              <w:top w:val="nil"/>
              <w:left w:val="nil"/>
              <w:bottom w:val="nil"/>
              <w:right w:val="nil"/>
            </w:tcBorders>
            <w:shd w:val="clear" w:color="auto" w:fill="auto"/>
            <w:hideMark/>
          </w:tcPr>
          <w:p w14:paraId="5CC6A5FE" w14:textId="77777777" w:rsidR="005B55F2" w:rsidRPr="008406E5" w:rsidRDefault="005B55F2" w:rsidP="08D4D6A2">
            <w:pPr>
              <w:spacing w:beforeAutospacing="1" w:afterAutospacing="1"/>
              <w:jc w:val="right"/>
              <w:textAlignment w:val="baseline"/>
            </w:pPr>
            <w:r>
              <w:rPr>
                <w:color w:val="000000"/>
              </w:rPr>
              <w:t>.17</w:t>
            </w:r>
          </w:p>
        </w:tc>
        <w:tc>
          <w:tcPr>
            <w:tcW w:w="568" w:type="dxa"/>
            <w:tcBorders>
              <w:top w:val="nil"/>
              <w:left w:val="nil"/>
              <w:bottom w:val="nil"/>
              <w:right w:val="nil"/>
            </w:tcBorders>
            <w:shd w:val="clear" w:color="auto" w:fill="auto"/>
          </w:tcPr>
          <w:p w14:paraId="4BDADDF6" w14:textId="77777777" w:rsidR="005B55F2" w:rsidRPr="008406E5" w:rsidRDefault="005B55F2" w:rsidP="08D4D6A2">
            <w:pPr>
              <w:spacing w:beforeAutospacing="1" w:afterAutospacing="1"/>
              <w:jc w:val="right"/>
              <w:textAlignment w:val="baseline"/>
            </w:pPr>
            <w:r>
              <w:rPr>
                <w:color w:val="000000"/>
              </w:rPr>
              <w:t>18</w:t>
            </w:r>
            <w:r w:rsidRPr="008406E5">
              <w:t> </w:t>
            </w:r>
          </w:p>
        </w:tc>
      </w:tr>
      <w:tr w:rsidR="0076683A" w:rsidRPr="008406E5" w14:paraId="7AA4596A" w14:textId="77777777" w:rsidTr="006C4BE0">
        <w:trPr>
          <w:trHeight w:val="243"/>
        </w:trPr>
        <w:tc>
          <w:tcPr>
            <w:tcW w:w="1684" w:type="dxa"/>
            <w:tcBorders>
              <w:top w:val="nil"/>
              <w:left w:val="nil"/>
              <w:bottom w:val="nil"/>
              <w:right w:val="nil"/>
            </w:tcBorders>
            <w:shd w:val="clear" w:color="auto" w:fill="auto"/>
          </w:tcPr>
          <w:p w14:paraId="730E1ABF" w14:textId="77777777" w:rsidR="0076683A" w:rsidRPr="008406E5" w:rsidRDefault="0076683A" w:rsidP="0031117D"/>
        </w:tc>
        <w:tc>
          <w:tcPr>
            <w:tcW w:w="1303" w:type="dxa"/>
            <w:tcBorders>
              <w:top w:val="nil"/>
              <w:left w:val="nil"/>
              <w:bottom w:val="nil"/>
              <w:right w:val="nil"/>
            </w:tcBorders>
            <w:shd w:val="clear" w:color="auto" w:fill="auto"/>
          </w:tcPr>
          <w:p w14:paraId="7F250B84" w14:textId="77777777" w:rsidR="0076683A" w:rsidRPr="008406E5" w:rsidRDefault="0076683A">
            <w:pPr>
              <w:spacing w:beforeAutospacing="1" w:afterAutospacing="1"/>
              <w:textAlignment w:val="baseline"/>
            </w:pPr>
          </w:p>
        </w:tc>
        <w:tc>
          <w:tcPr>
            <w:tcW w:w="1469" w:type="dxa"/>
            <w:tcBorders>
              <w:top w:val="nil"/>
              <w:left w:val="nil"/>
              <w:bottom w:val="nil"/>
              <w:right w:val="nil"/>
            </w:tcBorders>
            <w:shd w:val="clear" w:color="auto" w:fill="auto"/>
          </w:tcPr>
          <w:p w14:paraId="4B37CA27" w14:textId="77777777" w:rsidR="0076683A" w:rsidRPr="008406E5" w:rsidRDefault="0076683A" w:rsidP="23B9E151">
            <w:pPr>
              <w:spacing w:beforeAutospacing="1" w:afterAutospacing="1"/>
              <w:textAlignment w:val="baseline"/>
              <w:rPr>
                <w:color w:val="000000"/>
              </w:rPr>
            </w:pPr>
          </w:p>
        </w:tc>
        <w:tc>
          <w:tcPr>
            <w:tcW w:w="560" w:type="dxa"/>
            <w:tcBorders>
              <w:top w:val="nil"/>
              <w:left w:val="nil"/>
              <w:bottom w:val="nil"/>
              <w:right w:val="nil"/>
            </w:tcBorders>
            <w:shd w:val="clear" w:color="auto" w:fill="auto"/>
          </w:tcPr>
          <w:p w14:paraId="3653161B" w14:textId="77777777" w:rsidR="0076683A" w:rsidRDefault="0076683A">
            <w:pPr>
              <w:spacing w:beforeAutospacing="1" w:afterAutospacing="1"/>
              <w:jc w:val="right"/>
              <w:textAlignment w:val="baseline"/>
              <w:rPr>
                <w:color w:val="000000"/>
              </w:rPr>
            </w:pPr>
          </w:p>
        </w:tc>
        <w:tc>
          <w:tcPr>
            <w:tcW w:w="560" w:type="dxa"/>
            <w:tcBorders>
              <w:top w:val="nil"/>
              <w:left w:val="nil"/>
              <w:bottom w:val="nil"/>
              <w:right w:val="nil"/>
            </w:tcBorders>
            <w:shd w:val="clear" w:color="auto" w:fill="auto"/>
          </w:tcPr>
          <w:p w14:paraId="2C83DEC7" w14:textId="77777777" w:rsidR="0076683A" w:rsidRDefault="0076683A">
            <w:pPr>
              <w:spacing w:beforeAutospacing="1" w:afterAutospacing="1"/>
              <w:jc w:val="right"/>
              <w:textAlignment w:val="baseline"/>
              <w:rPr>
                <w:color w:val="000000"/>
              </w:rPr>
            </w:pPr>
          </w:p>
        </w:tc>
        <w:tc>
          <w:tcPr>
            <w:tcW w:w="568" w:type="dxa"/>
            <w:tcBorders>
              <w:top w:val="nil"/>
              <w:left w:val="nil"/>
              <w:bottom w:val="nil"/>
              <w:right w:val="nil"/>
            </w:tcBorders>
            <w:shd w:val="clear" w:color="auto" w:fill="auto"/>
          </w:tcPr>
          <w:p w14:paraId="5A065162" w14:textId="77777777" w:rsidR="0076683A" w:rsidRDefault="0076683A">
            <w:pPr>
              <w:spacing w:beforeAutospacing="1" w:afterAutospacing="1"/>
              <w:jc w:val="right"/>
              <w:textAlignment w:val="baseline"/>
              <w:rPr>
                <w:color w:val="000000"/>
              </w:rPr>
            </w:pPr>
          </w:p>
        </w:tc>
        <w:tc>
          <w:tcPr>
            <w:tcW w:w="386" w:type="dxa"/>
            <w:tcBorders>
              <w:top w:val="nil"/>
              <w:left w:val="nil"/>
              <w:bottom w:val="nil"/>
              <w:right w:val="nil"/>
            </w:tcBorders>
            <w:shd w:val="clear" w:color="auto" w:fill="auto"/>
          </w:tcPr>
          <w:p w14:paraId="3F6CF551" w14:textId="77777777" w:rsidR="0076683A" w:rsidRPr="008406E5" w:rsidRDefault="0076683A">
            <w:pPr>
              <w:spacing w:beforeAutospacing="1" w:afterAutospacing="1"/>
              <w:jc w:val="right"/>
              <w:textAlignment w:val="baseline"/>
            </w:pPr>
          </w:p>
        </w:tc>
        <w:tc>
          <w:tcPr>
            <w:tcW w:w="560" w:type="dxa"/>
            <w:tcBorders>
              <w:top w:val="nil"/>
              <w:left w:val="nil"/>
              <w:bottom w:val="nil"/>
              <w:right w:val="nil"/>
            </w:tcBorders>
            <w:shd w:val="clear" w:color="auto" w:fill="auto"/>
          </w:tcPr>
          <w:p w14:paraId="520C00A9" w14:textId="77777777" w:rsidR="0076683A" w:rsidRDefault="0076683A">
            <w:pPr>
              <w:spacing w:beforeAutospacing="1" w:afterAutospacing="1"/>
              <w:jc w:val="right"/>
              <w:textAlignment w:val="baseline"/>
              <w:rPr>
                <w:color w:val="000000"/>
              </w:rPr>
            </w:pPr>
          </w:p>
        </w:tc>
        <w:tc>
          <w:tcPr>
            <w:tcW w:w="560" w:type="dxa"/>
            <w:tcBorders>
              <w:top w:val="nil"/>
              <w:left w:val="nil"/>
              <w:bottom w:val="nil"/>
              <w:right w:val="nil"/>
            </w:tcBorders>
            <w:shd w:val="clear" w:color="auto" w:fill="auto"/>
          </w:tcPr>
          <w:p w14:paraId="3182443D" w14:textId="77777777" w:rsidR="0076683A" w:rsidRDefault="0076683A">
            <w:pPr>
              <w:spacing w:beforeAutospacing="1" w:afterAutospacing="1"/>
              <w:jc w:val="right"/>
              <w:textAlignment w:val="baseline"/>
              <w:rPr>
                <w:color w:val="000000"/>
              </w:rPr>
            </w:pPr>
          </w:p>
        </w:tc>
        <w:tc>
          <w:tcPr>
            <w:tcW w:w="568" w:type="dxa"/>
            <w:tcBorders>
              <w:top w:val="nil"/>
              <w:left w:val="nil"/>
              <w:bottom w:val="nil"/>
              <w:right w:val="nil"/>
            </w:tcBorders>
            <w:shd w:val="clear" w:color="auto" w:fill="auto"/>
          </w:tcPr>
          <w:p w14:paraId="6D80A0C3" w14:textId="77777777" w:rsidR="0076683A" w:rsidRDefault="0076683A">
            <w:pPr>
              <w:spacing w:beforeAutospacing="1" w:afterAutospacing="1"/>
              <w:jc w:val="right"/>
              <w:textAlignment w:val="baseline"/>
              <w:rPr>
                <w:color w:val="000000"/>
              </w:rPr>
            </w:pPr>
          </w:p>
        </w:tc>
      </w:tr>
      <w:tr w:rsidR="005B55F2" w:rsidRPr="008406E5" w14:paraId="2ECE88C5" w14:textId="77777777" w:rsidTr="006C4BE0">
        <w:trPr>
          <w:trHeight w:val="420"/>
        </w:trPr>
        <w:tc>
          <w:tcPr>
            <w:tcW w:w="1684" w:type="dxa"/>
            <w:vMerge w:val="restart"/>
            <w:tcBorders>
              <w:top w:val="nil"/>
              <w:left w:val="nil"/>
              <w:bottom w:val="nil"/>
              <w:right w:val="nil"/>
            </w:tcBorders>
            <w:shd w:val="clear" w:color="auto" w:fill="auto"/>
            <w:hideMark/>
          </w:tcPr>
          <w:p w14:paraId="6285B77D" w14:textId="77777777" w:rsidR="005B55F2" w:rsidRPr="00D53724" w:rsidRDefault="005B55F2" w:rsidP="006C4BE0">
            <w:pPr>
              <w:spacing w:beforeAutospacing="1" w:afterAutospacing="1"/>
              <w:textAlignment w:val="baseline"/>
            </w:pPr>
            <w:r w:rsidRPr="00D53724">
              <w:rPr>
                <w:color w:val="000000"/>
              </w:rPr>
              <w:t>Total</w:t>
            </w:r>
          </w:p>
        </w:tc>
        <w:tc>
          <w:tcPr>
            <w:tcW w:w="1303" w:type="dxa"/>
            <w:tcBorders>
              <w:top w:val="nil"/>
              <w:left w:val="nil"/>
              <w:bottom w:val="nil"/>
              <w:right w:val="nil"/>
            </w:tcBorders>
            <w:shd w:val="clear" w:color="auto" w:fill="auto"/>
            <w:hideMark/>
          </w:tcPr>
          <w:p w14:paraId="3EDD12DF" w14:textId="77777777" w:rsidR="005B55F2" w:rsidRPr="008406E5" w:rsidRDefault="005B55F2" w:rsidP="006C4BE0">
            <w:pPr>
              <w:spacing w:beforeAutospacing="1" w:afterAutospacing="1"/>
              <w:textAlignment w:val="baseline"/>
            </w:pPr>
            <w:r w:rsidRPr="008406E5">
              <w:rPr>
                <w:color w:val="000000"/>
              </w:rPr>
              <w:t>Prosecutor</w:t>
            </w:r>
            <w:r w:rsidRPr="23B9E151">
              <w:t> </w:t>
            </w:r>
          </w:p>
        </w:tc>
        <w:tc>
          <w:tcPr>
            <w:tcW w:w="1469" w:type="dxa"/>
            <w:tcBorders>
              <w:top w:val="nil"/>
              <w:left w:val="nil"/>
              <w:bottom w:val="nil"/>
              <w:right w:val="nil"/>
            </w:tcBorders>
            <w:shd w:val="clear" w:color="auto" w:fill="auto"/>
            <w:hideMark/>
          </w:tcPr>
          <w:p w14:paraId="4229D465" w14:textId="77777777" w:rsidR="005B55F2" w:rsidRPr="008406E5" w:rsidRDefault="005B55F2" w:rsidP="006C4BE0">
            <w:pPr>
              <w:spacing w:beforeAutospacing="1" w:afterAutospacing="1"/>
              <w:textAlignment w:val="baseline"/>
            </w:pPr>
            <w:r w:rsidRPr="008406E5">
              <w:rPr>
                <w:color w:val="000000"/>
              </w:rPr>
              <w:t>Directive</w:t>
            </w:r>
            <w:r w:rsidRPr="23B9E151">
              <w:t> </w:t>
            </w:r>
          </w:p>
        </w:tc>
        <w:tc>
          <w:tcPr>
            <w:tcW w:w="560" w:type="dxa"/>
            <w:tcBorders>
              <w:top w:val="nil"/>
              <w:left w:val="nil"/>
              <w:bottom w:val="nil"/>
              <w:right w:val="nil"/>
            </w:tcBorders>
            <w:shd w:val="clear" w:color="auto" w:fill="auto"/>
          </w:tcPr>
          <w:p w14:paraId="59C6094C" w14:textId="77777777" w:rsidR="005B55F2" w:rsidRPr="008406E5" w:rsidRDefault="005B55F2" w:rsidP="08D4D6A2">
            <w:pPr>
              <w:spacing w:beforeAutospacing="1" w:afterAutospacing="1"/>
              <w:jc w:val="right"/>
              <w:textAlignment w:val="baseline"/>
            </w:pPr>
            <w:r>
              <w:t>.87</w:t>
            </w:r>
          </w:p>
        </w:tc>
        <w:tc>
          <w:tcPr>
            <w:tcW w:w="560" w:type="dxa"/>
            <w:tcBorders>
              <w:top w:val="nil"/>
              <w:left w:val="nil"/>
              <w:bottom w:val="nil"/>
              <w:right w:val="nil"/>
            </w:tcBorders>
            <w:shd w:val="clear" w:color="auto" w:fill="auto"/>
          </w:tcPr>
          <w:p w14:paraId="1D5F83F3" w14:textId="77777777" w:rsidR="005B55F2" w:rsidRPr="008406E5" w:rsidRDefault="005B55F2" w:rsidP="08D4D6A2">
            <w:pPr>
              <w:spacing w:beforeAutospacing="1" w:afterAutospacing="1"/>
              <w:jc w:val="right"/>
              <w:textAlignment w:val="baseline"/>
            </w:pPr>
            <w:r>
              <w:t>.23</w:t>
            </w:r>
          </w:p>
        </w:tc>
        <w:tc>
          <w:tcPr>
            <w:tcW w:w="568" w:type="dxa"/>
            <w:tcBorders>
              <w:top w:val="nil"/>
              <w:left w:val="nil"/>
              <w:bottom w:val="nil"/>
              <w:right w:val="nil"/>
            </w:tcBorders>
            <w:shd w:val="clear" w:color="auto" w:fill="auto"/>
          </w:tcPr>
          <w:p w14:paraId="7455C4DC" w14:textId="77777777" w:rsidR="005B55F2" w:rsidRPr="008406E5" w:rsidRDefault="005B55F2" w:rsidP="08D4D6A2">
            <w:pPr>
              <w:spacing w:beforeAutospacing="1" w:afterAutospacing="1"/>
              <w:jc w:val="right"/>
              <w:textAlignment w:val="baseline"/>
            </w:pPr>
            <w:r>
              <w:t>24</w:t>
            </w:r>
          </w:p>
        </w:tc>
        <w:tc>
          <w:tcPr>
            <w:tcW w:w="386" w:type="dxa"/>
            <w:tcBorders>
              <w:top w:val="nil"/>
              <w:left w:val="nil"/>
              <w:bottom w:val="nil"/>
              <w:right w:val="nil"/>
            </w:tcBorders>
            <w:shd w:val="clear" w:color="auto" w:fill="auto"/>
          </w:tcPr>
          <w:p w14:paraId="196E25FC" w14:textId="77777777" w:rsidR="005B55F2" w:rsidRPr="008406E5" w:rsidRDefault="005B55F2" w:rsidP="0031117D">
            <w:pPr>
              <w:spacing w:beforeAutospacing="1" w:afterAutospacing="1"/>
              <w:jc w:val="right"/>
              <w:textAlignment w:val="baseline"/>
            </w:pPr>
          </w:p>
        </w:tc>
        <w:tc>
          <w:tcPr>
            <w:tcW w:w="560" w:type="dxa"/>
            <w:tcBorders>
              <w:top w:val="nil"/>
              <w:left w:val="nil"/>
              <w:bottom w:val="nil"/>
              <w:right w:val="nil"/>
            </w:tcBorders>
            <w:shd w:val="clear" w:color="auto" w:fill="auto"/>
          </w:tcPr>
          <w:p w14:paraId="31B3E3FA" w14:textId="77777777" w:rsidR="005B55F2" w:rsidRPr="008406E5" w:rsidRDefault="005B55F2" w:rsidP="08D4D6A2">
            <w:pPr>
              <w:spacing w:beforeAutospacing="1" w:afterAutospacing="1"/>
              <w:jc w:val="right"/>
              <w:textAlignment w:val="baseline"/>
            </w:pPr>
            <w:r>
              <w:t>.83</w:t>
            </w:r>
          </w:p>
        </w:tc>
        <w:tc>
          <w:tcPr>
            <w:tcW w:w="560" w:type="dxa"/>
            <w:tcBorders>
              <w:top w:val="nil"/>
              <w:left w:val="nil"/>
              <w:bottom w:val="nil"/>
              <w:right w:val="nil"/>
            </w:tcBorders>
            <w:shd w:val="clear" w:color="auto" w:fill="auto"/>
          </w:tcPr>
          <w:p w14:paraId="5D3DC6D5" w14:textId="77777777" w:rsidR="005B55F2" w:rsidRPr="008406E5" w:rsidRDefault="005B55F2" w:rsidP="08D4D6A2">
            <w:pPr>
              <w:spacing w:beforeAutospacing="1" w:afterAutospacing="1"/>
              <w:jc w:val="right"/>
              <w:textAlignment w:val="baseline"/>
            </w:pPr>
            <w:r>
              <w:t>.32</w:t>
            </w:r>
          </w:p>
        </w:tc>
        <w:tc>
          <w:tcPr>
            <w:tcW w:w="568" w:type="dxa"/>
            <w:tcBorders>
              <w:top w:val="nil"/>
              <w:left w:val="nil"/>
              <w:bottom w:val="nil"/>
              <w:right w:val="nil"/>
            </w:tcBorders>
            <w:shd w:val="clear" w:color="auto" w:fill="auto"/>
          </w:tcPr>
          <w:p w14:paraId="2601D17E" w14:textId="77777777" w:rsidR="005B55F2" w:rsidRPr="008406E5" w:rsidRDefault="005B55F2" w:rsidP="08D4D6A2">
            <w:pPr>
              <w:spacing w:beforeAutospacing="1" w:afterAutospacing="1"/>
              <w:jc w:val="right"/>
              <w:textAlignment w:val="baseline"/>
            </w:pPr>
            <w:r>
              <w:t>11</w:t>
            </w:r>
          </w:p>
        </w:tc>
      </w:tr>
      <w:tr w:rsidR="005B55F2" w:rsidRPr="008406E5" w14:paraId="19BC35DF" w14:textId="77777777" w:rsidTr="006C4BE0">
        <w:trPr>
          <w:trHeight w:val="420"/>
        </w:trPr>
        <w:tc>
          <w:tcPr>
            <w:tcW w:w="1684" w:type="dxa"/>
            <w:vMerge/>
            <w:tcBorders>
              <w:top w:val="nil"/>
              <w:left w:val="nil"/>
              <w:bottom w:val="nil"/>
              <w:right w:val="nil"/>
            </w:tcBorders>
            <w:shd w:val="clear" w:color="auto" w:fill="auto"/>
            <w:hideMark/>
          </w:tcPr>
          <w:p w14:paraId="4461B7AC" w14:textId="77777777" w:rsidR="005B55F2" w:rsidRPr="008406E5" w:rsidRDefault="005B55F2" w:rsidP="0031117D"/>
        </w:tc>
        <w:tc>
          <w:tcPr>
            <w:tcW w:w="1303" w:type="dxa"/>
            <w:tcBorders>
              <w:top w:val="nil"/>
              <w:left w:val="nil"/>
              <w:bottom w:val="nil"/>
              <w:right w:val="nil"/>
            </w:tcBorders>
            <w:shd w:val="clear" w:color="auto" w:fill="auto"/>
            <w:hideMark/>
          </w:tcPr>
          <w:p w14:paraId="73D00D9C"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0FA7087E" w14:textId="77777777" w:rsidR="005B55F2" w:rsidRPr="008406E5" w:rsidRDefault="005B55F2" w:rsidP="006C4BE0">
            <w:pPr>
              <w:spacing w:beforeAutospacing="1" w:afterAutospacing="1"/>
              <w:textAlignment w:val="baseline"/>
            </w:pPr>
            <w:r w:rsidRPr="008406E5">
              <w:rPr>
                <w:color w:val="000000"/>
              </w:rPr>
              <w:t>Option-Posing</w:t>
            </w:r>
            <w:r w:rsidRPr="23B9E151">
              <w:t> </w:t>
            </w:r>
          </w:p>
        </w:tc>
        <w:tc>
          <w:tcPr>
            <w:tcW w:w="560" w:type="dxa"/>
            <w:tcBorders>
              <w:top w:val="nil"/>
              <w:left w:val="nil"/>
              <w:bottom w:val="nil"/>
              <w:right w:val="nil"/>
            </w:tcBorders>
            <w:shd w:val="clear" w:color="auto" w:fill="auto"/>
          </w:tcPr>
          <w:p w14:paraId="15FD9621" w14:textId="77777777" w:rsidR="005B55F2" w:rsidRPr="008406E5" w:rsidRDefault="005B55F2" w:rsidP="08D4D6A2">
            <w:pPr>
              <w:spacing w:beforeAutospacing="1" w:afterAutospacing="1"/>
              <w:jc w:val="right"/>
              <w:textAlignment w:val="baseline"/>
            </w:pPr>
            <w:r>
              <w:t>.91</w:t>
            </w:r>
          </w:p>
        </w:tc>
        <w:tc>
          <w:tcPr>
            <w:tcW w:w="560" w:type="dxa"/>
            <w:tcBorders>
              <w:top w:val="nil"/>
              <w:left w:val="nil"/>
              <w:bottom w:val="nil"/>
              <w:right w:val="nil"/>
            </w:tcBorders>
            <w:shd w:val="clear" w:color="auto" w:fill="auto"/>
          </w:tcPr>
          <w:p w14:paraId="3C7526FC" w14:textId="77777777" w:rsidR="005B55F2" w:rsidRPr="008406E5" w:rsidRDefault="005B55F2" w:rsidP="08D4D6A2">
            <w:pPr>
              <w:spacing w:beforeAutospacing="1" w:afterAutospacing="1"/>
              <w:jc w:val="right"/>
              <w:textAlignment w:val="baseline"/>
            </w:pPr>
            <w:r>
              <w:t>.13</w:t>
            </w:r>
          </w:p>
        </w:tc>
        <w:tc>
          <w:tcPr>
            <w:tcW w:w="568" w:type="dxa"/>
            <w:tcBorders>
              <w:top w:val="nil"/>
              <w:left w:val="nil"/>
              <w:bottom w:val="nil"/>
              <w:right w:val="nil"/>
            </w:tcBorders>
            <w:shd w:val="clear" w:color="auto" w:fill="auto"/>
          </w:tcPr>
          <w:p w14:paraId="756577D2" w14:textId="77777777" w:rsidR="005B55F2" w:rsidRPr="008406E5" w:rsidRDefault="005B55F2" w:rsidP="08D4D6A2">
            <w:pPr>
              <w:spacing w:beforeAutospacing="1" w:afterAutospacing="1"/>
              <w:jc w:val="right"/>
              <w:textAlignment w:val="baseline"/>
            </w:pPr>
            <w:r>
              <w:t>29</w:t>
            </w:r>
          </w:p>
        </w:tc>
        <w:tc>
          <w:tcPr>
            <w:tcW w:w="386" w:type="dxa"/>
            <w:tcBorders>
              <w:top w:val="nil"/>
              <w:left w:val="nil"/>
              <w:bottom w:val="nil"/>
              <w:right w:val="nil"/>
            </w:tcBorders>
            <w:shd w:val="clear" w:color="auto" w:fill="auto"/>
          </w:tcPr>
          <w:p w14:paraId="50B2B12B" w14:textId="77777777" w:rsidR="005B55F2" w:rsidRPr="008406E5" w:rsidRDefault="005B55F2" w:rsidP="0031117D">
            <w:pPr>
              <w:spacing w:beforeAutospacing="1" w:afterAutospacing="1"/>
              <w:jc w:val="right"/>
              <w:textAlignment w:val="baseline"/>
            </w:pPr>
          </w:p>
        </w:tc>
        <w:tc>
          <w:tcPr>
            <w:tcW w:w="560" w:type="dxa"/>
            <w:tcBorders>
              <w:top w:val="nil"/>
              <w:left w:val="nil"/>
              <w:bottom w:val="nil"/>
              <w:right w:val="nil"/>
            </w:tcBorders>
            <w:shd w:val="clear" w:color="auto" w:fill="auto"/>
          </w:tcPr>
          <w:p w14:paraId="72439E74" w14:textId="77777777" w:rsidR="005B55F2" w:rsidRPr="008406E5" w:rsidRDefault="005B55F2" w:rsidP="08D4D6A2">
            <w:pPr>
              <w:spacing w:beforeAutospacing="1" w:afterAutospacing="1"/>
              <w:jc w:val="right"/>
              <w:textAlignment w:val="baseline"/>
            </w:pPr>
            <w:r>
              <w:t>.94</w:t>
            </w:r>
          </w:p>
        </w:tc>
        <w:tc>
          <w:tcPr>
            <w:tcW w:w="560" w:type="dxa"/>
            <w:tcBorders>
              <w:top w:val="nil"/>
              <w:left w:val="nil"/>
              <w:bottom w:val="nil"/>
              <w:right w:val="nil"/>
            </w:tcBorders>
            <w:shd w:val="clear" w:color="auto" w:fill="auto"/>
          </w:tcPr>
          <w:p w14:paraId="2722AE32" w14:textId="77777777" w:rsidR="005B55F2" w:rsidRPr="008406E5" w:rsidRDefault="005B55F2" w:rsidP="08D4D6A2">
            <w:pPr>
              <w:spacing w:beforeAutospacing="1" w:afterAutospacing="1"/>
              <w:jc w:val="right"/>
              <w:textAlignment w:val="baseline"/>
            </w:pPr>
            <w:r>
              <w:t>.16</w:t>
            </w:r>
          </w:p>
        </w:tc>
        <w:tc>
          <w:tcPr>
            <w:tcW w:w="568" w:type="dxa"/>
            <w:tcBorders>
              <w:top w:val="nil"/>
              <w:left w:val="nil"/>
              <w:bottom w:val="nil"/>
              <w:right w:val="nil"/>
            </w:tcBorders>
            <w:shd w:val="clear" w:color="auto" w:fill="auto"/>
          </w:tcPr>
          <w:p w14:paraId="788176EC" w14:textId="77777777" w:rsidR="005B55F2" w:rsidRPr="008406E5" w:rsidRDefault="005B55F2" w:rsidP="08D4D6A2">
            <w:pPr>
              <w:spacing w:beforeAutospacing="1" w:afterAutospacing="1"/>
              <w:jc w:val="right"/>
              <w:textAlignment w:val="baseline"/>
            </w:pPr>
            <w:r>
              <w:t>16</w:t>
            </w:r>
          </w:p>
        </w:tc>
      </w:tr>
      <w:tr w:rsidR="005B55F2" w:rsidRPr="008406E5" w14:paraId="258F045B" w14:textId="77777777" w:rsidTr="006C4BE0">
        <w:trPr>
          <w:trHeight w:val="420"/>
        </w:trPr>
        <w:tc>
          <w:tcPr>
            <w:tcW w:w="1684" w:type="dxa"/>
            <w:vMerge/>
            <w:tcBorders>
              <w:top w:val="nil"/>
              <w:left w:val="nil"/>
              <w:bottom w:val="nil"/>
              <w:right w:val="nil"/>
            </w:tcBorders>
            <w:shd w:val="clear" w:color="auto" w:fill="auto"/>
            <w:hideMark/>
          </w:tcPr>
          <w:p w14:paraId="646B627C" w14:textId="77777777" w:rsidR="005B55F2" w:rsidRPr="008406E5" w:rsidRDefault="005B55F2" w:rsidP="0031117D"/>
        </w:tc>
        <w:tc>
          <w:tcPr>
            <w:tcW w:w="1303" w:type="dxa"/>
            <w:tcBorders>
              <w:top w:val="nil"/>
              <w:left w:val="nil"/>
              <w:bottom w:val="nil"/>
              <w:right w:val="nil"/>
            </w:tcBorders>
            <w:shd w:val="clear" w:color="auto" w:fill="auto"/>
            <w:hideMark/>
          </w:tcPr>
          <w:p w14:paraId="06AE0AEA"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5DE55AA5" w14:textId="77777777" w:rsidR="005B55F2" w:rsidRPr="008406E5" w:rsidRDefault="005B55F2" w:rsidP="006C4BE0">
            <w:pPr>
              <w:spacing w:beforeAutospacing="1" w:afterAutospacing="1"/>
              <w:textAlignment w:val="baseline"/>
            </w:pPr>
            <w:r w:rsidRPr="008406E5">
              <w:rPr>
                <w:color w:val="000000"/>
              </w:rPr>
              <w:t>Suggestive</w:t>
            </w:r>
            <w:r w:rsidRPr="23B9E151">
              <w:t> </w:t>
            </w:r>
          </w:p>
        </w:tc>
        <w:tc>
          <w:tcPr>
            <w:tcW w:w="560" w:type="dxa"/>
            <w:tcBorders>
              <w:top w:val="nil"/>
              <w:left w:val="nil"/>
              <w:bottom w:val="nil"/>
              <w:right w:val="nil"/>
            </w:tcBorders>
            <w:shd w:val="clear" w:color="auto" w:fill="auto"/>
          </w:tcPr>
          <w:p w14:paraId="42D34927" w14:textId="77777777" w:rsidR="005B55F2" w:rsidRPr="008406E5" w:rsidRDefault="005B55F2" w:rsidP="08D4D6A2">
            <w:pPr>
              <w:spacing w:beforeAutospacing="1" w:afterAutospacing="1"/>
              <w:jc w:val="right"/>
              <w:textAlignment w:val="baseline"/>
            </w:pPr>
            <w:r>
              <w:t>1.0</w:t>
            </w:r>
          </w:p>
        </w:tc>
        <w:tc>
          <w:tcPr>
            <w:tcW w:w="560" w:type="dxa"/>
            <w:tcBorders>
              <w:top w:val="nil"/>
              <w:left w:val="nil"/>
              <w:bottom w:val="nil"/>
              <w:right w:val="nil"/>
            </w:tcBorders>
            <w:shd w:val="clear" w:color="auto" w:fill="auto"/>
          </w:tcPr>
          <w:p w14:paraId="3EAA3582" w14:textId="77777777" w:rsidR="005B55F2" w:rsidRPr="008406E5" w:rsidRDefault="005B55F2" w:rsidP="08D4D6A2">
            <w:pPr>
              <w:spacing w:beforeAutospacing="1" w:afterAutospacing="1"/>
              <w:jc w:val="right"/>
              <w:textAlignment w:val="baseline"/>
            </w:pPr>
            <w:r>
              <w:t>.00</w:t>
            </w:r>
          </w:p>
        </w:tc>
        <w:tc>
          <w:tcPr>
            <w:tcW w:w="568" w:type="dxa"/>
            <w:tcBorders>
              <w:top w:val="nil"/>
              <w:left w:val="nil"/>
              <w:bottom w:val="nil"/>
              <w:right w:val="nil"/>
            </w:tcBorders>
            <w:shd w:val="clear" w:color="auto" w:fill="auto"/>
          </w:tcPr>
          <w:p w14:paraId="22D39BFD" w14:textId="77777777" w:rsidR="005B55F2" w:rsidRPr="008406E5" w:rsidRDefault="005B55F2" w:rsidP="08D4D6A2">
            <w:pPr>
              <w:spacing w:beforeAutospacing="1" w:afterAutospacing="1"/>
              <w:jc w:val="right"/>
              <w:textAlignment w:val="baseline"/>
            </w:pPr>
            <w:r>
              <w:t>10</w:t>
            </w:r>
          </w:p>
        </w:tc>
        <w:tc>
          <w:tcPr>
            <w:tcW w:w="386" w:type="dxa"/>
            <w:tcBorders>
              <w:top w:val="nil"/>
              <w:left w:val="nil"/>
              <w:bottom w:val="nil"/>
              <w:right w:val="nil"/>
            </w:tcBorders>
            <w:shd w:val="clear" w:color="auto" w:fill="auto"/>
          </w:tcPr>
          <w:p w14:paraId="2B13F1A2" w14:textId="77777777" w:rsidR="005B55F2" w:rsidRPr="008406E5" w:rsidRDefault="005B55F2" w:rsidP="0031117D">
            <w:pPr>
              <w:spacing w:beforeAutospacing="1" w:afterAutospacing="1"/>
              <w:jc w:val="right"/>
              <w:textAlignment w:val="baseline"/>
            </w:pPr>
          </w:p>
        </w:tc>
        <w:tc>
          <w:tcPr>
            <w:tcW w:w="560" w:type="dxa"/>
            <w:tcBorders>
              <w:top w:val="nil"/>
              <w:left w:val="nil"/>
              <w:bottom w:val="nil"/>
              <w:right w:val="nil"/>
            </w:tcBorders>
            <w:shd w:val="clear" w:color="auto" w:fill="auto"/>
          </w:tcPr>
          <w:p w14:paraId="37299A96" w14:textId="77777777" w:rsidR="005B55F2" w:rsidRPr="008406E5" w:rsidRDefault="005B55F2" w:rsidP="08D4D6A2">
            <w:pPr>
              <w:spacing w:beforeAutospacing="1" w:afterAutospacing="1"/>
              <w:jc w:val="right"/>
              <w:textAlignment w:val="baseline"/>
            </w:pPr>
            <w:r>
              <w:t>1.0</w:t>
            </w:r>
          </w:p>
        </w:tc>
        <w:tc>
          <w:tcPr>
            <w:tcW w:w="560" w:type="dxa"/>
            <w:tcBorders>
              <w:top w:val="nil"/>
              <w:left w:val="nil"/>
              <w:bottom w:val="nil"/>
              <w:right w:val="nil"/>
            </w:tcBorders>
            <w:shd w:val="clear" w:color="auto" w:fill="auto"/>
          </w:tcPr>
          <w:p w14:paraId="521C31F3" w14:textId="77777777" w:rsidR="005B55F2" w:rsidRPr="008406E5" w:rsidRDefault="005B55F2" w:rsidP="08D4D6A2">
            <w:pPr>
              <w:spacing w:beforeAutospacing="1" w:afterAutospacing="1"/>
              <w:jc w:val="right"/>
              <w:textAlignment w:val="baseline"/>
            </w:pPr>
            <w:r>
              <w:t>.00</w:t>
            </w:r>
          </w:p>
        </w:tc>
        <w:tc>
          <w:tcPr>
            <w:tcW w:w="568" w:type="dxa"/>
            <w:tcBorders>
              <w:top w:val="nil"/>
              <w:left w:val="nil"/>
              <w:bottom w:val="nil"/>
              <w:right w:val="nil"/>
            </w:tcBorders>
            <w:shd w:val="clear" w:color="auto" w:fill="auto"/>
          </w:tcPr>
          <w:p w14:paraId="1EB51FBB" w14:textId="77777777" w:rsidR="005B55F2" w:rsidRPr="008406E5" w:rsidRDefault="005B55F2" w:rsidP="08D4D6A2">
            <w:pPr>
              <w:spacing w:beforeAutospacing="1" w:afterAutospacing="1"/>
              <w:jc w:val="right"/>
              <w:textAlignment w:val="baseline"/>
            </w:pPr>
            <w:r>
              <w:t>3</w:t>
            </w:r>
          </w:p>
        </w:tc>
      </w:tr>
      <w:tr w:rsidR="005B55F2" w:rsidRPr="008406E5" w14:paraId="484747E1" w14:textId="77777777" w:rsidTr="006C4BE0">
        <w:trPr>
          <w:trHeight w:val="420"/>
        </w:trPr>
        <w:tc>
          <w:tcPr>
            <w:tcW w:w="1684" w:type="dxa"/>
            <w:vMerge/>
            <w:tcBorders>
              <w:top w:val="nil"/>
              <w:left w:val="nil"/>
              <w:bottom w:val="nil"/>
              <w:right w:val="nil"/>
            </w:tcBorders>
            <w:shd w:val="clear" w:color="auto" w:fill="auto"/>
            <w:hideMark/>
          </w:tcPr>
          <w:p w14:paraId="7AA6CC1B" w14:textId="77777777" w:rsidR="005B55F2" w:rsidRPr="008406E5" w:rsidRDefault="005B55F2" w:rsidP="0031117D"/>
        </w:tc>
        <w:tc>
          <w:tcPr>
            <w:tcW w:w="1303" w:type="dxa"/>
            <w:tcBorders>
              <w:top w:val="nil"/>
              <w:left w:val="nil"/>
              <w:bottom w:val="nil"/>
              <w:right w:val="nil"/>
            </w:tcBorders>
            <w:shd w:val="clear" w:color="auto" w:fill="auto"/>
            <w:hideMark/>
          </w:tcPr>
          <w:p w14:paraId="6BF118B9" w14:textId="32D9BC37" w:rsidR="005B55F2" w:rsidRPr="008406E5" w:rsidRDefault="005B55F2" w:rsidP="006C4BE0">
            <w:pPr>
              <w:spacing w:beforeAutospacing="1" w:afterAutospacing="1"/>
              <w:textAlignment w:val="baseline"/>
            </w:pPr>
            <w:r w:rsidRPr="008406E5">
              <w:rPr>
                <w:color w:val="000000"/>
              </w:rPr>
              <w:t>Defence</w:t>
            </w:r>
            <w:r w:rsidRPr="23B9E151">
              <w:t> </w:t>
            </w:r>
          </w:p>
        </w:tc>
        <w:tc>
          <w:tcPr>
            <w:tcW w:w="1469" w:type="dxa"/>
            <w:tcBorders>
              <w:top w:val="nil"/>
              <w:left w:val="nil"/>
              <w:bottom w:val="nil"/>
              <w:right w:val="nil"/>
            </w:tcBorders>
            <w:shd w:val="clear" w:color="auto" w:fill="auto"/>
            <w:hideMark/>
          </w:tcPr>
          <w:p w14:paraId="1B4E6739" w14:textId="77777777" w:rsidR="005B55F2" w:rsidRPr="008406E5" w:rsidRDefault="005B55F2" w:rsidP="006C4BE0">
            <w:pPr>
              <w:spacing w:beforeAutospacing="1" w:afterAutospacing="1"/>
              <w:textAlignment w:val="baseline"/>
            </w:pPr>
            <w:r w:rsidRPr="008406E5">
              <w:rPr>
                <w:color w:val="000000"/>
              </w:rPr>
              <w:t>Directive</w:t>
            </w:r>
            <w:r w:rsidRPr="23B9E151">
              <w:t> </w:t>
            </w:r>
          </w:p>
        </w:tc>
        <w:tc>
          <w:tcPr>
            <w:tcW w:w="560" w:type="dxa"/>
            <w:tcBorders>
              <w:top w:val="nil"/>
              <w:left w:val="nil"/>
              <w:bottom w:val="nil"/>
              <w:right w:val="nil"/>
            </w:tcBorders>
            <w:shd w:val="clear" w:color="auto" w:fill="auto"/>
          </w:tcPr>
          <w:p w14:paraId="29DAAC7B" w14:textId="77777777" w:rsidR="005B55F2" w:rsidRPr="008406E5" w:rsidRDefault="005B55F2" w:rsidP="08D4D6A2">
            <w:pPr>
              <w:spacing w:beforeAutospacing="1" w:afterAutospacing="1"/>
              <w:jc w:val="right"/>
              <w:textAlignment w:val="baseline"/>
            </w:pPr>
            <w:r>
              <w:t>.87</w:t>
            </w:r>
          </w:p>
        </w:tc>
        <w:tc>
          <w:tcPr>
            <w:tcW w:w="560" w:type="dxa"/>
            <w:tcBorders>
              <w:top w:val="nil"/>
              <w:left w:val="nil"/>
              <w:bottom w:val="nil"/>
              <w:right w:val="nil"/>
            </w:tcBorders>
            <w:shd w:val="clear" w:color="auto" w:fill="auto"/>
          </w:tcPr>
          <w:p w14:paraId="4517BC0E" w14:textId="77777777" w:rsidR="005B55F2" w:rsidRPr="008406E5" w:rsidRDefault="005B55F2" w:rsidP="08D4D6A2">
            <w:pPr>
              <w:spacing w:beforeAutospacing="1" w:afterAutospacing="1"/>
              <w:jc w:val="right"/>
              <w:textAlignment w:val="baseline"/>
            </w:pPr>
            <w:r>
              <w:t>.19</w:t>
            </w:r>
          </w:p>
        </w:tc>
        <w:tc>
          <w:tcPr>
            <w:tcW w:w="568" w:type="dxa"/>
            <w:tcBorders>
              <w:top w:val="nil"/>
              <w:left w:val="nil"/>
              <w:bottom w:val="nil"/>
              <w:right w:val="nil"/>
            </w:tcBorders>
            <w:shd w:val="clear" w:color="auto" w:fill="auto"/>
          </w:tcPr>
          <w:p w14:paraId="3A9648F7" w14:textId="77777777" w:rsidR="005B55F2" w:rsidRPr="008406E5" w:rsidRDefault="005B55F2" w:rsidP="08D4D6A2">
            <w:pPr>
              <w:spacing w:beforeAutospacing="1" w:afterAutospacing="1"/>
              <w:jc w:val="right"/>
              <w:textAlignment w:val="baseline"/>
            </w:pPr>
            <w:r>
              <w:t>42</w:t>
            </w:r>
          </w:p>
        </w:tc>
        <w:tc>
          <w:tcPr>
            <w:tcW w:w="386" w:type="dxa"/>
            <w:tcBorders>
              <w:top w:val="nil"/>
              <w:left w:val="nil"/>
              <w:bottom w:val="nil"/>
              <w:right w:val="nil"/>
            </w:tcBorders>
            <w:shd w:val="clear" w:color="auto" w:fill="auto"/>
          </w:tcPr>
          <w:p w14:paraId="327A0A71" w14:textId="77777777" w:rsidR="005B55F2" w:rsidRPr="008406E5" w:rsidRDefault="005B55F2" w:rsidP="0031117D">
            <w:pPr>
              <w:spacing w:beforeAutospacing="1" w:afterAutospacing="1"/>
              <w:jc w:val="right"/>
              <w:textAlignment w:val="baseline"/>
            </w:pPr>
          </w:p>
        </w:tc>
        <w:tc>
          <w:tcPr>
            <w:tcW w:w="560" w:type="dxa"/>
            <w:tcBorders>
              <w:top w:val="nil"/>
              <w:left w:val="nil"/>
              <w:bottom w:val="nil"/>
              <w:right w:val="nil"/>
            </w:tcBorders>
            <w:shd w:val="clear" w:color="auto" w:fill="auto"/>
          </w:tcPr>
          <w:p w14:paraId="0EEF5B4F" w14:textId="77777777" w:rsidR="005B55F2" w:rsidRPr="008406E5" w:rsidRDefault="005B55F2" w:rsidP="08D4D6A2">
            <w:pPr>
              <w:spacing w:beforeAutospacing="1" w:afterAutospacing="1"/>
              <w:jc w:val="right"/>
              <w:textAlignment w:val="baseline"/>
            </w:pPr>
            <w:r>
              <w:t>.91</w:t>
            </w:r>
          </w:p>
        </w:tc>
        <w:tc>
          <w:tcPr>
            <w:tcW w:w="560" w:type="dxa"/>
            <w:tcBorders>
              <w:top w:val="nil"/>
              <w:left w:val="nil"/>
              <w:bottom w:val="nil"/>
              <w:right w:val="nil"/>
            </w:tcBorders>
            <w:shd w:val="clear" w:color="auto" w:fill="auto"/>
          </w:tcPr>
          <w:p w14:paraId="0F8E9967" w14:textId="77777777" w:rsidR="005B55F2" w:rsidRPr="008406E5" w:rsidRDefault="005B55F2" w:rsidP="08D4D6A2">
            <w:pPr>
              <w:spacing w:beforeAutospacing="1" w:afterAutospacing="1"/>
              <w:jc w:val="right"/>
              <w:textAlignment w:val="baseline"/>
            </w:pPr>
            <w:r>
              <w:t>.15</w:t>
            </w:r>
          </w:p>
        </w:tc>
        <w:tc>
          <w:tcPr>
            <w:tcW w:w="568" w:type="dxa"/>
            <w:tcBorders>
              <w:top w:val="nil"/>
              <w:left w:val="nil"/>
              <w:bottom w:val="nil"/>
              <w:right w:val="nil"/>
            </w:tcBorders>
            <w:shd w:val="clear" w:color="auto" w:fill="auto"/>
          </w:tcPr>
          <w:p w14:paraId="6C9FC4A1" w14:textId="77777777" w:rsidR="005B55F2" w:rsidRPr="008406E5" w:rsidRDefault="005B55F2" w:rsidP="08D4D6A2">
            <w:pPr>
              <w:spacing w:beforeAutospacing="1" w:afterAutospacing="1"/>
              <w:jc w:val="right"/>
              <w:textAlignment w:val="baseline"/>
            </w:pPr>
            <w:r>
              <w:t>41</w:t>
            </w:r>
          </w:p>
        </w:tc>
      </w:tr>
      <w:tr w:rsidR="005B55F2" w:rsidRPr="008406E5" w14:paraId="21FA212F" w14:textId="77777777" w:rsidTr="006C4BE0">
        <w:trPr>
          <w:trHeight w:val="420"/>
        </w:trPr>
        <w:tc>
          <w:tcPr>
            <w:tcW w:w="1684" w:type="dxa"/>
            <w:vMerge/>
            <w:tcBorders>
              <w:top w:val="nil"/>
              <w:left w:val="nil"/>
              <w:bottom w:val="nil"/>
              <w:right w:val="nil"/>
            </w:tcBorders>
            <w:shd w:val="clear" w:color="auto" w:fill="auto"/>
            <w:hideMark/>
          </w:tcPr>
          <w:p w14:paraId="719D5216" w14:textId="77777777" w:rsidR="005B55F2" w:rsidRPr="008406E5" w:rsidRDefault="005B55F2" w:rsidP="0031117D"/>
        </w:tc>
        <w:tc>
          <w:tcPr>
            <w:tcW w:w="1303" w:type="dxa"/>
            <w:tcBorders>
              <w:top w:val="nil"/>
              <w:left w:val="nil"/>
              <w:bottom w:val="nil"/>
              <w:right w:val="nil"/>
            </w:tcBorders>
            <w:shd w:val="clear" w:color="auto" w:fill="auto"/>
            <w:hideMark/>
          </w:tcPr>
          <w:p w14:paraId="3B62FD8B"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nil"/>
              <w:right w:val="nil"/>
            </w:tcBorders>
            <w:shd w:val="clear" w:color="auto" w:fill="auto"/>
            <w:hideMark/>
          </w:tcPr>
          <w:p w14:paraId="5FA59888" w14:textId="77777777" w:rsidR="005B55F2" w:rsidRPr="008406E5" w:rsidRDefault="005B55F2" w:rsidP="006C4BE0">
            <w:pPr>
              <w:spacing w:beforeAutospacing="1" w:afterAutospacing="1"/>
              <w:textAlignment w:val="baseline"/>
            </w:pPr>
            <w:r w:rsidRPr="008406E5">
              <w:rPr>
                <w:color w:val="000000"/>
              </w:rPr>
              <w:t>Option-Posing</w:t>
            </w:r>
            <w:r w:rsidRPr="23B9E151">
              <w:t> </w:t>
            </w:r>
          </w:p>
        </w:tc>
        <w:tc>
          <w:tcPr>
            <w:tcW w:w="560" w:type="dxa"/>
            <w:tcBorders>
              <w:top w:val="nil"/>
              <w:left w:val="nil"/>
              <w:bottom w:val="nil"/>
              <w:right w:val="nil"/>
            </w:tcBorders>
            <w:shd w:val="clear" w:color="auto" w:fill="auto"/>
          </w:tcPr>
          <w:p w14:paraId="6ED98DD8" w14:textId="77777777" w:rsidR="005B55F2" w:rsidRPr="008406E5" w:rsidRDefault="005B55F2" w:rsidP="08D4D6A2">
            <w:pPr>
              <w:spacing w:beforeAutospacing="1" w:afterAutospacing="1"/>
              <w:jc w:val="right"/>
              <w:textAlignment w:val="baseline"/>
            </w:pPr>
            <w:r>
              <w:t>.92</w:t>
            </w:r>
          </w:p>
        </w:tc>
        <w:tc>
          <w:tcPr>
            <w:tcW w:w="560" w:type="dxa"/>
            <w:tcBorders>
              <w:top w:val="nil"/>
              <w:left w:val="nil"/>
              <w:bottom w:val="nil"/>
              <w:right w:val="nil"/>
            </w:tcBorders>
            <w:shd w:val="clear" w:color="auto" w:fill="auto"/>
          </w:tcPr>
          <w:p w14:paraId="2B237BA6" w14:textId="77777777" w:rsidR="005B55F2" w:rsidRPr="008406E5" w:rsidRDefault="005B55F2" w:rsidP="08D4D6A2">
            <w:pPr>
              <w:spacing w:beforeAutospacing="1" w:afterAutospacing="1"/>
              <w:jc w:val="right"/>
              <w:textAlignment w:val="baseline"/>
            </w:pPr>
            <w:r>
              <w:t>.14</w:t>
            </w:r>
          </w:p>
        </w:tc>
        <w:tc>
          <w:tcPr>
            <w:tcW w:w="568" w:type="dxa"/>
            <w:tcBorders>
              <w:top w:val="nil"/>
              <w:left w:val="nil"/>
              <w:bottom w:val="nil"/>
              <w:right w:val="nil"/>
            </w:tcBorders>
            <w:shd w:val="clear" w:color="auto" w:fill="auto"/>
          </w:tcPr>
          <w:p w14:paraId="0B4B639A" w14:textId="77777777" w:rsidR="005B55F2" w:rsidRPr="008406E5" w:rsidRDefault="005B55F2" w:rsidP="08D4D6A2">
            <w:pPr>
              <w:spacing w:beforeAutospacing="1" w:afterAutospacing="1"/>
              <w:jc w:val="right"/>
              <w:textAlignment w:val="baseline"/>
            </w:pPr>
            <w:r>
              <w:t>44</w:t>
            </w:r>
          </w:p>
        </w:tc>
        <w:tc>
          <w:tcPr>
            <w:tcW w:w="386" w:type="dxa"/>
            <w:tcBorders>
              <w:top w:val="nil"/>
              <w:left w:val="nil"/>
              <w:bottom w:val="nil"/>
              <w:right w:val="nil"/>
            </w:tcBorders>
            <w:shd w:val="clear" w:color="auto" w:fill="auto"/>
          </w:tcPr>
          <w:p w14:paraId="6638CBAE" w14:textId="77777777" w:rsidR="005B55F2" w:rsidRPr="008406E5" w:rsidRDefault="005B55F2" w:rsidP="0031117D">
            <w:pPr>
              <w:spacing w:beforeAutospacing="1" w:afterAutospacing="1"/>
              <w:jc w:val="right"/>
              <w:textAlignment w:val="baseline"/>
            </w:pPr>
          </w:p>
        </w:tc>
        <w:tc>
          <w:tcPr>
            <w:tcW w:w="560" w:type="dxa"/>
            <w:tcBorders>
              <w:top w:val="nil"/>
              <w:left w:val="nil"/>
              <w:bottom w:val="nil"/>
              <w:right w:val="nil"/>
            </w:tcBorders>
            <w:shd w:val="clear" w:color="auto" w:fill="auto"/>
          </w:tcPr>
          <w:p w14:paraId="2BEAD004" w14:textId="77777777" w:rsidR="005B55F2" w:rsidRPr="008406E5" w:rsidRDefault="005B55F2" w:rsidP="08D4D6A2">
            <w:pPr>
              <w:spacing w:beforeAutospacing="1" w:afterAutospacing="1"/>
              <w:jc w:val="right"/>
              <w:textAlignment w:val="baseline"/>
            </w:pPr>
            <w:r>
              <w:t>.91</w:t>
            </w:r>
          </w:p>
        </w:tc>
        <w:tc>
          <w:tcPr>
            <w:tcW w:w="560" w:type="dxa"/>
            <w:tcBorders>
              <w:top w:val="nil"/>
              <w:left w:val="nil"/>
              <w:bottom w:val="nil"/>
              <w:right w:val="nil"/>
            </w:tcBorders>
            <w:shd w:val="clear" w:color="auto" w:fill="auto"/>
          </w:tcPr>
          <w:p w14:paraId="6A3B0251" w14:textId="77777777" w:rsidR="005B55F2" w:rsidRPr="008406E5" w:rsidRDefault="005B55F2" w:rsidP="08D4D6A2">
            <w:pPr>
              <w:spacing w:beforeAutospacing="1" w:afterAutospacing="1"/>
              <w:jc w:val="right"/>
              <w:textAlignment w:val="baseline"/>
            </w:pPr>
            <w:r>
              <w:t>.15</w:t>
            </w:r>
          </w:p>
        </w:tc>
        <w:tc>
          <w:tcPr>
            <w:tcW w:w="568" w:type="dxa"/>
            <w:tcBorders>
              <w:top w:val="nil"/>
              <w:left w:val="nil"/>
              <w:bottom w:val="nil"/>
              <w:right w:val="nil"/>
            </w:tcBorders>
            <w:shd w:val="clear" w:color="auto" w:fill="auto"/>
          </w:tcPr>
          <w:p w14:paraId="74D4C799" w14:textId="77777777" w:rsidR="005B55F2" w:rsidRPr="008406E5" w:rsidRDefault="005B55F2" w:rsidP="08D4D6A2">
            <w:pPr>
              <w:spacing w:beforeAutospacing="1" w:afterAutospacing="1"/>
              <w:jc w:val="right"/>
              <w:textAlignment w:val="baseline"/>
            </w:pPr>
            <w:r>
              <w:t>43</w:t>
            </w:r>
          </w:p>
        </w:tc>
      </w:tr>
      <w:tr w:rsidR="005B55F2" w:rsidRPr="008406E5" w14:paraId="246F949D" w14:textId="77777777" w:rsidTr="006C4BE0">
        <w:trPr>
          <w:trHeight w:val="420"/>
        </w:trPr>
        <w:tc>
          <w:tcPr>
            <w:tcW w:w="1684" w:type="dxa"/>
            <w:vMerge/>
            <w:tcBorders>
              <w:top w:val="nil"/>
              <w:left w:val="nil"/>
              <w:bottom w:val="single" w:sz="4" w:space="0" w:color="auto"/>
              <w:right w:val="nil"/>
            </w:tcBorders>
            <w:shd w:val="clear" w:color="auto" w:fill="auto"/>
            <w:hideMark/>
          </w:tcPr>
          <w:p w14:paraId="13D7D16F" w14:textId="77777777" w:rsidR="005B55F2" w:rsidRPr="008406E5" w:rsidRDefault="005B55F2" w:rsidP="0031117D"/>
        </w:tc>
        <w:tc>
          <w:tcPr>
            <w:tcW w:w="1303" w:type="dxa"/>
            <w:tcBorders>
              <w:top w:val="nil"/>
              <w:left w:val="nil"/>
              <w:bottom w:val="single" w:sz="4" w:space="0" w:color="auto"/>
              <w:right w:val="nil"/>
            </w:tcBorders>
            <w:shd w:val="clear" w:color="auto" w:fill="auto"/>
            <w:hideMark/>
          </w:tcPr>
          <w:p w14:paraId="598A3C21" w14:textId="77777777" w:rsidR="005B55F2" w:rsidRPr="008406E5" w:rsidRDefault="005B55F2" w:rsidP="08D4D6A2">
            <w:pPr>
              <w:spacing w:beforeAutospacing="1" w:afterAutospacing="1"/>
              <w:textAlignment w:val="baseline"/>
            </w:pPr>
            <w:r w:rsidRPr="008406E5">
              <w:t> </w:t>
            </w:r>
          </w:p>
        </w:tc>
        <w:tc>
          <w:tcPr>
            <w:tcW w:w="1469" w:type="dxa"/>
            <w:tcBorders>
              <w:top w:val="nil"/>
              <w:left w:val="nil"/>
              <w:bottom w:val="single" w:sz="4" w:space="0" w:color="auto"/>
              <w:right w:val="nil"/>
            </w:tcBorders>
            <w:shd w:val="clear" w:color="auto" w:fill="auto"/>
            <w:hideMark/>
          </w:tcPr>
          <w:p w14:paraId="2731AFA8" w14:textId="77777777" w:rsidR="005B55F2" w:rsidRPr="008406E5" w:rsidRDefault="005B55F2" w:rsidP="006C4BE0">
            <w:pPr>
              <w:spacing w:beforeAutospacing="1" w:afterAutospacing="1"/>
              <w:textAlignment w:val="baseline"/>
            </w:pPr>
            <w:r w:rsidRPr="008406E5">
              <w:rPr>
                <w:color w:val="000000"/>
              </w:rPr>
              <w:t>Suggestive</w:t>
            </w:r>
            <w:r w:rsidRPr="23B9E151">
              <w:t> </w:t>
            </w:r>
          </w:p>
        </w:tc>
        <w:tc>
          <w:tcPr>
            <w:tcW w:w="560" w:type="dxa"/>
            <w:tcBorders>
              <w:top w:val="nil"/>
              <w:left w:val="nil"/>
              <w:bottom w:val="single" w:sz="4" w:space="0" w:color="auto"/>
              <w:right w:val="nil"/>
            </w:tcBorders>
            <w:shd w:val="clear" w:color="auto" w:fill="auto"/>
          </w:tcPr>
          <w:p w14:paraId="382C8890" w14:textId="77777777" w:rsidR="005B55F2" w:rsidRPr="008406E5" w:rsidRDefault="005B55F2" w:rsidP="08D4D6A2">
            <w:pPr>
              <w:spacing w:beforeAutospacing="1" w:afterAutospacing="1"/>
              <w:jc w:val="right"/>
              <w:textAlignment w:val="baseline"/>
            </w:pPr>
            <w:r>
              <w:t>.90</w:t>
            </w:r>
          </w:p>
        </w:tc>
        <w:tc>
          <w:tcPr>
            <w:tcW w:w="560" w:type="dxa"/>
            <w:tcBorders>
              <w:top w:val="nil"/>
              <w:left w:val="nil"/>
              <w:bottom w:val="single" w:sz="4" w:space="0" w:color="auto"/>
              <w:right w:val="nil"/>
            </w:tcBorders>
            <w:shd w:val="clear" w:color="auto" w:fill="auto"/>
          </w:tcPr>
          <w:p w14:paraId="1F7FCF8F" w14:textId="77777777" w:rsidR="005B55F2" w:rsidRPr="008406E5" w:rsidRDefault="005B55F2" w:rsidP="08D4D6A2">
            <w:pPr>
              <w:spacing w:beforeAutospacing="1" w:afterAutospacing="1"/>
              <w:jc w:val="right"/>
              <w:textAlignment w:val="baseline"/>
            </w:pPr>
            <w:r>
              <w:t>.09</w:t>
            </w:r>
          </w:p>
        </w:tc>
        <w:tc>
          <w:tcPr>
            <w:tcW w:w="568" w:type="dxa"/>
            <w:tcBorders>
              <w:top w:val="nil"/>
              <w:left w:val="nil"/>
              <w:bottom w:val="single" w:sz="4" w:space="0" w:color="auto"/>
              <w:right w:val="nil"/>
            </w:tcBorders>
            <w:shd w:val="clear" w:color="auto" w:fill="auto"/>
          </w:tcPr>
          <w:p w14:paraId="054A7339" w14:textId="77777777" w:rsidR="005B55F2" w:rsidRPr="008406E5" w:rsidRDefault="005B55F2" w:rsidP="08D4D6A2">
            <w:pPr>
              <w:spacing w:beforeAutospacing="1" w:afterAutospacing="1"/>
              <w:jc w:val="right"/>
              <w:textAlignment w:val="baseline"/>
            </w:pPr>
            <w:r>
              <w:t>39</w:t>
            </w:r>
          </w:p>
        </w:tc>
        <w:tc>
          <w:tcPr>
            <w:tcW w:w="386" w:type="dxa"/>
            <w:tcBorders>
              <w:top w:val="nil"/>
              <w:left w:val="nil"/>
              <w:bottom w:val="single" w:sz="4" w:space="0" w:color="auto"/>
              <w:right w:val="nil"/>
            </w:tcBorders>
            <w:shd w:val="clear" w:color="auto" w:fill="auto"/>
          </w:tcPr>
          <w:p w14:paraId="1433161F" w14:textId="77777777" w:rsidR="005B55F2" w:rsidRPr="008406E5" w:rsidRDefault="005B55F2" w:rsidP="0031117D">
            <w:pPr>
              <w:spacing w:beforeAutospacing="1" w:afterAutospacing="1"/>
              <w:jc w:val="right"/>
              <w:textAlignment w:val="baseline"/>
            </w:pPr>
          </w:p>
        </w:tc>
        <w:tc>
          <w:tcPr>
            <w:tcW w:w="560" w:type="dxa"/>
            <w:tcBorders>
              <w:top w:val="nil"/>
              <w:left w:val="nil"/>
              <w:bottom w:val="single" w:sz="4" w:space="0" w:color="auto"/>
              <w:right w:val="nil"/>
            </w:tcBorders>
            <w:shd w:val="clear" w:color="auto" w:fill="auto"/>
          </w:tcPr>
          <w:p w14:paraId="06E45086" w14:textId="77777777" w:rsidR="005B55F2" w:rsidRPr="008406E5" w:rsidRDefault="005B55F2" w:rsidP="08D4D6A2">
            <w:pPr>
              <w:spacing w:beforeAutospacing="1" w:afterAutospacing="1"/>
              <w:jc w:val="right"/>
              <w:textAlignment w:val="baseline"/>
            </w:pPr>
            <w:r>
              <w:t>.91</w:t>
            </w:r>
          </w:p>
        </w:tc>
        <w:tc>
          <w:tcPr>
            <w:tcW w:w="560" w:type="dxa"/>
            <w:tcBorders>
              <w:top w:val="nil"/>
              <w:left w:val="nil"/>
              <w:bottom w:val="single" w:sz="4" w:space="0" w:color="auto"/>
              <w:right w:val="nil"/>
            </w:tcBorders>
            <w:shd w:val="clear" w:color="auto" w:fill="auto"/>
          </w:tcPr>
          <w:p w14:paraId="7FF1CD10" w14:textId="77777777" w:rsidR="005B55F2" w:rsidRPr="008406E5" w:rsidRDefault="005B55F2" w:rsidP="08D4D6A2">
            <w:pPr>
              <w:spacing w:beforeAutospacing="1" w:afterAutospacing="1"/>
              <w:jc w:val="right"/>
              <w:textAlignment w:val="baseline"/>
            </w:pPr>
            <w:r>
              <w:t>.18</w:t>
            </w:r>
          </w:p>
        </w:tc>
        <w:tc>
          <w:tcPr>
            <w:tcW w:w="568" w:type="dxa"/>
            <w:tcBorders>
              <w:top w:val="nil"/>
              <w:left w:val="nil"/>
              <w:bottom w:val="single" w:sz="4" w:space="0" w:color="auto"/>
              <w:right w:val="nil"/>
            </w:tcBorders>
            <w:shd w:val="clear" w:color="auto" w:fill="auto"/>
          </w:tcPr>
          <w:p w14:paraId="7A54DB57" w14:textId="77777777" w:rsidR="005B55F2" w:rsidRPr="008406E5" w:rsidRDefault="005B55F2" w:rsidP="08D4D6A2">
            <w:pPr>
              <w:spacing w:beforeAutospacing="1" w:afterAutospacing="1"/>
              <w:jc w:val="right"/>
              <w:textAlignment w:val="baseline"/>
            </w:pPr>
            <w:r>
              <w:t>32</w:t>
            </w:r>
          </w:p>
        </w:tc>
      </w:tr>
    </w:tbl>
    <w:p w14:paraId="67A51630" w14:textId="77777777" w:rsidR="005B55F2" w:rsidRPr="008406E5" w:rsidRDefault="005B55F2" w:rsidP="005B55F2">
      <w:pPr>
        <w:textAlignment w:val="baseline"/>
      </w:pPr>
    </w:p>
    <w:p w14:paraId="43511065" w14:textId="77777777" w:rsidR="005B55F2" w:rsidRPr="008406E5" w:rsidRDefault="005B55F2" w:rsidP="005B55F2">
      <w:pPr>
        <w:textAlignment w:val="baseline"/>
      </w:pPr>
    </w:p>
    <w:p w14:paraId="17EECE2E" w14:textId="77777777" w:rsidR="005B55F2" w:rsidRDefault="005B55F2" w:rsidP="005B55F2">
      <w:pPr>
        <w:rPr>
          <w:highlight w:val="yellow"/>
        </w:rPr>
      </w:pPr>
    </w:p>
    <w:p w14:paraId="3F688C3C" w14:textId="77777777" w:rsidR="005B55F2" w:rsidRDefault="005B55F2" w:rsidP="005B55F2">
      <w:pPr>
        <w:rPr>
          <w:highlight w:val="yellow"/>
        </w:rPr>
      </w:pPr>
    </w:p>
    <w:p w14:paraId="28D8A540" w14:textId="77777777" w:rsidR="005B55F2" w:rsidRDefault="005B55F2" w:rsidP="005B55F2">
      <w:pPr>
        <w:rPr>
          <w:highlight w:val="yellow"/>
        </w:rPr>
      </w:pPr>
    </w:p>
    <w:p w14:paraId="1A485EB8" w14:textId="77777777" w:rsidR="005B55F2" w:rsidRDefault="005B55F2" w:rsidP="005B55F2">
      <w:pPr>
        <w:rPr>
          <w:highlight w:val="yellow"/>
        </w:rPr>
      </w:pPr>
    </w:p>
    <w:p w14:paraId="656683D8" w14:textId="77777777" w:rsidR="005B55F2" w:rsidRDefault="005B55F2" w:rsidP="005B55F2">
      <w:pPr>
        <w:rPr>
          <w:highlight w:val="yellow"/>
        </w:rPr>
      </w:pPr>
    </w:p>
    <w:p w14:paraId="28DCEEDB" w14:textId="77777777" w:rsidR="005B55F2" w:rsidRDefault="005B55F2" w:rsidP="005B55F2">
      <w:pPr>
        <w:rPr>
          <w:highlight w:val="yellow"/>
        </w:rPr>
      </w:pPr>
    </w:p>
    <w:p w14:paraId="3EC404ED" w14:textId="4B3BCF82" w:rsidR="005B55F2" w:rsidRDefault="005B55F2" w:rsidP="005B55F2">
      <w:pPr>
        <w:rPr>
          <w:highlight w:val="yellow"/>
        </w:rPr>
      </w:pPr>
    </w:p>
    <w:p w14:paraId="50949E9E" w14:textId="77777777" w:rsidR="002608DB" w:rsidRDefault="002608DB" w:rsidP="005B55F2">
      <w:pPr>
        <w:rPr>
          <w:highlight w:val="yellow"/>
        </w:rPr>
      </w:pPr>
    </w:p>
    <w:p w14:paraId="00FDC8E0" w14:textId="77777777" w:rsidR="005B55F2" w:rsidRDefault="005B55F2" w:rsidP="005B55F2">
      <w:pPr>
        <w:rPr>
          <w:highlight w:val="yellow"/>
        </w:rPr>
      </w:pPr>
    </w:p>
    <w:p w14:paraId="5DB0CE0F" w14:textId="77777777" w:rsidR="005B55F2" w:rsidRDefault="005B55F2" w:rsidP="005B55F2">
      <w:pPr>
        <w:textAlignment w:val="baseline"/>
      </w:pPr>
    </w:p>
    <w:p w14:paraId="62DDEFBC" w14:textId="77777777" w:rsidR="005B55F2" w:rsidRDefault="005B55F2" w:rsidP="005B55F2">
      <w:pPr>
        <w:textAlignment w:val="baseline"/>
      </w:pPr>
    </w:p>
    <w:p w14:paraId="230FE583" w14:textId="5F9B8B51" w:rsidR="005B55F2" w:rsidRPr="008406E5" w:rsidRDefault="005B55F2" w:rsidP="08D4D6A2">
      <w:pPr>
        <w:textAlignment w:val="baseline"/>
      </w:pPr>
      <w:r>
        <w:lastRenderedPageBreak/>
        <w:t>Table 7</w:t>
      </w:r>
      <w:r w:rsidRPr="23B9E151">
        <w:t> </w:t>
      </w:r>
    </w:p>
    <w:p w14:paraId="33E4858B" w14:textId="77777777" w:rsidR="005B55F2" w:rsidRPr="008406E5" w:rsidRDefault="005B55F2" w:rsidP="08D4D6A2">
      <w:pPr>
        <w:textAlignment w:val="baseline"/>
      </w:pPr>
      <w:r w:rsidRPr="008406E5">
        <w:t> </w:t>
      </w:r>
    </w:p>
    <w:p w14:paraId="60E3F841" w14:textId="22099322" w:rsidR="005B55F2" w:rsidRDefault="005B55F2" w:rsidP="08D4D6A2">
      <w:pPr>
        <w:textAlignment w:val="baseline"/>
      </w:pPr>
      <w:r w:rsidRPr="08D4D6A2">
        <w:rPr>
          <w:i/>
          <w:iCs/>
        </w:rPr>
        <w:t xml:space="preserve">Compliance </w:t>
      </w:r>
      <w:r w:rsidR="00B23476">
        <w:rPr>
          <w:i/>
          <w:iCs/>
        </w:rPr>
        <w:t>with</w:t>
      </w:r>
      <w:r w:rsidRPr="08D4D6A2">
        <w:rPr>
          <w:i/>
          <w:iCs/>
        </w:rPr>
        <w:t xml:space="preserve"> Defence Lawyer</w:t>
      </w:r>
      <w:r w:rsidR="00B23476">
        <w:rPr>
          <w:i/>
          <w:iCs/>
        </w:rPr>
        <w:t>s’</w:t>
      </w:r>
      <w:r w:rsidRPr="08D4D6A2">
        <w:rPr>
          <w:i/>
          <w:iCs/>
        </w:rPr>
        <w:t xml:space="preserve"> Suggestive Utterances by Trial Condition and Children’s Age </w:t>
      </w:r>
      <w:r w:rsidRPr="23B9E151">
        <w:t> </w:t>
      </w:r>
    </w:p>
    <w:p w14:paraId="24B7B423" w14:textId="77777777" w:rsidR="005B55F2" w:rsidRPr="008406E5" w:rsidRDefault="005B55F2" w:rsidP="005B55F2">
      <w:pPr>
        <w:textAlignment w:val="baseline"/>
      </w:pPr>
    </w:p>
    <w:tbl>
      <w:tblPr>
        <w:tblpPr w:leftFromText="180" w:rightFromText="180" w:vertAnchor="text" w:horzAnchor="margin" w:tblpY="72"/>
        <w:tblW w:w="7603" w:type="dxa"/>
        <w:tblLayout w:type="fixed"/>
        <w:tblLook w:val="04A0" w:firstRow="1" w:lastRow="0" w:firstColumn="1" w:lastColumn="0" w:noHBand="0" w:noVBand="1"/>
      </w:tblPr>
      <w:tblGrid>
        <w:gridCol w:w="1843"/>
        <w:gridCol w:w="652"/>
        <w:gridCol w:w="653"/>
        <w:gridCol w:w="652"/>
        <w:gridCol w:w="653"/>
        <w:gridCol w:w="535"/>
        <w:gridCol w:w="653"/>
        <w:gridCol w:w="654"/>
        <w:gridCol w:w="654"/>
        <w:gridCol w:w="654"/>
      </w:tblGrid>
      <w:tr w:rsidR="005B55F2" w:rsidRPr="008406E5" w14:paraId="1EC17D71" w14:textId="77777777" w:rsidTr="006C4BE0">
        <w:trPr>
          <w:trHeight w:val="361"/>
        </w:trPr>
        <w:tc>
          <w:tcPr>
            <w:tcW w:w="1843" w:type="dxa"/>
            <w:tcBorders>
              <w:top w:val="single" w:sz="4" w:space="0" w:color="auto"/>
              <w:left w:val="nil"/>
              <w:right w:val="nil"/>
            </w:tcBorders>
          </w:tcPr>
          <w:p w14:paraId="36866EB1" w14:textId="77777777" w:rsidR="005B55F2" w:rsidRPr="008406E5" w:rsidRDefault="005B55F2" w:rsidP="0031117D">
            <w:pPr>
              <w:jc w:val="center"/>
              <w:rPr>
                <w:bCs/>
                <w:color w:val="000000" w:themeColor="text1"/>
              </w:rPr>
            </w:pPr>
          </w:p>
        </w:tc>
        <w:tc>
          <w:tcPr>
            <w:tcW w:w="2610" w:type="dxa"/>
            <w:gridSpan w:val="4"/>
            <w:tcBorders>
              <w:top w:val="single" w:sz="4" w:space="0" w:color="auto"/>
              <w:left w:val="nil"/>
              <w:right w:val="nil"/>
            </w:tcBorders>
            <w:vAlign w:val="center"/>
          </w:tcPr>
          <w:p w14:paraId="5E515D2E" w14:textId="77777777" w:rsidR="005B55F2" w:rsidRPr="006C4BE0" w:rsidRDefault="005B55F2">
            <w:pPr>
              <w:jc w:val="center"/>
              <w:rPr>
                <w:color w:val="000000" w:themeColor="text1"/>
              </w:rPr>
            </w:pPr>
            <w:r w:rsidRPr="0031117D">
              <w:rPr>
                <w:color w:val="000000" w:themeColor="text1"/>
              </w:rPr>
              <w:t xml:space="preserve">6 to 12 years old </w:t>
            </w:r>
          </w:p>
        </w:tc>
        <w:tc>
          <w:tcPr>
            <w:tcW w:w="535" w:type="dxa"/>
            <w:tcBorders>
              <w:top w:val="single" w:sz="4" w:space="0" w:color="auto"/>
              <w:left w:val="nil"/>
              <w:right w:val="nil"/>
            </w:tcBorders>
            <w:vAlign w:val="center"/>
          </w:tcPr>
          <w:p w14:paraId="7270A897" w14:textId="77777777" w:rsidR="005B55F2" w:rsidRPr="008406E5" w:rsidRDefault="005B55F2" w:rsidP="0031117D">
            <w:pPr>
              <w:jc w:val="center"/>
              <w:rPr>
                <w:bCs/>
                <w:iCs/>
                <w:color w:val="000000" w:themeColor="text1"/>
              </w:rPr>
            </w:pPr>
          </w:p>
        </w:tc>
        <w:tc>
          <w:tcPr>
            <w:tcW w:w="2615" w:type="dxa"/>
            <w:gridSpan w:val="4"/>
            <w:tcBorders>
              <w:top w:val="single" w:sz="4" w:space="0" w:color="auto"/>
              <w:left w:val="nil"/>
            </w:tcBorders>
            <w:shd w:val="clear" w:color="auto" w:fill="auto"/>
            <w:vAlign w:val="center"/>
          </w:tcPr>
          <w:p w14:paraId="6700A4DC" w14:textId="77777777" w:rsidR="005B55F2" w:rsidRPr="006C4BE0" w:rsidRDefault="005B55F2">
            <w:pPr>
              <w:jc w:val="center"/>
              <w:rPr>
                <w:color w:val="000000" w:themeColor="text1"/>
              </w:rPr>
            </w:pPr>
            <w:r w:rsidRPr="0031117D">
              <w:rPr>
                <w:color w:val="000000" w:themeColor="text1"/>
              </w:rPr>
              <w:t>13 to 15 years old</w:t>
            </w:r>
          </w:p>
        </w:tc>
      </w:tr>
      <w:tr w:rsidR="005B55F2" w:rsidRPr="008406E5" w14:paraId="21831406" w14:textId="77777777" w:rsidTr="006C4BE0">
        <w:trPr>
          <w:trHeight w:val="432"/>
        </w:trPr>
        <w:tc>
          <w:tcPr>
            <w:tcW w:w="1843" w:type="dxa"/>
            <w:tcBorders>
              <w:top w:val="single" w:sz="4" w:space="0" w:color="auto"/>
              <w:left w:val="nil"/>
              <w:right w:val="nil"/>
            </w:tcBorders>
          </w:tcPr>
          <w:p w14:paraId="7FF612A4" w14:textId="77777777" w:rsidR="005B55F2" w:rsidRPr="008406E5" w:rsidRDefault="005B55F2" w:rsidP="0031117D">
            <w:pPr>
              <w:jc w:val="center"/>
              <w:rPr>
                <w:bCs/>
                <w:color w:val="000000" w:themeColor="text1"/>
              </w:rPr>
            </w:pPr>
          </w:p>
        </w:tc>
        <w:tc>
          <w:tcPr>
            <w:tcW w:w="652" w:type="dxa"/>
            <w:tcBorders>
              <w:top w:val="single" w:sz="4" w:space="0" w:color="auto"/>
              <w:left w:val="nil"/>
              <w:right w:val="nil"/>
            </w:tcBorders>
            <w:vAlign w:val="bottom"/>
          </w:tcPr>
          <w:p w14:paraId="1E361F6E" w14:textId="77777777" w:rsidR="005B55F2" w:rsidRPr="006C4BE0" w:rsidRDefault="005B55F2" w:rsidP="08D4D6A2">
            <w:pPr>
              <w:jc w:val="center"/>
              <w:rPr>
                <w:i/>
                <w:iCs/>
                <w:color w:val="000000" w:themeColor="text1"/>
                <w:highlight w:val="yellow"/>
              </w:rPr>
            </w:pPr>
            <w:r w:rsidRPr="08D4D6A2">
              <w:rPr>
                <w:i/>
                <w:iCs/>
                <w:color w:val="000000" w:themeColor="text1"/>
              </w:rPr>
              <w:t>M</w:t>
            </w:r>
          </w:p>
        </w:tc>
        <w:tc>
          <w:tcPr>
            <w:tcW w:w="653" w:type="dxa"/>
            <w:tcBorders>
              <w:top w:val="single" w:sz="4" w:space="0" w:color="auto"/>
              <w:left w:val="nil"/>
              <w:right w:val="nil"/>
            </w:tcBorders>
            <w:vAlign w:val="bottom"/>
          </w:tcPr>
          <w:p w14:paraId="1D60908F" w14:textId="77777777" w:rsidR="005B55F2" w:rsidRPr="006C4BE0" w:rsidRDefault="005B55F2" w:rsidP="08D4D6A2">
            <w:pPr>
              <w:jc w:val="center"/>
              <w:rPr>
                <w:i/>
                <w:iCs/>
                <w:color w:val="000000" w:themeColor="text1"/>
                <w:highlight w:val="yellow"/>
              </w:rPr>
            </w:pPr>
            <w:r w:rsidRPr="08D4D6A2">
              <w:rPr>
                <w:i/>
                <w:iCs/>
                <w:color w:val="000000" w:themeColor="text1"/>
              </w:rPr>
              <w:t>SD</w:t>
            </w:r>
          </w:p>
        </w:tc>
        <w:tc>
          <w:tcPr>
            <w:tcW w:w="652" w:type="dxa"/>
            <w:tcBorders>
              <w:top w:val="single" w:sz="4" w:space="0" w:color="auto"/>
              <w:left w:val="nil"/>
              <w:right w:val="nil"/>
            </w:tcBorders>
            <w:vAlign w:val="bottom"/>
          </w:tcPr>
          <w:p w14:paraId="1C96905F" w14:textId="77777777" w:rsidR="005B55F2" w:rsidRPr="006C4BE0" w:rsidRDefault="005B55F2" w:rsidP="08D4D6A2">
            <w:pPr>
              <w:jc w:val="center"/>
              <w:rPr>
                <w:i/>
                <w:iCs/>
                <w:color w:val="000000" w:themeColor="text1"/>
                <w:highlight w:val="yellow"/>
              </w:rPr>
            </w:pPr>
            <w:r w:rsidRPr="08D4D6A2">
              <w:rPr>
                <w:i/>
                <w:iCs/>
                <w:color w:val="000000" w:themeColor="text1"/>
              </w:rPr>
              <w:t>Min</w:t>
            </w:r>
          </w:p>
        </w:tc>
        <w:tc>
          <w:tcPr>
            <w:tcW w:w="653" w:type="dxa"/>
            <w:tcBorders>
              <w:top w:val="single" w:sz="4" w:space="0" w:color="auto"/>
              <w:left w:val="nil"/>
              <w:right w:val="nil"/>
            </w:tcBorders>
            <w:vAlign w:val="bottom"/>
          </w:tcPr>
          <w:p w14:paraId="572D5EDB" w14:textId="77777777" w:rsidR="005B55F2" w:rsidRPr="006C4BE0" w:rsidRDefault="005B55F2" w:rsidP="08D4D6A2">
            <w:pPr>
              <w:jc w:val="center"/>
              <w:rPr>
                <w:i/>
                <w:iCs/>
                <w:color w:val="000000" w:themeColor="text1"/>
                <w:highlight w:val="yellow"/>
              </w:rPr>
            </w:pPr>
            <w:r w:rsidRPr="08D4D6A2">
              <w:rPr>
                <w:i/>
                <w:iCs/>
                <w:color w:val="000000" w:themeColor="text1"/>
              </w:rPr>
              <w:t>Max</w:t>
            </w:r>
          </w:p>
        </w:tc>
        <w:tc>
          <w:tcPr>
            <w:tcW w:w="535" w:type="dxa"/>
            <w:tcBorders>
              <w:top w:val="single" w:sz="4" w:space="0" w:color="auto"/>
              <w:left w:val="nil"/>
              <w:right w:val="nil"/>
            </w:tcBorders>
            <w:vAlign w:val="bottom"/>
          </w:tcPr>
          <w:p w14:paraId="029CE94E" w14:textId="77777777" w:rsidR="005B55F2" w:rsidRPr="008406E5" w:rsidRDefault="005B55F2" w:rsidP="0031117D">
            <w:pPr>
              <w:jc w:val="center"/>
              <w:rPr>
                <w:bCs/>
                <w:i/>
                <w:iCs/>
                <w:color w:val="000000" w:themeColor="text1"/>
              </w:rPr>
            </w:pPr>
          </w:p>
        </w:tc>
        <w:tc>
          <w:tcPr>
            <w:tcW w:w="653" w:type="dxa"/>
            <w:tcBorders>
              <w:top w:val="single" w:sz="4" w:space="0" w:color="auto"/>
              <w:left w:val="nil"/>
            </w:tcBorders>
            <w:shd w:val="clear" w:color="auto" w:fill="auto"/>
            <w:vAlign w:val="bottom"/>
          </w:tcPr>
          <w:p w14:paraId="58AEFE78" w14:textId="77777777" w:rsidR="005B55F2" w:rsidRPr="006C4BE0" w:rsidRDefault="005B55F2" w:rsidP="08D4D6A2">
            <w:pPr>
              <w:jc w:val="center"/>
              <w:rPr>
                <w:i/>
                <w:iCs/>
                <w:color w:val="000000" w:themeColor="text1"/>
              </w:rPr>
            </w:pPr>
            <w:r w:rsidRPr="08D4D6A2">
              <w:rPr>
                <w:i/>
                <w:iCs/>
                <w:color w:val="000000" w:themeColor="text1"/>
              </w:rPr>
              <w:t>M</w:t>
            </w:r>
          </w:p>
        </w:tc>
        <w:tc>
          <w:tcPr>
            <w:tcW w:w="654" w:type="dxa"/>
            <w:tcBorders>
              <w:top w:val="single" w:sz="4" w:space="0" w:color="auto"/>
              <w:left w:val="nil"/>
              <w:right w:val="nil"/>
            </w:tcBorders>
            <w:vAlign w:val="bottom"/>
          </w:tcPr>
          <w:p w14:paraId="4C653715" w14:textId="77777777" w:rsidR="005B55F2" w:rsidRPr="006C4BE0" w:rsidRDefault="005B55F2" w:rsidP="08D4D6A2">
            <w:pPr>
              <w:jc w:val="center"/>
              <w:rPr>
                <w:i/>
                <w:iCs/>
                <w:color w:val="000000" w:themeColor="text1"/>
              </w:rPr>
            </w:pPr>
            <w:r w:rsidRPr="08D4D6A2">
              <w:rPr>
                <w:i/>
                <w:iCs/>
                <w:color w:val="000000" w:themeColor="text1"/>
              </w:rPr>
              <w:t>SD</w:t>
            </w:r>
          </w:p>
        </w:tc>
        <w:tc>
          <w:tcPr>
            <w:tcW w:w="654" w:type="dxa"/>
            <w:tcBorders>
              <w:top w:val="single" w:sz="4" w:space="0" w:color="auto"/>
              <w:left w:val="nil"/>
              <w:right w:val="nil"/>
            </w:tcBorders>
            <w:vAlign w:val="bottom"/>
          </w:tcPr>
          <w:p w14:paraId="61FF0A47" w14:textId="77777777" w:rsidR="005B55F2" w:rsidRPr="006C4BE0" w:rsidRDefault="005B55F2" w:rsidP="08D4D6A2">
            <w:pPr>
              <w:jc w:val="center"/>
              <w:rPr>
                <w:i/>
                <w:iCs/>
                <w:color w:val="000000" w:themeColor="text1"/>
              </w:rPr>
            </w:pPr>
            <w:r w:rsidRPr="08D4D6A2">
              <w:rPr>
                <w:i/>
                <w:iCs/>
                <w:color w:val="000000" w:themeColor="text1"/>
              </w:rPr>
              <w:t>Min</w:t>
            </w:r>
          </w:p>
        </w:tc>
        <w:tc>
          <w:tcPr>
            <w:tcW w:w="654" w:type="dxa"/>
            <w:tcBorders>
              <w:top w:val="single" w:sz="4" w:space="0" w:color="auto"/>
              <w:left w:val="nil"/>
            </w:tcBorders>
            <w:vAlign w:val="bottom"/>
          </w:tcPr>
          <w:p w14:paraId="103A23FB" w14:textId="77777777" w:rsidR="005B55F2" w:rsidRPr="006C4BE0" w:rsidRDefault="005B55F2" w:rsidP="08D4D6A2">
            <w:pPr>
              <w:jc w:val="center"/>
              <w:rPr>
                <w:i/>
                <w:iCs/>
                <w:color w:val="000000" w:themeColor="text1"/>
              </w:rPr>
            </w:pPr>
            <w:r w:rsidRPr="08D4D6A2">
              <w:rPr>
                <w:i/>
                <w:iCs/>
                <w:color w:val="000000" w:themeColor="text1"/>
              </w:rPr>
              <w:t>Max</w:t>
            </w:r>
          </w:p>
        </w:tc>
      </w:tr>
      <w:tr w:rsidR="005B55F2" w:rsidRPr="008406E5" w14:paraId="2FE24020" w14:textId="77777777" w:rsidTr="006C4BE0">
        <w:trPr>
          <w:trHeight w:val="432"/>
        </w:trPr>
        <w:tc>
          <w:tcPr>
            <w:tcW w:w="1843" w:type="dxa"/>
            <w:tcBorders>
              <w:top w:val="nil"/>
              <w:left w:val="nil"/>
              <w:bottom w:val="nil"/>
              <w:right w:val="nil"/>
            </w:tcBorders>
            <w:vAlign w:val="center"/>
          </w:tcPr>
          <w:p w14:paraId="3CA3FABA" w14:textId="77777777" w:rsidR="005B55F2" w:rsidRPr="008406E5" w:rsidRDefault="005B55F2" w:rsidP="0031117D">
            <w:pPr>
              <w:rPr>
                <w:color w:val="000000"/>
              </w:rPr>
            </w:pPr>
            <w:r w:rsidRPr="0031117D">
              <w:rPr>
                <w:color w:val="000000" w:themeColor="text1"/>
              </w:rPr>
              <w:t>Non-Section 28</w:t>
            </w:r>
          </w:p>
        </w:tc>
        <w:tc>
          <w:tcPr>
            <w:tcW w:w="652" w:type="dxa"/>
            <w:tcBorders>
              <w:top w:val="nil"/>
              <w:left w:val="nil"/>
              <w:bottom w:val="nil"/>
              <w:right w:val="nil"/>
            </w:tcBorders>
            <w:vAlign w:val="center"/>
          </w:tcPr>
          <w:p w14:paraId="79D69585" w14:textId="77777777" w:rsidR="005B55F2" w:rsidRPr="008406E5" w:rsidRDefault="005B55F2" w:rsidP="0031117D">
            <w:pPr>
              <w:jc w:val="right"/>
              <w:rPr>
                <w:color w:val="000000" w:themeColor="text1"/>
              </w:rPr>
            </w:pPr>
            <w:r>
              <w:rPr>
                <w:color w:val="000000" w:themeColor="text1"/>
              </w:rPr>
              <w:t>.64</w:t>
            </w:r>
          </w:p>
        </w:tc>
        <w:tc>
          <w:tcPr>
            <w:tcW w:w="653" w:type="dxa"/>
            <w:tcBorders>
              <w:top w:val="nil"/>
              <w:left w:val="nil"/>
              <w:bottom w:val="nil"/>
              <w:right w:val="nil"/>
            </w:tcBorders>
            <w:vAlign w:val="center"/>
          </w:tcPr>
          <w:p w14:paraId="38331B5C" w14:textId="77777777" w:rsidR="005B55F2" w:rsidRPr="008406E5" w:rsidRDefault="005B55F2" w:rsidP="0031117D">
            <w:pPr>
              <w:jc w:val="right"/>
              <w:rPr>
                <w:color w:val="000000" w:themeColor="text1"/>
              </w:rPr>
            </w:pPr>
            <w:r>
              <w:rPr>
                <w:color w:val="000000" w:themeColor="text1"/>
              </w:rPr>
              <w:t>.20</w:t>
            </w:r>
          </w:p>
        </w:tc>
        <w:tc>
          <w:tcPr>
            <w:tcW w:w="652" w:type="dxa"/>
            <w:tcBorders>
              <w:top w:val="nil"/>
              <w:left w:val="nil"/>
              <w:bottom w:val="nil"/>
              <w:right w:val="nil"/>
            </w:tcBorders>
            <w:vAlign w:val="center"/>
          </w:tcPr>
          <w:p w14:paraId="1BAD5EA2" w14:textId="77777777" w:rsidR="005B55F2" w:rsidRPr="008406E5" w:rsidRDefault="005B55F2" w:rsidP="0031117D">
            <w:pPr>
              <w:jc w:val="right"/>
              <w:rPr>
                <w:color w:val="000000" w:themeColor="text1"/>
              </w:rPr>
            </w:pPr>
            <w:r>
              <w:rPr>
                <w:color w:val="000000" w:themeColor="text1"/>
              </w:rPr>
              <w:t>.31</w:t>
            </w:r>
          </w:p>
        </w:tc>
        <w:tc>
          <w:tcPr>
            <w:tcW w:w="653" w:type="dxa"/>
            <w:tcBorders>
              <w:top w:val="nil"/>
              <w:left w:val="nil"/>
              <w:bottom w:val="nil"/>
              <w:right w:val="nil"/>
            </w:tcBorders>
            <w:vAlign w:val="center"/>
          </w:tcPr>
          <w:p w14:paraId="651427E5" w14:textId="77777777" w:rsidR="005B55F2" w:rsidRPr="008406E5" w:rsidRDefault="005B55F2" w:rsidP="0031117D">
            <w:pPr>
              <w:jc w:val="right"/>
              <w:rPr>
                <w:color w:val="000000" w:themeColor="text1"/>
              </w:rPr>
            </w:pPr>
            <w:r>
              <w:rPr>
                <w:color w:val="000000" w:themeColor="text1"/>
              </w:rPr>
              <w:t>1.0</w:t>
            </w:r>
          </w:p>
        </w:tc>
        <w:tc>
          <w:tcPr>
            <w:tcW w:w="535" w:type="dxa"/>
            <w:tcBorders>
              <w:top w:val="nil"/>
              <w:left w:val="nil"/>
              <w:bottom w:val="nil"/>
              <w:right w:val="nil"/>
            </w:tcBorders>
            <w:vAlign w:val="center"/>
          </w:tcPr>
          <w:p w14:paraId="514B5B20" w14:textId="77777777" w:rsidR="005B55F2" w:rsidRPr="008406E5" w:rsidRDefault="005B55F2" w:rsidP="0031117D">
            <w:pPr>
              <w:jc w:val="right"/>
              <w:rPr>
                <w:color w:val="000000" w:themeColor="text1"/>
              </w:rPr>
            </w:pPr>
          </w:p>
        </w:tc>
        <w:tc>
          <w:tcPr>
            <w:tcW w:w="653" w:type="dxa"/>
            <w:tcBorders>
              <w:top w:val="nil"/>
              <w:left w:val="nil"/>
              <w:bottom w:val="nil"/>
            </w:tcBorders>
            <w:shd w:val="clear" w:color="auto" w:fill="auto"/>
            <w:noWrap/>
            <w:vAlign w:val="center"/>
          </w:tcPr>
          <w:p w14:paraId="52F3B9C8" w14:textId="77777777" w:rsidR="005B55F2" w:rsidRPr="008406E5" w:rsidRDefault="005B55F2" w:rsidP="0031117D">
            <w:pPr>
              <w:jc w:val="right"/>
              <w:rPr>
                <w:color w:val="000000" w:themeColor="text1"/>
              </w:rPr>
            </w:pPr>
            <w:r>
              <w:rPr>
                <w:color w:val="000000" w:themeColor="text1"/>
              </w:rPr>
              <w:t>.55</w:t>
            </w:r>
          </w:p>
        </w:tc>
        <w:tc>
          <w:tcPr>
            <w:tcW w:w="654" w:type="dxa"/>
            <w:tcBorders>
              <w:top w:val="nil"/>
              <w:left w:val="nil"/>
              <w:bottom w:val="nil"/>
              <w:right w:val="nil"/>
            </w:tcBorders>
            <w:vAlign w:val="center"/>
          </w:tcPr>
          <w:p w14:paraId="6B2B21B8" w14:textId="77777777" w:rsidR="005B55F2" w:rsidRPr="008406E5" w:rsidRDefault="005B55F2" w:rsidP="0031117D">
            <w:pPr>
              <w:jc w:val="right"/>
              <w:rPr>
                <w:color w:val="000000" w:themeColor="text1"/>
              </w:rPr>
            </w:pPr>
            <w:r>
              <w:rPr>
                <w:color w:val="000000" w:themeColor="text1"/>
              </w:rPr>
              <w:t>.16</w:t>
            </w:r>
          </w:p>
        </w:tc>
        <w:tc>
          <w:tcPr>
            <w:tcW w:w="654" w:type="dxa"/>
            <w:tcBorders>
              <w:left w:val="nil"/>
            </w:tcBorders>
            <w:vAlign w:val="center"/>
          </w:tcPr>
          <w:p w14:paraId="70B9778B" w14:textId="77777777" w:rsidR="005B55F2" w:rsidRPr="008406E5" w:rsidRDefault="005B55F2" w:rsidP="0031117D">
            <w:pPr>
              <w:jc w:val="right"/>
              <w:rPr>
                <w:color w:val="000000" w:themeColor="text1"/>
              </w:rPr>
            </w:pPr>
            <w:r>
              <w:rPr>
                <w:color w:val="000000" w:themeColor="text1"/>
              </w:rPr>
              <w:t>.29</w:t>
            </w:r>
          </w:p>
        </w:tc>
        <w:tc>
          <w:tcPr>
            <w:tcW w:w="654" w:type="dxa"/>
            <w:tcBorders>
              <w:left w:val="nil"/>
            </w:tcBorders>
            <w:vAlign w:val="center"/>
          </w:tcPr>
          <w:p w14:paraId="162BF853" w14:textId="77777777" w:rsidR="005B55F2" w:rsidRPr="008406E5" w:rsidRDefault="005B55F2" w:rsidP="0031117D">
            <w:pPr>
              <w:jc w:val="right"/>
              <w:rPr>
                <w:color w:val="000000" w:themeColor="text1"/>
              </w:rPr>
            </w:pPr>
            <w:r>
              <w:rPr>
                <w:color w:val="000000" w:themeColor="text1"/>
              </w:rPr>
              <w:t>.82</w:t>
            </w:r>
          </w:p>
        </w:tc>
      </w:tr>
      <w:tr w:rsidR="005B55F2" w:rsidRPr="008406E5" w14:paraId="6CD523F5" w14:textId="77777777" w:rsidTr="006C4BE0">
        <w:trPr>
          <w:trHeight w:val="432"/>
        </w:trPr>
        <w:tc>
          <w:tcPr>
            <w:tcW w:w="1843" w:type="dxa"/>
            <w:tcBorders>
              <w:top w:val="nil"/>
              <w:left w:val="nil"/>
              <w:bottom w:val="nil"/>
              <w:right w:val="nil"/>
            </w:tcBorders>
            <w:vAlign w:val="center"/>
          </w:tcPr>
          <w:p w14:paraId="15C2D967" w14:textId="77777777" w:rsidR="005B55F2" w:rsidRPr="008406E5" w:rsidRDefault="005B55F2" w:rsidP="0031117D">
            <w:pPr>
              <w:rPr>
                <w:color w:val="000000"/>
              </w:rPr>
            </w:pPr>
            <w:r w:rsidRPr="008406E5">
              <w:rPr>
                <w:color w:val="000000"/>
              </w:rPr>
              <w:t>Section 28</w:t>
            </w:r>
          </w:p>
        </w:tc>
        <w:tc>
          <w:tcPr>
            <w:tcW w:w="652" w:type="dxa"/>
            <w:tcBorders>
              <w:top w:val="nil"/>
              <w:left w:val="nil"/>
              <w:bottom w:val="nil"/>
              <w:right w:val="nil"/>
            </w:tcBorders>
            <w:vAlign w:val="center"/>
          </w:tcPr>
          <w:p w14:paraId="6F1B0CB9" w14:textId="77777777" w:rsidR="005B55F2" w:rsidRPr="008406E5" w:rsidRDefault="005B55F2" w:rsidP="0031117D">
            <w:pPr>
              <w:jc w:val="right"/>
              <w:rPr>
                <w:color w:val="000000" w:themeColor="text1"/>
              </w:rPr>
            </w:pPr>
            <w:r>
              <w:rPr>
                <w:color w:val="000000" w:themeColor="text1"/>
              </w:rPr>
              <w:t>.69</w:t>
            </w:r>
          </w:p>
        </w:tc>
        <w:tc>
          <w:tcPr>
            <w:tcW w:w="653" w:type="dxa"/>
            <w:tcBorders>
              <w:top w:val="nil"/>
              <w:left w:val="nil"/>
              <w:bottom w:val="nil"/>
              <w:right w:val="nil"/>
            </w:tcBorders>
            <w:vAlign w:val="center"/>
          </w:tcPr>
          <w:p w14:paraId="7BC3F9E8" w14:textId="77777777" w:rsidR="005B55F2" w:rsidRPr="008406E5" w:rsidRDefault="005B55F2" w:rsidP="0031117D">
            <w:pPr>
              <w:jc w:val="right"/>
              <w:rPr>
                <w:color w:val="000000" w:themeColor="text1"/>
              </w:rPr>
            </w:pPr>
            <w:r>
              <w:rPr>
                <w:color w:val="000000" w:themeColor="text1"/>
              </w:rPr>
              <w:t>.33</w:t>
            </w:r>
          </w:p>
        </w:tc>
        <w:tc>
          <w:tcPr>
            <w:tcW w:w="652" w:type="dxa"/>
            <w:tcBorders>
              <w:top w:val="nil"/>
              <w:left w:val="nil"/>
              <w:bottom w:val="nil"/>
              <w:right w:val="nil"/>
            </w:tcBorders>
            <w:vAlign w:val="center"/>
          </w:tcPr>
          <w:p w14:paraId="28573E48" w14:textId="77777777" w:rsidR="005B55F2" w:rsidRPr="008406E5" w:rsidRDefault="005B55F2" w:rsidP="0031117D">
            <w:pPr>
              <w:jc w:val="right"/>
              <w:rPr>
                <w:color w:val="000000" w:themeColor="text1"/>
              </w:rPr>
            </w:pPr>
            <w:r>
              <w:rPr>
                <w:color w:val="000000" w:themeColor="text1"/>
              </w:rPr>
              <w:t>.00</w:t>
            </w:r>
          </w:p>
        </w:tc>
        <w:tc>
          <w:tcPr>
            <w:tcW w:w="653" w:type="dxa"/>
            <w:tcBorders>
              <w:top w:val="nil"/>
              <w:left w:val="nil"/>
              <w:bottom w:val="nil"/>
              <w:right w:val="nil"/>
            </w:tcBorders>
            <w:vAlign w:val="center"/>
          </w:tcPr>
          <w:p w14:paraId="35FD1385" w14:textId="77777777" w:rsidR="005B55F2" w:rsidRPr="008406E5" w:rsidRDefault="005B55F2" w:rsidP="0031117D">
            <w:pPr>
              <w:jc w:val="right"/>
              <w:rPr>
                <w:color w:val="000000" w:themeColor="text1"/>
              </w:rPr>
            </w:pPr>
            <w:r w:rsidRPr="008406E5">
              <w:rPr>
                <w:color w:val="000000" w:themeColor="text1"/>
              </w:rPr>
              <w:t>1.00</w:t>
            </w:r>
          </w:p>
        </w:tc>
        <w:tc>
          <w:tcPr>
            <w:tcW w:w="535" w:type="dxa"/>
            <w:tcBorders>
              <w:top w:val="nil"/>
              <w:left w:val="nil"/>
              <w:bottom w:val="nil"/>
              <w:right w:val="nil"/>
            </w:tcBorders>
            <w:vAlign w:val="center"/>
          </w:tcPr>
          <w:p w14:paraId="48E2941B" w14:textId="77777777" w:rsidR="005B55F2" w:rsidRPr="008406E5" w:rsidRDefault="005B55F2" w:rsidP="0031117D">
            <w:pPr>
              <w:jc w:val="right"/>
              <w:rPr>
                <w:color w:val="000000" w:themeColor="text1"/>
              </w:rPr>
            </w:pPr>
          </w:p>
        </w:tc>
        <w:tc>
          <w:tcPr>
            <w:tcW w:w="653" w:type="dxa"/>
            <w:tcBorders>
              <w:top w:val="nil"/>
              <w:left w:val="nil"/>
              <w:bottom w:val="nil"/>
            </w:tcBorders>
            <w:shd w:val="clear" w:color="auto" w:fill="auto"/>
            <w:noWrap/>
            <w:vAlign w:val="center"/>
          </w:tcPr>
          <w:p w14:paraId="3758B1E4" w14:textId="77777777" w:rsidR="005B55F2" w:rsidRPr="008406E5" w:rsidRDefault="005B55F2" w:rsidP="0031117D">
            <w:pPr>
              <w:jc w:val="right"/>
              <w:rPr>
                <w:color w:val="000000" w:themeColor="text1"/>
              </w:rPr>
            </w:pPr>
            <w:r>
              <w:rPr>
                <w:color w:val="000000" w:themeColor="text1"/>
              </w:rPr>
              <w:t>.39</w:t>
            </w:r>
          </w:p>
        </w:tc>
        <w:tc>
          <w:tcPr>
            <w:tcW w:w="654" w:type="dxa"/>
            <w:tcBorders>
              <w:top w:val="nil"/>
              <w:left w:val="nil"/>
              <w:bottom w:val="nil"/>
              <w:right w:val="nil"/>
            </w:tcBorders>
            <w:vAlign w:val="center"/>
          </w:tcPr>
          <w:p w14:paraId="60AD48C0" w14:textId="77777777" w:rsidR="005B55F2" w:rsidRPr="008406E5" w:rsidRDefault="005B55F2" w:rsidP="0031117D">
            <w:pPr>
              <w:jc w:val="right"/>
              <w:rPr>
                <w:color w:val="000000" w:themeColor="text1"/>
              </w:rPr>
            </w:pPr>
            <w:r>
              <w:rPr>
                <w:color w:val="000000" w:themeColor="text1"/>
              </w:rPr>
              <w:t>.27</w:t>
            </w:r>
          </w:p>
        </w:tc>
        <w:tc>
          <w:tcPr>
            <w:tcW w:w="654" w:type="dxa"/>
            <w:tcBorders>
              <w:left w:val="nil"/>
            </w:tcBorders>
            <w:vAlign w:val="center"/>
          </w:tcPr>
          <w:p w14:paraId="72CCCE2E" w14:textId="77777777" w:rsidR="005B55F2" w:rsidRPr="008406E5" w:rsidRDefault="005B55F2" w:rsidP="0031117D">
            <w:pPr>
              <w:jc w:val="right"/>
              <w:rPr>
                <w:color w:val="000000" w:themeColor="text1"/>
              </w:rPr>
            </w:pPr>
            <w:r>
              <w:rPr>
                <w:color w:val="000000" w:themeColor="text1"/>
              </w:rPr>
              <w:t>.00</w:t>
            </w:r>
          </w:p>
        </w:tc>
        <w:tc>
          <w:tcPr>
            <w:tcW w:w="654" w:type="dxa"/>
            <w:tcBorders>
              <w:left w:val="nil"/>
            </w:tcBorders>
            <w:vAlign w:val="center"/>
          </w:tcPr>
          <w:p w14:paraId="360EB226" w14:textId="77777777" w:rsidR="005B55F2" w:rsidRPr="008406E5" w:rsidRDefault="005B55F2" w:rsidP="0031117D">
            <w:pPr>
              <w:jc w:val="right"/>
              <w:rPr>
                <w:color w:val="000000" w:themeColor="text1"/>
              </w:rPr>
            </w:pPr>
            <w:r>
              <w:rPr>
                <w:color w:val="000000" w:themeColor="text1"/>
              </w:rPr>
              <w:t>.89</w:t>
            </w:r>
          </w:p>
        </w:tc>
      </w:tr>
      <w:tr w:rsidR="005B55F2" w:rsidRPr="008406E5" w14:paraId="64B18BEE" w14:textId="77777777" w:rsidTr="006C4BE0">
        <w:trPr>
          <w:trHeight w:val="432"/>
        </w:trPr>
        <w:tc>
          <w:tcPr>
            <w:tcW w:w="1843" w:type="dxa"/>
            <w:tcBorders>
              <w:top w:val="nil"/>
              <w:left w:val="nil"/>
              <w:bottom w:val="single" w:sz="4" w:space="0" w:color="auto"/>
              <w:right w:val="nil"/>
            </w:tcBorders>
            <w:vAlign w:val="center"/>
          </w:tcPr>
          <w:p w14:paraId="47D16B22" w14:textId="77777777" w:rsidR="005B55F2" w:rsidRPr="008406E5" w:rsidRDefault="005B55F2" w:rsidP="0031117D">
            <w:pPr>
              <w:rPr>
                <w:color w:val="000000"/>
              </w:rPr>
            </w:pPr>
            <w:r w:rsidRPr="008406E5">
              <w:rPr>
                <w:color w:val="000000"/>
              </w:rPr>
              <w:t>Total</w:t>
            </w:r>
          </w:p>
        </w:tc>
        <w:tc>
          <w:tcPr>
            <w:tcW w:w="652" w:type="dxa"/>
            <w:tcBorders>
              <w:top w:val="nil"/>
              <w:left w:val="nil"/>
              <w:bottom w:val="single" w:sz="4" w:space="0" w:color="auto"/>
              <w:right w:val="nil"/>
            </w:tcBorders>
            <w:vAlign w:val="center"/>
          </w:tcPr>
          <w:p w14:paraId="4807DE61" w14:textId="77777777" w:rsidR="005B55F2" w:rsidRPr="008406E5" w:rsidRDefault="005B55F2" w:rsidP="0031117D">
            <w:pPr>
              <w:jc w:val="right"/>
              <w:rPr>
                <w:color w:val="000000" w:themeColor="text1"/>
              </w:rPr>
            </w:pPr>
            <w:r>
              <w:rPr>
                <w:color w:val="000000" w:themeColor="text1"/>
              </w:rPr>
              <w:t>.66</w:t>
            </w:r>
          </w:p>
        </w:tc>
        <w:tc>
          <w:tcPr>
            <w:tcW w:w="653" w:type="dxa"/>
            <w:tcBorders>
              <w:top w:val="nil"/>
              <w:left w:val="nil"/>
              <w:bottom w:val="single" w:sz="4" w:space="0" w:color="auto"/>
              <w:right w:val="nil"/>
            </w:tcBorders>
            <w:vAlign w:val="center"/>
          </w:tcPr>
          <w:p w14:paraId="70EAFFB5" w14:textId="77777777" w:rsidR="005B55F2" w:rsidRPr="008406E5" w:rsidRDefault="005B55F2" w:rsidP="0031117D">
            <w:pPr>
              <w:jc w:val="right"/>
              <w:rPr>
                <w:color w:val="000000" w:themeColor="text1"/>
              </w:rPr>
            </w:pPr>
            <w:r>
              <w:rPr>
                <w:color w:val="000000" w:themeColor="text1"/>
              </w:rPr>
              <w:t>.26</w:t>
            </w:r>
          </w:p>
        </w:tc>
        <w:tc>
          <w:tcPr>
            <w:tcW w:w="652" w:type="dxa"/>
            <w:tcBorders>
              <w:top w:val="nil"/>
              <w:left w:val="nil"/>
              <w:bottom w:val="single" w:sz="4" w:space="0" w:color="auto"/>
              <w:right w:val="nil"/>
            </w:tcBorders>
            <w:vAlign w:val="center"/>
          </w:tcPr>
          <w:p w14:paraId="0260C61B" w14:textId="77777777" w:rsidR="005B55F2" w:rsidRPr="008406E5" w:rsidRDefault="005B55F2" w:rsidP="0031117D">
            <w:pPr>
              <w:jc w:val="right"/>
              <w:rPr>
                <w:color w:val="000000" w:themeColor="text1"/>
              </w:rPr>
            </w:pPr>
            <w:r w:rsidRPr="008406E5">
              <w:rPr>
                <w:color w:val="000000" w:themeColor="text1"/>
              </w:rPr>
              <w:t>.00</w:t>
            </w:r>
          </w:p>
        </w:tc>
        <w:tc>
          <w:tcPr>
            <w:tcW w:w="653" w:type="dxa"/>
            <w:tcBorders>
              <w:top w:val="nil"/>
              <w:left w:val="nil"/>
              <w:bottom w:val="single" w:sz="4" w:space="0" w:color="auto"/>
              <w:right w:val="nil"/>
            </w:tcBorders>
            <w:vAlign w:val="center"/>
          </w:tcPr>
          <w:p w14:paraId="559CBD51" w14:textId="77777777" w:rsidR="005B55F2" w:rsidRPr="008406E5" w:rsidRDefault="005B55F2" w:rsidP="0031117D">
            <w:pPr>
              <w:jc w:val="right"/>
              <w:rPr>
                <w:color w:val="000000" w:themeColor="text1"/>
              </w:rPr>
            </w:pPr>
            <w:r>
              <w:rPr>
                <w:color w:val="000000" w:themeColor="text1"/>
              </w:rPr>
              <w:t>1.0</w:t>
            </w:r>
          </w:p>
        </w:tc>
        <w:tc>
          <w:tcPr>
            <w:tcW w:w="535" w:type="dxa"/>
            <w:tcBorders>
              <w:top w:val="nil"/>
              <w:left w:val="nil"/>
              <w:bottom w:val="single" w:sz="4" w:space="0" w:color="auto"/>
              <w:right w:val="nil"/>
            </w:tcBorders>
            <w:vAlign w:val="center"/>
          </w:tcPr>
          <w:p w14:paraId="7917BF84" w14:textId="77777777" w:rsidR="005B55F2" w:rsidRPr="008406E5" w:rsidRDefault="005B55F2" w:rsidP="0031117D">
            <w:pPr>
              <w:jc w:val="right"/>
              <w:rPr>
                <w:color w:val="000000" w:themeColor="text1"/>
              </w:rPr>
            </w:pPr>
          </w:p>
        </w:tc>
        <w:tc>
          <w:tcPr>
            <w:tcW w:w="653" w:type="dxa"/>
            <w:tcBorders>
              <w:top w:val="nil"/>
              <w:left w:val="nil"/>
              <w:bottom w:val="single" w:sz="4" w:space="0" w:color="auto"/>
            </w:tcBorders>
            <w:shd w:val="clear" w:color="auto" w:fill="auto"/>
            <w:noWrap/>
            <w:vAlign w:val="center"/>
          </w:tcPr>
          <w:p w14:paraId="1F1B1BCC" w14:textId="77777777" w:rsidR="005B55F2" w:rsidRPr="008406E5" w:rsidRDefault="005B55F2" w:rsidP="0031117D">
            <w:pPr>
              <w:jc w:val="right"/>
              <w:rPr>
                <w:color w:val="000000" w:themeColor="text1"/>
              </w:rPr>
            </w:pPr>
            <w:r>
              <w:rPr>
                <w:color w:val="000000" w:themeColor="text1"/>
              </w:rPr>
              <w:t>.48</w:t>
            </w:r>
          </w:p>
        </w:tc>
        <w:tc>
          <w:tcPr>
            <w:tcW w:w="654" w:type="dxa"/>
            <w:tcBorders>
              <w:top w:val="nil"/>
              <w:left w:val="nil"/>
              <w:bottom w:val="single" w:sz="4" w:space="0" w:color="auto"/>
              <w:right w:val="nil"/>
            </w:tcBorders>
            <w:vAlign w:val="center"/>
          </w:tcPr>
          <w:p w14:paraId="6E0629DD" w14:textId="77777777" w:rsidR="005B55F2" w:rsidRPr="008406E5" w:rsidRDefault="005B55F2" w:rsidP="0031117D">
            <w:pPr>
              <w:jc w:val="right"/>
              <w:rPr>
                <w:color w:val="000000" w:themeColor="text1"/>
              </w:rPr>
            </w:pPr>
            <w:r>
              <w:rPr>
                <w:color w:val="000000" w:themeColor="text1"/>
              </w:rPr>
              <w:t>.23</w:t>
            </w:r>
          </w:p>
        </w:tc>
        <w:tc>
          <w:tcPr>
            <w:tcW w:w="654" w:type="dxa"/>
            <w:tcBorders>
              <w:left w:val="nil"/>
              <w:bottom w:val="single" w:sz="4" w:space="0" w:color="auto"/>
            </w:tcBorders>
            <w:vAlign w:val="center"/>
          </w:tcPr>
          <w:p w14:paraId="7D80EB6F" w14:textId="77777777" w:rsidR="005B55F2" w:rsidRPr="008406E5" w:rsidRDefault="005B55F2" w:rsidP="0031117D">
            <w:pPr>
              <w:jc w:val="right"/>
              <w:rPr>
                <w:color w:val="000000" w:themeColor="text1"/>
              </w:rPr>
            </w:pPr>
            <w:r w:rsidRPr="008406E5">
              <w:rPr>
                <w:color w:val="000000" w:themeColor="text1"/>
              </w:rPr>
              <w:t>.00</w:t>
            </w:r>
          </w:p>
        </w:tc>
        <w:tc>
          <w:tcPr>
            <w:tcW w:w="654" w:type="dxa"/>
            <w:tcBorders>
              <w:left w:val="nil"/>
              <w:bottom w:val="single" w:sz="4" w:space="0" w:color="auto"/>
            </w:tcBorders>
            <w:vAlign w:val="center"/>
          </w:tcPr>
          <w:p w14:paraId="55D4EDBF" w14:textId="77777777" w:rsidR="005B55F2" w:rsidRPr="008406E5" w:rsidRDefault="005B55F2" w:rsidP="0031117D">
            <w:pPr>
              <w:jc w:val="right"/>
              <w:rPr>
                <w:color w:val="000000" w:themeColor="text1"/>
              </w:rPr>
            </w:pPr>
            <w:r>
              <w:rPr>
                <w:color w:val="000000" w:themeColor="text1"/>
              </w:rPr>
              <w:t>.89</w:t>
            </w:r>
          </w:p>
        </w:tc>
      </w:tr>
    </w:tbl>
    <w:p w14:paraId="0A52179C" w14:textId="77777777" w:rsidR="005B55F2" w:rsidRPr="008406E5" w:rsidRDefault="005B55F2" w:rsidP="005B55F2">
      <w:r w:rsidRPr="008406E5">
        <w:br w:type="page"/>
      </w:r>
    </w:p>
    <w:p w14:paraId="0A606F9A" w14:textId="77777777" w:rsidR="005B55F2" w:rsidRPr="008406E5" w:rsidRDefault="005B55F2" w:rsidP="08D4D6A2">
      <w:pPr>
        <w:spacing w:line="480" w:lineRule="auto"/>
      </w:pPr>
      <w:r w:rsidRPr="00614A67">
        <w:lastRenderedPageBreak/>
        <w:t>Table 8</w:t>
      </w:r>
      <w:r w:rsidRPr="23B9E151">
        <w:t xml:space="preserve"> </w:t>
      </w:r>
    </w:p>
    <w:p w14:paraId="30A615B4" w14:textId="12290322" w:rsidR="005B55F2" w:rsidRPr="006C4BE0" w:rsidRDefault="00AA324A" w:rsidP="006C4BE0">
      <w:pPr>
        <w:spacing w:line="480" w:lineRule="auto"/>
        <w:rPr>
          <w:i/>
          <w:iCs/>
        </w:rPr>
      </w:pPr>
      <w:r>
        <w:rPr>
          <w:i/>
          <w:iCs/>
        </w:rPr>
        <w:t>Types of</w:t>
      </w:r>
      <w:r w:rsidR="005B55F2" w:rsidRPr="08D4D6A2">
        <w:rPr>
          <w:i/>
          <w:iCs/>
        </w:rPr>
        <w:t xml:space="preserve"> Question</w:t>
      </w:r>
      <w:r>
        <w:rPr>
          <w:i/>
          <w:iCs/>
        </w:rPr>
        <w:t>s Asked by Lawyers</w:t>
      </w:r>
      <w:r w:rsidR="005B55F2" w:rsidRPr="08D4D6A2">
        <w:rPr>
          <w:i/>
          <w:iCs/>
        </w:rPr>
        <w:t xml:space="preserve"> in Cases </w:t>
      </w:r>
      <w:proofErr w:type="gramStart"/>
      <w:r w:rsidR="005B55F2" w:rsidRPr="08D4D6A2">
        <w:rPr>
          <w:i/>
          <w:iCs/>
        </w:rPr>
        <w:t>With</w:t>
      </w:r>
      <w:proofErr w:type="gramEnd"/>
      <w:r w:rsidR="005B55F2" w:rsidRPr="08D4D6A2">
        <w:rPr>
          <w:i/>
          <w:iCs/>
        </w:rPr>
        <w:t xml:space="preserve"> and Without GRHs</w:t>
      </w:r>
    </w:p>
    <w:tbl>
      <w:tblPr>
        <w:tblpPr w:leftFromText="180" w:rightFromText="180" w:vertAnchor="text" w:horzAnchor="page" w:tblpX="1570" w:tblpY="174"/>
        <w:tblW w:w="7693" w:type="dxa"/>
        <w:tblLayout w:type="fixed"/>
        <w:tblLook w:val="04A0" w:firstRow="1" w:lastRow="0" w:firstColumn="1" w:lastColumn="0" w:noHBand="0" w:noVBand="1"/>
      </w:tblPr>
      <w:tblGrid>
        <w:gridCol w:w="1618"/>
        <w:gridCol w:w="1618"/>
        <w:gridCol w:w="651"/>
        <w:gridCol w:w="653"/>
        <w:gridCol w:w="652"/>
        <w:gridCol w:w="535"/>
        <w:gridCol w:w="658"/>
        <w:gridCol w:w="654"/>
        <w:gridCol w:w="654"/>
      </w:tblGrid>
      <w:tr w:rsidR="005B55F2" w:rsidRPr="008406E5" w14:paraId="681CB377" w14:textId="77777777" w:rsidTr="006C4BE0">
        <w:trPr>
          <w:trHeight w:val="432"/>
        </w:trPr>
        <w:tc>
          <w:tcPr>
            <w:tcW w:w="1618" w:type="dxa"/>
            <w:tcBorders>
              <w:top w:val="single" w:sz="4" w:space="0" w:color="auto"/>
              <w:left w:val="nil"/>
              <w:right w:val="nil"/>
            </w:tcBorders>
          </w:tcPr>
          <w:p w14:paraId="6E9B5B0D" w14:textId="77777777" w:rsidR="005B55F2" w:rsidRPr="008406E5" w:rsidRDefault="005B55F2" w:rsidP="0031117D">
            <w:pPr>
              <w:jc w:val="center"/>
              <w:rPr>
                <w:bCs/>
                <w:color w:val="000000" w:themeColor="text1"/>
              </w:rPr>
            </w:pPr>
          </w:p>
        </w:tc>
        <w:tc>
          <w:tcPr>
            <w:tcW w:w="1618" w:type="dxa"/>
            <w:tcBorders>
              <w:top w:val="single" w:sz="4" w:space="0" w:color="auto"/>
              <w:left w:val="nil"/>
              <w:right w:val="nil"/>
            </w:tcBorders>
            <w:shd w:val="clear" w:color="auto" w:fill="auto"/>
          </w:tcPr>
          <w:p w14:paraId="5900F88F" w14:textId="77777777" w:rsidR="005B55F2" w:rsidRPr="008406E5" w:rsidRDefault="005B55F2" w:rsidP="0031117D">
            <w:pPr>
              <w:rPr>
                <w:bCs/>
                <w:color w:val="000000" w:themeColor="text1"/>
              </w:rPr>
            </w:pPr>
          </w:p>
        </w:tc>
        <w:tc>
          <w:tcPr>
            <w:tcW w:w="1956" w:type="dxa"/>
            <w:gridSpan w:val="3"/>
            <w:tcBorders>
              <w:top w:val="single" w:sz="4" w:space="0" w:color="auto"/>
              <w:left w:val="nil"/>
              <w:right w:val="nil"/>
            </w:tcBorders>
            <w:vAlign w:val="center"/>
          </w:tcPr>
          <w:p w14:paraId="154C6317" w14:textId="77777777" w:rsidR="005B55F2" w:rsidRPr="006C4BE0" w:rsidRDefault="005B55F2">
            <w:pPr>
              <w:jc w:val="center"/>
              <w:rPr>
                <w:color w:val="000000" w:themeColor="text1"/>
              </w:rPr>
            </w:pPr>
            <w:r w:rsidRPr="0031117D">
              <w:rPr>
                <w:color w:val="000000" w:themeColor="text1"/>
              </w:rPr>
              <w:t>No GRH</w:t>
            </w:r>
          </w:p>
        </w:tc>
        <w:tc>
          <w:tcPr>
            <w:tcW w:w="535" w:type="dxa"/>
            <w:tcBorders>
              <w:top w:val="single" w:sz="4" w:space="0" w:color="auto"/>
              <w:left w:val="nil"/>
              <w:right w:val="nil"/>
            </w:tcBorders>
            <w:vAlign w:val="center"/>
          </w:tcPr>
          <w:p w14:paraId="2E82145E" w14:textId="77777777" w:rsidR="005B55F2" w:rsidRPr="008406E5" w:rsidRDefault="005B55F2" w:rsidP="0031117D">
            <w:pPr>
              <w:jc w:val="center"/>
              <w:rPr>
                <w:bCs/>
                <w:i/>
                <w:iCs/>
                <w:color w:val="000000" w:themeColor="text1"/>
              </w:rPr>
            </w:pPr>
          </w:p>
        </w:tc>
        <w:tc>
          <w:tcPr>
            <w:tcW w:w="1966" w:type="dxa"/>
            <w:gridSpan w:val="3"/>
            <w:tcBorders>
              <w:top w:val="single" w:sz="4" w:space="0" w:color="auto"/>
              <w:left w:val="nil"/>
            </w:tcBorders>
            <w:shd w:val="clear" w:color="auto" w:fill="auto"/>
            <w:vAlign w:val="center"/>
          </w:tcPr>
          <w:p w14:paraId="4F5417AA" w14:textId="77777777" w:rsidR="005B55F2" w:rsidRPr="006C4BE0" w:rsidRDefault="005B55F2">
            <w:pPr>
              <w:jc w:val="center"/>
              <w:rPr>
                <w:color w:val="000000" w:themeColor="text1"/>
              </w:rPr>
            </w:pPr>
            <w:r w:rsidRPr="0031117D">
              <w:rPr>
                <w:color w:val="000000" w:themeColor="text1"/>
              </w:rPr>
              <w:t>GRH</w:t>
            </w:r>
          </w:p>
        </w:tc>
      </w:tr>
      <w:tr w:rsidR="005B55F2" w:rsidRPr="008406E5" w14:paraId="1AA5F86B" w14:textId="77777777" w:rsidTr="006C4BE0">
        <w:trPr>
          <w:trHeight w:val="432"/>
        </w:trPr>
        <w:tc>
          <w:tcPr>
            <w:tcW w:w="1618" w:type="dxa"/>
            <w:tcBorders>
              <w:top w:val="single" w:sz="4" w:space="0" w:color="auto"/>
              <w:left w:val="nil"/>
              <w:right w:val="nil"/>
            </w:tcBorders>
          </w:tcPr>
          <w:p w14:paraId="301DCCD9" w14:textId="77777777" w:rsidR="005B55F2" w:rsidRPr="008406E5" w:rsidRDefault="005B55F2" w:rsidP="0031117D">
            <w:pPr>
              <w:jc w:val="center"/>
              <w:rPr>
                <w:bCs/>
                <w:color w:val="000000" w:themeColor="text1"/>
              </w:rPr>
            </w:pPr>
          </w:p>
        </w:tc>
        <w:tc>
          <w:tcPr>
            <w:tcW w:w="1618" w:type="dxa"/>
            <w:tcBorders>
              <w:top w:val="single" w:sz="4" w:space="0" w:color="auto"/>
              <w:left w:val="nil"/>
              <w:right w:val="nil"/>
            </w:tcBorders>
            <w:shd w:val="clear" w:color="auto" w:fill="auto"/>
          </w:tcPr>
          <w:p w14:paraId="02487AE6" w14:textId="77777777" w:rsidR="005B55F2" w:rsidRPr="008406E5" w:rsidRDefault="005B55F2" w:rsidP="0031117D">
            <w:pPr>
              <w:rPr>
                <w:bCs/>
                <w:color w:val="000000" w:themeColor="text1"/>
              </w:rPr>
            </w:pPr>
          </w:p>
        </w:tc>
        <w:tc>
          <w:tcPr>
            <w:tcW w:w="651" w:type="dxa"/>
            <w:tcBorders>
              <w:top w:val="single" w:sz="4" w:space="0" w:color="auto"/>
              <w:left w:val="nil"/>
              <w:right w:val="nil"/>
            </w:tcBorders>
            <w:vAlign w:val="center"/>
          </w:tcPr>
          <w:p w14:paraId="319F89C5" w14:textId="77777777" w:rsidR="005B55F2" w:rsidRPr="006C4BE0" w:rsidRDefault="005B55F2" w:rsidP="08D4D6A2">
            <w:pPr>
              <w:jc w:val="center"/>
              <w:rPr>
                <w:i/>
                <w:iCs/>
                <w:color w:val="000000" w:themeColor="text1"/>
                <w:highlight w:val="yellow"/>
              </w:rPr>
            </w:pPr>
            <w:r w:rsidRPr="08D4D6A2">
              <w:rPr>
                <w:i/>
                <w:iCs/>
                <w:color w:val="000000" w:themeColor="text1"/>
              </w:rPr>
              <w:t>M</w:t>
            </w:r>
          </w:p>
        </w:tc>
        <w:tc>
          <w:tcPr>
            <w:tcW w:w="653" w:type="dxa"/>
            <w:tcBorders>
              <w:top w:val="single" w:sz="4" w:space="0" w:color="auto"/>
              <w:left w:val="nil"/>
              <w:right w:val="nil"/>
            </w:tcBorders>
            <w:vAlign w:val="center"/>
          </w:tcPr>
          <w:p w14:paraId="50751798" w14:textId="77777777" w:rsidR="005B55F2" w:rsidRPr="006C4BE0" w:rsidRDefault="005B55F2" w:rsidP="08D4D6A2">
            <w:pPr>
              <w:jc w:val="center"/>
              <w:rPr>
                <w:i/>
                <w:iCs/>
                <w:color w:val="000000" w:themeColor="text1"/>
                <w:highlight w:val="yellow"/>
              </w:rPr>
            </w:pPr>
            <w:r w:rsidRPr="08D4D6A2">
              <w:rPr>
                <w:i/>
                <w:iCs/>
                <w:color w:val="000000" w:themeColor="text1"/>
              </w:rPr>
              <w:t>SD</w:t>
            </w:r>
          </w:p>
        </w:tc>
        <w:tc>
          <w:tcPr>
            <w:tcW w:w="652" w:type="dxa"/>
            <w:tcBorders>
              <w:top w:val="single" w:sz="4" w:space="0" w:color="auto"/>
              <w:left w:val="nil"/>
              <w:right w:val="nil"/>
            </w:tcBorders>
            <w:vAlign w:val="center"/>
          </w:tcPr>
          <w:p w14:paraId="37170892" w14:textId="4A69DD48" w:rsidR="005B55F2" w:rsidRPr="006C4BE0" w:rsidRDefault="00CC034B" w:rsidP="08D4D6A2">
            <w:pPr>
              <w:jc w:val="center"/>
              <w:rPr>
                <w:i/>
                <w:iCs/>
                <w:color w:val="000000" w:themeColor="text1"/>
                <w:highlight w:val="yellow"/>
              </w:rPr>
            </w:pPr>
            <w:r w:rsidRPr="08D4D6A2">
              <w:rPr>
                <w:i/>
                <w:iCs/>
                <w:color w:val="000000" w:themeColor="text1"/>
              </w:rPr>
              <w:t>n</w:t>
            </w:r>
          </w:p>
        </w:tc>
        <w:tc>
          <w:tcPr>
            <w:tcW w:w="535" w:type="dxa"/>
            <w:tcBorders>
              <w:top w:val="single" w:sz="4" w:space="0" w:color="auto"/>
              <w:left w:val="nil"/>
              <w:right w:val="nil"/>
            </w:tcBorders>
            <w:vAlign w:val="center"/>
          </w:tcPr>
          <w:p w14:paraId="09B0A787" w14:textId="77777777" w:rsidR="005B55F2" w:rsidRPr="008406E5" w:rsidRDefault="005B55F2" w:rsidP="0031117D">
            <w:pPr>
              <w:jc w:val="center"/>
              <w:rPr>
                <w:bCs/>
                <w:i/>
                <w:iCs/>
                <w:color w:val="000000" w:themeColor="text1"/>
              </w:rPr>
            </w:pPr>
          </w:p>
        </w:tc>
        <w:tc>
          <w:tcPr>
            <w:tcW w:w="658" w:type="dxa"/>
            <w:tcBorders>
              <w:top w:val="single" w:sz="4" w:space="0" w:color="auto"/>
              <w:left w:val="nil"/>
            </w:tcBorders>
            <w:shd w:val="clear" w:color="auto" w:fill="auto"/>
            <w:vAlign w:val="center"/>
          </w:tcPr>
          <w:p w14:paraId="59179B64" w14:textId="77777777" w:rsidR="005B55F2" w:rsidRPr="006C4BE0" w:rsidRDefault="005B55F2" w:rsidP="08D4D6A2">
            <w:pPr>
              <w:jc w:val="center"/>
              <w:rPr>
                <w:i/>
                <w:iCs/>
                <w:color w:val="000000" w:themeColor="text1"/>
              </w:rPr>
            </w:pPr>
            <w:r w:rsidRPr="08D4D6A2">
              <w:rPr>
                <w:i/>
                <w:iCs/>
                <w:color w:val="000000" w:themeColor="text1"/>
              </w:rPr>
              <w:t>M</w:t>
            </w:r>
          </w:p>
        </w:tc>
        <w:tc>
          <w:tcPr>
            <w:tcW w:w="654" w:type="dxa"/>
            <w:tcBorders>
              <w:top w:val="single" w:sz="4" w:space="0" w:color="auto"/>
              <w:left w:val="nil"/>
              <w:right w:val="nil"/>
            </w:tcBorders>
            <w:vAlign w:val="center"/>
          </w:tcPr>
          <w:p w14:paraId="79B131C0" w14:textId="77777777" w:rsidR="005B55F2" w:rsidRPr="006C4BE0" w:rsidRDefault="005B55F2" w:rsidP="08D4D6A2">
            <w:pPr>
              <w:jc w:val="center"/>
              <w:rPr>
                <w:i/>
                <w:iCs/>
                <w:color w:val="000000" w:themeColor="text1"/>
              </w:rPr>
            </w:pPr>
            <w:r w:rsidRPr="08D4D6A2">
              <w:rPr>
                <w:i/>
                <w:iCs/>
                <w:color w:val="000000" w:themeColor="text1"/>
              </w:rPr>
              <w:t>SD</w:t>
            </w:r>
          </w:p>
        </w:tc>
        <w:tc>
          <w:tcPr>
            <w:tcW w:w="654" w:type="dxa"/>
            <w:tcBorders>
              <w:top w:val="single" w:sz="4" w:space="0" w:color="auto"/>
              <w:left w:val="nil"/>
              <w:right w:val="nil"/>
            </w:tcBorders>
            <w:vAlign w:val="center"/>
          </w:tcPr>
          <w:p w14:paraId="1DCE9E92" w14:textId="5A5AFA42" w:rsidR="005B55F2" w:rsidRPr="006C4BE0" w:rsidRDefault="00CC034B" w:rsidP="08D4D6A2">
            <w:pPr>
              <w:jc w:val="center"/>
              <w:rPr>
                <w:i/>
                <w:iCs/>
                <w:color w:val="000000" w:themeColor="text1"/>
              </w:rPr>
            </w:pPr>
            <w:r w:rsidRPr="08D4D6A2">
              <w:rPr>
                <w:i/>
                <w:iCs/>
                <w:color w:val="000000" w:themeColor="text1"/>
              </w:rPr>
              <w:t>n</w:t>
            </w:r>
          </w:p>
        </w:tc>
      </w:tr>
      <w:tr w:rsidR="005B55F2" w:rsidRPr="008406E5" w14:paraId="735447CD" w14:textId="77777777" w:rsidTr="006C4BE0">
        <w:trPr>
          <w:trHeight w:val="432"/>
        </w:trPr>
        <w:tc>
          <w:tcPr>
            <w:tcW w:w="1618" w:type="dxa"/>
            <w:tcBorders>
              <w:left w:val="nil"/>
              <w:bottom w:val="nil"/>
              <w:right w:val="nil"/>
            </w:tcBorders>
          </w:tcPr>
          <w:p w14:paraId="6C37EF3E" w14:textId="77777777" w:rsidR="005B55F2" w:rsidRPr="006C4BE0" w:rsidRDefault="005B55F2" w:rsidP="006C4BE0">
            <w:pPr>
              <w:rPr>
                <w:color w:val="000000" w:themeColor="text1"/>
              </w:rPr>
            </w:pPr>
            <w:r w:rsidRPr="008406E5">
              <w:rPr>
                <w:color w:val="000000"/>
              </w:rPr>
              <w:t>Prosecutor</w:t>
            </w:r>
          </w:p>
        </w:tc>
        <w:tc>
          <w:tcPr>
            <w:tcW w:w="1618" w:type="dxa"/>
            <w:tcBorders>
              <w:left w:val="nil"/>
              <w:bottom w:val="nil"/>
              <w:right w:val="nil"/>
            </w:tcBorders>
            <w:shd w:val="clear" w:color="auto" w:fill="auto"/>
            <w:hideMark/>
          </w:tcPr>
          <w:p w14:paraId="38E21D94" w14:textId="77777777" w:rsidR="005B55F2" w:rsidRPr="008406E5" w:rsidRDefault="005B55F2" w:rsidP="0031117D">
            <w:pPr>
              <w:rPr>
                <w:color w:val="000000" w:themeColor="text1"/>
              </w:rPr>
            </w:pPr>
            <w:r w:rsidRPr="008406E5">
              <w:rPr>
                <w:color w:val="000000" w:themeColor="text1"/>
              </w:rPr>
              <w:t>Directive</w:t>
            </w:r>
          </w:p>
        </w:tc>
        <w:tc>
          <w:tcPr>
            <w:tcW w:w="651" w:type="dxa"/>
            <w:tcBorders>
              <w:top w:val="nil"/>
              <w:left w:val="nil"/>
              <w:bottom w:val="nil"/>
              <w:right w:val="nil"/>
            </w:tcBorders>
            <w:vAlign w:val="center"/>
          </w:tcPr>
          <w:p w14:paraId="55957A93" w14:textId="77777777" w:rsidR="005B55F2" w:rsidRPr="008406E5" w:rsidRDefault="005B55F2" w:rsidP="0031117D">
            <w:pPr>
              <w:jc w:val="right"/>
              <w:rPr>
                <w:color w:val="000000" w:themeColor="text1"/>
              </w:rPr>
            </w:pPr>
            <w:r w:rsidRPr="008406E5">
              <w:rPr>
                <w:color w:val="000000" w:themeColor="text1"/>
              </w:rPr>
              <w:t>.26</w:t>
            </w:r>
          </w:p>
        </w:tc>
        <w:tc>
          <w:tcPr>
            <w:tcW w:w="653" w:type="dxa"/>
            <w:tcBorders>
              <w:top w:val="nil"/>
              <w:left w:val="nil"/>
              <w:bottom w:val="nil"/>
              <w:right w:val="nil"/>
            </w:tcBorders>
            <w:vAlign w:val="center"/>
          </w:tcPr>
          <w:p w14:paraId="628C4200" w14:textId="77777777" w:rsidR="005B55F2" w:rsidRPr="008406E5" w:rsidRDefault="005B55F2" w:rsidP="0031117D">
            <w:pPr>
              <w:jc w:val="right"/>
              <w:rPr>
                <w:color w:val="000000" w:themeColor="text1"/>
              </w:rPr>
            </w:pPr>
            <w:r w:rsidRPr="008406E5">
              <w:rPr>
                <w:color w:val="000000" w:themeColor="text1"/>
              </w:rPr>
              <w:t>.15</w:t>
            </w:r>
          </w:p>
        </w:tc>
        <w:tc>
          <w:tcPr>
            <w:tcW w:w="652" w:type="dxa"/>
            <w:tcBorders>
              <w:top w:val="nil"/>
              <w:left w:val="nil"/>
              <w:bottom w:val="nil"/>
              <w:right w:val="nil"/>
            </w:tcBorders>
            <w:vAlign w:val="center"/>
          </w:tcPr>
          <w:p w14:paraId="39CCE9B8" w14:textId="77777777" w:rsidR="005B55F2" w:rsidRPr="008406E5" w:rsidRDefault="005B55F2" w:rsidP="0031117D">
            <w:pPr>
              <w:jc w:val="right"/>
              <w:rPr>
                <w:color w:val="000000" w:themeColor="text1"/>
              </w:rPr>
            </w:pPr>
            <w:r w:rsidRPr="008406E5">
              <w:rPr>
                <w:color w:val="000000" w:themeColor="text1"/>
              </w:rPr>
              <w:t>25</w:t>
            </w:r>
          </w:p>
        </w:tc>
        <w:tc>
          <w:tcPr>
            <w:tcW w:w="535" w:type="dxa"/>
            <w:tcBorders>
              <w:top w:val="nil"/>
              <w:left w:val="nil"/>
              <w:bottom w:val="nil"/>
              <w:right w:val="nil"/>
            </w:tcBorders>
            <w:vAlign w:val="center"/>
          </w:tcPr>
          <w:p w14:paraId="052F0B05" w14:textId="77777777" w:rsidR="005B55F2" w:rsidRPr="008406E5" w:rsidRDefault="005B55F2" w:rsidP="0031117D">
            <w:pPr>
              <w:jc w:val="right"/>
              <w:rPr>
                <w:color w:val="000000" w:themeColor="text1"/>
              </w:rPr>
            </w:pPr>
          </w:p>
        </w:tc>
        <w:tc>
          <w:tcPr>
            <w:tcW w:w="658" w:type="dxa"/>
            <w:tcBorders>
              <w:top w:val="nil"/>
              <w:left w:val="nil"/>
              <w:bottom w:val="nil"/>
            </w:tcBorders>
            <w:shd w:val="clear" w:color="auto" w:fill="auto"/>
            <w:noWrap/>
            <w:vAlign w:val="center"/>
            <w:hideMark/>
          </w:tcPr>
          <w:p w14:paraId="78C663C1" w14:textId="77777777" w:rsidR="005B55F2" w:rsidRPr="008406E5" w:rsidRDefault="005B55F2" w:rsidP="0031117D">
            <w:pPr>
              <w:jc w:val="right"/>
              <w:rPr>
                <w:color w:val="000000" w:themeColor="text1"/>
              </w:rPr>
            </w:pPr>
            <w:r w:rsidRPr="008406E5">
              <w:rPr>
                <w:color w:val="000000" w:themeColor="text1"/>
              </w:rPr>
              <w:t>.25</w:t>
            </w:r>
          </w:p>
        </w:tc>
        <w:tc>
          <w:tcPr>
            <w:tcW w:w="654" w:type="dxa"/>
            <w:tcBorders>
              <w:left w:val="nil"/>
              <w:bottom w:val="nil"/>
              <w:right w:val="nil"/>
            </w:tcBorders>
            <w:vAlign w:val="center"/>
          </w:tcPr>
          <w:p w14:paraId="6DEDD201" w14:textId="77777777" w:rsidR="005B55F2" w:rsidRPr="008406E5" w:rsidRDefault="005B55F2" w:rsidP="0031117D">
            <w:pPr>
              <w:jc w:val="right"/>
              <w:rPr>
                <w:color w:val="000000"/>
              </w:rPr>
            </w:pPr>
            <w:r w:rsidRPr="008406E5">
              <w:rPr>
                <w:color w:val="000000"/>
              </w:rPr>
              <w:t>.24</w:t>
            </w:r>
          </w:p>
        </w:tc>
        <w:tc>
          <w:tcPr>
            <w:tcW w:w="654" w:type="dxa"/>
            <w:tcBorders>
              <w:left w:val="nil"/>
            </w:tcBorders>
            <w:vAlign w:val="center"/>
          </w:tcPr>
          <w:p w14:paraId="579E69F9" w14:textId="77777777" w:rsidR="005B55F2" w:rsidRPr="008406E5" w:rsidRDefault="005B55F2" w:rsidP="0031117D">
            <w:pPr>
              <w:jc w:val="right"/>
              <w:rPr>
                <w:color w:val="000000"/>
              </w:rPr>
            </w:pPr>
            <w:r w:rsidRPr="008406E5">
              <w:rPr>
                <w:color w:val="000000"/>
              </w:rPr>
              <w:t>20</w:t>
            </w:r>
          </w:p>
        </w:tc>
      </w:tr>
      <w:tr w:rsidR="005B55F2" w:rsidRPr="008406E5" w14:paraId="49F9D66A" w14:textId="77777777" w:rsidTr="006C4BE0">
        <w:trPr>
          <w:trHeight w:val="432"/>
        </w:trPr>
        <w:tc>
          <w:tcPr>
            <w:tcW w:w="1618" w:type="dxa"/>
            <w:tcBorders>
              <w:top w:val="nil"/>
              <w:left w:val="nil"/>
              <w:bottom w:val="nil"/>
              <w:right w:val="nil"/>
            </w:tcBorders>
          </w:tcPr>
          <w:p w14:paraId="03537538" w14:textId="77777777" w:rsidR="005B55F2" w:rsidRPr="008406E5" w:rsidRDefault="005B55F2" w:rsidP="006C4BE0">
            <w:pPr>
              <w:rPr>
                <w:color w:val="000000" w:themeColor="text1"/>
              </w:rPr>
            </w:pPr>
          </w:p>
        </w:tc>
        <w:tc>
          <w:tcPr>
            <w:tcW w:w="1618" w:type="dxa"/>
            <w:tcBorders>
              <w:top w:val="nil"/>
              <w:left w:val="nil"/>
              <w:bottom w:val="nil"/>
              <w:right w:val="nil"/>
            </w:tcBorders>
            <w:shd w:val="clear" w:color="auto" w:fill="auto"/>
            <w:hideMark/>
          </w:tcPr>
          <w:p w14:paraId="33C48EA1" w14:textId="77777777" w:rsidR="005B55F2" w:rsidRPr="008406E5" w:rsidRDefault="005B55F2" w:rsidP="0031117D">
            <w:pPr>
              <w:rPr>
                <w:color w:val="000000" w:themeColor="text1"/>
              </w:rPr>
            </w:pPr>
            <w:r w:rsidRPr="008406E5">
              <w:rPr>
                <w:color w:val="000000" w:themeColor="text1"/>
              </w:rPr>
              <w:t>Option-Posing</w:t>
            </w:r>
          </w:p>
        </w:tc>
        <w:tc>
          <w:tcPr>
            <w:tcW w:w="651" w:type="dxa"/>
            <w:tcBorders>
              <w:top w:val="nil"/>
              <w:left w:val="nil"/>
              <w:bottom w:val="nil"/>
              <w:right w:val="nil"/>
            </w:tcBorders>
            <w:vAlign w:val="center"/>
          </w:tcPr>
          <w:p w14:paraId="16A0938E" w14:textId="77777777" w:rsidR="005B55F2" w:rsidRPr="008406E5" w:rsidRDefault="005B55F2" w:rsidP="0031117D">
            <w:pPr>
              <w:jc w:val="right"/>
              <w:rPr>
                <w:color w:val="000000" w:themeColor="text1"/>
              </w:rPr>
            </w:pPr>
            <w:r w:rsidRPr="008406E5">
              <w:rPr>
                <w:color w:val="000000" w:themeColor="text1"/>
              </w:rPr>
              <w:t>.72</w:t>
            </w:r>
          </w:p>
        </w:tc>
        <w:tc>
          <w:tcPr>
            <w:tcW w:w="653" w:type="dxa"/>
            <w:tcBorders>
              <w:top w:val="nil"/>
              <w:left w:val="nil"/>
              <w:bottom w:val="nil"/>
              <w:right w:val="nil"/>
            </w:tcBorders>
            <w:vAlign w:val="center"/>
          </w:tcPr>
          <w:p w14:paraId="294969A2" w14:textId="77777777" w:rsidR="005B55F2" w:rsidRPr="008406E5" w:rsidRDefault="005B55F2" w:rsidP="0031117D">
            <w:pPr>
              <w:jc w:val="right"/>
              <w:rPr>
                <w:color w:val="000000" w:themeColor="text1"/>
              </w:rPr>
            </w:pPr>
            <w:r w:rsidRPr="008406E5">
              <w:rPr>
                <w:color w:val="000000" w:themeColor="text1"/>
              </w:rPr>
              <w:t>.15</w:t>
            </w:r>
          </w:p>
        </w:tc>
        <w:tc>
          <w:tcPr>
            <w:tcW w:w="652" w:type="dxa"/>
            <w:tcBorders>
              <w:top w:val="nil"/>
              <w:left w:val="nil"/>
              <w:bottom w:val="nil"/>
              <w:right w:val="nil"/>
            </w:tcBorders>
            <w:vAlign w:val="center"/>
          </w:tcPr>
          <w:p w14:paraId="0066246D" w14:textId="77777777" w:rsidR="005B55F2" w:rsidRPr="008406E5" w:rsidRDefault="005B55F2" w:rsidP="0031117D">
            <w:pPr>
              <w:jc w:val="right"/>
              <w:rPr>
                <w:color w:val="000000" w:themeColor="text1"/>
              </w:rPr>
            </w:pPr>
            <w:r w:rsidRPr="008406E5">
              <w:rPr>
                <w:color w:val="000000" w:themeColor="text1"/>
              </w:rPr>
              <w:t>25</w:t>
            </w:r>
          </w:p>
        </w:tc>
        <w:tc>
          <w:tcPr>
            <w:tcW w:w="535" w:type="dxa"/>
            <w:tcBorders>
              <w:top w:val="nil"/>
              <w:left w:val="nil"/>
              <w:bottom w:val="nil"/>
              <w:right w:val="nil"/>
            </w:tcBorders>
            <w:vAlign w:val="center"/>
          </w:tcPr>
          <w:p w14:paraId="69902264" w14:textId="77777777" w:rsidR="005B55F2" w:rsidRPr="008406E5" w:rsidRDefault="005B55F2" w:rsidP="0031117D">
            <w:pPr>
              <w:jc w:val="right"/>
              <w:rPr>
                <w:color w:val="000000" w:themeColor="text1"/>
              </w:rPr>
            </w:pPr>
          </w:p>
        </w:tc>
        <w:tc>
          <w:tcPr>
            <w:tcW w:w="658" w:type="dxa"/>
            <w:tcBorders>
              <w:top w:val="nil"/>
              <w:left w:val="nil"/>
              <w:bottom w:val="nil"/>
            </w:tcBorders>
            <w:shd w:val="clear" w:color="auto" w:fill="auto"/>
            <w:noWrap/>
            <w:vAlign w:val="center"/>
            <w:hideMark/>
          </w:tcPr>
          <w:p w14:paraId="59844A64" w14:textId="77777777" w:rsidR="005B55F2" w:rsidRPr="008406E5" w:rsidRDefault="005B55F2" w:rsidP="0031117D">
            <w:pPr>
              <w:jc w:val="right"/>
              <w:rPr>
                <w:color w:val="000000" w:themeColor="text1"/>
              </w:rPr>
            </w:pPr>
            <w:r w:rsidRPr="008406E5">
              <w:rPr>
                <w:color w:val="000000" w:themeColor="text1"/>
              </w:rPr>
              <w:t>.73</w:t>
            </w:r>
          </w:p>
        </w:tc>
        <w:tc>
          <w:tcPr>
            <w:tcW w:w="654" w:type="dxa"/>
            <w:tcBorders>
              <w:top w:val="nil"/>
              <w:left w:val="nil"/>
              <w:bottom w:val="nil"/>
              <w:right w:val="nil"/>
            </w:tcBorders>
            <w:vAlign w:val="center"/>
          </w:tcPr>
          <w:p w14:paraId="4326D46A" w14:textId="77777777" w:rsidR="005B55F2" w:rsidRPr="008406E5" w:rsidRDefault="005B55F2" w:rsidP="0031117D">
            <w:pPr>
              <w:jc w:val="right"/>
              <w:rPr>
                <w:color w:val="000000" w:themeColor="text1"/>
              </w:rPr>
            </w:pPr>
            <w:r w:rsidRPr="008406E5">
              <w:rPr>
                <w:color w:val="000000" w:themeColor="text1"/>
              </w:rPr>
              <w:t>.25</w:t>
            </w:r>
          </w:p>
        </w:tc>
        <w:tc>
          <w:tcPr>
            <w:tcW w:w="654" w:type="dxa"/>
            <w:tcBorders>
              <w:left w:val="nil"/>
            </w:tcBorders>
            <w:vAlign w:val="center"/>
          </w:tcPr>
          <w:p w14:paraId="43AFCA8A" w14:textId="77777777" w:rsidR="005B55F2" w:rsidRPr="008406E5" w:rsidRDefault="005B55F2" w:rsidP="0031117D">
            <w:pPr>
              <w:jc w:val="right"/>
              <w:rPr>
                <w:color w:val="000000" w:themeColor="text1"/>
              </w:rPr>
            </w:pPr>
            <w:r w:rsidRPr="008406E5">
              <w:rPr>
                <w:color w:val="000000" w:themeColor="text1"/>
              </w:rPr>
              <w:t>20</w:t>
            </w:r>
          </w:p>
        </w:tc>
      </w:tr>
      <w:tr w:rsidR="005B55F2" w:rsidRPr="008406E5" w14:paraId="5BCE9E84" w14:textId="77777777" w:rsidTr="006C4BE0">
        <w:trPr>
          <w:trHeight w:val="432"/>
        </w:trPr>
        <w:tc>
          <w:tcPr>
            <w:tcW w:w="1618" w:type="dxa"/>
            <w:tcBorders>
              <w:top w:val="nil"/>
              <w:left w:val="nil"/>
              <w:bottom w:val="nil"/>
              <w:right w:val="nil"/>
            </w:tcBorders>
          </w:tcPr>
          <w:p w14:paraId="10A388E3" w14:textId="77777777" w:rsidR="005B55F2" w:rsidRPr="008406E5" w:rsidRDefault="005B55F2" w:rsidP="006C4BE0">
            <w:pPr>
              <w:rPr>
                <w:color w:val="000000" w:themeColor="text1"/>
              </w:rPr>
            </w:pPr>
          </w:p>
        </w:tc>
        <w:tc>
          <w:tcPr>
            <w:tcW w:w="1618" w:type="dxa"/>
            <w:tcBorders>
              <w:top w:val="nil"/>
              <w:left w:val="nil"/>
              <w:bottom w:val="nil"/>
              <w:right w:val="nil"/>
            </w:tcBorders>
            <w:shd w:val="clear" w:color="auto" w:fill="auto"/>
            <w:hideMark/>
          </w:tcPr>
          <w:p w14:paraId="6CC720EA" w14:textId="77777777" w:rsidR="005B55F2" w:rsidRPr="008406E5" w:rsidRDefault="005B55F2" w:rsidP="0031117D">
            <w:pPr>
              <w:rPr>
                <w:color w:val="000000" w:themeColor="text1"/>
              </w:rPr>
            </w:pPr>
            <w:r w:rsidRPr="008406E5">
              <w:rPr>
                <w:color w:val="000000" w:themeColor="text1"/>
              </w:rPr>
              <w:t>Suggestive</w:t>
            </w:r>
          </w:p>
        </w:tc>
        <w:tc>
          <w:tcPr>
            <w:tcW w:w="651" w:type="dxa"/>
            <w:tcBorders>
              <w:top w:val="nil"/>
              <w:left w:val="nil"/>
              <w:bottom w:val="nil"/>
              <w:right w:val="nil"/>
            </w:tcBorders>
            <w:vAlign w:val="center"/>
          </w:tcPr>
          <w:p w14:paraId="2E46908B" w14:textId="77777777" w:rsidR="005B55F2" w:rsidRPr="008406E5" w:rsidRDefault="005B55F2" w:rsidP="0031117D">
            <w:pPr>
              <w:jc w:val="right"/>
              <w:rPr>
                <w:color w:val="000000" w:themeColor="text1"/>
              </w:rPr>
            </w:pPr>
            <w:r w:rsidRPr="008406E5">
              <w:rPr>
                <w:color w:val="000000" w:themeColor="text1"/>
              </w:rPr>
              <w:t>.02</w:t>
            </w:r>
          </w:p>
        </w:tc>
        <w:tc>
          <w:tcPr>
            <w:tcW w:w="653" w:type="dxa"/>
            <w:tcBorders>
              <w:top w:val="nil"/>
              <w:left w:val="nil"/>
              <w:bottom w:val="nil"/>
              <w:right w:val="nil"/>
            </w:tcBorders>
            <w:vAlign w:val="center"/>
          </w:tcPr>
          <w:p w14:paraId="6423EEC0" w14:textId="77777777" w:rsidR="005B55F2" w:rsidRPr="008406E5" w:rsidRDefault="005B55F2" w:rsidP="0031117D">
            <w:pPr>
              <w:jc w:val="right"/>
              <w:rPr>
                <w:color w:val="000000" w:themeColor="text1"/>
              </w:rPr>
            </w:pPr>
            <w:r w:rsidRPr="008406E5">
              <w:rPr>
                <w:color w:val="000000" w:themeColor="text1"/>
              </w:rPr>
              <w:t>.03</w:t>
            </w:r>
          </w:p>
        </w:tc>
        <w:tc>
          <w:tcPr>
            <w:tcW w:w="652" w:type="dxa"/>
            <w:tcBorders>
              <w:top w:val="nil"/>
              <w:left w:val="nil"/>
              <w:bottom w:val="nil"/>
              <w:right w:val="nil"/>
            </w:tcBorders>
            <w:vAlign w:val="center"/>
          </w:tcPr>
          <w:p w14:paraId="518B15D0" w14:textId="77777777" w:rsidR="005B55F2" w:rsidRPr="008406E5" w:rsidRDefault="005B55F2" w:rsidP="0031117D">
            <w:pPr>
              <w:jc w:val="right"/>
              <w:rPr>
                <w:color w:val="000000" w:themeColor="text1"/>
              </w:rPr>
            </w:pPr>
            <w:r w:rsidRPr="008406E5">
              <w:rPr>
                <w:color w:val="000000" w:themeColor="text1"/>
              </w:rPr>
              <w:t>25</w:t>
            </w:r>
          </w:p>
        </w:tc>
        <w:tc>
          <w:tcPr>
            <w:tcW w:w="535" w:type="dxa"/>
            <w:tcBorders>
              <w:top w:val="nil"/>
              <w:left w:val="nil"/>
              <w:bottom w:val="nil"/>
              <w:right w:val="nil"/>
            </w:tcBorders>
            <w:vAlign w:val="center"/>
          </w:tcPr>
          <w:p w14:paraId="5FD0B323" w14:textId="77777777" w:rsidR="005B55F2" w:rsidRPr="008406E5" w:rsidRDefault="005B55F2" w:rsidP="0031117D">
            <w:pPr>
              <w:jc w:val="right"/>
              <w:rPr>
                <w:color w:val="000000" w:themeColor="text1"/>
              </w:rPr>
            </w:pPr>
          </w:p>
        </w:tc>
        <w:tc>
          <w:tcPr>
            <w:tcW w:w="658" w:type="dxa"/>
            <w:tcBorders>
              <w:top w:val="nil"/>
              <w:left w:val="nil"/>
              <w:bottom w:val="nil"/>
            </w:tcBorders>
            <w:shd w:val="clear" w:color="auto" w:fill="auto"/>
            <w:noWrap/>
            <w:vAlign w:val="center"/>
          </w:tcPr>
          <w:p w14:paraId="6475391A" w14:textId="77777777" w:rsidR="005B55F2" w:rsidRPr="008406E5" w:rsidRDefault="005B55F2" w:rsidP="0031117D">
            <w:pPr>
              <w:jc w:val="right"/>
              <w:rPr>
                <w:color w:val="000000" w:themeColor="text1"/>
              </w:rPr>
            </w:pPr>
            <w:r w:rsidRPr="008406E5">
              <w:rPr>
                <w:color w:val="000000" w:themeColor="text1"/>
              </w:rPr>
              <w:t>.01</w:t>
            </w:r>
          </w:p>
        </w:tc>
        <w:tc>
          <w:tcPr>
            <w:tcW w:w="654" w:type="dxa"/>
            <w:tcBorders>
              <w:top w:val="nil"/>
              <w:left w:val="nil"/>
              <w:bottom w:val="nil"/>
              <w:right w:val="nil"/>
            </w:tcBorders>
            <w:vAlign w:val="center"/>
          </w:tcPr>
          <w:p w14:paraId="001C9029" w14:textId="77777777" w:rsidR="005B55F2" w:rsidRPr="008406E5" w:rsidRDefault="005B55F2" w:rsidP="0031117D">
            <w:pPr>
              <w:jc w:val="right"/>
              <w:rPr>
                <w:color w:val="000000" w:themeColor="text1"/>
              </w:rPr>
            </w:pPr>
            <w:r w:rsidRPr="008406E5">
              <w:rPr>
                <w:color w:val="000000" w:themeColor="text1"/>
              </w:rPr>
              <w:t>.04</w:t>
            </w:r>
          </w:p>
        </w:tc>
        <w:tc>
          <w:tcPr>
            <w:tcW w:w="654" w:type="dxa"/>
            <w:tcBorders>
              <w:left w:val="nil"/>
            </w:tcBorders>
            <w:vAlign w:val="center"/>
          </w:tcPr>
          <w:p w14:paraId="62D33615" w14:textId="77777777" w:rsidR="005B55F2" w:rsidRPr="008406E5" w:rsidRDefault="005B55F2" w:rsidP="0031117D">
            <w:pPr>
              <w:jc w:val="right"/>
              <w:rPr>
                <w:color w:val="000000" w:themeColor="text1"/>
              </w:rPr>
            </w:pPr>
            <w:r w:rsidRPr="008406E5">
              <w:rPr>
                <w:color w:val="000000" w:themeColor="text1"/>
              </w:rPr>
              <w:t>20</w:t>
            </w:r>
          </w:p>
        </w:tc>
      </w:tr>
      <w:tr w:rsidR="005B55F2" w:rsidRPr="008406E5" w14:paraId="514FED34" w14:textId="77777777" w:rsidTr="006C4BE0">
        <w:trPr>
          <w:trHeight w:val="432"/>
        </w:trPr>
        <w:tc>
          <w:tcPr>
            <w:tcW w:w="1618" w:type="dxa"/>
            <w:tcBorders>
              <w:top w:val="nil"/>
              <w:left w:val="nil"/>
              <w:bottom w:val="nil"/>
              <w:right w:val="nil"/>
            </w:tcBorders>
          </w:tcPr>
          <w:p w14:paraId="20A422D8" w14:textId="77777777" w:rsidR="005B55F2" w:rsidRPr="006C4BE0" w:rsidRDefault="005B55F2" w:rsidP="006C4BE0">
            <w:pPr>
              <w:rPr>
                <w:color w:val="000000" w:themeColor="text1"/>
              </w:rPr>
            </w:pPr>
            <w:r w:rsidRPr="008406E5">
              <w:rPr>
                <w:color w:val="000000" w:themeColor="text1"/>
              </w:rPr>
              <w:t>Defence</w:t>
            </w:r>
          </w:p>
        </w:tc>
        <w:tc>
          <w:tcPr>
            <w:tcW w:w="1618" w:type="dxa"/>
            <w:tcBorders>
              <w:top w:val="nil"/>
              <w:left w:val="nil"/>
              <w:bottom w:val="nil"/>
              <w:right w:val="nil"/>
            </w:tcBorders>
            <w:shd w:val="clear" w:color="auto" w:fill="auto"/>
          </w:tcPr>
          <w:p w14:paraId="53D979BB" w14:textId="77777777" w:rsidR="005B55F2" w:rsidRPr="008406E5" w:rsidRDefault="005B55F2" w:rsidP="0031117D">
            <w:pPr>
              <w:rPr>
                <w:color w:val="000000" w:themeColor="text1"/>
              </w:rPr>
            </w:pPr>
            <w:r w:rsidRPr="008406E5">
              <w:rPr>
                <w:color w:val="000000" w:themeColor="text1"/>
              </w:rPr>
              <w:t>Directive</w:t>
            </w:r>
          </w:p>
        </w:tc>
        <w:tc>
          <w:tcPr>
            <w:tcW w:w="651" w:type="dxa"/>
            <w:tcBorders>
              <w:top w:val="nil"/>
              <w:left w:val="nil"/>
              <w:bottom w:val="nil"/>
              <w:right w:val="nil"/>
            </w:tcBorders>
            <w:vAlign w:val="center"/>
          </w:tcPr>
          <w:p w14:paraId="591FDCCA" w14:textId="77777777" w:rsidR="005B55F2" w:rsidRPr="008406E5" w:rsidRDefault="005B55F2" w:rsidP="0031117D">
            <w:pPr>
              <w:jc w:val="right"/>
              <w:rPr>
                <w:color w:val="000000" w:themeColor="text1"/>
              </w:rPr>
            </w:pPr>
            <w:r w:rsidRPr="008406E5">
              <w:rPr>
                <w:color w:val="000000" w:themeColor="text1"/>
              </w:rPr>
              <w:t>.12</w:t>
            </w:r>
          </w:p>
        </w:tc>
        <w:tc>
          <w:tcPr>
            <w:tcW w:w="653" w:type="dxa"/>
            <w:tcBorders>
              <w:top w:val="nil"/>
              <w:left w:val="nil"/>
              <w:bottom w:val="nil"/>
              <w:right w:val="nil"/>
            </w:tcBorders>
            <w:vAlign w:val="center"/>
          </w:tcPr>
          <w:p w14:paraId="366613C4" w14:textId="77777777" w:rsidR="005B55F2" w:rsidRPr="008406E5" w:rsidRDefault="005B55F2" w:rsidP="0031117D">
            <w:pPr>
              <w:jc w:val="right"/>
              <w:rPr>
                <w:color w:val="000000" w:themeColor="text1"/>
              </w:rPr>
            </w:pPr>
            <w:r w:rsidRPr="008406E5">
              <w:rPr>
                <w:color w:val="000000" w:themeColor="text1"/>
              </w:rPr>
              <w:t>.10</w:t>
            </w:r>
          </w:p>
        </w:tc>
        <w:tc>
          <w:tcPr>
            <w:tcW w:w="652" w:type="dxa"/>
            <w:tcBorders>
              <w:top w:val="nil"/>
              <w:left w:val="nil"/>
              <w:bottom w:val="nil"/>
              <w:right w:val="nil"/>
            </w:tcBorders>
            <w:vAlign w:val="center"/>
          </w:tcPr>
          <w:p w14:paraId="05110CA4" w14:textId="77777777" w:rsidR="005B55F2" w:rsidRPr="008406E5" w:rsidRDefault="005B55F2" w:rsidP="0031117D">
            <w:pPr>
              <w:jc w:val="right"/>
              <w:rPr>
                <w:color w:val="000000" w:themeColor="text1"/>
              </w:rPr>
            </w:pPr>
            <w:r w:rsidRPr="008406E5">
              <w:rPr>
                <w:color w:val="000000" w:themeColor="text1"/>
              </w:rPr>
              <w:t>38</w:t>
            </w:r>
          </w:p>
        </w:tc>
        <w:tc>
          <w:tcPr>
            <w:tcW w:w="535" w:type="dxa"/>
            <w:tcBorders>
              <w:top w:val="nil"/>
              <w:left w:val="nil"/>
              <w:bottom w:val="nil"/>
              <w:right w:val="nil"/>
            </w:tcBorders>
            <w:vAlign w:val="center"/>
          </w:tcPr>
          <w:p w14:paraId="7A1E9929" w14:textId="77777777" w:rsidR="005B55F2" w:rsidRPr="008406E5" w:rsidRDefault="005B55F2" w:rsidP="0031117D">
            <w:pPr>
              <w:jc w:val="right"/>
              <w:rPr>
                <w:color w:val="000000" w:themeColor="text1"/>
              </w:rPr>
            </w:pPr>
          </w:p>
        </w:tc>
        <w:tc>
          <w:tcPr>
            <w:tcW w:w="658" w:type="dxa"/>
            <w:tcBorders>
              <w:top w:val="nil"/>
              <w:left w:val="nil"/>
              <w:bottom w:val="nil"/>
            </w:tcBorders>
            <w:shd w:val="clear" w:color="auto" w:fill="auto"/>
            <w:noWrap/>
            <w:vAlign w:val="center"/>
          </w:tcPr>
          <w:p w14:paraId="02E6B2D5" w14:textId="77777777" w:rsidR="005B55F2" w:rsidRPr="008406E5" w:rsidRDefault="005B55F2" w:rsidP="0031117D">
            <w:pPr>
              <w:jc w:val="right"/>
              <w:rPr>
                <w:color w:val="000000" w:themeColor="text1"/>
              </w:rPr>
            </w:pPr>
            <w:r w:rsidRPr="008406E5">
              <w:rPr>
                <w:color w:val="000000" w:themeColor="text1"/>
              </w:rPr>
              <w:t>.18</w:t>
            </w:r>
          </w:p>
        </w:tc>
        <w:tc>
          <w:tcPr>
            <w:tcW w:w="654" w:type="dxa"/>
            <w:tcBorders>
              <w:top w:val="nil"/>
              <w:left w:val="nil"/>
              <w:bottom w:val="nil"/>
              <w:right w:val="nil"/>
            </w:tcBorders>
            <w:vAlign w:val="center"/>
          </w:tcPr>
          <w:p w14:paraId="67674F72" w14:textId="77777777" w:rsidR="005B55F2" w:rsidRPr="008406E5" w:rsidRDefault="005B55F2" w:rsidP="0031117D">
            <w:pPr>
              <w:jc w:val="right"/>
              <w:rPr>
                <w:color w:val="000000" w:themeColor="text1"/>
              </w:rPr>
            </w:pPr>
            <w:r w:rsidRPr="008406E5">
              <w:rPr>
                <w:color w:val="000000" w:themeColor="text1"/>
              </w:rPr>
              <w:t>.11</w:t>
            </w:r>
          </w:p>
        </w:tc>
        <w:tc>
          <w:tcPr>
            <w:tcW w:w="654" w:type="dxa"/>
            <w:tcBorders>
              <w:left w:val="nil"/>
            </w:tcBorders>
            <w:vAlign w:val="center"/>
          </w:tcPr>
          <w:p w14:paraId="015FBFDB" w14:textId="77777777" w:rsidR="005B55F2" w:rsidRPr="008406E5" w:rsidRDefault="005B55F2" w:rsidP="0031117D">
            <w:pPr>
              <w:jc w:val="right"/>
              <w:rPr>
                <w:color w:val="000000" w:themeColor="text1"/>
              </w:rPr>
            </w:pPr>
            <w:r w:rsidRPr="008406E5">
              <w:rPr>
                <w:color w:val="000000" w:themeColor="text1"/>
              </w:rPr>
              <w:t>49</w:t>
            </w:r>
          </w:p>
        </w:tc>
      </w:tr>
      <w:tr w:rsidR="005B55F2" w:rsidRPr="008406E5" w14:paraId="7E40C56F" w14:textId="77777777" w:rsidTr="006C4BE0">
        <w:trPr>
          <w:trHeight w:val="432"/>
        </w:trPr>
        <w:tc>
          <w:tcPr>
            <w:tcW w:w="1618" w:type="dxa"/>
            <w:tcBorders>
              <w:top w:val="nil"/>
              <w:left w:val="nil"/>
              <w:right w:val="nil"/>
            </w:tcBorders>
          </w:tcPr>
          <w:p w14:paraId="024BCA06" w14:textId="77777777" w:rsidR="005B55F2" w:rsidRPr="008406E5" w:rsidRDefault="005B55F2" w:rsidP="0031117D">
            <w:pPr>
              <w:jc w:val="center"/>
              <w:rPr>
                <w:color w:val="000000" w:themeColor="text1"/>
              </w:rPr>
            </w:pPr>
          </w:p>
        </w:tc>
        <w:tc>
          <w:tcPr>
            <w:tcW w:w="1618" w:type="dxa"/>
            <w:tcBorders>
              <w:top w:val="nil"/>
              <w:left w:val="nil"/>
              <w:right w:val="nil"/>
            </w:tcBorders>
            <w:shd w:val="clear" w:color="auto" w:fill="auto"/>
          </w:tcPr>
          <w:p w14:paraId="3091F6DC" w14:textId="77777777" w:rsidR="005B55F2" w:rsidRPr="008406E5" w:rsidRDefault="005B55F2" w:rsidP="0031117D">
            <w:pPr>
              <w:rPr>
                <w:color w:val="000000" w:themeColor="text1"/>
              </w:rPr>
            </w:pPr>
            <w:r w:rsidRPr="008406E5">
              <w:rPr>
                <w:color w:val="000000" w:themeColor="text1"/>
              </w:rPr>
              <w:t>Option-Posing</w:t>
            </w:r>
          </w:p>
        </w:tc>
        <w:tc>
          <w:tcPr>
            <w:tcW w:w="651" w:type="dxa"/>
            <w:tcBorders>
              <w:top w:val="nil"/>
              <w:left w:val="nil"/>
              <w:right w:val="nil"/>
            </w:tcBorders>
            <w:vAlign w:val="center"/>
          </w:tcPr>
          <w:p w14:paraId="6AB835FB" w14:textId="77777777" w:rsidR="005B55F2" w:rsidRPr="008406E5" w:rsidRDefault="005B55F2" w:rsidP="0031117D">
            <w:pPr>
              <w:jc w:val="right"/>
              <w:rPr>
                <w:color w:val="000000" w:themeColor="text1"/>
              </w:rPr>
            </w:pPr>
            <w:r w:rsidRPr="008406E5">
              <w:rPr>
                <w:color w:val="000000" w:themeColor="text1"/>
              </w:rPr>
              <w:t>.60</w:t>
            </w:r>
          </w:p>
        </w:tc>
        <w:tc>
          <w:tcPr>
            <w:tcW w:w="653" w:type="dxa"/>
            <w:tcBorders>
              <w:top w:val="nil"/>
              <w:left w:val="nil"/>
              <w:right w:val="nil"/>
            </w:tcBorders>
            <w:vAlign w:val="center"/>
          </w:tcPr>
          <w:p w14:paraId="37FBC9C8" w14:textId="77777777" w:rsidR="005B55F2" w:rsidRPr="008406E5" w:rsidRDefault="005B55F2" w:rsidP="0031117D">
            <w:pPr>
              <w:jc w:val="right"/>
              <w:rPr>
                <w:color w:val="000000" w:themeColor="text1"/>
              </w:rPr>
            </w:pPr>
            <w:r w:rsidRPr="008406E5">
              <w:rPr>
                <w:color w:val="000000" w:themeColor="text1"/>
              </w:rPr>
              <w:t>.16</w:t>
            </w:r>
          </w:p>
        </w:tc>
        <w:tc>
          <w:tcPr>
            <w:tcW w:w="652" w:type="dxa"/>
            <w:tcBorders>
              <w:top w:val="nil"/>
              <w:left w:val="nil"/>
              <w:right w:val="nil"/>
            </w:tcBorders>
            <w:vAlign w:val="center"/>
          </w:tcPr>
          <w:p w14:paraId="5178D133" w14:textId="77777777" w:rsidR="005B55F2" w:rsidRPr="008406E5" w:rsidRDefault="005B55F2" w:rsidP="0031117D">
            <w:pPr>
              <w:jc w:val="right"/>
              <w:rPr>
                <w:color w:val="000000" w:themeColor="text1"/>
              </w:rPr>
            </w:pPr>
            <w:r w:rsidRPr="008406E5">
              <w:rPr>
                <w:color w:val="000000" w:themeColor="text1"/>
              </w:rPr>
              <w:t>38</w:t>
            </w:r>
          </w:p>
        </w:tc>
        <w:tc>
          <w:tcPr>
            <w:tcW w:w="535" w:type="dxa"/>
            <w:tcBorders>
              <w:top w:val="nil"/>
              <w:left w:val="nil"/>
              <w:right w:val="nil"/>
            </w:tcBorders>
            <w:vAlign w:val="center"/>
          </w:tcPr>
          <w:p w14:paraId="22FE7FAD" w14:textId="77777777" w:rsidR="005B55F2" w:rsidRPr="008406E5" w:rsidRDefault="005B55F2" w:rsidP="0031117D">
            <w:pPr>
              <w:jc w:val="right"/>
              <w:rPr>
                <w:color w:val="000000" w:themeColor="text1"/>
              </w:rPr>
            </w:pPr>
          </w:p>
        </w:tc>
        <w:tc>
          <w:tcPr>
            <w:tcW w:w="658" w:type="dxa"/>
            <w:tcBorders>
              <w:top w:val="nil"/>
              <w:left w:val="nil"/>
            </w:tcBorders>
            <w:shd w:val="clear" w:color="auto" w:fill="auto"/>
            <w:noWrap/>
            <w:vAlign w:val="center"/>
          </w:tcPr>
          <w:p w14:paraId="1874C3C7" w14:textId="77777777" w:rsidR="005B55F2" w:rsidRPr="008406E5" w:rsidRDefault="005B55F2" w:rsidP="0031117D">
            <w:pPr>
              <w:jc w:val="right"/>
              <w:rPr>
                <w:color w:val="000000" w:themeColor="text1"/>
              </w:rPr>
            </w:pPr>
            <w:r w:rsidRPr="008406E5">
              <w:rPr>
                <w:color w:val="000000" w:themeColor="text1"/>
              </w:rPr>
              <w:t>.71</w:t>
            </w:r>
          </w:p>
        </w:tc>
        <w:tc>
          <w:tcPr>
            <w:tcW w:w="654" w:type="dxa"/>
            <w:tcBorders>
              <w:top w:val="nil"/>
              <w:left w:val="nil"/>
              <w:right w:val="nil"/>
            </w:tcBorders>
            <w:vAlign w:val="center"/>
          </w:tcPr>
          <w:p w14:paraId="5287580C" w14:textId="77777777" w:rsidR="005B55F2" w:rsidRPr="008406E5" w:rsidRDefault="005B55F2" w:rsidP="0031117D">
            <w:pPr>
              <w:jc w:val="right"/>
              <w:rPr>
                <w:color w:val="000000" w:themeColor="text1"/>
              </w:rPr>
            </w:pPr>
            <w:r w:rsidRPr="008406E5">
              <w:rPr>
                <w:color w:val="000000" w:themeColor="text1"/>
              </w:rPr>
              <w:t>.12</w:t>
            </w:r>
          </w:p>
        </w:tc>
        <w:tc>
          <w:tcPr>
            <w:tcW w:w="654" w:type="dxa"/>
            <w:tcBorders>
              <w:left w:val="nil"/>
            </w:tcBorders>
            <w:vAlign w:val="center"/>
          </w:tcPr>
          <w:p w14:paraId="2D49AB63" w14:textId="77777777" w:rsidR="005B55F2" w:rsidRPr="008406E5" w:rsidRDefault="005B55F2" w:rsidP="0031117D">
            <w:pPr>
              <w:jc w:val="right"/>
              <w:rPr>
                <w:color w:val="000000" w:themeColor="text1"/>
              </w:rPr>
            </w:pPr>
            <w:r w:rsidRPr="008406E5">
              <w:rPr>
                <w:color w:val="000000" w:themeColor="text1"/>
              </w:rPr>
              <w:t>49</w:t>
            </w:r>
          </w:p>
        </w:tc>
      </w:tr>
      <w:tr w:rsidR="005B55F2" w:rsidRPr="008406E5" w14:paraId="72865A56" w14:textId="77777777" w:rsidTr="006C4BE0">
        <w:trPr>
          <w:trHeight w:val="432"/>
        </w:trPr>
        <w:tc>
          <w:tcPr>
            <w:tcW w:w="1618" w:type="dxa"/>
            <w:tcBorders>
              <w:top w:val="nil"/>
              <w:left w:val="nil"/>
              <w:bottom w:val="single" w:sz="4" w:space="0" w:color="auto"/>
              <w:right w:val="nil"/>
            </w:tcBorders>
          </w:tcPr>
          <w:p w14:paraId="15E336AD" w14:textId="77777777" w:rsidR="005B55F2" w:rsidRPr="008406E5" w:rsidRDefault="005B55F2" w:rsidP="0031117D">
            <w:pPr>
              <w:jc w:val="center"/>
              <w:rPr>
                <w:color w:val="000000" w:themeColor="text1"/>
              </w:rPr>
            </w:pPr>
          </w:p>
        </w:tc>
        <w:tc>
          <w:tcPr>
            <w:tcW w:w="1618" w:type="dxa"/>
            <w:tcBorders>
              <w:top w:val="nil"/>
              <w:left w:val="nil"/>
              <w:bottom w:val="single" w:sz="4" w:space="0" w:color="auto"/>
              <w:right w:val="nil"/>
            </w:tcBorders>
            <w:shd w:val="clear" w:color="auto" w:fill="auto"/>
          </w:tcPr>
          <w:p w14:paraId="48B54E5C" w14:textId="77777777" w:rsidR="005B55F2" w:rsidRPr="008406E5" w:rsidRDefault="005B55F2" w:rsidP="0031117D">
            <w:pPr>
              <w:rPr>
                <w:color w:val="000000" w:themeColor="text1"/>
              </w:rPr>
            </w:pPr>
            <w:r w:rsidRPr="008406E5">
              <w:rPr>
                <w:color w:val="000000" w:themeColor="text1"/>
              </w:rPr>
              <w:t>Suggestive</w:t>
            </w:r>
          </w:p>
        </w:tc>
        <w:tc>
          <w:tcPr>
            <w:tcW w:w="651" w:type="dxa"/>
            <w:tcBorders>
              <w:top w:val="nil"/>
              <w:left w:val="nil"/>
              <w:bottom w:val="single" w:sz="4" w:space="0" w:color="auto"/>
              <w:right w:val="nil"/>
            </w:tcBorders>
            <w:vAlign w:val="center"/>
          </w:tcPr>
          <w:p w14:paraId="6E8BEC25" w14:textId="77777777" w:rsidR="005B55F2" w:rsidRPr="008406E5" w:rsidRDefault="005B55F2" w:rsidP="0031117D">
            <w:pPr>
              <w:jc w:val="right"/>
              <w:rPr>
                <w:color w:val="000000" w:themeColor="text1"/>
              </w:rPr>
            </w:pPr>
            <w:r w:rsidRPr="008406E5">
              <w:rPr>
                <w:color w:val="000000" w:themeColor="text1"/>
              </w:rPr>
              <w:t>.28</w:t>
            </w:r>
          </w:p>
        </w:tc>
        <w:tc>
          <w:tcPr>
            <w:tcW w:w="653" w:type="dxa"/>
            <w:tcBorders>
              <w:top w:val="nil"/>
              <w:left w:val="nil"/>
              <w:bottom w:val="single" w:sz="4" w:space="0" w:color="auto"/>
              <w:right w:val="nil"/>
            </w:tcBorders>
            <w:vAlign w:val="center"/>
          </w:tcPr>
          <w:p w14:paraId="08EF47A6" w14:textId="77777777" w:rsidR="005B55F2" w:rsidRPr="008406E5" w:rsidRDefault="005B55F2" w:rsidP="0031117D">
            <w:pPr>
              <w:jc w:val="right"/>
              <w:rPr>
                <w:color w:val="000000" w:themeColor="text1"/>
              </w:rPr>
            </w:pPr>
            <w:r w:rsidRPr="008406E5">
              <w:rPr>
                <w:color w:val="000000" w:themeColor="text1"/>
              </w:rPr>
              <w:t>.19</w:t>
            </w:r>
          </w:p>
        </w:tc>
        <w:tc>
          <w:tcPr>
            <w:tcW w:w="652" w:type="dxa"/>
            <w:tcBorders>
              <w:top w:val="nil"/>
              <w:left w:val="nil"/>
              <w:bottom w:val="single" w:sz="4" w:space="0" w:color="auto"/>
              <w:right w:val="nil"/>
            </w:tcBorders>
            <w:vAlign w:val="center"/>
          </w:tcPr>
          <w:p w14:paraId="5E9C56B0" w14:textId="77777777" w:rsidR="005B55F2" w:rsidRPr="008406E5" w:rsidRDefault="005B55F2" w:rsidP="0031117D">
            <w:pPr>
              <w:jc w:val="right"/>
              <w:rPr>
                <w:color w:val="000000" w:themeColor="text1"/>
              </w:rPr>
            </w:pPr>
            <w:r w:rsidRPr="008406E5">
              <w:rPr>
                <w:color w:val="000000" w:themeColor="text1"/>
              </w:rPr>
              <w:t>38</w:t>
            </w:r>
          </w:p>
        </w:tc>
        <w:tc>
          <w:tcPr>
            <w:tcW w:w="535" w:type="dxa"/>
            <w:tcBorders>
              <w:top w:val="nil"/>
              <w:left w:val="nil"/>
              <w:bottom w:val="single" w:sz="4" w:space="0" w:color="auto"/>
              <w:right w:val="nil"/>
            </w:tcBorders>
            <w:vAlign w:val="center"/>
          </w:tcPr>
          <w:p w14:paraId="2EB67E4C" w14:textId="77777777" w:rsidR="005B55F2" w:rsidRPr="008406E5" w:rsidRDefault="005B55F2" w:rsidP="0031117D">
            <w:pPr>
              <w:jc w:val="right"/>
              <w:rPr>
                <w:color w:val="000000" w:themeColor="text1"/>
              </w:rPr>
            </w:pPr>
          </w:p>
        </w:tc>
        <w:tc>
          <w:tcPr>
            <w:tcW w:w="658" w:type="dxa"/>
            <w:tcBorders>
              <w:top w:val="nil"/>
              <w:left w:val="nil"/>
              <w:bottom w:val="single" w:sz="4" w:space="0" w:color="auto"/>
            </w:tcBorders>
            <w:shd w:val="clear" w:color="auto" w:fill="auto"/>
            <w:noWrap/>
            <w:vAlign w:val="center"/>
          </w:tcPr>
          <w:p w14:paraId="2A17F3B7" w14:textId="77777777" w:rsidR="005B55F2" w:rsidRPr="008406E5" w:rsidRDefault="005B55F2" w:rsidP="0031117D">
            <w:pPr>
              <w:jc w:val="right"/>
              <w:rPr>
                <w:color w:val="000000" w:themeColor="text1"/>
              </w:rPr>
            </w:pPr>
            <w:r w:rsidRPr="008406E5">
              <w:rPr>
                <w:color w:val="000000" w:themeColor="text1"/>
              </w:rPr>
              <w:t>.11</w:t>
            </w:r>
          </w:p>
        </w:tc>
        <w:tc>
          <w:tcPr>
            <w:tcW w:w="654" w:type="dxa"/>
            <w:tcBorders>
              <w:top w:val="nil"/>
              <w:left w:val="nil"/>
              <w:bottom w:val="single" w:sz="4" w:space="0" w:color="auto"/>
              <w:right w:val="nil"/>
            </w:tcBorders>
            <w:vAlign w:val="center"/>
          </w:tcPr>
          <w:p w14:paraId="73ED7F9B" w14:textId="77777777" w:rsidR="005B55F2" w:rsidRPr="008406E5" w:rsidRDefault="005B55F2" w:rsidP="0031117D">
            <w:pPr>
              <w:jc w:val="right"/>
              <w:rPr>
                <w:color w:val="000000" w:themeColor="text1"/>
              </w:rPr>
            </w:pPr>
            <w:r w:rsidRPr="008406E5">
              <w:rPr>
                <w:color w:val="000000" w:themeColor="text1"/>
              </w:rPr>
              <w:t>.13</w:t>
            </w:r>
          </w:p>
        </w:tc>
        <w:tc>
          <w:tcPr>
            <w:tcW w:w="654" w:type="dxa"/>
            <w:tcBorders>
              <w:left w:val="nil"/>
              <w:bottom w:val="single" w:sz="4" w:space="0" w:color="auto"/>
            </w:tcBorders>
            <w:vAlign w:val="center"/>
          </w:tcPr>
          <w:p w14:paraId="79454C20" w14:textId="77777777" w:rsidR="005B55F2" w:rsidRPr="008406E5" w:rsidRDefault="005B55F2" w:rsidP="0031117D">
            <w:pPr>
              <w:jc w:val="right"/>
              <w:rPr>
                <w:color w:val="000000" w:themeColor="text1"/>
              </w:rPr>
            </w:pPr>
            <w:r w:rsidRPr="008406E5">
              <w:rPr>
                <w:color w:val="000000" w:themeColor="text1"/>
              </w:rPr>
              <w:t>49</w:t>
            </w:r>
          </w:p>
        </w:tc>
      </w:tr>
    </w:tbl>
    <w:p w14:paraId="2744990B" w14:textId="77777777" w:rsidR="005B55F2" w:rsidRPr="008406E5" w:rsidRDefault="005B55F2" w:rsidP="005B55F2">
      <w:pPr>
        <w:spacing w:line="480" w:lineRule="auto"/>
      </w:pPr>
    </w:p>
    <w:p w14:paraId="0DB001F5" w14:textId="77777777" w:rsidR="005B55F2" w:rsidRPr="008406E5" w:rsidRDefault="005B55F2" w:rsidP="005B55F2">
      <w:pPr>
        <w:spacing w:line="480" w:lineRule="auto"/>
      </w:pPr>
    </w:p>
    <w:p w14:paraId="3447C801" w14:textId="77777777" w:rsidR="005B55F2" w:rsidRPr="008406E5" w:rsidRDefault="005B55F2" w:rsidP="005B55F2">
      <w:pPr>
        <w:spacing w:line="480" w:lineRule="auto"/>
      </w:pPr>
    </w:p>
    <w:p w14:paraId="40D0AA73" w14:textId="77777777" w:rsidR="005B55F2" w:rsidRPr="008406E5" w:rsidRDefault="005B55F2" w:rsidP="005B55F2">
      <w:pPr>
        <w:spacing w:line="480" w:lineRule="auto"/>
      </w:pPr>
    </w:p>
    <w:p w14:paraId="2027E0AF" w14:textId="77777777" w:rsidR="005B55F2" w:rsidRPr="008406E5" w:rsidRDefault="005B55F2" w:rsidP="005B55F2">
      <w:pPr>
        <w:spacing w:line="480" w:lineRule="auto"/>
      </w:pPr>
    </w:p>
    <w:p w14:paraId="34E36A6C" w14:textId="77777777" w:rsidR="005B55F2" w:rsidRPr="008406E5" w:rsidRDefault="005B55F2" w:rsidP="005B55F2">
      <w:pPr>
        <w:spacing w:line="480" w:lineRule="auto"/>
      </w:pPr>
    </w:p>
    <w:p w14:paraId="13768AB4" w14:textId="77777777" w:rsidR="005B55F2" w:rsidRPr="008406E5" w:rsidRDefault="005B55F2" w:rsidP="005B55F2">
      <w:pPr>
        <w:spacing w:line="480" w:lineRule="auto"/>
      </w:pPr>
    </w:p>
    <w:p w14:paraId="45B3CA39" w14:textId="77777777" w:rsidR="005B55F2" w:rsidRPr="008406E5" w:rsidRDefault="005B55F2" w:rsidP="005B55F2">
      <w:pPr>
        <w:spacing w:line="480" w:lineRule="auto"/>
      </w:pPr>
    </w:p>
    <w:p w14:paraId="1D61B457" w14:textId="77777777" w:rsidR="005B55F2" w:rsidRPr="008406E5" w:rsidRDefault="005B55F2" w:rsidP="005B55F2">
      <w:pPr>
        <w:spacing w:line="480" w:lineRule="auto"/>
      </w:pPr>
    </w:p>
    <w:p w14:paraId="485039F5" w14:textId="77777777" w:rsidR="005B55F2" w:rsidRPr="008406E5" w:rsidRDefault="005B55F2" w:rsidP="005B55F2">
      <w:pPr>
        <w:rPr>
          <w:i/>
        </w:rPr>
      </w:pPr>
    </w:p>
    <w:p w14:paraId="7764056D" w14:textId="77777777" w:rsidR="00A332BE" w:rsidRPr="009227D1" w:rsidRDefault="00A332BE" w:rsidP="009227D1">
      <w:pPr>
        <w:spacing w:line="480" w:lineRule="auto"/>
      </w:pPr>
    </w:p>
    <w:sectPr w:rsidR="00A332BE" w:rsidRPr="009227D1" w:rsidSect="00E6486B">
      <w:headerReference w:type="default" r:id="rId13"/>
      <w:footerReference w:type="even" r:id="rId14"/>
      <w:footerReference w:type="default" r:id="rId15"/>
      <w:headerReference w:type="first" r:id="rId16"/>
      <w:pgSz w:w="11900" w:h="16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517B3C" w16cid:durableId="1F4D2AF0"/>
  <w16cid:commentId w16cid:paraId="61C53857" w16cid:durableId="1F4D277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24735" w14:textId="77777777" w:rsidR="00B44702" w:rsidRDefault="00B44702">
      <w:r>
        <w:separator/>
      </w:r>
    </w:p>
  </w:endnote>
  <w:endnote w:type="continuationSeparator" w:id="0">
    <w:p w14:paraId="69C6DBCE" w14:textId="77777777" w:rsidR="00B44702" w:rsidRDefault="00B4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swiss"/>
    <w:pitch w:val="variable"/>
    <w:sig w:usb0="00000000" w:usb1="5000A1FF" w:usb2="00000000" w:usb3="00000000" w:csb0="000001BF" w:csb1="00000000"/>
  </w:font>
  <w:font w:name="Heiti TC Light">
    <w:charset w:val="51"/>
    <w:family w:val="auto"/>
    <w:pitch w:val="variable"/>
    <w:sig w:usb0="8000002F" w:usb1="0808004A" w:usb2="00000010" w:usb3="00000000" w:csb0="00100000" w:csb1="00000000"/>
  </w:font>
  <w:font w:name="Yu Mincho">
    <w:panose1 w:val="00000000000000000000"/>
    <w:charset w:val="80"/>
    <w:family w:val="roman"/>
    <w:notTrueType/>
    <w:pitch w:val="variable"/>
    <w:sig w:usb0="800002E7" w:usb1="2AC7FCFF" w:usb2="00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AD017" w14:textId="77777777" w:rsidR="004A1670" w:rsidRDefault="004A1670" w:rsidP="00BD3F66">
    <w:pPr>
      <w:pStyle w:val="BodyText3"/>
      <w:framePr w:wrap="none" w:vAnchor="text" w:hAnchor="margin" w:xAlign="right" w:y="1"/>
    </w:pPr>
    <w:r>
      <w:fldChar w:fldCharType="begin"/>
    </w:r>
    <w:r>
      <w:instrText xml:space="preserve">PAGE  </w:instrText>
    </w:r>
    <w:r>
      <w:fldChar w:fldCharType="end"/>
    </w:r>
  </w:p>
  <w:p w14:paraId="70D2343C" w14:textId="77777777" w:rsidR="004A1670" w:rsidRDefault="004A1670" w:rsidP="000A0394">
    <w:pPr>
      <w:pStyle w:val="BodyText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4C525" w14:textId="1E58CE74" w:rsidR="004A1670" w:rsidRDefault="004A1670" w:rsidP="00BD3F66">
    <w:pPr>
      <w:pStyle w:val="BodyText3"/>
      <w:framePr w:wrap="none" w:vAnchor="text" w:hAnchor="margin" w:xAlign="right" w:y="1"/>
    </w:pPr>
    <w:r>
      <w:fldChar w:fldCharType="begin"/>
    </w:r>
    <w:r>
      <w:instrText xml:space="preserve">PAGE  </w:instrText>
    </w:r>
    <w:r>
      <w:fldChar w:fldCharType="separate"/>
    </w:r>
    <w:r w:rsidR="00007621">
      <w:rPr>
        <w:noProof/>
      </w:rPr>
      <w:t>24</w:t>
    </w:r>
    <w:r>
      <w:fldChar w:fldCharType="end"/>
    </w:r>
  </w:p>
  <w:p w14:paraId="2D9D2302" w14:textId="44CF08F9" w:rsidR="004A1670" w:rsidRDefault="004A1670" w:rsidP="00CF5C25">
    <w:pPr>
      <w:pStyle w:val="BodyText3"/>
      <w:ind w:left="360"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AB7F0" w14:textId="77777777" w:rsidR="00B44702" w:rsidRDefault="00B44702">
      <w:r>
        <w:separator/>
      </w:r>
    </w:p>
  </w:footnote>
  <w:footnote w:type="continuationSeparator" w:id="0">
    <w:p w14:paraId="3B88A9DD" w14:textId="77777777" w:rsidR="00B44702" w:rsidRDefault="00B447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B7466" w14:textId="6294DE0C" w:rsidR="004A1670" w:rsidRPr="00F379A2" w:rsidRDefault="004A1670" w:rsidP="00F379A2">
    <w:pPr>
      <w:pStyle w:val="Footer"/>
    </w:pPr>
    <w:r w:rsidRPr="1127D7C3">
      <w:rPr>
        <w:lang w:val="en-GB"/>
      </w:rPr>
      <w:t xml:space="preserve">EXAMINING CHILDREN WITH AND WITHOUT </w:t>
    </w:r>
    <w:r>
      <w:t xml:space="preserve">SECTION </w:t>
    </w:r>
    <w:r w:rsidRPr="1127D7C3">
      <w:rPr>
        <w:lang w:val="en-GB"/>
      </w:rPr>
      <w:t>28 REFORMS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38D84" w14:textId="23FDCE0D" w:rsidR="004A1670" w:rsidRPr="00E625CD" w:rsidRDefault="004A1670" w:rsidP="1127D7C3">
    <w:pPr>
      <w:pStyle w:val="Footer"/>
      <w:rPr>
        <w:lang w:val="en-GB"/>
      </w:rPr>
    </w:pPr>
    <w:r w:rsidRPr="1127D7C3">
      <w:rPr>
        <w:lang w:val="en-GB"/>
      </w:rPr>
      <w:t>Running head: EXAMINING CHILDREN WITH AND WITHOUT SECTION 28 REFORMS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83A79"/>
    <w:multiLevelType w:val="hybridMultilevel"/>
    <w:tmpl w:val="F152594E"/>
    <w:lvl w:ilvl="0" w:tplc="0EF884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8C1E4F"/>
    <w:multiLevelType w:val="hybridMultilevel"/>
    <w:tmpl w:val="9EDE2C62"/>
    <w:lvl w:ilvl="0" w:tplc="1B341EBE">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C86E19"/>
    <w:multiLevelType w:val="hybridMultilevel"/>
    <w:tmpl w:val="F152594E"/>
    <w:lvl w:ilvl="0" w:tplc="0EF884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5A62D7A"/>
    <w:multiLevelType w:val="hybridMultilevel"/>
    <w:tmpl w:val="F152594E"/>
    <w:lvl w:ilvl="0" w:tplc="0EF884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A130FA4"/>
    <w:multiLevelType w:val="multilevel"/>
    <w:tmpl w:val="9018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42592B"/>
    <w:multiLevelType w:val="hybridMultilevel"/>
    <w:tmpl w:val="37D8CA92"/>
    <w:lvl w:ilvl="0" w:tplc="274A9AC0">
      <w:start w:val="9"/>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0D5CED"/>
    <w:multiLevelType w:val="hybridMultilevel"/>
    <w:tmpl w:val="8F680286"/>
    <w:lvl w:ilvl="0" w:tplc="89F893E0">
      <w:start w:val="1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6A31BB"/>
    <w:multiLevelType w:val="hybridMultilevel"/>
    <w:tmpl w:val="B77C91B8"/>
    <w:lvl w:ilvl="0" w:tplc="1D464850">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541D27"/>
    <w:multiLevelType w:val="hybridMultilevel"/>
    <w:tmpl w:val="F152594E"/>
    <w:lvl w:ilvl="0" w:tplc="0EF884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5D238B5"/>
    <w:multiLevelType w:val="hybridMultilevel"/>
    <w:tmpl w:val="EDF0AF48"/>
    <w:lvl w:ilvl="0" w:tplc="2168D3F4">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F7ACA"/>
    <w:multiLevelType w:val="hybridMultilevel"/>
    <w:tmpl w:val="0E54180E"/>
    <w:lvl w:ilvl="0" w:tplc="E6141E3A">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9"/>
  </w:num>
  <w:num w:numId="5">
    <w:abstractNumId w:val="5"/>
  </w:num>
  <w:num w:numId="6">
    <w:abstractNumId w:val="3"/>
  </w:num>
  <w:num w:numId="7">
    <w:abstractNumId w:val="7"/>
  </w:num>
  <w:num w:numId="8">
    <w:abstractNumId w:val="0"/>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C6D"/>
    <w:rsid w:val="0000071E"/>
    <w:rsid w:val="00000B11"/>
    <w:rsid w:val="00000B41"/>
    <w:rsid w:val="00000CAC"/>
    <w:rsid w:val="00001942"/>
    <w:rsid w:val="00001EC3"/>
    <w:rsid w:val="000027F7"/>
    <w:rsid w:val="00002CCD"/>
    <w:rsid w:val="00003C59"/>
    <w:rsid w:val="0000414D"/>
    <w:rsid w:val="00004FDC"/>
    <w:rsid w:val="000050A3"/>
    <w:rsid w:val="000062C4"/>
    <w:rsid w:val="00006336"/>
    <w:rsid w:val="00006A2B"/>
    <w:rsid w:val="00007621"/>
    <w:rsid w:val="00007BF7"/>
    <w:rsid w:val="00007E91"/>
    <w:rsid w:val="000106C9"/>
    <w:rsid w:val="00010C1B"/>
    <w:rsid w:val="00012BEB"/>
    <w:rsid w:val="00012CB1"/>
    <w:rsid w:val="000141D0"/>
    <w:rsid w:val="00015799"/>
    <w:rsid w:val="000159D6"/>
    <w:rsid w:val="00015F6D"/>
    <w:rsid w:val="000168B5"/>
    <w:rsid w:val="00017BB5"/>
    <w:rsid w:val="000203DE"/>
    <w:rsid w:val="00020A4A"/>
    <w:rsid w:val="00021FE9"/>
    <w:rsid w:val="0002237A"/>
    <w:rsid w:val="0002263F"/>
    <w:rsid w:val="0002264F"/>
    <w:rsid w:val="00023123"/>
    <w:rsid w:val="000234DA"/>
    <w:rsid w:val="00023929"/>
    <w:rsid w:val="000247A0"/>
    <w:rsid w:val="00024B5E"/>
    <w:rsid w:val="000251C0"/>
    <w:rsid w:val="00025E87"/>
    <w:rsid w:val="000267FD"/>
    <w:rsid w:val="000270E5"/>
    <w:rsid w:val="00027AB6"/>
    <w:rsid w:val="0003013C"/>
    <w:rsid w:val="0003160F"/>
    <w:rsid w:val="00031CDA"/>
    <w:rsid w:val="00032642"/>
    <w:rsid w:val="00032768"/>
    <w:rsid w:val="00032EE0"/>
    <w:rsid w:val="00033D6F"/>
    <w:rsid w:val="00034E34"/>
    <w:rsid w:val="00034FF4"/>
    <w:rsid w:val="00035283"/>
    <w:rsid w:val="000365C0"/>
    <w:rsid w:val="000375F3"/>
    <w:rsid w:val="00040502"/>
    <w:rsid w:val="00041AC2"/>
    <w:rsid w:val="00042080"/>
    <w:rsid w:val="000421EA"/>
    <w:rsid w:val="00042BC3"/>
    <w:rsid w:val="00043940"/>
    <w:rsid w:val="0004468C"/>
    <w:rsid w:val="00044A2E"/>
    <w:rsid w:val="00044B1D"/>
    <w:rsid w:val="00045396"/>
    <w:rsid w:val="0004583E"/>
    <w:rsid w:val="00046161"/>
    <w:rsid w:val="0004663D"/>
    <w:rsid w:val="0004707A"/>
    <w:rsid w:val="0004766D"/>
    <w:rsid w:val="00047A82"/>
    <w:rsid w:val="00047DDA"/>
    <w:rsid w:val="000510F0"/>
    <w:rsid w:val="0005196D"/>
    <w:rsid w:val="000528C1"/>
    <w:rsid w:val="00052DF9"/>
    <w:rsid w:val="00053493"/>
    <w:rsid w:val="00053ED5"/>
    <w:rsid w:val="00054184"/>
    <w:rsid w:val="000571AB"/>
    <w:rsid w:val="00057381"/>
    <w:rsid w:val="000576A6"/>
    <w:rsid w:val="00061395"/>
    <w:rsid w:val="00061D88"/>
    <w:rsid w:val="00062D90"/>
    <w:rsid w:val="00063387"/>
    <w:rsid w:val="000633A8"/>
    <w:rsid w:val="00064DA4"/>
    <w:rsid w:val="000651FF"/>
    <w:rsid w:val="0006552C"/>
    <w:rsid w:val="0006585D"/>
    <w:rsid w:val="00065A90"/>
    <w:rsid w:val="00066178"/>
    <w:rsid w:val="00066D05"/>
    <w:rsid w:val="000706E7"/>
    <w:rsid w:val="00071474"/>
    <w:rsid w:val="00073775"/>
    <w:rsid w:val="0007472B"/>
    <w:rsid w:val="00076C90"/>
    <w:rsid w:val="0007705C"/>
    <w:rsid w:val="000774EA"/>
    <w:rsid w:val="00080908"/>
    <w:rsid w:val="00080AB3"/>
    <w:rsid w:val="00081BB9"/>
    <w:rsid w:val="00082A7A"/>
    <w:rsid w:val="000833FF"/>
    <w:rsid w:val="00083BDA"/>
    <w:rsid w:val="000849ED"/>
    <w:rsid w:val="000858CB"/>
    <w:rsid w:val="00085A1A"/>
    <w:rsid w:val="00085BFA"/>
    <w:rsid w:val="00086ED9"/>
    <w:rsid w:val="00090AD7"/>
    <w:rsid w:val="000911EE"/>
    <w:rsid w:val="0009123F"/>
    <w:rsid w:val="00091B71"/>
    <w:rsid w:val="0009510F"/>
    <w:rsid w:val="00095C0F"/>
    <w:rsid w:val="00095D48"/>
    <w:rsid w:val="000973AD"/>
    <w:rsid w:val="000A0394"/>
    <w:rsid w:val="000A03C9"/>
    <w:rsid w:val="000A14A2"/>
    <w:rsid w:val="000A1C7D"/>
    <w:rsid w:val="000A237B"/>
    <w:rsid w:val="000A2694"/>
    <w:rsid w:val="000A2A66"/>
    <w:rsid w:val="000A2D59"/>
    <w:rsid w:val="000A3EE1"/>
    <w:rsid w:val="000A45E7"/>
    <w:rsid w:val="000A529B"/>
    <w:rsid w:val="000A662C"/>
    <w:rsid w:val="000A6901"/>
    <w:rsid w:val="000A69A9"/>
    <w:rsid w:val="000A7258"/>
    <w:rsid w:val="000B1167"/>
    <w:rsid w:val="000B134D"/>
    <w:rsid w:val="000B303F"/>
    <w:rsid w:val="000B36EF"/>
    <w:rsid w:val="000B384F"/>
    <w:rsid w:val="000B3B63"/>
    <w:rsid w:val="000B4036"/>
    <w:rsid w:val="000B4BDD"/>
    <w:rsid w:val="000B5ECF"/>
    <w:rsid w:val="000B619D"/>
    <w:rsid w:val="000B6F58"/>
    <w:rsid w:val="000B74D7"/>
    <w:rsid w:val="000C0297"/>
    <w:rsid w:val="000C17CB"/>
    <w:rsid w:val="000C2CA9"/>
    <w:rsid w:val="000C339D"/>
    <w:rsid w:val="000C4F15"/>
    <w:rsid w:val="000C68CA"/>
    <w:rsid w:val="000C7222"/>
    <w:rsid w:val="000D41B8"/>
    <w:rsid w:val="000D6E96"/>
    <w:rsid w:val="000D7B0E"/>
    <w:rsid w:val="000E00D8"/>
    <w:rsid w:val="000E0A48"/>
    <w:rsid w:val="000E0C40"/>
    <w:rsid w:val="000E106B"/>
    <w:rsid w:val="000E227F"/>
    <w:rsid w:val="000E39F1"/>
    <w:rsid w:val="000E416E"/>
    <w:rsid w:val="000E7131"/>
    <w:rsid w:val="000F032B"/>
    <w:rsid w:val="000F08CC"/>
    <w:rsid w:val="000F0EA2"/>
    <w:rsid w:val="000F12EE"/>
    <w:rsid w:val="000F2328"/>
    <w:rsid w:val="000F35EF"/>
    <w:rsid w:val="000F46A8"/>
    <w:rsid w:val="000F51C6"/>
    <w:rsid w:val="000F5B48"/>
    <w:rsid w:val="000F64A2"/>
    <w:rsid w:val="00100FB2"/>
    <w:rsid w:val="001020C5"/>
    <w:rsid w:val="001035B6"/>
    <w:rsid w:val="00103F36"/>
    <w:rsid w:val="00105588"/>
    <w:rsid w:val="0010642A"/>
    <w:rsid w:val="001100EA"/>
    <w:rsid w:val="00110AC3"/>
    <w:rsid w:val="00110D9B"/>
    <w:rsid w:val="0011313A"/>
    <w:rsid w:val="00113400"/>
    <w:rsid w:val="00114398"/>
    <w:rsid w:val="0011620A"/>
    <w:rsid w:val="00125DA3"/>
    <w:rsid w:val="00126FFF"/>
    <w:rsid w:val="00127A1D"/>
    <w:rsid w:val="00127D2D"/>
    <w:rsid w:val="00130DA7"/>
    <w:rsid w:val="0013160D"/>
    <w:rsid w:val="001367AD"/>
    <w:rsid w:val="0013691F"/>
    <w:rsid w:val="0013699C"/>
    <w:rsid w:val="001373BA"/>
    <w:rsid w:val="001373FC"/>
    <w:rsid w:val="0013750B"/>
    <w:rsid w:val="001376D7"/>
    <w:rsid w:val="001405CD"/>
    <w:rsid w:val="001415B6"/>
    <w:rsid w:val="00143BB6"/>
    <w:rsid w:val="00150235"/>
    <w:rsid w:val="001505D5"/>
    <w:rsid w:val="00151684"/>
    <w:rsid w:val="00151928"/>
    <w:rsid w:val="0015230B"/>
    <w:rsid w:val="0015417D"/>
    <w:rsid w:val="00154252"/>
    <w:rsid w:val="001551D6"/>
    <w:rsid w:val="00155865"/>
    <w:rsid w:val="00155916"/>
    <w:rsid w:val="00155DB8"/>
    <w:rsid w:val="00160158"/>
    <w:rsid w:val="00160174"/>
    <w:rsid w:val="00160211"/>
    <w:rsid w:val="00160B67"/>
    <w:rsid w:val="00160DB5"/>
    <w:rsid w:val="001616A6"/>
    <w:rsid w:val="00161D0A"/>
    <w:rsid w:val="00161FFC"/>
    <w:rsid w:val="00163193"/>
    <w:rsid w:val="00163EF1"/>
    <w:rsid w:val="0016500E"/>
    <w:rsid w:val="0016613E"/>
    <w:rsid w:val="00166446"/>
    <w:rsid w:val="00167069"/>
    <w:rsid w:val="001700B6"/>
    <w:rsid w:val="00171223"/>
    <w:rsid w:val="001719DE"/>
    <w:rsid w:val="0017201B"/>
    <w:rsid w:val="00172466"/>
    <w:rsid w:val="00172C01"/>
    <w:rsid w:val="001745CB"/>
    <w:rsid w:val="00175191"/>
    <w:rsid w:val="001761BB"/>
    <w:rsid w:val="00176A70"/>
    <w:rsid w:val="00176B6F"/>
    <w:rsid w:val="001770AF"/>
    <w:rsid w:val="00177C9A"/>
    <w:rsid w:val="00180ED9"/>
    <w:rsid w:val="00182DC1"/>
    <w:rsid w:val="0018302F"/>
    <w:rsid w:val="00185EFF"/>
    <w:rsid w:val="00186C5C"/>
    <w:rsid w:val="0018723D"/>
    <w:rsid w:val="00190C21"/>
    <w:rsid w:val="001912C7"/>
    <w:rsid w:val="00191B93"/>
    <w:rsid w:val="00192FC9"/>
    <w:rsid w:val="0019328D"/>
    <w:rsid w:val="0019337B"/>
    <w:rsid w:val="001946F1"/>
    <w:rsid w:val="0019684F"/>
    <w:rsid w:val="00197214"/>
    <w:rsid w:val="00197BC1"/>
    <w:rsid w:val="001A1A6D"/>
    <w:rsid w:val="001A2394"/>
    <w:rsid w:val="001A3205"/>
    <w:rsid w:val="001A3B62"/>
    <w:rsid w:val="001A59ED"/>
    <w:rsid w:val="001A5B0F"/>
    <w:rsid w:val="001A6578"/>
    <w:rsid w:val="001B0088"/>
    <w:rsid w:val="001B109F"/>
    <w:rsid w:val="001B14C1"/>
    <w:rsid w:val="001B1578"/>
    <w:rsid w:val="001B1EB5"/>
    <w:rsid w:val="001B1F53"/>
    <w:rsid w:val="001B2509"/>
    <w:rsid w:val="001B2AB0"/>
    <w:rsid w:val="001B3D02"/>
    <w:rsid w:val="001B434E"/>
    <w:rsid w:val="001B44BB"/>
    <w:rsid w:val="001B56FC"/>
    <w:rsid w:val="001B586C"/>
    <w:rsid w:val="001B5EAC"/>
    <w:rsid w:val="001B61B0"/>
    <w:rsid w:val="001B6596"/>
    <w:rsid w:val="001B76E7"/>
    <w:rsid w:val="001B79BE"/>
    <w:rsid w:val="001B7C3D"/>
    <w:rsid w:val="001C0AC3"/>
    <w:rsid w:val="001C0C4F"/>
    <w:rsid w:val="001C1216"/>
    <w:rsid w:val="001C273C"/>
    <w:rsid w:val="001C3A89"/>
    <w:rsid w:val="001C4F46"/>
    <w:rsid w:val="001C58DC"/>
    <w:rsid w:val="001C5AD7"/>
    <w:rsid w:val="001C5B1B"/>
    <w:rsid w:val="001C644A"/>
    <w:rsid w:val="001C6E9C"/>
    <w:rsid w:val="001C71EC"/>
    <w:rsid w:val="001D2A7A"/>
    <w:rsid w:val="001D2CA9"/>
    <w:rsid w:val="001D2F25"/>
    <w:rsid w:val="001D3B94"/>
    <w:rsid w:val="001D498D"/>
    <w:rsid w:val="001D4AC0"/>
    <w:rsid w:val="001D626A"/>
    <w:rsid w:val="001D6982"/>
    <w:rsid w:val="001D73A3"/>
    <w:rsid w:val="001D7530"/>
    <w:rsid w:val="001E0869"/>
    <w:rsid w:val="001E0B3E"/>
    <w:rsid w:val="001E16CC"/>
    <w:rsid w:val="001E1968"/>
    <w:rsid w:val="001E250C"/>
    <w:rsid w:val="001E29FE"/>
    <w:rsid w:val="001E486C"/>
    <w:rsid w:val="001E52AA"/>
    <w:rsid w:val="001E5955"/>
    <w:rsid w:val="001E5CE0"/>
    <w:rsid w:val="001E5D47"/>
    <w:rsid w:val="001E70BD"/>
    <w:rsid w:val="001E7229"/>
    <w:rsid w:val="001E7803"/>
    <w:rsid w:val="001F0380"/>
    <w:rsid w:val="001F0CE0"/>
    <w:rsid w:val="001F1752"/>
    <w:rsid w:val="001F17C8"/>
    <w:rsid w:val="001F203B"/>
    <w:rsid w:val="001F51E3"/>
    <w:rsid w:val="001F5778"/>
    <w:rsid w:val="001F6104"/>
    <w:rsid w:val="001F6F5A"/>
    <w:rsid w:val="001F7418"/>
    <w:rsid w:val="001F77DB"/>
    <w:rsid w:val="00200C60"/>
    <w:rsid w:val="00201DF1"/>
    <w:rsid w:val="002023CD"/>
    <w:rsid w:val="002030F4"/>
    <w:rsid w:val="00203439"/>
    <w:rsid w:val="00205A22"/>
    <w:rsid w:val="00207B1D"/>
    <w:rsid w:val="00207CC7"/>
    <w:rsid w:val="002104BB"/>
    <w:rsid w:val="002117C8"/>
    <w:rsid w:val="00211E50"/>
    <w:rsid w:val="00212D64"/>
    <w:rsid w:val="0021400E"/>
    <w:rsid w:val="00214215"/>
    <w:rsid w:val="00214241"/>
    <w:rsid w:val="00214402"/>
    <w:rsid w:val="00215C40"/>
    <w:rsid w:val="002160F0"/>
    <w:rsid w:val="00216A28"/>
    <w:rsid w:val="002174D0"/>
    <w:rsid w:val="002201CA"/>
    <w:rsid w:val="00220B3F"/>
    <w:rsid w:val="00221A30"/>
    <w:rsid w:val="00221FEE"/>
    <w:rsid w:val="002235E8"/>
    <w:rsid w:val="00224B32"/>
    <w:rsid w:val="00225368"/>
    <w:rsid w:val="0022539D"/>
    <w:rsid w:val="002254D6"/>
    <w:rsid w:val="0022591B"/>
    <w:rsid w:val="00226700"/>
    <w:rsid w:val="002272C7"/>
    <w:rsid w:val="002305D9"/>
    <w:rsid w:val="0023086D"/>
    <w:rsid w:val="00231B88"/>
    <w:rsid w:val="00232451"/>
    <w:rsid w:val="002325AC"/>
    <w:rsid w:val="00232B6B"/>
    <w:rsid w:val="00233B7B"/>
    <w:rsid w:val="002343CA"/>
    <w:rsid w:val="002348E9"/>
    <w:rsid w:val="00237132"/>
    <w:rsid w:val="00237259"/>
    <w:rsid w:val="002375C6"/>
    <w:rsid w:val="0023770A"/>
    <w:rsid w:val="0024099F"/>
    <w:rsid w:val="002435F1"/>
    <w:rsid w:val="0024363E"/>
    <w:rsid w:val="00243E22"/>
    <w:rsid w:val="00244264"/>
    <w:rsid w:val="00244351"/>
    <w:rsid w:val="00244393"/>
    <w:rsid w:val="00244869"/>
    <w:rsid w:val="00244D51"/>
    <w:rsid w:val="00245366"/>
    <w:rsid w:val="002457C9"/>
    <w:rsid w:val="00246135"/>
    <w:rsid w:val="00246415"/>
    <w:rsid w:val="002464BD"/>
    <w:rsid w:val="002468DA"/>
    <w:rsid w:val="00247836"/>
    <w:rsid w:val="00247C47"/>
    <w:rsid w:val="00247EF4"/>
    <w:rsid w:val="00247EFE"/>
    <w:rsid w:val="002505BF"/>
    <w:rsid w:val="00250DCE"/>
    <w:rsid w:val="00251347"/>
    <w:rsid w:val="0025180F"/>
    <w:rsid w:val="00251FD0"/>
    <w:rsid w:val="00252E33"/>
    <w:rsid w:val="00252FEB"/>
    <w:rsid w:val="00253125"/>
    <w:rsid w:val="002539EB"/>
    <w:rsid w:val="002552FD"/>
    <w:rsid w:val="002555F7"/>
    <w:rsid w:val="00255F18"/>
    <w:rsid w:val="002608DB"/>
    <w:rsid w:val="00260F8F"/>
    <w:rsid w:val="00261584"/>
    <w:rsid w:val="00261A92"/>
    <w:rsid w:val="00261BDD"/>
    <w:rsid w:val="00262951"/>
    <w:rsid w:val="002636C0"/>
    <w:rsid w:val="002636EB"/>
    <w:rsid w:val="002640FF"/>
    <w:rsid w:val="002653F7"/>
    <w:rsid w:val="002656D4"/>
    <w:rsid w:val="002659CD"/>
    <w:rsid w:val="00267491"/>
    <w:rsid w:val="002708F8"/>
    <w:rsid w:val="002717BB"/>
    <w:rsid w:val="002736FF"/>
    <w:rsid w:val="002737DB"/>
    <w:rsid w:val="00275EE5"/>
    <w:rsid w:val="0027629B"/>
    <w:rsid w:val="0027642D"/>
    <w:rsid w:val="00276CE9"/>
    <w:rsid w:val="00276D5B"/>
    <w:rsid w:val="00277B33"/>
    <w:rsid w:val="0028153A"/>
    <w:rsid w:val="0028204B"/>
    <w:rsid w:val="002829A0"/>
    <w:rsid w:val="00282B86"/>
    <w:rsid w:val="002831D6"/>
    <w:rsid w:val="002838F9"/>
    <w:rsid w:val="00284A3F"/>
    <w:rsid w:val="00284BF3"/>
    <w:rsid w:val="00284C61"/>
    <w:rsid w:val="002876E9"/>
    <w:rsid w:val="00287D1C"/>
    <w:rsid w:val="00287DF5"/>
    <w:rsid w:val="002905AE"/>
    <w:rsid w:val="00290A54"/>
    <w:rsid w:val="00293571"/>
    <w:rsid w:val="00293A1B"/>
    <w:rsid w:val="002968B0"/>
    <w:rsid w:val="00297917"/>
    <w:rsid w:val="0029797A"/>
    <w:rsid w:val="00297E11"/>
    <w:rsid w:val="002A0221"/>
    <w:rsid w:val="002A023C"/>
    <w:rsid w:val="002A06B6"/>
    <w:rsid w:val="002A2E06"/>
    <w:rsid w:val="002A2F6A"/>
    <w:rsid w:val="002A4075"/>
    <w:rsid w:val="002A4885"/>
    <w:rsid w:val="002A53AD"/>
    <w:rsid w:val="002A5D53"/>
    <w:rsid w:val="002A5E9B"/>
    <w:rsid w:val="002A6188"/>
    <w:rsid w:val="002A72FF"/>
    <w:rsid w:val="002A757B"/>
    <w:rsid w:val="002A7A87"/>
    <w:rsid w:val="002B0C21"/>
    <w:rsid w:val="002B13CB"/>
    <w:rsid w:val="002B172A"/>
    <w:rsid w:val="002B24EE"/>
    <w:rsid w:val="002B45D5"/>
    <w:rsid w:val="002B57BB"/>
    <w:rsid w:val="002B5AAD"/>
    <w:rsid w:val="002B6346"/>
    <w:rsid w:val="002B70F2"/>
    <w:rsid w:val="002B71EA"/>
    <w:rsid w:val="002B782E"/>
    <w:rsid w:val="002C0837"/>
    <w:rsid w:val="002C28FB"/>
    <w:rsid w:val="002C30AB"/>
    <w:rsid w:val="002C35F6"/>
    <w:rsid w:val="002C409C"/>
    <w:rsid w:val="002C4ABE"/>
    <w:rsid w:val="002C5C37"/>
    <w:rsid w:val="002C686C"/>
    <w:rsid w:val="002D0C12"/>
    <w:rsid w:val="002D14BD"/>
    <w:rsid w:val="002D1528"/>
    <w:rsid w:val="002D1620"/>
    <w:rsid w:val="002D4615"/>
    <w:rsid w:val="002D5A13"/>
    <w:rsid w:val="002D63D1"/>
    <w:rsid w:val="002D78DD"/>
    <w:rsid w:val="002D7E40"/>
    <w:rsid w:val="002D7FD3"/>
    <w:rsid w:val="002E16B0"/>
    <w:rsid w:val="002E18DB"/>
    <w:rsid w:val="002E2328"/>
    <w:rsid w:val="002E25EB"/>
    <w:rsid w:val="002E3EAF"/>
    <w:rsid w:val="002E5FE5"/>
    <w:rsid w:val="002E70B1"/>
    <w:rsid w:val="002E7629"/>
    <w:rsid w:val="002E7AC1"/>
    <w:rsid w:val="002F00C3"/>
    <w:rsid w:val="002F00EA"/>
    <w:rsid w:val="002F07B4"/>
    <w:rsid w:val="002F246C"/>
    <w:rsid w:val="002F2D25"/>
    <w:rsid w:val="002F4C33"/>
    <w:rsid w:val="002F5490"/>
    <w:rsid w:val="002F5CFF"/>
    <w:rsid w:val="002F60EA"/>
    <w:rsid w:val="002F649F"/>
    <w:rsid w:val="002F6BB5"/>
    <w:rsid w:val="0030013C"/>
    <w:rsid w:val="00300797"/>
    <w:rsid w:val="003015DA"/>
    <w:rsid w:val="00301B42"/>
    <w:rsid w:val="00307B77"/>
    <w:rsid w:val="00310C3D"/>
    <w:rsid w:val="0031117D"/>
    <w:rsid w:val="003112DF"/>
    <w:rsid w:val="00311F99"/>
    <w:rsid w:val="00312ACA"/>
    <w:rsid w:val="003137F2"/>
    <w:rsid w:val="00314BCF"/>
    <w:rsid w:val="00316A09"/>
    <w:rsid w:val="00316B89"/>
    <w:rsid w:val="003176F9"/>
    <w:rsid w:val="00317EEB"/>
    <w:rsid w:val="0032143B"/>
    <w:rsid w:val="003214E0"/>
    <w:rsid w:val="003215FD"/>
    <w:rsid w:val="00321671"/>
    <w:rsid w:val="00321734"/>
    <w:rsid w:val="00321C79"/>
    <w:rsid w:val="00323548"/>
    <w:rsid w:val="00324577"/>
    <w:rsid w:val="00325072"/>
    <w:rsid w:val="00325762"/>
    <w:rsid w:val="00326353"/>
    <w:rsid w:val="00327655"/>
    <w:rsid w:val="00327D6D"/>
    <w:rsid w:val="003302B4"/>
    <w:rsid w:val="0033061E"/>
    <w:rsid w:val="0033090E"/>
    <w:rsid w:val="00331997"/>
    <w:rsid w:val="0033288E"/>
    <w:rsid w:val="003328C2"/>
    <w:rsid w:val="00332E83"/>
    <w:rsid w:val="00333503"/>
    <w:rsid w:val="00333A8C"/>
    <w:rsid w:val="00334493"/>
    <w:rsid w:val="00334E3D"/>
    <w:rsid w:val="0033546C"/>
    <w:rsid w:val="003358BC"/>
    <w:rsid w:val="00336CED"/>
    <w:rsid w:val="003370AF"/>
    <w:rsid w:val="00337DA5"/>
    <w:rsid w:val="00341546"/>
    <w:rsid w:val="0034284A"/>
    <w:rsid w:val="003438A3"/>
    <w:rsid w:val="00343B61"/>
    <w:rsid w:val="003445A4"/>
    <w:rsid w:val="00351B6E"/>
    <w:rsid w:val="003523CC"/>
    <w:rsid w:val="0035294A"/>
    <w:rsid w:val="00354A78"/>
    <w:rsid w:val="00355AE4"/>
    <w:rsid w:val="00356582"/>
    <w:rsid w:val="003579F7"/>
    <w:rsid w:val="00357E8E"/>
    <w:rsid w:val="003604E8"/>
    <w:rsid w:val="00361448"/>
    <w:rsid w:val="0036170D"/>
    <w:rsid w:val="003633D8"/>
    <w:rsid w:val="003635C5"/>
    <w:rsid w:val="00363C60"/>
    <w:rsid w:val="00363F7F"/>
    <w:rsid w:val="00364D41"/>
    <w:rsid w:val="003650CE"/>
    <w:rsid w:val="0036548C"/>
    <w:rsid w:val="0036614B"/>
    <w:rsid w:val="00366398"/>
    <w:rsid w:val="00366A03"/>
    <w:rsid w:val="00366FBE"/>
    <w:rsid w:val="003677F4"/>
    <w:rsid w:val="00370B93"/>
    <w:rsid w:val="00372639"/>
    <w:rsid w:val="00373A14"/>
    <w:rsid w:val="00373B7C"/>
    <w:rsid w:val="00373C96"/>
    <w:rsid w:val="0037494A"/>
    <w:rsid w:val="003762F7"/>
    <w:rsid w:val="003768DC"/>
    <w:rsid w:val="00376F2C"/>
    <w:rsid w:val="00377DA6"/>
    <w:rsid w:val="003807E7"/>
    <w:rsid w:val="00380815"/>
    <w:rsid w:val="00381BE4"/>
    <w:rsid w:val="00382757"/>
    <w:rsid w:val="00382D53"/>
    <w:rsid w:val="0038331C"/>
    <w:rsid w:val="00383787"/>
    <w:rsid w:val="00383C0A"/>
    <w:rsid w:val="0038422A"/>
    <w:rsid w:val="0038569F"/>
    <w:rsid w:val="003856E2"/>
    <w:rsid w:val="00385D3F"/>
    <w:rsid w:val="003860DA"/>
    <w:rsid w:val="003867C2"/>
    <w:rsid w:val="00390B34"/>
    <w:rsid w:val="003923C3"/>
    <w:rsid w:val="00393644"/>
    <w:rsid w:val="003936B6"/>
    <w:rsid w:val="0039371B"/>
    <w:rsid w:val="00394536"/>
    <w:rsid w:val="00394874"/>
    <w:rsid w:val="003948A0"/>
    <w:rsid w:val="003959B5"/>
    <w:rsid w:val="00395E3A"/>
    <w:rsid w:val="00396F37"/>
    <w:rsid w:val="003A073A"/>
    <w:rsid w:val="003A1492"/>
    <w:rsid w:val="003A1C55"/>
    <w:rsid w:val="003A1F18"/>
    <w:rsid w:val="003A2E2C"/>
    <w:rsid w:val="003A2FBF"/>
    <w:rsid w:val="003A3A3C"/>
    <w:rsid w:val="003A6A91"/>
    <w:rsid w:val="003B03FF"/>
    <w:rsid w:val="003B0CFF"/>
    <w:rsid w:val="003B0F28"/>
    <w:rsid w:val="003B1139"/>
    <w:rsid w:val="003B2F9B"/>
    <w:rsid w:val="003B32F1"/>
    <w:rsid w:val="003B3834"/>
    <w:rsid w:val="003B3DC6"/>
    <w:rsid w:val="003B51F3"/>
    <w:rsid w:val="003B5F1E"/>
    <w:rsid w:val="003B7288"/>
    <w:rsid w:val="003B7AB6"/>
    <w:rsid w:val="003B7C4F"/>
    <w:rsid w:val="003C0300"/>
    <w:rsid w:val="003C060F"/>
    <w:rsid w:val="003C0D33"/>
    <w:rsid w:val="003C2B6B"/>
    <w:rsid w:val="003C31C0"/>
    <w:rsid w:val="003C3E1F"/>
    <w:rsid w:val="003C3F53"/>
    <w:rsid w:val="003C4146"/>
    <w:rsid w:val="003C42AC"/>
    <w:rsid w:val="003C5113"/>
    <w:rsid w:val="003C5290"/>
    <w:rsid w:val="003C643B"/>
    <w:rsid w:val="003C763A"/>
    <w:rsid w:val="003C78BD"/>
    <w:rsid w:val="003D095C"/>
    <w:rsid w:val="003D285E"/>
    <w:rsid w:val="003D2A84"/>
    <w:rsid w:val="003D3721"/>
    <w:rsid w:val="003D440B"/>
    <w:rsid w:val="003D46A9"/>
    <w:rsid w:val="003D50BB"/>
    <w:rsid w:val="003D5777"/>
    <w:rsid w:val="003D635F"/>
    <w:rsid w:val="003D721D"/>
    <w:rsid w:val="003D7631"/>
    <w:rsid w:val="003E034A"/>
    <w:rsid w:val="003E110F"/>
    <w:rsid w:val="003E1530"/>
    <w:rsid w:val="003E1772"/>
    <w:rsid w:val="003E2217"/>
    <w:rsid w:val="003E2F08"/>
    <w:rsid w:val="003E3336"/>
    <w:rsid w:val="003E37BF"/>
    <w:rsid w:val="003E3D9E"/>
    <w:rsid w:val="003E4666"/>
    <w:rsid w:val="003E5974"/>
    <w:rsid w:val="003E5CEF"/>
    <w:rsid w:val="003E6D58"/>
    <w:rsid w:val="003E75DA"/>
    <w:rsid w:val="003F0D87"/>
    <w:rsid w:val="003F2906"/>
    <w:rsid w:val="003F2EB6"/>
    <w:rsid w:val="003F394A"/>
    <w:rsid w:val="003F4038"/>
    <w:rsid w:val="003F423C"/>
    <w:rsid w:val="003F5691"/>
    <w:rsid w:val="003F5FA3"/>
    <w:rsid w:val="003F5FBF"/>
    <w:rsid w:val="003F7220"/>
    <w:rsid w:val="003F7760"/>
    <w:rsid w:val="00400C7C"/>
    <w:rsid w:val="0040130E"/>
    <w:rsid w:val="004017BD"/>
    <w:rsid w:val="00402CAB"/>
    <w:rsid w:val="00402E8E"/>
    <w:rsid w:val="004038A0"/>
    <w:rsid w:val="00404621"/>
    <w:rsid w:val="004051DC"/>
    <w:rsid w:val="00405491"/>
    <w:rsid w:val="00405EC8"/>
    <w:rsid w:val="00406233"/>
    <w:rsid w:val="004065DF"/>
    <w:rsid w:val="0040715E"/>
    <w:rsid w:val="0040717E"/>
    <w:rsid w:val="004108F6"/>
    <w:rsid w:val="00411AA0"/>
    <w:rsid w:val="00411D85"/>
    <w:rsid w:val="00411E46"/>
    <w:rsid w:val="00412B0A"/>
    <w:rsid w:val="00412B56"/>
    <w:rsid w:val="00414C94"/>
    <w:rsid w:val="00415499"/>
    <w:rsid w:val="004158B5"/>
    <w:rsid w:val="004160B1"/>
    <w:rsid w:val="00416ED7"/>
    <w:rsid w:val="00417C4F"/>
    <w:rsid w:val="00417C5E"/>
    <w:rsid w:val="0042027A"/>
    <w:rsid w:val="00420D13"/>
    <w:rsid w:val="00422984"/>
    <w:rsid w:val="00423E01"/>
    <w:rsid w:val="00424493"/>
    <w:rsid w:val="004256AC"/>
    <w:rsid w:val="00425E9F"/>
    <w:rsid w:val="00426A7A"/>
    <w:rsid w:val="004277A0"/>
    <w:rsid w:val="00427931"/>
    <w:rsid w:val="00430B7F"/>
    <w:rsid w:val="00431419"/>
    <w:rsid w:val="00432502"/>
    <w:rsid w:val="0043342A"/>
    <w:rsid w:val="00434184"/>
    <w:rsid w:val="00434A24"/>
    <w:rsid w:val="0044086F"/>
    <w:rsid w:val="00441F6C"/>
    <w:rsid w:val="00442352"/>
    <w:rsid w:val="0044343E"/>
    <w:rsid w:val="00443943"/>
    <w:rsid w:val="00443A75"/>
    <w:rsid w:val="0044443C"/>
    <w:rsid w:val="004445C2"/>
    <w:rsid w:val="00445C31"/>
    <w:rsid w:val="00450012"/>
    <w:rsid w:val="00450356"/>
    <w:rsid w:val="0045068D"/>
    <w:rsid w:val="00450B26"/>
    <w:rsid w:val="004519F6"/>
    <w:rsid w:val="004532A2"/>
    <w:rsid w:val="0045348B"/>
    <w:rsid w:val="0045448C"/>
    <w:rsid w:val="004548A2"/>
    <w:rsid w:val="004550F2"/>
    <w:rsid w:val="00456B4F"/>
    <w:rsid w:val="00456D09"/>
    <w:rsid w:val="00457C8A"/>
    <w:rsid w:val="0046061B"/>
    <w:rsid w:val="004623F8"/>
    <w:rsid w:val="004626A0"/>
    <w:rsid w:val="004629F1"/>
    <w:rsid w:val="00462C89"/>
    <w:rsid w:val="00462D31"/>
    <w:rsid w:val="00464033"/>
    <w:rsid w:val="00464697"/>
    <w:rsid w:val="00465931"/>
    <w:rsid w:val="00465E78"/>
    <w:rsid w:val="00465ED4"/>
    <w:rsid w:val="00466359"/>
    <w:rsid w:val="004666DF"/>
    <w:rsid w:val="004668CC"/>
    <w:rsid w:val="00467262"/>
    <w:rsid w:val="0046741F"/>
    <w:rsid w:val="00467BCE"/>
    <w:rsid w:val="0047084A"/>
    <w:rsid w:val="0047089C"/>
    <w:rsid w:val="004714A0"/>
    <w:rsid w:val="00471DCE"/>
    <w:rsid w:val="00472060"/>
    <w:rsid w:val="004727D5"/>
    <w:rsid w:val="00472DBD"/>
    <w:rsid w:val="0047396D"/>
    <w:rsid w:val="00473D4C"/>
    <w:rsid w:val="00473E07"/>
    <w:rsid w:val="00474678"/>
    <w:rsid w:val="00474ECA"/>
    <w:rsid w:val="00476A0A"/>
    <w:rsid w:val="00477194"/>
    <w:rsid w:val="00477624"/>
    <w:rsid w:val="00477678"/>
    <w:rsid w:val="00477A28"/>
    <w:rsid w:val="004823F3"/>
    <w:rsid w:val="004828A4"/>
    <w:rsid w:val="00483954"/>
    <w:rsid w:val="004841B9"/>
    <w:rsid w:val="00484252"/>
    <w:rsid w:val="004843FB"/>
    <w:rsid w:val="00484EED"/>
    <w:rsid w:val="004857A6"/>
    <w:rsid w:val="00485863"/>
    <w:rsid w:val="00485DFD"/>
    <w:rsid w:val="004864E0"/>
    <w:rsid w:val="00486A86"/>
    <w:rsid w:val="00486BFE"/>
    <w:rsid w:val="004874CA"/>
    <w:rsid w:val="00490019"/>
    <w:rsid w:val="00491AEB"/>
    <w:rsid w:val="00494534"/>
    <w:rsid w:val="00495A6A"/>
    <w:rsid w:val="00496E26"/>
    <w:rsid w:val="00497285"/>
    <w:rsid w:val="004A0425"/>
    <w:rsid w:val="004A0699"/>
    <w:rsid w:val="004A06DE"/>
    <w:rsid w:val="004A1670"/>
    <w:rsid w:val="004A18B7"/>
    <w:rsid w:val="004A223E"/>
    <w:rsid w:val="004A2D8D"/>
    <w:rsid w:val="004A2EB9"/>
    <w:rsid w:val="004A3516"/>
    <w:rsid w:val="004A35C1"/>
    <w:rsid w:val="004A50BE"/>
    <w:rsid w:val="004A683C"/>
    <w:rsid w:val="004B0B52"/>
    <w:rsid w:val="004B28A0"/>
    <w:rsid w:val="004B341A"/>
    <w:rsid w:val="004B5449"/>
    <w:rsid w:val="004B66E2"/>
    <w:rsid w:val="004C22FA"/>
    <w:rsid w:val="004C278F"/>
    <w:rsid w:val="004C49AA"/>
    <w:rsid w:val="004C6E3E"/>
    <w:rsid w:val="004C7042"/>
    <w:rsid w:val="004D0804"/>
    <w:rsid w:val="004D09BD"/>
    <w:rsid w:val="004D1347"/>
    <w:rsid w:val="004D2967"/>
    <w:rsid w:val="004D2B14"/>
    <w:rsid w:val="004D3A87"/>
    <w:rsid w:val="004D3AAA"/>
    <w:rsid w:val="004D4199"/>
    <w:rsid w:val="004D44A3"/>
    <w:rsid w:val="004D4917"/>
    <w:rsid w:val="004D57CD"/>
    <w:rsid w:val="004D6228"/>
    <w:rsid w:val="004D691D"/>
    <w:rsid w:val="004D6A10"/>
    <w:rsid w:val="004D7975"/>
    <w:rsid w:val="004D7B7E"/>
    <w:rsid w:val="004E20F8"/>
    <w:rsid w:val="004E2B88"/>
    <w:rsid w:val="004E302F"/>
    <w:rsid w:val="004E499B"/>
    <w:rsid w:val="004E4C7E"/>
    <w:rsid w:val="004E58D6"/>
    <w:rsid w:val="004E5AA4"/>
    <w:rsid w:val="004E6EC0"/>
    <w:rsid w:val="004F0226"/>
    <w:rsid w:val="004F192C"/>
    <w:rsid w:val="004F2011"/>
    <w:rsid w:val="004F2167"/>
    <w:rsid w:val="004F2DA5"/>
    <w:rsid w:val="004F3B90"/>
    <w:rsid w:val="004F4E25"/>
    <w:rsid w:val="004F6906"/>
    <w:rsid w:val="004F6CD6"/>
    <w:rsid w:val="004F7352"/>
    <w:rsid w:val="004F7F75"/>
    <w:rsid w:val="005003E9"/>
    <w:rsid w:val="0050043F"/>
    <w:rsid w:val="0050122B"/>
    <w:rsid w:val="005020B6"/>
    <w:rsid w:val="00502107"/>
    <w:rsid w:val="00502AAA"/>
    <w:rsid w:val="00504BF6"/>
    <w:rsid w:val="00504E34"/>
    <w:rsid w:val="00505CFA"/>
    <w:rsid w:val="005067A5"/>
    <w:rsid w:val="00506AD0"/>
    <w:rsid w:val="00506BD9"/>
    <w:rsid w:val="00507D07"/>
    <w:rsid w:val="005105DA"/>
    <w:rsid w:val="00511479"/>
    <w:rsid w:val="00511C16"/>
    <w:rsid w:val="00512452"/>
    <w:rsid w:val="005128ED"/>
    <w:rsid w:val="0051389D"/>
    <w:rsid w:val="00513BAA"/>
    <w:rsid w:val="00515E42"/>
    <w:rsid w:val="00515E53"/>
    <w:rsid w:val="00516CA8"/>
    <w:rsid w:val="00517553"/>
    <w:rsid w:val="005200B7"/>
    <w:rsid w:val="00520561"/>
    <w:rsid w:val="00520AC1"/>
    <w:rsid w:val="00520BBB"/>
    <w:rsid w:val="00520BF7"/>
    <w:rsid w:val="00520F7B"/>
    <w:rsid w:val="00521614"/>
    <w:rsid w:val="00521747"/>
    <w:rsid w:val="00521DDA"/>
    <w:rsid w:val="00525836"/>
    <w:rsid w:val="00526026"/>
    <w:rsid w:val="00526559"/>
    <w:rsid w:val="00527EFA"/>
    <w:rsid w:val="0053028B"/>
    <w:rsid w:val="00531994"/>
    <w:rsid w:val="00531D27"/>
    <w:rsid w:val="00532651"/>
    <w:rsid w:val="00533A7E"/>
    <w:rsid w:val="00533DFF"/>
    <w:rsid w:val="005343F8"/>
    <w:rsid w:val="005346EB"/>
    <w:rsid w:val="00534CA3"/>
    <w:rsid w:val="00535230"/>
    <w:rsid w:val="00535F23"/>
    <w:rsid w:val="005363A2"/>
    <w:rsid w:val="00536483"/>
    <w:rsid w:val="00536B8D"/>
    <w:rsid w:val="005372D7"/>
    <w:rsid w:val="00537778"/>
    <w:rsid w:val="005402AF"/>
    <w:rsid w:val="005407EE"/>
    <w:rsid w:val="005408DE"/>
    <w:rsid w:val="00540FF6"/>
    <w:rsid w:val="005417CF"/>
    <w:rsid w:val="00542945"/>
    <w:rsid w:val="00543320"/>
    <w:rsid w:val="0054357E"/>
    <w:rsid w:val="00544604"/>
    <w:rsid w:val="00545A85"/>
    <w:rsid w:val="00546138"/>
    <w:rsid w:val="00546D49"/>
    <w:rsid w:val="00547D59"/>
    <w:rsid w:val="005501BC"/>
    <w:rsid w:val="00550672"/>
    <w:rsid w:val="00550997"/>
    <w:rsid w:val="0055156B"/>
    <w:rsid w:val="00552275"/>
    <w:rsid w:val="00552E5D"/>
    <w:rsid w:val="005532F0"/>
    <w:rsid w:val="0055381E"/>
    <w:rsid w:val="00557364"/>
    <w:rsid w:val="00557C10"/>
    <w:rsid w:val="00557D15"/>
    <w:rsid w:val="00560ECD"/>
    <w:rsid w:val="00561E5B"/>
    <w:rsid w:val="005622A4"/>
    <w:rsid w:val="0056297A"/>
    <w:rsid w:val="00564A0F"/>
    <w:rsid w:val="00564C6D"/>
    <w:rsid w:val="005657F3"/>
    <w:rsid w:val="0056587D"/>
    <w:rsid w:val="00565988"/>
    <w:rsid w:val="00565F70"/>
    <w:rsid w:val="0056617F"/>
    <w:rsid w:val="00566A68"/>
    <w:rsid w:val="0057008D"/>
    <w:rsid w:val="0057051D"/>
    <w:rsid w:val="00570718"/>
    <w:rsid w:val="0057239F"/>
    <w:rsid w:val="005727EC"/>
    <w:rsid w:val="00572FE2"/>
    <w:rsid w:val="00573833"/>
    <w:rsid w:val="00573C31"/>
    <w:rsid w:val="00574A58"/>
    <w:rsid w:val="00574EDE"/>
    <w:rsid w:val="005752FE"/>
    <w:rsid w:val="00577286"/>
    <w:rsid w:val="00580B10"/>
    <w:rsid w:val="005824DD"/>
    <w:rsid w:val="00582DFD"/>
    <w:rsid w:val="0058351F"/>
    <w:rsid w:val="005838DF"/>
    <w:rsid w:val="00583B3C"/>
    <w:rsid w:val="00583CA0"/>
    <w:rsid w:val="005844A1"/>
    <w:rsid w:val="00587B2C"/>
    <w:rsid w:val="0059033B"/>
    <w:rsid w:val="0059035C"/>
    <w:rsid w:val="00590DFA"/>
    <w:rsid w:val="00591777"/>
    <w:rsid w:val="00591F14"/>
    <w:rsid w:val="00592849"/>
    <w:rsid w:val="00593DB0"/>
    <w:rsid w:val="00595FCA"/>
    <w:rsid w:val="005968DF"/>
    <w:rsid w:val="00596A71"/>
    <w:rsid w:val="00596B8F"/>
    <w:rsid w:val="005A0B9D"/>
    <w:rsid w:val="005A0CF1"/>
    <w:rsid w:val="005A0D1B"/>
    <w:rsid w:val="005A2919"/>
    <w:rsid w:val="005A3E20"/>
    <w:rsid w:val="005A3F60"/>
    <w:rsid w:val="005A51C2"/>
    <w:rsid w:val="005A520A"/>
    <w:rsid w:val="005A551B"/>
    <w:rsid w:val="005A6F03"/>
    <w:rsid w:val="005A7666"/>
    <w:rsid w:val="005A7C98"/>
    <w:rsid w:val="005A7F68"/>
    <w:rsid w:val="005B17A8"/>
    <w:rsid w:val="005B19F1"/>
    <w:rsid w:val="005B1F7D"/>
    <w:rsid w:val="005B3164"/>
    <w:rsid w:val="005B3394"/>
    <w:rsid w:val="005B38C8"/>
    <w:rsid w:val="005B3E25"/>
    <w:rsid w:val="005B44E7"/>
    <w:rsid w:val="005B4A6F"/>
    <w:rsid w:val="005B55F2"/>
    <w:rsid w:val="005B57DD"/>
    <w:rsid w:val="005B5CFE"/>
    <w:rsid w:val="005B60C0"/>
    <w:rsid w:val="005C23DF"/>
    <w:rsid w:val="005C2845"/>
    <w:rsid w:val="005C2F38"/>
    <w:rsid w:val="005C3A9F"/>
    <w:rsid w:val="005C7516"/>
    <w:rsid w:val="005D0A24"/>
    <w:rsid w:val="005D106A"/>
    <w:rsid w:val="005D10F3"/>
    <w:rsid w:val="005D12EC"/>
    <w:rsid w:val="005D15C3"/>
    <w:rsid w:val="005D1F7B"/>
    <w:rsid w:val="005D2BFB"/>
    <w:rsid w:val="005D2FA5"/>
    <w:rsid w:val="005D3975"/>
    <w:rsid w:val="005D4F94"/>
    <w:rsid w:val="005D5A2B"/>
    <w:rsid w:val="005D75B9"/>
    <w:rsid w:val="005D7697"/>
    <w:rsid w:val="005E03BC"/>
    <w:rsid w:val="005E149E"/>
    <w:rsid w:val="005E2D86"/>
    <w:rsid w:val="005E3190"/>
    <w:rsid w:val="005E39A4"/>
    <w:rsid w:val="005E3D21"/>
    <w:rsid w:val="005E4A04"/>
    <w:rsid w:val="005E4B16"/>
    <w:rsid w:val="005E65F1"/>
    <w:rsid w:val="005E6964"/>
    <w:rsid w:val="005E70E2"/>
    <w:rsid w:val="005E7124"/>
    <w:rsid w:val="005F0184"/>
    <w:rsid w:val="005F0315"/>
    <w:rsid w:val="005F1829"/>
    <w:rsid w:val="005F1B69"/>
    <w:rsid w:val="005F2385"/>
    <w:rsid w:val="005F2FDF"/>
    <w:rsid w:val="005F4559"/>
    <w:rsid w:val="005F5D3A"/>
    <w:rsid w:val="005F6923"/>
    <w:rsid w:val="005F710D"/>
    <w:rsid w:val="005F7B56"/>
    <w:rsid w:val="005F7DCB"/>
    <w:rsid w:val="006003DC"/>
    <w:rsid w:val="006019C3"/>
    <w:rsid w:val="0060238D"/>
    <w:rsid w:val="00603537"/>
    <w:rsid w:val="00605059"/>
    <w:rsid w:val="006105C7"/>
    <w:rsid w:val="006133EA"/>
    <w:rsid w:val="0061384B"/>
    <w:rsid w:val="00614D22"/>
    <w:rsid w:val="00615142"/>
    <w:rsid w:val="00615BBE"/>
    <w:rsid w:val="00616512"/>
    <w:rsid w:val="006166B6"/>
    <w:rsid w:val="00616A24"/>
    <w:rsid w:val="00617358"/>
    <w:rsid w:val="0061749D"/>
    <w:rsid w:val="0062074A"/>
    <w:rsid w:val="0062090F"/>
    <w:rsid w:val="006210E6"/>
    <w:rsid w:val="006214B8"/>
    <w:rsid w:val="00621D84"/>
    <w:rsid w:val="0062229F"/>
    <w:rsid w:val="006241B0"/>
    <w:rsid w:val="006247DE"/>
    <w:rsid w:val="00624B6F"/>
    <w:rsid w:val="00624D36"/>
    <w:rsid w:val="006258C2"/>
    <w:rsid w:val="00626430"/>
    <w:rsid w:val="0062741F"/>
    <w:rsid w:val="00627641"/>
    <w:rsid w:val="00627A12"/>
    <w:rsid w:val="006301F9"/>
    <w:rsid w:val="00630248"/>
    <w:rsid w:val="00630C42"/>
    <w:rsid w:val="00631848"/>
    <w:rsid w:val="00633BA7"/>
    <w:rsid w:val="00634258"/>
    <w:rsid w:val="0063435C"/>
    <w:rsid w:val="00635E69"/>
    <w:rsid w:val="006373A3"/>
    <w:rsid w:val="00637D07"/>
    <w:rsid w:val="00641E58"/>
    <w:rsid w:val="00641EA8"/>
    <w:rsid w:val="0064273A"/>
    <w:rsid w:val="00642865"/>
    <w:rsid w:val="0064307A"/>
    <w:rsid w:val="006438C1"/>
    <w:rsid w:val="00644C80"/>
    <w:rsid w:val="006450E0"/>
    <w:rsid w:val="0064530B"/>
    <w:rsid w:val="006456F1"/>
    <w:rsid w:val="00645E73"/>
    <w:rsid w:val="006461E3"/>
    <w:rsid w:val="00646C45"/>
    <w:rsid w:val="00646F77"/>
    <w:rsid w:val="00650927"/>
    <w:rsid w:val="00651CFF"/>
    <w:rsid w:val="006522E4"/>
    <w:rsid w:val="0065274E"/>
    <w:rsid w:val="00652B6B"/>
    <w:rsid w:val="00653294"/>
    <w:rsid w:val="00653444"/>
    <w:rsid w:val="00653CF5"/>
    <w:rsid w:val="00653E74"/>
    <w:rsid w:val="00654B0E"/>
    <w:rsid w:val="006555E3"/>
    <w:rsid w:val="00655D47"/>
    <w:rsid w:val="006562BB"/>
    <w:rsid w:val="00656F81"/>
    <w:rsid w:val="006574B9"/>
    <w:rsid w:val="00657831"/>
    <w:rsid w:val="0066175B"/>
    <w:rsid w:val="0066220C"/>
    <w:rsid w:val="00662A41"/>
    <w:rsid w:val="0066559E"/>
    <w:rsid w:val="00667A1F"/>
    <w:rsid w:val="00670054"/>
    <w:rsid w:val="00670C44"/>
    <w:rsid w:val="0067269B"/>
    <w:rsid w:val="00672957"/>
    <w:rsid w:val="0067311B"/>
    <w:rsid w:val="00675380"/>
    <w:rsid w:val="00676150"/>
    <w:rsid w:val="00676980"/>
    <w:rsid w:val="00676E5C"/>
    <w:rsid w:val="006775D4"/>
    <w:rsid w:val="006806D5"/>
    <w:rsid w:val="00680AD6"/>
    <w:rsid w:val="00681243"/>
    <w:rsid w:val="00681A85"/>
    <w:rsid w:val="00681DC9"/>
    <w:rsid w:val="00682DB4"/>
    <w:rsid w:val="00683322"/>
    <w:rsid w:val="00683BD7"/>
    <w:rsid w:val="00684439"/>
    <w:rsid w:val="0068465A"/>
    <w:rsid w:val="0068664E"/>
    <w:rsid w:val="00686718"/>
    <w:rsid w:val="00686D8C"/>
    <w:rsid w:val="006876D0"/>
    <w:rsid w:val="006876DC"/>
    <w:rsid w:val="0068774C"/>
    <w:rsid w:val="00687E99"/>
    <w:rsid w:val="006903ED"/>
    <w:rsid w:val="00690CE3"/>
    <w:rsid w:val="006929BE"/>
    <w:rsid w:val="00693F8F"/>
    <w:rsid w:val="00694A07"/>
    <w:rsid w:val="00694F75"/>
    <w:rsid w:val="00695302"/>
    <w:rsid w:val="00695666"/>
    <w:rsid w:val="00696417"/>
    <w:rsid w:val="006967B1"/>
    <w:rsid w:val="0069689C"/>
    <w:rsid w:val="006972B8"/>
    <w:rsid w:val="00697CE5"/>
    <w:rsid w:val="006A1DD7"/>
    <w:rsid w:val="006A21B0"/>
    <w:rsid w:val="006A2397"/>
    <w:rsid w:val="006A2559"/>
    <w:rsid w:val="006A2D12"/>
    <w:rsid w:val="006A4667"/>
    <w:rsid w:val="006A566F"/>
    <w:rsid w:val="006A6801"/>
    <w:rsid w:val="006A761A"/>
    <w:rsid w:val="006A7C20"/>
    <w:rsid w:val="006B0739"/>
    <w:rsid w:val="006B14FC"/>
    <w:rsid w:val="006B1E7C"/>
    <w:rsid w:val="006B3746"/>
    <w:rsid w:val="006B41B9"/>
    <w:rsid w:val="006B4A45"/>
    <w:rsid w:val="006B53BE"/>
    <w:rsid w:val="006B593B"/>
    <w:rsid w:val="006B596D"/>
    <w:rsid w:val="006B5A4D"/>
    <w:rsid w:val="006B5AF8"/>
    <w:rsid w:val="006B6241"/>
    <w:rsid w:val="006B6D53"/>
    <w:rsid w:val="006B707D"/>
    <w:rsid w:val="006B7554"/>
    <w:rsid w:val="006B7737"/>
    <w:rsid w:val="006C0160"/>
    <w:rsid w:val="006C0C13"/>
    <w:rsid w:val="006C2679"/>
    <w:rsid w:val="006C3107"/>
    <w:rsid w:val="006C354C"/>
    <w:rsid w:val="006C4BE0"/>
    <w:rsid w:val="006C52B1"/>
    <w:rsid w:val="006C55D2"/>
    <w:rsid w:val="006C6AFA"/>
    <w:rsid w:val="006C6E7B"/>
    <w:rsid w:val="006C7591"/>
    <w:rsid w:val="006C76FD"/>
    <w:rsid w:val="006C7966"/>
    <w:rsid w:val="006C7E3E"/>
    <w:rsid w:val="006D1231"/>
    <w:rsid w:val="006D234F"/>
    <w:rsid w:val="006D2C2F"/>
    <w:rsid w:val="006D3230"/>
    <w:rsid w:val="006D32DF"/>
    <w:rsid w:val="006D3DEC"/>
    <w:rsid w:val="006D3E83"/>
    <w:rsid w:val="006D3EEC"/>
    <w:rsid w:val="006D529A"/>
    <w:rsid w:val="006D52FC"/>
    <w:rsid w:val="006D55FC"/>
    <w:rsid w:val="006E00EC"/>
    <w:rsid w:val="006E07C5"/>
    <w:rsid w:val="006E32EB"/>
    <w:rsid w:val="006E4019"/>
    <w:rsid w:val="006E587B"/>
    <w:rsid w:val="006E5E5C"/>
    <w:rsid w:val="006E5F06"/>
    <w:rsid w:val="006E6B70"/>
    <w:rsid w:val="006E7542"/>
    <w:rsid w:val="006F06B5"/>
    <w:rsid w:val="006F1506"/>
    <w:rsid w:val="006F3245"/>
    <w:rsid w:val="006F374D"/>
    <w:rsid w:val="006F4FC1"/>
    <w:rsid w:val="006F5B02"/>
    <w:rsid w:val="006F607C"/>
    <w:rsid w:val="006F6A96"/>
    <w:rsid w:val="007007B0"/>
    <w:rsid w:val="00701018"/>
    <w:rsid w:val="007029D7"/>
    <w:rsid w:val="00703CB1"/>
    <w:rsid w:val="007046A6"/>
    <w:rsid w:val="00704928"/>
    <w:rsid w:val="00704C25"/>
    <w:rsid w:val="00704E7A"/>
    <w:rsid w:val="007066A1"/>
    <w:rsid w:val="00706A7E"/>
    <w:rsid w:val="00707328"/>
    <w:rsid w:val="00707511"/>
    <w:rsid w:val="00707B7C"/>
    <w:rsid w:val="0071096F"/>
    <w:rsid w:val="00710F1F"/>
    <w:rsid w:val="00711EB3"/>
    <w:rsid w:val="007139F7"/>
    <w:rsid w:val="00713A59"/>
    <w:rsid w:val="007149B4"/>
    <w:rsid w:val="007149C8"/>
    <w:rsid w:val="007155EB"/>
    <w:rsid w:val="007167D3"/>
    <w:rsid w:val="00716AAA"/>
    <w:rsid w:val="007178DA"/>
    <w:rsid w:val="00722B44"/>
    <w:rsid w:val="00722BBD"/>
    <w:rsid w:val="00722BBF"/>
    <w:rsid w:val="00724F17"/>
    <w:rsid w:val="00725C7E"/>
    <w:rsid w:val="00726837"/>
    <w:rsid w:val="00727A14"/>
    <w:rsid w:val="0073192C"/>
    <w:rsid w:val="0073221F"/>
    <w:rsid w:val="00732EE8"/>
    <w:rsid w:val="00733041"/>
    <w:rsid w:val="007340D1"/>
    <w:rsid w:val="007350BD"/>
    <w:rsid w:val="00736F6A"/>
    <w:rsid w:val="00736FD6"/>
    <w:rsid w:val="0073748B"/>
    <w:rsid w:val="00740065"/>
    <w:rsid w:val="00740298"/>
    <w:rsid w:val="00740897"/>
    <w:rsid w:val="00741A1D"/>
    <w:rsid w:val="00742435"/>
    <w:rsid w:val="007427A0"/>
    <w:rsid w:val="00742821"/>
    <w:rsid w:val="007429D7"/>
    <w:rsid w:val="00742A3C"/>
    <w:rsid w:val="007431AB"/>
    <w:rsid w:val="00743CDC"/>
    <w:rsid w:val="00744263"/>
    <w:rsid w:val="0074436C"/>
    <w:rsid w:val="00744BC4"/>
    <w:rsid w:val="00745DE6"/>
    <w:rsid w:val="00747499"/>
    <w:rsid w:val="007479BE"/>
    <w:rsid w:val="00747A87"/>
    <w:rsid w:val="00750486"/>
    <w:rsid w:val="007520E8"/>
    <w:rsid w:val="007565C2"/>
    <w:rsid w:val="00756A15"/>
    <w:rsid w:val="00756AE7"/>
    <w:rsid w:val="00756D1E"/>
    <w:rsid w:val="00757412"/>
    <w:rsid w:val="00761F94"/>
    <w:rsid w:val="00764F8B"/>
    <w:rsid w:val="0076683A"/>
    <w:rsid w:val="0076760A"/>
    <w:rsid w:val="00770E63"/>
    <w:rsid w:val="00771098"/>
    <w:rsid w:val="007710FE"/>
    <w:rsid w:val="00771CEC"/>
    <w:rsid w:val="007725C7"/>
    <w:rsid w:val="007726C1"/>
    <w:rsid w:val="00774B53"/>
    <w:rsid w:val="0077608E"/>
    <w:rsid w:val="007761A1"/>
    <w:rsid w:val="007764E0"/>
    <w:rsid w:val="00776CD6"/>
    <w:rsid w:val="007779AB"/>
    <w:rsid w:val="00780C28"/>
    <w:rsid w:val="0078117D"/>
    <w:rsid w:val="007821C7"/>
    <w:rsid w:val="00782B1E"/>
    <w:rsid w:val="00782C41"/>
    <w:rsid w:val="00783A7C"/>
    <w:rsid w:val="00784B2F"/>
    <w:rsid w:val="0078579D"/>
    <w:rsid w:val="00785D65"/>
    <w:rsid w:val="00785E67"/>
    <w:rsid w:val="00785FCF"/>
    <w:rsid w:val="007865B5"/>
    <w:rsid w:val="00786ECA"/>
    <w:rsid w:val="007902B8"/>
    <w:rsid w:val="0079236A"/>
    <w:rsid w:val="00793D0F"/>
    <w:rsid w:val="00793DB8"/>
    <w:rsid w:val="00793ED7"/>
    <w:rsid w:val="0079500A"/>
    <w:rsid w:val="00795972"/>
    <w:rsid w:val="0079640E"/>
    <w:rsid w:val="007967C7"/>
    <w:rsid w:val="00796BE3"/>
    <w:rsid w:val="00796C6C"/>
    <w:rsid w:val="00797DDF"/>
    <w:rsid w:val="007A0135"/>
    <w:rsid w:val="007A09FA"/>
    <w:rsid w:val="007A1556"/>
    <w:rsid w:val="007A18E6"/>
    <w:rsid w:val="007A255A"/>
    <w:rsid w:val="007A2B4E"/>
    <w:rsid w:val="007A41FE"/>
    <w:rsid w:val="007A4BE3"/>
    <w:rsid w:val="007A4CC7"/>
    <w:rsid w:val="007A6F44"/>
    <w:rsid w:val="007A72AB"/>
    <w:rsid w:val="007B16DD"/>
    <w:rsid w:val="007B1CAF"/>
    <w:rsid w:val="007B2048"/>
    <w:rsid w:val="007B2F60"/>
    <w:rsid w:val="007B380C"/>
    <w:rsid w:val="007B3858"/>
    <w:rsid w:val="007B3BDE"/>
    <w:rsid w:val="007B433E"/>
    <w:rsid w:val="007B4A63"/>
    <w:rsid w:val="007B5760"/>
    <w:rsid w:val="007B5886"/>
    <w:rsid w:val="007B6260"/>
    <w:rsid w:val="007B67E7"/>
    <w:rsid w:val="007C0B1C"/>
    <w:rsid w:val="007C3583"/>
    <w:rsid w:val="007C591E"/>
    <w:rsid w:val="007C5F25"/>
    <w:rsid w:val="007C6230"/>
    <w:rsid w:val="007C6568"/>
    <w:rsid w:val="007C728D"/>
    <w:rsid w:val="007C740D"/>
    <w:rsid w:val="007D1338"/>
    <w:rsid w:val="007D24A1"/>
    <w:rsid w:val="007D33EC"/>
    <w:rsid w:val="007D3E3F"/>
    <w:rsid w:val="007D435B"/>
    <w:rsid w:val="007D5391"/>
    <w:rsid w:val="007D599C"/>
    <w:rsid w:val="007D68FB"/>
    <w:rsid w:val="007D7791"/>
    <w:rsid w:val="007E16D9"/>
    <w:rsid w:val="007E3D34"/>
    <w:rsid w:val="007E572F"/>
    <w:rsid w:val="007E5785"/>
    <w:rsid w:val="007E6D97"/>
    <w:rsid w:val="007E7386"/>
    <w:rsid w:val="007F01D5"/>
    <w:rsid w:val="007F21CE"/>
    <w:rsid w:val="007F27FF"/>
    <w:rsid w:val="007F3383"/>
    <w:rsid w:val="007F3C40"/>
    <w:rsid w:val="007F55A3"/>
    <w:rsid w:val="007F663D"/>
    <w:rsid w:val="007F7EE3"/>
    <w:rsid w:val="0080140E"/>
    <w:rsid w:val="0080162E"/>
    <w:rsid w:val="00801EB1"/>
    <w:rsid w:val="00802015"/>
    <w:rsid w:val="00803196"/>
    <w:rsid w:val="00803315"/>
    <w:rsid w:val="0080419A"/>
    <w:rsid w:val="008058E5"/>
    <w:rsid w:val="00805DBA"/>
    <w:rsid w:val="00805E3B"/>
    <w:rsid w:val="008066B3"/>
    <w:rsid w:val="00807638"/>
    <w:rsid w:val="00807B9B"/>
    <w:rsid w:val="00807FE5"/>
    <w:rsid w:val="008105AD"/>
    <w:rsid w:val="008107A0"/>
    <w:rsid w:val="008108A2"/>
    <w:rsid w:val="00811182"/>
    <w:rsid w:val="00811B37"/>
    <w:rsid w:val="00813F2E"/>
    <w:rsid w:val="0081491E"/>
    <w:rsid w:val="0081589B"/>
    <w:rsid w:val="00816B33"/>
    <w:rsid w:val="00816B95"/>
    <w:rsid w:val="00816E9A"/>
    <w:rsid w:val="008170A2"/>
    <w:rsid w:val="00820505"/>
    <w:rsid w:val="008209E6"/>
    <w:rsid w:val="00821E07"/>
    <w:rsid w:val="00822017"/>
    <w:rsid w:val="00822F8F"/>
    <w:rsid w:val="00824A5E"/>
    <w:rsid w:val="0082561B"/>
    <w:rsid w:val="00825EBE"/>
    <w:rsid w:val="008318AA"/>
    <w:rsid w:val="00832C71"/>
    <w:rsid w:val="0083384F"/>
    <w:rsid w:val="00833CBB"/>
    <w:rsid w:val="00834DD7"/>
    <w:rsid w:val="0083512F"/>
    <w:rsid w:val="00835134"/>
    <w:rsid w:val="008355FD"/>
    <w:rsid w:val="00835B96"/>
    <w:rsid w:val="008370C9"/>
    <w:rsid w:val="00837A5C"/>
    <w:rsid w:val="00841A7C"/>
    <w:rsid w:val="00842975"/>
    <w:rsid w:val="00842AB0"/>
    <w:rsid w:val="0084402A"/>
    <w:rsid w:val="00844EFA"/>
    <w:rsid w:val="00845705"/>
    <w:rsid w:val="00846837"/>
    <w:rsid w:val="00846B30"/>
    <w:rsid w:val="00846E70"/>
    <w:rsid w:val="00847902"/>
    <w:rsid w:val="00850CBE"/>
    <w:rsid w:val="00852ABB"/>
    <w:rsid w:val="00852BEE"/>
    <w:rsid w:val="00852F67"/>
    <w:rsid w:val="00855295"/>
    <w:rsid w:val="00855BC0"/>
    <w:rsid w:val="0085751F"/>
    <w:rsid w:val="00860243"/>
    <w:rsid w:val="00861969"/>
    <w:rsid w:val="00861DD2"/>
    <w:rsid w:val="008630A3"/>
    <w:rsid w:val="008664FF"/>
    <w:rsid w:val="008665D4"/>
    <w:rsid w:val="00866D88"/>
    <w:rsid w:val="00867AC7"/>
    <w:rsid w:val="008709BD"/>
    <w:rsid w:val="00871177"/>
    <w:rsid w:val="00872CC2"/>
    <w:rsid w:val="0087307F"/>
    <w:rsid w:val="00873702"/>
    <w:rsid w:val="00873DD7"/>
    <w:rsid w:val="0087426F"/>
    <w:rsid w:val="0087657F"/>
    <w:rsid w:val="00876BE7"/>
    <w:rsid w:val="00876C91"/>
    <w:rsid w:val="008839A1"/>
    <w:rsid w:val="00883B08"/>
    <w:rsid w:val="0088456B"/>
    <w:rsid w:val="008869B2"/>
    <w:rsid w:val="00887349"/>
    <w:rsid w:val="00890239"/>
    <w:rsid w:val="0089059B"/>
    <w:rsid w:val="008906EF"/>
    <w:rsid w:val="008908F5"/>
    <w:rsid w:val="00891E43"/>
    <w:rsid w:val="0089234C"/>
    <w:rsid w:val="00892BFD"/>
    <w:rsid w:val="00893CE6"/>
    <w:rsid w:val="008943E4"/>
    <w:rsid w:val="00894735"/>
    <w:rsid w:val="00894A44"/>
    <w:rsid w:val="00895817"/>
    <w:rsid w:val="00895F0D"/>
    <w:rsid w:val="00896644"/>
    <w:rsid w:val="008968E3"/>
    <w:rsid w:val="008A06ED"/>
    <w:rsid w:val="008A0DB6"/>
    <w:rsid w:val="008A14B7"/>
    <w:rsid w:val="008A335B"/>
    <w:rsid w:val="008A466A"/>
    <w:rsid w:val="008A61EF"/>
    <w:rsid w:val="008A67C5"/>
    <w:rsid w:val="008A6D72"/>
    <w:rsid w:val="008A77AD"/>
    <w:rsid w:val="008B06E3"/>
    <w:rsid w:val="008B0DE6"/>
    <w:rsid w:val="008B0E87"/>
    <w:rsid w:val="008B0F18"/>
    <w:rsid w:val="008B1F80"/>
    <w:rsid w:val="008B25A6"/>
    <w:rsid w:val="008B3318"/>
    <w:rsid w:val="008B37F5"/>
    <w:rsid w:val="008B3902"/>
    <w:rsid w:val="008B418D"/>
    <w:rsid w:val="008B52DA"/>
    <w:rsid w:val="008B5A78"/>
    <w:rsid w:val="008B6E67"/>
    <w:rsid w:val="008C0441"/>
    <w:rsid w:val="008C1407"/>
    <w:rsid w:val="008C1A3E"/>
    <w:rsid w:val="008C28CB"/>
    <w:rsid w:val="008C2BDC"/>
    <w:rsid w:val="008C6043"/>
    <w:rsid w:val="008C68D6"/>
    <w:rsid w:val="008C6D8F"/>
    <w:rsid w:val="008C78AF"/>
    <w:rsid w:val="008C793F"/>
    <w:rsid w:val="008D00FD"/>
    <w:rsid w:val="008D01C6"/>
    <w:rsid w:val="008D0622"/>
    <w:rsid w:val="008D06F1"/>
    <w:rsid w:val="008D1230"/>
    <w:rsid w:val="008D227A"/>
    <w:rsid w:val="008D2DC3"/>
    <w:rsid w:val="008D4A9B"/>
    <w:rsid w:val="008D5CC5"/>
    <w:rsid w:val="008D6C89"/>
    <w:rsid w:val="008D7421"/>
    <w:rsid w:val="008D7AED"/>
    <w:rsid w:val="008E03FB"/>
    <w:rsid w:val="008E06BB"/>
    <w:rsid w:val="008E2267"/>
    <w:rsid w:val="008E2283"/>
    <w:rsid w:val="008E22FA"/>
    <w:rsid w:val="008E28BC"/>
    <w:rsid w:val="008E2BF0"/>
    <w:rsid w:val="008E2EF2"/>
    <w:rsid w:val="008E31B6"/>
    <w:rsid w:val="008E329B"/>
    <w:rsid w:val="008E4023"/>
    <w:rsid w:val="008E52D5"/>
    <w:rsid w:val="008E5418"/>
    <w:rsid w:val="008E633E"/>
    <w:rsid w:val="008F0759"/>
    <w:rsid w:val="008F1055"/>
    <w:rsid w:val="008F27CC"/>
    <w:rsid w:val="008F2A00"/>
    <w:rsid w:val="008F4F9C"/>
    <w:rsid w:val="008F50A7"/>
    <w:rsid w:val="008F5417"/>
    <w:rsid w:val="008F7163"/>
    <w:rsid w:val="008F7277"/>
    <w:rsid w:val="008F72E3"/>
    <w:rsid w:val="00901CBB"/>
    <w:rsid w:val="00902952"/>
    <w:rsid w:val="00902E8C"/>
    <w:rsid w:val="00903271"/>
    <w:rsid w:val="0090422F"/>
    <w:rsid w:val="00905C8E"/>
    <w:rsid w:val="00905E76"/>
    <w:rsid w:val="0090663C"/>
    <w:rsid w:val="00907A52"/>
    <w:rsid w:val="009127EE"/>
    <w:rsid w:val="009132AE"/>
    <w:rsid w:val="00913AD1"/>
    <w:rsid w:val="00913FBD"/>
    <w:rsid w:val="0091481E"/>
    <w:rsid w:val="00914E4E"/>
    <w:rsid w:val="009153FF"/>
    <w:rsid w:val="00916658"/>
    <w:rsid w:val="00916EBD"/>
    <w:rsid w:val="00917E7B"/>
    <w:rsid w:val="00920260"/>
    <w:rsid w:val="00920474"/>
    <w:rsid w:val="00920D53"/>
    <w:rsid w:val="00921771"/>
    <w:rsid w:val="00921931"/>
    <w:rsid w:val="009220FD"/>
    <w:rsid w:val="00922288"/>
    <w:rsid w:val="009227D1"/>
    <w:rsid w:val="009227E8"/>
    <w:rsid w:val="009234C1"/>
    <w:rsid w:val="0092396B"/>
    <w:rsid w:val="00925739"/>
    <w:rsid w:val="0092611F"/>
    <w:rsid w:val="0092689A"/>
    <w:rsid w:val="00927200"/>
    <w:rsid w:val="00930215"/>
    <w:rsid w:val="0093041D"/>
    <w:rsid w:val="00930DE3"/>
    <w:rsid w:val="00932CBF"/>
    <w:rsid w:val="00932CC6"/>
    <w:rsid w:val="00933476"/>
    <w:rsid w:val="0093354B"/>
    <w:rsid w:val="00933DF3"/>
    <w:rsid w:val="009354C9"/>
    <w:rsid w:val="00936163"/>
    <w:rsid w:val="009369D2"/>
    <w:rsid w:val="00937193"/>
    <w:rsid w:val="009376EE"/>
    <w:rsid w:val="00937ACC"/>
    <w:rsid w:val="00937F7E"/>
    <w:rsid w:val="009402A8"/>
    <w:rsid w:val="009415BA"/>
    <w:rsid w:val="009427AF"/>
    <w:rsid w:val="00943068"/>
    <w:rsid w:val="00943084"/>
    <w:rsid w:val="009437B4"/>
    <w:rsid w:val="009449B3"/>
    <w:rsid w:val="00944C08"/>
    <w:rsid w:val="00947C65"/>
    <w:rsid w:val="0095065B"/>
    <w:rsid w:val="00950807"/>
    <w:rsid w:val="009511BD"/>
    <w:rsid w:val="009513CA"/>
    <w:rsid w:val="0095182C"/>
    <w:rsid w:val="00953374"/>
    <w:rsid w:val="009536CE"/>
    <w:rsid w:val="00953966"/>
    <w:rsid w:val="00955C73"/>
    <w:rsid w:val="00955CA6"/>
    <w:rsid w:val="00956004"/>
    <w:rsid w:val="00956498"/>
    <w:rsid w:val="00956CF4"/>
    <w:rsid w:val="00956D83"/>
    <w:rsid w:val="00956F3D"/>
    <w:rsid w:val="00957605"/>
    <w:rsid w:val="0095768C"/>
    <w:rsid w:val="00960746"/>
    <w:rsid w:val="009609B1"/>
    <w:rsid w:val="0096195B"/>
    <w:rsid w:val="00961D7D"/>
    <w:rsid w:val="009621C2"/>
    <w:rsid w:val="00962807"/>
    <w:rsid w:val="00962D21"/>
    <w:rsid w:val="009637D6"/>
    <w:rsid w:val="00963A7D"/>
    <w:rsid w:val="00963D39"/>
    <w:rsid w:val="00964035"/>
    <w:rsid w:val="00966F0C"/>
    <w:rsid w:val="0096729C"/>
    <w:rsid w:val="00967D3D"/>
    <w:rsid w:val="00970410"/>
    <w:rsid w:val="00970E7C"/>
    <w:rsid w:val="009722FD"/>
    <w:rsid w:val="00972567"/>
    <w:rsid w:val="009736AC"/>
    <w:rsid w:val="00973F36"/>
    <w:rsid w:val="0097464A"/>
    <w:rsid w:val="00974BE8"/>
    <w:rsid w:val="009758EE"/>
    <w:rsid w:val="00975AD7"/>
    <w:rsid w:val="00975FCC"/>
    <w:rsid w:val="00977FB7"/>
    <w:rsid w:val="0098079F"/>
    <w:rsid w:val="009817B7"/>
    <w:rsid w:val="00981D4C"/>
    <w:rsid w:val="00981D91"/>
    <w:rsid w:val="00981E77"/>
    <w:rsid w:val="00982713"/>
    <w:rsid w:val="009829B0"/>
    <w:rsid w:val="00982AA4"/>
    <w:rsid w:val="0098383C"/>
    <w:rsid w:val="00983E4E"/>
    <w:rsid w:val="00983F61"/>
    <w:rsid w:val="0098504E"/>
    <w:rsid w:val="00985FCF"/>
    <w:rsid w:val="00987D87"/>
    <w:rsid w:val="00990C6C"/>
    <w:rsid w:val="00990E93"/>
    <w:rsid w:val="009916F0"/>
    <w:rsid w:val="00991873"/>
    <w:rsid w:val="00991962"/>
    <w:rsid w:val="009926F4"/>
    <w:rsid w:val="009936C9"/>
    <w:rsid w:val="00993F3B"/>
    <w:rsid w:val="00994217"/>
    <w:rsid w:val="00994352"/>
    <w:rsid w:val="0099466E"/>
    <w:rsid w:val="00995EE6"/>
    <w:rsid w:val="0099724E"/>
    <w:rsid w:val="00997447"/>
    <w:rsid w:val="0099759E"/>
    <w:rsid w:val="00997621"/>
    <w:rsid w:val="00997A1E"/>
    <w:rsid w:val="009A316A"/>
    <w:rsid w:val="009A3F9C"/>
    <w:rsid w:val="009A4BA8"/>
    <w:rsid w:val="009A647C"/>
    <w:rsid w:val="009A7D15"/>
    <w:rsid w:val="009B0559"/>
    <w:rsid w:val="009B1385"/>
    <w:rsid w:val="009B1D43"/>
    <w:rsid w:val="009B1D64"/>
    <w:rsid w:val="009B2A35"/>
    <w:rsid w:val="009B303F"/>
    <w:rsid w:val="009B3B14"/>
    <w:rsid w:val="009B3D6D"/>
    <w:rsid w:val="009B3DF9"/>
    <w:rsid w:val="009B46F1"/>
    <w:rsid w:val="009B53AB"/>
    <w:rsid w:val="009B7749"/>
    <w:rsid w:val="009C0CDA"/>
    <w:rsid w:val="009C16AA"/>
    <w:rsid w:val="009C2992"/>
    <w:rsid w:val="009C2B6C"/>
    <w:rsid w:val="009C347F"/>
    <w:rsid w:val="009C4284"/>
    <w:rsid w:val="009C5814"/>
    <w:rsid w:val="009C5E4A"/>
    <w:rsid w:val="009C6D6A"/>
    <w:rsid w:val="009C6EDA"/>
    <w:rsid w:val="009C747F"/>
    <w:rsid w:val="009C7625"/>
    <w:rsid w:val="009D077E"/>
    <w:rsid w:val="009D0DAC"/>
    <w:rsid w:val="009D119E"/>
    <w:rsid w:val="009D1215"/>
    <w:rsid w:val="009D20F3"/>
    <w:rsid w:val="009D3324"/>
    <w:rsid w:val="009D34F9"/>
    <w:rsid w:val="009D4CEF"/>
    <w:rsid w:val="009D7070"/>
    <w:rsid w:val="009D75F4"/>
    <w:rsid w:val="009E0223"/>
    <w:rsid w:val="009E0581"/>
    <w:rsid w:val="009E0765"/>
    <w:rsid w:val="009E1863"/>
    <w:rsid w:val="009E1916"/>
    <w:rsid w:val="009E37EF"/>
    <w:rsid w:val="009E539A"/>
    <w:rsid w:val="009E6536"/>
    <w:rsid w:val="009E70AA"/>
    <w:rsid w:val="009E7CA3"/>
    <w:rsid w:val="009F010F"/>
    <w:rsid w:val="009F0AAC"/>
    <w:rsid w:val="009F1615"/>
    <w:rsid w:val="009F315B"/>
    <w:rsid w:val="009F3767"/>
    <w:rsid w:val="009F4A78"/>
    <w:rsid w:val="009F5359"/>
    <w:rsid w:val="009F799E"/>
    <w:rsid w:val="00A0030A"/>
    <w:rsid w:val="00A00C67"/>
    <w:rsid w:val="00A00CFB"/>
    <w:rsid w:val="00A01344"/>
    <w:rsid w:val="00A02011"/>
    <w:rsid w:val="00A02431"/>
    <w:rsid w:val="00A02E99"/>
    <w:rsid w:val="00A04984"/>
    <w:rsid w:val="00A05FA0"/>
    <w:rsid w:val="00A0614C"/>
    <w:rsid w:val="00A06193"/>
    <w:rsid w:val="00A06DFF"/>
    <w:rsid w:val="00A07A02"/>
    <w:rsid w:val="00A07D5A"/>
    <w:rsid w:val="00A1027F"/>
    <w:rsid w:val="00A11EE8"/>
    <w:rsid w:val="00A13576"/>
    <w:rsid w:val="00A14636"/>
    <w:rsid w:val="00A155F7"/>
    <w:rsid w:val="00A1586A"/>
    <w:rsid w:val="00A15915"/>
    <w:rsid w:val="00A16B4A"/>
    <w:rsid w:val="00A21532"/>
    <w:rsid w:val="00A21673"/>
    <w:rsid w:val="00A2175D"/>
    <w:rsid w:val="00A21F60"/>
    <w:rsid w:val="00A22000"/>
    <w:rsid w:val="00A24A0B"/>
    <w:rsid w:val="00A24FF2"/>
    <w:rsid w:val="00A2659A"/>
    <w:rsid w:val="00A26E0B"/>
    <w:rsid w:val="00A30DCF"/>
    <w:rsid w:val="00A332BE"/>
    <w:rsid w:val="00A3335D"/>
    <w:rsid w:val="00A33DD9"/>
    <w:rsid w:val="00A34077"/>
    <w:rsid w:val="00A349CF"/>
    <w:rsid w:val="00A34D53"/>
    <w:rsid w:val="00A35122"/>
    <w:rsid w:val="00A352BE"/>
    <w:rsid w:val="00A3622E"/>
    <w:rsid w:val="00A368D1"/>
    <w:rsid w:val="00A36ABD"/>
    <w:rsid w:val="00A36AFC"/>
    <w:rsid w:val="00A36B5B"/>
    <w:rsid w:val="00A378E9"/>
    <w:rsid w:val="00A4058A"/>
    <w:rsid w:val="00A414D0"/>
    <w:rsid w:val="00A42125"/>
    <w:rsid w:val="00A42177"/>
    <w:rsid w:val="00A4234D"/>
    <w:rsid w:val="00A4276E"/>
    <w:rsid w:val="00A43037"/>
    <w:rsid w:val="00A4343C"/>
    <w:rsid w:val="00A43650"/>
    <w:rsid w:val="00A44629"/>
    <w:rsid w:val="00A447A6"/>
    <w:rsid w:val="00A462CA"/>
    <w:rsid w:val="00A4664F"/>
    <w:rsid w:val="00A51656"/>
    <w:rsid w:val="00A5198D"/>
    <w:rsid w:val="00A5244F"/>
    <w:rsid w:val="00A549A5"/>
    <w:rsid w:val="00A561D2"/>
    <w:rsid w:val="00A56809"/>
    <w:rsid w:val="00A576FF"/>
    <w:rsid w:val="00A6013E"/>
    <w:rsid w:val="00A60F71"/>
    <w:rsid w:val="00A618AA"/>
    <w:rsid w:val="00A61935"/>
    <w:rsid w:val="00A61CFF"/>
    <w:rsid w:val="00A61EF1"/>
    <w:rsid w:val="00A62527"/>
    <w:rsid w:val="00A62D2B"/>
    <w:rsid w:val="00A634EF"/>
    <w:rsid w:val="00A64BB5"/>
    <w:rsid w:val="00A657FB"/>
    <w:rsid w:val="00A6591C"/>
    <w:rsid w:val="00A66260"/>
    <w:rsid w:val="00A66B5B"/>
    <w:rsid w:val="00A66C47"/>
    <w:rsid w:val="00A67742"/>
    <w:rsid w:val="00A67947"/>
    <w:rsid w:val="00A7014C"/>
    <w:rsid w:val="00A70641"/>
    <w:rsid w:val="00A706EC"/>
    <w:rsid w:val="00A71F7C"/>
    <w:rsid w:val="00A71F89"/>
    <w:rsid w:val="00A737F3"/>
    <w:rsid w:val="00A73AD8"/>
    <w:rsid w:val="00A73C55"/>
    <w:rsid w:val="00A73D27"/>
    <w:rsid w:val="00A741B5"/>
    <w:rsid w:val="00A75470"/>
    <w:rsid w:val="00A768F4"/>
    <w:rsid w:val="00A76BC1"/>
    <w:rsid w:val="00A76E5C"/>
    <w:rsid w:val="00A77B0A"/>
    <w:rsid w:val="00A80A9F"/>
    <w:rsid w:val="00A8100F"/>
    <w:rsid w:val="00A81526"/>
    <w:rsid w:val="00A81AAA"/>
    <w:rsid w:val="00A82337"/>
    <w:rsid w:val="00A83B07"/>
    <w:rsid w:val="00A83FDD"/>
    <w:rsid w:val="00A8693C"/>
    <w:rsid w:val="00A86B9D"/>
    <w:rsid w:val="00A86DE4"/>
    <w:rsid w:val="00A871D4"/>
    <w:rsid w:val="00A92AF5"/>
    <w:rsid w:val="00A92DC3"/>
    <w:rsid w:val="00A93BD4"/>
    <w:rsid w:val="00A94B26"/>
    <w:rsid w:val="00A95188"/>
    <w:rsid w:val="00A95468"/>
    <w:rsid w:val="00AA06AA"/>
    <w:rsid w:val="00AA2623"/>
    <w:rsid w:val="00AA2668"/>
    <w:rsid w:val="00AA324A"/>
    <w:rsid w:val="00AA333B"/>
    <w:rsid w:val="00AA45D5"/>
    <w:rsid w:val="00AA51E0"/>
    <w:rsid w:val="00AA593A"/>
    <w:rsid w:val="00AA6BFC"/>
    <w:rsid w:val="00AA7004"/>
    <w:rsid w:val="00AA7215"/>
    <w:rsid w:val="00AA768D"/>
    <w:rsid w:val="00AA7918"/>
    <w:rsid w:val="00AB0B99"/>
    <w:rsid w:val="00AB3072"/>
    <w:rsid w:val="00AB3192"/>
    <w:rsid w:val="00AB326A"/>
    <w:rsid w:val="00AB4706"/>
    <w:rsid w:val="00AB4FC2"/>
    <w:rsid w:val="00AB607F"/>
    <w:rsid w:val="00AB690A"/>
    <w:rsid w:val="00AC01C5"/>
    <w:rsid w:val="00AC0C04"/>
    <w:rsid w:val="00AC3235"/>
    <w:rsid w:val="00AC3AA2"/>
    <w:rsid w:val="00AC3BA2"/>
    <w:rsid w:val="00AC45D0"/>
    <w:rsid w:val="00AC6220"/>
    <w:rsid w:val="00AC77AC"/>
    <w:rsid w:val="00AD02C7"/>
    <w:rsid w:val="00AD0432"/>
    <w:rsid w:val="00AD12AC"/>
    <w:rsid w:val="00AD1355"/>
    <w:rsid w:val="00AD2836"/>
    <w:rsid w:val="00AD4625"/>
    <w:rsid w:val="00AD5133"/>
    <w:rsid w:val="00AD5718"/>
    <w:rsid w:val="00AD792E"/>
    <w:rsid w:val="00AD79D0"/>
    <w:rsid w:val="00AD7A2A"/>
    <w:rsid w:val="00AD7CF9"/>
    <w:rsid w:val="00AE050F"/>
    <w:rsid w:val="00AE223F"/>
    <w:rsid w:val="00AE28B9"/>
    <w:rsid w:val="00AE2B9F"/>
    <w:rsid w:val="00AE3D3D"/>
    <w:rsid w:val="00AE4890"/>
    <w:rsid w:val="00AE49F3"/>
    <w:rsid w:val="00AE4B54"/>
    <w:rsid w:val="00AE5AD9"/>
    <w:rsid w:val="00AE5F81"/>
    <w:rsid w:val="00AF03F9"/>
    <w:rsid w:val="00AF1C3E"/>
    <w:rsid w:val="00AF1E75"/>
    <w:rsid w:val="00AF1FEE"/>
    <w:rsid w:val="00AF240A"/>
    <w:rsid w:val="00AF26BD"/>
    <w:rsid w:val="00AF3EC3"/>
    <w:rsid w:val="00AF56D5"/>
    <w:rsid w:val="00AF67F6"/>
    <w:rsid w:val="00AF6F9A"/>
    <w:rsid w:val="00AF7DAD"/>
    <w:rsid w:val="00B0016A"/>
    <w:rsid w:val="00B00314"/>
    <w:rsid w:val="00B00B00"/>
    <w:rsid w:val="00B01F42"/>
    <w:rsid w:val="00B023A3"/>
    <w:rsid w:val="00B0395E"/>
    <w:rsid w:val="00B06AC2"/>
    <w:rsid w:val="00B0728F"/>
    <w:rsid w:val="00B072F9"/>
    <w:rsid w:val="00B07525"/>
    <w:rsid w:val="00B113AC"/>
    <w:rsid w:val="00B115B5"/>
    <w:rsid w:val="00B11FF8"/>
    <w:rsid w:val="00B12510"/>
    <w:rsid w:val="00B12E2C"/>
    <w:rsid w:val="00B1427C"/>
    <w:rsid w:val="00B158A2"/>
    <w:rsid w:val="00B16851"/>
    <w:rsid w:val="00B17E2E"/>
    <w:rsid w:val="00B202B5"/>
    <w:rsid w:val="00B208D9"/>
    <w:rsid w:val="00B2179E"/>
    <w:rsid w:val="00B2278D"/>
    <w:rsid w:val="00B2291F"/>
    <w:rsid w:val="00B23476"/>
    <w:rsid w:val="00B234D4"/>
    <w:rsid w:val="00B23B6B"/>
    <w:rsid w:val="00B24111"/>
    <w:rsid w:val="00B2415B"/>
    <w:rsid w:val="00B24D1C"/>
    <w:rsid w:val="00B24EB2"/>
    <w:rsid w:val="00B252CF"/>
    <w:rsid w:val="00B273F8"/>
    <w:rsid w:val="00B274D3"/>
    <w:rsid w:val="00B275EF"/>
    <w:rsid w:val="00B27640"/>
    <w:rsid w:val="00B32431"/>
    <w:rsid w:val="00B324CD"/>
    <w:rsid w:val="00B326DB"/>
    <w:rsid w:val="00B33B89"/>
    <w:rsid w:val="00B3526C"/>
    <w:rsid w:val="00B35A56"/>
    <w:rsid w:val="00B35FD7"/>
    <w:rsid w:val="00B3CA4C"/>
    <w:rsid w:val="00B42CFF"/>
    <w:rsid w:val="00B4364D"/>
    <w:rsid w:val="00B43C0B"/>
    <w:rsid w:val="00B44702"/>
    <w:rsid w:val="00B45439"/>
    <w:rsid w:val="00B4564F"/>
    <w:rsid w:val="00B4614C"/>
    <w:rsid w:val="00B4656F"/>
    <w:rsid w:val="00B472D3"/>
    <w:rsid w:val="00B50777"/>
    <w:rsid w:val="00B50779"/>
    <w:rsid w:val="00B51B66"/>
    <w:rsid w:val="00B51D10"/>
    <w:rsid w:val="00B524D3"/>
    <w:rsid w:val="00B5369C"/>
    <w:rsid w:val="00B540AD"/>
    <w:rsid w:val="00B5449B"/>
    <w:rsid w:val="00B54F79"/>
    <w:rsid w:val="00B55877"/>
    <w:rsid w:val="00B558C3"/>
    <w:rsid w:val="00B568B3"/>
    <w:rsid w:val="00B56E48"/>
    <w:rsid w:val="00B57828"/>
    <w:rsid w:val="00B57BDC"/>
    <w:rsid w:val="00B61083"/>
    <w:rsid w:val="00B6145D"/>
    <w:rsid w:val="00B61809"/>
    <w:rsid w:val="00B61ACE"/>
    <w:rsid w:val="00B61B39"/>
    <w:rsid w:val="00B61FEF"/>
    <w:rsid w:val="00B63458"/>
    <w:rsid w:val="00B64B34"/>
    <w:rsid w:val="00B65E8B"/>
    <w:rsid w:val="00B66978"/>
    <w:rsid w:val="00B714FF"/>
    <w:rsid w:val="00B737E5"/>
    <w:rsid w:val="00B73885"/>
    <w:rsid w:val="00B74936"/>
    <w:rsid w:val="00B7695C"/>
    <w:rsid w:val="00B772C0"/>
    <w:rsid w:val="00B81086"/>
    <w:rsid w:val="00B813FB"/>
    <w:rsid w:val="00B817ED"/>
    <w:rsid w:val="00B825C5"/>
    <w:rsid w:val="00B833A9"/>
    <w:rsid w:val="00B833EC"/>
    <w:rsid w:val="00B83DE6"/>
    <w:rsid w:val="00B83E79"/>
    <w:rsid w:val="00B85695"/>
    <w:rsid w:val="00B859B8"/>
    <w:rsid w:val="00B85E88"/>
    <w:rsid w:val="00B8612B"/>
    <w:rsid w:val="00B865A8"/>
    <w:rsid w:val="00B87645"/>
    <w:rsid w:val="00B90692"/>
    <w:rsid w:val="00B90BEC"/>
    <w:rsid w:val="00B9281D"/>
    <w:rsid w:val="00B93253"/>
    <w:rsid w:val="00B94A98"/>
    <w:rsid w:val="00B94D1C"/>
    <w:rsid w:val="00B94D57"/>
    <w:rsid w:val="00B9528A"/>
    <w:rsid w:val="00B952C0"/>
    <w:rsid w:val="00B960DD"/>
    <w:rsid w:val="00B9692C"/>
    <w:rsid w:val="00B97EC8"/>
    <w:rsid w:val="00BA2020"/>
    <w:rsid w:val="00BA376B"/>
    <w:rsid w:val="00BA4341"/>
    <w:rsid w:val="00BA4702"/>
    <w:rsid w:val="00BA6902"/>
    <w:rsid w:val="00BA762A"/>
    <w:rsid w:val="00BA7F2D"/>
    <w:rsid w:val="00BB1920"/>
    <w:rsid w:val="00BB3CF0"/>
    <w:rsid w:val="00BB405F"/>
    <w:rsid w:val="00BB41A1"/>
    <w:rsid w:val="00BB5DE6"/>
    <w:rsid w:val="00BB5E89"/>
    <w:rsid w:val="00BB5F7D"/>
    <w:rsid w:val="00BB613E"/>
    <w:rsid w:val="00BB6DB4"/>
    <w:rsid w:val="00BB7582"/>
    <w:rsid w:val="00BC09FB"/>
    <w:rsid w:val="00BC187A"/>
    <w:rsid w:val="00BC227C"/>
    <w:rsid w:val="00BC56FB"/>
    <w:rsid w:val="00BC6634"/>
    <w:rsid w:val="00BC6A10"/>
    <w:rsid w:val="00BC7803"/>
    <w:rsid w:val="00BC7B8C"/>
    <w:rsid w:val="00BC7C7C"/>
    <w:rsid w:val="00BD10E6"/>
    <w:rsid w:val="00BD15B1"/>
    <w:rsid w:val="00BD2458"/>
    <w:rsid w:val="00BD2930"/>
    <w:rsid w:val="00BD3C42"/>
    <w:rsid w:val="00BD3D02"/>
    <w:rsid w:val="00BD3F66"/>
    <w:rsid w:val="00BD7A98"/>
    <w:rsid w:val="00BE13D7"/>
    <w:rsid w:val="00BE3EF1"/>
    <w:rsid w:val="00BE4CBC"/>
    <w:rsid w:val="00BE4E1E"/>
    <w:rsid w:val="00BE54B5"/>
    <w:rsid w:val="00BE568D"/>
    <w:rsid w:val="00BE6821"/>
    <w:rsid w:val="00BE6C0D"/>
    <w:rsid w:val="00BF103C"/>
    <w:rsid w:val="00BF12DA"/>
    <w:rsid w:val="00BF1369"/>
    <w:rsid w:val="00BF13B5"/>
    <w:rsid w:val="00BF1523"/>
    <w:rsid w:val="00BF4A40"/>
    <w:rsid w:val="00BF4F42"/>
    <w:rsid w:val="00BF571D"/>
    <w:rsid w:val="00BF6799"/>
    <w:rsid w:val="00C0033B"/>
    <w:rsid w:val="00C004A2"/>
    <w:rsid w:val="00C00BF8"/>
    <w:rsid w:val="00C02645"/>
    <w:rsid w:val="00C07BEC"/>
    <w:rsid w:val="00C07F83"/>
    <w:rsid w:val="00C11ED4"/>
    <w:rsid w:val="00C1288B"/>
    <w:rsid w:val="00C13514"/>
    <w:rsid w:val="00C13F01"/>
    <w:rsid w:val="00C15918"/>
    <w:rsid w:val="00C16266"/>
    <w:rsid w:val="00C16B9C"/>
    <w:rsid w:val="00C16EE7"/>
    <w:rsid w:val="00C20632"/>
    <w:rsid w:val="00C213B0"/>
    <w:rsid w:val="00C24D32"/>
    <w:rsid w:val="00C255A0"/>
    <w:rsid w:val="00C25A53"/>
    <w:rsid w:val="00C25A92"/>
    <w:rsid w:val="00C25C7F"/>
    <w:rsid w:val="00C27570"/>
    <w:rsid w:val="00C2784B"/>
    <w:rsid w:val="00C30009"/>
    <w:rsid w:val="00C31955"/>
    <w:rsid w:val="00C319EC"/>
    <w:rsid w:val="00C320CC"/>
    <w:rsid w:val="00C321FC"/>
    <w:rsid w:val="00C334F3"/>
    <w:rsid w:val="00C33856"/>
    <w:rsid w:val="00C33C9A"/>
    <w:rsid w:val="00C3470A"/>
    <w:rsid w:val="00C34729"/>
    <w:rsid w:val="00C3485D"/>
    <w:rsid w:val="00C34C7D"/>
    <w:rsid w:val="00C34E52"/>
    <w:rsid w:val="00C358B0"/>
    <w:rsid w:val="00C37569"/>
    <w:rsid w:val="00C40195"/>
    <w:rsid w:val="00C40C1B"/>
    <w:rsid w:val="00C40C9A"/>
    <w:rsid w:val="00C43C1B"/>
    <w:rsid w:val="00C4455E"/>
    <w:rsid w:val="00C44CB6"/>
    <w:rsid w:val="00C44EB9"/>
    <w:rsid w:val="00C45695"/>
    <w:rsid w:val="00C46733"/>
    <w:rsid w:val="00C47464"/>
    <w:rsid w:val="00C47482"/>
    <w:rsid w:val="00C47D2A"/>
    <w:rsid w:val="00C5010F"/>
    <w:rsid w:val="00C52350"/>
    <w:rsid w:val="00C52E65"/>
    <w:rsid w:val="00C52F60"/>
    <w:rsid w:val="00C53EA4"/>
    <w:rsid w:val="00C54DD8"/>
    <w:rsid w:val="00C54EBB"/>
    <w:rsid w:val="00C55B21"/>
    <w:rsid w:val="00C56536"/>
    <w:rsid w:val="00C57337"/>
    <w:rsid w:val="00C57BD5"/>
    <w:rsid w:val="00C61180"/>
    <w:rsid w:val="00C61B28"/>
    <w:rsid w:val="00C633D3"/>
    <w:rsid w:val="00C63E0B"/>
    <w:rsid w:val="00C64291"/>
    <w:rsid w:val="00C652D5"/>
    <w:rsid w:val="00C65B75"/>
    <w:rsid w:val="00C66E77"/>
    <w:rsid w:val="00C67806"/>
    <w:rsid w:val="00C6780F"/>
    <w:rsid w:val="00C70507"/>
    <w:rsid w:val="00C707E9"/>
    <w:rsid w:val="00C70BC3"/>
    <w:rsid w:val="00C72D75"/>
    <w:rsid w:val="00C7599C"/>
    <w:rsid w:val="00C77660"/>
    <w:rsid w:val="00C77F77"/>
    <w:rsid w:val="00C805DE"/>
    <w:rsid w:val="00C823E7"/>
    <w:rsid w:val="00C8244F"/>
    <w:rsid w:val="00C8303A"/>
    <w:rsid w:val="00C8605F"/>
    <w:rsid w:val="00C860EB"/>
    <w:rsid w:val="00C8734E"/>
    <w:rsid w:val="00C923A8"/>
    <w:rsid w:val="00C9305A"/>
    <w:rsid w:val="00C93269"/>
    <w:rsid w:val="00C9479D"/>
    <w:rsid w:val="00C94B0A"/>
    <w:rsid w:val="00C95E30"/>
    <w:rsid w:val="00CA0A84"/>
    <w:rsid w:val="00CA1671"/>
    <w:rsid w:val="00CA16F3"/>
    <w:rsid w:val="00CA16FB"/>
    <w:rsid w:val="00CA1DAD"/>
    <w:rsid w:val="00CA1EBE"/>
    <w:rsid w:val="00CA20DB"/>
    <w:rsid w:val="00CA2313"/>
    <w:rsid w:val="00CA3BD0"/>
    <w:rsid w:val="00CA3F1C"/>
    <w:rsid w:val="00CA430B"/>
    <w:rsid w:val="00CA5310"/>
    <w:rsid w:val="00CA592B"/>
    <w:rsid w:val="00CB379D"/>
    <w:rsid w:val="00CB38E9"/>
    <w:rsid w:val="00CB3928"/>
    <w:rsid w:val="00CB3A5C"/>
    <w:rsid w:val="00CB3FC5"/>
    <w:rsid w:val="00CB41B4"/>
    <w:rsid w:val="00CB633A"/>
    <w:rsid w:val="00CC00D4"/>
    <w:rsid w:val="00CC034B"/>
    <w:rsid w:val="00CC09AE"/>
    <w:rsid w:val="00CC1BED"/>
    <w:rsid w:val="00CC3393"/>
    <w:rsid w:val="00CC45F1"/>
    <w:rsid w:val="00CC4A68"/>
    <w:rsid w:val="00CC4C05"/>
    <w:rsid w:val="00CC5925"/>
    <w:rsid w:val="00CC6780"/>
    <w:rsid w:val="00CC6E4A"/>
    <w:rsid w:val="00CC7263"/>
    <w:rsid w:val="00CC7D74"/>
    <w:rsid w:val="00CD04E5"/>
    <w:rsid w:val="00CD0829"/>
    <w:rsid w:val="00CD2CE4"/>
    <w:rsid w:val="00CD4C8E"/>
    <w:rsid w:val="00CD51D0"/>
    <w:rsid w:val="00CD55F8"/>
    <w:rsid w:val="00CD5DE4"/>
    <w:rsid w:val="00CD6B4A"/>
    <w:rsid w:val="00CD72FF"/>
    <w:rsid w:val="00CE0C87"/>
    <w:rsid w:val="00CE0F06"/>
    <w:rsid w:val="00CE1262"/>
    <w:rsid w:val="00CE13E1"/>
    <w:rsid w:val="00CE26E8"/>
    <w:rsid w:val="00CE2C6C"/>
    <w:rsid w:val="00CE48AB"/>
    <w:rsid w:val="00CE4947"/>
    <w:rsid w:val="00CE4ED2"/>
    <w:rsid w:val="00CE53EE"/>
    <w:rsid w:val="00CE656B"/>
    <w:rsid w:val="00CE67B6"/>
    <w:rsid w:val="00CE68FA"/>
    <w:rsid w:val="00CF0DD6"/>
    <w:rsid w:val="00CF169F"/>
    <w:rsid w:val="00CF32AD"/>
    <w:rsid w:val="00CF33AF"/>
    <w:rsid w:val="00CF4786"/>
    <w:rsid w:val="00CF495F"/>
    <w:rsid w:val="00CF4FA7"/>
    <w:rsid w:val="00CF559F"/>
    <w:rsid w:val="00CF5C25"/>
    <w:rsid w:val="00CF70C0"/>
    <w:rsid w:val="00D01838"/>
    <w:rsid w:val="00D0193E"/>
    <w:rsid w:val="00D01972"/>
    <w:rsid w:val="00D03B16"/>
    <w:rsid w:val="00D0434A"/>
    <w:rsid w:val="00D047AA"/>
    <w:rsid w:val="00D047F0"/>
    <w:rsid w:val="00D053C9"/>
    <w:rsid w:val="00D0566E"/>
    <w:rsid w:val="00D06336"/>
    <w:rsid w:val="00D06B3F"/>
    <w:rsid w:val="00D06C0B"/>
    <w:rsid w:val="00D06DDE"/>
    <w:rsid w:val="00D1036C"/>
    <w:rsid w:val="00D106A5"/>
    <w:rsid w:val="00D108F3"/>
    <w:rsid w:val="00D13CAA"/>
    <w:rsid w:val="00D141F0"/>
    <w:rsid w:val="00D16AE0"/>
    <w:rsid w:val="00D16B31"/>
    <w:rsid w:val="00D21454"/>
    <w:rsid w:val="00D21F85"/>
    <w:rsid w:val="00D22047"/>
    <w:rsid w:val="00D228DD"/>
    <w:rsid w:val="00D22BAB"/>
    <w:rsid w:val="00D232C1"/>
    <w:rsid w:val="00D23632"/>
    <w:rsid w:val="00D23EC3"/>
    <w:rsid w:val="00D24141"/>
    <w:rsid w:val="00D243AC"/>
    <w:rsid w:val="00D24ADB"/>
    <w:rsid w:val="00D25ABB"/>
    <w:rsid w:val="00D2683D"/>
    <w:rsid w:val="00D26CD4"/>
    <w:rsid w:val="00D27075"/>
    <w:rsid w:val="00D275CB"/>
    <w:rsid w:val="00D27C39"/>
    <w:rsid w:val="00D27FD8"/>
    <w:rsid w:val="00D317CB"/>
    <w:rsid w:val="00D32402"/>
    <w:rsid w:val="00D3578D"/>
    <w:rsid w:val="00D35ABD"/>
    <w:rsid w:val="00D35D5B"/>
    <w:rsid w:val="00D41D3D"/>
    <w:rsid w:val="00D425E6"/>
    <w:rsid w:val="00D42AE2"/>
    <w:rsid w:val="00D4386C"/>
    <w:rsid w:val="00D4392E"/>
    <w:rsid w:val="00D43D40"/>
    <w:rsid w:val="00D47713"/>
    <w:rsid w:val="00D50F06"/>
    <w:rsid w:val="00D5181F"/>
    <w:rsid w:val="00D518D7"/>
    <w:rsid w:val="00D51D7F"/>
    <w:rsid w:val="00D522CC"/>
    <w:rsid w:val="00D53F5D"/>
    <w:rsid w:val="00D57289"/>
    <w:rsid w:val="00D57C2F"/>
    <w:rsid w:val="00D603B5"/>
    <w:rsid w:val="00D61F95"/>
    <w:rsid w:val="00D61FCE"/>
    <w:rsid w:val="00D621B8"/>
    <w:rsid w:val="00D62CE2"/>
    <w:rsid w:val="00D6440A"/>
    <w:rsid w:val="00D64A96"/>
    <w:rsid w:val="00D64E15"/>
    <w:rsid w:val="00D65568"/>
    <w:rsid w:val="00D65620"/>
    <w:rsid w:val="00D66132"/>
    <w:rsid w:val="00D667AF"/>
    <w:rsid w:val="00D667E7"/>
    <w:rsid w:val="00D712ED"/>
    <w:rsid w:val="00D714F7"/>
    <w:rsid w:val="00D71511"/>
    <w:rsid w:val="00D717EE"/>
    <w:rsid w:val="00D721F1"/>
    <w:rsid w:val="00D729C6"/>
    <w:rsid w:val="00D74C61"/>
    <w:rsid w:val="00D74D06"/>
    <w:rsid w:val="00D74E9E"/>
    <w:rsid w:val="00D7768A"/>
    <w:rsid w:val="00D77FA5"/>
    <w:rsid w:val="00D8052F"/>
    <w:rsid w:val="00D80CC6"/>
    <w:rsid w:val="00D82630"/>
    <w:rsid w:val="00D839F8"/>
    <w:rsid w:val="00D83BED"/>
    <w:rsid w:val="00D849CE"/>
    <w:rsid w:val="00D84B8D"/>
    <w:rsid w:val="00D86E43"/>
    <w:rsid w:val="00D87319"/>
    <w:rsid w:val="00D87865"/>
    <w:rsid w:val="00D90463"/>
    <w:rsid w:val="00D91053"/>
    <w:rsid w:val="00D9112B"/>
    <w:rsid w:val="00D913AA"/>
    <w:rsid w:val="00D91BA3"/>
    <w:rsid w:val="00D91DB8"/>
    <w:rsid w:val="00D9365E"/>
    <w:rsid w:val="00D94CB0"/>
    <w:rsid w:val="00D959C9"/>
    <w:rsid w:val="00D9748F"/>
    <w:rsid w:val="00D97676"/>
    <w:rsid w:val="00DA03D3"/>
    <w:rsid w:val="00DA0BD4"/>
    <w:rsid w:val="00DA368F"/>
    <w:rsid w:val="00DA5E76"/>
    <w:rsid w:val="00DA61D8"/>
    <w:rsid w:val="00DA6BEF"/>
    <w:rsid w:val="00DA7400"/>
    <w:rsid w:val="00DA7A67"/>
    <w:rsid w:val="00DA7F6A"/>
    <w:rsid w:val="00DB0749"/>
    <w:rsid w:val="00DB097D"/>
    <w:rsid w:val="00DB2EBE"/>
    <w:rsid w:val="00DB347B"/>
    <w:rsid w:val="00DB4C53"/>
    <w:rsid w:val="00DB59DA"/>
    <w:rsid w:val="00DB5A7F"/>
    <w:rsid w:val="00DB5AEF"/>
    <w:rsid w:val="00DB76A0"/>
    <w:rsid w:val="00DC04E1"/>
    <w:rsid w:val="00DC094D"/>
    <w:rsid w:val="00DC5B54"/>
    <w:rsid w:val="00DC7D33"/>
    <w:rsid w:val="00DC7D38"/>
    <w:rsid w:val="00DD0B6E"/>
    <w:rsid w:val="00DD27EE"/>
    <w:rsid w:val="00DD2FA7"/>
    <w:rsid w:val="00DD3316"/>
    <w:rsid w:val="00DD3C26"/>
    <w:rsid w:val="00DD41FE"/>
    <w:rsid w:val="00DD47B5"/>
    <w:rsid w:val="00DD5097"/>
    <w:rsid w:val="00DD6236"/>
    <w:rsid w:val="00DD6725"/>
    <w:rsid w:val="00DD6B01"/>
    <w:rsid w:val="00DD704F"/>
    <w:rsid w:val="00DD7D19"/>
    <w:rsid w:val="00DE1B01"/>
    <w:rsid w:val="00DE29FB"/>
    <w:rsid w:val="00DE2F24"/>
    <w:rsid w:val="00DE4BD3"/>
    <w:rsid w:val="00DE5627"/>
    <w:rsid w:val="00DE5C9B"/>
    <w:rsid w:val="00DE5E03"/>
    <w:rsid w:val="00DE5E09"/>
    <w:rsid w:val="00DE5EA8"/>
    <w:rsid w:val="00DE66FD"/>
    <w:rsid w:val="00DE7622"/>
    <w:rsid w:val="00DF061D"/>
    <w:rsid w:val="00DF150D"/>
    <w:rsid w:val="00DF1904"/>
    <w:rsid w:val="00DF2293"/>
    <w:rsid w:val="00DF232D"/>
    <w:rsid w:val="00DF2FD5"/>
    <w:rsid w:val="00DF32F3"/>
    <w:rsid w:val="00DF468A"/>
    <w:rsid w:val="00DF54B8"/>
    <w:rsid w:val="00DF5E25"/>
    <w:rsid w:val="00DF60AF"/>
    <w:rsid w:val="00DF6934"/>
    <w:rsid w:val="00DF6F4F"/>
    <w:rsid w:val="00DF74E2"/>
    <w:rsid w:val="00DF7B67"/>
    <w:rsid w:val="00DF7C79"/>
    <w:rsid w:val="00E03C64"/>
    <w:rsid w:val="00E049A4"/>
    <w:rsid w:val="00E04BC1"/>
    <w:rsid w:val="00E04EE0"/>
    <w:rsid w:val="00E05777"/>
    <w:rsid w:val="00E0621D"/>
    <w:rsid w:val="00E06D02"/>
    <w:rsid w:val="00E07670"/>
    <w:rsid w:val="00E10047"/>
    <w:rsid w:val="00E12ED0"/>
    <w:rsid w:val="00E1312B"/>
    <w:rsid w:val="00E13B60"/>
    <w:rsid w:val="00E14985"/>
    <w:rsid w:val="00E14BA8"/>
    <w:rsid w:val="00E15C57"/>
    <w:rsid w:val="00E16515"/>
    <w:rsid w:val="00E20FC4"/>
    <w:rsid w:val="00E21458"/>
    <w:rsid w:val="00E2357A"/>
    <w:rsid w:val="00E23DF7"/>
    <w:rsid w:val="00E24735"/>
    <w:rsid w:val="00E24B91"/>
    <w:rsid w:val="00E24CA8"/>
    <w:rsid w:val="00E25760"/>
    <w:rsid w:val="00E257AB"/>
    <w:rsid w:val="00E26A8A"/>
    <w:rsid w:val="00E26B8E"/>
    <w:rsid w:val="00E32410"/>
    <w:rsid w:val="00E33A70"/>
    <w:rsid w:val="00E34E05"/>
    <w:rsid w:val="00E35608"/>
    <w:rsid w:val="00E359BA"/>
    <w:rsid w:val="00E37614"/>
    <w:rsid w:val="00E40FDB"/>
    <w:rsid w:val="00E41260"/>
    <w:rsid w:val="00E4248D"/>
    <w:rsid w:val="00E42529"/>
    <w:rsid w:val="00E43169"/>
    <w:rsid w:val="00E4374F"/>
    <w:rsid w:val="00E43C8E"/>
    <w:rsid w:val="00E44C66"/>
    <w:rsid w:val="00E44EAF"/>
    <w:rsid w:val="00E4586F"/>
    <w:rsid w:val="00E46793"/>
    <w:rsid w:val="00E46E22"/>
    <w:rsid w:val="00E46E77"/>
    <w:rsid w:val="00E476C4"/>
    <w:rsid w:val="00E4779F"/>
    <w:rsid w:val="00E50E75"/>
    <w:rsid w:val="00E52087"/>
    <w:rsid w:val="00E570DD"/>
    <w:rsid w:val="00E60620"/>
    <w:rsid w:val="00E60946"/>
    <w:rsid w:val="00E625CD"/>
    <w:rsid w:val="00E627D5"/>
    <w:rsid w:val="00E6486B"/>
    <w:rsid w:val="00E65520"/>
    <w:rsid w:val="00E65F7A"/>
    <w:rsid w:val="00E66328"/>
    <w:rsid w:val="00E66329"/>
    <w:rsid w:val="00E67A01"/>
    <w:rsid w:val="00E67A3C"/>
    <w:rsid w:val="00E7046F"/>
    <w:rsid w:val="00E707E6"/>
    <w:rsid w:val="00E71382"/>
    <w:rsid w:val="00E736D9"/>
    <w:rsid w:val="00E742DD"/>
    <w:rsid w:val="00E7435C"/>
    <w:rsid w:val="00E744B9"/>
    <w:rsid w:val="00E7471C"/>
    <w:rsid w:val="00E753E3"/>
    <w:rsid w:val="00E7687B"/>
    <w:rsid w:val="00E76DE4"/>
    <w:rsid w:val="00E7743E"/>
    <w:rsid w:val="00E77693"/>
    <w:rsid w:val="00E84591"/>
    <w:rsid w:val="00E84FDA"/>
    <w:rsid w:val="00E8502E"/>
    <w:rsid w:val="00E854AE"/>
    <w:rsid w:val="00E8566C"/>
    <w:rsid w:val="00E9032D"/>
    <w:rsid w:val="00E905DA"/>
    <w:rsid w:val="00E9163A"/>
    <w:rsid w:val="00E9195D"/>
    <w:rsid w:val="00E92241"/>
    <w:rsid w:val="00E927BB"/>
    <w:rsid w:val="00E9291F"/>
    <w:rsid w:val="00E93331"/>
    <w:rsid w:val="00E9343B"/>
    <w:rsid w:val="00E94154"/>
    <w:rsid w:val="00E968EB"/>
    <w:rsid w:val="00EA1130"/>
    <w:rsid w:val="00EA1A22"/>
    <w:rsid w:val="00EA1B34"/>
    <w:rsid w:val="00EA23FA"/>
    <w:rsid w:val="00EA4C8F"/>
    <w:rsid w:val="00EA5300"/>
    <w:rsid w:val="00EA5CCF"/>
    <w:rsid w:val="00EA62A2"/>
    <w:rsid w:val="00EA7A4C"/>
    <w:rsid w:val="00EB07FE"/>
    <w:rsid w:val="00EB0801"/>
    <w:rsid w:val="00EB17BB"/>
    <w:rsid w:val="00EB180C"/>
    <w:rsid w:val="00EB236F"/>
    <w:rsid w:val="00EB24D6"/>
    <w:rsid w:val="00EB380D"/>
    <w:rsid w:val="00EB5339"/>
    <w:rsid w:val="00EB6916"/>
    <w:rsid w:val="00EB6BE3"/>
    <w:rsid w:val="00EB6CB5"/>
    <w:rsid w:val="00EB77A0"/>
    <w:rsid w:val="00EB7E8C"/>
    <w:rsid w:val="00EB7F37"/>
    <w:rsid w:val="00EC00AA"/>
    <w:rsid w:val="00EC0289"/>
    <w:rsid w:val="00EC07DE"/>
    <w:rsid w:val="00EC1A48"/>
    <w:rsid w:val="00EC1DDB"/>
    <w:rsid w:val="00EC3214"/>
    <w:rsid w:val="00EC3F19"/>
    <w:rsid w:val="00EC43F2"/>
    <w:rsid w:val="00EC47EE"/>
    <w:rsid w:val="00EC4D1A"/>
    <w:rsid w:val="00EC5A98"/>
    <w:rsid w:val="00EC5EDC"/>
    <w:rsid w:val="00EC5FC7"/>
    <w:rsid w:val="00EC6289"/>
    <w:rsid w:val="00EC733B"/>
    <w:rsid w:val="00EC7ECC"/>
    <w:rsid w:val="00EC7F44"/>
    <w:rsid w:val="00ED08D5"/>
    <w:rsid w:val="00ED22FC"/>
    <w:rsid w:val="00ED4238"/>
    <w:rsid w:val="00ED44CA"/>
    <w:rsid w:val="00ED4850"/>
    <w:rsid w:val="00ED5250"/>
    <w:rsid w:val="00ED54C8"/>
    <w:rsid w:val="00ED74DE"/>
    <w:rsid w:val="00ED7A33"/>
    <w:rsid w:val="00EE04B1"/>
    <w:rsid w:val="00EE141A"/>
    <w:rsid w:val="00EE154F"/>
    <w:rsid w:val="00EE1F5E"/>
    <w:rsid w:val="00EE290F"/>
    <w:rsid w:val="00EE299A"/>
    <w:rsid w:val="00EE3A91"/>
    <w:rsid w:val="00EE3C7E"/>
    <w:rsid w:val="00EE42A0"/>
    <w:rsid w:val="00EE4D7E"/>
    <w:rsid w:val="00EE6118"/>
    <w:rsid w:val="00EE646B"/>
    <w:rsid w:val="00EE7CE6"/>
    <w:rsid w:val="00EF2048"/>
    <w:rsid w:val="00EF2E08"/>
    <w:rsid w:val="00EF3862"/>
    <w:rsid w:val="00EF4CCC"/>
    <w:rsid w:val="00EF5DB7"/>
    <w:rsid w:val="00EF625F"/>
    <w:rsid w:val="00EF6542"/>
    <w:rsid w:val="00EF7991"/>
    <w:rsid w:val="00EF7CBF"/>
    <w:rsid w:val="00F00078"/>
    <w:rsid w:val="00F001A2"/>
    <w:rsid w:val="00F001EB"/>
    <w:rsid w:val="00F011A9"/>
    <w:rsid w:val="00F012D0"/>
    <w:rsid w:val="00F031B0"/>
    <w:rsid w:val="00F049F5"/>
    <w:rsid w:val="00F04FCD"/>
    <w:rsid w:val="00F06273"/>
    <w:rsid w:val="00F0641C"/>
    <w:rsid w:val="00F06444"/>
    <w:rsid w:val="00F06AE7"/>
    <w:rsid w:val="00F103AD"/>
    <w:rsid w:val="00F1050D"/>
    <w:rsid w:val="00F106CC"/>
    <w:rsid w:val="00F10FB0"/>
    <w:rsid w:val="00F13B6D"/>
    <w:rsid w:val="00F142D6"/>
    <w:rsid w:val="00F14C10"/>
    <w:rsid w:val="00F15238"/>
    <w:rsid w:val="00F164CE"/>
    <w:rsid w:val="00F16FEF"/>
    <w:rsid w:val="00F21168"/>
    <w:rsid w:val="00F21E5E"/>
    <w:rsid w:val="00F21F41"/>
    <w:rsid w:val="00F22710"/>
    <w:rsid w:val="00F23D9D"/>
    <w:rsid w:val="00F25169"/>
    <w:rsid w:val="00F3036F"/>
    <w:rsid w:val="00F324ED"/>
    <w:rsid w:val="00F32965"/>
    <w:rsid w:val="00F32FD8"/>
    <w:rsid w:val="00F335D4"/>
    <w:rsid w:val="00F35A97"/>
    <w:rsid w:val="00F362D1"/>
    <w:rsid w:val="00F368CD"/>
    <w:rsid w:val="00F379A2"/>
    <w:rsid w:val="00F37B3D"/>
    <w:rsid w:val="00F4067B"/>
    <w:rsid w:val="00F42029"/>
    <w:rsid w:val="00F42E26"/>
    <w:rsid w:val="00F47639"/>
    <w:rsid w:val="00F500A7"/>
    <w:rsid w:val="00F51D7F"/>
    <w:rsid w:val="00F5239B"/>
    <w:rsid w:val="00F5292A"/>
    <w:rsid w:val="00F53556"/>
    <w:rsid w:val="00F54555"/>
    <w:rsid w:val="00F559CA"/>
    <w:rsid w:val="00F57016"/>
    <w:rsid w:val="00F57029"/>
    <w:rsid w:val="00F5768B"/>
    <w:rsid w:val="00F60886"/>
    <w:rsid w:val="00F612FC"/>
    <w:rsid w:val="00F62097"/>
    <w:rsid w:val="00F62CE2"/>
    <w:rsid w:val="00F64051"/>
    <w:rsid w:val="00F6456C"/>
    <w:rsid w:val="00F6513B"/>
    <w:rsid w:val="00F66DFB"/>
    <w:rsid w:val="00F6775C"/>
    <w:rsid w:val="00F7009B"/>
    <w:rsid w:val="00F7095B"/>
    <w:rsid w:val="00F70B70"/>
    <w:rsid w:val="00F710D1"/>
    <w:rsid w:val="00F71651"/>
    <w:rsid w:val="00F71A4E"/>
    <w:rsid w:val="00F71C71"/>
    <w:rsid w:val="00F71D59"/>
    <w:rsid w:val="00F73174"/>
    <w:rsid w:val="00F738D0"/>
    <w:rsid w:val="00F75194"/>
    <w:rsid w:val="00F76040"/>
    <w:rsid w:val="00F77611"/>
    <w:rsid w:val="00F8023E"/>
    <w:rsid w:val="00F80439"/>
    <w:rsid w:val="00F8108A"/>
    <w:rsid w:val="00F81146"/>
    <w:rsid w:val="00F828F8"/>
    <w:rsid w:val="00F8452D"/>
    <w:rsid w:val="00F85C8A"/>
    <w:rsid w:val="00F876AB"/>
    <w:rsid w:val="00F87C73"/>
    <w:rsid w:val="00F91101"/>
    <w:rsid w:val="00F912EE"/>
    <w:rsid w:val="00F9222C"/>
    <w:rsid w:val="00F9267C"/>
    <w:rsid w:val="00F93B29"/>
    <w:rsid w:val="00F94D66"/>
    <w:rsid w:val="00F962E6"/>
    <w:rsid w:val="00F96F8B"/>
    <w:rsid w:val="00F97E2F"/>
    <w:rsid w:val="00FA01FD"/>
    <w:rsid w:val="00FA04DF"/>
    <w:rsid w:val="00FA15E0"/>
    <w:rsid w:val="00FA28AA"/>
    <w:rsid w:val="00FA2CFD"/>
    <w:rsid w:val="00FA453E"/>
    <w:rsid w:val="00FA5A46"/>
    <w:rsid w:val="00FA5AF2"/>
    <w:rsid w:val="00FA68CA"/>
    <w:rsid w:val="00FA79D2"/>
    <w:rsid w:val="00FB1FED"/>
    <w:rsid w:val="00FB21D7"/>
    <w:rsid w:val="00FB2AB7"/>
    <w:rsid w:val="00FB39B4"/>
    <w:rsid w:val="00FB3EE4"/>
    <w:rsid w:val="00FB4A3D"/>
    <w:rsid w:val="00FB4FBA"/>
    <w:rsid w:val="00FB50B2"/>
    <w:rsid w:val="00FB526B"/>
    <w:rsid w:val="00FB5AA7"/>
    <w:rsid w:val="00FB6E00"/>
    <w:rsid w:val="00FC1024"/>
    <w:rsid w:val="00FC21F1"/>
    <w:rsid w:val="00FC3214"/>
    <w:rsid w:val="00FC3292"/>
    <w:rsid w:val="00FC3301"/>
    <w:rsid w:val="00FC3F91"/>
    <w:rsid w:val="00FC440D"/>
    <w:rsid w:val="00FC50A6"/>
    <w:rsid w:val="00FC68CB"/>
    <w:rsid w:val="00FC6AE4"/>
    <w:rsid w:val="00FC7422"/>
    <w:rsid w:val="00FD19D6"/>
    <w:rsid w:val="00FD1BBC"/>
    <w:rsid w:val="00FD28BC"/>
    <w:rsid w:val="00FD2F40"/>
    <w:rsid w:val="00FD4093"/>
    <w:rsid w:val="00FD55E4"/>
    <w:rsid w:val="00FD66B9"/>
    <w:rsid w:val="00FD7DC6"/>
    <w:rsid w:val="00FE0B01"/>
    <w:rsid w:val="00FE0DE6"/>
    <w:rsid w:val="00FE1CBB"/>
    <w:rsid w:val="00FE23EB"/>
    <w:rsid w:val="00FE4C8D"/>
    <w:rsid w:val="00FE52E8"/>
    <w:rsid w:val="00FE609B"/>
    <w:rsid w:val="00FE6F29"/>
    <w:rsid w:val="00FE73BF"/>
    <w:rsid w:val="00FF0090"/>
    <w:rsid w:val="00FF0399"/>
    <w:rsid w:val="00FF0DD9"/>
    <w:rsid w:val="00FF0EC0"/>
    <w:rsid w:val="00FF2A3A"/>
    <w:rsid w:val="00FF2FF8"/>
    <w:rsid w:val="00FF416D"/>
    <w:rsid w:val="00FF42AE"/>
    <w:rsid w:val="00FF55ED"/>
    <w:rsid w:val="00FF66DF"/>
    <w:rsid w:val="00FF7710"/>
    <w:rsid w:val="00FF7894"/>
    <w:rsid w:val="03435616"/>
    <w:rsid w:val="0498DFD5"/>
    <w:rsid w:val="06014904"/>
    <w:rsid w:val="0778FEB1"/>
    <w:rsid w:val="087BCC6D"/>
    <w:rsid w:val="08D4D6A2"/>
    <w:rsid w:val="09324875"/>
    <w:rsid w:val="09727D85"/>
    <w:rsid w:val="0BF2CE40"/>
    <w:rsid w:val="0E235F38"/>
    <w:rsid w:val="0F983BC6"/>
    <w:rsid w:val="10EAB89F"/>
    <w:rsid w:val="1127D7C3"/>
    <w:rsid w:val="11D2FE01"/>
    <w:rsid w:val="133913ED"/>
    <w:rsid w:val="1A49ECE9"/>
    <w:rsid w:val="1B44EF20"/>
    <w:rsid w:val="23B9E151"/>
    <w:rsid w:val="26EE1556"/>
    <w:rsid w:val="2808B6EC"/>
    <w:rsid w:val="2B0CD8E6"/>
    <w:rsid w:val="308F76B0"/>
    <w:rsid w:val="36294EE6"/>
    <w:rsid w:val="39123F4B"/>
    <w:rsid w:val="4159BBCC"/>
    <w:rsid w:val="44A75796"/>
    <w:rsid w:val="47AB21CE"/>
    <w:rsid w:val="52682FE9"/>
    <w:rsid w:val="5766767C"/>
    <w:rsid w:val="58DEBECC"/>
    <w:rsid w:val="58E0999B"/>
    <w:rsid w:val="5BF65BE7"/>
    <w:rsid w:val="5D62E3FD"/>
    <w:rsid w:val="5DF4D3C8"/>
    <w:rsid w:val="5E86B6AE"/>
    <w:rsid w:val="62FF30AE"/>
    <w:rsid w:val="650349A7"/>
    <w:rsid w:val="66326F81"/>
    <w:rsid w:val="697A6FBE"/>
    <w:rsid w:val="71492419"/>
    <w:rsid w:val="71CD5AFA"/>
    <w:rsid w:val="71F9BC8B"/>
    <w:rsid w:val="736CFF8D"/>
    <w:rsid w:val="73819407"/>
    <w:rsid w:val="74D9AE5E"/>
    <w:rsid w:val="7696DED2"/>
    <w:rsid w:val="7F1610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5C4535"/>
  <w14:defaultImageDpi w14:val="330"/>
  <w15:docId w15:val="{B8723FC8-9BC4-2E42-B35C-3924A316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5F7"/>
    <w:rPr>
      <w:rFonts w:ascii="Times New Roman" w:eastAsia="Times New Roman" w:hAnsi="Times New Roman" w:cs="Times New Roman"/>
    </w:rPr>
  </w:style>
  <w:style w:type="paragraph" w:styleId="Heading1">
    <w:name w:val="heading 1"/>
    <w:basedOn w:val="Normal"/>
    <w:next w:val="Normal"/>
    <w:link w:val="Heading1Char"/>
    <w:uiPriority w:val="9"/>
    <w:qFormat/>
    <w:rsid w:val="00C206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45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6A2397"/>
    <w:pPr>
      <w:keepNext/>
      <w:spacing w:line="360" w:lineRule="auto"/>
      <w:outlineLvl w:val="2"/>
    </w:pPr>
    <w:rPr>
      <w:sz w:val="28"/>
      <w:szCs w:val="20"/>
      <w:lang w:val="en-US"/>
    </w:rPr>
  </w:style>
  <w:style w:type="paragraph" w:styleId="Heading6">
    <w:name w:val="heading 6"/>
    <w:basedOn w:val="Normal"/>
    <w:next w:val="Normal"/>
    <w:link w:val="Heading6Char"/>
    <w:uiPriority w:val="9"/>
    <w:unhideWhenUsed/>
    <w:qFormat/>
    <w:rsid w:val="006A2397"/>
    <w:pPr>
      <w:keepNext/>
      <w:keepLines/>
      <w:spacing w:before="40"/>
      <w:outlineLvl w:val="5"/>
    </w:pPr>
    <w:rPr>
      <w:rFonts w:asciiTheme="majorHAnsi" w:eastAsiaTheme="majorEastAsia" w:hAnsiTheme="majorHAnsi" w:cstheme="majorBidi"/>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2397"/>
    <w:rPr>
      <w:rFonts w:ascii="Times New Roman" w:eastAsia="Times New Roman" w:hAnsi="Times New Roman" w:cs="Times New Roman"/>
      <w:sz w:val="28"/>
      <w:szCs w:val="20"/>
      <w:lang w:val="en-US"/>
    </w:rPr>
  </w:style>
  <w:style w:type="character" w:customStyle="1" w:styleId="Heading6Char">
    <w:name w:val="Heading 6 Char"/>
    <w:basedOn w:val="DefaultParagraphFont"/>
    <w:link w:val="Heading6"/>
    <w:uiPriority w:val="9"/>
    <w:rsid w:val="006A2397"/>
    <w:rPr>
      <w:rFonts w:asciiTheme="majorHAnsi" w:eastAsiaTheme="majorEastAsia" w:hAnsiTheme="majorHAnsi" w:cstheme="majorBidi"/>
      <w:color w:val="1F4D78" w:themeColor="accent1" w:themeShade="7F"/>
      <w:lang w:val="en-US"/>
    </w:rPr>
  </w:style>
  <w:style w:type="character" w:styleId="Hyperlink">
    <w:name w:val="Hyperlink"/>
    <w:basedOn w:val="DefaultParagraphFont"/>
    <w:uiPriority w:val="99"/>
    <w:unhideWhenUsed/>
    <w:rsid w:val="002C28FB"/>
    <w:rPr>
      <w:color w:val="0563C1" w:themeColor="hyperlink"/>
      <w:u w:val="single"/>
    </w:rPr>
  </w:style>
  <w:style w:type="character" w:styleId="Strong">
    <w:name w:val="Strong"/>
    <w:basedOn w:val="DefaultParagraphFont"/>
    <w:uiPriority w:val="22"/>
    <w:qFormat/>
    <w:rsid w:val="00913FBD"/>
    <w:rPr>
      <w:b/>
      <w:bCs/>
    </w:rPr>
  </w:style>
  <w:style w:type="character" w:customStyle="1" w:styleId="selectable">
    <w:name w:val="selectable"/>
    <w:basedOn w:val="DefaultParagraphFont"/>
    <w:rsid w:val="00913FBD"/>
  </w:style>
  <w:style w:type="character" w:customStyle="1" w:styleId="apple-converted-space">
    <w:name w:val="apple-converted-space"/>
    <w:basedOn w:val="DefaultParagraphFont"/>
    <w:rsid w:val="0045068D"/>
    <w:rPr>
      <w:rFonts w:cs="Times New Roman"/>
    </w:r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rPr>
      <w:rFonts w:eastAsiaTheme="minorHAnsi"/>
      <w:sz w:val="20"/>
      <w:szCs w:val="20"/>
    </w:rPr>
  </w:style>
  <w:style w:type="character" w:styleId="CommentReference">
    <w:name w:val="annotation reference"/>
    <w:basedOn w:val="DefaultParagraphFont"/>
    <w:uiPriority w:val="99"/>
    <w:semiHidden/>
    <w:unhideWhenUsed/>
    <w:rsid w:val="006A2397"/>
    <w:rPr>
      <w:sz w:val="18"/>
      <w:szCs w:val="18"/>
    </w:rPr>
  </w:style>
  <w:style w:type="paragraph" w:styleId="CommentText">
    <w:name w:val="annotation text"/>
    <w:basedOn w:val="Normal"/>
    <w:link w:val="CommentTextChar"/>
    <w:uiPriority w:val="99"/>
    <w:unhideWhenUsed/>
    <w:rsid w:val="006A2397"/>
    <w:rPr>
      <w:rFonts w:eastAsiaTheme="minorHAnsi"/>
      <w:lang w:val="en-US"/>
    </w:rPr>
  </w:style>
  <w:style w:type="character" w:customStyle="1" w:styleId="CommentTextChar">
    <w:name w:val="Comment Text Char"/>
    <w:basedOn w:val="DefaultParagraphFont"/>
    <w:link w:val="CommentText"/>
    <w:uiPriority w:val="99"/>
    <w:rsid w:val="006A2397"/>
    <w:rPr>
      <w:rFonts w:ascii="Times New Roman" w:hAnsi="Times New Roman" w:cs="Times New Roman"/>
      <w:lang w:val="en-US"/>
    </w:rPr>
  </w:style>
  <w:style w:type="character" w:customStyle="1" w:styleId="CommentSubjectChar">
    <w:name w:val="Comment Subject Char"/>
    <w:basedOn w:val="CommentTextChar"/>
    <w:link w:val="CommentSubject"/>
    <w:uiPriority w:val="99"/>
    <w:semiHidden/>
    <w:rsid w:val="006A2397"/>
    <w:rPr>
      <w:rFonts w:ascii="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6A2397"/>
    <w:rPr>
      <w:b/>
      <w:bCs/>
      <w:sz w:val="20"/>
      <w:szCs w:val="20"/>
    </w:rPr>
  </w:style>
  <w:style w:type="paragraph" w:styleId="BalloonText">
    <w:name w:val="Balloon Text"/>
    <w:basedOn w:val="Normal"/>
    <w:link w:val="BalloonTextChar"/>
    <w:uiPriority w:val="99"/>
    <w:semiHidden/>
    <w:unhideWhenUsed/>
    <w:rsid w:val="006A2397"/>
    <w:rPr>
      <w:rFonts w:ascii="Lucida Grande" w:eastAsiaTheme="minorHAnsi" w:hAnsi="Lucida Grande"/>
      <w:sz w:val="18"/>
      <w:szCs w:val="18"/>
      <w:lang w:val="en-US"/>
    </w:rPr>
  </w:style>
  <w:style w:type="character" w:customStyle="1" w:styleId="BalloonTextChar">
    <w:name w:val="Balloon Text Char"/>
    <w:basedOn w:val="DefaultParagraphFont"/>
    <w:link w:val="BalloonText"/>
    <w:uiPriority w:val="99"/>
    <w:semiHidden/>
    <w:rsid w:val="006A2397"/>
    <w:rPr>
      <w:rFonts w:ascii="Lucida Grande" w:hAnsi="Lucida Grande" w:cs="Times New Roman"/>
      <w:sz w:val="18"/>
      <w:szCs w:val="18"/>
      <w:lang w:val="en-US"/>
    </w:rPr>
  </w:style>
  <w:style w:type="table" w:styleId="TableGrid">
    <w:name w:val="Table Grid"/>
    <w:basedOn w:val="TableNormal"/>
    <w:uiPriority w:val="39"/>
    <w:rsid w:val="006A239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2397"/>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6A2397"/>
    <w:rPr>
      <w:rFonts w:ascii="Times New Roman" w:hAnsi="Times New Roman" w:cs="Times New Roman"/>
      <w:lang w:val="en-US"/>
    </w:rPr>
  </w:style>
  <w:style w:type="paragraph" w:styleId="Footer">
    <w:name w:val="footer"/>
    <w:basedOn w:val="Normal"/>
    <w:link w:val="FooterChar"/>
    <w:uiPriority w:val="99"/>
    <w:unhideWhenUsed/>
    <w:rsid w:val="006A2397"/>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6A2397"/>
    <w:rPr>
      <w:rFonts w:ascii="Times New Roman" w:hAnsi="Times New Roman" w:cs="Times New Roman"/>
      <w:lang w:val="en-US"/>
    </w:rPr>
  </w:style>
  <w:style w:type="paragraph" w:styleId="BodyText3">
    <w:name w:val="Body Text 3"/>
    <w:basedOn w:val="Normal"/>
    <w:link w:val="BodyText3Char"/>
    <w:uiPriority w:val="99"/>
    <w:unhideWhenUsed/>
    <w:rsid w:val="006A2397"/>
    <w:pPr>
      <w:spacing w:after="120"/>
    </w:pPr>
    <w:rPr>
      <w:rFonts w:eastAsiaTheme="minorHAnsi"/>
      <w:sz w:val="16"/>
      <w:szCs w:val="16"/>
      <w:lang w:val="en-US"/>
    </w:rPr>
  </w:style>
  <w:style w:type="character" w:customStyle="1" w:styleId="BodyText3Char">
    <w:name w:val="Body Text 3 Char"/>
    <w:basedOn w:val="DefaultParagraphFont"/>
    <w:link w:val="BodyText3"/>
    <w:uiPriority w:val="99"/>
    <w:rsid w:val="006A2397"/>
    <w:rPr>
      <w:rFonts w:ascii="Times New Roman" w:hAnsi="Times New Roman" w:cs="Times New Roman"/>
      <w:sz w:val="16"/>
      <w:szCs w:val="16"/>
      <w:lang w:val="en-US"/>
    </w:rPr>
  </w:style>
  <w:style w:type="character" w:customStyle="1" w:styleId="DocumentMapChar">
    <w:name w:val="Document Map Char"/>
    <w:basedOn w:val="DefaultParagraphFont"/>
    <w:link w:val="DocumentMap"/>
    <w:uiPriority w:val="99"/>
    <w:semiHidden/>
    <w:rsid w:val="006A2397"/>
    <w:rPr>
      <w:rFonts w:ascii="Times New Roman" w:hAnsi="Times New Roman" w:cs="Times New Roman"/>
      <w:lang w:eastAsia="en-GB"/>
    </w:rPr>
  </w:style>
  <w:style w:type="paragraph" w:styleId="DocumentMap">
    <w:name w:val="Document Map"/>
    <w:basedOn w:val="Normal"/>
    <w:link w:val="DocumentMapChar"/>
    <w:uiPriority w:val="99"/>
    <w:semiHidden/>
    <w:unhideWhenUsed/>
    <w:rsid w:val="006A2397"/>
  </w:style>
  <w:style w:type="paragraph" w:styleId="ListParagraph">
    <w:name w:val="List Paragraph"/>
    <w:basedOn w:val="Normal"/>
    <w:uiPriority w:val="34"/>
    <w:qFormat/>
    <w:rsid w:val="006A2397"/>
    <w:pPr>
      <w:ind w:left="720"/>
      <w:contextualSpacing/>
    </w:pPr>
    <w:rPr>
      <w:rFonts w:eastAsiaTheme="minorHAnsi"/>
      <w:lang w:val="en-US"/>
    </w:rPr>
  </w:style>
  <w:style w:type="character" w:styleId="PageNumber">
    <w:name w:val="page number"/>
    <w:basedOn w:val="DefaultParagraphFont"/>
    <w:uiPriority w:val="99"/>
    <w:semiHidden/>
    <w:unhideWhenUsed/>
    <w:rsid w:val="00B2415B"/>
  </w:style>
  <w:style w:type="character" w:styleId="FollowedHyperlink">
    <w:name w:val="FollowedHyperlink"/>
    <w:basedOn w:val="DefaultParagraphFont"/>
    <w:uiPriority w:val="99"/>
    <w:semiHidden/>
    <w:unhideWhenUsed/>
    <w:rsid w:val="002348E9"/>
    <w:rPr>
      <w:color w:val="954F72" w:themeColor="followedHyperlink"/>
      <w:u w:val="single"/>
    </w:rPr>
  </w:style>
  <w:style w:type="paragraph" w:styleId="Revision">
    <w:name w:val="Revision"/>
    <w:hidden/>
    <w:uiPriority w:val="99"/>
    <w:semiHidden/>
    <w:rsid w:val="000A0394"/>
    <w:rPr>
      <w:rFonts w:ascii="Times New Roman" w:hAnsi="Times New Roman" w:cs="Times New Roman"/>
      <w:lang w:eastAsia="en-GB"/>
    </w:rPr>
  </w:style>
  <w:style w:type="character" w:customStyle="1" w:styleId="author">
    <w:name w:val="author"/>
    <w:basedOn w:val="DefaultParagraphFont"/>
    <w:rsid w:val="003B7AB6"/>
  </w:style>
  <w:style w:type="character" w:customStyle="1" w:styleId="pubyear">
    <w:name w:val="pubyear"/>
    <w:basedOn w:val="DefaultParagraphFont"/>
    <w:rsid w:val="003B7AB6"/>
  </w:style>
  <w:style w:type="character" w:customStyle="1" w:styleId="articletitle">
    <w:name w:val="articletitle"/>
    <w:basedOn w:val="DefaultParagraphFont"/>
    <w:rsid w:val="003B7AB6"/>
  </w:style>
  <w:style w:type="character" w:customStyle="1" w:styleId="journaltitle">
    <w:name w:val="journaltitle"/>
    <w:basedOn w:val="DefaultParagraphFont"/>
    <w:rsid w:val="003B7AB6"/>
  </w:style>
  <w:style w:type="character" w:customStyle="1" w:styleId="vol">
    <w:name w:val="vol"/>
    <w:basedOn w:val="DefaultParagraphFont"/>
    <w:rsid w:val="003B7AB6"/>
  </w:style>
  <w:style w:type="character" w:customStyle="1" w:styleId="citedissue">
    <w:name w:val="citedissue"/>
    <w:basedOn w:val="DefaultParagraphFont"/>
    <w:rsid w:val="003B7AB6"/>
  </w:style>
  <w:style w:type="character" w:customStyle="1" w:styleId="pagefirst">
    <w:name w:val="pagefirst"/>
    <w:basedOn w:val="DefaultParagraphFont"/>
    <w:rsid w:val="003B7AB6"/>
  </w:style>
  <w:style w:type="character" w:customStyle="1" w:styleId="pagelast">
    <w:name w:val="pagelast"/>
    <w:basedOn w:val="DefaultParagraphFont"/>
    <w:rsid w:val="003B7AB6"/>
  </w:style>
  <w:style w:type="character" w:customStyle="1" w:styleId="groupname">
    <w:name w:val="groupname"/>
    <w:basedOn w:val="DefaultParagraphFont"/>
    <w:rsid w:val="003B7AB6"/>
  </w:style>
  <w:style w:type="character" w:customStyle="1" w:styleId="othertitle">
    <w:name w:val="othertitle"/>
    <w:basedOn w:val="DefaultParagraphFont"/>
    <w:rsid w:val="003B7AB6"/>
  </w:style>
  <w:style w:type="paragraph" w:styleId="NormalWeb">
    <w:name w:val="Normal (Web)"/>
    <w:basedOn w:val="Normal"/>
    <w:uiPriority w:val="99"/>
    <w:unhideWhenUsed/>
    <w:rsid w:val="003B7AB6"/>
    <w:pPr>
      <w:spacing w:before="100" w:beforeAutospacing="1" w:after="100" w:afterAutospacing="1"/>
    </w:pPr>
    <w:rPr>
      <w:rFonts w:eastAsiaTheme="minorHAnsi"/>
      <w:lang w:val="en-US"/>
    </w:rPr>
  </w:style>
  <w:style w:type="paragraph" w:styleId="EndnoteText">
    <w:name w:val="endnote text"/>
    <w:basedOn w:val="Normal"/>
    <w:link w:val="EndnoteTextChar"/>
    <w:uiPriority w:val="99"/>
    <w:unhideWhenUsed/>
    <w:rsid w:val="00FC1024"/>
    <w:rPr>
      <w:rFonts w:eastAsiaTheme="minorHAnsi"/>
    </w:rPr>
  </w:style>
  <w:style w:type="character" w:customStyle="1" w:styleId="EndnoteTextChar">
    <w:name w:val="Endnote Text Char"/>
    <w:basedOn w:val="DefaultParagraphFont"/>
    <w:link w:val="EndnoteText"/>
    <w:uiPriority w:val="99"/>
    <w:rsid w:val="00FC1024"/>
    <w:rPr>
      <w:rFonts w:ascii="Times New Roman" w:hAnsi="Times New Roman" w:cs="Times New Roman"/>
      <w:lang w:eastAsia="en-GB"/>
    </w:rPr>
  </w:style>
  <w:style w:type="character" w:styleId="EndnoteReference">
    <w:name w:val="endnote reference"/>
    <w:basedOn w:val="DefaultParagraphFont"/>
    <w:uiPriority w:val="99"/>
    <w:unhideWhenUsed/>
    <w:rsid w:val="00FC1024"/>
    <w:rPr>
      <w:vertAlign w:val="superscript"/>
    </w:rPr>
  </w:style>
  <w:style w:type="character" w:customStyle="1" w:styleId="Heading1Char">
    <w:name w:val="Heading 1 Char"/>
    <w:basedOn w:val="DefaultParagraphFont"/>
    <w:link w:val="Heading1"/>
    <w:uiPriority w:val="9"/>
    <w:rsid w:val="00C20632"/>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semiHidden/>
    <w:rsid w:val="00324577"/>
    <w:rPr>
      <w:rFonts w:asciiTheme="majorHAnsi" w:eastAsiaTheme="majorEastAsia" w:hAnsiTheme="majorHAnsi" w:cstheme="majorBidi"/>
      <w:color w:val="2E74B5" w:themeColor="accent1" w:themeShade="BF"/>
      <w:sz w:val="26"/>
      <w:szCs w:val="26"/>
      <w:lang w:eastAsia="en-GB"/>
    </w:rPr>
  </w:style>
  <w:style w:type="character" w:customStyle="1" w:styleId="UnresolvedMention1">
    <w:name w:val="Unresolved Mention1"/>
    <w:basedOn w:val="DefaultParagraphFont"/>
    <w:uiPriority w:val="99"/>
    <w:rsid w:val="00324577"/>
    <w:rPr>
      <w:color w:val="808080"/>
      <w:shd w:val="clear" w:color="auto" w:fill="E6E6E6"/>
    </w:rPr>
  </w:style>
  <w:style w:type="character" w:styleId="Emphasis">
    <w:name w:val="Emphasis"/>
    <w:basedOn w:val="DefaultParagraphFont"/>
    <w:uiPriority w:val="20"/>
    <w:qFormat/>
    <w:rsid w:val="00FE609B"/>
    <w:rPr>
      <w:i/>
      <w:iCs/>
    </w:rPr>
  </w:style>
  <w:style w:type="paragraph" w:customStyle="1" w:styleId="paragraph">
    <w:name w:val="paragraph"/>
    <w:basedOn w:val="Normal"/>
    <w:rsid w:val="00182DC1"/>
    <w:pPr>
      <w:spacing w:before="100" w:beforeAutospacing="1" w:after="100" w:afterAutospacing="1"/>
    </w:pPr>
  </w:style>
  <w:style w:type="character" w:customStyle="1" w:styleId="normaltextrun">
    <w:name w:val="normaltextrun"/>
    <w:basedOn w:val="DefaultParagraphFont"/>
    <w:rsid w:val="00182DC1"/>
  </w:style>
  <w:style w:type="character" w:customStyle="1" w:styleId="eop">
    <w:name w:val="eop"/>
    <w:basedOn w:val="DefaultParagraphFont"/>
    <w:rsid w:val="00182DC1"/>
  </w:style>
  <w:style w:type="character" w:customStyle="1" w:styleId="spellingerror">
    <w:name w:val="spellingerror"/>
    <w:basedOn w:val="DefaultParagraphFont"/>
    <w:rsid w:val="00182DC1"/>
  </w:style>
  <w:style w:type="character" w:customStyle="1" w:styleId="contextualspellingandgrammarerror">
    <w:name w:val="contextualspellingandgrammarerror"/>
    <w:basedOn w:val="DefaultParagraphFont"/>
    <w:rsid w:val="00182DC1"/>
  </w:style>
  <w:style w:type="character" w:customStyle="1" w:styleId="pagebreaktextspan">
    <w:name w:val="pagebreaktextspan"/>
    <w:basedOn w:val="DefaultParagraphFont"/>
    <w:rsid w:val="005B55F2"/>
  </w:style>
  <w:style w:type="character" w:customStyle="1" w:styleId="UnresolvedMention2">
    <w:name w:val="Unresolved Mention2"/>
    <w:basedOn w:val="DefaultParagraphFont"/>
    <w:uiPriority w:val="99"/>
    <w:semiHidden/>
    <w:unhideWhenUsed/>
    <w:rsid w:val="00255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9105">
      <w:bodyDiv w:val="1"/>
      <w:marLeft w:val="0"/>
      <w:marRight w:val="0"/>
      <w:marTop w:val="0"/>
      <w:marBottom w:val="0"/>
      <w:divBdr>
        <w:top w:val="none" w:sz="0" w:space="0" w:color="auto"/>
        <w:left w:val="none" w:sz="0" w:space="0" w:color="auto"/>
        <w:bottom w:val="none" w:sz="0" w:space="0" w:color="auto"/>
        <w:right w:val="none" w:sz="0" w:space="0" w:color="auto"/>
      </w:divBdr>
    </w:div>
    <w:div w:id="27486623">
      <w:bodyDiv w:val="1"/>
      <w:marLeft w:val="0"/>
      <w:marRight w:val="0"/>
      <w:marTop w:val="0"/>
      <w:marBottom w:val="0"/>
      <w:divBdr>
        <w:top w:val="none" w:sz="0" w:space="0" w:color="auto"/>
        <w:left w:val="none" w:sz="0" w:space="0" w:color="auto"/>
        <w:bottom w:val="none" w:sz="0" w:space="0" w:color="auto"/>
        <w:right w:val="none" w:sz="0" w:space="0" w:color="auto"/>
      </w:divBdr>
    </w:div>
    <w:div w:id="37556330">
      <w:bodyDiv w:val="1"/>
      <w:marLeft w:val="0"/>
      <w:marRight w:val="0"/>
      <w:marTop w:val="0"/>
      <w:marBottom w:val="0"/>
      <w:divBdr>
        <w:top w:val="none" w:sz="0" w:space="0" w:color="auto"/>
        <w:left w:val="none" w:sz="0" w:space="0" w:color="auto"/>
        <w:bottom w:val="none" w:sz="0" w:space="0" w:color="auto"/>
        <w:right w:val="none" w:sz="0" w:space="0" w:color="auto"/>
      </w:divBdr>
    </w:div>
    <w:div w:id="53243001">
      <w:bodyDiv w:val="1"/>
      <w:marLeft w:val="0"/>
      <w:marRight w:val="0"/>
      <w:marTop w:val="0"/>
      <w:marBottom w:val="0"/>
      <w:divBdr>
        <w:top w:val="none" w:sz="0" w:space="0" w:color="auto"/>
        <w:left w:val="none" w:sz="0" w:space="0" w:color="auto"/>
        <w:bottom w:val="none" w:sz="0" w:space="0" w:color="auto"/>
        <w:right w:val="none" w:sz="0" w:space="0" w:color="auto"/>
      </w:divBdr>
    </w:div>
    <w:div w:id="60257710">
      <w:bodyDiv w:val="1"/>
      <w:marLeft w:val="0"/>
      <w:marRight w:val="0"/>
      <w:marTop w:val="0"/>
      <w:marBottom w:val="0"/>
      <w:divBdr>
        <w:top w:val="none" w:sz="0" w:space="0" w:color="auto"/>
        <w:left w:val="none" w:sz="0" w:space="0" w:color="auto"/>
        <w:bottom w:val="none" w:sz="0" w:space="0" w:color="auto"/>
        <w:right w:val="none" w:sz="0" w:space="0" w:color="auto"/>
      </w:divBdr>
    </w:div>
    <w:div w:id="77678863">
      <w:bodyDiv w:val="1"/>
      <w:marLeft w:val="0"/>
      <w:marRight w:val="0"/>
      <w:marTop w:val="0"/>
      <w:marBottom w:val="0"/>
      <w:divBdr>
        <w:top w:val="none" w:sz="0" w:space="0" w:color="auto"/>
        <w:left w:val="none" w:sz="0" w:space="0" w:color="auto"/>
        <w:bottom w:val="none" w:sz="0" w:space="0" w:color="auto"/>
        <w:right w:val="none" w:sz="0" w:space="0" w:color="auto"/>
      </w:divBdr>
      <w:divsChild>
        <w:div w:id="311639707">
          <w:marLeft w:val="0"/>
          <w:marRight w:val="0"/>
          <w:marTop w:val="0"/>
          <w:marBottom w:val="0"/>
          <w:divBdr>
            <w:top w:val="none" w:sz="0" w:space="0" w:color="auto"/>
            <w:left w:val="none" w:sz="0" w:space="0" w:color="auto"/>
            <w:bottom w:val="none" w:sz="0" w:space="0" w:color="auto"/>
            <w:right w:val="none" w:sz="0" w:space="0" w:color="auto"/>
          </w:divBdr>
        </w:div>
        <w:div w:id="1398549991">
          <w:marLeft w:val="0"/>
          <w:marRight w:val="0"/>
          <w:marTop w:val="0"/>
          <w:marBottom w:val="0"/>
          <w:divBdr>
            <w:top w:val="none" w:sz="0" w:space="0" w:color="auto"/>
            <w:left w:val="none" w:sz="0" w:space="0" w:color="auto"/>
            <w:bottom w:val="none" w:sz="0" w:space="0" w:color="auto"/>
            <w:right w:val="none" w:sz="0" w:space="0" w:color="auto"/>
          </w:divBdr>
        </w:div>
      </w:divsChild>
    </w:div>
    <w:div w:id="120806329">
      <w:bodyDiv w:val="1"/>
      <w:marLeft w:val="0"/>
      <w:marRight w:val="0"/>
      <w:marTop w:val="0"/>
      <w:marBottom w:val="0"/>
      <w:divBdr>
        <w:top w:val="none" w:sz="0" w:space="0" w:color="auto"/>
        <w:left w:val="none" w:sz="0" w:space="0" w:color="auto"/>
        <w:bottom w:val="none" w:sz="0" w:space="0" w:color="auto"/>
        <w:right w:val="none" w:sz="0" w:space="0" w:color="auto"/>
      </w:divBdr>
    </w:div>
    <w:div w:id="125776981">
      <w:bodyDiv w:val="1"/>
      <w:marLeft w:val="0"/>
      <w:marRight w:val="0"/>
      <w:marTop w:val="0"/>
      <w:marBottom w:val="0"/>
      <w:divBdr>
        <w:top w:val="none" w:sz="0" w:space="0" w:color="auto"/>
        <w:left w:val="none" w:sz="0" w:space="0" w:color="auto"/>
        <w:bottom w:val="none" w:sz="0" w:space="0" w:color="auto"/>
        <w:right w:val="none" w:sz="0" w:space="0" w:color="auto"/>
      </w:divBdr>
    </w:div>
    <w:div w:id="131949888">
      <w:bodyDiv w:val="1"/>
      <w:marLeft w:val="0"/>
      <w:marRight w:val="0"/>
      <w:marTop w:val="0"/>
      <w:marBottom w:val="0"/>
      <w:divBdr>
        <w:top w:val="none" w:sz="0" w:space="0" w:color="auto"/>
        <w:left w:val="none" w:sz="0" w:space="0" w:color="auto"/>
        <w:bottom w:val="none" w:sz="0" w:space="0" w:color="auto"/>
        <w:right w:val="none" w:sz="0" w:space="0" w:color="auto"/>
      </w:divBdr>
    </w:div>
    <w:div w:id="132603300">
      <w:bodyDiv w:val="1"/>
      <w:marLeft w:val="0"/>
      <w:marRight w:val="0"/>
      <w:marTop w:val="0"/>
      <w:marBottom w:val="0"/>
      <w:divBdr>
        <w:top w:val="none" w:sz="0" w:space="0" w:color="auto"/>
        <w:left w:val="none" w:sz="0" w:space="0" w:color="auto"/>
        <w:bottom w:val="none" w:sz="0" w:space="0" w:color="auto"/>
        <w:right w:val="none" w:sz="0" w:space="0" w:color="auto"/>
      </w:divBdr>
    </w:div>
    <w:div w:id="135611885">
      <w:bodyDiv w:val="1"/>
      <w:marLeft w:val="0"/>
      <w:marRight w:val="0"/>
      <w:marTop w:val="0"/>
      <w:marBottom w:val="0"/>
      <w:divBdr>
        <w:top w:val="none" w:sz="0" w:space="0" w:color="auto"/>
        <w:left w:val="none" w:sz="0" w:space="0" w:color="auto"/>
        <w:bottom w:val="none" w:sz="0" w:space="0" w:color="auto"/>
        <w:right w:val="none" w:sz="0" w:space="0" w:color="auto"/>
      </w:divBdr>
    </w:div>
    <w:div w:id="161511575">
      <w:bodyDiv w:val="1"/>
      <w:marLeft w:val="0"/>
      <w:marRight w:val="0"/>
      <w:marTop w:val="0"/>
      <w:marBottom w:val="0"/>
      <w:divBdr>
        <w:top w:val="none" w:sz="0" w:space="0" w:color="auto"/>
        <w:left w:val="none" w:sz="0" w:space="0" w:color="auto"/>
        <w:bottom w:val="none" w:sz="0" w:space="0" w:color="auto"/>
        <w:right w:val="none" w:sz="0" w:space="0" w:color="auto"/>
      </w:divBdr>
    </w:div>
    <w:div w:id="162942802">
      <w:bodyDiv w:val="1"/>
      <w:marLeft w:val="0"/>
      <w:marRight w:val="0"/>
      <w:marTop w:val="0"/>
      <w:marBottom w:val="0"/>
      <w:divBdr>
        <w:top w:val="none" w:sz="0" w:space="0" w:color="auto"/>
        <w:left w:val="none" w:sz="0" w:space="0" w:color="auto"/>
        <w:bottom w:val="none" w:sz="0" w:space="0" w:color="auto"/>
        <w:right w:val="none" w:sz="0" w:space="0" w:color="auto"/>
      </w:divBdr>
    </w:div>
    <w:div w:id="175847506">
      <w:bodyDiv w:val="1"/>
      <w:marLeft w:val="0"/>
      <w:marRight w:val="0"/>
      <w:marTop w:val="0"/>
      <w:marBottom w:val="0"/>
      <w:divBdr>
        <w:top w:val="none" w:sz="0" w:space="0" w:color="auto"/>
        <w:left w:val="none" w:sz="0" w:space="0" w:color="auto"/>
        <w:bottom w:val="none" w:sz="0" w:space="0" w:color="auto"/>
        <w:right w:val="none" w:sz="0" w:space="0" w:color="auto"/>
      </w:divBdr>
    </w:div>
    <w:div w:id="176972073">
      <w:bodyDiv w:val="1"/>
      <w:marLeft w:val="0"/>
      <w:marRight w:val="0"/>
      <w:marTop w:val="0"/>
      <w:marBottom w:val="0"/>
      <w:divBdr>
        <w:top w:val="none" w:sz="0" w:space="0" w:color="auto"/>
        <w:left w:val="none" w:sz="0" w:space="0" w:color="auto"/>
        <w:bottom w:val="none" w:sz="0" w:space="0" w:color="auto"/>
        <w:right w:val="none" w:sz="0" w:space="0" w:color="auto"/>
      </w:divBdr>
    </w:div>
    <w:div w:id="192110413">
      <w:bodyDiv w:val="1"/>
      <w:marLeft w:val="0"/>
      <w:marRight w:val="0"/>
      <w:marTop w:val="0"/>
      <w:marBottom w:val="0"/>
      <w:divBdr>
        <w:top w:val="none" w:sz="0" w:space="0" w:color="auto"/>
        <w:left w:val="none" w:sz="0" w:space="0" w:color="auto"/>
        <w:bottom w:val="none" w:sz="0" w:space="0" w:color="auto"/>
        <w:right w:val="none" w:sz="0" w:space="0" w:color="auto"/>
      </w:divBdr>
    </w:div>
    <w:div w:id="197596310">
      <w:bodyDiv w:val="1"/>
      <w:marLeft w:val="0"/>
      <w:marRight w:val="0"/>
      <w:marTop w:val="0"/>
      <w:marBottom w:val="0"/>
      <w:divBdr>
        <w:top w:val="none" w:sz="0" w:space="0" w:color="auto"/>
        <w:left w:val="none" w:sz="0" w:space="0" w:color="auto"/>
        <w:bottom w:val="none" w:sz="0" w:space="0" w:color="auto"/>
        <w:right w:val="none" w:sz="0" w:space="0" w:color="auto"/>
      </w:divBdr>
    </w:div>
    <w:div w:id="237789824">
      <w:bodyDiv w:val="1"/>
      <w:marLeft w:val="0"/>
      <w:marRight w:val="0"/>
      <w:marTop w:val="0"/>
      <w:marBottom w:val="0"/>
      <w:divBdr>
        <w:top w:val="none" w:sz="0" w:space="0" w:color="auto"/>
        <w:left w:val="none" w:sz="0" w:space="0" w:color="auto"/>
        <w:bottom w:val="none" w:sz="0" w:space="0" w:color="auto"/>
        <w:right w:val="none" w:sz="0" w:space="0" w:color="auto"/>
      </w:divBdr>
    </w:div>
    <w:div w:id="252665919">
      <w:bodyDiv w:val="1"/>
      <w:marLeft w:val="0"/>
      <w:marRight w:val="0"/>
      <w:marTop w:val="0"/>
      <w:marBottom w:val="0"/>
      <w:divBdr>
        <w:top w:val="none" w:sz="0" w:space="0" w:color="auto"/>
        <w:left w:val="none" w:sz="0" w:space="0" w:color="auto"/>
        <w:bottom w:val="none" w:sz="0" w:space="0" w:color="auto"/>
        <w:right w:val="none" w:sz="0" w:space="0" w:color="auto"/>
      </w:divBdr>
    </w:div>
    <w:div w:id="267083006">
      <w:bodyDiv w:val="1"/>
      <w:marLeft w:val="0"/>
      <w:marRight w:val="0"/>
      <w:marTop w:val="0"/>
      <w:marBottom w:val="0"/>
      <w:divBdr>
        <w:top w:val="none" w:sz="0" w:space="0" w:color="auto"/>
        <w:left w:val="none" w:sz="0" w:space="0" w:color="auto"/>
        <w:bottom w:val="none" w:sz="0" w:space="0" w:color="auto"/>
        <w:right w:val="none" w:sz="0" w:space="0" w:color="auto"/>
      </w:divBdr>
    </w:div>
    <w:div w:id="279725730">
      <w:bodyDiv w:val="1"/>
      <w:marLeft w:val="0"/>
      <w:marRight w:val="0"/>
      <w:marTop w:val="0"/>
      <w:marBottom w:val="0"/>
      <w:divBdr>
        <w:top w:val="none" w:sz="0" w:space="0" w:color="auto"/>
        <w:left w:val="none" w:sz="0" w:space="0" w:color="auto"/>
        <w:bottom w:val="none" w:sz="0" w:space="0" w:color="auto"/>
        <w:right w:val="none" w:sz="0" w:space="0" w:color="auto"/>
      </w:divBdr>
    </w:div>
    <w:div w:id="383329539">
      <w:bodyDiv w:val="1"/>
      <w:marLeft w:val="0"/>
      <w:marRight w:val="0"/>
      <w:marTop w:val="0"/>
      <w:marBottom w:val="0"/>
      <w:divBdr>
        <w:top w:val="none" w:sz="0" w:space="0" w:color="auto"/>
        <w:left w:val="none" w:sz="0" w:space="0" w:color="auto"/>
        <w:bottom w:val="none" w:sz="0" w:space="0" w:color="auto"/>
        <w:right w:val="none" w:sz="0" w:space="0" w:color="auto"/>
      </w:divBdr>
    </w:div>
    <w:div w:id="393086337">
      <w:bodyDiv w:val="1"/>
      <w:marLeft w:val="0"/>
      <w:marRight w:val="0"/>
      <w:marTop w:val="0"/>
      <w:marBottom w:val="0"/>
      <w:divBdr>
        <w:top w:val="none" w:sz="0" w:space="0" w:color="auto"/>
        <w:left w:val="none" w:sz="0" w:space="0" w:color="auto"/>
        <w:bottom w:val="none" w:sz="0" w:space="0" w:color="auto"/>
        <w:right w:val="none" w:sz="0" w:space="0" w:color="auto"/>
      </w:divBdr>
      <w:divsChild>
        <w:div w:id="269746467">
          <w:marLeft w:val="0"/>
          <w:marRight w:val="0"/>
          <w:marTop w:val="0"/>
          <w:marBottom w:val="0"/>
          <w:divBdr>
            <w:top w:val="none" w:sz="0" w:space="0" w:color="auto"/>
            <w:left w:val="none" w:sz="0" w:space="0" w:color="auto"/>
            <w:bottom w:val="none" w:sz="0" w:space="0" w:color="auto"/>
            <w:right w:val="none" w:sz="0" w:space="0" w:color="auto"/>
          </w:divBdr>
        </w:div>
        <w:div w:id="446197269">
          <w:marLeft w:val="0"/>
          <w:marRight w:val="0"/>
          <w:marTop w:val="0"/>
          <w:marBottom w:val="0"/>
          <w:divBdr>
            <w:top w:val="none" w:sz="0" w:space="0" w:color="auto"/>
            <w:left w:val="none" w:sz="0" w:space="0" w:color="auto"/>
            <w:bottom w:val="none" w:sz="0" w:space="0" w:color="auto"/>
            <w:right w:val="none" w:sz="0" w:space="0" w:color="auto"/>
          </w:divBdr>
        </w:div>
        <w:div w:id="1162895497">
          <w:marLeft w:val="0"/>
          <w:marRight w:val="0"/>
          <w:marTop w:val="0"/>
          <w:marBottom w:val="0"/>
          <w:divBdr>
            <w:top w:val="none" w:sz="0" w:space="0" w:color="auto"/>
            <w:left w:val="none" w:sz="0" w:space="0" w:color="auto"/>
            <w:bottom w:val="none" w:sz="0" w:space="0" w:color="auto"/>
            <w:right w:val="none" w:sz="0" w:space="0" w:color="auto"/>
          </w:divBdr>
        </w:div>
        <w:div w:id="1431925560">
          <w:marLeft w:val="0"/>
          <w:marRight w:val="0"/>
          <w:marTop w:val="0"/>
          <w:marBottom w:val="0"/>
          <w:divBdr>
            <w:top w:val="none" w:sz="0" w:space="0" w:color="auto"/>
            <w:left w:val="none" w:sz="0" w:space="0" w:color="auto"/>
            <w:bottom w:val="none" w:sz="0" w:space="0" w:color="auto"/>
            <w:right w:val="none" w:sz="0" w:space="0" w:color="auto"/>
          </w:divBdr>
        </w:div>
      </w:divsChild>
    </w:div>
    <w:div w:id="396829244">
      <w:bodyDiv w:val="1"/>
      <w:marLeft w:val="0"/>
      <w:marRight w:val="0"/>
      <w:marTop w:val="0"/>
      <w:marBottom w:val="0"/>
      <w:divBdr>
        <w:top w:val="none" w:sz="0" w:space="0" w:color="auto"/>
        <w:left w:val="none" w:sz="0" w:space="0" w:color="auto"/>
        <w:bottom w:val="none" w:sz="0" w:space="0" w:color="auto"/>
        <w:right w:val="none" w:sz="0" w:space="0" w:color="auto"/>
      </w:divBdr>
    </w:div>
    <w:div w:id="401026815">
      <w:bodyDiv w:val="1"/>
      <w:marLeft w:val="0"/>
      <w:marRight w:val="0"/>
      <w:marTop w:val="0"/>
      <w:marBottom w:val="0"/>
      <w:divBdr>
        <w:top w:val="none" w:sz="0" w:space="0" w:color="auto"/>
        <w:left w:val="none" w:sz="0" w:space="0" w:color="auto"/>
        <w:bottom w:val="none" w:sz="0" w:space="0" w:color="auto"/>
        <w:right w:val="none" w:sz="0" w:space="0" w:color="auto"/>
      </w:divBdr>
    </w:div>
    <w:div w:id="424304309">
      <w:bodyDiv w:val="1"/>
      <w:marLeft w:val="0"/>
      <w:marRight w:val="0"/>
      <w:marTop w:val="0"/>
      <w:marBottom w:val="0"/>
      <w:divBdr>
        <w:top w:val="none" w:sz="0" w:space="0" w:color="auto"/>
        <w:left w:val="none" w:sz="0" w:space="0" w:color="auto"/>
        <w:bottom w:val="none" w:sz="0" w:space="0" w:color="auto"/>
        <w:right w:val="none" w:sz="0" w:space="0" w:color="auto"/>
      </w:divBdr>
    </w:div>
    <w:div w:id="472255461">
      <w:bodyDiv w:val="1"/>
      <w:marLeft w:val="0"/>
      <w:marRight w:val="0"/>
      <w:marTop w:val="0"/>
      <w:marBottom w:val="0"/>
      <w:divBdr>
        <w:top w:val="none" w:sz="0" w:space="0" w:color="auto"/>
        <w:left w:val="none" w:sz="0" w:space="0" w:color="auto"/>
        <w:bottom w:val="none" w:sz="0" w:space="0" w:color="auto"/>
        <w:right w:val="none" w:sz="0" w:space="0" w:color="auto"/>
      </w:divBdr>
    </w:div>
    <w:div w:id="556475053">
      <w:bodyDiv w:val="1"/>
      <w:marLeft w:val="0"/>
      <w:marRight w:val="0"/>
      <w:marTop w:val="0"/>
      <w:marBottom w:val="0"/>
      <w:divBdr>
        <w:top w:val="none" w:sz="0" w:space="0" w:color="auto"/>
        <w:left w:val="none" w:sz="0" w:space="0" w:color="auto"/>
        <w:bottom w:val="none" w:sz="0" w:space="0" w:color="auto"/>
        <w:right w:val="none" w:sz="0" w:space="0" w:color="auto"/>
      </w:divBdr>
    </w:div>
    <w:div w:id="570045529">
      <w:bodyDiv w:val="1"/>
      <w:marLeft w:val="0"/>
      <w:marRight w:val="0"/>
      <w:marTop w:val="0"/>
      <w:marBottom w:val="0"/>
      <w:divBdr>
        <w:top w:val="none" w:sz="0" w:space="0" w:color="auto"/>
        <w:left w:val="none" w:sz="0" w:space="0" w:color="auto"/>
        <w:bottom w:val="none" w:sz="0" w:space="0" w:color="auto"/>
        <w:right w:val="none" w:sz="0" w:space="0" w:color="auto"/>
      </w:divBdr>
    </w:div>
    <w:div w:id="594946231">
      <w:bodyDiv w:val="1"/>
      <w:marLeft w:val="0"/>
      <w:marRight w:val="0"/>
      <w:marTop w:val="0"/>
      <w:marBottom w:val="0"/>
      <w:divBdr>
        <w:top w:val="none" w:sz="0" w:space="0" w:color="auto"/>
        <w:left w:val="none" w:sz="0" w:space="0" w:color="auto"/>
        <w:bottom w:val="none" w:sz="0" w:space="0" w:color="auto"/>
        <w:right w:val="none" w:sz="0" w:space="0" w:color="auto"/>
      </w:divBdr>
    </w:div>
    <w:div w:id="600600682">
      <w:bodyDiv w:val="1"/>
      <w:marLeft w:val="0"/>
      <w:marRight w:val="0"/>
      <w:marTop w:val="0"/>
      <w:marBottom w:val="0"/>
      <w:divBdr>
        <w:top w:val="none" w:sz="0" w:space="0" w:color="auto"/>
        <w:left w:val="none" w:sz="0" w:space="0" w:color="auto"/>
        <w:bottom w:val="none" w:sz="0" w:space="0" w:color="auto"/>
        <w:right w:val="none" w:sz="0" w:space="0" w:color="auto"/>
      </w:divBdr>
    </w:div>
    <w:div w:id="637539160">
      <w:bodyDiv w:val="1"/>
      <w:marLeft w:val="0"/>
      <w:marRight w:val="0"/>
      <w:marTop w:val="0"/>
      <w:marBottom w:val="0"/>
      <w:divBdr>
        <w:top w:val="none" w:sz="0" w:space="0" w:color="auto"/>
        <w:left w:val="none" w:sz="0" w:space="0" w:color="auto"/>
        <w:bottom w:val="none" w:sz="0" w:space="0" w:color="auto"/>
        <w:right w:val="none" w:sz="0" w:space="0" w:color="auto"/>
      </w:divBdr>
    </w:div>
    <w:div w:id="692848790">
      <w:bodyDiv w:val="1"/>
      <w:marLeft w:val="0"/>
      <w:marRight w:val="0"/>
      <w:marTop w:val="0"/>
      <w:marBottom w:val="0"/>
      <w:divBdr>
        <w:top w:val="none" w:sz="0" w:space="0" w:color="auto"/>
        <w:left w:val="none" w:sz="0" w:space="0" w:color="auto"/>
        <w:bottom w:val="none" w:sz="0" w:space="0" w:color="auto"/>
        <w:right w:val="none" w:sz="0" w:space="0" w:color="auto"/>
      </w:divBdr>
    </w:div>
    <w:div w:id="712921319">
      <w:bodyDiv w:val="1"/>
      <w:marLeft w:val="0"/>
      <w:marRight w:val="0"/>
      <w:marTop w:val="0"/>
      <w:marBottom w:val="0"/>
      <w:divBdr>
        <w:top w:val="none" w:sz="0" w:space="0" w:color="auto"/>
        <w:left w:val="none" w:sz="0" w:space="0" w:color="auto"/>
        <w:bottom w:val="none" w:sz="0" w:space="0" w:color="auto"/>
        <w:right w:val="none" w:sz="0" w:space="0" w:color="auto"/>
      </w:divBdr>
    </w:div>
    <w:div w:id="719862371">
      <w:bodyDiv w:val="1"/>
      <w:marLeft w:val="0"/>
      <w:marRight w:val="0"/>
      <w:marTop w:val="0"/>
      <w:marBottom w:val="0"/>
      <w:divBdr>
        <w:top w:val="none" w:sz="0" w:space="0" w:color="auto"/>
        <w:left w:val="none" w:sz="0" w:space="0" w:color="auto"/>
        <w:bottom w:val="none" w:sz="0" w:space="0" w:color="auto"/>
        <w:right w:val="none" w:sz="0" w:space="0" w:color="auto"/>
      </w:divBdr>
    </w:div>
    <w:div w:id="753356534">
      <w:bodyDiv w:val="1"/>
      <w:marLeft w:val="0"/>
      <w:marRight w:val="0"/>
      <w:marTop w:val="0"/>
      <w:marBottom w:val="0"/>
      <w:divBdr>
        <w:top w:val="none" w:sz="0" w:space="0" w:color="auto"/>
        <w:left w:val="none" w:sz="0" w:space="0" w:color="auto"/>
        <w:bottom w:val="none" w:sz="0" w:space="0" w:color="auto"/>
        <w:right w:val="none" w:sz="0" w:space="0" w:color="auto"/>
      </w:divBdr>
    </w:div>
    <w:div w:id="768165496">
      <w:bodyDiv w:val="1"/>
      <w:marLeft w:val="0"/>
      <w:marRight w:val="0"/>
      <w:marTop w:val="0"/>
      <w:marBottom w:val="0"/>
      <w:divBdr>
        <w:top w:val="none" w:sz="0" w:space="0" w:color="auto"/>
        <w:left w:val="none" w:sz="0" w:space="0" w:color="auto"/>
        <w:bottom w:val="none" w:sz="0" w:space="0" w:color="auto"/>
        <w:right w:val="none" w:sz="0" w:space="0" w:color="auto"/>
      </w:divBdr>
    </w:div>
    <w:div w:id="771703501">
      <w:bodyDiv w:val="1"/>
      <w:marLeft w:val="0"/>
      <w:marRight w:val="0"/>
      <w:marTop w:val="0"/>
      <w:marBottom w:val="0"/>
      <w:divBdr>
        <w:top w:val="none" w:sz="0" w:space="0" w:color="auto"/>
        <w:left w:val="none" w:sz="0" w:space="0" w:color="auto"/>
        <w:bottom w:val="none" w:sz="0" w:space="0" w:color="auto"/>
        <w:right w:val="none" w:sz="0" w:space="0" w:color="auto"/>
      </w:divBdr>
      <w:divsChild>
        <w:div w:id="1879775866">
          <w:marLeft w:val="0"/>
          <w:marRight w:val="0"/>
          <w:marTop w:val="0"/>
          <w:marBottom w:val="0"/>
          <w:divBdr>
            <w:top w:val="none" w:sz="0" w:space="0" w:color="auto"/>
            <w:left w:val="none" w:sz="0" w:space="0" w:color="auto"/>
            <w:bottom w:val="none" w:sz="0" w:space="0" w:color="auto"/>
            <w:right w:val="none" w:sz="0" w:space="0" w:color="auto"/>
          </w:divBdr>
        </w:div>
        <w:div w:id="1181775935">
          <w:marLeft w:val="0"/>
          <w:marRight w:val="0"/>
          <w:marTop w:val="0"/>
          <w:marBottom w:val="0"/>
          <w:divBdr>
            <w:top w:val="none" w:sz="0" w:space="0" w:color="auto"/>
            <w:left w:val="none" w:sz="0" w:space="0" w:color="auto"/>
            <w:bottom w:val="none" w:sz="0" w:space="0" w:color="auto"/>
            <w:right w:val="none" w:sz="0" w:space="0" w:color="auto"/>
          </w:divBdr>
        </w:div>
        <w:div w:id="1156610971">
          <w:marLeft w:val="0"/>
          <w:marRight w:val="0"/>
          <w:marTop w:val="0"/>
          <w:marBottom w:val="0"/>
          <w:divBdr>
            <w:top w:val="none" w:sz="0" w:space="0" w:color="auto"/>
            <w:left w:val="none" w:sz="0" w:space="0" w:color="auto"/>
            <w:bottom w:val="none" w:sz="0" w:space="0" w:color="auto"/>
            <w:right w:val="none" w:sz="0" w:space="0" w:color="auto"/>
          </w:divBdr>
        </w:div>
        <w:div w:id="236401119">
          <w:marLeft w:val="0"/>
          <w:marRight w:val="0"/>
          <w:marTop w:val="0"/>
          <w:marBottom w:val="0"/>
          <w:divBdr>
            <w:top w:val="none" w:sz="0" w:space="0" w:color="auto"/>
            <w:left w:val="none" w:sz="0" w:space="0" w:color="auto"/>
            <w:bottom w:val="none" w:sz="0" w:space="0" w:color="auto"/>
            <w:right w:val="none" w:sz="0" w:space="0" w:color="auto"/>
          </w:divBdr>
        </w:div>
        <w:div w:id="1318070780">
          <w:marLeft w:val="0"/>
          <w:marRight w:val="0"/>
          <w:marTop w:val="0"/>
          <w:marBottom w:val="0"/>
          <w:divBdr>
            <w:top w:val="none" w:sz="0" w:space="0" w:color="auto"/>
            <w:left w:val="none" w:sz="0" w:space="0" w:color="auto"/>
            <w:bottom w:val="none" w:sz="0" w:space="0" w:color="auto"/>
            <w:right w:val="none" w:sz="0" w:space="0" w:color="auto"/>
          </w:divBdr>
        </w:div>
      </w:divsChild>
    </w:div>
    <w:div w:id="781612288">
      <w:bodyDiv w:val="1"/>
      <w:marLeft w:val="0"/>
      <w:marRight w:val="0"/>
      <w:marTop w:val="0"/>
      <w:marBottom w:val="0"/>
      <w:divBdr>
        <w:top w:val="none" w:sz="0" w:space="0" w:color="auto"/>
        <w:left w:val="none" w:sz="0" w:space="0" w:color="auto"/>
        <w:bottom w:val="none" w:sz="0" w:space="0" w:color="auto"/>
        <w:right w:val="none" w:sz="0" w:space="0" w:color="auto"/>
      </w:divBdr>
    </w:div>
    <w:div w:id="890380154">
      <w:bodyDiv w:val="1"/>
      <w:marLeft w:val="0"/>
      <w:marRight w:val="0"/>
      <w:marTop w:val="0"/>
      <w:marBottom w:val="0"/>
      <w:divBdr>
        <w:top w:val="none" w:sz="0" w:space="0" w:color="auto"/>
        <w:left w:val="none" w:sz="0" w:space="0" w:color="auto"/>
        <w:bottom w:val="none" w:sz="0" w:space="0" w:color="auto"/>
        <w:right w:val="none" w:sz="0" w:space="0" w:color="auto"/>
      </w:divBdr>
    </w:div>
    <w:div w:id="911813296">
      <w:bodyDiv w:val="1"/>
      <w:marLeft w:val="0"/>
      <w:marRight w:val="0"/>
      <w:marTop w:val="0"/>
      <w:marBottom w:val="0"/>
      <w:divBdr>
        <w:top w:val="none" w:sz="0" w:space="0" w:color="auto"/>
        <w:left w:val="none" w:sz="0" w:space="0" w:color="auto"/>
        <w:bottom w:val="none" w:sz="0" w:space="0" w:color="auto"/>
        <w:right w:val="none" w:sz="0" w:space="0" w:color="auto"/>
      </w:divBdr>
    </w:div>
    <w:div w:id="943421410">
      <w:bodyDiv w:val="1"/>
      <w:marLeft w:val="0"/>
      <w:marRight w:val="0"/>
      <w:marTop w:val="0"/>
      <w:marBottom w:val="0"/>
      <w:divBdr>
        <w:top w:val="none" w:sz="0" w:space="0" w:color="auto"/>
        <w:left w:val="none" w:sz="0" w:space="0" w:color="auto"/>
        <w:bottom w:val="none" w:sz="0" w:space="0" w:color="auto"/>
        <w:right w:val="none" w:sz="0" w:space="0" w:color="auto"/>
      </w:divBdr>
    </w:div>
    <w:div w:id="964628328">
      <w:bodyDiv w:val="1"/>
      <w:marLeft w:val="0"/>
      <w:marRight w:val="0"/>
      <w:marTop w:val="0"/>
      <w:marBottom w:val="0"/>
      <w:divBdr>
        <w:top w:val="none" w:sz="0" w:space="0" w:color="auto"/>
        <w:left w:val="none" w:sz="0" w:space="0" w:color="auto"/>
        <w:bottom w:val="none" w:sz="0" w:space="0" w:color="auto"/>
        <w:right w:val="none" w:sz="0" w:space="0" w:color="auto"/>
      </w:divBdr>
    </w:div>
    <w:div w:id="988359007">
      <w:bodyDiv w:val="1"/>
      <w:marLeft w:val="0"/>
      <w:marRight w:val="0"/>
      <w:marTop w:val="0"/>
      <w:marBottom w:val="0"/>
      <w:divBdr>
        <w:top w:val="none" w:sz="0" w:space="0" w:color="auto"/>
        <w:left w:val="none" w:sz="0" w:space="0" w:color="auto"/>
        <w:bottom w:val="none" w:sz="0" w:space="0" w:color="auto"/>
        <w:right w:val="none" w:sz="0" w:space="0" w:color="auto"/>
      </w:divBdr>
    </w:div>
    <w:div w:id="1027146069">
      <w:bodyDiv w:val="1"/>
      <w:marLeft w:val="0"/>
      <w:marRight w:val="0"/>
      <w:marTop w:val="0"/>
      <w:marBottom w:val="0"/>
      <w:divBdr>
        <w:top w:val="none" w:sz="0" w:space="0" w:color="auto"/>
        <w:left w:val="none" w:sz="0" w:space="0" w:color="auto"/>
        <w:bottom w:val="none" w:sz="0" w:space="0" w:color="auto"/>
        <w:right w:val="none" w:sz="0" w:space="0" w:color="auto"/>
      </w:divBdr>
    </w:div>
    <w:div w:id="1042245017">
      <w:bodyDiv w:val="1"/>
      <w:marLeft w:val="0"/>
      <w:marRight w:val="0"/>
      <w:marTop w:val="0"/>
      <w:marBottom w:val="0"/>
      <w:divBdr>
        <w:top w:val="none" w:sz="0" w:space="0" w:color="auto"/>
        <w:left w:val="none" w:sz="0" w:space="0" w:color="auto"/>
        <w:bottom w:val="none" w:sz="0" w:space="0" w:color="auto"/>
        <w:right w:val="none" w:sz="0" w:space="0" w:color="auto"/>
      </w:divBdr>
    </w:div>
    <w:div w:id="1064182671">
      <w:bodyDiv w:val="1"/>
      <w:marLeft w:val="0"/>
      <w:marRight w:val="0"/>
      <w:marTop w:val="0"/>
      <w:marBottom w:val="0"/>
      <w:divBdr>
        <w:top w:val="none" w:sz="0" w:space="0" w:color="auto"/>
        <w:left w:val="none" w:sz="0" w:space="0" w:color="auto"/>
        <w:bottom w:val="none" w:sz="0" w:space="0" w:color="auto"/>
        <w:right w:val="none" w:sz="0" w:space="0" w:color="auto"/>
      </w:divBdr>
    </w:div>
    <w:div w:id="1066536438">
      <w:bodyDiv w:val="1"/>
      <w:marLeft w:val="0"/>
      <w:marRight w:val="0"/>
      <w:marTop w:val="0"/>
      <w:marBottom w:val="0"/>
      <w:divBdr>
        <w:top w:val="none" w:sz="0" w:space="0" w:color="auto"/>
        <w:left w:val="none" w:sz="0" w:space="0" w:color="auto"/>
        <w:bottom w:val="none" w:sz="0" w:space="0" w:color="auto"/>
        <w:right w:val="none" w:sz="0" w:space="0" w:color="auto"/>
      </w:divBdr>
    </w:div>
    <w:div w:id="1076170050">
      <w:bodyDiv w:val="1"/>
      <w:marLeft w:val="0"/>
      <w:marRight w:val="0"/>
      <w:marTop w:val="0"/>
      <w:marBottom w:val="0"/>
      <w:divBdr>
        <w:top w:val="none" w:sz="0" w:space="0" w:color="auto"/>
        <w:left w:val="none" w:sz="0" w:space="0" w:color="auto"/>
        <w:bottom w:val="none" w:sz="0" w:space="0" w:color="auto"/>
        <w:right w:val="none" w:sz="0" w:space="0" w:color="auto"/>
      </w:divBdr>
    </w:div>
    <w:div w:id="1085877011">
      <w:bodyDiv w:val="1"/>
      <w:marLeft w:val="0"/>
      <w:marRight w:val="0"/>
      <w:marTop w:val="0"/>
      <w:marBottom w:val="0"/>
      <w:divBdr>
        <w:top w:val="none" w:sz="0" w:space="0" w:color="auto"/>
        <w:left w:val="none" w:sz="0" w:space="0" w:color="auto"/>
        <w:bottom w:val="none" w:sz="0" w:space="0" w:color="auto"/>
        <w:right w:val="none" w:sz="0" w:space="0" w:color="auto"/>
      </w:divBdr>
    </w:div>
    <w:div w:id="1101535690">
      <w:bodyDiv w:val="1"/>
      <w:marLeft w:val="0"/>
      <w:marRight w:val="0"/>
      <w:marTop w:val="0"/>
      <w:marBottom w:val="0"/>
      <w:divBdr>
        <w:top w:val="none" w:sz="0" w:space="0" w:color="auto"/>
        <w:left w:val="none" w:sz="0" w:space="0" w:color="auto"/>
        <w:bottom w:val="none" w:sz="0" w:space="0" w:color="auto"/>
        <w:right w:val="none" w:sz="0" w:space="0" w:color="auto"/>
      </w:divBdr>
      <w:divsChild>
        <w:div w:id="1237133679">
          <w:marLeft w:val="0"/>
          <w:marRight w:val="0"/>
          <w:marTop w:val="0"/>
          <w:marBottom w:val="0"/>
          <w:divBdr>
            <w:top w:val="none" w:sz="0" w:space="0" w:color="auto"/>
            <w:left w:val="none" w:sz="0" w:space="0" w:color="auto"/>
            <w:bottom w:val="none" w:sz="0" w:space="0" w:color="auto"/>
            <w:right w:val="none" w:sz="0" w:space="0" w:color="auto"/>
          </w:divBdr>
        </w:div>
        <w:div w:id="572398464">
          <w:marLeft w:val="0"/>
          <w:marRight w:val="0"/>
          <w:marTop w:val="0"/>
          <w:marBottom w:val="0"/>
          <w:divBdr>
            <w:top w:val="none" w:sz="0" w:space="0" w:color="auto"/>
            <w:left w:val="none" w:sz="0" w:space="0" w:color="auto"/>
            <w:bottom w:val="none" w:sz="0" w:space="0" w:color="auto"/>
            <w:right w:val="none" w:sz="0" w:space="0" w:color="auto"/>
          </w:divBdr>
        </w:div>
        <w:div w:id="250436170">
          <w:marLeft w:val="0"/>
          <w:marRight w:val="0"/>
          <w:marTop w:val="0"/>
          <w:marBottom w:val="0"/>
          <w:divBdr>
            <w:top w:val="none" w:sz="0" w:space="0" w:color="auto"/>
            <w:left w:val="none" w:sz="0" w:space="0" w:color="auto"/>
            <w:bottom w:val="none" w:sz="0" w:space="0" w:color="auto"/>
            <w:right w:val="none" w:sz="0" w:space="0" w:color="auto"/>
          </w:divBdr>
        </w:div>
        <w:div w:id="2026858892">
          <w:marLeft w:val="0"/>
          <w:marRight w:val="0"/>
          <w:marTop w:val="0"/>
          <w:marBottom w:val="0"/>
          <w:divBdr>
            <w:top w:val="none" w:sz="0" w:space="0" w:color="auto"/>
            <w:left w:val="none" w:sz="0" w:space="0" w:color="auto"/>
            <w:bottom w:val="none" w:sz="0" w:space="0" w:color="auto"/>
            <w:right w:val="none" w:sz="0" w:space="0" w:color="auto"/>
          </w:divBdr>
        </w:div>
      </w:divsChild>
    </w:div>
    <w:div w:id="1123841999">
      <w:bodyDiv w:val="1"/>
      <w:marLeft w:val="0"/>
      <w:marRight w:val="0"/>
      <w:marTop w:val="0"/>
      <w:marBottom w:val="0"/>
      <w:divBdr>
        <w:top w:val="none" w:sz="0" w:space="0" w:color="auto"/>
        <w:left w:val="none" w:sz="0" w:space="0" w:color="auto"/>
        <w:bottom w:val="none" w:sz="0" w:space="0" w:color="auto"/>
        <w:right w:val="none" w:sz="0" w:space="0" w:color="auto"/>
      </w:divBdr>
    </w:div>
    <w:div w:id="1158230981">
      <w:bodyDiv w:val="1"/>
      <w:marLeft w:val="0"/>
      <w:marRight w:val="0"/>
      <w:marTop w:val="0"/>
      <w:marBottom w:val="0"/>
      <w:divBdr>
        <w:top w:val="none" w:sz="0" w:space="0" w:color="auto"/>
        <w:left w:val="none" w:sz="0" w:space="0" w:color="auto"/>
        <w:bottom w:val="none" w:sz="0" w:space="0" w:color="auto"/>
        <w:right w:val="none" w:sz="0" w:space="0" w:color="auto"/>
      </w:divBdr>
    </w:div>
    <w:div w:id="1163550664">
      <w:bodyDiv w:val="1"/>
      <w:marLeft w:val="0"/>
      <w:marRight w:val="0"/>
      <w:marTop w:val="0"/>
      <w:marBottom w:val="0"/>
      <w:divBdr>
        <w:top w:val="none" w:sz="0" w:space="0" w:color="auto"/>
        <w:left w:val="none" w:sz="0" w:space="0" w:color="auto"/>
        <w:bottom w:val="none" w:sz="0" w:space="0" w:color="auto"/>
        <w:right w:val="none" w:sz="0" w:space="0" w:color="auto"/>
      </w:divBdr>
    </w:div>
    <w:div w:id="1197736632">
      <w:bodyDiv w:val="1"/>
      <w:marLeft w:val="0"/>
      <w:marRight w:val="0"/>
      <w:marTop w:val="0"/>
      <w:marBottom w:val="0"/>
      <w:divBdr>
        <w:top w:val="none" w:sz="0" w:space="0" w:color="auto"/>
        <w:left w:val="none" w:sz="0" w:space="0" w:color="auto"/>
        <w:bottom w:val="none" w:sz="0" w:space="0" w:color="auto"/>
        <w:right w:val="none" w:sz="0" w:space="0" w:color="auto"/>
      </w:divBdr>
    </w:div>
    <w:div w:id="1306815518">
      <w:bodyDiv w:val="1"/>
      <w:marLeft w:val="0"/>
      <w:marRight w:val="0"/>
      <w:marTop w:val="0"/>
      <w:marBottom w:val="0"/>
      <w:divBdr>
        <w:top w:val="none" w:sz="0" w:space="0" w:color="auto"/>
        <w:left w:val="none" w:sz="0" w:space="0" w:color="auto"/>
        <w:bottom w:val="none" w:sz="0" w:space="0" w:color="auto"/>
        <w:right w:val="none" w:sz="0" w:space="0" w:color="auto"/>
      </w:divBdr>
    </w:div>
    <w:div w:id="1318342213">
      <w:bodyDiv w:val="1"/>
      <w:marLeft w:val="0"/>
      <w:marRight w:val="0"/>
      <w:marTop w:val="0"/>
      <w:marBottom w:val="0"/>
      <w:divBdr>
        <w:top w:val="none" w:sz="0" w:space="0" w:color="auto"/>
        <w:left w:val="none" w:sz="0" w:space="0" w:color="auto"/>
        <w:bottom w:val="none" w:sz="0" w:space="0" w:color="auto"/>
        <w:right w:val="none" w:sz="0" w:space="0" w:color="auto"/>
      </w:divBdr>
    </w:div>
    <w:div w:id="1325089053">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97124826">
      <w:bodyDiv w:val="1"/>
      <w:marLeft w:val="0"/>
      <w:marRight w:val="0"/>
      <w:marTop w:val="0"/>
      <w:marBottom w:val="0"/>
      <w:divBdr>
        <w:top w:val="none" w:sz="0" w:space="0" w:color="auto"/>
        <w:left w:val="none" w:sz="0" w:space="0" w:color="auto"/>
        <w:bottom w:val="none" w:sz="0" w:space="0" w:color="auto"/>
        <w:right w:val="none" w:sz="0" w:space="0" w:color="auto"/>
      </w:divBdr>
    </w:div>
    <w:div w:id="1408308514">
      <w:bodyDiv w:val="1"/>
      <w:marLeft w:val="0"/>
      <w:marRight w:val="0"/>
      <w:marTop w:val="0"/>
      <w:marBottom w:val="0"/>
      <w:divBdr>
        <w:top w:val="none" w:sz="0" w:space="0" w:color="auto"/>
        <w:left w:val="none" w:sz="0" w:space="0" w:color="auto"/>
        <w:bottom w:val="none" w:sz="0" w:space="0" w:color="auto"/>
        <w:right w:val="none" w:sz="0" w:space="0" w:color="auto"/>
      </w:divBdr>
    </w:div>
    <w:div w:id="1458137691">
      <w:bodyDiv w:val="1"/>
      <w:marLeft w:val="0"/>
      <w:marRight w:val="0"/>
      <w:marTop w:val="0"/>
      <w:marBottom w:val="0"/>
      <w:divBdr>
        <w:top w:val="none" w:sz="0" w:space="0" w:color="auto"/>
        <w:left w:val="none" w:sz="0" w:space="0" w:color="auto"/>
        <w:bottom w:val="none" w:sz="0" w:space="0" w:color="auto"/>
        <w:right w:val="none" w:sz="0" w:space="0" w:color="auto"/>
      </w:divBdr>
    </w:div>
    <w:div w:id="1467578248">
      <w:bodyDiv w:val="1"/>
      <w:marLeft w:val="0"/>
      <w:marRight w:val="0"/>
      <w:marTop w:val="0"/>
      <w:marBottom w:val="0"/>
      <w:divBdr>
        <w:top w:val="none" w:sz="0" w:space="0" w:color="auto"/>
        <w:left w:val="none" w:sz="0" w:space="0" w:color="auto"/>
        <w:bottom w:val="none" w:sz="0" w:space="0" w:color="auto"/>
        <w:right w:val="none" w:sz="0" w:space="0" w:color="auto"/>
      </w:divBdr>
    </w:div>
    <w:div w:id="1470826247">
      <w:bodyDiv w:val="1"/>
      <w:marLeft w:val="0"/>
      <w:marRight w:val="0"/>
      <w:marTop w:val="0"/>
      <w:marBottom w:val="0"/>
      <w:divBdr>
        <w:top w:val="none" w:sz="0" w:space="0" w:color="auto"/>
        <w:left w:val="none" w:sz="0" w:space="0" w:color="auto"/>
        <w:bottom w:val="none" w:sz="0" w:space="0" w:color="auto"/>
        <w:right w:val="none" w:sz="0" w:space="0" w:color="auto"/>
      </w:divBdr>
    </w:div>
    <w:div w:id="1481188176">
      <w:bodyDiv w:val="1"/>
      <w:marLeft w:val="0"/>
      <w:marRight w:val="0"/>
      <w:marTop w:val="0"/>
      <w:marBottom w:val="0"/>
      <w:divBdr>
        <w:top w:val="none" w:sz="0" w:space="0" w:color="auto"/>
        <w:left w:val="none" w:sz="0" w:space="0" w:color="auto"/>
        <w:bottom w:val="none" w:sz="0" w:space="0" w:color="auto"/>
        <w:right w:val="none" w:sz="0" w:space="0" w:color="auto"/>
      </w:divBdr>
    </w:div>
    <w:div w:id="1483428780">
      <w:bodyDiv w:val="1"/>
      <w:marLeft w:val="0"/>
      <w:marRight w:val="0"/>
      <w:marTop w:val="0"/>
      <w:marBottom w:val="0"/>
      <w:divBdr>
        <w:top w:val="none" w:sz="0" w:space="0" w:color="auto"/>
        <w:left w:val="none" w:sz="0" w:space="0" w:color="auto"/>
        <w:bottom w:val="none" w:sz="0" w:space="0" w:color="auto"/>
        <w:right w:val="none" w:sz="0" w:space="0" w:color="auto"/>
      </w:divBdr>
    </w:div>
    <w:div w:id="1526015113">
      <w:bodyDiv w:val="1"/>
      <w:marLeft w:val="0"/>
      <w:marRight w:val="0"/>
      <w:marTop w:val="0"/>
      <w:marBottom w:val="0"/>
      <w:divBdr>
        <w:top w:val="none" w:sz="0" w:space="0" w:color="auto"/>
        <w:left w:val="none" w:sz="0" w:space="0" w:color="auto"/>
        <w:bottom w:val="none" w:sz="0" w:space="0" w:color="auto"/>
        <w:right w:val="none" w:sz="0" w:space="0" w:color="auto"/>
      </w:divBdr>
      <w:divsChild>
        <w:div w:id="343173921">
          <w:marLeft w:val="0"/>
          <w:marRight w:val="0"/>
          <w:marTop w:val="0"/>
          <w:marBottom w:val="0"/>
          <w:divBdr>
            <w:top w:val="none" w:sz="0" w:space="0" w:color="auto"/>
            <w:left w:val="none" w:sz="0" w:space="0" w:color="auto"/>
            <w:bottom w:val="none" w:sz="0" w:space="0" w:color="auto"/>
            <w:right w:val="none" w:sz="0" w:space="0" w:color="auto"/>
          </w:divBdr>
        </w:div>
        <w:div w:id="887912357">
          <w:marLeft w:val="0"/>
          <w:marRight w:val="0"/>
          <w:marTop w:val="0"/>
          <w:marBottom w:val="0"/>
          <w:divBdr>
            <w:top w:val="none" w:sz="0" w:space="0" w:color="auto"/>
            <w:left w:val="none" w:sz="0" w:space="0" w:color="auto"/>
            <w:bottom w:val="none" w:sz="0" w:space="0" w:color="auto"/>
            <w:right w:val="none" w:sz="0" w:space="0" w:color="auto"/>
          </w:divBdr>
        </w:div>
        <w:div w:id="1448161913">
          <w:marLeft w:val="0"/>
          <w:marRight w:val="0"/>
          <w:marTop w:val="0"/>
          <w:marBottom w:val="0"/>
          <w:divBdr>
            <w:top w:val="none" w:sz="0" w:space="0" w:color="auto"/>
            <w:left w:val="none" w:sz="0" w:space="0" w:color="auto"/>
            <w:bottom w:val="none" w:sz="0" w:space="0" w:color="auto"/>
            <w:right w:val="none" w:sz="0" w:space="0" w:color="auto"/>
          </w:divBdr>
        </w:div>
        <w:div w:id="2063291213">
          <w:marLeft w:val="0"/>
          <w:marRight w:val="0"/>
          <w:marTop w:val="0"/>
          <w:marBottom w:val="0"/>
          <w:divBdr>
            <w:top w:val="none" w:sz="0" w:space="0" w:color="auto"/>
            <w:left w:val="none" w:sz="0" w:space="0" w:color="auto"/>
            <w:bottom w:val="none" w:sz="0" w:space="0" w:color="auto"/>
            <w:right w:val="none" w:sz="0" w:space="0" w:color="auto"/>
          </w:divBdr>
        </w:div>
      </w:divsChild>
    </w:div>
    <w:div w:id="1561018852">
      <w:bodyDiv w:val="1"/>
      <w:marLeft w:val="0"/>
      <w:marRight w:val="0"/>
      <w:marTop w:val="0"/>
      <w:marBottom w:val="0"/>
      <w:divBdr>
        <w:top w:val="none" w:sz="0" w:space="0" w:color="auto"/>
        <w:left w:val="none" w:sz="0" w:space="0" w:color="auto"/>
        <w:bottom w:val="none" w:sz="0" w:space="0" w:color="auto"/>
        <w:right w:val="none" w:sz="0" w:space="0" w:color="auto"/>
      </w:divBdr>
    </w:div>
    <w:div w:id="1575775357">
      <w:bodyDiv w:val="1"/>
      <w:marLeft w:val="0"/>
      <w:marRight w:val="0"/>
      <w:marTop w:val="0"/>
      <w:marBottom w:val="0"/>
      <w:divBdr>
        <w:top w:val="none" w:sz="0" w:space="0" w:color="auto"/>
        <w:left w:val="none" w:sz="0" w:space="0" w:color="auto"/>
        <w:bottom w:val="none" w:sz="0" w:space="0" w:color="auto"/>
        <w:right w:val="none" w:sz="0" w:space="0" w:color="auto"/>
      </w:divBdr>
    </w:div>
    <w:div w:id="1608270211">
      <w:bodyDiv w:val="1"/>
      <w:marLeft w:val="0"/>
      <w:marRight w:val="0"/>
      <w:marTop w:val="0"/>
      <w:marBottom w:val="0"/>
      <w:divBdr>
        <w:top w:val="none" w:sz="0" w:space="0" w:color="auto"/>
        <w:left w:val="none" w:sz="0" w:space="0" w:color="auto"/>
        <w:bottom w:val="none" w:sz="0" w:space="0" w:color="auto"/>
        <w:right w:val="none" w:sz="0" w:space="0" w:color="auto"/>
      </w:divBdr>
    </w:div>
    <w:div w:id="1624269470">
      <w:bodyDiv w:val="1"/>
      <w:marLeft w:val="0"/>
      <w:marRight w:val="0"/>
      <w:marTop w:val="0"/>
      <w:marBottom w:val="0"/>
      <w:divBdr>
        <w:top w:val="none" w:sz="0" w:space="0" w:color="auto"/>
        <w:left w:val="none" w:sz="0" w:space="0" w:color="auto"/>
        <w:bottom w:val="none" w:sz="0" w:space="0" w:color="auto"/>
        <w:right w:val="none" w:sz="0" w:space="0" w:color="auto"/>
      </w:divBdr>
    </w:div>
    <w:div w:id="1644888206">
      <w:bodyDiv w:val="1"/>
      <w:marLeft w:val="0"/>
      <w:marRight w:val="0"/>
      <w:marTop w:val="0"/>
      <w:marBottom w:val="0"/>
      <w:divBdr>
        <w:top w:val="none" w:sz="0" w:space="0" w:color="auto"/>
        <w:left w:val="none" w:sz="0" w:space="0" w:color="auto"/>
        <w:bottom w:val="none" w:sz="0" w:space="0" w:color="auto"/>
        <w:right w:val="none" w:sz="0" w:space="0" w:color="auto"/>
      </w:divBdr>
    </w:div>
    <w:div w:id="1662658775">
      <w:bodyDiv w:val="1"/>
      <w:marLeft w:val="0"/>
      <w:marRight w:val="0"/>
      <w:marTop w:val="0"/>
      <w:marBottom w:val="0"/>
      <w:divBdr>
        <w:top w:val="none" w:sz="0" w:space="0" w:color="auto"/>
        <w:left w:val="none" w:sz="0" w:space="0" w:color="auto"/>
        <w:bottom w:val="none" w:sz="0" w:space="0" w:color="auto"/>
        <w:right w:val="none" w:sz="0" w:space="0" w:color="auto"/>
      </w:divBdr>
    </w:div>
    <w:div w:id="1687907122">
      <w:bodyDiv w:val="1"/>
      <w:marLeft w:val="0"/>
      <w:marRight w:val="0"/>
      <w:marTop w:val="0"/>
      <w:marBottom w:val="0"/>
      <w:divBdr>
        <w:top w:val="none" w:sz="0" w:space="0" w:color="auto"/>
        <w:left w:val="none" w:sz="0" w:space="0" w:color="auto"/>
        <w:bottom w:val="none" w:sz="0" w:space="0" w:color="auto"/>
        <w:right w:val="none" w:sz="0" w:space="0" w:color="auto"/>
      </w:divBdr>
    </w:div>
    <w:div w:id="1688604948">
      <w:bodyDiv w:val="1"/>
      <w:marLeft w:val="0"/>
      <w:marRight w:val="0"/>
      <w:marTop w:val="0"/>
      <w:marBottom w:val="0"/>
      <w:divBdr>
        <w:top w:val="none" w:sz="0" w:space="0" w:color="auto"/>
        <w:left w:val="none" w:sz="0" w:space="0" w:color="auto"/>
        <w:bottom w:val="none" w:sz="0" w:space="0" w:color="auto"/>
        <w:right w:val="none" w:sz="0" w:space="0" w:color="auto"/>
      </w:divBdr>
      <w:divsChild>
        <w:div w:id="1740201743">
          <w:marLeft w:val="0"/>
          <w:marRight w:val="0"/>
          <w:marTop w:val="0"/>
          <w:marBottom w:val="0"/>
          <w:divBdr>
            <w:top w:val="none" w:sz="0" w:space="0" w:color="auto"/>
            <w:left w:val="none" w:sz="0" w:space="0" w:color="auto"/>
            <w:bottom w:val="none" w:sz="0" w:space="0" w:color="auto"/>
            <w:right w:val="none" w:sz="0" w:space="0" w:color="auto"/>
          </w:divBdr>
        </w:div>
      </w:divsChild>
    </w:div>
    <w:div w:id="1719427274">
      <w:bodyDiv w:val="1"/>
      <w:marLeft w:val="0"/>
      <w:marRight w:val="0"/>
      <w:marTop w:val="0"/>
      <w:marBottom w:val="0"/>
      <w:divBdr>
        <w:top w:val="none" w:sz="0" w:space="0" w:color="auto"/>
        <w:left w:val="none" w:sz="0" w:space="0" w:color="auto"/>
        <w:bottom w:val="none" w:sz="0" w:space="0" w:color="auto"/>
        <w:right w:val="none" w:sz="0" w:space="0" w:color="auto"/>
      </w:divBdr>
    </w:div>
    <w:div w:id="1731921207">
      <w:bodyDiv w:val="1"/>
      <w:marLeft w:val="0"/>
      <w:marRight w:val="0"/>
      <w:marTop w:val="0"/>
      <w:marBottom w:val="0"/>
      <w:divBdr>
        <w:top w:val="none" w:sz="0" w:space="0" w:color="auto"/>
        <w:left w:val="none" w:sz="0" w:space="0" w:color="auto"/>
        <w:bottom w:val="none" w:sz="0" w:space="0" w:color="auto"/>
        <w:right w:val="none" w:sz="0" w:space="0" w:color="auto"/>
      </w:divBdr>
    </w:div>
    <w:div w:id="1749225954">
      <w:bodyDiv w:val="1"/>
      <w:marLeft w:val="0"/>
      <w:marRight w:val="0"/>
      <w:marTop w:val="0"/>
      <w:marBottom w:val="0"/>
      <w:divBdr>
        <w:top w:val="none" w:sz="0" w:space="0" w:color="auto"/>
        <w:left w:val="none" w:sz="0" w:space="0" w:color="auto"/>
        <w:bottom w:val="none" w:sz="0" w:space="0" w:color="auto"/>
        <w:right w:val="none" w:sz="0" w:space="0" w:color="auto"/>
      </w:divBdr>
    </w:div>
    <w:div w:id="1760443699">
      <w:bodyDiv w:val="1"/>
      <w:marLeft w:val="0"/>
      <w:marRight w:val="0"/>
      <w:marTop w:val="0"/>
      <w:marBottom w:val="0"/>
      <w:divBdr>
        <w:top w:val="none" w:sz="0" w:space="0" w:color="auto"/>
        <w:left w:val="none" w:sz="0" w:space="0" w:color="auto"/>
        <w:bottom w:val="none" w:sz="0" w:space="0" w:color="auto"/>
        <w:right w:val="none" w:sz="0" w:space="0" w:color="auto"/>
      </w:divBdr>
    </w:div>
    <w:div w:id="1818719107">
      <w:bodyDiv w:val="1"/>
      <w:marLeft w:val="0"/>
      <w:marRight w:val="0"/>
      <w:marTop w:val="0"/>
      <w:marBottom w:val="0"/>
      <w:divBdr>
        <w:top w:val="none" w:sz="0" w:space="0" w:color="auto"/>
        <w:left w:val="none" w:sz="0" w:space="0" w:color="auto"/>
        <w:bottom w:val="none" w:sz="0" w:space="0" w:color="auto"/>
        <w:right w:val="none" w:sz="0" w:space="0" w:color="auto"/>
      </w:divBdr>
    </w:div>
    <w:div w:id="1849324668">
      <w:bodyDiv w:val="1"/>
      <w:marLeft w:val="0"/>
      <w:marRight w:val="0"/>
      <w:marTop w:val="0"/>
      <w:marBottom w:val="0"/>
      <w:divBdr>
        <w:top w:val="none" w:sz="0" w:space="0" w:color="auto"/>
        <w:left w:val="none" w:sz="0" w:space="0" w:color="auto"/>
        <w:bottom w:val="none" w:sz="0" w:space="0" w:color="auto"/>
        <w:right w:val="none" w:sz="0" w:space="0" w:color="auto"/>
      </w:divBdr>
      <w:divsChild>
        <w:div w:id="1936982800">
          <w:marLeft w:val="0"/>
          <w:marRight w:val="0"/>
          <w:marTop w:val="0"/>
          <w:marBottom w:val="0"/>
          <w:divBdr>
            <w:top w:val="none" w:sz="0" w:space="0" w:color="auto"/>
            <w:left w:val="none" w:sz="0" w:space="0" w:color="auto"/>
            <w:bottom w:val="none" w:sz="0" w:space="0" w:color="auto"/>
            <w:right w:val="none" w:sz="0" w:space="0" w:color="auto"/>
          </w:divBdr>
        </w:div>
        <w:div w:id="2102413950">
          <w:marLeft w:val="0"/>
          <w:marRight w:val="0"/>
          <w:marTop w:val="0"/>
          <w:marBottom w:val="0"/>
          <w:divBdr>
            <w:top w:val="none" w:sz="0" w:space="0" w:color="auto"/>
            <w:left w:val="none" w:sz="0" w:space="0" w:color="auto"/>
            <w:bottom w:val="none" w:sz="0" w:space="0" w:color="auto"/>
            <w:right w:val="none" w:sz="0" w:space="0" w:color="auto"/>
          </w:divBdr>
        </w:div>
      </w:divsChild>
    </w:div>
    <w:div w:id="1850829589">
      <w:bodyDiv w:val="1"/>
      <w:marLeft w:val="0"/>
      <w:marRight w:val="0"/>
      <w:marTop w:val="0"/>
      <w:marBottom w:val="0"/>
      <w:divBdr>
        <w:top w:val="none" w:sz="0" w:space="0" w:color="auto"/>
        <w:left w:val="none" w:sz="0" w:space="0" w:color="auto"/>
        <w:bottom w:val="none" w:sz="0" w:space="0" w:color="auto"/>
        <w:right w:val="none" w:sz="0" w:space="0" w:color="auto"/>
      </w:divBdr>
    </w:div>
    <w:div w:id="1880315934">
      <w:bodyDiv w:val="1"/>
      <w:marLeft w:val="0"/>
      <w:marRight w:val="0"/>
      <w:marTop w:val="0"/>
      <w:marBottom w:val="0"/>
      <w:divBdr>
        <w:top w:val="none" w:sz="0" w:space="0" w:color="auto"/>
        <w:left w:val="none" w:sz="0" w:space="0" w:color="auto"/>
        <w:bottom w:val="none" w:sz="0" w:space="0" w:color="auto"/>
        <w:right w:val="none" w:sz="0" w:space="0" w:color="auto"/>
      </w:divBdr>
    </w:div>
    <w:div w:id="1908758815">
      <w:bodyDiv w:val="1"/>
      <w:marLeft w:val="0"/>
      <w:marRight w:val="0"/>
      <w:marTop w:val="0"/>
      <w:marBottom w:val="0"/>
      <w:divBdr>
        <w:top w:val="none" w:sz="0" w:space="0" w:color="auto"/>
        <w:left w:val="none" w:sz="0" w:space="0" w:color="auto"/>
        <w:bottom w:val="none" w:sz="0" w:space="0" w:color="auto"/>
        <w:right w:val="none" w:sz="0" w:space="0" w:color="auto"/>
      </w:divBdr>
      <w:divsChild>
        <w:div w:id="116606742">
          <w:marLeft w:val="0"/>
          <w:marRight w:val="0"/>
          <w:marTop w:val="0"/>
          <w:marBottom w:val="0"/>
          <w:divBdr>
            <w:top w:val="none" w:sz="0" w:space="0" w:color="auto"/>
            <w:left w:val="none" w:sz="0" w:space="0" w:color="auto"/>
            <w:bottom w:val="none" w:sz="0" w:space="0" w:color="auto"/>
            <w:right w:val="none" w:sz="0" w:space="0" w:color="auto"/>
          </w:divBdr>
        </w:div>
        <w:div w:id="779647556">
          <w:marLeft w:val="0"/>
          <w:marRight w:val="0"/>
          <w:marTop w:val="0"/>
          <w:marBottom w:val="0"/>
          <w:divBdr>
            <w:top w:val="none" w:sz="0" w:space="0" w:color="auto"/>
            <w:left w:val="none" w:sz="0" w:space="0" w:color="auto"/>
            <w:bottom w:val="none" w:sz="0" w:space="0" w:color="auto"/>
            <w:right w:val="none" w:sz="0" w:space="0" w:color="auto"/>
          </w:divBdr>
        </w:div>
        <w:div w:id="480510339">
          <w:marLeft w:val="0"/>
          <w:marRight w:val="0"/>
          <w:marTop w:val="0"/>
          <w:marBottom w:val="0"/>
          <w:divBdr>
            <w:top w:val="none" w:sz="0" w:space="0" w:color="auto"/>
            <w:left w:val="none" w:sz="0" w:space="0" w:color="auto"/>
            <w:bottom w:val="none" w:sz="0" w:space="0" w:color="auto"/>
            <w:right w:val="none" w:sz="0" w:space="0" w:color="auto"/>
          </w:divBdr>
        </w:div>
        <w:div w:id="203103321">
          <w:marLeft w:val="0"/>
          <w:marRight w:val="0"/>
          <w:marTop w:val="0"/>
          <w:marBottom w:val="0"/>
          <w:divBdr>
            <w:top w:val="none" w:sz="0" w:space="0" w:color="auto"/>
            <w:left w:val="none" w:sz="0" w:space="0" w:color="auto"/>
            <w:bottom w:val="none" w:sz="0" w:space="0" w:color="auto"/>
            <w:right w:val="none" w:sz="0" w:space="0" w:color="auto"/>
          </w:divBdr>
        </w:div>
        <w:div w:id="277301079">
          <w:marLeft w:val="0"/>
          <w:marRight w:val="0"/>
          <w:marTop w:val="0"/>
          <w:marBottom w:val="0"/>
          <w:divBdr>
            <w:top w:val="none" w:sz="0" w:space="0" w:color="auto"/>
            <w:left w:val="none" w:sz="0" w:space="0" w:color="auto"/>
            <w:bottom w:val="none" w:sz="0" w:space="0" w:color="auto"/>
            <w:right w:val="none" w:sz="0" w:space="0" w:color="auto"/>
          </w:divBdr>
        </w:div>
      </w:divsChild>
    </w:div>
    <w:div w:id="1935627862">
      <w:bodyDiv w:val="1"/>
      <w:marLeft w:val="0"/>
      <w:marRight w:val="0"/>
      <w:marTop w:val="0"/>
      <w:marBottom w:val="0"/>
      <w:divBdr>
        <w:top w:val="none" w:sz="0" w:space="0" w:color="auto"/>
        <w:left w:val="none" w:sz="0" w:space="0" w:color="auto"/>
        <w:bottom w:val="none" w:sz="0" w:space="0" w:color="auto"/>
        <w:right w:val="none" w:sz="0" w:space="0" w:color="auto"/>
      </w:divBdr>
    </w:div>
    <w:div w:id="1989893321">
      <w:bodyDiv w:val="1"/>
      <w:marLeft w:val="0"/>
      <w:marRight w:val="0"/>
      <w:marTop w:val="0"/>
      <w:marBottom w:val="0"/>
      <w:divBdr>
        <w:top w:val="none" w:sz="0" w:space="0" w:color="auto"/>
        <w:left w:val="none" w:sz="0" w:space="0" w:color="auto"/>
        <w:bottom w:val="none" w:sz="0" w:space="0" w:color="auto"/>
        <w:right w:val="none" w:sz="0" w:space="0" w:color="auto"/>
      </w:divBdr>
    </w:div>
    <w:div w:id="1993096170">
      <w:bodyDiv w:val="1"/>
      <w:marLeft w:val="0"/>
      <w:marRight w:val="0"/>
      <w:marTop w:val="0"/>
      <w:marBottom w:val="0"/>
      <w:divBdr>
        <w:top w:val="none" w:sz="0" w:space="0" w:color="auto"/>
        <w:left w:val="none" w:sz="0" w:space="0" w:color="auto"/>
        <w:bottom w:val="none" w:sz="0" w:space="0" w:color="auto"/>
        <w:right w:val="none" w:sz="0" w:space="0" w:color="auto"/>
      </w:divBdr>
    </w:div>
    <w:div w:id="2004233273">
      <w:bodyDiv w:val="1"/>
      <w:marLeft w:val="0"/>
      <w:marRight w:val="0"/>
      <w:marTop w:val="0"/>
      <w:marBottom w:val="0"/>
      <w:divBdr>
        <w:top w:val="none" w:sz="0" w:space="0" w:color="auto"/>
        <w:left w:val="none" w:sz="0" w:space="0" w:color="auto"/>
        <w:bottom w:val="none" w:sz="0" w:space="0" w:color="auto"/>
        <w:right w:val="none" w:sz="0" w:space="0" w:color="auto"/>
      </w:divBdr>
    </w:div>
    <w:div w:id="2021740548">
      <w:bodyDiv w:val="1"/>
      <w:marLeft w:val="0"/>
      <w:marRight w:val="0"/>
      <w:marTop w:val="0"/>
      <w:marBottom w:val="0"/>
      <w:divBdr>
        <w:top w:val="none" w:sz="0" w:space="0" w:color="auto"/>
        <w:left w:val="none" w:sz="0" w:space="0" w:color="auto"/>
        <w:bottom w:val="none" w:sz="0" w:space="0" w:color="auto"/>
        <w:right w:val="none" w:sz="0" w:space="0" w:color="auto"/>
      </w:divBdr>
    </w:div>
    <w:div w:id="2034959476">
      <w:bodyDiv w:val="1"/>
      <w:marLeft w:val="0"/>
      <w:marRight w:val="0"/>
      <w:marTop w:val="0"/>
      <w:marBottom w:val="0"/>
      <w:divBdr>
        <w:top w:val="none" w:sz="0" w:space="0" w:color="auto"/>
        <w:left w:val="none" w:sz="0" w:space="0" w:color="auto"/>
        <w:bottom w:val="none" w:sz="0" w:space="0" w:color="auto"/>
        <w:right w:val="none" w:sz="0" w:space="0" w:color="auto"/>
      </w:divBdr>
    </w:div>
    <w:div w:id="2052994451">
      <w:bodyDiv w:val="1"/>
      <w:marLeft w:val="0"/>
      <w:marRight w:val="0"/>
      <w:marTop w:val="0"/>
      <w:marBottom w:val="0"/>
      <w:divBdr>
        <w:top w:val="none" w:sz="0" w:space="0" w:color="auto"/>
        <w:left w:val="none" w:sz="0" w:space="0" w:color="auto"/>
        <w:bottom w:val="none" w:sz="0" w:space="0" w:color="auto"/>
        <w:right w:val="none" w:sz="0" w:space="0" w:color="auto"/>
      </w:divBdr>
    </w:div>
    <w:div w:id="2145656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a57@cam.ac.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spcc.org.uk/globalassets/documents/research-reports/how-safe-children-2017-repor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209659/transforming-cjs-2013.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onlinelibrary.wiley.com/doi/10.1002/car.2273/e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justice.gov.uk/courts/procedure-rules/criminal/docs/2015/criminal-procedure-rules-practice-directions-2015.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CA566A-6173-45E4-8FBB-F5BDCE50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11314</Words>
  <Characters>64946</Characters>
  <Application>Microsoft Office Word</Application>
  <DocSecurity>0</DocSecurity>
  <Lines>2164</Lines>
  <Paragraphs>1314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 Henderson</dc:creator>
  <cp:keywords/>
  <dc:description/>
  <cp:lastModifiedBy>Hayden Henderson</cp:lastModifiedBy>
  <cp:revision>6</cp:revision>
  <cp:lastPrinted>2018-01-25T15:58:00Z</cp:lastPrinted>
  <dcterms:created xsi:type="dcterms:W3CDTF">2018-09-20T22:32:00Z</dcterms:created>
  <dcterms:modified xsi:type="dcterms:W3CDTF">2018-10-03T19:16:00Z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2d0f52b1-7629-36b2-b360-01cf94209dd0</vt:lpwstr>
  </property>
  <property fmtid="{D5CDD505-2E9C-101B-9397-08002B2CF9AE}" pid="24" name="Mendeley Citation Style_1">
    <vt:lpwstr>http://www.zotero.org/styles/apa</vt:lpwstr>
  </property>
</Properties>
</file>