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970" w:rsidRPr="00DF52E5" w:rsidRDefault="00AB2970" w:rsidP="00AB2970">
      <w:pPr>
        <w:pStyle w:val="NoSpacing"/>
        <w:rPr>
          <w:rFonts w:ascii="Times New Roman" w:hAnsi="Times New Roman" w:cs="Times New Roman"/>
          <w:b/>
          <w:sz w:val="24"/>
          <w:szCs w:val="24"/>
        </w:rPr>
      </w:pPr>
      <w:r w:rsidRPr="00DF52E5">
        <w:rPr>
          <w:rFonts w:ascii="Times New Roman" w:hAnsi="Times New Roman" w:cs="Times New Roman"/>
          <w:b/>
          <w:sz w:val="24"/>
          <w:szCs w:val="24"/>
        </w:rPr>
        <w:t>Combating Transnational Organised Crime through International Human Rights Law</w:t>
      </w:r>
    </w:p>
    <w:p w:rsidR="00AB2970" w:rsidRDefault="00AB2970" w:rsidP="00C76B2C">
      <w:pPr>
        <w:pStyle w:val="NoSpacing"/>
        <w:rPr>
          <w:rFonts w:ascii="Times New Roman" w:hAnsi="Times New Roman" w:cs="Times New Roman"/>
          <w:b/>
          <w:sz w:val="24"/>
          <w:szCs w:val="24"/>
        </w:rPr>
      </w:pPr>
    </w:p>
    <w:p w:rsidR="00AB2970" w:rsidRDefault="00AB2970" w:rsidP="00C76B2C">
      <w:pPr>
        <w:pStyle w:val="NoSpacing"/>
        <w:rPr>
          <w:rFonts w:ascii="Times New Roman" w:hAnsi="Times New Roman" w:cs="Times New Roman"/>
          <w:b/>
          <w:sz w:val="24"/>
          <w:szCs w:val="24"/>
        </w:rPr>
      </w:pPr>
      <w:r>
        <w:rPr>
          <w:rFonts w:ascii="Times New Roman" w:hAnsi="Times New Roman" w:cs="Times New Roman"/>
          <w:b/>
          <w:sz w:val="24"/>
          <w:szCs w:val="24"/>
        </w:rPr>
        <w:t>Tom Obokata*</w:t>
      </w:r>
    </w:p>
    <w:p w:rsidR="00AB2970" w:rsidRDefault="00AB2970" w:rsidP="00C76B2C">
      <w:pPr>
        <w:pStyle w:val="NoSpacing"/>
        <w:rPr>
          <w:rFonts w:ascii="Times New Roman" w:hAnsi="Times New Roman" w:cs="Times New Roman"/>
          <w:b/>
          <w:sz w:val="24"/>
          <w:szCs w:val="24"/>
        </w:rPr>
      </w:pPr>
    </w:p>
    <w:p w:rsidR="00AB2970" w:rsidRDefault="00AB2970" w:rsidP="00C76B2C">
      <w:pPr>
        <w:pStyle w:val="NoSpacing"/>
        <w:rPr>
          <w:rFonts w:ascii="Times New Roman" w:hAnsi="Times New Roman" w:cs="Times New Roman"/>
          <w:b/>
          <w:sz w:val="24"/>
          <w:szCs w:val="24"/>
        </w:rPr>
      </w:pPr>
    </w:p>
    <w:p w:rsidR="00FA4C64" w:rsidRDefault="00F56CB2" w:rsidP="00C76B2C">
      <w:pPr>
        <w:pStyle w:val="NoSpacing"/>
        <w:rPr>
          <w:rFonts w:ascii="Times New Roman" w:hAnsi="Times New Roman" w:cs="Times New Roman"/>
          <w:b/>
          <w:sz w:val="24"/>
          <w:szCs w:val="24"/>
        </w:rPr>
      </w:pPr>
      <w:r>
        <w:rPr>
          <w:rFonts w:ascii="Times New Roman" w:hAnsi="Times New Roman" w:cs="Times New Roman"/>
          <w:b/>
          <w:sz w:val="24"/>
          <w:szCs w:val="24"/>
        </w:rPr>
        <w:t>Introduction</w:t>
      </w:r>
    </w:p>
    <w:p w:rsidR="00821FEF" w:rsidRDefault="00821FEF" w:rsidP="00FA4C64">
      <w:pPr>
        <w:spacing w:after="0"/>
        <w:rPr>
          <w:rFonts w:ascii="Times New Roman" w:hAnsi="Times New Roman" w:cs="Times New Roman"/>
          <w:b/>
          <w:sz w:val="24"/>
          <w:szCs w:val="24"/>
        </w:rPr>
      </w:pPr>
    </w:p>
    <w:p w:rsidR="0012560B" w:rsidRDefault="00821FEF" w:rsidP="001B4D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Transnational organised crime is a global problem.  Every single State is affected one way or another as </w:t>
      </w:r>
      <w:r w:rsidR="00854C98">
        <w:rPr>
          <w:rFonts w:ascii="Times New Roman" w:hAnsi="Times New Roman" w:cs="Times New Roman"/>
          <w:sz w:val="24"/>
          <w:szCs w:val="24"/>
        </w:rPr>
        <w:t>the</w:t>
      </w:r>
      <w:r w:rsidR="00FA133E">
        <w:rPr>
          <w:rFonts w:ascii="Times New Roman" w:hAnsi="Times New Roman" w:cs="Times New Roman"/>
          <w:sz w:val="24"/>
          <w:szCs w:val="24"/>
        </w:rPr>
        <w:t xml:space="preserve"> origin</w:t>
      </w:r>
      <w:r w:rsidR="00B26A38">
        <w:rPr>
          <w:rFonts w:ascii="Times New Roman" w:hAnsi="Times New Roman" w:cs="Times New Roman"/>
          <w:sz w:val="24"/>
          <w:szCs w:val="24"/>
        </w:rPr>
        <w:t xml:space="preserve">, transit or </w:t>
      </w:r>
      <w:r w:rsidR="00FA133E">
        <w:rPr>
          <w:rFonts w:ascii="Times New Roman" w:hAnsi="Times New Roman" w:cs="Times New Roman"/>
          <w:sz w:val="24"/>
          <w:szCs w:val="24"/>
        </w:rPr>
        <w:t>destination</w:t>
      </w:r>
      <w:r w:rsidR="00B26A38">
        <w:rPr>
          <w:rFonts w:ascii="Times New Roman" w:hAnsi="Times New Roman" w:cs="Times New Roman"/>
          <w:sz w:val="24"/>
          <w:szCs w:val="24"/>
        </w:rPr>
        <w:t xml:space="preserve"> </w:t>
      </w:r>
      <w:r w:rsidR="000D2023">
        <w:rPr>
          <w:rFonts w:ascii="Times New Roman" w:hAnsi="Times New Roman" w:cs="Times New Roman"/>
          <w:sz w:val="24"/>
          <w:szCs w:val="24"/>
        </w:rPr>
        <w:t>for</w:t>
      </w:r>
      <w:r w:rsidR="00B26A38">
        <w:rPr>
          <w:rFonts w:ascii="Times New Roman" w:hAnsi="Times New Roman" w:cs="Times New Roman"/>
          <w:sz w:val="24"/>
          <w:szCs w:val="24"/>
        </w:rPr>
        <w:t xml:space="preserve"> illicit </w:t>
      </w:r>
      <w:r w:rsidR="00FA133E">
        <w:rPr>
          <w:rFonts w:ascii="Times New Roman" w:hAnsi="Times New Roman" w:cs="Times New Roman"/>
          <w:sz w:val="24"/>
          <w:szCs w:val="24"/>
        </w:rPr>
        <w:t xml:space="preserve">proceeds, </w:t>
      </w:r>
      <w:r w:rsidR="00B26A38">
        <w:rPr>
          <w:rFonts w:ascii="Times New Roman" w:hAnsi="Times New Roman" w:cs="Times New Roman"/>
          <w:sz w:val="24"/>
          <w:szCs w:val="24"/>
        </w:rPr>
        <w:t xml:space="preserve">goods </w:t>
      </w:r>
      <w:r w:rsidR="00CF0EE4">
        <w:rPr>
          <w:rFonts w:ascii="Times New Roman" w:hAnsi="Times New Roman" w:cs="Times New Roman"/>
          <w:sz w:val="24"/>
          <w:szCs w:val="24"/>
        </w:rPr>
        <w:t>and even people</w:t>
      </w:r>
      <w:r w:rsidR="00854C98">
        <w:rPr>
          <w:rFonts w:ascii="Times New Roman" w:hAnsi="Times New Roman" w:cs="Times New Roman"/>
          <w:sz w:val="24"/>
          <w:szCs w:val="24"/>
        </w:rPr>
        <w:t>.</w:t>
      </w:r>
      <w:r w:rsidR="00B26A38">
        <w:rPr>
          <w:rFonts w:ascii="Times New Roman" w:hAnsi="Times New Roman" w:cs="Times New Roman"/>
          <w:sz w:val="24"/>
          <w:szCs w:val="24"/>
        </w:rPr>
        <w:t xml:space="preserve"> </w:t>
      </w:r>
      <w:r w:rsidR="00854C98">
        <w:rPr>
          <w:rFonts w:ascii="Times New Roman" w:hAnsi="Times New Roman" w:cs="Times New Roman"/>
          <w:sz w:val="24"/>
          <w:szCs w:val="24"/>
        </w:rPr>
        <w:t xml:space="preserve"> Wherever </w:t>
      </w:r>
      <w:r w:rsidR="000D2023">
        <w:rPr>
          <w:rFonts w:ascii="Times New Roman" w:hAnsi="Times New Roman" w:cs="Times New Roman"/>
          <w:sz w:val="24"/>
          <w:szCs w:val="24"/>
        </w:rPr>
        <w:t xml:space="preserve">crimes are </w:t>
      </w:r>
      <w:r w:rsidR="00854C98">
        <w:rPr>
          <w:rFonts w:ascii="Times New Roman" w:hAnsi="Times New Roman" w:cs="Times New Roman"/>
          <w:sz w:val="24"/>
          <w:szCs w:val="24"/>
        </w:rPr>
        <w:t xml:space="preserve">committed, the involvement of highly sophisticated organised criminal groups is recognised.   </w:t>
      </w:r>
      <w:r w:rsidR="00854C98" w:rsidRPr="00E35449">
        <w:rPr>
          <w:rFonts w:ascii="Times New Roman" w:hAnsi="Times New Roman" w:cs="Times New Roman"/>
          <w:sz w:val="24"/>
          <w:szCs w:val="24"/>
        </w:rPr>
        <w:t>The known groups in the world include the Italian Mafia,</w:t>
      </w:r>
      <w:r w:rsidR="00854C98" w:rsidRPr="00E35449">
        <w:rPr>
          <w:rStyle w:val="FootnoteReference"/>
          <w:rFonts w:ascii="Times New Roman" w:hAnsi="Times New Roman" w:cs="Times New Roman"/>
          <w:sz w:val="24"/>
          <w:szCs w:val="24"/>
        </w:rPr>
        <w:footnoteReference w:id="1"/>
      </w:r>
      <w:r w:rsidR="00854C98" w:rsidRPr="00E35449">
        <w:rPr>
          <w:rFonts w:ascii="Times New Roman" w:hAnsi="Times New Roman" w:cs="Times New Roman"/>
          <w:sz w:val="24"/>
          <w:szCs w:val="24"/>
        </w:rPr>
        <w:t xml:space="preserve"> Triad (Hong Kong),</w:t>
      </w:r>
      <w:r w:rsidR="00854C98" w:rsidRPr="00E35449">
        <w:rPr>
          <w:rStyle w:val="FootnoteReference"/>
          <w:rFonts w:ascii="Times New Roman" w:hAnsi="Times New Roman" w:cs="Times New Roman"/>
          <w:sz w:val="24"/>
          <w:szCs w:val="24"/>
        </w:rPr>
        <w:footnoteReference w:id="2"/>
      </w:r>
      <w:r w:rsidR="00854C98" w:rsidRPr="00E35449">
        <w:rPr>
          <w:rFonts w:ascii="Times New Roman" w:hAnsi="Times New Roman" w:cs="Times New Roman"/>
          <w:sz w:val="24"/>
          <w:szCs w:val="24"/>
        </w:rPr>
        <w:t xml:space="preserve"> Yakuza (Japan),</w:t>
      </w:r>
      <w:r w:rsidR="00854C98" w:rsidRPr="00E35449">
        <w:rPr>
          <w:rStyle w:val="FootnoteReference"/>
          <w:rFonts w:ascii="Times New Roman" w:hAnsi="Times New Roman" w:cs="Times New Roman"/>
          <w:sz w:val="24"/>
          <w:szCs w:val="24"/>
        </w:rPr>
        <w:footnoteReference w:id="3"/>
      </w:r>
      <w:r w:rsidR="00854C98">
        <w:rPr>
          <w:rFonts w:ascii="Times New Roman" w:hAnsi="Times New Roman" w:cs="Times New Roman"/>
          <w:sz w:val="24"/>
          <w:szCs w:val="24"/>
        </w:rPr>
        <w:t xml:space="preserve"> Si</w:t>
      </w:r>
      <w:r w:rsidR="00854C98" w:rsidRPr="00E35449">
        <w:rPr>
          <w:rFonts w:ascii="Times New Roman" w:hAnsi="Times New Roman" w:cs="Times New Roman"/>
          <w:sz w:val="24"/>
          <w:szCs w:val="24"/>
        </w:rPr>
        <w:t>naloa Cartel (Mexico),</w:t>
      </w:r>
      <w:r w:rsidR="00854C98" w:rsidRPr="00E35449">
        <w:rPr>
          <w:rStyle w:val="FootnoteReference"/>
          <w:rFonts w:ascii="Times New Roman" w:hAnsi="Times New Roman" w:cs="Times New Roman"/>
          <w:sz w:val="24"/>
          <w:szCs w:val="24"/>
        </w:rPr>
        <w:footnoteReference w:id="4"/>
      </w:r>
      <w:r w:rsidR="00854C98">
        <w:rPr>
          <w:rFonts w:ascii="Times New Roman" w:hAnsi="Times New Roman" w:cs="Times New Roman"/>
          <w:sz w:val="24"/>
          <w:szCs w:val="24"/>
        </w:rPr>
        <w:t xml:space="preserve"> as well as </w:t>
      </w:r>
      <w:r w:rsidR="00854C98" w:rsidRPr="00E35449">
        <w:rPr>
          <w:rFonts w:ascii="Times New Roman" w:hAnsi="Times New Roman" w:cs="Times New Roman"/>
          <w:sz w:val="24"/>
          <w:szCs w:val="24"/>
        </w:rPr>
        <w:t>criminal syndicates in Russia</w:t>
      </w:r>
      <w:r w:rsidR="00854C98" w:rsidRPr="00E35449">
        <w:rPr>
          <w:rStyle w:val="FootnoteReference"/>
          <w:rFonts w:ascii="Times New Roman" w:hAnsi="Times New Roman" w:cs="Times New Roman"/>
          <w:sz w:val="24"/>
          <w:szCs w:val="24"/>
        </w:rPr>
        <w:footnoteReference w:id="5"/>
      </w:r>
      <w:r w:rsidR="00854C98" w:rsidRPr="00E35449">
        <w:rPr>
          <w:rFonts w:ascii="Times New Roman" w:hAnsi="Times New Roman" w:cs="Times New Roman"/>
          <w:sz w:val="24"/>
          <w:szCs w:val="24"/>
        </w:rPr>
        <w:t xml:space="preserve"> and West Africa.</w:t>
      </w:r>
      <w:r w:rsidR="00854C98" w:rsidRPr="00E35449">
        <w:rPr>
          <w:rStyle w:val="FootnoteReference"/>
          <w:rFonts w:ascii="Times New Roman" w:hAnsi="Times New Roman" w:cs="Times New Roman"/>
          <w:sz w:val="24"/>
          <w:szCs w:val="24"/>
        </w:rPr>
        <w:footnoteReference w:id="6"/>
      </w:r>
      <w:r w:rsidR="00854C98" w:rsidRPr="00E35449">
        <w:rPr>
          <w:rFonts w:ascii="Times New Roman" w:hAnsi="Times New Roman" w:cs="Times New Roman"/>
          <w:sz w:val="24"/>
          <w:szCs w:val="24"/>
        </w:rPr>
        <w:t xml:space="preserve">  </w:t>
      </w:r>
      <w:r w:rsidR="00887078">
        <w:rPr>
          <w:rFonts w:ascii="Times New Roman" w:hAnsi="Times New Roman" w:cs="Times New Roman"/>
          <w:sz w:val="24"/>
          <w:szCs w:val="24"/>
        </w:rPr>
        <w:t xml:space="preserve"> </w:t>
      </w:r>
      <w:r w:rsidR="00790476">
        <w:rPr>
          <w:rFonts w:ascii="Times New Roman" w:hAnsi="Times New Roman" w:cs="Times New Roman"/>
          <w:sz w:val="24"/>
          <w:szCs w:val="24"/>
        </w:rPr>
        <w:t>Due to t</w:t>
      </w:r>
      <w:r w:rsidR="00981BF2">
        <w:rPr>
          <w:rFonts w:ascii="Times New Roman" w:hAnsi="Times New Roman" w:cs="Times New Roman"/>
          <w:sz w:val="24"/>
          <w:szCs w:val="24"/>
        </w:rPr>
        <w:t>heir</w:t>
      </w:r>
      <w:r w:rsidR="00934057">
        <w:rPr>
          <w:rFonts w:ascii="Times New Roman" w:hAnsi="Times New Roman" w:cs="Times New Roman"/>
          <w:sz w:val="24"/>
          <w:szCs w:val="24"/>
        </w:rPr>
        <w:t xml:space="preserve"> </w:t>
      </w:r>
      <w:r w:rsidR="00932A6C">
        <w:rPr>
          <w:rFonts w:ascii="Times New Roman" w:hAnsi="Times New Roman" w:cs="Times New Roman"/>
          <w:sz w:val="24"/>
          <w:szCs w:val="24"/>
        </w:rPr>
        <w:t>well-</w:t>
      </w:r>
      <w:r w:rsidR="000F4962">
        <w:rPr>
          <w:rFonts w:ascii="Times New Roman" w:hAnsi="Times New Roman" w:cs="Times New Roman"/>
          <w:sz w:val="24"/>
          <w:szCs w:val="24"/>
        </w:rPr>
        <w:t>established</w:t>
      </w:r>
      <w:r w:rsidR="00981BF2">
        <w:rPr>
          <w:rFonts w:ascii="Times New Roman" w:hAnsi="Times New Roman" w:cs="Times New Roman"/>
          <w:sz w:val="24"/>
          <w:szCs w:val="24"/>
        </w:rPr>
        <w:t xml:space="preserve"> experiences and expertise in committing a variety of crimes at national and international levels, </w:t>
      </w:r>
      <w:r w:rsidR="00790476">
        <w:rPr>
          <w:rFonts w:ascii="Times New Roman" w:hAnsi="Times New Roman" w:cs="Times New Roman"/>
          <w:sz w:val="24"/>
          <w:szCs w:val="24"/>
        </w:rPr>
        <w:t xml:space="preserve">it has become increasingly difficult </w:t>
      </w:r>
      <w:r w:rsidR="001B4D1A">
        <w:rPr>
          <w:rFonts w:ascii="Times New Roman" w:hAnsi="Times New Roman" w:cs="Times New Roman"/>
          <w:sz w:val="24"/>
          <w:szCs w:val="24"/>
        </w:rPr>
        <w:t xml:space="preserve">for States to detect and prevent transnational organised crime.  </w:t>
      </w:r>
      <w:r w:rsidR="00D86037">
        <w:rPr>
          <w:rFonts w:ascii="Times New Roman" w:hAnsi="Times New Roman" w:cs="Times New Roman"/>
          <w:sz w:val="24"/>
          <w:szCs w:val="24"/>
        </w:rPr>
        <w:t xml:space="preserve">In </w:t>
      </w:r>
      <w:r w:rsidR="000F6BBA">
        <w:rPr>
          <w:rFonts w:ascii="Times New Roman" w:hAnsi="Times New Roman" w:cs="Times New Roman"/>
          <w:sz w:val="24"/>
          <w:szCs w:val="24"/>
        </w:rPr>
        <w:t xml:space="preserve">recognising the need to promote </w:t>
      </w:r>
      <w:r w:rsidR="004E02F5">
        <w:rPr>
          <w:rFonts w:ascii="Times New Roman" w:hAnsi="Times New Roman" w:cs="Times New Roman"/>
          <w:sz w:val="24"/>
          <w:szCs w:val="24"/>
        </w:rPr>
        <w:t xml:space="preserve">a </w:t>
      </w:r>
      <w:r w:rsidR="000F6BBA">
        <w:rPr>
          <w:rFonts w:ascii="Times New Roman" w:hAnsi="Times New Roman" w:cs="Times New Roman"/>
          <w:sz w:val="24"/>
          <w:szCs w:val="24"/>
        </w:rPr>
        <w:t xml:space="preserve">more effective action, the international community adopted </w:t>
      </w:r>
      <w:r w:rsidR="00D86037">
        <w:rPr>
          <w:rFonts w:ascii="Times New Roman" w:hAnsi="Times New Roman" w:cs="Times New Roman"/>
          <w:sz w:val="24"/>
          <w:szCs w:val="24"/>
        </w:rPr>
        <w:t>the United Nations Convention against Transnational Organised Crime (UNTOC)</w:t>
      </w:r>
      <w:r w:rsidR="00D86037">
        <w:rPr>
          <w:rStyle w:val="FootnoteReference"/>
          <w:rFonts w:ascii="Times New Roman" w:hAnsi="Times New Roman" w:cs="Times New Roman"/>
          <w:sz w:val="24"/>
          <w:szCs w:val="24"/>
        </w:rPr>
        <w:footnoteReference w:id="7"/>
      </w:r>
      <w:r w:rsidR="00D86037">
        <w:rPr>
          <w:rFonts w:ascii="Times New Roman" w:hAnsi="Times New Roman" w:cs="Times New Roman"/>
          <w:sz w:val="24"/>
          <w:szCs w:val="24"/>
        </w:rPr>
        <w:t xml:space="preserve"> in 2000.  In addition to </w:t>
      </w:r>
      <w:r w:rsidR="004E02F5">
        <w:rPr>
          <w:rFonts w:ascii="Times New Roman" w:hAnsi="Times New Roman" w:cs="Times New Roman"/>
          <w:sz w:val="24"/>
          <w:szCs w:val="24"/>
        </w:rPr>
        <w:t>providing</w:t>
      </w:r>
      <w:r w:rsidR="00D86037">
        <w:rPr>
          <w:rFonts w:ascii="Times New Roman" w:hAnsi="Times New Roman" w:cs="Times New Roman"/>
          <w:sz w:val="24"/>
          <w:szCs w:val="24"/>
        </w:rPr>
        <w:t xml:space="preserve"> certain </w:t>
      </w:r>
      <w:r w:rsidR="00954269">
        <w:rPr>
          <w:rFonts w:ascii="Times New Roman" w:hAnsi="Times New Roman" w:cs="Times New Roman"/>
          <w:sz w:val="24"/>
          <w:szCs w:val="24"/>
        </w:rPr>
        <w:t xml:space="preserve">legal </w:t>
      </w:r>
      <w:r w:rsidR="00D86037">
        <w:rPr>
          <w:rFonts w:ascii="Times New Roman" w:hAnsi="Times New Roman" w:cs="Times New Roman"/>
          <w:sz w:val="24"/>
          <w:szCs w:val="24"/>
        </w:rPr>
        <w:t>definitions</w:t>
      </w:r>
      <w:r w:rsidR="00D86037">
        <w:rPr>
          <w:rStyle w:val="FootnoteReference"/>
          <w:rFonts w:ascii="Times New Roman" w:hAnsi="Times New Roman" w:cs="Times New Roman"/>
          <w:sz w:val="24"/>
          <w:szCs w:val="24"/>
        </w:rPr>
        <w:footnoteReference w:id="8"/>
      </w:r>
      <w:r w:rsidR="004E02F5">
        <w:rPr>
          <w:rFonts w:ascii="Times New Roman" w:hAnsi="Times New Roman" w:cs="Times New Roman"/>
          <w:sz w:val="24"/>
          <w:szCs w:val="24"/>
        </w:rPr>
        <w:t xml:space="preserve"> for States to follow,</w:t>
      </w:r>
      <w:r w:rsidR="00D86037">
        <w:rPr>
          <w:rFonts w:ascii="Times New Roman" w:hAnsi="Times New Roman" w:cs="Times New Roman"/>
          <w:sz w:val="24"/>
          <w:szCs w:val="24"/>
        </w:rPr>
        <w:t xml:space="preserve"> </w:t>
      </w:r>
      <w:r w:rsidR="0032189A">
        <w:rPr>
          <w:rFonts w:ascii="Times New Roman" w:hAnsi="Times New Roman" w:cs="Times New Roman"/>
          <w:sz w:val="24"/>
          <w:szCs w:val="24"/>
        </w:rPr>
        <w:t xml:space="preserve">this instrument is designed to strengthen individual and collective action through the adoption of more robust criminal justice responses.  </w:t>
      </w:r>
      <w:r w:rsidR="000A248B">
        <w:rPr>
          <w:rFonts w:ascii="Times New Roman" w:hAnsi="Times New Roman" w:cs="Times New Roman"/>
          <w:sz w:val="24"/>
          <w:szCs w:val="24"/>
        </w:rPr>
        <w:t xml:space="preserve">While this </w:t>
      </w:r>
      <w:r w:rsidR="00586AE9">
        <w:rPr>
          <w:rFonts w:ascii="Times New Roman" w:hAnsi="Times New Roman" w:cs="Times New Roman"/>
          <w:sz w:val="24"/>
          <w:szCs w:val="24"/>
        </w:rPr>
        <w:t>may be regarded</w:t>
      </w:r>
      <w:r w:rsidR="00AB2949">
        <w:rPr>
          <w:rFonts w:ascii="Times New Roman" w:hAnsi="Times New Roman" w:cs="Times New Roman"/>
          <w:sz w:val="24"/>
          <w:szCs w:val="24"/>
        </w:rPr>
        <w:t xml:space="preserve"> </w:t>
      </w:r>
      <w:r w:rsidR="000A248B">
        <w:rPr>
          <w:rFonts w:ascii="Times New Roman" w:hAnsi="Times New Roman" w:cs="Times New Roman"/>
          <w:sz w:val="24"/>
          <w:szCs w:val="24"/>
        </w:rPr>
        <w:t>an important step</w:t>
      </w:r>
      <w:r w:rsidR="00442013">
        <w:rPr>
          <w:rFonts w:ascii="Times New Roman" w:hAnsi="Times New Roman" w:cs="Times New Roman"/>
          <w:sz w:val="24"/>
          <w:szCs w:val="24"/>
        </w:rPr>
        <w:t xml:space="preserve"> forward</w:t>
      </w:r>
      <w:r w:rsidR="000A248B">
        <w:rPr>
          <w:rFonts w:ascii="Times New Roman" w:hAnsi="Times New Roman" w:cs="Times New Roman"/>
          <w:sz w:val="24"/>
          <w:szCs w:val="24"/>
        </w:rPr>
        <w:t xml:space="preserve">, </w:t>
      </w:r>
      <w:r w:rsidR="0012560B">
        <w:rPr>
          <w:rFonts w:ascii="Times New Roman" w:hAnsi="Times New Roman" w:cs="Times New Roman"/>
          <w:sz w:val="24"/>
          <w:szCs w:val="24"/>
        </w:rPr>
        <w:t>transnational organised crime</w:t>
      </w:r>
      <w:r w:rsidR="00060343">
        <w:rPr>
          <w:rFonts w:ascii="Times New Roman" w:hAnsi="Times New Roman" w:cs="Times New Roman"/>
          <w:sz w:val="24"/>
          <w:szCs w:val="24"/>
        </w:rPr>
        <w:t xml:space="preserve"> </w:t>
      </w:r>
      <w:r w:rsidR="004C2858">
        <w:rPr>
          <w:rFonts w:ascii="Times New Roman" w:hAnsi="Times New Roman" w:cs="Times New Roman"/>
          <w:sz w:val="24"/>
          <w:szCs w:val="24"/>
        </w:rPr>
        <w:t>not only is</w:t>
      </w:r>
      <w:r w:rsidR="0012560B">
        <w:rPr>
          <w:rFonts w:ascii="Times New Roman" w:hAnsi="Times New Roman" w:cs="Times New Roman"/>
          <w:sz w:val="24"/>
          <w:szCs w:val="24"/>
        </w:rPr>
        <w:t xml:space="preserve"> </w:t>
      </w:r>
      <w:r w:rsidR="00060343">
        <w:rPr>
          <w:rFonts w:ascii="Times New Roman" w:hAnsi="Times New Roman" w:cs="Times New Roman"/>
          <w:sz w:val="24"/>
          <w:szCs w:val="24"/>
        </w:rPr>
        <w:t>a</w:t>
      </w:r>
      <w:r w:rsidR="0012560B">
        <w:rPr>
          <w:rFonts w:ascii="Times New Roman" w:hAnsi="Times New Roman" w:cs="Times New Roman"/>
          <w:sz w:val="24"/>
          <w:szCs w:val="24"/>
        </w:rPr>
        <w:t xml:space="preserve"> crime,</w:t>
      </w:r>
      <w:r w:rsidR="00934057">
        <w:rPr>
          <w:rFonts w:ascii="Times New Roman" w:hAnsi="Times New Roman" w:cs="Times New Roman"/>
          <w:sz w:val="24"/>
          <w:szCs w:val="24"/>
        </w:rPr>
        <w:t xml:space="preserve"> but also </w:t>
      </w:r>
      <w:r w:rsidR="00DF52E5">
        <w:rPr>
          <w:rFonts w:ascii="Times New Roman" w:hAnsi="Times New Roman" w:cs="Times New Roman"/>
          <w:sz w:val="24"/>
          <w:szCs w:val="24"/>
        </w:rPr>
        <w:t>affects</w:t>
      </w:r>
      <w:r w:rsidR="00C46161">
        <w:rPr>
          <w:rFonts w:ascii="Times New Roman" w:hAnsi="Times New Roman" w:cs="Times New Roman"/>
          <w:sz w:val="24"/>
          <w:szCs w:val="24"/>
        </w:rPr>
        <w:t xml:space="preserve"> </w:t>
      </w:r>
      <w:r w:rsidR="00EE258B">
        <w:rPr>
          <w:rFonts w:ascii="Times New Roman" w:hAnsi="Times New Roman" w:cs="Times New Roman"/>
          <w:sz w:val="24"/>
          <w:szCs w:val="24"/>
        </w:rPr>
        <w:t xml:space="preserve">a wide variety of </w:t>
      </w:r>
      <w:r w:rsidR="0012560B">
        <w:rPr>
          <w:rFonts w:ascii="Times New Roman" w:hAnsi="Times New Roman" w:cs="Times New Roman"/>
          <w:sz w:val="24"/>
          <w:szCs w:val="24"/>
        </w:rPr>
        <w:t>human rights</w:t>
      </w:r>
      <w:r w:rsidR="00C32258">
        <w:rPr>
          <w:rFonts w:ascii="Times New Roman" w:hAnsi="Times New Roman" w:cs="Times New Roman"/>
          <w:sz w:val="24"/>
          <w:szCs w:val="24"/>
        </w:rPr>
        <w:t xml:space="preserve">.  This </w:t>
      </w:r>
      <w:r w:rsidR="00C32258">
        <w:rPr>
          <w:rFonts w:ascii="Times New Roman" w:hAnsi="Times New Roman" w:cs="Times New Roman"/>
          <w:sz w:val="24"/>
          <w:szCs w:val="24"/>
        </w:rPr>
        <w:lastRenderedPageBreak/>
        <w:t>means</w:t>
      </w:r>
      <w:r w:rsidR="00A7186B">
        <w:rPr>
          <w:rFonts w:ascii="Times New Roman" w:hAnsi="Times New Roman" w:cs="Times New Roman"/>
          <w:sz w:val="24"/>
          <w:szCs w:val="24"/>
        </w:rPr>
        <w:t xml:space="preserve"> </w:t>
      </w:r>
      <w:r w:rsidR="00934057">
        <w:rPr>
          <w:rFonts w:ascii="Times New Roman" w:hAnsi="Times New Roman" w:cs="Times New Roman"/>
          <w:sz w:val="24"/>
          <w:szCs w:val="24"/>
        </w:rPr>
        <w:t xml:space="preserve">that </w:t>
      </w:r>
      <w:r w:rsidR="00C32258">
        <w:rPr>
          <w:rFonts w:ascii="Times New Roman" w:hAnsi="Times New Roman" w:cs="Times New Roman"/>
          <w:sz w:val="24"/>
          <w:szCs w:val="24"/>
        </w:rPr>
        <w:t>international human rights law ha</w:t>
      </w:r>
      <w:r w:rsidR="00C7604C">
        <w:rPr>
          <w:rFonts w:ascii="Times New Roman" w:hAnsi="Times New Roman" w:cs="Times New Roman"/>
          <w:sz w:val="24"/>
          <w:szCs w:val="24"/>
        </w:rPr>
        <w:t>s</w:t>
      </w:r>
      <w:r w:rsidR="00C32258">
        <w:rPr>
          <w:rFonts w:ascii="Times New Roman" w:hAnsi="Times New Roman" w:cs="Times New Roman"/>
          <w:sz w:val="24"/>
          <w:szCs w:val="24"/>
        </w:rPr>
        <w:t xml:space="preserve"> a role to play</w:t>
      </w:r>
      <w:r w:rsidR="00934057">
        <w:rPr>
          <w:rFonts w:ascii="Times New Roman" w:hAnsi="Times New Roman" w:cs="Times New Roman"/>
          <w:sz w:val="24"/>
          <w:szCs w:val="24"/>
        </w:rPr>
        <w:t xml:space="preserve"> in supplementing the current action against transnational organised crime facilitated through the UNTOC and other relevant instruments on the subject.  </w:t>
      </w:r>
    </w:p>
    <w:p w:rsidR="00821FEF" w:rsidRPr="00821FEF" w:rsidRDefault="00C32258" w:rsidP="00D860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purpose of this </w:t>
      </w:r>
      <w:r w:rsidR="00F515FE">
        <w:rPr>
          <w:rFonts w:ascii="Times New Roman" w:hAnsi="Times New Roman" w:cs="Times New Roman"/>
          <w:sz w:val="24"/>
          <w:szCs w:val="24"/>
        </w:rPr>
        <w:t xml:space="preserve">article </w:t>
      </w:r>
      <w:r>
        <w:rPr>
          <w:rFonts w:ascii="Times New Roman" w:hAnsi="Times New Roman" w:cs="Times New Roman"/>
          <w:sz w:val="24"/>
          <w:szCs w:val="24"/>
        </w:rPr>
        <w:t xml:space="preserve">is to </w:t>
      </w:r>
      <w:r w:rsidR="00807B3C">
        <w:rPr>
          <w:rFonts w:ascii="Times New Roman" w:hAnsi="Times New Roman" w:cs="Times New Roman"/>
          <w:sz w:val="24"/>
          <w:szCs w:val="24"/>
        </w:rPr>
        <w:t xml:space="preserve">explore </w:t>
      </w:r>
      <w:r w:rsidR="006320A7">
        <w:rPr>
          <w:rFonts w:ascii="Times New Roman" w:hAnsi="Times New Roman" w:cs="Times New Roman"/>
          <w:sz w:val="24"/>
          <w:szCs w:val="24"/>
        </w:rPr>
        <w:t xml:space="preserve">the key </w:t>
      </w:r>
      <w:r w:rsidR="00807B3C">
        <w:rPr>
          <w:rFonts w:ascii="Times New Roman" w:hAnsi="Times New Roman" w:cs="Times New Roman"/>
          <w:sz w:val="24"/>
          <w:szCs w:val="24"/>
        </w:rPr>
        <w:t xml:space="preserve">obligations imposed upon States under international human rights law </w:t>
      </w:r>
      <w:r w:rsidR="006320A7">
        <w:rPr>
          <w:rFonts w:ascii="Times New Roman" w:hAnsi="Times New Roman" w:cs="Times New Roman"/>
          <w:sz w:val="24"/>
          <w:szCs w:val="24"/>
        </w:rPr>
        <w:t>to</w:t>
      </w:r>
      <w:r w:rsidR="00FF22BF">
        <w:rPr>
          <w:rFonts w:ascii="Times New Roman" w:hAnsi="Times New Roman" w:cs="Times New Roman"/>
          <w:sz w:val="24"/>
          <w:szCs w:val="24"/>
        </w:rPr>
        <w:t xml:space="preserve"> combat </w:t>
      </w:r>
      <w:r w:rsidR="00807B3C">
        <w:rPr>
          <w:rFonts w:ascii="Times New Roman" w:hAnsi="Times New Roman" w:cs="Times New Roman"/>
          <w:sz w:val="24"/>
          <w:szCs w:val="24"/>
        </w:rPr>
        <w:t>transnational organised crime</w:t>
      </w:r>
      <w:r w:rsidR="006320A7">
        <w:rPr>
          <w:rFonts w:ascii="Times New Roman" w:hAnsi="Times New Roman" w:cs="Times New Roman"/>
          <w:sz w:val="24"/>
          <w:szCs w:val="24"/>
        </w:rPr>
        <w:t xml:space="preserve"> and to </w:t>
      </w:r>
      <w:r w:rsidR="0025356D">
        <w:rPr>
          <w:rFonts w:ascii="Times New Roman" w:hAnsi="Times New Roman" w:cs="Times New Roman"/>
          <w:sz w:val="24"/>
          <w:szCs w:val="24"/>
        </w:rPr>
        <w:t xml:space="preserve">elucidate </w:t>
      </w:r>
      <w:r w:rsidR="006320A7">
        <w:rPr>
          <w:rFonts w:ascii="Times New Roman" w:hAnsi="Times New Roman" w:cs="Times New Roman"/>
          <w:sz w:val="24"/>
          <w:szCs w:val="24"/>
        </w:rPr>
        <w:t xml:space="preserve">the extent to which this branch of law can assist the </w:t>
      </w:r>
      <w:r w:rsidR="00FF22BF">
        <w:rPr>
          <w:rFonts w:ascii="Times New Roman" w:hAnsi="Times New Roman" w:cs="Times New Roman"/>
          <w:sz w:val="24"/>
          <w:szCs w:val="24"/>
        </w:rPr>
        <w:t xml:space="preserve">ongoing </w:t>
      </w:r>
      <w:r w:rsidR="00161BA7">
        <w:rPr>
          <w:rFonts w:ascii="Times New Roman" w:hAnsi="Times New Roman" w:cs="Times New Roman"/>
          <w:sz w:val="24"/>
          <w:szCs w:val="24"/>
        </w:rPr>
        <w:t>action</w:t>
      </w:r>
      <w:r w:rsidR="00FF22BF">
        <w:rPr>
          <w:rFonts w:ascii="Times New Roman" w:hAnsi="Times New Roman" w:cs="Times New Roman"/>
          <w:sz w:val="24"/>
          <w:szCs w:val="24"/>
        </w:rPr>
        <w:t>s</w:t>
      </w:r>
      <w:r w:rsidR="00161BA7">
        <w:rPr>
          <w:rFonts w:ascii="Times New Roman" w:hAnsi="Times New Roman" w:cs="Times New Roman"/>
          <w:sz w:val="24"/>
          <w:szCs w:val="24"/>
        </w:rPr>
        <w:t xml:space="preserve"> against </w:t>
      </w:r>
      <w:r w:rsidR="008C1B7E">
        <w:rPr>
          <w:rFonts w:ascii="Times New Roman" w:hAnsi="Times New Roman" w:cs="Times New Roman"/>
          <w:sz w:val="24"/>
          <w:szCs w:val="24"/>
        </w:rPr>
        <w:t>it</w:t>
      </w:r>
      <w:r w:rsidR="0025356D">
        <w:rPr>
          <w:rFonts w:ascii="Times New Roman" w:hAnsi="Times New Roman" w:cs="Times New Roman"/>
          <w:sz w:val="24"/>
          <w:szCs w:val="24"/>
        </w:rPr>
        <w:t>.  It begins by highlight</w:t>
      </w:r>
      <w:r w:rsidR="0085498B">
        <w:rPr>
          <w:rFonts w:ascii="Times New Roman" w:hAnsi="Times New Roman" w:cs="Times New Roman"/>
          <w:sz w:val="24"/>
          <w:szCs w:val="24"/>
        </w:rPr>
        <w:t>ing</w:t>
      </w:r>
      <w:r w:rsidR="0025356D">
        <w:rPr>
          <w:rFonts w:ascii="Times New Roman" w:hAnsi="Times New Roman" w:cs="Times New Roman"/>
          <w:sz w:val="24"/>
          <w:szCs w:val="24"/>
        </w:rPr>
        <w:t xml:space="preserve"> </w:t>
      </w:r>
      <w:proofErr w:type="gramStart"/>
      <w:r w:rsidR="0025356D">
        <w:rPr>
          <w:rFonts w:ascii="Times New Roman" w:hAnsi="Times New Roman" w:cs="Times New Roman"/>
          <w:sz w:val="24"/>
          <w:szCs w:val="24"/>
        </w:rPr>
        <w:t>a number of</w:t>
      </w:r>
      <w:proofErr w:type="gramEnd"/>
      <w:r w:rsidR="0025356D">
        <w:rPr>
          <w:rFonts w:ascii="Times New Roman" w:hAnsi="Times New Roman" w:cs="Times New Roman"/>
          <w:sz w:val="24"/>
          <w:szCs w:val="24"/>
        </w:rPr>
        <w:t xml:space="preserve"> human rights which are affected by various forms of organised crime, </w:t>
      </w:r>
      <w:r w:rsidR="00224A1B">
        <w:rPr>
          <w:rFonts w:ascii="Times New Roman" w:hAnsi="Times New Roman" w:cs="Times New Roman"/>
          <w:sz w:val="24"/>
          <w:szCs w:val="24"/>
        </w:rPr>
        <w:t>such as the right</w:t>
      </w:r>
      <w:r w:rsidR="00DF52E5">
        <w:rPr>
          <w:rFonts w:ascii="Times New Roman" w:hAnsi="Times New Roman" w:cs="Times New Roman"/>
          <w:sz w:val="24"/>
          <w:szCs w:val="24"/>
        </w:rPr>
        <w:t>s</w:t>
      </w:r>
      <w:r w:rsidR="00224A1B">
        <w:rPr>
          <w:rFonts w:ascii="Times New Roman" w:hAnsi="Times New Roman" w:cs="Times New Roman"/>
          <w:sz w:val="24"/>
          <w:szCs w:val="24"/>
        </w:rPr>
        <w:t xml:space="preserve"> to life, liberty and security, health, </w:t>
      </w:r>
      <w:r w:rsidR="00F84EB4">
        <w:rPr>
          <w:rFonts w:ascii="Times New Roman" w:hAnsi="Times New Roman" w:cs="Times New Roman"/>
          <w:sz w:val="24"/>
          <w:szCs w:val="24"/>
        </w:rPr>
        <w:t xml:space="preserve">property, </w:t>
      </w:r>
      <w:r w:rsidR="00224A1B">
        <w:rPr>
          <w:rFonts w:ascii="Times New Roman" w:hAnsi="Times New Roman" w:cs="Times New Roman"/>
          <w:sz w:val="24"/>
          <w:szCs w:val="24"/>
        </w:rPr>
        <w:t>culture, as well as</w:t>
      </w:r>
      <w:r w:rsidR="004F69FB">
        <w:rPr>
          <w:rFonts w:ascii="Times New Roman" w:hAnsi="Times New Roman" w:cs="Times New Roman"/>
          <w:sz w:val="24"/>
          <w:szCs w:val="24"/>
        </w:rPr>
        <w:t xml:space="preserve"> the </w:t>
      </w:r>
      <w:r w:rsidR="00224A1B">
        <w:rPr>
          <w:rFonts w:ascii="Times New Roman" w:hAnsi="Times New Roman" w:cs="Times New Roman"/>
          <w:sz w:val="24"/>
          <w:szCs w:val="24"/>
        </w:rPr>
        <w:t>prohibition on slavery</w:t>
      </w:r>
      <w:r w:rsidR="00F84EB4">
        <w:rPr>
          <w:rFonts w:ascii="Times New Roman" w:hAnsi="Times New Roman" w:cs="Times New Roman"/>
          <w:sz w:val="24"/>
          <w:szCs w:val="24"/>
        </w:rPr>
        <w:t xml:space="preserve">/forced labour and </w:t>
      </w:r>
      <w:r w:rsidR="00224A1B">
        <w:rPr>
          <w:rFonts w:ascii="Times New Roman" w:hAnsi="Times New Roman" w:cs="Times New Roman"/>
          <w:sz w:val="24"/>
          <w:szCs w:val="24"/>
        </w:rPr>
        <w:t xml:space="preserve">other inhuman or degrading treatments.  </w:t>
      </w:r>
      <w:r w:rsidR="00444CB0">
        <w:rPr>
          <w:rFonts w:ascii="Times New Roman" w:hAnsi="Times New Roman" w:cs="Times New Roman"/>
          <w:sz w:val="24"/>
          <w:szCs w:val="24"/>
        </w:rPr>
        <w:t>The article</w:t>
      </w:r>
      <w:r w:rsidR="00224A1B">
        <w:rPr>
          <w:rFonts w:ascii="Times New Roman" w:hAnsi="Times New Roman" w:cs="Times New Roman"/>
          <w:sz w:val="24"/>
          <w:szCs w:val="24"/>
        </w:rPr>
        <w:t xml:space="preserve"> then analyses </w:t>
      </w:r>
      <w:r w:rsidR="00444CB0">
        <w:rPr>
          <w:rFonts w:ascii="Times New Roman" w:hAnsi="Times New Roman" w:cs="Times New Roman"/>
          <w:sz w:val="24"/>
          <w:szCs w:val="24"/>
        </w:rPr>
        <w:t xml:space="preserve">the </w:t>
      </w:r>
      <w:r w:rsidR="00224A1B">
        <w:rPr>
          <w:rFonts w:ascii="Times New Roman" w:hAnsi="Times New Roman" w:cs="Times New Roman"/>
          <w:sz w:val="24"/>
          <w:szCs w:val="24"/>
        </w:rPr>
        <w:t xml:space="preserve">key obligations imposed upon States under international human rights law, with </w:t>
      </w:r>
      <w:proofErr w:type="gramStart"/>
      <w:r w:rsidR="00224A1B">
        <w:rPr>
          <w:rFonts w:ascii="Times New Roman" w:hAnsi="Times New Roman" w:cs="Times New Roman"/>
          <w:sz w:val="24"/>
          <w:szCs w:val="24"/>
        </w:rPr>
        <w:t>particular reference</w:t>
      </w:r>
      <w:proofErr w:type="gramEnd"/>
      <w:r w:rsidR="00224A1B">
        <w:rPr>
          <w:rFonts w:ascii="Times New Roman" w:hAnsi="Times New Roman" w:cs="Times New Roman"/>
          <w:sz w:val="24"/>
          <w:szCs w:val="24"/>
        </w:rPr>
        <w:t xml:space="preserve"> to 1) investigation, prosecution and punishment, 2) protection of victims and 3) prevention.  The main conclusion</w:t>
      </w:r>
      <w:r w:rsidR="000018B9">
        <w:rPr>
          <w:rFonts w:ascii="Times New Roman" w:hAnsi="Times New Roman" w:cs="Times New Roman"/>
          <w:sz w:val="24"/>
          <w:szCs w:val="24"/>
        </w:rPr>
        <w:t xml:space="preserve"> </w:t>
      </w:r>
      <w:r w:rsidR="00224A1B">
        <w:rPr>
          <w:rFonts w:ascii="Times New Roman" w:hAnsi="Times New Roman" w:cs="Times New Roman"/>
          <w:sz w:val="24"/>
          <w:szCs w:val="24"/>
        </w:rPr>
        <w:t>reached is that international human rights law is indeed useful as it</w:t>
      </w:r>
      <w:r w:rsidR="004D6284">
        <w:rPr>
          <w:rFonts w:ascii="Times New Roman" w:hAnsi="Times New Roman" w:cs="Times New Roman"/>
          <w:sz w:val="24"/>
          <w:szCs w:val="24"/>
        </w:rPr>
        <w:t xml:space="preserve"> encourages States to adopt a holistic approach capable of addressing the complex and multi-faceted nature of transnational organised crime beyond</w:t>
      </w:r>
      <w:r w:rsidR="00224A1B">
        <w:rPr>
          <w:rFonts w:ascii="Times New Roman" w:hAnsi="Times New Roman" w:cs="Times New Roman"/>
          <w:sz w:val="24"/>
          <w:szCs w:val="24"/>
        </w:rPr>
        <w:t xml:space="preserve"> simple criminal justice responses.  However, </w:t>
      </w:r>
      <w:r w:rsidR="005A5D06">
        <w:rPr>
          <w:rFonts w:ascii="Times New Roman" w:hAnsi="Times New Roman" w:cs="Times New Roman"/>
          <w:sz w:val="24"/>
          <w:szCs w:val="24"/>
        </w:rPr>
        <w:t>a degree of uncertainty and concerns remain</w:t>
      </w:r>
      <w:r w:rsidR="00CB043D">
        <w:rPr>
          <w:rFonts w:ascii="Times New Roman" w:hAnsi="Times New Roman" w:cs="Times New Roman"/>
          <w:sz w:val="24"/>
          <w:szCs w:val="24"/>
        </w:rPr>
        <w:t>s</w:t>
      </w:r>
      <w:r w:rsidR="005A5D06">
        <w:rPr>
          <w:rFonts w:ascii="Times New Roman" w:hAnsi="Times New Roman" w:cs="Times New Roman"/>
          <w:sz w:val="24"/>
          <w:szCs w:val="24"/>
        </w:rPr>
        <w:t xml:space="preserve"> in some</w:t>
      </w:r>
      <w:r w:rsidR="00151E6D">
        <w:rPr>
          <w:rFonts w:ascii="Times New Roman" w:hAnsi="Times New Roman" w:cs="Times New Roman"/>
          <w:sz w:val="24"/>
          <w:szCs w:val="24"/>
        </w:rPr>
        <w:t xml:space="preserve"> areas</w:t>
      </w:r>
      <w:r w:rsidR="004351AE">
        <w:rPr>
          <w:rFonts w:ascii="Times New Roman" w:hAnsi="Times New Roman" w:cs="Times New Roman"/>
          <w:sz w:val="24"/>
          <w:szCs w:val="24"/>
        </w:rPr>
        <w:t xml:space="preserve"> and States and the human rights community must do more to </w:t>
      </w:r>
      <w:r w:rsidR="00CB043D">
        <w:rPr>
          <w:rFonts w:ascii="Times New Roman" w:hAnsi="Times New Roman" w:cs="Times New Roman"/>
          <w:sz w:val="24"/>
          <w:szCs w:val="24"/>
        </w:rPr>
        <w:t>develop concrete norms and principles and implement them proactively</w:t>
      </w:r>
      <w:r w:rsidR="0007300A">
        <w:rPr>
          <w:rFonts w:ascii="Times New Roman" w:hAnsi="Times New Roman" w:cs="Times New Roman"/>
          <w:sz w:val="24"/>
          <w:szCs w:val="24"/>
        </w:rPr>
        <w:t xml:space="preserve"> in order to promote more effective responses.  </w:t>
      </w:r>
    </w:p>
    <w:p w:rsidR="00FF5F09" w:rsidRDefault="00FF5F09" w:rsidP="00FA4C64">
      <w:pPr>
        <w:spacing w:after="0"/>
        <w:rPr>
          <w:rFonts w:ascii="Times New Roman" w:hAnsi="Times New Roman" w:cs="Times New Roman"/>
          <w:b/>
          <w:sz w:val="24"/>
          <w:szCs w:val="24"/>
        </w:rPr>
      </w:pPr>
    </w:p>
    <w:p w:rsidR="00747430" w:rsidRDefault="00747430" w:rsidP="00FA4C64">
      <w:pPr>
        <w:spacing w:after="0"/>
        <w:rPr>
          <w:rFonts w:ascii="Times New Roman" w:hAnsi="Times New Roman" w:cs="Times New Roman"/>
          <w:b/>
          <w:sz w:val="24"/>
          <w:szCs w:val="24"/>
        </w:rPr>
      </w:pPr>
    </w:p>
    <w:p w:rsidR="00FA4C64" w:rsidRPr="00F54B2E" w:rsidRDefault="00FA4C64" w:rsidP="00FA4C64">
      <w:pPr>
        <w:spacing w:after="0"/>
        <w:rPr>
          <w:rFonts w:ascii="Times New Roman" w:hAnsi="Times New Roman" w:cs="Times New Roman"/>
          <w:b/>
          <w:sz w:val="24"/>
          <w:szCs w:val="24"/>
        </w:rPr>
      </w:pPr>
      <w:r w:rsidRPr="00F54B2E">
        <w:rPr>
          <w:rFonts w:ascii="Times New Roman" w:hAnsi="Times New Roman" w:cs="Times New Roman"/>
          <w:b/>
          <w:sz w:val="24"/>
          <w:szCs w:val="24"/>
        </w:rPr>
        <w:t>Human Rights Issues Arising from Organised Crime</w:t>
      </w:r>
    </w:p>
    <w:p w:rsidR="00FA4C64" w:rsidRDefault="00FA4C64" w:rsidP="00FA4C64">
      <w:pPr>
        <w:spacing w:after="0"/>
        <w:rPr>
          <w:rFonts w:ascii="Times New Roman" w:hAnsi="Times New Roman" w:cs="Times New Roman"/>
          <w:b/>
          <w:sz w:val="24"/>
          <w:szCs w:val="24"/>
        </w:rPr>
      </w:pPr>
    </w:p>
    <w:p w:rsidR="00FA4C64" w:rsidRDefault="00FA4C64" w:rsidP="00C90E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wide variety of human rights are affected by transnational organised crime.   </w:t>
      </w:r>
      <w:proofErr w:type="gramStart"/>
      <w:r w:rsidR="00AE2FFF">
        <w:rPr>
          <w:rFonts w:ascii="Times New Roman" w:hAnsi="Times New Roman" w:cs="Times New Roman"/>
          <w:sz w:val="24"/>
          <w:szCs w:val="24"/>
        </w:rPr>
        <w:t>S</w:t>
      </w:r>
      <w:r>
        <w:rPr>
          <w:rFonts w:ascii="Times New Roman" w:hAnsi="Times New Roman" w:cs="Times New Roman"/>
          <w:sz w:val="24"/>
          <w:szCs w:val="24"/>
        </w:rPr>
        <w:t>lavery,</w:t>
      </w:r>
      <w:proofErr w:type="gramEnd"/>
      <w:r>
        <w:rPr>
          <w:rFonts w:ascii="Times New Roman" w:hAnsi="Times New Roman" w:cs="Times New Roman"/>
          <w:sz w:val="24"/>
          <w:szCs w:val="24"/>
        </w:rPr>
        <w:t xml:space="preserve"> forced labour and human trafficking</w:t>
      </w:r>
      <w:r w:rsidR="00AE2FFF">
        <w:rPr>
          <w:rFonts w:ascii="Times New Roman" w:hAnsi="Times New Roman" w:cs="Times New Roman"/>
          <w:sz w:val="24"/>
          <w:szCs w:val="24"/>
        </w:rPr>
        <w:t xml:space="preserve"> are prominent examples in modern times.</w:t>
      </w:r>
      <w:r>
        <w:rPr>
          <w:rFonts w:ascii="Times New Roman" w:hAnsi="Times New Roman" w:cs="Times New Roman"/>
          <w:sz w:val="24"/>
          <w:szCs w:val="24"/>
        </w:rPr>
        <w:t xml:space="preserve">  </w:t>
      </w:r>
      <w:r w:rsidR="00F478A0">
        <w:rPr>
          <w:rFonts w:ascii="Times New Roman" w:hAnsi="Times New Roman" w:cs="Times New Roman"/>
          <w:sz w:val="24"/>
          <w:szCs w:val="24"/>
        </w:rPr>
        <w:t>According to the In</w:t>
      </w:r>
      <w:r w:rsidR="00D013E5">
        <w:rPr>
          <w:rFonts w:ascii="Times New Roman" w:hAnsi="Times New Roman" w:cs="Times New Roman"/>
          <w:sz w:val="24"/>
          <w:szCs w:val="24"/>
        </w:rPr>
        <w:t>ternational Labour Organisation, approximately 21 million people are said to be the victims of forced labour globally.</w:t>
      </w:r>
      <w:r w:rsidR="00D013E5">
        <w:rPr>
          <w:rStyle w:val="FootnoteReference"/>
          <w:rFonts w:ascii="Times New Roman" w:hAnsi="Times New Roman" w:cs="Times New Roman"/>
          <w:sz w:val="24"/>
          <w:szCs w:val="24"/>
        </w:rPr>
        <w:footnoteReference w:id="9"/>
      </w:r>
      <w:r w:rsidR="00CC1662">
        <w:rPr>
          <w:rFonts w:ascii="Times New Roman" w:hAnsi="Times New Roman" w:cs="Times New Roman"/>
          <w:sz w:val="24"/>
          <w:szCs w:val="24"/>
        </w:rPr>
        <w:t xml:space="preserve">  Of these, 4.5 million victims are subjected to </w:t>
      </w:r>
      <w:r w:rsidR="00F56CB2">
        <w:rPr>
          <w:rFonts w:ascii="Times New Roman" w:hAnsi="Times New Roman" w:cs="Times New Roman"/>
          <w:sz w:val="24"/>
          <w:szCs w:val="24"/>
        </w:rPr>
        <w:lastRenderedPageBreak/>
        <w:t xml:space="preserve">sexual </w:t>
      </w:r>
      <w:r w:rsidR="00CC1662">
        <w:rPr>
          <w:rFonts w:ascii="Times New Roman" w:hAnsi="Times New Roman" w:cs="Times New Roman"/>
          <w:sz w:val="24"/>
          <w:szCs w:val="24"/>
        </w:rPr>
        <w:t>exploitation, while others are exploited in</w:t>
      </w:r>
      <w:r w:rsidR="00DF52E5">
        <w:rPr>
          <w:rFonts w:ascii="Times New Roman" w:hAnsi="Times New Roman" w:cs="Times New Roman"/>
          <w:sz w:val="24"/>
          <w:szCs w:val="24"/>
        </w:rPr>
        <w:t xml:space="preserve"> other</w:t>
      </w:r>
      <w:r w:rsidR="00CC1662">
        <w:rPr>
          <w:rFonts w:ascii="Times New Roman" w:hAnsi="Times New Roman" w:cs="Times New Roman"/>
          <w:sz w:val="24"/>
          <w:szCs w:val="24"/>
        </w:rPr>
        <w:t xml:space="preserve"> sectors such as agriculture, shellfish industry, co</w:t>
      </w:r>
      <w:r w:rsidR="007E36E8">
        <w:rPr>
          <w:rFonts w:ascii="Times New Roman" w:hAnsi="Times New Roman" w:cs="Times New Roman"/>
          <w:sz w:val="24"/>
          <w:szCs w:val="24"/>
        </w:rPr>
        <w:t>nstruction, and domestic work.</w:t>
      </w:r>
      <w:r w:rsidR="00AB4D58">
        <w:rPr>
          <w:rStyle w:val="FootnoteReference"/>
          <w:rFonts w:ascii="Times New Roman" w:hAnsi="Times New Roman" w:cs="Times New Roman"/>
          <w:sz w:val="24"/>
          <w:szCs w:val="24"/>
        </w:rPr>
        <w:footnoteReference w:id="10"/>
      </w:r>
      <w:r w:rsidR="007E36E8">
        <w:rPr>
          <w:rFonts w:ascii="Times New Roman" w:hAnsi="Times New Roman" w:cs="Times New Roman"/>
          <w:sz w:val="24"/>
          <w:szCs w:val="24"/>
        </w:rPr>
        <w:t xml:space="preserve">   International</w:t>
      </w:r>
      <w:r w:rsidR="00EF335E">
        <w:rPr>
          <w:rFonts w:ascii="Times New Roman" w:hAnsi="Times New Roman" w:cs="Times New Roman"/>
          <w:sz w:val="24"/>
          <w:szCs w:val="24"/>
        </w:rPr>
        <w:t xml:space="preserve"> human rights law </w:t>
      </w:r>
      <w:r w:rsidR="007E36E8">
        <w:rPr>
          <w:rFonts w:ascii="Times New Roman" w:hAnsi="Times New Roman" w:cs="Times New Roman"/>
          <w:sz w:val="24"/>
          <w:szCs w:val="24"/>
        </w:rPr>
        <w:t>ha</w:t>
      </w:r>
      <w:r w:rsidR="00AB4D58">
        <w:rPr>
          <w:rFonts w:ascii="Times New Roman" w:hAnsi="Times New Roman" w:cs="Times New Roman"/>
          <w:sz w:val="24"/>
          <w:szCs w:val="24"/>
        </w:rPr>
        <w:t>s</w:t>
      </w:r>
      <w:r w:rsidR="007E36E8">
        <w:rPr>
          <w:rFonts w:ascii="Times New Roman" w:hAnsi="Times New Roman" w:cs="Times New Roman"/>
          <w:sz w:val="24"/>
          <w:szCs w:val="24"/>
        </w:rPr>
        <w:t xml:space="preserve"> long placed a clear obligation to prohibit slavery</w:t>
      </w:r>
      <w:r w:rsidR="00F3339E">
        <w:rPr>
          <w:rFonts w:ascii="Times New Roman" w:hAnsi="Times New Roman" w:cs="Times New Roman"/>
          <w:sz w:val="24"/>
          <w:szCs w:val="24"/>
        </w:rPr>
        <w:t xml:space="preserve"> and </w:t>
      </w:r>
      <w:r w:rsidR="007E36E8">
        <w:rPr>
          <w:rFonts w:ascii="Times New Roman" w:hAnsi="Times New Roman" w:cs="Times New Roman"/>
          <w:sz w:val="24"/>
          <w:szCs w:val="24"/>
        </w:rPr>
        <w:t>forc</w:t>
      </w:r>
      <w:r w:rsidR="008F2F27">
        <w:rPr>
          <w:rFonts w:ascii="Times New Roman" w:hAnsi="Times New Roman" w:cs="Times New Roman"/>
          <w:sz w:val="24"/>
          <w:szCs w:val="24"/>
        </w:rPr>
        <w:t>ed labour,</w:t>
      </w:r>
      <w:r w:rsidR="008A28E3">
        <w:rPr>
          <w:rStyle w:val="FootnoteReference"/>
          <w:rFonts w:ascii="Times New Roman" w:hAnsi="Times New Roman" w:cs="Times New Roman"/>
          <w:sz w:val="24"/>
          <w:szCs w:val="24"/>
        </w:rPr>
        <w:footnoteReference w:id="11"/>
      </w:r>
      <w:r w:rsidR="007E36E8">
        <w:rPr>
          <w:rFonts w:ascii="Times New Roman" w:hAnsi="Times New Roman" w:cs="Times New Roman"/>
          <w:sz w:val="24"/>
          <w:szCs w:val="24"/>
        </w:rPr>
        <w:t xml:space="preserve">  </w:t>
      </w:r>
      <w:r w:rsidR="008F2F27">
        <w:rPr>
          <w:rFonts w:ascii="Times New Roman" w:hAnsi="Times New Roman" w:cs="Times New Roman"/>
          <w:sz w:val="24"/>
          <w:szCs w:val="24"/>
        </w:rPr>
        <w:t xml:space="preserve">which </w:t>
      </w:r>
      <w:r w:rsidR="009D1C7E">
        <w:rPr>
          <w:rFonts w:ascii="Times New Roman" w:hAnsi="Times New Roman" w:cs="Times New Roman"/>
          <w:sz w:val="24"/>
          <w:szCs w:val="24"/>
        </w:rPr>
        <w:t xml:space="preserve">has also been regarded as part of customary law and </w:t>
      </w:r>
      <w:r w:rsidR="009D1C7E" w:rsidRPr="009D1C7E">
        <w:rPr>
          <w:rFonts w:ascii="Times New Roman" w:hAnsi="Times New Roman" w:cs="Times New Roman"/>
          <w:i/>
          <w:sz w:val="24"/>
          <w:szCs w:val="24"/>
        </w:rPr>
        <w:t>jus cogens</w:t>
      </w:r>
      <w:r w:rsidR="00E41C8A">
        <w:rPr>
          <w:rFonts w:ascii="Times New Roman" w:hAnsi="Times New Roman" w:cs="Times New Roman"/>
          <w:sz w:val="24"/>
          <w:szCs w:val="24"/>
        </w:rPr>
        <w:t>,</w:t>
      </w:r>
      <w:r w:rsidR="008F2F27">
        <w:rPr>
          <w:rStyle w:val="FootnoteReference"/>
          <w:rFonts w:ascii="Times New Roman" w:hAnsi="Times New Roman" w:cs="Times New Roman"/>
          <w:sz w:val="24"/>
          <w:szCs w:val="24"/>
        </w:rPr>
        <w:footnoteReference w:id="12"/>
      </w:r>
      <w:r w:rsidR="00A33768">
        <w:rPr>
          <w:rFonts w:ascii="Times New Roman" w:hAnsi="Times New Roman" w:cs="Times New Roman"/>
          <w:sz w:val="24"/>
          <w:szCs w:val="24"/>
        </w:rPr>
        <w:t xml:space="preserve"> as well as </w:t>
      </w:r>
      <w:r w:rsidR="00DF52E5">
        <w:rPr>
          <w:rFonts w:ascii="Times New Roman" w:hAnsi="Times New Roman" w:cs="Times New Roman"/>
          <w:sz w:val="24"/>
          <w:szCs w:val="24"/>
        </w:rPr>
        <w:t xml:space="preserve">the </w:t>
      </w:r>
      <w:proofErr w:type="spellStart"/>
      <w:r w:rsidR="00A33768" w:rsidRPr="00A33768">
        <w:rPr>
          <w:rFonts w:ascii="Times New Roman" w:hAnsi="Times New Roman" w:cs="Times New Roman"/>
          <w:i/>
          <w:sz w:val="24"/>
          <w:szCs w:val="24"/>
        </w:rPr>
        <w:t>erga</w:t>
      </w:r>
      <w:proofErr w:type="spellEnd"/>
      <w:r w:rsidR="00A33768" w:rsidRPr="00A33768">
        <w:rPr>
          <w:rFonts w:ascii="Times New Roman" w:hAnsi="Times New Roman" w:cs="Times New Roman"/>
          <w:i/>
          <w:sz w:val="24"/>
          <w:szCs w:val="24"/>
        </w:rPr>
        <w:t xml:space="preserve"> </w:t>
      </w:r>
      <w:proofErr w:type="spellStart"/>
      <w:r w:rsidR="00A33768" w:rsidRPr="00A33768">
        <w:rPr>
          <w:rFonts w:ascii="Times New Roman" w:hAnsi="Times New Roman" w:cs="Times New Roman"/>
          <w:i/>
          <w:sz w:val="24"/>
          <w:szCs w:val="24"/>
        </w:rPr>
        <w:t>omnes</w:t>
      </w:r>
      <w:proofErr w:type="spellEnd"/>
      <w:r w:rsidR="00A33768">
        <w:rPr>
          <w:rFonts w:ascii="Times New Roman" w:hAnsi="Times New Roman" w:cs="Times New Roman"/>
          <w:sz w:val="24"/>
          <w:szCs w:val="24"/>
        </w:rPr>
        <w:t xml:space="preserve"> obligation,</w:t>
      </w:r>
      <w:r w:rsidR="00A33768">
        <w:rPr>
          <w:rStyle w:val="FootnoteReference"/>
          <w:rFonts w:ascii="Times New Roman" w:hAnsi="Times New Roman" w:cs="Times New Roman"/>
          <w:sz w:val="24"/>
          <w:szCs w:val="24"/>
        </w:rPr>
        <w:footnoteReference w:id="13"/>
      </w:r>
      <w:r w:rsidR="00A33768">
        <w:rPr>
          <w:rFonts w:ascii="Times New Roman" w:hAnsi="Times New Roman" w:cs="Times New Roman"/>
          <w:sz w:val="24"/>
          <w:szCs w:val="24"/>
        </w:rPr>
        <w:t xml:space="preserve"> </w:t>
      </w:r>
      <w:r w:rsidR="00E41C8A">
        <w:rPr>
          <w:rFonts w:ascii="Times New Roman" w:hAnsi="Times New Roman" w:cs="Times New Roman"/>
          <w:sz w:val="24"/>
          <w:szCs w:val="24"/>
        </w:rPr>
        <w:t xml:space="preserve"> thereby enjoying the higher status in the international legal order.  </w:t>
      </w:r>
      <w:r w:rsidR="009D1C7E">
        <w:rPr>
          <w:rFonts w:ascii="Times New Roman" w:hAnsi="Times New Roman" w:cs="Times New Roman"/>
          <w:sz w:val="24"/>
          <w:szCs w:val="24"/>
        </w:rPr>
        <w:t xml:space="preserve">  </w:t>
      </w:r>
    </w:p>
    <w:p w:rsidR="00C96B66" w:rsidRDefault="004367F6" w:rsidP="00061B35">
      <w:pPr>
        <w:spacing w:line="480" w:lineRule="auto"/>
        <w:ind w:firstLine="720"/>
        <w:rPr>
          <w:sz w:val="20"/>
          <w:szCs w:val="20"/>
        </w:rPr>
      </w:pPr>
      <w:r>
        <w:rPr>
          <w:rFonts w:ascii="Times New Roman" w:hAnsi="Times New Roman" w:cs="Times New Roman"/>
          <w:sz w:val="24"/>
          <w:szCs w:val="24"/>
        </w:rPr>
        <w:t>Another right</w:t>
      </w:r>
      <w:r w:rsidR="00A14796">
        <w:rPr>
          <w:rFonts w:ascii="Times New Roman" w:hAnsi="Times New Roman" w:cs="Times New Roman"/>
          <w:sz w:val="24"/>
          <w:szCs w:val="24"/>
        </w:rPr>
        <w:t xml:space="preserve"> which is </w:t>
      </w:r>
      <w:r w:rsidR="006D1B8C">
        <w:rPr>
          <w:rFonts w:ascii="Times New Roman" w:hAnsi="Times New Roman" w:cs="Times New Roman"/>
          <w:sz w:val="24"/>
          <w:szCs w:val="24"/>
        </w:rPr>
        <w:t>pertinent</w:t>
      </w:r>
      <w:r w:rsidR="00A14796">
        <w:rPr>
          <w:rFonts w:ascii="Times New Roman" w:hAnsi="Times New Roman" w:cs="Times New Roman"/>
          <w:sz w:val="24"/>
          <w:szCs w:val="24"/>
        </w:rPr>
        <w:t xml:space="preserve"> is liberty and security</w:t>
      </w:r>
      <w:r w:rsidR="00BF523D">
        <w:rPr>
          <w:rFonts w:ascii="Times New Roman" w:hAnsi="Times New Roman" w:cs="Times New Roman"/>
          <w:sz w:val="24"/>
          <w:szCs w:val="24"/>
        </w:rPr>
        <w:t xml:space="preserve"> of person</w:t>
      </w:r>
      <w:r w:rsidR="00A14796">
        <w:rPr>
          <w:rFonts w:ascii="Times New Roman" w:hAnsi="Times New Roman" w:cs="Times New Roman"/>
          <w:sz w:val="24"/>
          <w:szCs w:val="24"/>
        </w:rPr>
        <w:t xml:space="preserve">.  </w:t>
      </w:r>
      <w:r w:rsidR="00B7179C">
        <w:rPr>
          <w:rFonts w:ascii="Times New Roman" w:hAnsi="Times New Roman" w:cs="Times New Roman"/>
          <w:sz w:val="24"/>
          <w:szCs w:val="24"/>
        </w:rPr>
        <w:t xml:space="preserve">Maritime piracy is </w:t>
      </w:r>
      <w:r w:rsidR="0087756C">
        <w:rPr>
          <w:rFonts w:ascii="Times New Roman" w:hAnsi="Times New Roman" w:cs="Times New Roman"/>
          <w:sz w:val="24"/>
          <w:szCs w:val="24"/>
        </w:rPr>
        <w:t xml:space="preserve">a </w:t>
      </w:r>
      <w:r w:rsidR="00B7179C">
        <w:rPr>
          <w:rFonts w:ascii="Times New Roman" w:hAnsi="Times New Roman" w:cs="Times New Roman"/>
          <w:sz w:val="24"/>
          <w:szCs w:val="24"/>
        </w:rPr>
        <w:t xml:space="preserve">case in point.  </w:t>
      </w:r>
      <w:r w:rsidR="00A0757C">
        <w:rPr>
          <w:rFonts w:ascii="Times New Roman" w:hAnsi="Times New Roman" w:cs="Times New Roman"/>
          <w:sz w:val="24"/>
          <w:szCs w:val="24"/>
        </w:rPr>
        <w:t>According to the International Maritime Organisation, there were 221 reported instances of piracy in 2016.</w:t>
      </w:r>
      <w:r w:rsidR="00A0757C">
        <w:rPr>
          <w:rStyle w:val="FootnoteReference"/>
          <w:rFonts w:ascii="Times New Roman" w:hAnsi="Times New Roman" w:cs="Times New Roman"/>
          <w:sz w:val="24"/>
          <w:szCs w:val="24"/>
        </w:rPr>
        <w:footnoteReference w:id="14"/>
      </w:r>
      <w:r w:rsidR="00A0757C">
        <w:rPr>
          <w:rFonts w:ascii="Times New Roman" w:hAnsi="Times New Roman" w:cs="Times New Roman"/>
          <w:sz w:val="24"/>
          <w:szCs w:val="24"/>
        </w:rPr>
        <w:t xml:space="preserve">  The affected areas include the South China Sea, the Indian Ocean, the Persian Gulf, and the Caribbean, indicating that piracy is a widespread practice a</w:t>
      </w:r>
      <w:r w:rsidR="005D40B9">
        <w:rPr>
          <w:rFonts w:ascii="Times New Roman" w:hAnsi="Times New Roman" w:cs="Times New Roman"/>
          <w:sz w:val="24"/>
          <w:szCs w:val="24"/>
        </w:rPr>
        <w:t>c</w:t>
      </w:r>
      <w:r w:rsidR="00A0757C">
        <w:rPr>
          <w:rFonts w:ascii="Times New Roman" w:hAnsi="Times New Roman" w:cs="Times New Roman"/>
          <w:sz w:val="24"/>
          <w:szCs w:val="24"/>
        </w:rPr>
        <w:t>ro</w:t>
      </w:r>
      <w:r w:rsidR="003E7776">
        <w:rPr>
          <w:rFonts w:ascii="Times New Roman" w:hAnsi="Times New Roman" w:cs="Times New Roman"/>
          <w:sz w:val="24"/>
          <w:szCs w:val="24"/>
        </w:rPr>
        <w:t>ss</w:t>
      </w:r>
      <w:r w:rsidR="00A0757C">
        <w:rPr>
          <w:rFonts w:ascii="Times New Roman" w:hAnsi="Times New Roman" w:cs="Times New Roman"/>
          <w:sz w:val="24"/>
          <w:szCs w:val="24"/>
        </w:rPr>
        <w:t xml:space="preserve"> the globe.  </w:t>
      </w:r>
      <w:r w:rsidR="00E948DE">
        <w:rPr>
          <w:sz w:val="20"/>
          <w:szCs w:val="20"/>
        </w:rPr>
        <w:t xml:space="preserve"> </w:t>
      </w:r>
      <w:r w:rsidR="00B7179C">
        <w:rPr>
          <w:rFonts w:ascii="Times New Roman" w:hAnsi="Times New Roman" w:cs="Times New Roman"/>
          <w:sz w:val="24"/>
          <w:szCs w:val="24"/>
        </w:rPr>
        <w:t>From a human rights perspective, t</w:t>
      </w:r>
      <w:r w:rsidR="00C90E8F" w:rsidRPr="00127305">
        <w:rPr>
          <w:rFonts w:ascii="Times New Roman" w:hAnsi="Times New Roman"/>
          <w:sz w:val="24"/>
          <w:szCs w:val="24"/>
        </w:rPr>
        <w:t xml:space="preserve">he Inter-American Court of Human Rights </w:t>
      </w:r>
      <w:r w:rsidR="00C90E8F">
        <w:rPr>
          <w:rFonts w:ascii="Times New Roman" w:hAnsi="Times New Roman"/>
          <w:sz w:val="24"/>
          <w:szCs w:val="24"/>
        </w:rPr>
        <w:t xml:space="preserve">has clearly </w:t>
      </w:r>
      <w:r w:rsidR="00C90E8F" w:rsidRPr="00127305">
        <w:rPr>
          <w:rFonts w:ascii="Times New Roman" w:hAnsi="Times New Roman"/>
          <w:sz w:val="24"/>
          <w:szCs w:val="24"/>
        </w:rPr>
        <w:t xml:space="preserve">recognised </w:t>
      </w:r>
      <w:r w:rsidR="00C90E8F">
        <w:rPr>
          <w:rFonts w:ascii="Times New Roman" w:hAnsi="Times New Roman"/>
          <w:sz w:val="24"/>
          <w:szCs w:val="24"/>
        </w:rPr>
        <w:t>that abduction</w:t>
      </w:r>
      <w:r w:rsidR="00316942">
        <w:rPr>
          <w:rFonts w:ascii="Times New Roman" w:hAnsi="Times New Roman"/>
          <w:sz w:val="24"/>
          <w:szCs w:val="24"/>
        </w:rPr>
        <w:t xml:space="preserve"> </w:t>
      </w:r>
      <w:r w:rsidR="00C90E8F">
        <w:rPr>
          <w:rFonts w:ascii="Times New Roman" w:hAnsi="Times New Roman"/>
          <w:sz w:val="24"/>
          <w:szCs w:val="24"/>
        </w:rPr>
        <w:t>constitutes</w:t>
      </w:r>
      <w:r w:rsidR="00C90E8F" w:rsidRPr="00127305">
        <w:rPr>
          <w:rFonts w:ascii="Times New Roman" w:hAnsi="Times New Roman"/>
          <w:sz w:val="24"/>
          <w:szCs w:val="24"/>
        </w:rPr>
        <w:t xml:space="preserve"> a violation of the right to personal liberty.</w:t>
      </w:r>
      <w:r w:rsidR="00C90E8F" w:rsidRPr="00127305">
        <w:rPr>
          <w:rStyle w:val="FootnoteReference"/>
          <w:rFonts w:ascii="Times New Roman" w:hAnsi="Times New Roman"/>
          <w:sz w:val="24"/>
          <w:szCs w:val="24"/>
        </w:rPr>
        <w:footnoteReference w:id="15"/>
      </w:r>
      <w:r w:rsidR="00C90E8F" w:rsidRPr="00127305">
        <w:rPr>
          <w:rFonts w:ascii="Times New Roman" w:hAnsi="Times New Roman"/>
          <w:sz w:val="24"/>
          <w:szCs w:val="24"/>
        </w:rPr>
        <w:t xml:space="preserve">  The UN Working Group on Arbitrary Detention </w:t>
      </w:r>
      <w:r w:rsidR="00C90E8F">
        <w:rPr>
          <w:rFonts w:ascii="Times New Roman" w:hAnsi="Times New Roman"/>
          <w:sz w:val="24"/>
          <w:szCs w:val="24"/>
        </w:rPr>
        <w:t>has also observed that taking of hostages is</w:t>
      </w:r>
      <w:r w:rsidR="00C90E8F" w:rsidRPr="00127305">
        <w:rPr>
          <w:rFonts w:ascii="Times New Roman" w:hAnsi="Times New Roman"/>
          <w:sz w:val="24"/>
          <w:szCs w:val="24"/>
        </w:rPr>
        <w:t xml:space="preserve"> “undoubtedly a particularly serious form of arbitrary deprivation of liberty.”</w:t>
      </w:r>
      <w:r w:rsidR="00C90E8F" w:rsidRPr="00127305">
        <w:rPr>
          <w:rStyle w:val="FootnoteReference"/>
          <w:rFonts w:ascii="Times New Roman" w:hAnsi="Times New Roman"/>
          <w:sz w:val="24"/>
          <w:szCs w:val="24"/>
        </w:rPr>
        <w:footnoteReference w:id="16"/>
      </w:r>
      <w:r w:rsidR="00D113E9">
        <w:rPr>
          <w:rFonts w:ascii="Times New Roman" w:hAnsi="Times New Roman"/>
          <w:sz w:val="24"/>
          <w:szCs w:val="24"/>
        </w:rPr>
        <w:t xml:space="preserve">  </w:t>
      </w:r>
      <w:r w:rsidR="00E94327">
        <w:rPr>
          <w:rFonts w:ascii="Times New Roman" w:hAnsi="Times New Roman"/>
          <w:sz w:val="24"/>
          <w:szCs w:val="24"/>
        </w:rPr>
        <w:t>States are under obligation to protect individuals against these practices even when they are committed by non-State actors such as criminals and irregular groups</w:t>
      </w:r>
      <w:r w:rsidR="00D113E9">
        <w:rPr>
          <w:rFonts w:ascii="Times New Roman" w:hAnsi="Times New Roman"/>
          <w:sz w:val="24"/>
          <w:szCs w:val="24"/>
        </w:rPr>
        <w:t>.</w:t>
      </w:r>
      <w:r w:rsidR="00D113E9">
        <w:rPr>
          <w:rStyle w:val="FootnoteReference"/>
          <w:rFonts w:ascii="Times New Roman" w:hAnsi="Times New Roman"/>
          <w:sz w:val="24"/>
          <w:szCs w:val="24"/>
        </w:rPr>
        <w:footnoteReference w:id="17"/>
      </w:r>
      <w:r w:rsidR="00D113E9">
        <w:rPr>
          <w:rFonts w:ascii="Times New Roman" w:hAnsi="Times New Roman"/>
          <w:sz w:val="24"/>
          <w:szCs w:val="24"/>
        </w:rPr>
        <w:t xml:space="preserve"> </w:t>
      </w:r>
      <w:r w:rsidR="00061B35">
        <w:rPr>
          <w:sz w:val="20"/>
          <w:szCs w:val="20"/>
        </w:rPr>
        <w:t xml:space="preserve">  </w:t>
      </w:r>
    </w:p>
    <w:p w:rsidR="00DC36BF" w:rsidRPr="00061B35" w:rsidRDefault="002E5826" w:rsidP="00061B35">
      <w:pPr>
        <w:spacing w:line="480" w:lineRule="auto"/>
        <w:ind w:firstLine="720"/>
        <w:rPr>
          <w:sz w:val="20"/>
          <w:szCs w:val="20"/>
        </w:rPr>
      </w:pPr>
      <w:r>
        <w:rPr>
          <w:rFonts w:ascii="Times New Roman" w:hAnsi="Times New Roman" w:cs="Times New Roman"/>
          <w:sz w:val="24"/>
          <w:szCs w:val="24"/>
        </w:rPr>
        <w:t xml:space="preserve">In more serious cases, </w:t>
      </w:r>
      <w:r w:rsidR="00DC36BF">
        <w:rPr>
          <w:rFonts w:ascii="Times New Roman" w:hAnsi="Times New Roman" w:cs="Times New Roman"/>
          <w:sz w:val="24"/>
          <w:szCs w:val="24"/>
        </w:rPr>
        <w:t xml:space="preserve">the right to life is also violated.  </w:t>
      </w:r>
      <w:r w:rsidR="0036536D">
        <w:rPr>
          <w:rFonts w:ascii="Times New Roman" w:hAnsi="Times New Roman" w:cs="Times New Roman"/>
          <w:sz w:val="24"/>
          <w:szCs w:val="24"/>
        </w:rPr>
        <w:t xml:space="preserve">For instance, </w:t>
      </w:r>
      <w:r w:rsidR="00EC2E15">
        <w:rPr>
          <w:rFonts w:ascii="Times New Roman" w:hAnsi="Times New Roman" w:cs="Times New Roman"/>
          <w:sz w:val="24"/>
          <w:szCs w:val="24"/>
        </w:rPr>
        <w:t>the recent extrajudicial killings</w:t>
      </w:r>
      <w:r w:rsidR="00F05A81">
        <w:rPr>
          <w:rFonts w:ascii="Times New Roman" w:hAnsi="Times New Roman" w:cs="Times New Roman"/>
          <w:sz w:val="24"/>
          <w:szCs w:val="24"/>
        </w:rPr>
        <w:t xml:space="preserve"> not only of </w:t>
      </w:r>
      <w:r w:rsidR="008F4A52">
        <w:rPr>
          <w:rFonts w:ascii="Times New Roman" w:hAnsi="Times New Roman" w:cs="Times New Roman"/>
          <w:sz w:val="24"/>
          <w:szCs w:val="24"/>
        </w:rPr>
        <w:t xml:space="preserve">criminals involved </w:t>
      </w:r>
      <w:r w:rsidR="00F05A81">
        <w:rPr>
          <w:rFonts w:ascii="Times New Roman" w:hAnsi="Times New Roman" w:cs="Times New Roman"/>
          <w:sz w:val="24"/>
          <w:szCs w:val="24"/>
        </w:rPr>
        <w:t xml:space="preserve">in the drug trade, but also those addicted </w:t>
      </w:r>
      <w:r w:rsidR="00F05A81">
        <w:rPr>
          <w:rFonts w:ascii="Times New Roman" w:hAnsi="Times New Roman" w:cs="Times New Roman"/>
          <w:sz w:val="24"/>
          <w:szCs w:val="24"/>
        </w:rPr>
        <w:lastRenderedPageBreak/>
        <w:t>to drugs</w:t>
      </w:r>
      <w:r w:rsidR="00EC2E15">
        <w:rPr>
          <w:rFonts w:ascii="Times New Roman" w:hAnsi="Times New Roman" w:cs="Times New Roman"/>
          <w:sz w:val="24"/>
          <w:szCs w:val="24"/>
        </w:rPr>
        <w:t xml:space="preserve"> in the Philippines ha</w:t>
      </w:r>
      <w:r w:rsidR="006563B6">
        <w:rPr>
          <w:rFonts w:ascii="Times New Roman" w:hAnsi="Times New Roman" w:cs="Times New Roman"/>
          <w:sz w:val="24"/>
          <w:szCs w:val="24"/>
        </w:rPr>
        <w:t>ve</w:t>
      </w:r>
      <w:r w:rsidR="00EC2E15">
        <w:rPr>
          <w:rFonts w:ascii="Times New Roman" w:hAnsi="Times New Roman" w:cs="Times New Roman"/>
          <w:sz w:val="24"/>
          <w:szCs w:val="24"/>
        </w:rPr>
        <w:t xml:space="preserve"> been widely criticised by human rights NGOs</w:t>
      </w:r>
      <w:r w:rsidR="00EC2E15">
        <w:rPr>
          <w:rStyle w:val="FootnoteReference"/>
          <w:rFonts w:ascii="Times New Roman" w:hAnsi="Times New Roman" w:cs="Times New Roman"/>
          <w:sz w:val="24"/>
          <w:szCs w:val="24"/>
        </w:rPr>
        <w:footnoteReference w:id="18"/>
      </w:r>
      <w:r w:rsidR="00EC2E15">
        <w:rPr>
          <w:rFonts w:ascii="Times New Roman" w:hAnsi="Times New Roman" w:cs="Times New Roman"/>
          <w:sz w:val="24"/>
          <w:szCs w:val="24"/>
        </w:rPr>
        <w:t xml:space="preserve">  and a number of States.</w:t>
      </w:r>
      <w:r w:rsidR="00EC2E15">
        <w:rPr>
          <w:rStyle w:val="FootnoteReference"/>
          <w:rFonts w:ascii="Times New Roman" w:hAnsi="Times New Roman" w:cs="Times New Roman"/>
          <w:sz w:val="24"/>
          <w:szCs w:val="24"/>
        </w:rPr>
        <w:footnoteReference w:id="19"/>
      </w:r>
      <w:r w:rsidR="00EC2E15">
        <w:rPr>
          <w:rFonts w:ascii="Times New Roman" w:hAnsi="Times New Roman" w:cs="Times New Roman"/>
          <w:sz w:val="24"/>
          <w:szCs w:val="24"/>
        </w:rPr>
        <w:t xml:space="preserve"> The </w:t>
      </w:r>
      <w:r w:rsidR="00EE0AF9">
        <w:rPr>
          <w:rFonts w:ascii="Times New Roman" w:hAnsi="Times New Roman" w:cs="Times New Roman"/>
          <w:sz w:val="24"/>
          <w:szCs w:val="24"/>
        </w:rPr>
        <w:t xml:space="preserve">violence </w:t>
      </w:r>
      <w:r w:rsidR="00316942">
        <w:rPr>
          <w:rFonts w:ascii="Times New Roman" w:hAnsi="Times New Roman" w:cs="Times New Roman"/>
          <w:sz w:val="24"/>
          <w:szCs w:val="24"/>
        </w:rPr>
        <w:t xml:space="preserve">caused by </w:t>
      </w:r>
      <w:r w:rsidR="0036536D">
        <w:rPr>
          <w:rFonts w:ascii="Times New Roman" w:hAnsi="Times New Roman" w:cs="Times New Roman"/>
          <w:sz w:val="24"/>
          <w:szCs w:val="24"/>
        </w:rPr>
        <w:t xml:space="preserve">criminal groups </w:t>
      </w:r>
      <w:r w:rsidR="00316942">
        <w:rPr>
          <w:rFonts w:ascii="Times New Roman" w:hAnsi="Times New Roman" w:cs="Times New Roman"/>
          <w:sz w:val="24"/>
          <w:szCs w:val="24"/>
        </w:rPr>
        <w:t xml:space="preserve">in </w:t>
      </w:r>
      <w:r w:rsidR="009F49E8">
        <w:rPr>
          <w:rFonts w:ascii="Times New Roman" w:hAnsi="Times New Roman" w:cs="Times New Roman"/>
          <w:sz w:val="24"/>
          <w:szCs w:val="24"/>
        </w:rPr>
        <w:t xml:space="preserve">a variety of organised crime </w:t>
      </w:r>
      <w:r w:rsidR="00EE0AF9">
        <w:rPr>
          <w:rFonts w:ascii="Times New Roman" w:hAnsi="Times New Roman" w:cs="Times New Roman"/>
          <w:sz w:val="24"/>
          <w:szCs w:val="24"/>
        </w:rPr>
        <w:t>ha</w:t>
      </w:r>
      <w:r w:rsidR="00316942">
        <w:rPr>
          <w:rFonts w:ascii="Times New Roman" w:hAnsi="Times New Roman" w:cs="Times New Roman"/>
          <w:sz w:val="24"/>
          <w:szCs w:val="24"/>
        </w:rPr>
        <w:t xml:space="preserve">s </w:t>
      </w:r>
      <w:r w:rsidR="00EC2E15">
        <w:rPr>
          <w:rFonts w:ascii="Times New Roman" w:hAnsi="Times New Roman" w:cs="Times New Roman"/>
          <w:sz w:val="24"/>
          <w:szCs w:val="24"/>
        </w:rPr>
        <w:t xml:space="preserve">also </w:t>
      </w:r>
      <w:r w:rsidR="0036536D">
        <w:rPr>
          <w:rFonts w:ascii="Times New Roman" w:hAnsi="Times New Roman" w:cs="Times New Roman"/>
          <w:sz w:val="24"/>
          <w:szCs w:val="24"/>
        </w:rPr>
        <w:t xml:space="preserve">threatens </w:t>
      </w:r>
      <w:r w:rsidR="00EC2E15">
        <w:rPr>
          <w:rFonts w:ascii="Times New Roman" w:hAnsi="Times New Roman" w:cs="Times New Roman"/>
          <w:sz w:val="24"/>
          <w:szCs w:val="24"/>
        </w:rPr>
        <w:t>the li</w:t>
      </w:r>
      <w:r w:rsidR="00F3339E">
        <w:rPr>
          <w:rFonts w:ascii="Times New Roman" w:hAnsi="Times New Roman" w:cs="Times New Roman"/>
          <w:sz w:val="24"/>
          <w:szCs w:val="24"/>
        </w:rPr>
        <w:t>ves</w:t>
      </w:r>
      <w:r w:rsidR="00EC2E15">
        <w:rPr>
          <w:rFonts w:ascii="Times New Roman" w:hAnsi="Times New Roman" w:cs="Times New Roman"/>
          <w:sz w:val="24"/>
          <w:szCs w:val="24"/>
        </w:rPr>
        <w:t xml:space="preserve"> innocent citizens</w:t>
      </w:r>
      <w:r w:rsidR="009F49E8">
        <w:rPr>
          <w:rFonts w:ascii="Times New Roman" w:hAnsi="Times New Roman" w:cs="Times New Roman"/>
          <w:sz w:val="24"/>
          <w:szCs w:val="24"/>
        </w:rPr>
        <w:t xml:space="preserve"> around the world</w:t>
      </w:r>
      <w:r w:rsidR="00EC2E15">
        <w:rPr>
          <w:rFonts w:ascii="Times New Roman" w:hAnsi="Times New Roman" w:cs="Times New Roman"/>
          <w:sz w:val="24"/>
          <w:szCs w:val="24"/>
        </w:rPr>
        <w:t xml:space="preserve">. </w:t>
      </w:r>
      <w:r w:rsidR="006563B6">
        <w:rPr>
          <w:rFonts w:ascii="Times New Roman" w:hAnsi="Times New Roman" w:cs="Times New Roman"/>
          <w:sz w:val="24"/>
          <w:szCs w:val="24"/>
        </w:rPr>
        <w:t xml:space="preserve"> </w:t>
      </w:r>
      <w:proofErr w:type="gramStart"/>
      <w:r w:rsidR="006563B6">
        <w:rPr>
          <w:rFonts w:ascii="Times New Roman" w:hAnsi="Times New Roman" w:cs="Times New Roman"/>
          <w:sz w:val="24"/>
          <w:szCs w:val="24"/>
        </w:rPr>
        <w:t>Similar to</w:t>
      </w:r>
      <w:proofErr w:type="gramEnd"/>
      <w:r w:rsidR="006563B6">
        <w:rPr>
          <w:rFonts w:ascii="Times New Roman" w:hAnsi="Times New Roman" w:cs="Times New Roman"/>
          <w:sz w:val="24"/>
          <w:szCs w:val="24"/>
        </w:rPr>
        <w:t xml:space="preserve"> the right to liberty and security, </w:t>
      </w:r>
      <w:r w:rsidR="00BB070A">
        <w:rPr>
          <w:rFonts w:ascii="Times New Roman" w:hAnsi="Times New Roman" w:cs="Times New Roman"/>
          <w:sz w:val="24"/>
          <w:szCs w:val="24"/>
        </w:rPr>
        <w:t xml:space="preserve">it has long been established that </w:t>
      </w:r>
      <w:r w:rsidR="006563B6">
        <w:rPr>
          <w:rFonts w:ascii="Times New Roman" w:hAnsi="Times New Roman" w:cs="Times New Roman"/>
          <w:sz w:val="24"/>
          <w:szCs w:val="24"/>
        </w:rPr>
        <w:t xml:space="preserve">States must protect the right to life </w:t>
      </w:r>
      <w:r w:rsidR="00061B35">
        <w:rPr>
          <w:rFonts w:ascii="Times New Roman" w:hAnsi="Times New Roman" w:cs="Times New Roman"/>
          <w:sz w:val="24"/>
          <w:szCs w:val="24"/>
        </w:rPr>
        <w:t>from</w:t>
      </w:r>
      <w:r w:rsidR="006563B6">
        <w:rPr>
          <w:rFonts w:ascii="Times New Roman" w:hAnsi="Times New Roman" w:cs="Times New Roman"/>
          <w:sz w:val="24"/>
          <w:szCs w:val="24"/>
        </w:rPr>
        <w:t xml:space="preserve"> non-State actors</w:t>
      </w:r>
      <w:r w:rsidR="00BB070A">
        <w:rPr>
          <w:rFonts w:ascii="Times New Roman" w:hAnsi="Times New Roman" w:cs="Times New Roman"/>
          <w:sz w:val="24"/>
          <w:szCs w:val="24"/>
        </w:rPr>
        <w:t>,</w:t>
      </w:r>
      <w:r w:rsidR="006563B6">
        <w:rPr>
          <w:rStyle w:val="FootnoteReference"/>
          <w:rFonts w:ascii="Times New Roman" w:hAnsi="Times New Roman" w:cs="Times New Roman"/>
          <w:sz w:val="24"/>
          <w:szCs w:val="24"/>
        </w:rPr>
        <w:footnoteReference w:id="20"/>
      </w:r>
      <w:r w:rsidR="006563B6">
        <w:rPr>
          <w:rFonts w:ascii="Times New Roman" w:hAnsi="Times New Roman" w:cs="Times New Roman"/>
          <w:sz w:val="24"/>
          <w:szCs w:val="24"/>
        </w:rPr>
        <w:t xml:space="preserve"> </w:t>
      </w:r>
      <w:r w:rsidR="00BB070A">
        <w:rPr>
          <w:rFonts w:ascii="Times New Roman" w:hAnsi="Times New Roman" w:cs="Times New Roman"/>
          <w:sz w:val="24"/>
          <w:szCs w:val="24"/>
        </w:rPr>
        <w:t>and this should include organised criminal groups.</w:t>
      </w:r>
      <w:r w:rsidR="006563B6">
        <w:rPr>
          <w:rFonts w:ascii="Times New Roman" w:hAnsi="Times New Roman" w:cs="Times New Roman"/>
          <w:sz w:val="24"/>
          <w:szCs w:val="24"/>
        </w:rPr>
        <w:t xml:space="preserve">    </w:t>
      </w:r>
    </w:p>
    <w:p w:rsidR="00935C1A" w:rsidRDefault="0036536D" w:rsidP="006B0C5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these rights which fall under the </w:t>
      </w:r>
      <w:r w:rsidR="00F3339E">
        <w:rPr>
          <w:rFonts w:ascii="Times New Roman" w:hAnsi="Times New Roman" w:cs="Times New Roman"/>
          <w:sz w:val="24"/>
          <w:szCs w:val="24"/>
        </w:rPr>
        <w:t xml:space="preserve">category </w:t>
      </w:r>
      <w:r>
        <w:rPr>
          <w:rFonts w:ascii="Times New Roman" w:hAnsi="Times New Roman" w:cs="Times New Roman"/>
          <w:sz w:val="24"/>
          <w:szCs w:val="24"/>
        </w:rPr>
        <w:t>of</w:t>
      </w:r>
      <w:r w:rsidR="004D1E1E">
        <w:rPr>
          <w:rFonts w:ascii="Times New Roman" w:hAnsi="Times New Roman" w:cs="Times New Roman"/>
          <w:sz w:val="24"/>
          <w:szCs w:val="24"/>
        </w:rPr>
        <w:t xml:space="preserve"> civil and political rights, </w:t>
      </w:r>
      <w:r w:rsidR="002A75D4">
        <w:rPr>
          <w:rFonts w:ascii="Times New Roman" w:hAnsi="Times New Roman" w:cs="Times New Roman"/>
          <w:sz w:val="24"/>
          <w:szCs w:val="24"/>
        </w:rPr>
        <w:t>economic, social and cultural rights</w:t>
      </w:r>
      <w:r w:rsidR="004D1E1E">
        <w:rPr>
          <w:rFonts w:ascii="Times New Roman" w:hAnsi="Times New Roman" w:cs="Times New Roman"/>
          <w:sz w:val="24"/>
          <w:szCs w:val="24"/>
        </w:rPr>
        <w:t xml:space="preserve"> are affected </w:t>
      </w:r>
      <w:r w:rsidR="002A75D4">
        <w:rPr>
          <w:rFonts w:ascii="Times New Roman" w:hAnsi="Times New Roman" w:cs="Times New Roman"/>
          <w:sz w:val="24"/>
          <w:szCs w:val="24"/>
        </w:rPr>
        <w:t xml:space="preserve">by transnational </w:t>
      </w:r>
      <w:r w:rsidR="004D1E1E">
        <w:rPr>
          <w:rFonts w:ascii="Times New Roman" w:hAnsi="Times New Roman" w:cs="Times New Roman"/>
          <w:sz w:val="24"/>
          <w:szCs w:val="24"/>
        </w:rPr>
        <w:t>organised crime</w:t>
      </w:r>
      <w:r w:rsidR="003B3861">
        <w:rPr>
          <w:rFonts w:ascii="Times New Roman" w:hAnsi="Times New Roman" w:cs="Times New Roman"/>
          <w:sz w:val="24"/>
          <w:szCs w:val="24"/>
        </w:rPr>
        <w:t>.  For instance, l</w:t>
      </w:r>
      <w:r w:rsidR="00760F55">
        <w:rPr>
          <w:rFonts w:ascii="Times New Roman" w:hAnsi="Times New Roman" w:cs="Times New Roman"/>
          <w:sz w:val="24"/>
          <w:szCs w:val="24"/>
        </w:rPr>
        <w:t xml:space="preserve">abour and sexual exploitation have a negative impact on </w:t>
      </w:r>
      <w:r w:rsidR="003B3861">
        <w:rPr>
          <w:rFonts w:ascii="Times New Roman" w:hAnsi="Times New Roman" w:cs="Times New Roman"/>
          <w:sz w:val="24"/>
          <w:szCs w:val="24"/>
        </w:rPr>
        <w:t xml:space="preserve">one’s </w:t>
      </w:r>
      <w:r w:rsidR="006B0C52">
        <w:rPr>
          <w:rFonts w:ascii="Times New Roman" w:hAnsi="Times New Roman" w:cs="Times New Roman"/>
          <w:sz w:val="24"/>
          <w:szCs w:val="24"/>
        </w:rPr>
        <w:t>right to work as well as to the enjoyment of just and favourable conditions of work which are guaranteed by the International Covenant on Economic, Social and Cultural Rights</w:t>
      </w:r>
      <w:r w:rsidR="00BF6022">
        <w:rPr>
          <w:rFonts w:ascii="Times New Roman" w:hAnsi="Times New Roman" w:cs="Times New Roman"/>
          <w:sz w:val="24"/>
          <w:szCs w:val="24"/>
        </w:rPr>
        <w:t xml:space="preserve"> 1966 (ICESCR)</w:t>
      </w:r>
      <w:r w:rsidR="006B0C52">
        <w:rPr>
          <w:rFonts w:ascii="Times New Roman" w:hAnsi="Times New Roman" w:cs="Times New Roman"/>
          <w:sz w:val="24"/>
          <w:szCs w:val="24"/>
        </w:rPr>
        <w:t>.</w:t>
      </w:r>
      <w:r w:rsidR="006B0C52">
        <w:rPr>
          <w:rStyle w:val="FootnoteReference"/>
          <w:rFonts w:ascii="Times New Roman" w:hAnsi="Times New Roman" w:cs="Times New Roman"/>
          <w:sz w:val="24"/>
          <w:szCs w:val="24"/>
        </w:rPr>
        <w:footnoteReference w:id="21"/>
      </w:r>
      <w:r w:rsidR="006B0C52">
        <w:rPr>
          <w:rFonts w:ascii="Times New Roman" w:hAnsi="Times New Roman" w:cs="Times New Roman"/>
          <w:sz w:val="24"/>
          <w:szCs w:val="24"/>
        </w:rPr>
        <w:t xml:space="preserve">  </w:t>
      </w:r>
      <w:r w:rsidR="0012453B">
        <w:rPr>
          <w:rFonts w:ascii="Times New Roman" w:hAnsi="Times New Roman" w:cs="Times New Roman"/>
          <w:sz w:val="24"/>
          <w:szCs w:val="24"/>
        </w:rPr>
        <w:t xml:space="preserve"> </w:t>
      </w:r>
      <w:r w:rsidR="0057640C">
        <w:rPr>
          <w:rFonts w:ascii="Times New Roman" w:hAnsi="Times New Roman" w:cs="Times New Roman"/>
          <w:sz w:val="24"/>
          <w:szCs w:val="24"/>
        </w:rPr>
        <w:t>Another obvious example is the right to the highest attainable standard of health</w:t>
      </w:r>
      <w:r w:rsidR="0057640C">
        <w:rPr>
          <w:rStyle w:val="FootnoteReference"/>
          <w:rFonts w:ascii="Times New Roman" w:hAnsi="Times New Roman" w:cs="Times New Roman"/>
          <w:sz w:val="24"/>
          <w:szCs w:val="24"/>
        </w:rPr>
        <w:footnoteReference w:id="22"/>
      </w:r>
      <w:r w:rsidR="0057640C">
        <w:rPr>
          <w:rFonts w:ascii="Times New Roman" w:hAnsi="Times New Roman" w:cs="Times New Roman"/>
          <w:sz w:val="24"/>
          <w:szCs w:val="24"/>
        </w:rPr>
        <w:t xml:space="preserve"> which </w:t>
      </w:r>
      <w:r w:rsidR="00C96B66">
        <w:rPr>
          <w:rFonts w:ascii="Times New Roman" w:hAnsi="Times New Roman" w:cs="Times New Roman"/>
          <w:sz w:val="24"/>
          <w:szCs w:val="24"/>
        </w:rPr>
        <w:t>is</w:t>
      </w:r>
      <w:r w:rsidR="0057640C">
        <w:rPr>
          <w:rFonts w:ascii="Times New Roman" w:hAnsi="Times New Roman" w:cs="Times New Roman"/>
          <w:sz w:val="24"/>
          <w:szCs w:val="24"/>
        </w:rPr>
        <w:t xml:space="preserve"> affected by t</w:t>
      </w:r>
      <w:r w:rsidR="0012453B">
        <w:rPr>
          <w:rFonts w:ascii="Times New Roman" w:hAnsi="Times New Roman" w:cs="Times New Roman"/>
          <w:sz w:val="24"/>
          <w:szCs w:val="24"/>
        </w:rPr>
        <w:t>he p</w:t>
      </w:r>
      <w:r w:rsidR="006B0C52">
        <w:rPr>
          <w:rFonts w:ascii="Times New Roman" w:hAnsi="Times New Roman" w:cs="Times New Roman"/>
          <w:sz w:val="24"/>
          <w:szCs w:val="24"/>
        </w:rPr>
        <w:t>rolonged captivity as part of maritime piracy</w:t>
      </w:r>
      <w:r w:rsidR="0012453B">
        <w:rPr>
          <w:rFonts w:ascii="Times New Roman" w:hAnsi="Times New Roman" w:cs="Times New Roman"/>
          <w:sz w:val="24"/>
          <w:szCs w:val="24"/>
        </w:rPr>
        <w:t xml:space="preserve">, </w:t>
      </w:r>
      <w:r w:rsidR="00760F55">
        <w:rPr>
          <w:rFonts w:ascii="Times New Roman" w:hAnsi="Times New Roman" w:cs="Times New Roman"/>
          <w:sz w:val="24"/>
          <w:szCs w:val="24"/>
        </w:rPr>
        <w:t>drug use/misuse</w:t>
      </w:r>
      <w:r w:rsidR="001C012D">
        <w:rPr>
          <w:rStyle w:val="FootnoteReference"/>
          <w:rFonts w:ascii="Times New Roman" w:hAnsi="Times New Roman" w:cs="Times New Roman"/>
          <w:sz w:val="24"/>
          <w:szCs w:val="24"/>
        </w:rPr>
        <w:footnoteReference w:id="23"/>
      </w:r>
      <w:r w:rsidR="00760F55">
        <w:rPr>
          <w:rFonts w:ascii="Times New Roman" w:hAnsi="Times New Roman" w:cs="Times New Roman"/>
          <w:sz w:val="24"/>
          <w:szCs w:val="24"/>
        </w:rPr>
        <w:t xml:space="preserve"> (including addiction and transmission of diseases like Hepatitis and HIV/AIDS)</w:t>
      </w:r>
      <w:r w:rsidR="004944AC">
        <w:rPr>
          <w:rFonts w:ascii="Times New Roman" w:hAnsi="Times New Roman" w:cs="Times New Roman"/>
          <w:sz w:val="24"/>
          <w:szCs w:val="24"/>
        </w:rPr>
        <w:t xml:space="preserve"> resulting from </w:t>
      </w:r>
      <w:r w:rsidR="00760F55">
        <w:rPr>
          <w:rFonts w:ascii="Times New Roman" w:hAnsi="Times New Roman" w:cs="Times New Roman"/>
          <w:sz w:val="24"/>
          <w:szCs w:val="24"/>
        </w:rPr>
        <w:t>illegal production and trafficking</w:t>
      </w:r>
      <w:r w:rsidR="00082F7A">
        <w:rPr>
          <w:rFonts w:ascii="Times New Roman" w:hAnsi="Times New Roman" w:cs="Times New Roman"/>
          <w:sz w:val="24"/>
          <w:szCs w:val="24"/>
        </w:rPr>
        <w:t xml:space="preserve">, as well as </w:t>
      </w:r>
      <w:r w:rsidR="00861F32">
        <w:rPr>
          <w:rFonts w:ascii="Times New Roman" w:hAnsi="Times New Roman" w:cs="Times New Roman"/>
          <w:sz w:val="24"/>
          <w:szCs w:val="24"/>
        </w:rPr>
        <w:t xml:space="preserve">dumping of toxic </w:t>
      </w:r>
      <w:r w:rsidR="00C83D2A">
        <w:rPr>
          <w:rFonts w:ascii="Times New Roman" w:hAnsi="Times New Roman" w:cs="Times New Roman"/>
          <w:sz w:val="24"/>
          <w:szCs w:val="24"/>
        </w:rPr>
        <w:t xml:space="preserve">and hazardous </w:t>
      </w:r>
      <w:r w:rsidR="00861F32">
        <w:rPr>
          <w:rFonts w:ascii="Times New Roman" w:hAnsi="Times New Roman" w:cs="Times New Roman"/>
          <w:sz w:val="24"/>
          <w:szCs w:val="24"/>
        </w:rPr>
        <w:t>wastes</w:t>
      </w:r>
      <w:r w:rsidR="0012453B" w:rsidRPr="0012453B">
        <w:rPr>
          <w:rStyle w:val="FootnoteReference"/>
          <w:rFonts w:ascii="Times New Roman" w:hAnsi="Times New Roman" w:cs="Times New Roman"/>
          <w:sz w:val="24"/>
          <w:szCs w:val="24"/>
        </w:rPr>
        <w:t xml:space="preserve"> </w:t>
      </w:r>
      <w:r w:rsidR="0012453B">
        <w:rPr>
          <w:rStyle w:val="FootnoteReference"/>
          <w:rFonts w:ascii="Times New Roman" w:hAnsi="Times New Roman" w:cs="Times New Roman"/>
          <w:sz w:val="24"/>
          <w:szCs w:val="24"/>
        </w:rPr>
        <w:footnoteReference w:id="24"/>
      </w:r>
      <w:r w:rsidR="0012453B">
        <w:rPr>
          <w:rFonts w:ascii="Times New Roman" w:hAnsi="Times New Roman" w:cs="Times New Roman"/>
          <w:sz w:val="24"/>
          <w:szCs w:val="24"/>
        </w:rPr>
        <w:t xml:space="preserve"> </w:t>
      </w:r>
      <w:r w:rsidR="007469DB">
        <w:rPr>
          <w:rFonts w:ascii="Times New Roman" w:hAnsi="Times New Roman" w:cs="Times New Roman"/>
          <w:sz w:val="24"/>
          <w:szCs w:val="24"/>
        </w:rPr>
        <w:t xml:space="preserve"> </w:t>
      </w:r>
      <w:r w:rsidR="00861F32">
        <w:rPr>
          <w:rFonts w:ascii="Times New Roman" w:hAnsi="Times New Roman" w:cs="Times New Roman"/>
          <w:sz w:val="24"/>
          <w:szCs w:val="24"/>
        </w:rPr>
        <w:t>which ha</w:t>
      </w:r>
      <w:r w:rsidR="00C96B66">
        <w:rPr>
          <w:rFonts w:ascii="Times New Roman" w:hAnsi="Times New Roman" w:cs="Times New Roman"/>
          <w:sz w:val="24"/>
          <w:szCs w:val="24"/>
        </w:rPr>
        <w:t>s</w:t>
      </w:r>
      <w:r w:rsidR="00861F32">
        <w:rPr>
          <w:rFonts w:ascii="Times New Roman" w:hAnsi="Times New Roman" w:cs="Times New Roman"/>
          <w:sz w:val="24"/>
          <w:szCs w:val="24"/>
        </w:rPr>
        <w:t xml:space="preserve"> become more organised and sophisticated in modern times</w:t>
      </w:r>
      <w:r w:rsidR="0057640C">
        <w:rPr>
          <w:rFonts w:ascii="Times New Roman" w:hAnsi="Times New Roman" w:cs="Times New Roman"/>
          <w:sz w:val="24"/>
          <w:szCs w:val="24"/>
        </w:rPr>
        <w:t>.</w:t>
      </w:r>
      <w:r w:rsidR="00861F32">
        <w:rPr>
          <w:rStyle w:val="FootnoteReference"/>
          <w:rFonts w:ascii="Times New Roman" w:hAnsi="Times New Roman" w:cs="Times New Roman"/>
          <w:sz w:val="24"/>
          <w:szCs w:val="24"/>
        </w:rPr>
        <w:footnoteReference w:id="25"/>
      </w:r>
      <w:r w:rsidR="00A25859">
        <w:rPr>
          <w:rFonts w:ascii="Times New Roman" w:hAnsi="Times New Roman" w:cs="Times New Roman"/>
          <w:sz w:val="24"/>
          <w:szCs w:val="24"/>
        </w:rPr>
        <w:t xml:space="preserve"> </w:t>
      </w:r>
      <w:r w:rsidR="003704B2">
        <w:rPr>
          <w:rFonts w:ascii="Times New Roman" w:hAnsi="Times New Roman" w:cs="Times New Roman"/>
          <w:sz w:val="24"/>
          <w:szCs w:val="24"/>
        </w:rPr>
        <w:t xml:space="preserve"> </w:t>
      </w:r>
    </w:p>
    <w:p w:rsidR="00330F2E" w:rsidRDefault="0057640C" w:rsidP="002232C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There are </w:t>
      </w:r>
      <w:r w:rsidR="0001608D">
        <w:rPr>
          <w:rFonts w:ascii="Times New Roman" w:hAnsi="Times New Roman" w:cs="Times New Roman"/>
          <w:sz w:val="24"/>
          <w:szCs w:val="24"/>
        </w:rPr>
        <w:t xml:space="preserve">other </w:t>
      </w:r>
      <w:r>
        <w:rPr>
          <w:rFonts w:ascii="Times New Roman" w:hAnsi="Times New Roman" w:cs="Times New Roman"/>
          <w:sz w:val="24"/>
          <w:szCs w:val="24"/>
        </w:rPr>
        <w:t xml:space="preserve">less explored economic, social and cultural rights which are </w:t>
      </w:r>
      <w:r w:rsidR="00C96B66">
        <w:rPr>
          <w:rFonts w:ascii="Times New Roman" w:hAnsi="Times New Roman" w:cs="Times New Roman"/>
          <w:sz w:val="24"/>
          <w:szCs w:val="24"/>
        </w:rPr>
        <w:t>disturbed</w:t>
      </w:r>
      <w:r>
        <w:rPr>
          <w:rFonts w:ascii="Times New Roman" w:hAnsi="Times New Roman" w:cs="Times New Roman"/>
          <w:sz w:val="24"/>
          <w:szCs w:val="24"/>
        </w:rPr>
        <w:t xml:space="preserve"> by transnational organised crime.  </w:t>
      </w:r>
      <w:r w:rsidR="00760F55">
        <w:rPr>
          <w:rFonts w:ascii="Times New Roman" w:hAnsi="Times New Roman" w:cs="Times New Roman"/>
          <w:sz w:val="24"/>
          <w:szCs w:val="24"/>
        </w:rPr>
        <w:t>A</w:t>
      </w:r>
      <w:r>
        <w:rPr>
          <w:rFonts w:ascii="Times New Roman" w:hAnsi="Times New Roman" w:cs="Times New Roman"/>
          <w:sz w:val="24"/>
          <w:szCs w:val="24"/>
        </w:rPr>
        <w:t xml:space="preserve"> good </w:t>
      </w:r>
      <w:r w:rsidR="00760F55">
        <w:rPr>
          <w:rFonts w:ascii="Times New Roman" w:hAnsi="Times New Roman" w:cs="Times New Roman"/>
          <w:sz w:val="24"/>
          <w:szCs w:val="24"/>
        </w:rPr>
        <w:t>example is the right to property.</w:t>
      </w:r>
      <w:r w:rsidR="00DE3534" w:rsidRPr="00DE3534">
        <w:rPr>
          <w:rStyle w:val="FootnoteReference"/>
          <w:rFonts w:ascii="Times New Roman" w:hAnsi="Times New Roman" w:cs="Times New Roman"/>
          <w:sz w:val="24"/>
          <w:szCs w:val="24"/>
        </w:rPr>
        <w:t xml:space="preserve"> </w:t>
      </w:r>
      <w:r w:rsidR="00DE3534">
        <w:rPr>
          <w:rStyle w:val="FootnoteReference"/>
          <w:rFonts w:ascii="Times New Roman" w:hAnsi="Times New Roman" w:cs="Times New Roman"/>
          <w:sz w:val="24"/>
          <w:szCs w:val="24"/>
        </w:rPr>
        <w:footnoteReference w:id="26"/>
      </w:r>
      <w:r w:rsidR="00DE3534">
        <w:rPr>
          <w:rFonts w:ascii="Times New Roman" w:hAnsi="Times New Roman" w:cs="Times New Roman"/>
          <w:sz w:val="24"/>
          <w:szCs w:val="24"/>
        </w:rPr>
        <w:t xml:space="preserve"> </w:t>
      </w:r>
      <w:r w:rsidR="00760F55">
        <w:rPr>
          <w:rFonts w:ascii="Times New Roman" w:hAnsi="Times New Roman" w:cs="Times New Roman"/>
          <w:sz w:val="24"/>
          <w:szCs w:val="24"/>
        </w:rPr>
        <w:t xml:space="preserve">  </w:t>
      </w:r>
      <w:r w:rsidR="00814586">
        <w:rPr>
          <w:rFonts w:ascii="Times New Roman" w:hAnsi="Times New Roman" w:cs="Times New Roman"/>
          <w:sz w:val="24"/>
          <w:szCs w:val="24"/>
        </w:rPr>
        <w:t xml:space="preserve">Organised property crime (e.g. theft </w:t>
      </w:r>
      <w:r w:rsidR="00AC67AC">
        <w:rPr>
          <w:rFonts w:ascii="Times New Roman" w:hAnsi="Times New Roman" w:cs="Times New Roman"/>
          <w:sz w:val="24"/>
          <w:szCs w:val="24"/>
        </w:rPr>
        <w:t xml:space="preserve">of vehicles, gold, metals, </w:t>
      </w:r>
      <w:r w:rsidR="00814586">
        <w:rPr>
          <w:rFonts w:ascii="Times New Roman" w:hAnsi="Times New Roman" w:cs="Times New Roman"/>
          <w:sz w:val="24"/>
          <w:szCs w:val="24"/>
        </w:rPr>
        <w:t xml:space="preserve">and a range of other commodities) </w:t>
      </w:r>
      <w:r w:rsidR="00C96B66">
        <w:rPr>
          <w:rFonts w:ascii="Times New Roman" w:hAnsi="Times New Roman" w:cs="Times New Roman"/>
          <w:sz w:val="24"/>
          <w:szCs w:val="24"/>
        </w:rPr>
        <w:t>is</w:t>
      </w:r>
      <w:r w:rsidR="00814586">
        <w:rPr>
          <w:rFonts w:ascii="Times New Roman" w:hAnsi="Times New Roman" w:cs="Times New Roman"/>
          <w:sz w:val="24"/>
          <w:szCs w:val="24"/>
        </w:rPr>
        <w:t xml:space="preserve"> </w:t>
      </w:r>
      <w:r w:rsidR="0023676C">
        <w:rPr>
          <w:rFonts w:ascii="Times New Roman" w:hAnsi="Times New Roman" w:cs="Times New Roman"/>
          <w:sz w:val="24"/>
          <w:szCs w:val="24"/>
        </w:rPr>
        <w:t xml:space="preserve">said to be </w:t>
      </w:r>
      <w:r w:rsidR="0001608D">
        <w:rPr>
          <w:rFonts w:ascii="Times New Roman" w:hAnsi="Times New Roman" w:cs="Times New Roman"/>
          <w:sz w:val="24"/>
          <w:szCs w:val="24"/>
        </w:rPr>
        <w:t xml:space="preserve">as </w:t>
      </w:r>
      <w:r w:rsidR="00814586">
        <w:rPr>
          <w:rFonts w:ascii="Times New Roman" w:hAnsi="Times New Roman" w:cs="Times New Roman"/>
          <w:sz w:val="24"/>
          <w:szCs w:val="24"/>
        </w:rPr>
        <w:t>serious as other forms of organised crime such as drug and human trafficking</w:t>
      </w:r>
      <w:r w:rsidR="00814586">
        <w:rPr>
          <w:rStyle w:val="FootnoteReference"/>
          <w:rFonts w:ascii="Times New Roman" w:hAnsi="Times New Roman" w:cs="Times New Roman"/>
          <w:sz w:val="24"/>
          <w:szCs w:val="24"/>
        </w:rPr>
        <w:footnoteReference w:id="27"/>
      </w:r>
      <w:r w:rsidR="00814586">
        <w:rPr>
          <w:rFonts w:ascii="Times New Roman" w:hAnsi="Times New Roman" w:cs="Times New Roman"/>
          <w:sz w:val="24"/>
          <w:szCs w:val="24"/>
        </w:rPr>
        <w:t xml:space="preserve">  </w:t>
      </w:r>
      <w:r w:rsidR="0023676C">
        <w:rPr>
          <w:rFonts w:ascii="Times New Roman" w:hAnsi="Times New Roman" w:cs="Times New Roman"/>
          <w:sz w:val="24"/>
          <w:szCs w:val="24"/>
        </w:rPr>
        <w:t>and with advancement of technology, o</w:t>
      </w:r>
      <w:r w:rsidR="00814586">
        <w:rPr>
          <w:rFonts w:ascii="Times New Roman" w:hAnsi="Times New Roman" w:cs="Times New Roman"/>
          <w:sz w:val="24"/>
          <w:szCs w:val="24"/>
        </w:rPr>
        <w:t xml:space="preserve">nline </w:t>
      </w:r>
      <w:r w:rsidR="000759EF">
        <w:rPr>
          <w:rFonts w:ascii="Times New Roman" w:hAnsi="Times New Roman" w:cs="Times New Roman"/>
          <w:sz w:val="24"/>
          <w:szCs w:val="24"/>
        </w:rPr>
        <w:t xml:space="preserve">fraud </w:t>
      </w:r>
      <w:r w:rsidR="004548EE">
        <w:rPr>
          <w:rFonts w:ascii="Times New Roman" w:hAnsi="Times New Roman" w:cs="Times New Roman"/>
          <w:sz w:val="24"/>
          <w:szCs w:val="24"/>
        </w:rPr>
        <w:t xml:space="preserve">including </w:t>
      </w:r>
      <w:r w:rsidR="00814586">
        <w:rPr>
          <w:rFonts w:ascii="Times New Roman" w:hAnsi="Times New Roman" w:cs="Times New Roman"/>
          <w:sz w:val="24"/>
          <w:szCs w:val="24"/>
        </w:rPr>
        <w:t xml:space="preserve">phishing has </w:t>
      </w:r>
      <w:r w:rsidR="0023676C">
        <w:rPr>
          <w:rFonts w:ascii="Times New Roman" w:hAnsi="Times New Roman" w:cs="Times New Roman"/>
          <w:sz w:val="24"/>
          <w:szCs w:val="24"/>
        </w:rPr>
        <w:t>become more prominent in modern time</w:t>
      </w:r>
      <w:r w:rsidR="00DD5643">
        <w:rPr>
          <w:rFonts w:ascii="Times New Roman" w:hAnsi="Times New Roman" w:cs="Times New Roman"/>
          <w:sz w:val="24"/>
          <w:szCs w:val="24"/>
        </w:rPr>
        <w:t>.</w:t>
      </w:r>
      <w:r w:rsidR="00DD5643">
        <w:rPr>
          <w:rStyle w:val="FootnoteReference"/>
          <w:rFonts w:ascii="Times New Roman" w:hAnsi="Times New Roman" w:cs="Times New Roman"/>
          <w:sz w:val="24"/>
          <w:szCs w:val="24"/>
        </w:rPr>
        <w:footnoteReference w:id="28"/>
      </w:r>
      <w:r w:rsidR="00DD5643">
        <w:rPr>
          <w:rFonts w:ascii="Times New Roman" w:hAnsi="Times New Roman" w:cs="Times New Roman"/>
          <w:sz w:val="24"/>
          <w:szCs w:val="24"/>
        </w:rPr>
        <w:t xml:space="preserve">  </w:t>
      </w:r>
      <w:r w:rsidR="00EA6BDE">
        <w:rPr>
          <w:rFonts w:ascii="Times New Roman" w:hAnsi="Times New Roman" w:cs="Times New Roman"/>
          <w:sz w:val="24"/>
          <w:szCs w:val="24"/>
        </w:rPr>
        <w:t xml:space="preserve">Another </w:t>
      </w:r>
      <w:r w:rsidR="00B27A2C">
        <w:rPr>
          <w:rFonts w:ascii="Times New Roman" w:hAnsi="Times New Roman" w:cs="Times New Roman"/>
          <w:sz w:val="24"/>
          <w:szCs w:val="24"/>
        </w:rPr>
        <w:t xml:space="preserve">important </w:t>
      </w:r>
      <w:r w:rsidR="00EA6BDE">
        <w:rPr>
          <w:rFonts w:ascii="Times New Roman" w:hAnsi="Times New Roman" w:cs="Times New Roman"/>
          <w:sz w:val="24"/>
          <w:szCs w:val="24"/>
        </w:rPr>
        <w:t xml:space="preserve">dimension </w:t>
      </w:r>
      <w:r w:rsidR="008761DB">
        <w:rPr>
          <w:rFonts w:ascii="Times New Roman" w:hAnsi="Times New Roman" w:cs="Times New Roman"/>
          <w:sz w:val="24"/>
          <w:szCs w:val="24"/>
        </w:rPr>
        <w:t xml:space="preserve">of fraud </w:t>
      </w:r>
      <w:r w:rsidR="00EA6BDE">
        <w:rPr>
          <w:rFonts w:ascii="Times New Roman" w:hAnsi="Times New Roman" w:cs="Times New Roman"/>
          <w:sz w:val="24"/>
          <w:szCs w:val="24"/>
        </w:rPr>
        <w:t xml:space="preserve">is </w:t>
      </w:r>
      <w:r w:rsidR="00264539">
        <w:rPr>
          <w:rFonts w:ascii="Times New Roman" w:hAnsi="Times New Roman" w:cs="Times New Roman"/>
          <w:sz w:val="24"/>
          <w:szCs w:val="24"/>
        </w:rPr>
        <w:t xml:space="preserve">so-called </w:t>
      </w:r>
      <w:r w:rsidR="00330F2E">
        <w:rPr>
          <w:rFonts w:ascii="Times New Roman" w:hAnsi="Times New Roman" w:cs="Times New Roman"/>
          <w:sz w:val="24"/>
          <w:szCs w:val="24"/>
        </w:rPr>
        <w:t xml:space="preserve">organised excise fraud (illegal </w:t>
      </w:r>
      <w:r w:rsidR="00A4156B">
        <w:rPr>
          <w:rFonts w:ascii="Times New Roman" w:hAnsi="Times New Roman" w:cs="Times New Roman"/>
          <w:sz w:val="24"/>
          <w:szCs w:val="24"/>
        </w:rPr>
        <w:t xml:space="preserve">smuggling, sale or even </w:t>
      </w:r>
      <w:r w:rsidR="00330F2E">
        <w:rPr>
          <w:rFonts w:ascii="Times New Roman" w:hAnsi="Times New Roman" w:cs="Times New Roman"/>
          <w:sz w:val="24"/>
          <w:szCs w:val="24"/>
        </w:rPr>
        <w:t>manufacturing of highly taxed good</w:t>
      </w:r>
      <w:r w:rsidR="00264539">
        <w:rPr>
          <w:rFonts w:ascii="Times New Roman" w:hAnsi="Times New Roman" w:cs="Times New Roman"/>
          <w:sz w:val="24"/>
          <w:szCs w:val="24"/>
        </w:rPr>
        <w:t>s</w:t>
      </w:r>
      <w:r w:rsidR="00330F2E">
        <w:rPr>
          <w:rFonts w:ascii="Times New Roman" w:hAnsi="Times New Roman" w:cs="Times New Roman"/>
          <w:sz w:val="24"/>
          <w:szCs w:val="24"/>
        </w:rPr>
        <w:t xml:space="preserve"> such</w:t>
      </w:r>
      <w:r w:rsidR="00264539">
        <w:rPr>
          <w:rFonts w:ascii="Times New Roman" w:hAnsi="Times New Roman" w:cs="Times New Roman"/>
          <w:sz w:val="24"/>
          <w:szCs w:val="24"/>
        </w:rPr>
        <w:t xml:space="preserve"> as alcohol, tobacco and fuel)</w:t>
      </w:r>
      <w:r w:rsidR="00FA4E30">
        <w:rPr>
          <w:rFonts w:ascii="Times New Roman" w:hAnsi="Times New Roman" w:cs="Times New Roman"/>
          <w:sz w:val="24"/>
          <w:szCs w:val="24"/>
        </w:rPr>
        <w:t xml:space="preserve"> which is </w:t>
      </w:r>
      <w:r w:rsidR="00264539">
        <w:rPr>
          <w:rFonts w:ascii="Times New Roman" w:hAnsi="Times New Roman" w:cs="Times New Roman"/>
          <w:sz w:val="24"/>
          <w:szCs w:val="24"/>
        </w:rPr>
        <w:t xml:space="preserve">committed in order to avoid paying </w:t>
      </w:r>
      <w:r w:rsidR="00F821A3">
        <w:rPr>
          <w:rFonts w:ascii="Times New Roman" w:hAnsi="Times New Roman" w:cs="Times New Roman"/>
          <w:sz w:val="24"/>
          <w:szCs w:val="24"/>
        </w:rPr>
        <w:t>relevant taxes</w:t>
      </w:r>
      <w:r w:rsidR="00264539">
        <w:rPr>
          <w:rFonts w:ascii="Times New Roman" w:hAnsi="Times New Roman" w:cs="Times New Roman"/>
          <w:sz w:val="24"/>
          <w:szCs w:val="24"/>
        </w:rPr>
        <w:t xml:space="preserve">.  </w:t>
      </w:r>
      <w:r w:rsidR="00B56B07">
        <w:rPr>
          <w:rFonts w:ascii="Times New Roman" w:hAnsi="Times New Roman" w:cs="Times New Roman"/>
          <w:sz w:val="24"/>
          <w:szCs w:val="24"/>
        </w:rPr>
        <w:t>From a human rights perspective, i</w:t>
      </w:r>
      <w:r w:rsidR="00B27A2C">
        <w:rPr>
          <w:rFonts w:ascii="Times New Roman" w:hAnsi="Times New Roman" w:cs="Times New Roman"/>
          <w:sz w:val="24"/>
          <w:szCs w:val="24"/>
        </w:rPr>
        <w:t>t has been</w:t>
      </w:r>
      <w:r w:rsidR="000A40BA">
        <w:rPr>
          <w:rFonts w:ascii="Times New Roman" w:hAnsi="Times New Roman" w:cs="Times New Roman"/>
          <w:sz w:val="24"/>
          <w:szCs w:val="24"/>
        </w:rPr>
        <w:t xml:space="preserve"> </w:t>
      </w:r>
      <w:r w:rsidR="00C96B66">
        <w:rPr>
          <w:rFonts w:ascii="Times New Roman" w:hAnsi="Times New Roman" w:cs="Times New Roman"/>
          <w:sz w:val="24"/>
          <w:szCs w:val="24"/>
        </w:rPr>
        <w:t>argued</w:t>
      </w:r>
      <w:r w:rsidR="000A40BA">
        <w:rPr>
          <w:rFonts w:ascii="Times New Roman" w:hAnsi="Times New Roman" w:cs="Times New Roman"/>
          <w:sz w:val="24"/>
          <w:szCs w:val="24"/>
        </w:rPr>
        <w:t xml:space="preserve"> </w:t>
      </w:r>
      <w:r w:rsidR="00EA6BDE">
        <w:rPr>
          <w:rFonts w:ascii="Times New Roman" w:hAnsi="Times New Roman" w:cs="Times New Roman"/>
          <w:sz w:val="24"/>
          <w:szCs w:val="24"/>
        </w:rPr>
        <w:t>that tax</w:t>
      </w:r>
      <w:r w:rsidR="00420CEC">
        <w:rPr>
          <w:rFonts w:ascii="Times New Roman" w:hAnsi="Times New Roman" w:cs="Times New Roman"/>
          <w:sz w:val="24"/>
          <w:szCs w:val="24"/>
        </w:rPr>
        <w:t xml:space="preserve"> </w:t>
      </w:r>
      <w:r w:rsidR="00EA6BDE">
        <w:rPr>
          <w:rFonts w:ascii="Times New Roman" w:hAnsi="Times New Roman" w:cs="Times New Roman"/>
          <w:sz w:val="24"/>
          <w:szCs w:val="24"/>
        </w:rPr>
        <w:t>avoidance or abuse deprive States of valuable resources to progressively realise economic, social and cultural rights including education, health, and social protection.</w:t>
      </w:r>
      <w:r w:rsidR="00EA6BDE">
        <w:rPr>
          <w:rStyle w:val="FootnoteReference"/>
          <w:rFonts w:ascii="Times New Roman" w:hAnsi="Times New Roman" w:cs="Times New Roman"/>
          <w:sz w:val="24"/>
          <w:szCs w:val="24"/>
        </w:rPr>
        <w:footnoteReference w:id="29"/>
      </w:r>
      <w:r w:rsidR="00EA6BDE">
        <w:rPr>
          <w:rFonts w:ascii="Times New Roman" w:hAnsi="Times New Roman" w:cs="Times New Roman"/>
          <w:sz w:val="24"/>
          <w:szCs w:val="24"/>
        </w:rPr>
        <w:t xml:space="preserve">   </w:t>
      </w:r>
    </w:p>
    <w:p w:rsidR="006901C2" w:rsidRDefault="00DE3534" w:rsidP="001B5703">
      <w:pPr>
        <w:spacing w:line="480" w:lineRule="auto"/>
        <w:ind w:firstLine="720"/>
        <w:rPr>
          <w:rFonts w:ascii="Times New Roman" w:hAnsi="Times New Roman" w:cs="Times New Roman"/>
          <w:sz w:val="24"/>
          <w:szCs w:val="24"/>
        </w:rPr>
      </w:pPr>
      <w:r>
        <w:rPr>
          <w:rFonts w:ascii="Times New Roman" w:hAnsi="Times New Roman" w:cs="Times New Roman"/>
          <w:sz w:val="24"/>
          <w:szCs w:val="24"/>
        </w:rPr>
        <w:t>Moreover</w:t>
      </w:r>
      <w:r w:rsidR="00FE198F">
        <w:rPr>
          <w:rFonts w:ascii="Times New Roman" w:hAnsi="Times New Roman" w:cs="Times New Roman"/>
          <w:sz w:val="24"/>
          <w:szCs w:val="24"/>
        </w:rPr>
        <w:t>,</w:t>
      </w:r>
      <w:r w:rsidR="003910A4">
        <w:rPr>
          <w:rFonts w:ascii="Times New Roman" w:hAnsi="Times New Roman" w:cs="Times New Roman"/>
          <w:sz w:val="24"/>
          <w:szCs w:val="24"/>
        </w:rPr>
        <w:t xml:space="preserve"> the right to culture</w:t>
      </w:r>
      <w:r w:rsidR="00D053DF">
        <w:rPr>
          <w:rFonts w:ascii="Times New Roman" w:hAnsi="Times New Roman" w:cs="Times New Roman"/>
          <w:sz w:val="24"/>
          <w:szCs w:val="24"/>
        </w:rPr>
        <w:t xml:space="preserve"> </w:t>
      </w:r>
      <w:r w:rsidR="0080028E">
        <w:rPr>
          <w:rFonts w:ascii="Times New Roman" w:hAnsi="Times New Roman" w:cs="Times New Roman"/>
          <w:sz w:val="24"/>
          <w:szCs w:val="24"/>
        </w:rPr>
        <w:t>is engaged</w:t>
      </w:r>
      <w:r w:rsidR="003910A4">
        <w:rPr>
          <w:rFonts w:ascii="Times New Roman" w:hAnsi="Times New Roman" w:cs="Times New Roman"/>
          <w:sz w:val="24"/>
          <w:szCs w:val="24"/>
        </w:rPr>
        <w:t xml:space="preserve"> for some types of organised crime.  </w:t>
      </w:r>
      <w:r w:rsidR="00D9206C">
        <w:rPr>
          <w:rFonts w:ascii="Times New Roman" w:hAnsi="Times New Roman" w:cs="Times New Roman"/>
          <w:sz w:val="24"/>
          <w:szCs w:val="24"/>
        </w:rPr>
        <w:t>A</w:t>
      </w:r>
      <w:r w:rsidR="00461AD1">
        <w:rPr>
          <w:rFonts w:ascii="Times New Roman" w:hAnsi="Times New Roman" w:cs="Times New Roman"/>
          <w:sz w:val="24"/>
          <w:szCs w:val="24"/>
        </w:rPr>
        <w:t xml:space="preserve"> good example is </w:t>
      </w:r>
      <w:r w:rsidR="00F0770F">
        <w:rPr>
          <w:rFonts w:ascii="Times New Roman" w:hAnsi="Times New Roman" w:cs="Times New Roman"/>
          <w:sz w:val="24"/>
          <w:szCs w:val="24"/>
        </w:rPr>
        <w:t xml:space="preserve">illegal </w:t>
      </w:r>
      <w:r w:rsidR="00461AD1">
        <w:rPr>
          <w:rFonts w:ascii="Times New Roman" w:hAnsi="Times New Roman" w:cs="Times New Roman"/>
          <w:sz w:val="24"/>
          <w:szCs w:val="24"/>
        </w:rPr>
        <w:t xml:space="preserve">trafficking </w:t>
      </w:r>
      <w:r w:rsidR="00F0770F">
        <w:rPr>
          <w:rFonts w:ascii="Times New Roman" w:hAnsi="Times New Roman" w:cs="Times New Roman"/>
          <w:sz w:val="24"/>
          <w:szCs w:val="24"/>
        </w:rPr>
        <w:t xml:space="preserve">and sale </w:t>
      </w:r>
      <w:r w:rsidR="00461AD1">
        <w:rPr>
          <w:rFonts w:ascii="Times New Roman" w:hAnsi="Times New Roman" w:cs="Times New Roman"/>
          <w:sz w:val="24"/>
          <w:szCs w:val="24"/>
        </w:rPr>
        <w:t>of cultural property</w:t>
      </w:r>
      <w:r w:rsidR="00A169B5">
        <w:rPr>
          <w:rFonts w:ascii="Times New Roman" w:hAnsi="Times New Roman" w:cs="Times New Roman"/>
          <w:sz w:val="24"/>
          <w:szCs w:val="24"/>
        </w:rPr>
        <w:t xml:space="preserve"> or heritage</w:t>
      </w:r>
      <w:r w:rsidR="00461AD1">
        <w:rPr>
          <w:rFonts w:ascii="Times New Roman" w:hAnsi="Times New Roman" w:cs="Times New Roman"/>
          <w:sz w:val="24"/>
          <w:szCs w:val="24"/>
        </w:rPr>
        <w:t xml:space="preserve">.   </w:t>
      </w:r>
      <w:r w:rsidR="005207F0">
        <w:rPr>
          <w:rFonts w:ascii="Times New Roman" w:hAnsi="Times New Roman" w:cs="Times New Roman"/>
          <w:sz w:val="24"/>
          <w:szCs w:val="24"/>
        </w:rPr>
        <w:t xml:space="preserve">These activities </w:t>
      </w:r>
      <w:r w:rsidR="003E0BA2">
        <w:rPr>
          <w:rFonts w:ascii="Times New Roman" w:hAnsi="Times New Roman" w:cs="Times New Roman"/>
          <w:sz w:val="24"/>
          <w:szCs w:val="24"/>
        </w:rPr>
        <w:t xml:space="preserve">have </w:t>
      </w:r>
      <w:r w:rsidR="00461AD1">
        <w:rPr>
          <w:rFonts w:ascii="Times New Roman" w:hAnsi="Times New Roman" w:cs="Times New Roman"/>
          <w:sz w:val="24"/>
          <w:szCs w:val="24"/>
        </w:rPr>
        <w:t xml:space="preserve">been reported </w:t>
      </w:r>
      <w:r w:rsidR="003E0BA2">
        <w:rPr>
          <w:rFonts w:ascii="Times New Roman" w:hAnsi="Times New Roman" w:cs="Times New Roman"/>
          <w:sz w:val="24"/>
          <w:szCs w:val="24"/>
        </w:rPr>
        <w:t xml:space="preserve">widely </w:t>
      </w:r>
      <w:r w:rsidR="00461AD1">
        <w:rPr>
          <w:rFonts w:ascii="Times New Roman" w:hAnsi="Times New Roman" w:cs="Times New Roman"/>
          <w:sz w:val="24"/>
          <w:szCs w:val="24"/>
        </w:rPr>
        <w:t>in many parts of the world,</w:t>
      </w:r>
      <w:r w:rsidR="009520C1">
        <w:rPr>
          <w:rFonts w:ascii="Times New Roman" w:hAnsi="Times New Roman" w:cs="Times New Roman"/>
          <w:sz w:val="24"/>
          <w:szCs w:val="24"/>
        </w:rPr>
        <w:t xml:space="preserve"> including </w:t>
      </w:r>
      <w:r w:rsidR="00461AD1">
        <w:rPr>
          <w:rFonts w:ascii="Times New Roman" w:hAnsi="Times New Roman" w:cs="Times New Roman"/>
          <w:sz w:val="24"/>
          <w:szCs w:val="24"/>
        </w:rPr>
        <w:t xml:space="preserve">war torn States such as </w:t>
      </w:r>
      <w:r w:rsidR="00121ADC">
        <w:rPr>
          <w:rFonts w:ascii="Times New Roman" w:hAnsi="Times New Roman" w:cs="Times New Roman"/>
          <w:sz w:val="24"/>
          <w:szCs w:val="24"/>
        </w:rPr>
        <w:t>Afghanistan,</w:t>
      </w:r>
      <w:r w:rsidR="00121ADC">
        <w:rPr>
          <w:rStyle w:val="FootnoteReference"/>
          <w:rFonts w:ascii="Times New Roman" w:hAnsi="Times New Roman" w:cs="Times New Roman"/>
          <w:sz w:val="24"/>
          <w:szCs w:val="24"/>
        </w:rPr>
        <w:footnoteReference w:id="30"/>
      </w:r>
      <w:r w:rsidR="00121ADC">
        <w:rPr>
          <w:rFonts w:ascii="Times New Roman" w:hAnsi="Times New Roman" w:cs="Times New Roman"/>
          <w:sz w:val="24"/>
          <w:szCs w:val="24"/>
        </w:rPr>
        <w:t xml:space="preserve"> </w:t>
      </w:r>
      <w:r w:rsidR="00461AD1">
        <w:rPr>
          <w:rFonts w:ascii="Times New Roman" w:hAnsi="Times New Roman" w:cs="Times New Roman"/>
          <w:sz w:val="24"/>
          <w:szCs w:val="24"/>
        </w:rPr>
        <w:t>Iraq and Syria</w:t>
      </w:r>
      <w:r w:rsidR="002E3000">
        <w:rPr>
          <w:rFonts w:ascii="Times New Roman" w:hAnsi="Times New Roman" w:cs="Times New Roman"/>
          <w:sz w:val="24"/>
          <w:szCs w:val="24"/>
        </w:rPr>
        <w:t>,</w:t>
      </w:r>
      <w:r w:rsidR="00461AD1">
        <w:rPr>
          <w:rStyle w:val="FootnoteReference"/>
          <w:rFonts w:ascii="Times New Roman" w:hAnsi="Times New Roman" w:cs="Times New Roman"/>
          <w:sz w:val="24"/>
          <w:szCs w:val="24"/>
        </w:rPr>
        <w:footnoteReference w:id="31"/>
      </w:r>
      <w:r w:rsidR="009520C1">
        <w:rPr>
          <w:rFonts w:ascii="Times New Roman" w:hAnsi="Times New Roman" w:cs="Times New Roman"/>
          <w:sz w:val="24"/>
          <w:szCs w:val="24"/>
        </w:rPr>
        <w:t xml:space="preserve"> </w:t>
      </w:r>
      <w:r w:rsidR="00024C93">
        <w:rPr>
          <w:rFonts w:ascii="Times New Roman" w:hAnsi="Times New Roman" w:cs="Times New Roman"/>
          <w:sz w:val="24"/>
          <w:szCs w:val="24"/>
        </w:rPr>
        <w:t xml:space="preserve">and </w:t>
      </w:r>
      <w:r w:rsidR="00B53283">
        <w:rPr>
          <w:rFonts w:ascii="Times New Roman" w:hAnsi="Times New Roman" w:cs="Times New Roman"/>
          <w:sz w:val="24"/>
          <w:szCs w:val="24"/>
        </w:rPr>
        <w:t>the annual profits generated from these acts are estimated to be $1.2-1.6 billion.</w:t>
      </w:r>
      <w:r w:rsidR="00B53283">
        <w:rPr>
          <w:rStyle w:val="FootnoteReference"/>
          <w:rFonts w:ascii="Times New Roman" w:hAnsi="Times New Roman" w:cs="Times New Roman"/>
          <w:sz w:val="24"/>
          <w:szCs w:val="24"/>
        </w:rPr>
        <w:footnoteReference w:id="32"/>
      </w:r>
      <w:r w:rsidR="00B53283">
        <w:rPr>
          <w:rFonts w:ascii="Times New Roman" w:hAnsi="Times New Roman" w:cs="Times New Roman"/>
          <w:sz w:val="24"/>
          <w:szCs w:val="24"/>
        </w:rPr>
        <w:t xml:space="preserve">  </w:t>
      </w:r>
      <w:r w:rsidR="001117D1">
        <w:rPr>
          <w:rFonts w:ascii="Times New Roman" w:hAnsi="Times New Roman" w:cs="Times New Roman"/>
          <w:sz w:val="24"/>
          <w:szCs w:val="24"/>
        </w:rPr>
        <w:t>The i</w:t>
      </w:r>
      <w:r w:rsidR="009520C1">
        <w:rPr>
          <w:rFonts w:ascii="Times New Roman" w:hAnsi="Times New Roman" w:cs="Times New Roman"/>
          <w:sz w:val="24"/>
          <w:szCs w:val="24"/>
        </w:rPr>
        <w:t>nvolvement of organised crim</w:t>
      </w:r>
      <w:r w:rsidR="001117D1">
        <w:rPr>
          <w:rFonts w:ascii="Times New Roman" w:hAnsi="Times New Roman" w:cs="Times New Roman"/>
          <w:sz w:val="24"/>
          <w:szCs w:val="24"/>
        </w:rPr>
        <w:t xml:space="preserve">inal groups has been </w:t>
      </w:r>
      <w:r w:rsidR="001117D1">
        <w:rPr>
          <w:rFonts w:ascii="Times New Roman" w:hAnsi="Times New Roman" w:cs="Times New Roman"/>
          <w:sz w:val="24"/>
          <w:szCs w:val="24"/>
        </w:rPr>
        <w:lastRenderedPageBreak/>
        <w:t>recognised,</w:t>
      </w:r>
      <w:r w:rsidR="009520C1">
        <w:rPr>
          <w:rStyle w:val="FootnoteReference"/>
          <w:rFonts w:ascii="Times New Roman" w:hAnsi="Times New Roman" w:cs="Times New Roman"/>
          <w:sz w:val="24"/>
          <w:szCs w:val="24"/>
        </w:rPr>
        <w:footnoteReference w:id="33"/>
      </w:r>
      <w:r w:rsidR="001117D1">
        <w:rPr>
          <w:rFonts w:ascii="Times New Roman" w:hAnsi="Times New Roman" w:cs="Times New Roman"/>
          <w:sz w:val="24"/>
          <w:szCs w:val="24"/>
        </w:rPr>
        <w:t xml:space="preserve"> and this is one of the crimes where a</w:t>
      </w:r>
      <w:r w:rsidR="007677D9">
        <w:rPr>
          <w:rFonts w:ascii="Times New Roman" w:hAnsi="Times New Roman" w:cs="Times New Roman"/>
          <w:sz w:val="24"/>
          <w:szCs w:val="24"/>
        </w:rPr>
        <w:t>n</w:t>
      </w:r>
      <w:r w:rsidR="001117D1">
        <w:rPr>
          <w:rFonts w:ascii="Times New Roman" w:hAnsi="Times New Roman" w:cs="Times New Roman"/>
          <w:sz w:val="24"/>
          <w:szCs w:val="24"/>
        </w:rPr>
        <w:t xml:space="preserve"> explicit link with terrorism is </w:t>
      </w:r>
      <w:r w:rsidR="00210A44">
        <w:rPr>
          <w:rFonts w:ascii="Times New Roman" w:hAnsi="Times New Roman" w:cs="Times New Roman"/>
          <w:sz w:val="24"/>
          <w:szCs w:val="24"/>
        </w:rPr>
        <w:t>evident</w:t>
      </w:r>
      <w:r w:rsidR="001117D1">
        <w:rPr>
          <w:rFonts w:ascii="Times New Roman" w:hAnsi="Times New Roman" w:cs="Times New Roman"/>
          <w:sz w:val="24"/>
          <w:szCs w:val="24"/>
        </w:rPr>
        <w:t>.</w:t>
      </w:r>
      <w:r w:rsidR="007B0B8E">
        <w:rPr>
          <w:rStyle w:val="FootnoteReference"/>
          <w:rFonts w:ascii="Times New Roman" w:hAnsi="Times New Roman" w:cs="Times New Roman"/>
          <w:sz w:val="24"/>
          <w:szCs w:val="24"/>
        </w:rPr>
        <w:footnoteReference w:id="34"/>
      </w:r>
      <w:r w:rsidR="002E3000">
        <w:rPr>
          <w:rFonts w:ascii="Times New Roman" w:hAnsi="Times New Roman" w:cs="Times New Roman"/>
          <w:sz w:val="24"/>
          <w:szCs w:val="24"/>
        </w:rPr>
        <w:t xml:space="preserve"> </w:t>
      </w:r>
      <w:r w:rsidR="007677D9">
        <w:rPr>
          <w:rFonts w:ascii="Times New Roman" w:hAnsi="Times New Roman" w:cs="Times New Roman"/>
          <w:sz w:val="24"/>
          <w:szCs w:val="24"/>
        </w:rPr>
        <w:t xml:space="preserve"> Article 15 of the ICESCR </w:t>
      </w:r>
      <w:r w:rsidR="0080028E">
        <w:rPr>
          <w:rFonts w:ascii="Times New Roman" w:hAnsi="Times New Roman" w:cs="Times New Roman"/>
          <w:sz w:val="24"/>
          <w:szCs w:val="24"/>
        </w:rPr>
        <w:t>guarantees the right to take part in cultural life</w:t>
      </w:r>
      <w:r w:rsidR="001B5703">
        <w:rPr>
          <w:rFonts w:ascii="Times New Roman" w:hAnsi="Times New Roman" w:cs="Times New Roman"/>
          <w:sz w:val="24"/>
          <w:szCs w:val="24"/>
        </w:rPr>
        <w:t>, and the</w:t>
      </w:r>
      <w:r w:rsidR="00BF6595">
        <w:rPr>
          <w:rFonts w:ascii="Times New Roman" w:hAnsi="Times New Roman" w:cs="Times New Roman"/>
          <w:sz w:val="24"/>
          <w:szCs w:val="24"/>
        </w:rPr>
        <w:t xml:space="preserve"> Special Rapporteur in the Field of Cultural Rights has</w:t>
      </w:r>
      <w:r w:rsidR="001B5703">
        <w:rPr>
          <w:rFonts w:ascii="Times New Roman" w:hAnsi="Times New Roman" w:cs="Times New Roman"/>
          <w:sz w:val="24"/>
          <w:szCs w:val="24"/>
        </w:rPr>
        <w:t xml:space="preserve"> </w:t>
      </w:r>
      <w:r w:rsidR="000D4862">
        <w:rPr>
          <w:rFonts w:ascii="Times New Roman" w:hAnsi="Times New Roman" w:cs="Times New Roman"/>
          <w:sz w:val="24"/>
          <w:szCs w:val="24"/>
        </w:rPr>
        <w:t>stressed</w:t>
      </w:r>
      <w:r w:rsidR="001B5703">
        <w:rPr>
          <w:rFonts w:ascii="Times New Roman" w:hAnsi="Times New Roman" w:cs="Times New Roman"/>
          <w:sz w:val="24"/>
          <w:szCs w:val="24"/>
        </w:rPr>
        <w:t xml:space="preserve"> </w:t>
      </w:r>
      <w:r w:rsidR="00BF6595">
        <w:rPr>
          <w:rFonts w:ascii="Times New Roman" w:hAnsi="Times New Roman" w:cs="Times New Roman"/>
          <w:sz w:val="24"/>
          <w:szCs w:val="24"/>
        </w:rPr>
        <w:t xml:space="preserve">that illicit trafficking in cultural property </w:t>
      </w:r>
      <w:r w:rsidR="005E58CA">
        <w:rPr>
          <w:rFonts w:ascii="Times New Roman" w:hAnsi="Times New Roman" w:cs="Times New Roman"/>
          <w:sz w:val="24"/>
          <w:szCs w:val="24"/>
        </w:rPr>
        <w:t xml:space="preserve">adversely affects </w:t>
      </w:r>
      <w:r w:rsidR="003E0BA2">
        <w:rPr>
          <w:rFonts w:ascii="Times New Roman" w:hAnsi="Times New Roman" w:cs="Times New Roman"/>
          <w:sz w:val="24"/>
          <w:szCs w:val="24"/>
        </w:rPr>
        <w:t>this right</w:t>
      </w:r>
      <w:r w:rsidR="005F7E9D">
        <w:rPr>
          <w:rFonts w:ascii="Times New Roman" w:hAnsi="Times New Roman" w:cs="Times New Roman"/>
          <w:sz w:val="24"/>
          <w:szCs w:val="24"/>
        </w:rPr>
        <w:t>.</w:t>
      </w:r>
      <w:r w:rsidR="00BF6595">
        <w:rPr>
          <w:rStyle w:val="FootnoteReference"/>
          <w:rFonts w:ascii="Times New Roman" w:hAnsi="Times New Roman" w:cs="Times New Roman"/>
          <w:sz w:val="24"/>
          <w:szCs w:val="24"/>
        </w:rPr>
        <w:footnoteReference w:id="35"/>
      </w:r>
      <w:r w:rsidR="00BF6595">
        <w:rPr>
          <w:rFonts w:ascii="Times New Roman" w:hAnsi="Times New Roman" w:cs="Times New Roman"/>
          <w:sz w:val="24"/>
          <w:szCs w:val="24"/>
        </w:rPr>
        <w:t xml:space="preserve"> </w:t>
      </w:r>
      <w:r w:rsidR="008162DB">
        <w:rPr>
          <w:rFonts w:ascii="Times New Roman" w:hAnsi="Times New Roman" w:cs="Times New Roman"/>
          <w:sz w:val="24"/>
          <w:szCs w:val="24"/>
        </w:rPr>
        <w:t xml:space="preserve"> </w:t>
      </w:r>
      <w:r w:rsidR="00C84A88">
        <w:rPr>
          <w:rFonts w:ascii="Times New Roman" w:hAnsi="Times New Roman" w:cs="Times New Roman"/>
          <w:sz w:val="24"/>
          <w:szCs w:val="24"/>
        </w:rPr>
        <w:t xml:space="preserve"> </w:t>
      </w:r>
    </w:p>
    <w:p w:rsidR="00CF2630" w:rsidRDefault="00971DA0" w:rsidP="00A14EE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w:t>
      </w:r>
      <w:r w:rsidR="002E3000">
        <w:rPr>
          <w:rFonts w:ascii="Times New Roman" w:hAnsi="Times New Roman" w:cs="Times New Roman"/>
          <w:sz w:val="24"/>
          <w:szCs w:val="24"/>
        </w:rPr>
        <w:t>ther example</w:t>
      </w:r>
      <w:r w:rsidR="00491D15">
        <w:rPr>
          <w:rFonts w:ascii="Times New Roman" w:hAnsi="Times New Roman" w:cs="Times New Roman"/>
          <w:sz w:val="24"/>
          <w:szCs w:val="24"/>
        </w:rPr>
        <w:t xml:space="preserve"> </w:t>
      </w:r>
      <w:r w:rsidR="002E3000">
        <w:rPr>
          <w:rFonts w:ascii="Times New Roman" w:hAnsi="Times New Roman" w:cs="Times New Roman"/>
          <w:sz w:val="24"/>
          <w:szCs w:val="24"/>
        </w:rPr>
        <w:t>is</w:t>
      </w:r>
      <w:r w:rsidR="00791FB7">
        <w:rPr>
          <w:rFonts w:ascii="Times New Roman" w:hAnsi="Times New Roman" w:cs="Times New Roman"/>
          <w:sz w:val="24"/>
          <w:szCs w:val="24"/>
        </w:rPr>
        <w:t xml:space="preserve"> </w:t>
      </w:r>
      <w:r w:rsidR="00AB4A26">
        <w:rPr>
          <w:rFonts w:ascii="Times New Roman" w:hAnsi="Times New Roman" w:cs="Times New Roman"/>
          <w:sz w:val="24"/>
          <w:szCs w:val="24"/>
        </w:rPr>
        <w:t>trafficking and exploitation of wildlife.</w:t>
      </w:r>
      <w:r w:rsidR="002E3000">
        <w:rPr>
          <w:rFonts w:ascii="Times New Roman" w:hAnsi="Times New Roman" w:cs="Times New Roman"/>
          <w:sz w:val="24"/>
          <w:szCs w:val="24"/>
        </w:rPr>
        <w:t xml:space="preserve">  </w:t>
      </w:r>
      <w:r w:rsidR="00D9206C">
        <w:rPr>
          <w:rFonts w:ascii="Times New Roman" w:hAnsi="Times New Roman" w:cs="Times New Roman"/>
          <w:sz w:val="24"/>
          <w:szCs w:val="24"/>
        </w:rPr>
        <w:t>In many indigenous societies in Asia and Africa, hunting, sale and consumption of wildlife are important part of their economic, soc</w:t>
      </w:r>
      <w:r w:rsidR="006E75BA">
        <w:rPr>
          <w:rFonts w:ascii="Times New Roman" w:hAnsi="Times New Roman" w:cs="Times New Roman"/>
          <w:sz w:val="24"/>
          <w:szCs w:val="24"/>
        </w:rPr>
        <w:t xml:space="preserve">ial and cultural life. </w:t>
      </w:r>
      <w:r w:rsidR="004B6E66">
        <w:rPr>
          <w:rFonts w:ascii="Times New Roman" w:hAnsi="Times New Roman" w:cs="Times New Roman"/>
          <w:sz w:val="24"/>
          <w:szCs w:val="24"/>
        </w:rPr>
        <w:t xml:space="preserve"> </w:t>
      </w:r>
      <w:r w:rsidR="002E3500">
        <w:rPr>
          <w:rFonts w:ascii="Times New Roman" w:hAnsi="Times New Roman" w:cs="Times New Roman"/>
          <w:sz w:val="24"/>
          <w:szCs w:val="24"/>
        </w:rPr>
        <w:t xml:space="preserve"> </w:t>
      </w:r>
      <w:r w:rsidR="00725751" w:rsidRPr="00725751">
        <w:rPr>
          <w:rFonts w:ascii="Times New Roman" w:hAnsi="Times New Roman" w:cs="Times New Roman"/>
          <w:sz w:val="24"/>
          <w:szCs w:val="24"/>
        </w:rPr>
        <w:t xml:space="preserve">The Expert Mechanism on the Rights of Indigenous Peoples has expressed an opinion </w:t>
      </w:r>
      <w:r w:rsidR="00725751">
        <w:rPr>
          <w:rFonts w:ascii="Times New Roman" w:hAnsi="Times New Roman" w:cs="Times New Roman"/>
          <w:sz w:val="24"/>
          <w:szCs w:val="24"/>
        </w:rPr>
        <w:t xml:space="preserve">in this regard </w:t>
      </w:r>
      <w:r w:rsidR="00725751" w:rsidRPr="00725751">
        <w:rPr>
          <w:rFonts w:ascii="Times New Roman" w:hAnsi="Times New Roman" w:cs="Times New Roman"/>
          <w:sz w:val="24"/>
          <w:szCs w:val="24"/>
        </w:rPr>
        <w:t xml:space="preserve">that the term </w:t>
      </w:r>
      <w:r w:rsidR="00420CEC">
        <w:rPr>
          <w:rFonts w:ascii="Times New Roman" w:hAnsi="Times New Roman" w:cs="Times New Roman"/>
          <w:sz w:val="24"/>
          <w:szCs w:val="24"/>
        </w:rPr>
        <w:t>“</w:t>
      </w:r>
      <w:r w:rsidR="00725751" w:rsidRPr="00725751">
        <w:rPr>
          <w:rFonts w:ascii="Times New Roman" w:hAnsi="Times New Roman" w:cs="Times New Roman"/>
          <w:sz w:val="24"/>
          <w:szCs w:val="24"/>
        </w:rPr>
        <w:t>cultural heritage</w:t>
      </w:r>
      <w:r w:rsidR="00420CEC">
        <w:rPr>
          <w:rFonts w:ascii="Times New Roman" w:hAnsi="Times New Roman" w:cs="Times New Roman"/>
          <w:sz w:val="24"/>
          <w:szCs w:val="24"/>
        </w:rPr>
        <w:t>”</w:t>
      </w:r>
      <w:r w:rsidR="00725751" w:rsidRPr="00725751">
        <w:rPr>
          <w:rFonts w:ascii="Times New Roman" w:hAnsi="Times New Roman" w:cs="Times New Roman"/>
          <w:sz w:val="24"/>
          <w:szCs w:val="24"/>
        </w:rPr>
        <w:t xml:space="preserve"> includes activities such as hunting, gathering, fishing</w:t>
      </w:r>
      <w:r>
        <w:rPr>
          <w:rFonts w:ascii="Times New Roman" w:hAnsi="Times New Roman" w:cs="Times New Roman"/>
          <w:sz w:val="24"/>
          <w:szCs w:val="24"/>
        </w:rPr>
        <w:t>,</w:t>
      </w:r>
      <w:r w:rsidR="00725751" w:rsidRPr="00725751">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a</w:t>
      </w:r>
      <w:r w:rsidR="00987C11">
        <w:rPr>
          <w:rFonts w:ascii="Times New Roman" w:hAnsi="Times New Roman" w:cs="Times New Roman"/>
          <w:sz w:val="24"/>
          <w:szCs w:val="24"/>
        </w:rPr>
        <w:t xml:space="preserve"> point also </w:t>
      </w:r>
      <w:r w:rsidR="00420CEC">
        <w:rPr>
          <w:rFonts w:ascii="Times New Roman" w:hAnsi="Times New Roman" w:cs="Times New Roman"/>
          <w:sz w:val="24"/>
          <w:szCs w:val="24"/>
        </w:rPr>
        <w:t>endorsed</w:t>
      </w:r>
      <w:r>
        <w:rPr>
          <w:rFonts w:ascii="Times New Roman" w:hAnsi="Times New Roman" w:cs="Times New Roman"/>
          <w:sz w:val="24"/>
          <w:szCs w:val="24"/>
        </w:rPr>
        <w:t xml:space="preserve"> by other human rights bodies</w:t>
      </w:r>
      <w:r w:rsidR="00A14EE6">
        <w:rPr>
          <w:rFonts w:ascii="Times New Roman" w:hAnsi="Times New Roman" w:cs="Times New Roman"/>
          <w:sz w:val="24"/>
          <w:szCs w:val="24"/>
        </w:rPr>
        <w:t>.</w:t>
      </w:r>
      <w:r w:rsidR="00833382" w:rsidRPr="00833382">
        <w:rPr>
          <w:rStyle w:val="FootnoteReference"/>
          <w:rFonts w:ascii="Times New Roman" w:hAnsi="Times New Roman" w:cs="Times New Roman"/>
          <w:sz w:val="24"/>
          <w:szCs w:val="24"/>
        </w:rPr>
        <w:footnoteReference w:id="37"/>
      </w:r>
      <w:r w:rsidR="00833382">
        <w:t xml:space="preserve">  </w:t>
      </w:r>
      <w:r w:rsidR="00791FB7">
        <w:t xml:space="preserve"> </w:t>
      </w:r>
      <w:r w:rsidR="00791FB7">
        <w:rPr>
          <w:rFonts w:ascii="Times New Roman" w:hAnsi="Times New Roman" w:cs="Times New Roman"/>
          <w:sz w:val="24"/>
          <w:szCs w:val="24"/>
        </w:rPr>
        <w:t xml:space="preserve">In addition to the right to culture, the use of wildlife and natural resources has been linked to the right to </w:t>
      </w:r>
      <w:r w:rsidR="00D13690">
        <w:rPr>
          <w:rFonts w:ascii="Times New Roman" w:hAnsi="Times New Roman" w:cs="Times New Roman"/>
          <w:sz w:val="24"/>
          <w:szCs w:val="24"/>
        </w:rPr>
        <w:t>property.</w:t>
      </w:r>
      <w:r w:rsidR="00D13690">
        <w:rPr>
          <w:rStyle w:val="FootnoteReference"/>
          <w:rFonts w:ascii="Times New Roman" w:hAnsi="Times New Roman" w:cs="Times New Roman"/>
          <w:sz w:val="24"/>
          <w:szCs w:val="24"/>
        </w:rPr>
        <w:footnoteReference w:id="38"/>
      </w:r>
      <w:r w:rsidR="00F25197">
        <w:rPr>
          <w:rFonts w:ascii="Times New Roman" w:hAnsi="Times New Roman" w:cs="Times New Roman"/>
          <w:sz w:val="24"/>
          <w:szCs w:val="24"/>
        </w:rPr>
        <w:t xml:space="preserve"> </w:t>
      </w:r>
      <w:r w:rsidR="002E3500">
        <w:rPr>
          <w:rFonts w:ascii="Times New Roman" w:hAnsi="Times New Roman" w:cs="Times New Roman"/>
          <w:sz w:val="24"/>
          <w:szCs w:val="24"/>
        </w:rPr>
        <w:t xml:space="preserve"> </w:t>
      </w:r>
      <w:r w:rsidR="006901C2">
        <w:rPr>
          <w:rFonts w:ascii="Times New Roman" w:hAnsi="Times New Roman" w:cs="Times New Roman"/>
          <w:sz w:val="24"/>
          <w:szCs w:val="24"/>
        </w:rPr>
        <w:t>Unfortunately,</w:t>
      </w:r>
      <w:r w:rsidR="006E75BA">
        <w:rPr>
          <w:rFonts w:ascii="Times New Roman" w:hAnsi="Times New Roman" w:cs="Times New Roman"/>
          <w:sz w:val="24"/>
          <w:szCs w:val="24"/>
        </w:rPr>
        <w:t xml:space="preserve"> th</w:t>
      </w:r>
      <w:r w:rsidR="00D90CF9">
        <w:rPr>
          <w:rFonts w:ascii="Times New Roman" w:hAnsi="Times New Roman" w:cs="Times New Roman"/>
          <w:sz w:val="24"/>
          <w:szCs w:val="24"/>
        </w:rPr>
        <w:t xml:space="preserve">e exercise of </w:t>
      </w:r>
      <w:r w:rsidR="006901C2">
        <w:rPr>
          <w:rFonts w:ascii="Times New Roman" w:hAnsi="Times New Roman" w:cs="Times New Roman"/>
          <w:sz w:val="24"/>
          <w:szCs w:val="24"/>
        </w:rPr>
        <w:t>these rights</w:t>
      </w:r>
      <w:r w:rsidR="00D90CF9">
        <w:rPr>
          <w:rFonts w:ascii="Times New Roman" w:hAnsi="Times New Roman" w:cs="Times New Roman"/>
          <w:sz w:val="24"/>
          <w:szCs w:val="24"/>
        </w:rPr>
        <w:t xml:space="preserve"> </w:t>
      </w:r>
      <w:r w:rsidR="006E75BA">
        <w:rPr>
          <w:rFonts w:ascii="Times New Roman" w:hAnsi="Times New Roman" w:cs="Times New Roman"/>
          <w:sz w:val="24"/>
          <w:szCs w:val="24"/>
        </w:rPr>
        <w:t>has been overshadowed by the involvement of criminals, some of them more sophisticated criminal groups, who</w:t>
      </w:r>
      <w:r w:rsidR="0057769B">
        <w:rPr>
          <w:rFonts w:ascii="Times New Roman" w:hAnsi="Times New Roman" w:cs="Times New Roman"/>
          <w:sz w:val="24"/>
          <w:szCs w:val="24"/>
        </w:rPr>
        <w:t xml:space="preserve"> </w:t>
      </w:r>
      <w:r w:rsidR="006E75BA">
        <w:rPr>
          <w:rFonts w:ascii="Times New Roman" w:hAnsi="Times New Roman" w:cs="Times New Roman"/>
          <w:sz w:val="24"/>
          <w:szCs w:val="24"/>
        </w:rPr>
        <w:t>facilitat</w:t>
      </w:r>
      <w:r w:rsidR="0057769B">
        <w:rPr>
          <w:rFonts w:ascii="Times New Roman" w:hAnsi="Times New Roman" w:cs="Times New Roman"/>
          <w:sz w:val="24"/>
          <w:szCs w:val="24"/>
        </w:rPr>
        <w:t>e</w:t>
      </w:r>
      <w:r w:rsidR="006E75BA">
        <w:rPr>
          <w:rFonts w:ascii="Times New Roman" w:hAnsi="Times New Roman" w:cs="Times New Roman"/>
          <w:sz w:val="24"/>
          <w:szCs w:val="24"/>
        </w:rPr>
        <w:t xml:space="preserve"> illegal poaching, trafficking and sale of wildlife for the sole purp</w:t>
      </w:r>
      <w:r w:rsidR="001F4870">
        <w:rPr>
          <w:rFonts w:ascii="Times New Roman" w:hAnsi="Times New Roman" w:cs="Times New Roman"/>
          <w:sz w:val="24"/>
          <w:szCs w:val="24"/>
        </w:rPr>
        <w:t>ose of making illegal profits</w:t>
      </w:r>
      <w:r w:rsidR="00FB1C82">
        <w:rPr>
          <w:rStyle w:val="FootnoteReference"/>
          <w:rFonts w:ascii="Times New Roman" w:hAnsi="Times New Roman" w:cs="Times New Roman"/>
          <w:sz w:val="24"/>
          <w:szCs w:val="24"/>
        </w:rPr>
        <w:footnoteReference w:id="39"/>
      </w:r>
      <w:r w:rsidR="00C81DDF">
        <w:rPr>
          <w:rFonts w:ascii="Times New Roman" w:hAnsi="Times New Roman" w:cs="Times New Roman"/>
          <w:sz w:val="24"/>
          <w:szCs w:val="24"/>
        </w:rPr>
        <w:t xml:space="preserve"> </w:t>
      </w:r>
      <w:r w:rsidR="002257DA">
        <w:rPr>
          <w:rFonts w:ascii="Times New Roman" w:hAnsi="Times New Roman" w:cs="Times New Roman"/>
          <w:sz w:val="24"/>
          <w:szCs w:val="24"/>
        </w:rPr>
        <w:t xml:space="preserve">and </w:t>
      </w:r>
      <w:r w:rsidR="00E505DF">
        <w:rPr>
          <w:rFonts w:ascii="Times New Roman" w:hAnsi="Times New Roman" w:cs="Times New Roman"/>
          <w:sz w:val="24"/>
          <w:szCs w:val="24"/>
        </w:rPr>
        <w:t xml:space="preserve">directly </w:t>
      </w:r>
      <w:r w:rsidR="007C3E1C">
        <w:rPr>
          <w:rFonts w:ascii="Times New Roman" w:hAnsi="Times New Roman" w:cs="Times New Roman"/>
          <w:sz w:val="24"/>
          <w:szCs w:val="24"/>
        </w:rPr>
        <w:t>deprive</w:t>
      </w:r>
      <w:r w:rsidR="00E505DF">
        <w:rPr>
          <w:rFonts w:ascii="Times New Roman" w:hAnsi="Times New Roman" w:cs="Times New Roman"/>
          <w:sz w:val="24"/>
          <w:szCs w:val="24"/>
        </w:rPr>
        <w:t xml:space="preserve"> the rights of those who rely on wildlife for their </w:t>
      </w:r>
      <w:r w:rsidR="00E505DF">
        <w:rPr>
          <w:rFonts w:ascii="Times New Roman" w:hAnsi="Times New Roman" w:cs="Times New Roman"/>
          <w:sz w:val="24"/>
          <w:szCs w:val="24"/>
        </w:rPr>
        <w:lastRenderedPageBreak/>
        <w:t xml:space="preserve">survival.  </w:t>
      </w:r>
      <w:r w:rsidR="000619FE">
        <w:rPr>
          <w:rFonts w:ascii="Times New Roman" w:hAnsi="Times New Roman" w:cs="Times New Roman"/>
          <w:sz w:val="24"/>
          <w:szCs w:val="24"/>
        </w:rPr>
        <w:t xml:space="preserve">In order to tackle </w:t>
      </w:r>
      <w:r w:rsidR="00E80EC3">
        <w:rPr>
          <w:rFonts w:ascii="Times New Roman" w:hAnsi="Times New Roman" w:cs="Times New Roman"/>
          <w:sz w:val="24"/>
          <w:szCs w:val="24"/>
        </w:rPr>
        <w:t>exploitation and trafficking of wildlife, S</w:t>
      </w:r>
      <w:r w:rsidR="007C51AB">
        <w:rPr>
          <w:rFonts w:ascii="Times New Roman" w:hAnsi="Times New Roman" w:cs="Times New Roman"/>
          <w:sz w:val="24"/>
          <w:szCs w:val="24"/>
        </w:rPr>
        <w:t>t</w:t>
      </w:r>
      <w:r w:rsidR="001F4870">
        <w:rPr>
          <w:rFonts w:ascii="Times New Roman" w:hAnsi="Times New Roman" w:cs="Times New Roman"/>
          <w:sz w:val="24"/>
          <w:szCs w:val="24"/>
        </w:rPr>
        <w:t xml:space="preserve">ates have </w:t>
      </w:r>
      <w:r w:rsidR="000619FE">
        <w:rPr>
          <w:rFonts w:ascii="Times New Roman" w:hAnsi="Times New Roman" w:cs="Times New Roman"/>
          <w:sz w:val="24"/>
          <w:szCs w:val="24"/>
        </w:rPr>
        <w:t xml:space="preserve">moved towards tighter regulation of wildlife through </w:t>
      </w:r>
      <w:r w:rsidR="00AB4A26">
        <w:rPr>
          <w:rFonts w:ascii="Times New Roman" w:hAnsi="Times New Roman" w:cs="Times New Roman"/>
          <w:sz w:val="24"/>
          <w:szCs w:val="24"/>
        </w:rPr>
        <w:t xml:space="preserve">criminal </w:t>
      </w:r>
      <w:r w:rsidR="001F4870">
        <w:rPr>
          <w:rFonts w:ascii="Times New Roman" w:hAnsi="Times New Roman" w:cs="Times New Roman"/>
          <w:sz w:val="24"/>
          <w:szCs w:val="24"/>
        </w:rPr>
        <w:t>prohibition</w:t>
      </w:r>
      <w:r w:rsidR="00AB4A26">
        <w:rPr>
          <w:rFonts w:ascii="Times New Roman" w:hAnsi="Times New Roman" w:cs="Times New Roman"/>
          <w:sz w:val="24"/>
          <w:szCs w:val="24"/>
        </w:rPr>
        <w:t xml:space="preserve"> and establishment of </w:t>
      </w:r>
      <w:r w:rsidR="00D90CF9">
        <w:rPr>
          <w:rFonts w:ascii="Times New Roman" w:hAnsi="Times New Roman" w:cs="Times New Roman"/>
          <w:sz w:val="24"/>
          <w:szCs w:val="24"/>
        </w:rPr>
        <w:t xml:space="preserve">wildlife or nature </w:t>
      </w:r>
      <w:r w:rsidR="00AB4A26">
        <w:rPr>
          <w:rFonts w:ascii="Times New Roman" w:hAnsi="Times New Roman" w:cs="Times New Roman"/>
          <w:sz w:val="24"/>
          <w:szCs w:val="24"/>
        </w:rPr>
        <w:t>reserves</w:t>
      </w:r>
      <w:r w:rsidR="00B66762">
        <w:rPr>
          <w:rFonts w:ascii="Times New Roman" w:hAnsi="Times New Roman" w:cs="Times New Roman"/>
          <w:sz w:val="24"/>
          <w:szCs w:val="24"/>
        </w:rPr>
        <w:t xml:space="preserve"> among other things.</w:t>
      </w:r>
      <w:r w:rsidR="001F4870">
        <w:rPr>
          <w:rFonts w:ascii="Times New Roman" w:hAnsi="Times New Roman" w:cs="Times New Roman"/>
          <w:sz w:val="24"/>
          <w:szCs w:val="24"/>
        </w:rPr>
        <w:t xml:space="preserve">  </w:t>
      </w:r>
      <w:r w:rsidR="004B6E66">
        <w:rPr>
          <w:rFonts w:ascii="Times New Roman" w:hAnsi="Times New Roman" w:cs="Times New Roman"/>
          <w:sz w:val="24"/>
          <w:szCs w:val="24"/>
        </w:rPr>
        <w:t xml:space="preserve">While </w:t>
      </w:r>
      <w:r w:rsidR="00A563FB">
        <w:rPr>
          <w:rFonts w:ascii="Times New Roman" w:hAnsi="Times New Roman" w:cs="Times New Roman"/>
          <w:sz w:val="24"/>
          <w:szCs w:val="24"/>
        </w:rPr>
        <w:t>no one would dispute</w:t>
      </w:r>
      <w:r w:rsidR="00AB4A26">
        <w:rPr>
          <w:rFonts w:ascii="Times New Roman" w:hAnsi="Times New Roman" w:cs="Times New Roman"/>
          <w:sz w:val="24"/>
          <w:szCs w:val="24"/>
        </w:rPr>
        <w:t xml:space="preserve"> the legitimacy of</w:t>
      </w:r>
      <w:r w:rsidR="003D1334">
        <w:rPr>
          <w:rFonts w:ascii="Times New Roman" w:hAnsi="Times New Roman" w:cs="Times New Roman"/>
          <w:sz w:val="24"/>
          <w:szCs w:val="24"/>
        </w:rPr>
        <w:t xml:space="preserve"> wildlife </w:t>
      </w:r>
      <w:r w:rsidR="00AB4A26">
        <w:rPr>
          <w:rFonts w:ascii="Times New Roman" w:hAnsi="Times New Roman" w:cs="Times New Roman"/>
          <w:sz w:val="24"/>
          <w:szCs w:val="24"/>
        </w:rPr>
        <w:t xml:space="preserve">protection, </w:t>
      </w:r>
      <w:r w:rsidR="004B6E66">
        <w:rPr>
          <w:rFonts w:ascii="Times New Roman" w:hAnsi="Times New Roman" w:cs="Times New Roman"/>
          <w:sz w:val="24"/>
          <w:szCs w:val="24"/>
        </w:rPr>
        <w:t>t</w:t>
      </w:r>
      <w:r w:rsidR="000A1626">
        <w:rPr>
          <w:rFonts w:ascii="Times New Roman" w:hAnsi="Times New Roman" w:cs="Times New Roman"/>
          <w:sz w:val="24"/>
          <w:szCs w:val="24"/>
        </w:rPr>
        <w:t>he rights of loc</w:t>
      </w:r>
      <w:r w:rsidR="005C046F">
        <w:rPr>
          <w:rFonts w:ascii="Times New Roman" w:hAnsi="Times New Roman" w:cs="Times New Roman"/>
          <w:sz w:val="24"/>
          <w:szCs w:val="24"/>
        </w:rPr>
        <w:t>al or indigenous population</w:t>
      </w:r>
      <w:r w:rsidR="00A377B4">
        <w:rPr>
          <w:rFonts w:ascii="Times New Roman" w:hAnsi="Times New Roman" w:cs="Times New Roman"/>
          <w:sz w:val="24"/>
          <w:szCs w:val="24"/>
        </w:rPr>
        <w:t>s</w:t>
      </w:r>
      <w:r w:rsidR="00AB4A26">
        <w:rPr>
          <w:rFonts w:ascii="Times New Roman" w:hAnsi="Times New Roman" w:cs="Times New Roman"/>
          <w:sz w:val="24"/>
          <w:szCs w:val="24"/>
        </w:rPr>
        <w:t xml:space="preserve"> </w:t>
      </w:r>
      <w:r w:rsidR="00A377B4">
        <w:rPr>
          <w:rFonts w:ascii="Times New Roman" w:hAnsi="Times New Roman" w:cs="Times New Roman"/>
          <w:sz w:val="24"/>
          <w:szCs w:val="24"/>
        </w:rPr>
        <w:t>ha</w:t>
      </w:r>
      <w:r w:rsidR="00AB4A26">
        <w:rPr>
          <w:rFonts w:ascii="Times New Roman" w:hAnsi="Times New Roman" w:cs="Times New Roman"/>
          <w:sz w:val="24"/>
          <w:szCs w:val="24"/>
        </w:rPr>
        <w:t>ve</w:t>
      </w:r>
      <w:r w:rsidR="00A377B4">
        <w:rPr>
          <w:rFonts w:ascii="Times New Roman" w:hAnsi="Times New Roman" w:cs="Times New Roman"/>
          <w:sz w:val="24"/>
          <w:szCs w:val="24"/>
        </w:rPr>
        <w:t xml:space="preserve"> </w:t>
      </w:r>
      <w:r w:rsidR="00AB4A26">
        <w:rPr>
          <w:rFonts w:ascii="Times New Roman" w:hAnsi="Times New Roman" w:cs="Times New Roman"/>
          <w:sz w:val="24"/>
          <w:szCs w:val="24"/>
        </w:rPr>
        <w:t xml:space="preserve">simultaneously </w:t>
      </w:r>
      <w:r w:rsidR="00A377B4">
        <w:rPr>
          <w:rFonts w:ascii="Times New Roman" w:hAnsi="Times New Roman" w:cs="Times New Roman"/>
          <w:sz w:val="24"/>
          <w:szCs w:val="24"/>
        </w:rPr>
        <w:t>been</w:t>
      </w:r>
      <w:r w:rsidR="000A1626">
        <w:rPr>
          <w:rFonts w:ascii="Times New Roman" w:hAnsi="Times New Roman" w:cs="Times New Roman"/>
          <w:sz w:val="24"/>
          <w:szCs w:val="24"/>
        </w:rPr>
        <w:t xml:space="preserve"> </w:t>
      </w:r>
      <w:r w:rsidR="007C3E1C">
        <w:rPr>
          <w:rFonts w:ascii="Times New Roman" w:hAnsi="Times New Roman" w:cs="Times New Roman"/>
          <w:sz w:val="24"/>
          <w:szCs w:val="24"/>
        </w:rPr>
        <w:t>violated</w:t>
      </w:r>
      <w:r w:rsidR="00A377B4">
        <w:rPr>
          <w:rFonts w:ascii="Times New Roman" w:hAnsi="Times New Roman" w:cs="Times New Roman"/>
          <w:sz w:val="24"/>
          <w:szCs w:val="24"/>
        </w:rPr>
        <w:t>.</w:t>
      </w:r>
      <w:r w:rsidR="00A563FB">
        <w:rPr>
          <w:rFonts w:ascii="Times New Roman" w:hAnsi="Times New Roman" w:cs="Times New Roman"/>
          <w:sz w:val="24"/>
          <w:szCs w:val="24"/>
        </w:rPr>
        <w:t xml:space="preserve"> </w:t>
      </w:r>
      <w:r w:rsidR="00A377B4">
        <w:rPr>
          <w:rFonts w:ascii="Times New Roman" w:hAnsi="Times New Roman" w:cs="Times New Roman"/>
          <w:sz w:val="24"/>
          <w:szCs w:val="24"/>
        </w:rPr>
        <w:t xml:space="preserve">So for instance, </w:t>
      </w:r>
      <w:r w:rsidR="00491D15">
        <w:rPr>
          <w:rFonts w:ascii="Times New Roman" w:hAnsi="Times New Roman" w:cs="Times New Roman"/>
          <w:sz w:val="24"/>
          <w:szCs w:val="24"/>
        </w:rPr>
        <w:t xml:space="preserve">they </w:t>
      </w:r>
      <w:r w:rsidR="00A377B4">
        <w:rPr>
          <w:rFonts w:ascii="Times New Roman" w:hAnsi="Times New Roman" w:cs="Times New Roman"/>
          <w:sz w:val="24"/>
          <w:szCs w:val="24"/>
        </w:rPr>
        <w:t xml:space="preserve">have been </w:t>
      </w:r>
      <w:r w:rsidR="00CA63B1">
        <w:rPr>
          <w:rFonts w:ascii="Times New Roman" w:hAnsi="Times New Roman" w:cs="Times New Roman"/>
          <w:sz w:val="24"/>
          <w:szCs w:val="24"/>
        </w:rPr>
        <w:t>relocated from their traditional lands and their access to the natural resources ha</w:t>
      </w:r>
      <w:r w:rsidR="007C3E1C">
        <w:rPr>
          <w:rFonts w:ascii="Times New Roman" w:hAnsi="Times New Roman" w:cs="Times New Roman"/>
          <w:sz w:val="24"/>
          <w:szCs w:val="24"/>
        </w:rPr>
        <w:t>s been</w:t>
      </w:r>
      <w:r w:rsidR="00CA63B1">
        <w:rPr>
          <w:rFonts w:ascii="Times New Roman" w:hAnsi="Times New Roman" w:cs="Times New Roman"/>
          <w:sz w:val="24"/>
          <w:szCs w:val="24"/>
        </w:rPr>
        <w:t xml:space="preserve"> severely restricted</w:t>
      </w:r>
      <w:r w:rsidR="00A97D61">
        <w:rPr>
          <w:rFonts w:ascii="Times New Roman" w:hAnsi="Times New Roman" w:cs="Times New Roman"/>
          <w:sz w:val="24"/>
          <w:szCs w:val="24"/>
        </w:rPr>
        <w:t>,</w:t>
      </w:r>
      <w:r w:rsidR="00A377B4">
        <w:rPr>
          <w:rStyle w:val="FootnoteReference"/>
          <w:rFonts w:ascii="Times New Roman" w:hAnsi="Times New Roman" w:cs="Times New Roman"/>
          <w:sz w:val="24"/>
          <w:szCs w:val="24"/>
        </w:rPr>
        <w:footnoteReference w:id="40"/>
      </w:r>
      <w:r w:rsidR="00A97D61">
        <w:rPr>
          <w:rFonts w:ascii="Times New Roman" w:hAnsi="Times New Roman" w:cs="Times New Roman"/>
          <w:sz w:val="24"/>
          <w:szCs w:val="24"/>
        </w:rPr>
        <w:t xml:space="preserve"> </w:t>
      </w:r>
      <w:r w:rsidR="00CF2630">
        <w:rPr>
          <w:rFonts w:ascii="Times New Roman" w:hAnsi="Times New Roman" w:cs="Times New Roman"/>
          <w:sz w:val="24"/>
          <w:szCs w:val="24"/>
        </w:rPr>
        <w:t xml:space="preserve">which in turn have led to other undesirable consequences such as </w:t>
      </w:r>
      <w:r w:rsidR="00CF2630" w:rsidRPr="00CF2630">
        <w:rPr>
          <w:rFonts w:ascii="Times New Roman" w:hAnsi="Times New Roman" w:cs="Times New Roman"/>
          <w:sz w:val="24"/>
          <w:szCs w:val="24"/>
        </w:rPr>
        <w:t>“</w:t>
      </w:r>
      <w:r w:rsidR="00CF2630" w:rsidRPr="00CF2630">
        <w:rPr>
          <w:rFonts w:ascii="Times New Roman" w:eastAsia="Times New Roman" w:hAnsi="Times New Roman" w:cs="Times New Roman"/>
          <w:sz w:val="24"/>
          <w:szCs w:val="24"/>
        </w:rPr>
        <w:t>marginalization, poverty, loss of livelihoods, food insecurity, extrajudicial killings, and disrupted links with spiritual sites and denial of access to justice and remedy.”</w:t>
      </w:r>
      <w:r w:rsidR="00CF2630">
        <w:rPr>
          <w:rStyle w:val="FootnoteReference"/>
          <w:rFonts w:ascii="Times New Roman" w:eastAsia="Times New Roman" w:hAnsi="Times New Roman" w:cs="Times New Roman"/>
          <w:sz w:val="24"/>
          <w:szCs w:val="24"/>
        </w:rPr>
        <w:footnoteReference w:id="41"/>
      </w:r>
      <w:r w:rsidR="00E505DF">
        <w:rPr>
          <w:rFonts w:ascii="Times New Roman" w:eastAsia="Times New Roman" w:hAnsi="Times New Roman" w:cs="Times New Roman"/>
          <w:sz w:val="24"/>
          <w:szCs w:val="24"/>
        </w:rPr>
        <w:t xml:space="preserve">  </w:t>
      </w:r>
    </w:p>
    <w:p w:rsidR="00A80A38" w:rsidRDefault="00612A43" w:rsidP="00C2198F">
      <w:pPr>
        <w:spacing w:line="480" w:lineRule="auto"/>
        <w:ind w:firstLine="720"/>
        <w:rPr>
          <w:rFonts w:ascii="Times New Roman" w:hAnsi="Times New Roman" w:cs="Times New Roman"/>
          <w:sz w:val="24"/>
          <w:szCs w:val="24"/>
        </w:rPr>
      </w:pPr>
      <w:r>
        <w:rPr>
          <w:rFonts w:ascii="Times New Roman" w:hAnsi="Times New Roman" w:cs="Times New Roman"/>
          <w:sz w:val="24"/>
          <w:szCs w:val="24"/>
        </w:rPr>
        <w:t>Finally, a</w:t>
      </w:r>
      <w:r w:rsidR="0022207C">
        <w:rPr>
          <w:rFonts w:ascii="Times New Roman" w:hAnsi="Times New Roman" w:cs="Times New Roman"/>
          <w:sz w:val="24"/>
          <w:szCs w:val="24"/>
        </w:rPr>
        <w:t xml:space="preserve">n overarching issue applicable to various forms of organised crime explored above is corruption.  </w:t>
      </w:r>
      <w:r w:rsidR="00835499">
        <w:rPr>
          <w:rFonts w:ascii="Times New Roman" w:hAnsi="Times New Roman" w:cs="Times New Roman"/>
          <w:sz w:val="24"/>
          <w:szCs w:val="24"/>
        </w:rPr>
        <w:t>P</w:t>
      </w:r>
      <w:r w:rsidR="0022207C">
        <w:rPr>
          <w:rFonts w:ascii="Times New Roman" w:hAnsi="Times New Roman" w:cs="Times New Roman"/>
          <w:sz w:val="24"/>
          <w:szCs w:val="24"/>
        </w:rPr>
        <w:t xml:space="preserve">ubic and law enforcement officials </w:t>
      </w:r>
      <w:r w:rsidR="00835499">
        <w:rPr>
          <w:rFonts w:ascii="Times New Roman" w:hAnsi="Times New Roman" w:cs="Times New Roman"/>
          <w:sz w:val="24"/>
          <w:szCs w:val="24"/>
        </w:rPr>
        <w:t xml:space="preserve">sometimes </w:t>
      </w:r>
      <w:r w:rsidR="0022207C">
        <w:rPr>
          <w:rFonts w:ascii="Times New Roman" w:hAnsi="Times New Roman" w:cs="Times New Roman"/>
          <w:sz w:val="24"/>
          <w:szCs w:val="24"/>
        </w:rPr>
        <w:t>turn a blind eye on organised cr</w:t>
      </w:r>
      <w:r w:rsidR="00226082">
        <w:rPr>
          <w:rFonts w:ascii="Times New Roman" w:hAnsi="Times New Roman" w:cs="Times New Roman"/>
          <w:sz w:val="24"/>
          <w:szCs w:val="24"/>
        </w:rPr>
        <w:t>ime or actively take part in it in exchange for monetary and other benefits.</w:t>
      </w:r>
      <w:r w:rsidR="0022207C">
        <w:rPr>
          <w:rStyle w:val="FootnoteReference"/>
          <w:rFonts w:ascii="Times New Roman" w:hAnsi="Times New Roman" w:cs="Times New Roman"/>
          <w:sz w:val="24"/>
          <w:szCs w:val="24"/>
        </w:rPr>
        <w:footnoteReference w:id="42"/>
      </w:r>
      <w:r w:rsidR="0022207C">
        <w:rPr>
          <w:rFonts w:ascii="Times New Roman" w:hAnsi="Times New Roman" w:cs="Times New Roman"/>
          <w:sz w:val="24"/>
          <w:szCs w:val="24"/>
        </w:rPr>
        <w:t xml:space="preserve">   </w:t>
      </w:r>
      <w:r w:rsidR="00226082">
        <w:rPr>
          <w:rFonts w:ascii="Times New Roman" w:hAnsi="Times New Roman" w:cs="Times New Roman"/>
          <w:sz w:val="24"/>
          <w:szCs w:val="24"/>
        </w:rPr>
        <w:t xml:space="preserve">It has widely been </w:t>
      </w:r>
      <w:r w:rsidR="001239FB">
        <w:rPr>
          <w:rFonts w:ascii="Times New Roman" w:hAnsi="Times New Roman" w:cs="Times New Roman"/>
          <w:sz w:val="24"/>
          <w:szCs w:val="24"/>
        </w:rPr>
        <w:t xml:space="preserve">accepted </w:t>
      </w:r>
      <w:r w:rsidR="00226082">
        <w:rPr>
          <w:rFonts w:ascii="Times New Roman" w:hAnsi="Times New Roman" w:cs="Times New Roman"/>
          <w:sz w:val="24"/>
          <w:szCs w:val="24"/>
        </w:rPr>
        <w:t xml:space="preserve">that corruption has </w:t>
      </w:r>
      <w:r w:rsidR="007E4A80">
        <w:rPr>
          <w:rFonts w:ascii="Times New Roman" w:hAnsi="Times New Roman" w:cs="Times New Roman"/>
          <w:sz w:val="24"/>
          <w:szCs w:val="24"/>
        </w:rPr>
        <w:t xml:space="preserve">an </w:t>
      </w:r>
      <w:r w:rsidR="00226082">
        <w:rPr>
          <w:rFonts w:ascii="Times New Roman" w:hAnsi="Times New Roman" w:cs="Times New Roman"/>
          <w:sz w:val="24"/>
          <w:szCs w:val="24"/>
        </w:rPr>
        <w:t>adverse impact on the enjoyment of human rights.</w:t>
      </w:r>
      <w:r w:rsidR="00226082">
        <w:rPr>
          <w:rStyle w:val="FootnoteReference"/>
          <w:rFonts w:ascii="Times New Roman" w:hAnsi="Times New Roman" w:cs="Times New Roman"/>
          <w:sz w:val="24"/>
          <w:szCs w:val="24"/>
        </w:rPr>
        <w:footnoteReference w:id="43"/>
      </w:r>
      <w:r w:rsidR="00226082">
        <w:rPr>
          <w:rFonts w:ascii="Times New Roman" w:hAnsi="Times New Roman" w:cs="Times New Roman"/>
          <w:sz w:val="24"/>
          <w:szCs w:val="24"/>
        </w:rPr>
        <w:t xml:space="preserve">  In relation to organised crime, unwillingness to investigate</w:t>
      </w:r>
      <w:r w:rsidR="00835499">
        <w:rPr>
          <w:rFonts w:ascii="Times New Roman" w:hAnsi="Times New Roman" w:cs="Times New Roman"/>
          <w:sz w:val="24"/>
          <w:szCs w:val="24"/>
        </w:rPr>
        <w:t xml:space="preserve">, </w:t>
      </w:r>
      <w:r w:rsidR="00226082">
        <w:rPr>
          <w:rFonts w:ascii="Times New Roman" w:hAnsi="Times New Roman" w:cs="Times New Roman"/>
          <w:sz w:val="24"/>
          <w:szCs w:val="24"/>
        </w:rPr>
        <w:t xml:space="preserve">prosecute </w:t>
      </w:r>
      <w:r w:rsidR="00835499">
        <w:rPr>
          <w:rFonts w:ascii="Times New Roman" w:hAnsi="Times New Roman" w:cs="Times New Roman"/>
          <w:sz w:val="24"/>
          <w:szCs w:val="24"/>
        </w:rPr>
        <w:t xml:space="preserve">and punish </w:t>
      </w:r>
      <w:r w:rsidR="007E2808">
        <w:rPr>
          <w:rFonts w:ascii="Times New Roman" w:hAnsi="Times New Roman" w:cs="Times New Roman"/>
          <w:sz w:val="24"/>
          <w:szCs w:val="24"/>
        </w:rPr>
        <w:t xml:space="preserve">as a result of corruption </w:t>
      </w:r>
      <w:r w:rsidR="00226082">
        <w:rPr>
          <w:rFonts w:ascii="Times New Roman" w:hAnsi="Times New Roman" w:cs="Times New Roman"/>
          <w:sz w:val="24"/>
          <w:szCs w:val="24"/>
        </w:rPr>
        <w:t>leads to violation</w:t>
      </w:r>
      <w:r w:rsidR="00835499">
        <w:rPr>
          <w:rFonts w:ascii="Times New Roman" w:hAnsi="Times New Roman" w:cs="Times New Roman"/>
          <w:sz w:val="24"/>
          <w:szCs w:val="24"/>
        </w:rPr>
        <w:t>s</w:t>
      </w:r>
      <w:r w:rsidR="00226082">
        <w:rPr>
          <w:rFonts w:ascii="Times New Roman" w:hAnsi="Times New Roman" w:cs="Times New Roman"/>
          <w:sz w:val="24"/>
          <w:szCs w:val="24"/>
        </w:rPr>
        <w:t xml:space="preserve"> of a range of human rights explored above.  </w:t>
      </w:r>
      <w:r w:rsidR="007E2808">
        <w:rPr>
          <w:rFonts w:ascii="Times New Roman" w:hAnsi="Times New Roman" w:cs="Times New Roman"/>
          <w:sz w:val="24"/>
          <w:szCs w:val="24"/>
        </w:rPr>
        <w:t>At a</w:t>
      </w:r>
      <w:r w:rsidR="00E51157">
        <w:rPr>
          <w:rFonts w:ascii="Times New Roman" w:hAnsi="Times New Roman" w:cs="Times New Roman"/>
          <w:sz w:val="24"/>
          <w:szCs w:val="24"/>
        </w:rPr>
        <w:t xml:space="preserve"> </w:t>
      </w:r>
      <w:r w:rsidR="007E2808">
        <w:rPr>
          <w:rFonts w:ascii="Times New Roman" w:hAnsi="Times New Roman" w:cs="Times New Roman"/>
          <w:sz w:val="24"/>
          <w:szCs w:val="24"/>
        </w:rPr>
        <w:t>wider level, corruption threatens the rule of law and democracy,</w:t>
      </w:r>
      <w:r w:rsidR="007E2808">
        <w:rPr>
          <w:rStyle w:val="FootnoteReference"/>
          <w:rFonts w:ascii="Times New Roman" w:hAnsi="Times New Roman" w:cs="Times New Roman"/>
          <w:sz w:val="24"/>
          <w:szCs w:val="24"/>
        </w:rPr>
        <w:footnoteReference w:id="44"/>
      </w:r>
      <w:r w:rsidR="007E2808">
        <w:rPr>
          <w:rFonts w:ascii="Times New Roman" w:hAnsi="Times New Roman" w:cs="Times New Roman"/>
          <w:sz w:val="24"/>
          <w:szCs w:val="24"/>
        </w:rPr>
        <w:t xml:space="preserve"> which are essential in promoting </w:t>
      </w:r>
      <w:r w:rsidR="003E19FA">
        <w:rPr>
          <w:rFonts w:ascii="Times New Roman" w:hAnsi="Times New Roman" w:cs="Times New Roman"/>
          <w:sz w:val="24"/>
          <w:szCs w:val="24"/>
        </w:rPr>
        <w:t xml:space="preserve">the </w:t>
      </w:r>
      <w:r w:rsidR="007E2808">
        <w:rPr>
          <w:rFonts w:ascii="Times New Roman" w:hAnsi="Times New Roman" w:cs="Times New Roman"/>
          <w:sz w:val="24"/>
          <w:szCs w:val="24"/>
        </w:rPr>
        <w:t xml:space="preserve">full realisation of human rights.  </w:t>
      </w:r>
      <w:r w:rsidR="00AE538C">
        <w:rPr>
          <w:rFonts w:ascii="Times New Roman" w:hAnsi="Times New Roman" w:cs="Times New Roman"/>
          <w:sz w:val="24"/>
          <w:szCs w:val="24"/>
        </w:rPr>
        <w:t xml:space="preserve">In summary, </w:t>
      </w:r>
      <w:proofErr w:type="gramStart"/>
      <w:r w:rsidR="008D3218">
        <w:rPr>
          <w:rFonts w:ascii="Times New Roman" w:hAnsi="Times New Roman" w:cs="Times New Roman"/>
          <w:sz w:val="24"/>
          <w:szCs w:val="24"/>
        </w:rPr>
        <w:t>it is clear</w:t>
      </w:r>
      <w:r w:rsidR="00AE538C">
        <w:rPr>
          <w:rFonts w:ascii="Times New Roman" w:hAnsi="Times New Roman" w:cs="Times New Roman"/>
          <w:sz w:val="24"/>
          <w:szCs w:val="24"/>
        </w:rPr>
        <w:t xml:space="preserve"> that transnational</w:t>
      </w:r>
      <w:proofErr w:type="gramEnd"/>
      <w:r w:rsidR="00AE538C">
        <w:rPr>
          <w:rFonts w:ascii="Times New Roman" w:hAnsi="Times New Roman" w:cs="Times New Roman"/>
          <w:sz w:val="24"/>
          <w:szCs w:val="24"/>
        </w:rPr>
        <w:t xml:space="preserve"> organised crime affects a </w:t>
      </w:r>
      <w:r w:rsidR="00835499">
        <w:rPr>
          <w:rFonts w:ascii="Times New Roman" w:hAnsi="Times New Roman" w:cs="Times New Roman"/>
          <w:sz w:val="24"/>
          <w:szCs w:val="24"/>
        </w:rPr>
        <w:t>number</w:t>
      </w:r>
      <w:r w:rsidR="00AE538C">
        <w:rPr>
          <w:rFonts w:ascii="Times New Roman" w:hAnsi="Times New Roman" w:cs="Times New Roman"/>
          <w:sz w:val="24"/>
          <w:szCs w:val="24"/>
        </w:rPr>
        <w:t xml:space="preserve"> of </w:t>
      </w:r>
      <w:r w:rsidR="00376465">
        <w:rPr>
          <w:rFonts w:ascii="Times New Roman" w:hAnsi="Times New Roman" w:cs="Times New Roman"/>
          <w:sz w:val="24"/>
          <w:szCs w:val="24"/>
        </w:rPr>
        <w:t>human rights</w:t>
      </w:r>
      <w:r w:rsidR="00AE538C">
        <w:rPr>
          <w:rFonts w:ascii="Times New Roman" w:hAnsi="Times New Roman" w:cs="Times New Roman"/>
          <w:sz w:val="24"/>
          <w:szCs w:val="24"/>
        </w:rPr>
        <w:t xml:space="preserve">.  </w:t>
      </w:r>
      <w:r w:rsidR="003A5BBA">
        <w:rPr>
          <w:rFonts w:ascii="Times New Roman" w:hAnsi="Times New Roman" w:cs="Times New Roman"/>
          <w:sz w:val="24"/>
          <w:szCs w:val="24"/>
        </w:rPr>
        <w:t>This means that certain human rights obligations can be established in addition to th</w:t>
      </w:r>
      <w:r w:rsidR="00C2198F">
        <w:rPr>
          <w:rFonts w:ascii="Times New Roman" w:hAnsi="Times New Roman" w:cs="Times New Roman"/>
          <w:sz w:val="24"/>
          <w:szCs w:val="24"/>
        </w:rPr>
        <w:t xml:space="preserve">e ones already </w:t>
      </w:r>
      <w:r w:rsidR="00654872">
        <w:rPr>
          <w:rFonts w:ascii="Times New Roman" w:hAnsi="Times New Roman" w:cs="Times New Roman"/>
          <w:sz w:val="24"/>
          <w:szCs w:val="24"/>
        </w:rPr>
        <w:t xml:space="preserve">articulated </w:t>
      </w:r>
      <w:r w:rsidR="00C2198F">
        <w:rPr>
          <w:rFonts w:ascii="Times New Roman" w:hAnsi="Times New Roman" w:cs="Times New Roman"/>
          <w:sz w:val="24"/>
          <w:szCs w:val="24"/>
        </w:rPr>
        <w:t>by</w:t>
      </w:r>
      <w:r w:rsidR="00B802AA">
        <w:rPr>
          <w:rFonts w:ascii="Times New Roman" w:hAnsi="Times New Roman" w:cs="Times New Roman"/>
          <w:sz w:val="24"/>
          <w:szCs w:val="24"/>
        </w:rPr>
        <w:t xml:space="preserve"> the </w:t>
      </w:r>
      <w:r w:rsidR="00C2198F">
        <w:rPr>
          <w:rFonts w:ascii="Times New Roman" w:hAnsi="Times New Roman" w:cs="Times New Roman"/>
          <w:sz w:val="24"/>
          <w:szCs w:val="24"/>
        </w:rPr>
        <w:t xml:space="preserve">existing </w:t>
      </w:r>
      <w:r w:rsidR="00A80A38">
        <w:rPr>
          <w:rFonts w:ascii="Times New Roman" w:hAnsi="Times New Roman" w:cs="Times New Roman"/>
          <w:sz w:val="24"/>
          <w:szCs w:val="24"/>
        </w:rPr>
        <w:lastRenderedPageBreak/>
        <w:t>instruments</w:t>
      </w:r>
      <w:r w:rsidR="00FF5F09">
        <w:rPr>
          <w:rFonts w:ascii="Times New Roman" w:hAnsi="Times New Roman" w:cs="Times New Roman"/>
          <w:sz w:val="24"/>
          <w:szCs w:val="24"/>
        </w:rPr>
        <w:t>,</w:t>
      </w:r>
      <w:r w:rsidR="00FF5F09">
        <w:rPr>
          <w:rStyle w:val="FootnoteReference"/>
          <w:rFonts w:ascii="Times New Roman" w:hAnsi="Times New Roman" w:cs="Times New Roman"/>
          <w:sz w:val="24"/>
          <w:szCs w:val="24"/>
        </w:rPr>
        <w:footnoteReference w:id="45"/>
      </w:r>
      <w:r w:rsidR="00FF5F09">
        <w:rPr>
          <w:rFonts w:ascii="Times New Roman" w:hAnsi="Times New Roman" w:cs="Times New Roman"/>
          <w:sz w:val="24"/>
          <w:szCs w:val="24"/>
        </w:rPr>
        <w:t xml:space="preserve"> the most important one in modern times being</w:t>
      </w:r>
      <w:r w:rsidR="00DE0115">
        <w:rPr>
          <w:rFonts w:ascii="Times New Roman" w:hAnsi="Times New Roman" w:cs="Times New Roman"/>
          <w:sz w:val="24"/>
          <w:szCs w:val="24"/>
        </w:rPr>
        <w:t xml:space="preserve"> </w:t>
      </w:r>
      <w:r w:rsidR="00612DDA">
        <w:rPr>
          <w:rFonts w:ascii="Times New Roman" w:hAnsi="Times New Roman" w:cs="Times New Roman"/>
          <w:sz w:val="24"/>
          <w:szCs w:val="24"/>
        </w:rPr>
        <w:t xml:space="preserve">the </w:t>
      </w:r>
      <w:r w:rsidR="00DE0115">
        <w:rPr>
          <w:rFonts w:ascii="Times New Roman" w:hAnsi="Times New Roman" w:cs="Times New Roman"/>
          <w:sz w:val="24"/>
          <w:szCs w:val="24"/>
        </w:rPr>
        <w:t>UNTOC</w:t>
      </w:r>
      <w:r w:rsidR="00C2198F">
        <w:rPr>
          <w:rFonts w:ascii="Times New Roman" w:hAnsi="Times New Roman" w:cs="Times New Roman"/>
          <w:sz w:val="24"/>
          <w:szCs w:val="24"/>
        </w:rPr>
        <w:t>.</w:t>
      </w:r>
      <w:r w:rsidR="00A80A38">
        <w:rPr>
          <w:rFonts w:ascii="Times New Roman" w:hAnsi="Times New Roman" w:cs="Times New Roman"/>
          <w:sz w:val="24"/>
          <w:szCs w:val="24"/>
        </w:rPr>
        <w:t xml:space="preserve"> </w:t>
      </w:r>
      <w:r w:rsidR="00C2198F">
        <w:rPr>
          <w:rFonts w:ascii="Times New Roman" w:hAnsi="Times New Roman" w:cs="Times New Roman"/>
          <w:sz w:val="24"/>
          <w:szCs w:val="24"/>
        </w:rPr>
        <w:t xml:space="preserve">This </w:t>
      </w:r>
      <w:r w:rsidR="00F515FE">
        <w:rPr>
          <w:rFonts w:ascii="Times New Roman" w:hAnsi="Times New Roman" w:cs="Times New Roman"/>
          <w:sz w:val="24"/>
          <w:szCs w:val="24"/>
        </w:rPr>
        <w:t xml:space="preserve">article </w:t>
      </w:r>
      <w:r w:rsidR="00C2198F">
        <w:rPr>
          <w:rFonts w:ascii="Times New Roman" w:hAnsi="Times New Roman" w:cs="Times New Roman"/>
          <w:sz w:val="24"/>
          <w:szCs w:val="24"/>
        </w:rPr>
        <w:t xml:space="preserve">now analyses the nature and extent of these obligations with </w:t>
      </w:r>
      <w:proofErr w:type="gramStart"/>
      <w:r w:rsidR="00C2198F">
        <w:rPr>
          <w:rFonts w:ascii="Times New Roman" w:hAnsi="Times New Roman" w:cs="Times New Roman"/>
          <w:sz w:val="24"/>
          <w:szCs w:val="24"/>
        </w:rPr>
        <w:t>particular reference</w:t>
      </w:r>
      <w:proofErr w:type="gramEnd"/>
      <w:r w:rsidR="00C2198F">
        <w:rPr>
          <w:rFonts w:ascii="Times New Roman" w:hAnsi="Times New Roman" w:cs="Times New Roman"/>
          <w:sz w:val="24"/>
          <w:szCs w:val="24"/>
        </w:rPr>
        <w:t xml:space="preserve"> to 1) </w:t>
      </w:r>
      <w:r w:rsidR="00D90BAD">
        <w:rPr>
          <w:rFonts w:ascii="Times New Roman" w:hAnsi="Times New Roman" w:cs="Times New Roman"/>
          <w:sz w:val="24"/>
          <w:szCs w:val="24"/>
        </w:rPr>
        <w:t>investigation</w:t>
      </w:r>
      <w:r w:rsidR="00C24D0B">
        <w:rPr>
          <w:rFonts w:ascii="Times New Roman" w:hAnsi="Times New Roman" w:cs="Times New Roman"/>
          <w:sz w:val="24"/>
          <w:szCs w:val="24"/>
        </w:rPr>
        <w:t>,</w:t>
      </w:r>
      <w:r w:rsidR="00D90BAD">
        <w:rPr>
          <w:rFonts w:ascii="Times New Roman" w:hAnsi="Times New Roman" w:cs="Times New Roman"/>
          <w:sz w:val="24"/>
          <w:szCs w:val="24"/>
        </w:rPr>
        <w:t xml:space="preserve"> </w:t>
      </w:r>
      <w:r w:rsidR="00C2198F">
        <w:rPr>
          <w:rFonts w:ascii="Times New Roman" w:hAnsi="Times New Roman" w:cs="Times New Roman"/>
          <w:sz w:val="24"/>
          <w:szCs w:val="24"/>
        </w:rPr>
        <w:t>prosecution</w:t>
      </w:r>
      <w:r w:rsidR="00C24D0B">
        <w:rPr>
          <w:rFonts w:ascii="Times New Roman" w:hAnsi="Times New Roman" w:cs="Times New Roman"/>
          <w:sz w:val="24"/>
          <w:szCs w:val="24"/>
        </w:rPr>
        <w:t xml:space="preserve"> and punishment</w:t>
      </w:r>
      <w:r w:rsidR="00C2198F">
        <w:rPr>
          <w:rFonts w:ascii="Times New Roman" w:hAnsi="Times New Roman" w:cs="Times New Roman"/>
          <w:sz w:val="24"/>
          <w:szCs w:val="24"/>
        </w:rPr>
        <w:t xml:space="preserve"> of transnational organised crime, 2) protection of victims, and 3) prevention of transnational organised crime.   </w:t>
      </w:r>
    </w:p>
    <w:p w:rsidR="00747430" w:rsidRDefault="00747430" w:rsidP="005751ED">
      <w:pPr>
        <w:spacing w:line="480" w:lineRule="auto"/>
        <w:rPr>
          <w:rFonts w:ascii="Times New Roman" w:hAnsi="Times New Roman" w:cs="Times New Roman"/>
          <w:b/>
          <w:sz w:val="24"/>
          <w:szCs w:val="24"/>
        </w:rPr>
      </w:pPr>
    </w:p>
    <w:p w:rsidR="005751ED" w:rsidRPr="005751ED" w:rsidRDefault="005751ED" w:rsidP="005751ED">
      <w:pPr>
        <w:spacing w:line="480" w:lineRule="auto"/>
        <w:rPr>
          <w:rFonts w:ascii="Times New Roman" w:hAnsi="Times New Roman" w:cs="Times New Roman"/>
          <w:b/>
          <w:sz w:val="24"/>
          <w:szCs w:val="24"/>
        </w:rPr>
      </w:pPr>
      <w:r w:rsidRPr="005751ED">
        <w:rPr>
          <w:rFonts w:ascii="Times New Roman" w:hAnsi="Times New Roman" w:cs="Times New Roman"/>
          <w:b/>
          <w:sz w:val="24"/>
          <w:szCs w:val="24"/>
        </w:rPr>
        <w:t xml:space="preserve">Human Rights Obligations </w:t>
      </w:r>
      <w:r w:rsidR="00CD7541">
        <w:rPr>
          <w:rFonts w:ascii="Times New Roman" w:hAnsi="Times New Roman" w:cs="Times New Roman"/>
          <w:b/>
          <w:sz w:val="24"/>
          <w:szCs w:val="24"/>
        </w:rPr>
        <w:t>in Relation to</w:t>
      </w:r>
      <w:r w:rsidRPr="005751ED">
        <w:rPr>
          <w:rFonts w:ascii="Times New Roman" w:hAnsi="Times New Roman" w:cs="Times New Roman"/>
          <w:b/>
          <w:sz w:val="24"/>
          <w:szCs w:val="24"/>
        </w:rPr>
        <w:t xml:space="preserve"> Transnational Organised Crime </w:t>
      </w:r>
    </w:p>
    <w:p w:rsidR="009B6FDE" w:rsidRPr="005751ED" w:rsidRDefault="009B6FDE" w:rsidP="00A14796">
      <w:pPr>
        <w:spacing w:line="480" w:lineRule="auto"/>
        <w:rPr>
          <w:rFonts w:ascii="Times New Roman" w:hAnsi="Times New Roman" w:cs="Times New Roman"/>
          <w:b/>
          <w:i/>
          <w:sz w:val="24"/>
          <w:szCs w:val="24"/>
        </w:rPr>
      </w:pPr>
      <w:r w:rsidRPr="005751ED">
        <w:rPr>
          <w:rFonts w:ascii="Times New Roman" w:hAnsi="Times New Roman" w:cs="Times New Roman"/>
          <w:b/>
          <w:i/>
          <w:sz w:val="24"/>
          <w:szCs w:val="24"/>
        </w:rPr>
        <w:t>Obligation</w:t>
      </w:r>
      <w:r w:rsidR="00C954D0">
        <w:rPr>
          <w:rFonts w:ascii="Times New Roman" w:hAnsi="Times New Roman" w:cs="Times New Roman"/>
          <w:b/>
          <w:i/>
          <w:sz w:val="24"/>
          <w:szCs w:val="24"/>
        </w:rPr>
        <w:t>s</w:t>
      </w:r>
      <w:r w:rsidRPr="005751ED">
        <w:rPr>
          <w:rFonts w:ascii="Times New Roman" w:hAnsi="Times New Roman" w:cs="Times New Roman"/>
          <w:b/>
          <w:i/>
          <w:sz w:val="24"/>
          <w:szCs w:val="24"/>
        </w:rPr>
        <w:t xml:space="preserve"> to Investigate, Prosecute and Punish Transnational Organised Crime</w:t>
      </w:r>
    </w:p>
    <w:p w:rsidR="00484904" w:rsidRDefault="009F616B" w:rsidP="00A14796">
      <w:pPr>
        <w:spacing w:line="480" w:lineRule="auto"/>
        <w:rPr>
          <w:rFonts w:ascii="Times New Roman" w:hAnsi="Times New Roman" w:cs="Times New Roman"/>
          <w:sz w:val="24"/>
          <w:szCs w:val="24"/>
        </w:rPr>
      </w:pPr>
      <w:r>
        <w:rPr>
          <w:rFonts w:ascii="Times New Roman" w:hAnsi="Times New Roman" w:cs="Times New Roman"/>
          <w:sz w:val="24"/>
          <w:szCs w:val="24"/>
        </w:rPr>
        <w:tab/>
      </w:r>
      <w:r w:rsidR="00B82762">
        <w:rPr>
          <w:rFonts w:ascii="Times New Roman" w:hAnsi="Times New Roman" w:cs="Times New Roman"/>
          <w:sz w:val="24"/>
          <w:szCs w:val="24"/>
        </w:rPr>
        <w:t>In relation to the obligation</w:t>
      </w:r>
      <w:r w:rsidR="00C954D0">
        <w:rPr>
          <w:rFonts w:ascii="Times New Roman" w:hAnsi="Times New Roman" w:cs="Times New Roman"/>
          <w:sz w:val="24"/>
          <w:szCs w:val="24"/>
        </w:rPr>
        <w:t>s</w:t>
      </w:r>
      <w:r w:rsidR="00EE42AC">
        <w:rPr>
          <w:rFonts w:ascii="Times New Roman" w:hAnsi="Times New Roman" w:cs="Times New Roman"/>
          <w:sz w:val="24"/>
          <w:szCs w:val="24"/>
        </w:rPr>
        <w:t xml:space="preserve"> to investigate, prosecute and punish transnational organised crime</w:t>
      </w:r>
      <w:r w:rsidR="00B82762">
        <w:rPr>
          <w:rFonts w:ascii="Times New Roman" w:hAnsi="Times New Roman" w:cs="Times New Roman"/>
          <w:sz w:val="24"/>
          <w:szCs w:val="24"/>
        </w:rPr>
        <w:t xml:space="preserve">, </w:t>
      </w:r>
      <w:r w:rsidR="00D200FE">
        <w:rPr>
          <w:rFonts w:ascii="Times New Roman" w:hAnsi="Times New Roman" w:cs="Times New Roman"/>
          <w:sz w:val="24"/>
          <w:szCs w:val="24"/>
        </w:rPr>
        <w:t>while this</w:t>
      </w:r>
      <w:r w:rsidR="005F4194">
        <w:rPr>
          <w:rFonts w:ascii="Times New Roman" w:hAnsi="Times New Roman" w:cs="Times New Roman"/>
          <w:sz w:val="24"/>
          <w:szCs w:val="24"/>
        </w:rPr>
        <w:t xml:space="preserve"> is </w:t>
      </w:r>
      <w:r w:rsidR="00D07E61">
        <w:rPr>
          <w:rFonts w:ascii="Times New Roman" w:hAnsi="Times New Roman" w:cs="Times New Roman"/>
          <w:sz w:val="24"/>
          <w:szCs w:val="24"/>
        </w:rPr>
        <w:t>already imposed by</w:t>
      </w:r>
      <w:r w:rsidR="003C50A7">
        <w:rPr>
          <w:rFonts w:ascii="Times New Roman" w:hAnsi="Times New Roman" w:cs="Times New Roman"/>
          <w:sz w:val="24"/>
          <w:szCs w:val="24"/>
        </w:rPr>
        <w:t xml:space="preserve"> </w:t>
      </w:r>
      <w:r w:rsidR="00FC5A47">
        <w:rPr>
          <w:rFonts w:ascii="Times New Roman" w:hAnsi="Times New Roman" w:cs="Times New Roman"/>
          <w:sz w:val="24"/>
          <w:szCs w:val="24"/>
        </w:rPr>
        <w:t xml:space="preserve">the </w:t>
      </w:r>
      <w:r w:rsidR="003C50A7">
        <w:rPr>
          <w:rFonts w:ascii="Times New Roman" w:hAnsi="Times New Roman" w:cs="Times New Roman"/>
          <w:sz w:val="24"/>
          <w:szCs w:val="24"/>
        </w:rPr>
        <w:t>UNTOC and other relevant instruments</w:t>
      </w:r>
      <w:r w:rsidR="00D200FE">
        <w:rPr>
          <w:rFonts w:ascii="Times New Roman" w:hAnsi="Times New Roman" w:cs="Times New Roman"/>
          <w:sz w:val="24"/>
          <w:szCs w:val="24"/>
        </w:rPr>
        <w:t xml:space="preserve">, </w:t>
      </w:r>
      <w:r w:rsidR="003C50A7">
        <w:rPr>
          <w:rFonts w:ascii="Times New Roman" w:hAnsi="Times New Roman" w:cs="Times New Roman"/>
          <w:sz w:val="24"/>
          <w:szCs w:val="24"/>
        </w:rPr>
        <w:t xml:space="preserve">it is further strengthened </w:t>
      </w:r>
      <w:r w:rsidR="005F4194">
        <w:rPr>
          <w:rFonts w:ascii="Times New Roman" w:hAnsi="Times New Roman" w:cs="Times New Roman"/>
          <w:sz w:val="24"/>
          <w:szCs w:val="24"/>
        </w:rPr>
        <w:t xml:space="preserve">by international human rights law.  </w:t>
      </w:r>
      <w:r w:rsidR="00EF1D85">
        <w:rPr>
          <w:rFonts w:ascii="Times New Roman" w:hAnsi="Times New Roman" w:cs="Times New Roman"/>
          <w:sz w:val="24"/>
          <w:szCs w:val="24"/>
        </w:rPr>
        <w:t xml:space="preserve"> </w:t>
      </w:r>
      <w:r w:rsidR="00510679">
        <w:rPr>
          <w:rFonts w:ascii="Times New Roman" w:hAnsi="Times New Roman" w:cs="Times New Roman"/>
          <w:sz w:val="24"/>
          <w:szCs w:val="24"/>
        </w:rPr>
        <w:t>It is</w:t>
      </w:r>
      <w:r w:rsidR="00D35750">
        <w:rPr>
          <w:rFonts w:ascii="Times New Roman" w:hAnsi="Times New Roman" w:cs="Times New Roman"/>
          <w:sz w:val="24"/>
          <w:szCs w:val="24"/>
        </w:rPr>
        <w:t xml:space="preserve"> </w:t>
      </w:r>
      <w:r w:rsidR="00825F01">
        <w:rPr>
          <w:rFonts w:ascii="Times New Roman" w:hAnsi="Times New Roman" w:cs="Times New Roman"/>
          <w:sz w:val="24"/>
          <w:szCs w:val="24"/>
        </w:rPr>
        <w:t xml:space="preserve">now </w:t>
      </w:r>
      <w:r w:rsidR="00D35750">
        <w:rPr>
          <w:rFonts w:ascii="Times New Roman" w:hAnsi="Times New Roman" w:cs="Times New Roman"/>
          <w:sz w:val="24"/>
          <w:szCs w:val="24"/>
        </w:rPr>
        <w:t xml:space="preserve">settled </w:t>
      </w:r>
      <w:r w:rsidR="00510679">
        <w:rPr>
          <w:rFonts w:ascii="Times New Roman" w:hAnsi="Times New Roman" w:cs="Times New Roman"/>
          <w:sz w:val="24"/>
          <w:szCs w:val="24"/>
        </w:rPr>
        <w:t xml:space="preserve">that States </w:t>
      </w:r>
      <w:r w:rsidR="00260541">
        <w:rPr>
          <w:rFonts w:ascii="Times New Roman" w:hAnsi="Times New Roman" w:cs="Times New Roman"/>
          <w:sz w:val="24"/>
          <w:szCs w:val="24"/>
        </w:rPr>
        <w:t xml:space="preserve">must </w:t>
      </w:r>
      <w:r w:rsidR="004F13CA">
        <w:rPr>
          <w:rFonts w:ascii="Times New Roman" w:hAnsi="Times New Roman" w:cs="Times New Roman"/>
          <w:sz w:val="24"/>
          <w:szCs w:val="24"/>
        </w:rPr>
        <w:t xml:space="preserve">investigate </w:t>
      </w:r>
      <w:r w:rsidR="00510679">
        <w:rPr>
          <w:rFonts w:ascii="Times New Roman" w:hAnsi="Times New Roman" w:cs="Times New Roman"/>
          <w:sz w:val="24"/>
          <w:szCs w:val="24"/>
        </w:rPr>
        <w:t xml:space="preserve">human rights </w:t>
      </w:r>
      <w:r w:rsidR="006449BA">
        <w:rPr>
          <w:rFonts w:ascii="Times New Roman" w:hAnsi="Times New Roman" w:cs="Times New Roman"/>
          <w:sz w:val="24"/>
          <w:szCs w:val="24"/>
        </w:rPr>
        <w:t>abuses</w:t>
      </w:r>
      <w:r w:rsidR="00510679">
        <w:rPr>
          <w:rFonts w:ascii="Times New Roman" w:hAnsi="Times New Roman" w:cs="Times New Roman"/>
          <w:sz w:val="24"/>
          <w:szCs w:val="24"/>
        </w:rPr>
        <w:t xml:space="preserve"> committed by non-State actors</w:t>
      </w:r>
      <w:r w:rsidR="004A20CF">
        <w:rPr>
          <w:rFonts w:ascii="Times New Roman" w:hAnsi="Times New Roman" w:cs="Times New Roman"/>
          <w:sz w:val="24"/>
          <w:szCs w:val="24"/>
        </w:rPr>
        <w:t xml:space="preserve"> generally</w:t>
      </w:r>
      <w:r w:rsidR="00510679">
        <w:rPr>
          <w:rFonts w:ascii="Times New Roman" w:hAnsi="Times New Roman" w:cs="Times New Roman"/>
          <w:sz w:val="24"/>
          <w:szCs w:val="24"/>
        </w:rPr>
        <w:t>,</w:t>
      </w:r>
      <w:r w:rsidR="00F26D74">
        <w:rPr>
          <w:rStyle w:val="FootnoteReference"/>
          <w:rFonts w:ascii="Times New Roman" w:hAnsi="Times New Roman" w:cs="Times New Roman"/>
          <w:sz w:val="24"/>
          <w:szCs w:val="24"/>
        </w:rPr>
        <w:footnoteReference w:id="46"/>
      </w:r>
      <w:r w:rsidR="00510679">
        <w:rPr>
          <w:rFonts w:ascii="Times New Roman" w:hAnsi="Times New Roman" w:cs="Times New Roman"/>
          <w:sz w:val="24"/>
          <w:szCs w:val="24"/>
        </w:rPr>
        <w:t xml:space="preserve"> </w:t>
      </w:r>
      <w:r w:rsidR="00143D10">
        <w:rPr>
          <w:rFonts w:ascii="Times New Roman" w:hAnsi="Times New Roman" w:cs="Times New Roman"/>
          <w:sz w:val="24"/>
          <w:szCs w:val="24"/>
        </w:rPr>
        <w:t xml:space="preserve">and the present </w:t>
      </w:r>
      <w:r w:rsidR="0019624F">
        <w:rPr>
          <w:rFonts w:ascii="Times New Roman" w:hAnsi="Times New Roman" w:cs="Times New Roman"/>
          <w:sz w:val="24"/>
          <w:szCs w:val="24"/>
        </w:rPr>
        <w:t xml:space="preserve">analysis </w:t>
      </w:r>
      <w:r w:rsidR="00143D10">
        <w:rPr>
          <w:rFonts w:ascii="Times New Roman" w:hAnsi="Times New Roman" w:cs="Times New Roman"/>
          <w:sz w:val="24"/>
          <w:szCs w:val="24"/>
        </w:rPr>
        <w:t>confirms</w:t>
      </w:r>
      <w:r w:rsidR="00C7314B">
        <w:rPr>
          <w:rFonts w:ascii="Times New Roman" w:hAnsi="Times New Roman" w:cs="Times New Roman"/>
          <w:sz w:val="24"/>
          <w:szCs w:val="24"/>
        </w:rPr>
        <w:t xml:space="preserve"> that the same principle </w:t>
      </w:r>
      <w:r w:rsidR="00510679">
        <w:rPr>
          <w:rFonts w:ascii="Times New Roman" w:hAnsi="Times New Roman" w:cs="Times New Roman"/>
          <w:sz w:val="24"/>
          <w:szCs w:val="24"/>
        </w:rPr>
        <w:t xml:space="preserve">equally applies to various forms of organised crime.  </w:t>
      </w:r>
      <w:r w:rsidR="005F4194">
        <w:rPr>
          <w:rFonts w:ascii="Times New Roman" w:hAnsi="Times New Roman" w:cs="Times New Roman"/>
          <w:sz w:val="24"/>
          <w:szCs w:val="24"/>
        </w:rPr>
        <w:t>In relation to human trafficking and slavery/forced labour, for instance, the</w:t>
      </w:r>
      <w:r w:rsidR="007C35B6">
        <w:rPr>
          <w:rFonts w:ascii="Times New Roman" w:hAnsi="Times New Roman" w:cs="Times New Roman"/>
          <w:sz w:val="24"/>
          <w:szCs w:val="24"/>
        </w:rPr>
        <w:t xml:space="preserve"> Eur</w:t>
      </w:r>
      <w:r w:rsidR="00AA23E4">
        <w:rPr>
          <w:rFonts w:ascii="Times New Roman" w:hAnsi="Times New Roman" w:cs="Times New Roman"/>
          <w:sz w:val="24"/>
          <w:szCs w:val="24"/>
        </w:rPr>
        <w:t>opean</w:t>
      </w:r>
      <w:r w:rsidR="00417984">
        <w:rPr>
          <w:rStyle w:val="FootnoteReference"/>
          <w:rFonts w:ascii="Times New Roman" w:hAnsi="Times New Roman" w:cs="Times New Roman"/>
          <w:sz w:val="24"/>
          <w:szCs w:val="24"/>
        </w:rPr>
        <w:footnoteReference w:id="47"/>
      </w:r>
      <w:r w:rsidR="00AA23E4">
        <w:rPr>
          <w:rFonts w:ascii="Times New Roman" w:hAnsi="Times New Roman" w:cs="Times New Roman"/>
          <w:sz w:val="24"/>
          <w:szCs w:val="24"/>
        </w:rPr>
        <w:t xml:space="preserve"> </w:t>
      </w:r>
      <w:r w:rsidR="00417984">
        <w:rPr>
          <w:rFonts w:ascii="Times New Roman" w:hAnsi="Times New Roman" w:cs="Times New Roman"/>
          <w:sz w:val="24"/>
          <w:szCs w:val="24"/>
        </w:rPr>
        <w:t>and Inter-American</w:t>
      </w:r>
      <w:r w:rsidR="005B3468">
        <w:rPr>
          <w:rStyle w:val="FootnoteReference"/>
          <w:rFonts w:ascii="Times New Roman" w:hAnsi="Times New Roman" w:cs="Times New Roman"/>
          <w:sz w:val="24"/>
          <w:szCs w:val="24"/>
        </w:rPr>
        <w:footnoteReference w:id="48"/>
      </w:r>
      <w:r w:rsidR="00417984">
        <w:rPr>
          <w:rFonts w:ascii="Times New Roman" w:hAnsi="Times New Roman" w:cs="Times New Roman"/>
          <w:sz w:val="24"/>
          <w:szCs w:val="24"/>
        </w:rPr>
        <w:t xml:space="preserve"> Court</w:t>
      </w:r>
      <w:r w:rsidR="00647DFB">
        <w:rPr>
          <w:rFonts w:ascii="Times New Roman" w:hAnsi="Times New Roman" w:cs="Times New Roman"/>
          <w:sz w:val="24"/>
          <w:szCs w:val="24"/>
        </w:rPr>
        <w:t>s</w:t>
      </w:r>
      <w:r w:rsidR="00417984">
        <w:rPr>
          <w:rFonts w:ascii="Times New Roman" w:hAnsi="Times New Roman" w:cs="Times New Roman"/>
          <w:sz w:val="24"/>
          <w:szCs w:val="24"/>
        </w:rPr>
        <w:t xml:space="preserve"> of Human Rights </w:t>
      </w:r>
      <w:r w:rsidR="00AA23E4">
        <w:rPr>
          <w:rFonts w:ascii="Times New Roman" w:hAnsi="Times New Roman" w:cs="Times New Roman"/>
          <w:sz w:val="24"/>
          <w:szCs w:val="24"/>
        </w:rPr>
        <w:t>ha</w:t>
      </w:r>
      <w:r w:rsidR="008C3F73">
        <w:rPr>
          <w:rFonts w:ascii="Times New Roman" w:hAnsi="Times New Roman" w:cs="Times New Roman"/>
          <w:sz w:val="24"/>
          <w:szCs w:val="24"/>
        </w:rPr>
        <w:t>ve</w:t>
      </w:r>
      <w:r w:rsidR="00AA23E4">
        <w:rPr>
          <w:rFonts w:ascii="Times New Roman" w:hAnsi="Times New Roman" w:cs="Times New Roman"/>
          <w:sz w:val="24"/>
          <w:szCs w:val="24"/>
        </w:rPr>
        <w:t xml:space="preserve"> </w:t>
      </w:r>
      <w:r w:rsidR="008C3F73">
        <w:rPr>
          <w:rFonts w:ascii="Times New Roman" w:hAnsi="Times New Roman" w:cs="Times New Roman"/>
          <w:sz w:val="24"/>
          <w:szCs w:val="24"/>
        </w:rPr>
        <w:t xml:space="preserve">recognised </w:t>
      </w:r>
      <w:r w:rsidR="007C35B6">
        <w:rPr>
          <w:rFonts w:ascii="Times New Roman" w:hAnsi="Times New Roman" w:cs="Times New Roman"/>
          <w:sz w:val="24"/>
          <w:szCs w:val="24"/>
        </w:rPr>
        <w:t>a positiv</w:t>
      </w:r>
      <w:r w:rsidR="001D3B05">
        <w:rPr>
          <w:rFonts w:ascii="Times New Roman" w:hAnsi="Times New Roman" w:cs="Times New Roman"/>
          <w:sz w:val="24"/>
          <w:szCs w:val="24"/>
        </w:rPr>
        <w:t>e</w:t>
      </w:r>
      <w:r w:rsidR="008C3F73">
        <w:rPr>
          <w:rFonts w:ascii="Times New Roman" w:hAnsi="Times New Roman" w:cs="Times New Roman"/>
          <w:sz w:val="24"/>
          <w:szCs w:val="24"/>
        </w:rPr>
        <w:t xml:space="preserve"> (or due diligence)</w:t>
      </w:r>
      <w:r w:rsidR="001D3B05">
        <w:rPr>
          <w:rFonts w:ascii="Times New Roman" w:hAnsi="Times New Roman" w:cs="Times New Roman"/>
          <w:sz w:val="24"/>
          <w:szCs w:val="24"/>
        </w:rPr>
        <w:t xml:space="preserve"> oblig</w:t>
      </w:r>
      <w:r w:rsidR="00BF4E81">
        <w:rPr>
          <w:rFonts w:ascii="Times New Roman" w:hAnsi="Times New Roman" w:cs="Times New Roman"/>
          <w:sz w:val="24"/>
          <w:szCs w:val="24"/>
        </w:rPr>
        <w:t xml:space="preserve">ation to investigate, </w:t>
      </w:r>
      <w:r w:rsidR="001D3B05">
        <w:rPr>
          <w:rFonts w:ascii="Times New Roman" w:hAnsi="Times New Roman" w:cs="Times New Roman"/>
          <w:sz w:val="24"/>
          <w:szCs w:val="24"/>
        </w:rPr>
        <w:t xml:space="preserve">prosecute </w:t>
      </w:r>
      <w:r w:rsidR="00BF4E81">
        <w:rPr>
          <w:rFonts w:ascii="Times New Roman" w:hAnsi="Times New Roman" w:cs="Times New Roman"/>
          <w:sz w:val="24"/>
          <w:szCs w:val="24"/>
        </w:rPr>
        <w:t xml:space="preserve">and punish </w:t>
      </w:r>
      <w:r w:rsidR="001D3B05">
        <w:rPr>
          <w:rFonts w:ascii="Times New Roman" w:hAnsi="Times New Roman" w:cs="Times New Roman"/>
          <w:sz w:val="24"/>
          <w:szCs w:val="24"/>
        </w:rPr>
        <w:t>these pr</w:t>
      </w:r>
      <w:r w:rsidR="00743134">
        <w:rPr>
          <w:rFonts w:ascii="Times New Roman" w:hAnsi="Times New Roman" w:cs="Times New Roman"/>
          <w:sz w:val="24"/>
          <w:szCs w:val="24"/>
        </w:rPr>
        <w:t>actices, and the Special Rapporteur</w:t>
      </w:r>
      <w:r w:rsidR="00D26C07">
        <w:rPr>
          <w:rFonts w:ascii="Times New Roman" w:hAnsi="Times New Roman" w:cs="Times New Roman"/>
          <w:sz w:val="24"/>
          <w:szCs w:val="24"/>
        </w:rPr>
        <w:t>s</w:t>
      </w:r>
      <w:r w:rsidR="00743134">
        <w:rPr>
          <w:rFonts w:ascii="Times New Roman" w:hAnsi="Times New Roman" w:cs="Times New Roman"/>
          <w:sz w:val="24"/>
          <w:szCs w:val="24"/>
        </w:rPr>
        <w:t xml:space="preserve"> on Trafficking of Human Beings </w:t>
      </w:r>
      <w:r w:rsidR="00D26C07">
        <w:rPr>
          <w:rFonts w:ascii="Times New Roman" w:hAnsi="Times New Roman" w:cs="Times New Roman"/>
          <w:sz w:val="24"/>
          <w:szCs w:val="24"/>
        </w:rPr>
        <w:t xml:space="preserve">and on Contemporary Forms of Slavery </w:t>
      </w:r>
      <w:r w:rsidR="00743134">
        <w:rPr>
          <w:rFonts w:ascii="Times New Roman" w:hAnsi="Times New Roman" w:cs="Times New Roman"/>
          <w:sz w:val="24"/>
          <w:szCs w:val="24"/>
        </w:rPr>
        <w:t>ha</w:t>
      </w:r>
      <w:r w:rsidR="00D26C07">
        <w:rPr>
          <w:rFonts w:ascii="Times New Roman" w:hAnsi="Times New Roman" w:cs="Times New Roman"/>
          <w:sz w:val="24"/>
          <w:szCs w:val="24"/>
        </w:rPr>
        <w:t>ve</w:t>
      </w:r>
      <w:r w:rsidR="00743134">
        <w:rPr>
          <w:rFonts w:ascii="Times New Roman" w:hAnsi="Times New Roman" w:cs="Times New Roman"/>
          <w:sz w:val="24"/>
          <w:szCs w:val="24"/>
        </w:rPr>
        <w:t xml:space="preserve"> </w:t>
      </w:r>
      <w:r w:rsidR="008A4DF5">
        <w:rPr>
          <w:rFonts w:ascii="Times New Roman" w:hAnsi="Times New Roman" w:cs="Times New Roman"/>
          <w:sz w:val="24"/>
          <w:szCs w:val="24"/>
        </w:rPr>
        <w:t xml:space="preserve">similarly </w:t>
      </w:r>
      <w:r w:rsidR="00743134">
        <w:rPr>
          <w:rFonts w:ascii="Times New Roman" w:hAnsi="Times New Roman" w:cs="Times New Roman"/>
          <w:sz w:val="24"/>
          <w:szCs w:val="24"/>
        </w:rPr>
        <w:t xml:space="preserve">asserted that the </w:t>
      </w:r>
      <w:r w:rsidR="009A21E4">
        <w:rPr>
          <w:rFonts w:ascii="Times New Roman" w:hAnsi="Times New Roman" w:cs="Times New Roman"/>
          <w:sz w:val="24"/>
          <w:szCs w:val="24"/>
        </w:rPr>
        <w:t>‘</w:t>
      </w:r>
      <w:r w:rsidR="00743134">
        <w:rPr>
          <w:rFonts w:ascii="Times New Roman" w:hAnsi="Times New Roman" w:cs="Times New Roman"/>
          <w:sz w:val="24"/>
          <w:szCs w:val="24"/>
        </w:rPr>
        <w:t>due diligence</w:t>
      </w:r>
      <w:r w:rsidR="009A21E4">
        <w:rPr>
          <w:rFonts w:ascii="Times New Roman" w:hAnsi="Times New Roman" w:cs="Times New Roman"/>
          <w:sz w:val="24"/>
          <w:szCs w:val="24"/>
        </w:rPr>
        <w:t>’</w:t>
      </w:r>
      <w:r w:rsidR="00743134">
        <w:rPr>
          <w:rFonts w:ascii="Times New Roman" w:hAnsi="Times New Roman" w:cs="Times New Roman"/>
          <w:sz w:val="24"/>
          <w:szCs w:val="24"/>
        </w:rPr>
        <w:t xml:space="preserve"> obligation applies</w:t>
      </w:r>
      <w:r w:rsidR="008A4DF5">
        <w:rPr>
          <w:rFonts w:ascii="Times New Roman" w:hAnsi="Times New Roman" w:cs="Times New Roman"/>
          <w:sz w:val="24"/>
          <w:szCs w:val="24"/>
        </w:rPr>
        <w:t xml:space="preserve">, </w:t>
      </w:r>
      <w:r w:rsidR="0026685F">
        <w:rPr>
          <w:rFonts w:ascii="Times New Roman" w:hAnsi="Times New Roman" w:cs="Times New Roman"/>
          <w:sz w:val="24"/>
          <w:szCs w:val="24"/>
        </w:rPr>
        <w:t xml:space="preserve">among others, </w:t>
      </w:r>
      <w:r w:rsidR="008A4DF5">
        <w:rPr>
          <w:rFonts w:ascii="Times New Roman" w:hAnsi="Times New Roman" w:cs="Times New Roman"/>
          <w:sz w:val="24"/>
          <w:szCs w:val="24"/>
        </w:rPr>
        <w:t>to</w:t>
      </w:r>
      <w:r w:rsidR="00743134">
        <w:rPr>
          <w:rFonts w:ascii="Times New Roman" w:hAnsi="Times New Roman" w:cs="Times New Roman"/>
          <w:sz w:val="24"/>
          <w:szCs w:val="24"/>
        </w:rPr>
        <w:t xml:space="preserve"> investigation </w:t>
      </w:r>
      <w:r w:rsidR="00743134">
        <w:rPr>
          <w:rFonts w:ascii="Times New Roman" w:hAnsi="Times New Roman" w:cs="Times New Roman"/>
          <w:sz w:val="24"/>
          <w:szCs w:val="24"/>
        </w:rPr>
        <w:lastRenderedPageBreak/>
        <w:t>and prosecution.</w:t>
      </w:r>
      <w:r w:rsidR="00743134">
        <w:rPr>
          <w:rStyle w:val="FootnoteReference"/>
          <w:rFonts w:ascii="Times New Roman" w:hAnsi="Times New Roman" w:cs="Times New Roman"/>
          <w:sz w:val="24"/>
          <w:szCs w:val="24"/>
        </w:rPr>
        <w:footnoteReference w:id="49"/>
      </w:r>
      <w:r w:rsidR="00743134">
        <w:rPr>
          <w:rFonts w:ascii="Times New Roman" w:hAnsi="Times New Roman" w:cs="Times New Roman"/>
          <w:sz w:val="24"/>
          <w:szCs w:val="24"/>
        </w:rPr>
        <w:t xml:space="preserve">  </w:t>
      </w:r>
      <w:r w:rsidR="00401491">
        <w:rPr>
          <w:rFonts w:ascii="Times New Roman" w:hAnsi="Times New Roman" w:cs="Times New Roman"/>
          <w:sz w:val="24"/>
          <w:szCs w:val="24"/>
        </w:rPr>
        <w:t xml:space="preserve">  </w:t>
      </w:r>
      <w:r w:rsidR="00C7314B">
        <w:rPr>
          <w:rFonts w:ascii="Times New Roman" w:hAnsi="Times New Roman" w:cs="Times New Roman"/>
          <w:sz w:val="24"/>
          <w:szCs w:val="24"/>
        </w:rPr>
        <w:t>It seems reasonable to assume that the same reasoning would apply to other crimes which violate human rights, and the human rights</w:t>
      </w:r>
      <w:r w:rsidR="00E45F97">
        <w:rPr>
          <w:rFonts w:ascii="Times New Roman" w:hAnsi="Times New Roman" w:cs="Times New Roman"/>
          <w:sz w:val="24"/>
          <w:szCs w:val="24"/>
        </w:rPr>
        <w:t xml:space="preserve"> bodies</w:t>
      </w:r>
      <w:r w:rsidR="00C7314B">
        <w:rPr>
          <w:rFonts w:ascii="Times New Roman" w:hAnsi="Times New Roman" w:cs="Times New Roman"/>
          <w:sz w:val="24"/>
          <w:szCs w:val="24"/>
        </w:rPr>
        <w:t xml:space="preserve"> have </w:t>
      </w:r>
      <w:r w:rsidR="00ED5F3D">
        <w:rPr>
          <w:rFonts w:ascii="Times New Roman" w:hAnsi="Times New Roman" w:cs="Times New Roman"/>
          <w:sz w:val="24"/>
          <w:szCs w:val="24"/>
        </w:rPr>
        <w:t xml:space="preserve">started </w:t>
      </w:r>
      <w:r w:rsidR="00C7314B">
        <w:rPr>
          <w:rFonts w:ascii="Times New Roman" w:hAnsi="Times New Roman" w:cs="Times New Roman"/>
          <w:sz w:val="24"/>
          <w:szCs w:val="24"/>
        </w:rPr>
        <w:t>recognis</w:t>
      </w:r>
      <w:r w:rsidR="00ED5F3D">
        <w:rPr>
          <w:rFonts w:ascii="Times New Roman" w:hAnsi="Times New Roman" w:cs="Times New Roman"/>
          <w:sz w:val="24"/>
          <w:szCs w:val="24"/>
        </w:rPr>
        <w:t>ing</w:t>
      </w:r>
      <w:r w:rsidR="00C7314B">
        <w:rPr>
          <w:rFonts w:ascii="Times New Roman" w:hAnsi="Times New Roman" w:cs="Times New Roman"/>
          <w:sz w:val="24"/>
          <w:szCs w:val="24"/>
        </w:rPr>
        <w:t xml:space="preserve"> </w:t>
      </w:r>
      <w:r w:rsidR="001B59BA">
        <w:rPr>
          <w:rFonts w:ascii="Times New Roman" w:hAnsi="Times New Roman" w:cs="Times New Roman"/>
          <w:sz w:val="24"/>
          <w:szCs w:val="24"/>
        </w:rPr>
        <w:t>this</w:t>
      </w:r>
      <w:r w:rsidR="00C7314B">
        <w:rPr>
          <w:rFonts w:ascii="Times New Roman" w:hAnsi="Times New Roman" w:cs="Times New Roman"/>
          <w:sz w:val="24"/>
          <w:szCs w:val="24"/>
        </w:rPr>
        <w:t xml:space="preserve"> obligation for </w:t>
      </w:r>
      <w:r w:rsidR="00FA3EDA">
        <w:rPr>
          <w:rFonts w:ascii="Times New Roman" w:hAnsi="Times New Roman" w:cs="Times New Roman"/>
          <w:sz w:val="24"/>
          <w:szCs w:val="24"/>
        </w:rPr>
        <w:t>child</w:t>
      </w:r>
      <w:r w:rsidR="00FD4184">
        <w:rPr>
          <w:rFonts w:ascii="Times New Roman" w:hAnsi="Times New Roman" w:cs="Times New Roman"/>
          <w:sz w:val="24"/>
          <w:szCs w:val="24"/>
        </w:rPr>
        <w:t xml:space="preserve"> labour and</w:t>
      </w:r>
      <w:r w:rsidR="00FA3EDA">
        <w:rPr>
          <w:rFonts w:ascii="Times New Roman" w:hAnsi="Times New Roman" w:cs="Times New Roman"/>
          <w:sz w:val="24"/>
          <w:szCs w:val="24"/>
        </w:rPr>
        <w:t xml:space="preserve"> sexual exploitation,</w:t>
      </w:r>
      <w:r w:rsidR="00FA3EDA">
        <w:rPr>
          <w:rStyle w:val="FootnoteReference"/>
          <w:rFonts w:ascii="Times New Roman" w:hAnsi="Times New Roman" w:cs="Times New Roman"/>
          <w:sz w:val="24"/>
          <w:szCs w:val="24"/>
        </w:rPr>
        <w:footnoteReference w:id="50"/>
      </w:r>
      <w:r w:rsidR="00FA3EDA">
        <w:rPr>
          <w:rFonts w:ascii="Times New Roman" w:hAnsi="Times New Roman" w:cs="Times New Roman"/>
          <w:sz w:val="24"/>
          <w:szCs w:val="24"/>
        </w:rPr>
        <w:t xml:space="preserve"> </w:t>
      </w:r>
      <w:r w:rsidR="00BF6595">
        <w:rPr>
          <w:rFonts w:ascii="Times New Roman" w:hAnsi="Times New Roman" w:cs="Times New Roman"/>
          <w:sz w:val="24"/>
          <w:szCs w:val="24"/>
        </w:rPr>
        <w:t xml:space="preserve">trafficking of </w:t>
      </w:r>
      <w:r w:rsidR="00703D5C">
        <w:rPr>
          <w:rFonts w:ascii="Times New Roman" w:hAnsi="Times New Roman" w:cs="Times New Roman"/>
          <w:sz w:val="24"/>
          <w:szCs w:val="24"/>
        </w:rPr>
        <w:t>drug</w:t>
      </w:r>
      <w:r w:rsidR="00703D5C">
        <w:rPr>
          <w:rStyle w:val="FootnoteReference"/>
          <w:rFonts w:ascii="Times New Roman" w:hAnsi="Times New Roman" w:cs="Times New Roman"/>
          <w:sz w:val="24"/>
          <w:szCs w:val="24"/>
        </w:rPr>
        <w:footnoteReference w:id="51"/>
      </w:r>
      <w:r w:rsidR="00703D5C">
        <w:rPr>
          <w:rFonts w:ascii="Times New Roman" w:hAnsi="Times New Roman" w:cs="Times New Roman"/>
          <w:sz w:val="24"/>
          <w:szCs w:val="24"/>
        </w:rPr>
        <w:t xml:space="preserve"> and </w:t>
      </w:r>
      <w:r w:rsidR="00BF6595">
        <w:rPr>
          <w:rFonts w:ascii="Times New Roman" w:hAnsi="Times New Roman" w:cs="Times New Roman"/>
          <w:sz w:val="24"/>
          <w:szCs w:val="24"/>
        </w:rPr>
        <w:t>cultural property,</w:t>
      </w:r>
      <w:r w:rsidR="00BF6595">
        <w:rPr>
          <w:rStyle w:val="FootnoteReference"/>
          <w:rFonts w:ascii="Times New Roman" w:hAnsi="Times New Roman" w:cs="Times New Roman"/>
          <w:sz w:val="24"/>
          <w:szCs w:val="24"/>
        </w:rPr>
        <w:footnoteReference w:id="52"/>
      </w:r>
      <w:r w:rsidR="00745F32">
        <w:rPr>
          <w:rFonts w:ascii="Times New Roman" w:hAnsi="Times New Roman" w:cs="Times New Roman"/>
          <w:sz w:val="24"/>
          <w:szCs w:val="24"/>
        </w:rPr>
        <w:t xml:space="preserve"> </w:t>
      </w:r>
      <w:r w:rsidR="00C923CC">
        <w:rPr>
          <w:rFonts w:ascii="Times New Roman" w:hAnsi="Times New Roman" w:cs="Times New Roman"/>
          <w:sz w:val="24"/>
          <w:szCs w:val="24"/>
        </w:rPr>
        <w:t>tax evasion,</w:t>
      </w:r>
      <w:r w:rsidR="00C923CC">
        <w:rPr>
          <w:rStyle w:val="FootnoteReference"/>
          <w:rFonts w:ascii="Times New Roman" w:hAnsi="Times New Roman" w:cs="Times New Roman"/>
          <w:sz w:val="24"/>
          <w:szCs w:val="24"/>
        </w:rPr>
        <w:footnoteReference w:id="53"/>
      </w:r>
      <w:r w:rsidR="00C923CC">
        <w:rPr>
          <w:rFonts w:ascii="Times New Roman" w:hAnsi="Times New Roman" w:cs="Times New Roman"/>
          <w:sz w:val="24"/>
          <w:szCs w:val="24"/>
        </w:rPr>
        <w:t xml:space="preserve"> </w:t>
      </w:r>
      <w:r w:rsidR="00526739">
        <w:rPr>
          <w:rFonts w:ascii="Times New Roman" w:hAnsi="Times New Roman" w:cs="Times New Roman"/>
          <w:sz w:val="24"/>
          <w:szCs w:val="24"/>
        </w:rPr>
        <w:t>dumping of toxic or hazardous wastes</w:t>
      </w:r>
      <w:r w:rsidR="00526739">
        <w:rPr>
          <w:rStyle w:val="FootnoteReference"/>
          <w:rFonts w:ascii="Times New Roman" w:hAnsi="Times New Roman" w:cs="Times New Roman"/>
          <w:sz w:val="24"/>
          <w:szCs w:val="24"/>
        </w:rPr>
        <w:footnoteReference w:id="54"/>
      </w:r>
      <w:r w:rsidR="00526739">
        <w:rPr>
          <w:rFonts w:ascii="Times New Roman" w:hAnsi="Times New Roman" w:cs="Times New Roman"/>
          <w:sz w:val="24"/>
          <w:szCs w:val="24"/>
        </w:rPr>
        <w:t xml:space="preserve"> </w:t>
      </w:r>
      <w:r w:rsidR="00C923CC">
        <w:rPr>
          <w:rFonts w:ascii="Times New Roman" w:hAnsi="Times New Roman" w:cs="Times New Roman"/>
          <w:sz w:val="24"/>
          <w:szCs w:val="24"/>
        </w:rPr>
        <w:t xml:space="preserve">and </w:t>
      </w:r>
      <w:r w:rsidR="00792864">
        <w:rPr>
          <w:rFonts w:ascii="Times New Roman" w:hAnsi="Times New Roman" w:cs="Times New Roman"/>
          <w:sz w:val="24"/>
          <w:szCs w:val="24"/>
        </w:rPr>
        <w:t>corruption.</w:t>
      </w:r>
      <w:r w:rsidR="00792864">
        <w:rPr>
          <w:rStyle w:val="FootnoteReference"/>
          <w:rFonts w:ascii="Times New Roman" w:hAnsi="Times New Roman" w:cs="Times New Roman"/>
          <w:sz w:val="24"/>
          <w:szCs w:val="24"/>
        </w:rPr>
        <w:footnoteReference w:id="55"/>
      </w:r>
      <w:r w:rsidR="00EB1175">
        <w:rPr>
          <w:rFonts w:ascii="Times New Roman" w:hAnsi="Times New Roman" w:cs="Times New Roman"/>
          <w:sz w:val="24"/>
          <w:szCs w:val="24"/>
        </w:rPr>
        <w:t xml:space="preserve">  </w:t>
      </w:r>
      <w:r w:rsidR="009029DC">
        <w:rPr>
          <w:rFonts w:ascii="Times New Roman" w:hAnsi="Times New Roman" w:cs="Times New Roman"/>
          <w:sz w:val="24"/>
          <w:szCs w:val="24"/>
        </w:rPr>
        <w:t xml:space="preserve"> </w:t>
      </w:r>
    </w:p>
    <w:p w:rsidR="00CC25F2" w:rsidRDefault="008C18D3" w:rsidP="00CC25F2">
      <w:pPr>
        <w:spacing w:line="480" w:lineRule="auto"/>
        <w:rPr>
          <w:rFonts w:ascii="Times New Roman" w:hAnsi="Times New Roman" w:cs="Times New Roman"/>
          <w:sz w:val="24"/>
          <w:szCs w:val="24"/>
        </w:rPr>
      </w:pPr>
      <w:r>
        <w:rPr>
          <w:rFonts w:ascii="Times New Roman" w:hAnsi="Times New Roman" w:cs="Times New Roman"/>
          <w:sz w:val="24"/>
          <w:szCs w:val="24"/>
        </w:rPr>
        <w:tab/>
      </w:r>
      <w:r w:rsidR="00205428">
        <w:rPr>
          <w:rFonts w:ascii="Times New Roman" w:hAnsi="Times New Roman" w:cs="Times New Roman"/>
          <w:sz w:val="24"/>
          <w:szCs w:val="24"/>
        </w:rPr>
        <w:t>However,</w:t>
      </w:r>
      <w:r w:rsidR="00A66131">
        <w:rPr>
          <w:rFonts w:ascii="Times New Roman" w:hAnsi="Times New Roman" w:cs="Times New Roman"/>
          <w:sz w:val="24"/>
          <w:szCs w:val="24"/>
        </w:rPr>
        <w:t xml:space="preserve"> the present analysis also highlights a gap</w:t>
      </w:r>
      <w:r w:rsidR="00D46992">
        <w:rPr>
          <w:rFonts w:ascii="Times New Roman" w:hAnsi="Times New Roman" w:cs="Times New Roman"/>
          <w:sz w:val="24"/>
          <w:szCs w:val="24"/>
        </w:rPr>
        <w:t xml:space="preserve"> in international human rights law</w:t>
      </w:r>
      <w:r w:rsidR="00A66131">
        <w:rPr>
          <w:rFonts w:ascii="Times New Roman" w:hAnsi="Times New Roman" w:cs="Times New Roman"/>
          <w:sz w:val="24"/>
          <w:szCs w:val="24"/>
        </w:rPr>
        <w:t>.</w:t>
      </w:r>
      <w:r w:rsidR="00205428">
        <w:rPr>
          <w:rFonts w:ascii="Times New Roman" w:hAnsi="Times New Roman" w:cs="Times New Roman"/>
          <w:sz w:val="24"/>
          <w:szCs w:val="24"/>
        </w:rPr>
        <w:t xml:space="preserve">  </w:t>
      </w:r>
      <w:r w:rsidR="004F1E54">
        <w:rPr>
          <w:rFonts w:ascii="Times New Roman" w:hAnsi="Times New Roman" w:cs="Times New Roman"/>
          <w:sz w:val="24"/>
          <w:szCs w:val="24"/>
        </w:rPr>
        <w:t>As noted above, t</w:t>
      </w:r>
      <w:r w:rsidR="00672130">
        <w:rPr>
          <w:rFonts w:ascii="Times New Roman" w:hAnsi="Times New Roman" w:cs="Times New Roman"/>
          <w:sz w:val="24"/>
          <w:szCs w:val="24"/>
        </w:rPr>
        <w:t xml:space="preserve">he obligation </w:t>
      </w:r>
      <w:r w:rsidR="0066405F">
        <w:rPr>
          <w:rFonts w:ascii="Times New Roman" w:hAnsi="Times New Roman" w:cs="Times New Roman"/>
          <w:sz w:val="24"/>
          <w:szCs w:val="24"/>
        </w:rPr>
        <w:t xml:space="preserve">to investigate </w:t>
      </w:r>
      <w:r w:rsidR="00672130">
        <w:rPr>
          <w:rFonts w:ascii="Times New Roman" w:hAnsi="Times New Roman" w:cs="Times New Roman"/>
          <w:sz w:val="24"/>
          <w:szCs w:val="24"/>
        </w:rPr>
        <w:t xml:space="preserve">is firmly established in relation to </w:t>
      </w:r>
      <w:r w:rsidR="0077321C">
        <w:rPr>
          <w:rFonts w:ascii="Times New Roman" w:hAnsi="Times New Roman" w:cs="Times New Roman"/>
          <w:sz w:val="24"/>
          <w:szCs w:val="24"/>
        </w:rPr>
        <w:t>civil and political rights</w:t>
      </w:r>
      <w:r w:rsidR="00672130">
        <w:rPr>
          <w:rFonts w:ascii="Times New Roman" w:hAnsi="Times New Roman" w:cs="Times New Roman"/>
          <w:sz w:val="24"/>
          <w:szCs w:val="24"/>
        </w:rPr>
        <w:t xml:space="preserve"> as can be seen by </w:t>
      </w:r>
      <w:r w:rsidR="00A93F52">
        <w:rPr>
          <w:rFonts w:ascii="Times New Roman" w:hAnsi="Times New Roman" w:cs="Times New Roman"/>
          <w:sz w:val="24"/>
          <w:szCs w:val="24"/>
        </w:rPr>
        <w:t xml:space="preserve">the </w:t>
      </w:r>
      <w:r w:rsidR="00672130">
        <w:rPr>
          <w:rFonts w:ascii="Times New Roman" w:hAnsi="Times New Roman" w:cs="Times New Roman"/>
          <w:sz w:val="24"/>
          <w:szCs w:val="24"/>
        </w:rPr>
        <w:t xml:space="preserve">abundance of jurisprudence and opinions by the relevant regional and international human rights bodies.  </w:t>
      </w:r>
      <w:r w:rsidR="00737449">
        <w:rPr>
          <w:rFonts w:ascii="Times New Roman" w:hAnsi="Times New Roman" w:cs="Times New Roman"/>
          <w:sz w:val="24"/>
          <w:szCs w:val="24"/>
        </w:rPr>
        <w:t xml:space="preserve">Although the </w:t>
      </w:r>
      <w:r w:rsidR="00670B61">
        <w:rPr>
          <w:rFonts w:ascii="Times New Roman" w:hAnsi="Times New Roman" w:cs="Times New Roman"/>
          <w:sz w:val="24"/>
          <w:szCs w:val="24"/>
        </w:rPr>
        <w:t xml:space="preserve">same </w:t>
      </w:r>
      <w:r w:rsidR="00737449">
        <w:rPr>
          <w:rFonts w:ascii="Times New Roman" w:hAnsi="Times New Roman" w:cs="Times New Roman"/>
          <w:sz w:val="24"/>
          <w:szCs w:val="24"/>
        </w:rPr>
        <w:t>obligation has been highlighted in relation to the violation</w:t>
      </w:r>
      <w:r w:rsidR="00704A01">
        <w:rPr>
          <w:rFonts w:ascii="Times New Roman" w:hAnsi="Times New Roman" w:cs="Times New Roman"/>
          <w:sz w:val="24"/>
          <w:szCs w:val="24"/>
        </w:rPr>
        <w:t>s</w:t>
      </w:r>
      <w:r w:rsidR="00737449">
        <w:rPr>
          <w:rFonts w:ascii="Times New Roman" w:hAnsi="Times New Roman" w:cs="Times New Roman"/>
          <w:sz w:val="24"/>
          <w:szCs w:val="24"/>
        </w:rPr>
        <w:t xml:space="preserve"> </w:t>
      </w:r>
      <w:r w:rsidR="0077321C">
        <w:rPr>
          <w:rFonts w:ascii="Times New Roman" w:hAnsi="Times New Roman" w:cs="Times New Roman"/>
          <w:sz w:val="24"/>
          <w:szCs w:val="24"/>
        </w:rPr>
        <w:t>of economic, social and cultural rights</w:t>
      </w:r>
      <w:r w:rsidR="007063CC">
        <w:rPr>
          <w:rFonts w:ascii="Times New Roman" w:hAnsi="Times New Roman" w:cs="Times New Roman"/>
          <w:sz w:val="24"/>
          <w:szCs w:val="24"/>
        </w:rPr>
        <w:t xml:space="preserve"> in the past</w:t>
      </w:r>
      <w:r w:rsidR="00704A01">
        <w:rPr>
          <w:rFonts w:ascii="Times New Roman" w:hAnsi="Times New Roman" w:cs="Times New Roman"/>
          <w:sz w:val="24"/>
          <w:szCs w:val="24"/>
        </w:rPr>
        <w:t>,</w:t>
      </w:r>
      <w:r w:rsidR="00AA45CF">
        <w:rPr>
          <w:rStyle w:val="FootnoteReference"/>
          <w:rFonts w:ascii="Times New Roman" w:hAnsi="Times New Roman" w:cs="Times New Roman"/>
          <w:sz w:val="24"/>
          <w:szCs w:val="24"/>
        </w:rPr>
        <w:footnoteReference w:id="56"/>
      </w:r>
      <w:r w:rsidR="00704A01">
        <w:rPr>
          <w:rFonts w:ascii="Times New Roman" w:hAnsi="Times New Roman" w:cs="Times New Roman"/>
          <w:sz w:val="24"/>
          <w:szCs w:val="24"/>
        </w:rPr>
        <w:t xml:space="preserve"> it has not been</w:t>
      </w:r>
      <w:r w:rsidR="00223BF4">
        <w:rPr>
          <w:rFonts w:ascii="Times New Roman" w:hAnsi="Times New Roman" w:cs="Times New Roman"/>
          <w:sz w:val="24"/>
          <w:szCs w:val="24"/>
        </w:rPr>
        <w:t xml:space="preserve"> </w:t>
      </w:r>
      <w:r w:rsidR="00704A01">
        <w:rPr>
          <w:rFonts w:ascii="Times New Roman" w:hAnsi="Times New Roman" w:cs="Times New Roman"/>
          <w:sz w:val="24"/>
          <w:szCs w:val="24"/>
        </w:rPr>
        <w:t xml:space="preserve">articulated </w:t>
      </w:r>
      <w:r w:rsidR="00223BF4">
        <w:rPr>
          <w:rFonts w:ascii="Times New Roman" w:hAnsi="Times New Roman" w:cs="Times New Roman"/>
          <w:sz w:val="24"/>
          <w:szCs w:val="24"/>
        </w:rPr>
        <w:t>rigorously</w:t>
      </w:r>
      <w:r w:rsidR="00205428">
        <w:rPr>
          <w:rFonts w:ascii="Times New Roman" w:hAnsi="Times New Roman" w:cs="Times New Roman"/>
          <w:sz w:val="24"/>
          <w:szCs w:val="24"/>
        </w:rPr>
        <w:t xml:space="preserve"> </w:t>
      </w:r>
      <w:r w:rsidR="0077321C">
        <w:rPr>
          <w:rFonts w:ascii="Times New Roman" w:hAnsi="Times New Roman" w:cs="Times New Roman"/>
          <w:sz w:val="24"/>
          <w:szCs w:val="24"/>
        </w:rPr>
        <w:t xml:space="preserve">in practice </w:t>
      </w:r>
      <w:r w:rsidR="00223BF4">
        <w:rPr>
          <w:rFonts w:ascii="Times New Roman" w:hAnsi="Times New Roman" w:cs="Times New Roman"/>
          <w:sz w:val="24"/>
          <w:szCs w:val="24"/>
        </w:rPr>
        <w:t xml:space="preserve">compared </w:t>
      </w:r>
      <w:r w:rsidR="00704A01">
        <w:rPr>
          <w:rFonts w:ascii="Times New Roman" w:hAnsi="Times New Roman" w:cs="Times New Roman"/>
          <w:sz w:val="24"/>
          <w:szCs w:val="24"/>
        </w:rPr>
        <w:t>civil and political rights</w:t>
      </w:r>
      <w:r w:rsidR="00670B61">
        <w:rPr>
          <w:rFonts w:ascii="Times New Roman" w:hAnsi="Times New Roman" w:cs="Times New Roman"/>
          <w:sz w:val="24"/>
          <w:szCs w:val="24"/>
        </w:rPr>
        <w:t xml:space="preserve">.  </w:t>
      </w:r>
      <w:r w:rsidR="00E520A0">
        <w:rPr>
          <w:rFonts w:ascii="Times New Roman" w:hAnsi="Times New Roman" w:cs="Times New Roman"/>
          <w:sz w:val="24"/>
          <w:szCs w:val="24"/>
        </w:rPr>
        <w:t xml:space="preserve"> </w:t>
      </w:r>
      <w:r w:rsidR="00C13439">
        <w:rPr>
          <w:rFonts w:ascii="Times New Roman" w:hAnsi="Times New Roman" w:cs="Times New Roman"/>
          <w:sz w:val="24"/>
          <w:szCs w:val="24"/>
        </w:rPr>
        <w:t xml:space="preserve">In this regard, </w:t>
      </w:r>
      <w:proofErr w:type="gramStart"/>
      <w:r w:rsidR="00C13439">
        <w:rPr>
          <w:rFonts w:ascii="Times New Roman" w:hAnsi="Times New Roman" w:cs="Times New Roman"/>
          <w:sz w:val="24"/>
          <w:szCs w:val="24"/>
        </w:rPr>
        <w:t>the majority of</w:t>
      </w:r>
      <w:proofErr w:type="gramEnd"/>
      <w:r w:rsidR="00C13439">
        <w:rPr>
          <w:rFonts w:ascii="Times New Roman" w:hAnsi="Times New Roman" w:cs="Times New Roman"/>
          <w:sz w:val="24"/>
          <w:szCs w:val="24"/>
        </w:rPr>
        <w:t xml:space="preserve"> General Comments issued by the Committee on Economic Social and Cultural Right,</w:t>
      </w:r>
      <w:r w:rsidR="00C13439">
        <w:rPr>
          <w:rStyle w:val="FootnoteReference"/>
          <w:rFonts w:ascii="Times New Roman" w:hAnsi="Times New Roman" w:cs="Times New Roman"/>
          <w:sz w:val="24"/>
          <w:szCs w:val="24"/>
        </w:rPr>
        <w:footnoteReference w:id="57"/>
      </w:r>
      <w:r w:rsidR="00C13439">
        <w:rPr>
          <w:rFonts w:ascii="Times New Roman" w:hAnsi="Times New Roman" w:cs="Times New Roman"/>
          <w:sz w:val="24"/>
          <w:szCs w:val="24"/>
        </w:rPr>
        <w:t xml:space="preserve"> as well as reports published by the Special Procedures dealing with </w:t>
      </w:r>
      <w:r w:rsidR="00C13439">
        <w:rPr>
          <w:rFonts w:ascii="Times New Roman" w:hAnsi="Times New Roman" w:cs="Times New Roman"/>
          <w:sz w:val="24"/>
          <w:szCs w:val="24"/>
        </w:rPr>
        <w:lastRenderedPageBreak/>
        <w:t>economic, social and cultural rights</w:t>
      </w:r>
      <w:r w:rsidR="005D7115">
        <w:rPr>
          <w:rStyle w:val="FootnoteReference"/>
          <w:rFonts w:ascii="Times New Roman" w:hAnsi="Times New Roman" w:cs="Times New Roman"/>
          <w:sz w:val="24"/>
          <w:szCs w:val="24"/>
        </w:rPr>
        <w:footnoteReference w:id="58"/>
      </w:r>
      <w:r w:rsidR="00C13439">
        <w:rPr>
          <w:rFonts w:ascii="Times New Roman" w:hAnsi="Times New Roman" w:cs="Times New Roman"/>
          <w:sz w:val="24"/>
          <w:szCs w:val="24"/>
        </w:rPr>
        <w:t xml:space="preserve"> do not </w:t>
      </w:r>
      <w:r w:rsidR="007000B6">
        <w:rPr>
          <w:rFonts w:ascii="Times New Roman" w:hAnsi="Times New Roman" w:cs="Times New Roman"/>
          <w:sz w:val="24"/>
          <w:szCs w:val="24"/>
        </w:rPr>
        <w:t xml:space="preserve">comment or </w:t>
      </w:r>
      <w:r w:rsidR="00C13439">
        <w:rPr>
          <w:rFonts w:ascii="Times New Roman" w:hAnsi="Times New Roman" w:cs="Times New Roman"/>
          <w:sz w:val="24"/>
          <w:szCs w:val="24"/>
        </w:rPr>
        <w:t>elaborate on th</w:t>
      </w:r>
      <w:r w:rsidR="00670B61">
        <w:rPr>
          <w:rFonts w:ascii="Times New Roman" w:hAnsi="Times New Roman" w:cs="Times New Roman"/>
          <w:sz w:val="24"/>
          <w:szCs w:val="24"/>
        </w:rPr>
        <w:t xml:space="preserve">e </w:t>
      </w:r>
      <w:r w:rsidR="00C13439">
        <w:rPr>
          <w:rFonts w:ascii="Times New Roman" w:hAnsi="Times New Roman" w:cs="Times New Roman"/>
          <w:sz w:val="24"/>
          <w:szCs w:val="24"/>
        </w:rPr>
        <w:t>obligation</w:t>
      </w:r>
      <w:r w:rsidR="00670B61">
        <w:rPr>
          <w:rFonts w:ascii="Times New Roman" w:hAnsi="Times New Roman" w:cs="Times New Roman"/>
          <w:sz w:val="24"/>
          <w:szCs w:val="24"/>
        </w:rPr>
        <w:t xml:space="preserve"> to investigate violations</w:t>
      </w:r>
      <w:r w:rsidR="00E33E48">
        <w:rPr>
          <w:rFonts w:ascii="Times New Roman" w:hAnsi="Times New Roman" w:cs="Times New Roman"/>
          <w:sz w:val="24"/>
          <w:szCs w:val="24"/>
        </w:rPr>
        <w:t xml:space="preserve"> of these rights</w:t>
      </w:r>
      <w:r w:rsidR="00C13439">
        <w:rPr>
          <w:rFonts w:ascii="Times New Roman" w:hAnsi="Times New Roman" w:cs="Times New Roman"/>
          <w:sz w:val="24"/>
          <w:szCs w:val="24"/>
        </w:rPr>
        <w:t xml:space="preserve">.  </w:t>
      </w:r>
      <w:r w:rsidR="0038071D">
        <w:rPr>
          <w:rFonts w:ascii="Times New Roman" w:hAnsi="Times New Roman" w:cs="Times New Roman"/>
          <w:sz w:val="24"/>
          <w:szCs w:val="24"/>
        </w:rPr>
        <w:t>T</w:t>
      </w:r>
      <w:r w:rsidR="00DF052E">
        <w:rPr>
          <w:rFonts w:ascii="Times New Roman" w:hAnsi="Times New Roman" w:cs="Times New Roman"/>
          <w:sz w:val="24"/>
          <w:szCs w:val="24"/>
        </w:rPr>
        <w:t>his</w:t>
      </w:r>
      <w:r w:rsidR="003C6293">
        <w:rPr>
          <w:rFonts w:ascii="Times New Roman" w:hAnsi="Times New Roman" w:cs="Times New Roman"/>
          <w:sz w:val="24"/>
          <w:szCs w:val="24"/>
        </w:rPr>
        <w:t xml:space="preserve"> discrepancy </w:t>
      </w:r>
      <w:r w:rsidR="0038071D">
        <w:rPr>
          <w:rFonts w:ascii="Times New Roman" w:hAnsi="Times New Roman" w:cs="Times New Roman"/>
          <w:sz w:val="24"/>
          <w:szCs w:val="24"/>
        </w:rPr>
        <w:t>is difficult to</w:t>
      </w:r>
      <w:r w:rsidR="00DF052E">
        <w:rPr>
          <w:rFonts w:ascii="Times New Roman" w:hAnsi="Times New Roman" w:cs="Times New Roman"/>
          <w:sz w:val="24"/>
          <w:szCs w:val="24"/>
        </w:rPr>
        <w:t xml:space="preserve"> justif</w:t>
      </w:r>
      <w:r w:rsidR="0038071D">
        <w:rPr>
          <w:rFonts w:ascii="Times New Roman" w:hAnsi="Times New Roman" w:cs="Times New Roman"/>
          <w:sz w:val="24"/>
          <w:szCs w:val="24"/>
        </w:rPr>
        <w:t>y</w:t>
      </w:r>
      <w:r w:rsidR="00B335CE">
        <w:rPr>
          <w:rFonts w:ascii="Times New Roman" w:hAnsi="Times New Roman" w:cs="Times New Roman"/>
          <w:sz w:val="24"/>
          <w:szCs w:val="24"/>
        </w:rPr>
        <w:t xml:space="preserve"> </w:t>
      </w:r>
      <w:r w:rsidR="0038071D">
        <w:rPr>
          <w:rFonts w:ascii="Times New Roman" w:hAnsi="Times New Roman" w:cs="Times New Roman"/>
          <w:sz w:val="24"/>
          <w:szCs w:val="24"/>
        </w:rPr>
        <w:t xml:space="preserve">as </w:t>
      </w:r>
      <w:r w:rsidR="00A24099">
        <w:rPr>
          <w:rFonts w:ascii="Times New Roman" w:hAnsi="Times New Roman" w:cs="Times New Roman"/>
          <w:sz w:val="24"/>
          <w:szCs w:val="24"/>
        </w:rPr>
        <w:t xml:space="preserve">the </w:t>
      </w:r>
      <w:r w:rsidR="00800B7E">
        <w:rPr>
          <w:rFonts w:ascii="Times New Roman" w:hAnsi="Times New Roman" w:cs="Times New Roman"/>
          <w:sz w:val="24"/>
          <w:szCs w:val="24"/>
        </w:rPr>
        <w:t>resources and efforts needed to investigat</w:t>
      </w:r>
      <w:r w:rsidR="00CC25F2">
        <w:rPr>
          <w:rFonts w:ascii="Times New Roman" w:hAnsi="Times New Roman" w:cs="Times New Roman"/>
          <w:sz w:val="24"/>
          <w:szCs w:val="24"/>
        </w:rPr>
        <w:t>e</w:t>
      </w:r>
      <w:r w:rsidR="00EB668E">
        <w:rPr>
          <w:rFonts w:ascii="Times New Roman" w:hAnsi="Times New Roman" w:cs="Times New Roman"/>
          <w:sz w:val="24"/>
          <w:szCs w:val="24"/>
        </w:rPr>
        <w:t xml:space="preserve"> </w:t>
      </w:r>
      <w:r w:rsidR="00800B7E">
        <w:rPr>
          <w:rFonts w:ascii="Times New Roman" w:hAnsi="Times New Roman" w:cs="Times New Roman"/>
          <w:sz w:val="24"/>
          <w:szCs w:val="24"/>
        </w:rPr>
        <w:t>violation</w:t>
      </w:r>
      <w:r w:rsidR="00A24099">
        <w:rPr>
          <w:rFonts w:ascii="Times New Roman" w:hAnsi="Times New Roman" w:cs="Times New Roman"/>
          <w:sz w:val="24"/>
          <w:szCs w:val="24"/>
        </w:rPr>
        <w:t>s</w:t>
      </w:r>
      <w:r w:rsidR="00800B7E">
        <w:rPr>
          <w:rFonts w:ascii="Times New Roman" w:hAnsi="Times New Roman" w:cs="Times New Roman"/>
          <w:sz w:val="24"/>
          <w:szCs w:val="24"/>
        </w:rPr>
        <w:t xml:space="preserve"> are </w:t>
      </w:r>
      <w:r w:rsidR="00A24099">
        <w:rPr>
          <w:rFonts w:ascii="Times New Roman" w:hAnsi="Times New Roman" w:cs="Times New Roman"/>
          <w:sz w:val="24"/>
          <w:szCs w:val="24"/>
        </w:rPr>
        <w:t xml:space="preserve">arguably </w:t>
      </w:r>
      <w:r w:rsidR="00800B7E">
        <w:rPr>
          <w:rFonts w:ascii="Times New Roman" w:hAnsi="Times New Roman" w:cs="Times New Roman"/>
          <w:sz w:val="24"/>
          <w:szCs w:val="24"/>
        </w:rPr>
        <w:t>the same for all human rights</w:t>
      </w:r>
      <w:r w:rsidR="0038071D">
        <w:rPr>
          <w:rFonts w:ascii="Times New Roman" w:hAnsi="Times New Roman" w:cs="Times New Roman"/>
          <w:sz w:val="24"/>
          <w:szCs w:val="24"/>
        </w:rPr>
        <w:t>,</w:t>
      </w:r>
      <w:r w:rsidR="00A474FE">
        <w:rPr>
          <w:rFonts w:ascii="Times New Roman" w:hAnsi="Times New Roman" w:cs="Times New Roman"/>
          <w:sz w:val="24"/>
          <w:szCs w:val="24"/>
        </w:rPr>
        <w:t xml:space="preserve"> and there </w:t>
      </w:r>
      <w:r w:rsidR="0038071D">
        <w:rPr>
          <w:rFonts w:ascii="Times New Roman" w:hAnsi="Times New Roman" w:cs="Times New Roman"/>
          <w:sz w:val="24"/>
          <w:szCs w:val="24"/>
        </w:rPr>
        <w:t>does not seem to be any</w:t>
      </w:r>
      <w:r w:rsidR="00A474FE">
        <w:rPr>
          <w:rFonts w:ascii="Times New Roman" w:hAnsi="Times New Roman" w:cs="Times New Roman"/>
          <w:sz w:val="24"/>
          <w:szCs w:val="24"/>
        </w:rPr>
        <w:t xml:space="preserve"> good reason why economic, social and cultural rights should be treated differently</w:t>
      </w:r>
      <w:r w:rsidR="00BE6BDC">
        <w:rPr>
          <w:rFonts w:ascii="Times New Roman" w:hAnsi="Times New Roman" w:cs="Times New Roman"/>
          <w:sz w:val="24"/>
          <w:szCs w:val="24"/>
        </w:rPr>
        <w:t xml:space="preserve"> in this regard</w:t>
      </w:r>
      <w:r w:rsidR="00A474FE">
        <w:rPr>
          <w:rFonts w:ascii="Times New Roman" w:hAnsi="Times New Roman" w:cs="Times New Roman"/>
          <w:sz w:val="24"/>
          <w:szCs w:val="24"/>
        </w:rPr>
        <w:t xml:space="preserve">.  </w:t>
      </w:r>
      <w:r w:rsidR="000739EA">
        <w:rPr>
          <w:rFonts w:ascii="Times New Roman" w:hAnsi="Times New Roman" w:cs="Times New Roman"/>
          <w:sz w:val="24"/>
          <w:szCs w:val="24"/>
        </w:rPr>
        <w:t xml:space="preserve">It is submitted here that </w:t>
      </w:r>
      <w:r w:rsidR="00CC25F2">
        <w:rPr>
          <w:rFonts w:ascii="Times New Roman" w:hAnsi="Times New Roman" w:cs="Times New Roman"/>
          <w:sz w:val="24"/>
          <w:szCs w:val="24"/>
        </w:rPr>
        <w:t xml:space="preserve">the obligation to investigate </w:t>
      </w:r>
      <w:r w:rsidR="00441748">
        <w:rPr>
          <w:rFonts w:ascii="Times New Roman" w:hAnsi="Times New Roman" w:cs="Times New Roman"/>
          <w:sz w:val="24"/>
          <w:szCs w:val="24"/>
        </w:rPr>
        <w:t xml:space="preserve">all human rights </w:t>
      </w:r>
      <w:r w:rsidR="00937893">
        <w:rPr>
          <w:rFonts w:ascii="Times New Roman" w:hAnsi="Times New Roman" w:cs="Times New Roman"/>
          <w:sz w:val="24"/>
          <w:szCs w:val="24"/>
        </w:rPr>
        <w:t>should</w:t>
      </w:r>
      <w:r w:rsidR="00CC25F2">
        <w:rPr>
          <w:rFonts w:ascii="Times New Roman" w:hAnsi="Times New Roman" w:cs="Times New Roman"/>
          <w:sz w:val="24"/>
          <w:szCs w:val="24"/>
        </w:rPr>
        <w:t xml:space="preserve"> be regarded as an obligation of conduct or immediate effect,</w:t>
      </w:r>
      <w:r w:rsidR="000E7DA9">
        <w:rPr>
          <w:rStyle w:val="FootnoteReference"/>
          <w:rFonts w:ascii="Times New Roman" w:hAnsi="Times New Roman" w:cs="Times New Roman"/>
          <w:sz w:val="24"/>
          <w:szCs w:val="24"/>
        </w:rPr>
        <w:footnoteReference w:id="59"/>
      </w:r>
      <w:r w:rsidR="00CC25F2">
        <w:rPr>
          <w:rFonts w:ascii="Times New Roman" w:hAnsi="Times New Roman" w:cs="Times New Roman"/>
          <w:sz w:val="24"/>
          <w:szCs w:val="24"/>
        </w:rPr>
        <w:t xml:space="preserve"> and the relevant human rights bodies</w:t>
      </w:r>
      <w:r w:rsidR="001A0135">
        <w:rPr>
          <w:rFonts w:ascii="Times New Roman" w:hAnsi="Times New Roman" w:cs="Times New Roman"/>
          <w:sz w:val="24"/>
          <w:szCs w:val="24"/>
        </w:rPr>
        <w:t xml:space="preserve"> </w:t>
      </w:r>
      <w:r w:rsidR="00B335CE">
        <w:rPr>
          <w:rFonts w:ascii="Times New Roman" w:hAnsi="Times New Roman" w:cs="Times New Roman"/>
          <w:sz w:val="24"/>
          <w:szCs w:val="24"/>
        </w:rPr>
        <w:t>should</w:t>
      </w:r>
      <w:r w:rsidR="001A0135">
        <w:rPr>
          <w:rFonts w:ascii="Times New Roman" w:hAnsi="Times New Roman" w:cs="Times New Roman"/>
          <w:sz w:val="24"/>
          <w:szCs w:val="24"/>
        </w:rPr>
        <w:t xml:space="preserve"> start emphasising</w:t>
      </w:r>
      <w:r w:rsidR="00F93620">
        <w:rPr>
          <w:rFonts w:ascii="Times New Roman" w:hAnsi="Times New Roman" w:cs="Times New Roman"/>
          <w:sz w:val="24"/>
          <w:szCs w:val="24"/>
        </w:rPr>
        <w:t xml:space="preserve"> </w:t>
      </w:r>
      <w:r w:rsidR="001A0135">
        <w:rPr>
          <w:rFonts w:ascii="Times New Roman" w:hAnsi="Times New Roman" w:cs="Times New Roman"/>
          <w:sz w:val="24"/>
          <w:szCs w:val="24"/>
        </w:rPr>
        <w:t xml:space="preserve">this in the future.  </w:t>
      </w:r>
      <w:r w:rsidR="00CC25F2">
        <w:rPr>
          <w:rFonts w:ascii="Times New Roman" w:hAnsi="Times New Roman" w:cs="Times New Roman"/>
          <w:sz w:val="24"/>
          <w:szCs w:val="24"/>
        </w:rPr>
        <w:t xml:space="preserve"> </w:t>
      </w:r>
    </w:p>
    <w:p w:rsidR="00597727" w:rsidRPr="004567D0" w:rsidRDefault="00597727" w:rsidP="00CC25F2">
      <w:pPr>
        <w:spacing w:line="480" w:lineRule="auto"/>
        <w:ind w:firstLine="720"/>
        <w:rPr>
          <w:rFonts w:ascii="Times New Roman" w:hAnsi="Times New Roman" w:cs="Times New Roman"/>
          <w:sz w:val="20"/>
          <w:szCs w:val="20"/>
        </w:rPr>
      </w:pPr>
      <w:r>
        <w:rPr>
          <w:rFonts w:ascii="Times New Roman" w:hAnsi="Times New Roman" w:cs="Times New Roman"/>
          <w:sz w:val="24"/>
          <w:szCs w:val="24"/>
        </w:rPr>
        <w:t xml:space="preserve">Given the clandestine and sophisticated nature of </w:t>
      </w:r>
      <w:r w:rsidR="00407685">
        <w:rPr>
          <w:rFonts w:ascii="Times New Roman" w:hAnsi="Times New Roman" w:cs="Times New Roman"/>
          <w:sz w:val="24"/>
          <w:szCs w:val="24"/>
        </w:rPr>
        <w:t xml:space="preserve">transnational </w:t>
      </w:r>
      <w:r>
        <w:rPr>
          <w:rFonts w:ascii="Times New Roman" w:hAnsi="Times New Roman" w:cs="Times New Roman"/>
          <w:sz w:val="24"/>
          <w:szCs w:val="24"/>
        </w:rPr>
        <w:t>organise</w:t>
      </w:r>
      <w:r w:rsidR="00DC4CFF">
        <w:rPr>
          <w:rFonts w:ascii="Times New Roman" w:hAnsi="Times New Roman" w:cs="Times New Roman"/>
          <w:sz w:val="24"/>
          <w:szCs w:val="24"/>
        </w:rPr>
        <w:t>d crime,</w:t>
      </w:r>
      <w:r w:rsidR="00920BE9">
        <w:rPr>
          <w:rFonts w:ascii="Times New Roman" w:hAnsi="Times New Roman" w:cs="Times New Roman"/>
          <w:sz w:val="24"/>
          <w:szCs w:val="24"/>
        </w:rPr>
        <w:t xml:space="preserve"> </w:t>
      </w:r>
      <w:r w:rsidR="00DC4CFF">
        <w:rPr>
          <w:rFonts w:ascii="Times New Roman" w:hAnsi="Times New Roman" w:cs="Times New Roman"/>
          <w:sz w:val="24"/>
          <w:szCs w:val="24"/>
        </w:rPr>
        <w:t>proactive intelligence-</w:t>
      </w:r>
      <w:r>
        <w:rPr>
          <w:rFonts w:ascii="Times New Roman" w:hAnsi="Times New Roman" w:cs="Times New Roman"/>
          <w:sz w:val="24"/>
          <w:szCs w:val="24"/>
        </w:rPr>
        <w:t>led law enforcement</w:t>
      </w:r>
      <w:r w:rsidR="000456B0">
        <w:rPr>
          <w:rFonts w:ascii="Times New Roman" w:hAnsi="Times New Roman" w:cs="Times New Roman"/>
          <w:sz w:val="24"/>
          <w:szCs w:val="24"/>
        </w:rPr>
        <w:t xml:space="preserve"> is needed</w:t>
      </w:r>
      <w:r w:rsidR="00C7314B">
        <w:rPr>
          <w:rFonts w:ascii="Times New Roman" w:hAnsi="Times New Roman" w:cs="Times New Roman"/>
          <w:sz w:val="24"/>
          <w:szCs w:val="24"/>
        </w:rPr>
        <w:t>.</w:t>
      </w:r>
      <w:r>
        <w:rPr>
          <w:rFonts w:ascii="Times New Roman" w:hAnsi="Times New Roman" w:cs="Times New Roman"/>
          <w:sz w:val="24"/>
          <w:szCs w:val="24"/>
        </w:rPr>
        <w:t xml:space="preserve">  </w:t>
      </w:r>
      <w:r w:rsidR="00C7314B">
        <w:rPr>
          <w:rFonts w:ascii="Times New Roman" w:hAnsi="Times New Roman" w:cs="Times New Roman"/>
          <w:sz w:val="24"/>
          <w:szCs w:val="24"/>
        </w:rPr>
        <w:t xml:space="preserve"> </w:t>
      </w:r>
      <w:r>
        <w:rPr>
          <w:rFonts w:ascii="Times New Roman" w:hAnsi="Times New Roman" w:cs="Times New Roman"/>
          <w:sz w:val="24"/>
          <w:szCs w:val="24"/>
        </w:rPr>
        <w:t xml:space="preserve">In </w:t>
      </w:r>
      <w:r w:rsidR="00670102">
        <w:rPr>
          <w:rFonts w:ascii="Times New Roman" w:hAnsi="Times New Roman" w:cs="Times New Roman"/>
          <w:sz w:val="24"/>
          <w:szCs w:val="24"/>
        </w:rPr>
        <w:t>this regard</w:t>
      </w:r>
      <w:r>
        <w:rPr>
          <w:rFonts w:ascii="Times New Roman" w:hAnsi="Times New Roman" w:cs="Times New Roman"/>
          <w:sz w:val="24"/>
          <w:szCs w:val="24"/>
        </w:rPr>
        <w:t xml:space="preserve">, States </w:t>
      </w:r>
      <w:r w:rsidR="00C7314B">
        <w:rPr>
          <w:rFonts w:ascii="Times New Roman" w:hAnsi="Times New Roman" w:cs="Times New Roman"/>
          <w:sz w:val="24"/>
          <w:szCs w:val="24"/>
        </w:rPr>
        <w:t>are encouraged to</w:t>
      </w:r>
      <w:r w:rsidR="00577EE2">
        <w:rPr>
          <w:rFonts w:ascii="Times New Roman" w:hAnsi="Times New Roman" w:cs="Times New Roman"/>
          <w:sz w:val="24"/>
          <w:szCs w:val="24"/>
        </w:rPr>
        <w:t xml:space="preserve"> deploy</w:t>
      </w:r>
      <w:r>
        <w:rPr>
          <w:rFonts w:ascii="Times New Roman" w:hAnsi="Times New Roman" w:cs="Times New Roman"/>
          <w:sz w:val="24"/>
          <w:szCs w:val="24"/>
        </w:rPr>
        <w:t xml:space="preserve"> measures suc</w:t>
      </w:r>
      <w:r w:rsidR="00DC4CFF">
        <w:rPr>
          <w:rFonts w:ascii="Times New Roman" w:hAnsi="Times New Roman" w:cs="Times New Roman"/>
          <w:sz w:val="24"/>
          <w:szCs w:val="24"/>
        </w:rPr>
        <w:t>h as surveillance</w:t>
      </w:r>
      <w:r w:rsidR="003F3469">
        <w:rPr>
          <w:rFonts w:ascii="Times New Roman" w:hAnsi="Times New Roman" w:cs="Times New Roman"/>
          <w:sz w:val="24"/>
          <w:szCs w:val="24"/>
        </w:rPr>
        <w:t>, interception of communications</w:t>
      </w:r>
      <w:r w:rsidR="00DC4CFF">
        <w:rPr>
          <w:rFonts w:ascii="Times New Roman" w:hAnsi="Times New Roman" w:cs="Times New Roman"/>
          <w:sz w:val="24"/>
          <w:szCs w:val="24"/>
        </w:rPr>
        <w:t xml:space="preserve"> and undercover operations.</w:t>
      </w:r>
      <w:r w:rsidR="00C7314B">
        <w:rPr>
          <w:rStyle w:val="FootnoteReference"/>
          <w:rFonts w:ascii="Times New Roman" w:hAnsi="Times New Roman" w:cs="Times New Roman"/>
          <w:sz w:val="24"/>
          <w:szCs w:val="24"/>
        </w:rPr>
        <w:footnoteReference w:id="60"/>
      </w:r>
      <w:r w:rsidR="004F2854">
        <w:rPr>
          <w:rFonts w:ascii="Times New Roman" w:hAnsi="Times New Roman" w:cs="Times New Roman"/>
          <w:sz w:val="24"/>
          <w:szCs w:val="24"/>
        </w:rPr>
        <w:t xml:space="preserve">  </w:t>
      </w:r>
      <w:r w:rsidR="003A37E9">
        <w:rPr>
          <w:rFonts w:ascii="Times New Roman" w:hAnsi="Times New Roman" w:cs="Times New Roman"/>
          <w:sz w:val="24"/>
          <w:szCs w:val="24"/>
        </w:rPr>
        <w:t xml:space="preserve">However, these techniques </w:t>
      </w:r>
      <w:r w:rsidR="00984C8C">
        <w:rPr>
          <w:rFonts w:ascii="Times New Roman" w:hAnsi="Times New Roman" w:cs="Times New Roman"/>
          <w:sz w:val="24"/>
          <w:szCs w:val="24"/>
        </w:rPr>
        <w:t>clearly have</w:t>
      </w:r>
      <w:r w:rsidR="00A24753">
        <w:rPr>
          <w:rFonts w:ascii="Times New Roman" w:hAnsi="Times New Roman" w:cs="Times New Roman"/>
          <w:sz w:val="24"/>
          <w:szCs w:val="24"/>
        </w:rPr>
        <w:t xml:space="preserve"> </w:t>
      </w:r>
      <w:r w:rsidR="00984C8C">
        <w:rPr>
          <w:rFonts w:ascii="Times New Roman" w:hAnsi="Times New Roman" w:cs="Times New Roman"/>
          <w:sz w:val="24"/>
          <w:szCs w:val="24"/>
        </w:rPr>
        <w:t>human rights implications,</w:t>
      </w:r>
      <w:r w:rsidR="004F2854">
        <w:rPr>
          <w:rFonts w:ascii="Times New Roman" w:hAnsi="Times New Roman" w:cs="Times New Roman"/>
          <w:sz w:val="24"/>
          <w:szCs w:val="24"/>
        </w:rPr>
        <w:t xml:space="preserve"> the right to privacy </w:t>
      </w:r>
      <w:proofErr w:type="gramStart"/>
      <w:r w:rsidR="004F2854">
        <w:rPr>
          <w:rFonts w:ascii="Times New Roman" w:hAnsi="Times New Roman" w:cs="Times New Roman"/>
          <w:sz w:val="24"/>
          <w:szCs w:val="24"/>
        </w:rPr>
        <w:t>in particular</w:t>
      </w:r>
      <w:proofErr w:type="gramEnd"/>
      <w:r w:rsidR="004F2854">
        <w:rPr>
          <w:rFonts w:ascii="Times New Roman" w:hAnsi="Times New Roman" w:cs="Times New Roman"/>
          <w:sz w:val="24"/>
          <w:szCs w:val="24"/>
        </w:rPr>
        <w:t xml:space="preserve">.  </w:t>
      </w:r>
      <w:r w:rsidR="003A7CBF">
        <w:rPr>
          <w:rFonts w:ascii="Times New Roman" w:hAnsi="Times New Roman" w:cs="Times New Roman"/>
          <w:sz w:val="24"/>
          <w:szCs w:val="24"/>
        </w:rPr>
        <w:t xml:space="preserve">It </w:t>
      </w:r>
      <w:r w:rsidR="002A1FBA">
        <w:rPr>
          <w:rFonts w:ascii="Times New Roman" w:hAnsi="Times New Roman" w:cs="Times New Roman"/>
          <w:sz w:val="24"/>
          <w:szCs w:val="24"/>
        </w:rPr>
        <w:t xml:space="preserve">should be </w:t>
      </w:r>
      <w:r w:rsidR="00260010">
        <w:rPr>
          <w:rFonts w:ascii="Times New Roman" w:hAnsi="Times New Roman" w:cs="Times New Roman"/>
          <w:sz w:val="24"/>
          <w:szCs w:val="24"/>
        </w:rPr>
        <w:t xml:space="preserve">highlighted here </w:t>
      </w:r>
      <w:r w:rsidR="003A7CBF">
        <w:rPr>
          <w:rFonts w:ascii="Times New Roman" w:hAnsi="Times New Roman" w:cs="Times New Roman"/>
          <w:sz w:val="24"/>
          <w:szCs w:val="24"/>
        </w:rPr>
        <w:t xml:space="preserve">that </w:t>
      </w:r>
      <w:r w:rsidR="004F2854">
        <w:rPr>
          <w:rFonts w:ascii="Times New Roman" w:hAnsi="Times New Roman" w:cs="Times New Roman"/>
          <w:sz w:val="24"/>
          <w:szCs w:val="24"/>
        </w:rPr>
        <w:t xml:space="preserve">international human rights law does not strictly prohibit the use of these special investigative techniques.  Article 17 of the ICCPR, for instance, obliges States not to subject individuals to </w:t>
      </w:r>
      <w:r w:rsidR="002A1FBA">
        <w:rPr>
          <w:rFonts w:ascii="Times New Roman" w:hAnsi="Times New Roman" w:cs="Times New Roman"/>
          <w:sz w:val="24"/>
          <w:szCs w:val="24"/>
        </w:rPr>
        <w:t>“</w:t>
      </w:r>
      <w:r w:rsidR="004F2854">
        <w:rPr>
          <w:rFonts w:ascii="Times New Roman" w:hAnsi="Times New Roman" w:cs="Times New Roman"/>
          <w:sz w:val="24"/>
          <w:szCs w:val="24"/>
        </w:rPr>
        <w:t>arbitrary and unlawful interference</w:t>
      </w:r>
      <w:r w:rsidR="002A1FBA">
        <w:rPr>
          <w:rFonts w:ascii="Times New Roman" w:hAnsi="Times New Roman" w:cs="Times New Roman"/>
          <w:sz w:val="24"/>
          <w:szCs w:val="24"/>
        </w:rPr>
        <w:t>”</w:t>
      </w:r>
      <w:r w:rsidR="004F2854">
        <w:rPr>
          <w:rFonts w:ascii="Times New Roman" w:hAnsi="Times New Roman" w:cs="Times New Roman"/>
          <w:sz w:val="24"/>
          <w:szCs w:val="24"/>
        </w:rPr>
        <w:t xml:space="preserve"> with privacy,</w:t>
      </w:r>
      <w:r w:rsidR="004F2854">
        <w:rPr>
          <w:rStyle w:val="FootnoteReference"/>
          <w:rFonts w:ascii="Times New Roman" w:hAnsi="Times New Roman" w:cs="Times New Roman"/>
          <w:sz w:val="24"/>
          <w:szCs w:val="24"/>
        </w:rPr>
        <w:footnoteReference w:id="61"/>
      </w:r>
      <w:r w:rsidR="004F2854">
        <w:rPr>
          <w:rFonts w:ascii="Times New Roman" w:hAnsi="Times New Roman" w:cs="Times New Roman"/>
          <w:sz w:val="24"/>
          <w:szCs w:val="24"/>
        </w:rPr>
        <w:t xml:space="preserve"> meaning that lawful and non-arbitrary interference is permitted.  Article 8</w:t>
      </w:r>
      <w:r w:rsidR="004567D0">
        <w:rPr>
          <w:rFonts w:ascii="Times New Roman" w:hAnsi="Times New Roman" w:cs="Times New Roman"/>
          <w:sz w:val="24"/>
          <w:szCs w:val="24"/>
        </w:rPr>
        <w:t>(2)</w:t>
      </w:r>
      <w:r w:rsidR="004F2854">
        <w:rPr>
          <w:rFonts w:ascii="Times New Roman" w:hAnsi="Times New Roman" w:cs="Times New Roman"/>
          <w:sz w:val="24"/>
          <w:szCs w:val="24"/>
        </w:rPr>
        <w:t xml:space="preserve"> of the ECHR </w:t>
      </w:r>
      <w:r w:rsidR="004567D0">
        <w:rPr>
          <w:rFonts w:ascii="Times New Roman" w:hAnsi="Times New Roman" w:cs="Times New Roman"/>
          <w:sz w:val="24"/>
          <w:szCs w:val="24"/>
        </w:rPr>
        <w:t xml:space="preserve">states </w:t>
      </w:r>
      <w:r w:rsidR="00FC3442">
        <w:rPr>
          <w:rFonts w:ascii="Times New Roman" w:hAnsi="Times New Roman" w:cs="Times New Roman"/>
          <w:sz w:val="24"/>
          <w:szCs w:val="24"/>
        </w:rPr>
        <w:t>further</w:t>
      </w:r>
      <w:r w:rsidR="004567D0">
        <w:rPr>
          <w:rFonts w:ascii="Times New Roman" w:hAnsi="Times New Roman" w:cs="Times New Roman"/>
          <w:sz w:val="24"/>
          <w:szCs w:val="24"/>
        </w:rPr>
        <w:t xml:space="preserve"> that the right to privacy can be restricted in the name of, among others, national security, the economic well-being of the country and prevention of disorder and crime. </w:t>
      </w:r>
      <w:r w:rsidR="005F2E2A">
        <w:rPr>
          <w:rFonts w:ascii="Times New Roman" w:hAnsi="Times New Roman" w:cs="Times New Roman"/>
          <w:sz w:val="24"/>
          <w:szCs w:val="24"/>
        </w:rPr>
        <w:t xml:space="preserve"> </w:t>
      </w:r>
      <w:r w:rsidR="0025660E">
        <w:rPr>
          <w:rFonts w:ascii="Times New Roman" w:hAnsi="Times New Roman" w:cs="Times New Roman"/>
          <w:sz w:val="24"/>
          <w:szCs w:val="24"/>
        </w:rPr>
        <w:t xml:space="preserve">Indeed, </w:t>
      </w:r>
      <w:r w:rsidR="0057288B">
        <w:rPr>
          <w:rFonts w:ascii="Times New Roman" w:hAnsi="Times New Roman" w:cs="Times New Roman"/>
          <w:sz w:val="24"/>
          <w:szCs w:val="24"/>
        </w:rPr>
        <w:t>the European Court of Human Rights</w:t>
      </w:r>
      <w:r w:rsidR="00C929E8">
        <w:rPr>
          <w:rFonts w:ascii="Times New Roman" w:hAnsi="Times New Roman" w:cs="Times New Roman"/>
          <w:sz w:val="24"/>
          <w:szCs w:val="24"/>
        </w:rPr>
        <w:t xml:space="preserve"> </w:t>
      </w:r>
      <w:r w:rsidR="0057288B">
        <w:rPr>
          <w:rFonts w:ascii="Times New Roman" w:hAnsi="Times New Roman" w:cs="Times New Roman"/>
          <w:sz w:val="24"/>
          <w:szCs w:val="24"/>
        </w:rPr>
        <w:t xml:space="preserve">accepted the need for special </w:t>
      </w:r>
      <w:r w:rsidR="00B63C0C">
        <w:rPr>
          <w:rFonts w:ascii="Times New Roman" w:hAnsi="Times New Roman" w:cs="Times New Roman"/>
          <w:sz w:val="24"/>
          <w:szCs w:val="24"/>
        </w:rPr>
        <w:t>investigative measures</w:t>
      </w:r>
      <w:r w:rsidR="00066C3F">
        <w:rPr>
          <w:rFonts w:ascii="Times New Roman" w:hAnsi="Times New Roman" w:cs="Times New Roman"/>
          <w:sz w:val="24"/>
          <w:szCs w:val="24"/>
        </w:rPr>
        <w:t xml:space="preserve"> </w:t>
      </w:r>
      <w:r w:rsidR="005F2E2A">
        <w:rPr>
          <w:rFonts w:ascii="Times New Roman" w:hAnsi="Times New Roman" w:cs="Times New Roman"/>
          <w:sz w:val="24"/>
          <w:szCs w:val="24"/>
        </w:rPr>
        <w:t xml:space="preserve">over </w:t>
      </w:r>
      <w:r w:rsidR="002A1FBA">
        <w:rPr>
          <w:rFonts w:ascii="Times New Roman" w:hAnsi="Times New Roman" w:cs="Times New Roman"/>
          <w:sz w:val="24"/>
          <w:szCs w:val="24"/>
        </w:rPr>
        <w:t>transnational</w:t>
      </w:r>
      <w:r w:rsidR="00066C3F">
        <w:rPr>
          <w:rFonts w:ascii="Times New Roman" w:hAnsi="Times New Roman" w:cs="Times New Roman"/>
          <w:sz w:val="24"/>
          <w:szCs w:val="24"/>
        </w:rPr>
        <w:t xml:space="preserve"> </w:t>
      </w:r>
      <w:r w:rsidR="0057288B">
        <w:rPr>
          <w:rFonts w:ascii="Times New Roman" w:hAnsi="Times New Roman" w:cs="Times New Roman"/>
          <w:sz w:val="24"/>
          <w:szCs w:val="24"/>
        </w:rPr>
        <w:t>organised crime.</w:t>
      </w:r>
      <w:r w:rsidR="0057288B">
        <w:rPr>
          <w:rStyle w:val="FootnoteReference"/>
          <w:rFonts w:ascii="Times New Roman" w:hAnsi="Times New Roman" w:cs="Times New Roman"/>
          <w:sz w:val="24"/>
          <w:szCs w:val="24"/>
        </w:rPr>
        <w:footnoteReference w:id="62"/>
      </w:r>
    </w:p>
    <w:p w:rsidR="00DC5375" w:rsidRDefault="00D94B74" w:rsidP="007019C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w:t>
      </w:r>
      <w:r w:rsidR="008E0053">
        <w:rPr>
          <w:rFonts w:ascii="Times New Roman" w:hAnsi="Times New Roman" w:cs="Times New Roman"/>
          <w:sz w:val="24"/>
          <w:szCs w:val="24"/>
        </w:rPr>
        <w:t>is</w:t>
      </w:r>
      <w:r>
        <w:rPr>
          <w:rFonts w:ascii="Times New Roman" w:hAnsi="Times New Roman" w:cs="Times New Roman"/>
          <w:sz w:val="24"/>
          <w:szCs w:val="24"/>
        </w:rPr>
        <w:t xml:space="preserve"> does not mean, however, that the power</w:t>
      </w:r>
      <w:r w:rsidR="00DF3A7B">
        <w:rPr>
          <w:rFonts w:ascii="Times New Roman" w:hAnsi="Times New Roman" w:cs="Times New Roman"/>
          <w:sz w:val="24"/>
          <w:szCs w:val="24"/>
        </w:rPr>
        <w:t>s</w:t>
      </w:r>
      <w:r>
        <w:rPr>
          <w:rFonts w:ascii="Times New Roman" w:hAnsi="Times New Roman" w:cs="Times New Roman"/>
          <w:sz w:val="24"/>
          <w:szCs w:val="24"/>
        </w:rPr>
        <w:t xml:space="preserve"> of States in facilitating intelligence-led law enforcement </w:t>
      </w:r>
      <w:r w:rsidR="00DF3A7B">
        <w:rPr>
          <w:rFonts w:ascii="Times New Roman" w:hAnsi="Times New Roman" w:cs="Times New Roman"/>
          <w:sz w:val="24"/>
          <w:szCs w:val="24"/>
        </w:rPr>
        <w:t>are</w:t>
      </w:r>
      <w:r>
        <w:rPr>
          <w:rFonts w:ascii="Times New Roman" w:hAnsi="Times New Roman" w:cs="Times New Roman"/>
          <w:sz w:val="24"/>
          <w:szCs w:val="24"/>
        </w:rPr>
        <w:t xml:space="preserve"> unlimited, and international human rights law has been playing an</w:t>
      </w:r>
      <w:r w:rsidR="00C929E8">
        <w:rPr>
          <w:rFonts w:ascii="Times New Roman" w:hAnsi="Times New Roman" w:cs="Times New Roman"/>
          <w:sz w:val="24"/>
          <w:szCs w:val="24"/>
        </w:rPr>
        <w:t xml:space="preserve"> </w:t>
      </w:r>
      <w:r>
        <w:rPr>
          <w:rFonts w:ascii="Times New Roman" w:hAnsi="Times New Roman" w:cs="Times New Roman"/>
          <w:sz w:val="24"/>
          <w:szCs w:val="24"/>
        </w:rPr>
        <w:t>important role in de</w:t>
      </w:r>
      <w:r w:rsidR="00A10D47">
        <w:rPr>
          <w:rFonts w:ascii="Times New Roman" w:hAnsi="Times New Roman" w:cs="Times New Roman"/>
          <w:sz w:val="24"/>
          <w:szCs w:val="24"/>
        </w:rPr>
        <w:t>lineating</w:t>
      </w:r>
      <w:r w:rsidR="00896FE8">
        <w:rPr>
          <w:rFonts w:ascii="Times New Roman" w:hAnsi="Times New Roman" w:cs="Times New Roman"/>
          <w:sz w:val="24"/>
          <w:szCs w:val="24"/>
        </w:rPr>
        <w:t xml:space="preserve"> </w:t>
      </w:r>
      <w:r w:rsidR="00E2359A">
        <w:rPr>
          <w:rFonts w:ascii="Times New Roman" w:hAnsi="Times New Roman" w:cs="Times New Roman"/>
          <w:sz w:val="24"/>
          <w:szCs w:val="24"/>
        </w:rPr>
        <w:t>their</w:t>
      </w:r>
      <w:r w:rsidR="00D6066C">
        <w:rPr>
          <w:rFonts w:ascii="Times New Roman" w:hAnsi="Times New Roman" w:cs="Times New Roman"/>
          <w:sz w:val="24"/>
          <w:szCs w:val="24"/>
        </w:rPr>
        <w:t xml:space="preserve"> </w:t>
      </w:r>
      <w:r>
        <w:rPr>
          <w:rFonts w:ascii="Times New Roman" w:hAnsi="Times New Roman" w:cs="Times New Roman"/>
          <w:sz w:val="24"/>
          <w:szCs w:val="24"/>
        </w:rPr>
        <w:t xml:space="preserve">limits.  </w:t>
      </w:r>
      <w:r w:rsidR="00FF7C14">
        <w:rPr>
          <w:rFonts w:ascii="Times New Roman" w:hAnsi="Times New Roman" w:cs="Times New Roman"/>
          <w:sz w:val="24"/>
          <w:szCs w:val="24"/>
        </w:rPr>
        <w:t xml:space="preserve">For instance, </w:t>
      </w:r>
      <w:r w:rsidRPr="00971BEE">
        <w:rPr>
          <w:rFonts w:ascii="Times New Roman" w:hAnsi="Times New Roman" w:cs="Times New Roman"/>
          <w:sz w:val="24"/>
          <w:szCs w:val="24"/>
        </w:rPr>
        <w:t>States must specify in detail the circumstances under which such interferences may be permitted in their national legislation.</w:t>
      </w:r>
      <w:r w:rsidRPr="00971BEE">
        <w:rPr>
          <w:rStyle w:val="FootnoteReference"/>
          <w:rFonts w:ascii="Times New Roman" w:hAnsi="Times New Roman" w:cs="Times New Roman"/>
          <w:sz w:val="24"/>
          <w:szCs w:val="24"/>
        </w:rPr>
        <w:footnoteReference w:id="63"/>
      </w:r>
      <w:r w:rsidR="00334B77">
        <w:rPr>
          <w:rFonts w:ascii="Times New Roman" w:hAnsi="Times New Roman" w:cs="Times New Roman"/>
          <w:sz w:val="24"/>
          <w:szCs w:val="24"/>
        </w:rPr>
        <w:t xml:space="preserve">  </w:t>
      </w:r>
      <w:r w:rsidR="00375EA1">
        <w:rPr>
          <w:rFonts w:ascii="Times New Roman" w:hAnsi="Times New Roman" w:cs="Times New Roman"/>
          <w:sz w:val="24"/>
          <w:szCs w:val="24"/>
        </w:rPr>
        <w:t>Such legislation</w:t>
      </w:r>
      <w:r w:rsidR="00330C44">
        <w:rPr>
          <w:rFonts w:ascii="Times New Roman" w:hAnsi="Times New Roman" w:cs="Times New Roman"/>
          <w:sz w:val="24"/>
          <w:szCs w:val="24"/>
        </w:rPr>
        <w:t xml:space="preserve"> must be accessible</w:t>
      </w:r>
      <w:r w:rsidR="00330C44">
        <w:rPr>
          <w:rStyle w:val="FootnoteReference"/>
          <w:rFonts w:ascii="Times New Roman" w:hAnsi="Times New Roman" w:cs="Times New Roman"/>
          <w:sz w:val="24"/>
          <w:szCs w:val="24"/>
        </w:rPr>
        <w:footnoteReference w:id="64"/>
      </w:r>
      <w:r w:rsidR="00330C44">
        <w:rPr>
          <w:rFonts w:ascii="Times New Roman" w:hAnsi="Times New Roman" w:cs="Times New Roman"/>
          <w:sz w:val="24"/>
          <w:szCs w:val="24"/>
        </w:rPr>
        <w:t xml:space="preserve"> </w:t>
      </w:r>
      <w:r w:rsidR="00375EA1">
        <w:rPr>
          <w:rFonts w:ascii="Times New Roman" w:hAnsi="Times New Roman" w:cs="Times New Roman"/>
          <w:sz w:val="24"/>
          <w:szCs w:val="24"/>
        </w:rPr>
        <w:t>and</w:t>
      </w:r>
      <w:r w:rsidR="00330C44">
        <w:rPr>
          <w:rFonts w:ascii="Times New Roman" w:hAnsi="Times New Roman" w:cs="Times New Roman"/>
          <w:sz w:val="24"/>
          <w:szCs w:val="24"/>
        </w:rPr>
        <w:t xml:space="preserve"> foreseeable, not in a sense t</w:t>
      </w:r>
      <w:r w:rsidR="00D15998">
        <w:rPr>
          <w:rFonts w:ascii="Times New Roman" w:hAnsi="Times New Roman" w:cs="Times New Roman"/>
          <w:sz w:val="24"/>
          <w:szCs w:val="24"/>
        </w:rPr>
        <w:t>hat people should be able to know</w:t>
      </w:r>
      <w:r w:rsidR="00330C44">
        <w:rPr>
          <w:rFonts w:ascii="Times New Roman" w:hAnsi="Times New Roman" w:cs="Times New Roman"/>
          <w:sz w:val="24"/>
          <w:szCs w:val="24"/>
        </w:rPr>
        <w:t xml:space="preserve"> when the authorities will use those measures against them</w:t>
      </w:r>
      <w:r w:rsidR="00301EAC">
        <w:rPr>
          <w:rFonts w:ascii="Times New Roman" w:hAnsi="Times New Roman" w:cs="Times New Roman"/>
          <w:sz w:val="24"/>
          <w:szCs w:val="24"/>
        </w:rPr>
        <w:t xml:space="preserve"> so that they can </w:t>
      </w:r>
      <w:r w:rsidR="007D238F">
        <w:rPr>
          <w:rFonts w:ascii="Times New Roman" w:hAnsi="Times New Roman" w:cs="Times New Roman"/>
          <w:sz w:val="24"/>
          <w:szCs w:val="24"/>
        </w:rPr>
        <w:t>adapt their conduct accordingly</w:t>
      </w:r>
      <w:r w:rsidR="00330C44">
        <w:rPr>
          <w:rFonts w:ascii="Times New Roman" w:hAnsi="Times New Roman" w:cs="Times New Roman"/>
          <w:sz w:val="24"/>
          <w:szCs w:val="24"/>
        </w:rPr>
        <w:t xml:space="preserve">, but rather that States must stipulate clear circumstances under which they can </w:t>
      </w:r>
      <w:r w:rsidR="00940DEF">
        <w:rPr>
          <w:rFonts w:ascii="Times New Roman" w:hAnsi="Times New Roman" w:cs="Times New Roman"/>
          <w:sz w:val="24"/>
          <w:szCs w:val="24"/>
        </w:rPr>
        <w:t>be applied</w:t>
      </w:r>
      <w:r w:rsidR="00375EA1">
        <w:rPr>
          <w:rFonts w:ascii="Times New Roman" w:hAnsi="Times New Roman" w:cs="Times New Roman"/>
          <w:sz w:val="24"/>
          <w:szCs w:val="24"/>
        </w:rPr>
        <w:t>.</w:t>
      </w:r>
      <w:r w:rsidR="00940DEF">
        <w:rPr>
          <w:rStyle w:val="FootnoteReference"/>
          <w:rFonts w:ascii="Times New Roman" w:hAnsi="Times New Roman" w:cs="Times New Roman"/>
          <w:sz w:val="24"/>
          <w:szCs w:val="24"/>
        </w:rPr>
        <w:footnoteReference w:id="65"/>
      </w:r>
      <w:r w:rsidR="00940DEF">
        <w:rPr>
          <w:rFonts w:ascii="Times New Roman" w:hAnsi="Times New Roman" w:cs="Times New Roman"/>
          <w:sz w:val="24"/>
          <w:szCs w:val="24"/>
        </w:rPr>
        <w:t xml:space="preserve"> </w:t>
      </w:r>
      <w:r w:rsidR="00375EA1">
        <w:rPr>
          <w:rFonts w:ascii="Times New Roman" w:hAnsi="Times New Roman" w:cs="Times New Roman"/>
          <w:sz w:val="24"/>
          <w:szCs w:val="24"/>
        </w:rPr>
        <w:t xml:space="preserve"> These include </w:t>
      </w:r>
      <w:r w:rsidR="00940DEF">
        <w:rPr>
          <w:rFonts w:ascii="Times New Roman" w:hAnsi="Times New Roman" w:cs="Times New Roman"/>
          <w:sz w:val="24"/>
          <w:szCs w:val="24"/>
        </w:rPr>
        <w:t xml:space="preserve">the types of offences which may give rise </w:t>
      </w:r>
      <w:r w:rsidR="009245A8">
        <w:rPr>
          <w:rFonts w:ascii="Times New Roman" w:hAnsi="Times New Roman" w:cs="Times New Roman"/>
          <w:sz w:val="24"/>
          <w:szCs w:val="24"/>
        </w:rPr>
        <w:t>to the use of these measures, the duration of their use,</w:t>
      </w:r>
      <w:r w:rsidR="00330C44">
        <w:rPr>
          <w:rStyle w:val="FootnoteReference"/>
          <w:rFonts w:ascii="Times New Roman" w:hAnsi="Times New Roman" w:cs="Times New Roman"/>
          <w:sz w:val="24"/>
          <w:szCs w:val="24"/>
        </w:rPr>
        <w:footnoteReference w:id="66"/>
      </w:r>
      <w:r w:rsidR="009245A8">
        <w:rPr>
          <w:rFonts w:ascii="Times New Roman" w:hAnsi="Times New Roman" w:cs="Times New Roman"/>
          <w:sz w:val="24"/>
          <w:szCs w:val="24"/>
        </w:rPr>
        <w:t xml:space="preserve"> </w:t>
      </w:r>
      <w:r w:rsidR="0047146F">
        <w:rPr>
          <w:rFonts w:ascii="Times New Roman" w:hAnsi="Times New Roman" w:cs="Times New Roman"/>
          <w:sz w:val="24"/>
          <w:szCs w:val="24"/>
        </w:rPr>
        <w:t xml:space="preserve">the procedures for </w:t>
      </w:r>
      <w:r w:rsidR="009245A8">
        <w:rPr>
          <w:rFonts w:ascii="Times New Roman" w:hAnsi="Times New Roman" w:cs="Times New Roman"/>
          <w:sz w:val="24"/>
          <w:szCs w:val="24"/>
        </w:rPr>
        <w:t>retention</w:t>
      </w:r>
      <w:r w:rsidR="0047146F">
        <w:rPr>
          <w:rFonts w:ascii="Times New Roman" w:hAnsi="Times New Roman" w:cs="Times New Roman"/>
          <w:sz w:val="24"/>
          <w:szCs w:val="24"/>
        </w:rPr>
        <w:t xml:space="preserve">, access and </w:t>
      </w:r>
      <w:r w:rsidR="009245A8">
        <w:rPr>
          <w:rFonts w:ascii="Times New Roman" w:hAnsi="Times New Roman" w:cs="Times New Roman"/>
          <w:sz w:val="24"/>
          <w:szCs w:val="24"/>
        </w:rPr>
        <w:t>d</w:t>
      </w:r>
      <w:r w:rsidR="0047146F">
        <w:rPr>
          <w:rFonts w:ascii="Times New Roman" w:hAnsi="Times New Roman" w:cs="Times New Roman"/>
          <w:sz w:val="24"/>
          <w:szCs w:val="24"/>
        </w:rPr>
        <w:t>estruction</w:t>
      </w:r>
      <w:r w:rsidR="009245A8">
        <w:rPr>
          <w:rFonts w:ascii="Times New Roman" w:hAnsi="Times New Roman" w:cs="Times New Roman"/>
          <w:sz w:val="24"/>
          <w:szCs w:val="24"/>
        </w:rPr>
        <w:t xml:space="preserve"> of obtained evidence</w:t>
      </w:r>
      <w:r w:rsidR="00655ADE">
        <w:rPr>
          <w:rFonts w:ascii="Times New Roman" w:hAnsi="Times New Roman" w:cs="Times New Roman"/>
          <w:sz w:val="24"/>
          <w:szCs w:val="24"/>
        </w:rPr>
        <w:t>,</w:t>
      </w:r>
      <w:r w:rsidR="00655ADE">
        <w:rPr>
          <w:rStyle w:val="FootnoteReference"/>
          <w:rFonts w:ascii="Times New Roman" w:hAnsi="Times New Roman" w:cs="Times New Roman"/>
          <w:sz w:val="24"/>
          <w:szCs w:val="24"/>
        </w:rPr>
        <w:footnoteReference w:id="67"/>
      </w:r>
      <w:r w:rsidR="009245A8">
        <w:rPr>
          <w:rFonts w:ascii="Times New Roman" w:hAnsi="Times New Roman" w:cs="Times New Roman"/>
          <w:sz w:val="24"/>
          <w:szCs w:val="24"/>
        </w:rPr>
        <w:t xml:space="preserve"> </w:t>
      </w:r>
      <w:r w:rsidR="0047146F">
        <w:rPr>
          <w:rFonts w:ascii="Times New Roman" w:hAnsi="Times New Roman" w:cs="Times New Roman"/>
          <w:sz w:val="24"/>
          <w:szCs w:val="24"/>
        </w:rPr>
        <w:t>and the scope of any discretionary power</w:t>
      </w:r>
      <w:r w:rsidR="00C929E8">
        <w:rPr>
          <w:rFonts w:ascii="Times New Roman" w:hAnsi="Times New Roman" w:cs="Times New Roman"/>
          <w:sz w:val="24"/>
          <w:szCs w:val="24"/>
        </w:rPr>
        <w:t>s</w:t>
      </w:r>
      <w:r w:rsidR="00655ADE">
        <w:rPr>
          <w:rFonts w:ascii="Times New Roman" w:hAnsi="Times New Roman" w:cs="Times New Roman"/>
          <w:sz w:val="24"/>
          <w:szCs w:val="24"/>
        </w:rPr>
        <w:t>.</w:t>
      </w:r>
      <w:r w:rsidR="00655ADE">
        <w:rPr>
          <w:rStyle w:val="FootnoteReference"/>
          <w:rFonts w:ascii="Times New Roman" w:hAnsi="Times New Roman" w:cs="Times New Roman"/>
          <w:sz w:val="24"/>
          <w:szCs w:val="24"/>
        </w:rPr>
        <w:footnoteReference w:id="68"/>
      </w:r>
      <w:r w:rsidR="009245A8">
        <w:rPr>
          <w:rFonts w:ascii="Times New Roman" w:hAnsi="Times New Roman" w:cs="Times New Roman"/>
          <w:sz w:val="24"/>
          <w:szCs w:val="24"/>
        </w:rPr>
        <w:t xml:space="preserve"> </w:t>
      </w:r>
      <w:r w:rsidR="003F1A3D">
        <w:rPr>
          <w:rFonts w:ascii="Times New Roman" w:hAnsi="Times New Roman" w:cs="Times New Roman"/>
          <w:sz w:val="24"/>
          <w:szCs w:val="24"/>
        </w:rPr>
        <w:t xml:space="preserve"> </w:t>
      </w:r>
      <w:r w:rsidR="007019CD">
        <w:rPr>
          <w:rFonts w:ascii="Times New Roman" w:hAnsi="Times New Roman" w:cs="Times New Roman"/>
          <w:sz w:val="24"/>
          <w:szCs w:val="24"/>
        </w:rPr>
        <w:t xml:space="preserve">Further, as part of remedy, anyone who believes that his/her right to privacy was breached should be able to bring a claim before the court of law, and this may require States </w:t>
      </w:r>
      <w:r w:rsidR="00563959">
        <w:rPr>
          <w:rFonts w:ascii="Times New Roman" w:hAnsi="Times New Roman" w:cs="Times New Roman"/>
          <w:sz w:val="24"/>
          <w:szCs w:val="24"/>
        </w:rPr>
        <w:t xml:space="preserve">to </w:t>
      </w:r>
      <w:r w:rsidR="007019CD">
        <w:rPr>
          <w:rFonts w:ascii="Times New Roman" w:hAnsi="Times New Roman" w:cs="Times New Roman"/>
          <w:sz w:val="24"/>
          <w:szCs w:val="24"/>
        </w:rPr>
        <w:t>notify him/her the types of measures used.</w:t>
      </w:r>
      <w:r w:rsidR="007019CD">
        <w:rPr>
          <w:rStyle w:val="FootnoteReference"/>
          <w:rFonts w:ascii="Times New Roman" w:hAnsi="Times New Roman" w:cs="Times New Roman"/>
          <w:sz w:val="24"/>
          <w:szCs w:val="24"/>
        </w:rPr>
        <w:footnoteReference w:id="69"/>
      </w:r>
      <w:r w:rsidR="007019CD">
        <w:rPr>
          <w:rFonts w:ascii="Times New Roman" w:hAnsi="Times New Roman" w:cs="Times New Roman"/>
          <w:sz w:val="24"/>
          <w:szCs w:val="24"/>
        </w:rPr>
        <w:t xml:space="preserve"> </w:t>
      </w:r>
      <w:r w:rsidR="009C0CAF">
        <w:rPr>
          <w:rFonts w:ascii="Times New Roman" w:hAnsi="Times New Roman" w:cs="Times New Roman"/>
          <w:sz w:val="24"/>
          <w:szCs w:val="24"/>
        </w:rPr>
        <w:t xml:space="preserve"> </w:t>
      </w:r>
      <w:r w:rsidR="00123DBB">
        <w:rPr>
          <w:rFonts w:ascii="Times New Roman" w:hAnsi="Times New Roman" w:cs="Times New Roman"/>
          <w:sz w:val="24"/>
          <w:szCs w:val="24"/>
        </w:rPr>
        <w:t xml:space="preserve">Finally, in order to prevent the abuse of special investigative techniques, supervisory control should </w:t>
      </w:r>
      <w:r w:rsidR="00375EA1">
        <w:rPr>
          <w:rFonts w:ascii="Times New Roman" w:hAnsi="Times New Roman" w:cs="Times New Roman"/>
          <w:sz w:val="24"/>
          <w:szCs w:val="24"/>
        </w:rPr>
        <w:t xml:space="preserve">generally </w:t>
      </w:r>
      <w:r w:rsidR="00123DBB">
        <w:rPr>
          <w:rFonts w:ascii="Times New Roman" w:hAnsi="Times New Roman" w:cs="Times New Roman"/>
          <w:sz w:val="24"/>
          <w:szCs w:val="24"/>
        </w:rPr>
        <w:t>be entrusted to the judiciary</w:t>
      </w:r>
      <w:r w:rsidR="00123DBB">
        <w:rPr>
          <w:rStyle w:val="FootnoteReference"/>
          <w:rFonts w:ascii="Times New Roman" w:hAnsi="Times New Roman" w:cs="Times New Roman"/>
          <w:sz w:val="24"/>
          <w:szCs w:val="24"/>
        </w:rPr>
        <w:footnoteReference w:id="70"/>
      </w:r>
      <w:r w:rsidR="00123DBB">
        <w:rPr>
          <w:rFonts w:ascii="Times New Roman" w:hAnsi="Times New Roman" w:cs="Times New Roman"/>
          <w:sz w:val="24"/>
          <w:szCs w:val="24"/>
        </w:rPr>
        <w:t xml:space="preserve"> and not by political figures such as the Ministers of Justice or Interior.</w:t>
      </w:r>
      <w:r w:rsidR="00123DBB">
        <w:rPr>
          <w:rStyle w:val="FootnoteReference"/>
          <w:rFonts w:ascii="Times New Roman" w:hAnsi="Times New Roman" w:cs="Times New Roman"/>
          <w:sz w:val="24"/>
          <w:szCs w:val="24"/>
        </w:rPr>
        <w:footnoteReference w:id="71"/>
      </w:r>
      <w:r w:rsidR="00123DBB">
        <w:rPr>
          <w:rFonts w:ascii="Times New Roman" w:hAnsi="Times New Roman" w:cs="Times New Roman"/>
          <w:sz w:val="24"/>
          <w:szCs w:val="24"/>
        </w:rPr>
        <w:t xml:space="preserve">   </w:t>
      </w:r>
      <w:r w:rsidR="00DC5375">
        <w:rPr>
          <w:rFonts w:ascii="Times New Roman" w:hAnsi="Times New Roman" w:cs="Times New Roman"/>
          <w:sz w:val="24"/>
          <w:szCs w:val="24"/>
        </w:rPr>
        <w:t xml:space="preserve">While these principles have emerged </w:t>
      </w:r>
      <w:r w:rsidR="00294C39">
        <w:rPr>
          <w:rFonts w:ascii="Times New Roman" w:hAnsi="Times New Roman" w:cs="Times New Roman"/>
          <w:sz w:val="24"/>
          <w:szCs w:val="24"/>
        </w:rPr>
        <w:t xml:space="preserve">principally </w:t>
      </w:r>
      <w:r w:rsidR="00DC5375">
        <w:rPr>
          <w:rFonts w:ascii="Times New Roman" w:hAnsi="Times New Roman" w:cs="Times New Roman"/>
          <w:sz w:val="24"/>
          <w:szCs w:val="24"/>
        </w:rPr>
        <w:t>in Europe, the</w:t>
      </w:r>
      <w:r w:rsidR="005B1C5B">
        <w:rPr>
          <w:rFonts w:ascii="Times New Roman" w:hAnsi="Times New Roman" w:cs="Times New Roman"/>
          <w:sz w:val="24"/>
          <w:szCs w:val="24"/>
        </w:rPr>
        <w:t xml:space="preserve"> </w:t>
      </w:r>
      <w:r w:rsidR="00DC5375">
        <w:rPr>
          <w:rFonts w:ascii="Times New Roman" w:hAnsi="Times New Roman" w:cs="Times New Roman"/>
          <w:sz w:val="24"/>
          <w:szCs w:val="24"/>
        </w:rPr>
        <w:t xml:space="preserve">Human Rights Committee </w:t>
      </w:r>
      <w:r w:rsidR="005B1C5B">
        <w:rPr>
          <w:rFonts w:ascii="Times New Roman" w:hAnsi="Times New Roman" w:cs="Times New Roman"/>
          <w:sz w:val="24"/>
          <w:szCs w:val="24"/>
        </w:rPr>
        <w:t xml:space="preserve">established by the ICCPR </w:t>
      </w:r>
      <w:r w:rsidR="0059101B">
        <w:rPr>
          <w:rFonts w:ascii="Times New Roman" w:hAnsi="Times New Roman" w:cs="Times New Roman"/>
          <w:sz w:val="24"/>
          <w:szCs w:val="24"/>
        </w:rPr>
        <w:t xml:space="preserve">has also affirmed </w:t>
      </w:r>
      <w:r w:rsidR="003A27E0">
        <w:rPr>
          <w:rFonts w:ascii="Times New Roman" w:hAnsi="Times New Roman" w:cs="Times New Roman"/>
          <w:sz w:val="24"/>
          <w:szCs w:val="24"/>
        </w:rPr>
        <w:t>many</w:t>
      </w:r>
      <w:r w:rsidR="00CF7B05">
        <w:rPr>
          <w:rFonts w:ascii="Times New Roman" w:hAnsi="Times New Roman" w:cs="Times New Roman"/>
          <w:sz w:val="24"/>
          <w:szCs w:val="24"/>
        </w:rPr>
        <w:t xml:space="preserve"> of these</w:t>
      </w:r>
      <w:r w:rsidR="00DB39D4">
        <w:rPr>
          <w:rFonts w:ascii="Times New Roman" w:hAnsi="Times New Roman" w:cs="Times New Roman"/>
          <w:sz w:val="24"/>
          <w:szCs w:val="24"/>
        </w:rPr>
        <w:t xml:space="preserve"> on </w:t>
      </w:r>
      <w:r w:rsidR="004043E8">
        <w:rPr>
          <w:rFonts w:ascii="Times New Roman" w:hAnsi="Times New Roman" w:cs="Times New Roman"/>
          <w:sz w:val="24"/>
          <w:szCs w:val="24"/>
        </w:rPr>
        <w:t xml:space="preserve">various </w:t>
      </w:r>
      <w:r w:rsidR="00DB39D4">
        <w:rPr>
          <w:rFonts w:ascii="Times New Roman" w:hAnsi="Times New Roman" w:cs="Times New Roman"/>
          <w:sz w:val="24"/>
          <w:szCs w:val="24"/>
        </w:rPr>
        <w:t>occasions,</w:t>
      </w:r>
      <w:r w:rsidR="0059101B">
        <w:rPr>
          <w:rStyle w:val="FootnoteReference"/>
          <w:rFonts w:ascii="Times New Roman" w:hAnsi="Times New Roman" w:cs="Times New Roman"/>
          <w:sz w:val="24"/>
          <w:szCs w:val="24"/>
        </w:rPr>
        <w:footnoteReference w:id="72"/>
      </w:r>
      <w:r w:rsidR="00DB39D4">
        <w:rPr>
          <w:rFonts w:ascii="Times New Roman" w:hAnsi="Times New Roman" w:cs="Times New Roman"/>
          <w:sz w:val="24"/>
          <w:szCs w:val="24"/>
        </w:rPr>
        <w:t xml:space="preserve"> thereby </w:t>
      </w:r>
      <w:r w:rsidR="00265CF9">
        <w:rPr>
          <w:rFonts w:ascii="Times New Roman" w:hAnsi="Times New Roman" w:cs="Times New Roman"/>
          <w:sz w:val="24"/>
          <w:szCs w:val="24"/>
        </w:rPr>
        <w:t xml:space="preserve">augmenting </w:t>
      </w:r>
      <w:r w:rsidR="00DB39D4">
        <w:rPr>
          <w:rFonts w:ascii="Times New Roman" w:hAnsi="Times New Roman" w:cs="Times New Roman"/>
          <w:sz w:val="24"/>
          <w:szCs w:val="24"/>
        </w:rPr>
        <w:t xml:space="preserve">their applicability globally.  </w:t>
      </w:r>
      <w:r w:rsidR="00DC5375">
        <w:rPr>
          <w:rFonts w:ascii="Times New Roman" w:hAnsi="Times New Roman" w:cs="Times New Roman"/>
          <w:sz w:val="24"/>
          <w:szCs w:val="24"/>
        </w:rPr>
        <w:t xml:space="preserve"> </w:t>
      </w:r>
      <w:r w:rsidR="00EC3BD1">
        <w:rPr>
          <w:rFonts w:ascii="Times New Roman" w:hAnsi="Times New Roman" w:cs="Times New Roman"/>
          <w:sz w:val="24"/>
          <w:szCs w:val="24"/>
        </w:rPr>
        <w:tab/>
      </w:r>
    </w:p>
    <w:p w:rsidR="008D4910" w:rsidRDefault="008D4910" w:rsidP="007019C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point about the involvement of judiciary is worth expanding. </w:t>
      </w:r>
      <w:r w:rsidR="003E0907">
        <w:rPr>
          <w:rFonts w:ascii="Times New Roman" w:hAnsi="Times New Roman" w:cs="Times New Roman"/>
          <w:sz w:val="24"/>
          <w:szCs w:val="24"/>
        </w:rPr>
        <w:t xml:space="preserve">  An </w:t>
      </w:r>
      <w:r>
        <w:rPr>
          <w:rFonts w:ascii="Times New Roman" w:hAnsi="Times New Roman" w:cs="Times New Roman"/>
          <w:sz w:val="24"/>
          <w:szCs w:val="24"/>
        </w:rPr>
        <w:t>analysis of</w:t>
      </w:r>
      <w:r w:rsidR="000A1496">
        <w:rPr>
          <w:rFonts w:ascii="Times New Roman" w:hAnsi="Times New Roman" w:cs="Times New Roman"/>
          <w:sz w:val="24"/>
          <w:szCs w:val="24"/>
        </w:rPr>
        <w:t xml:space="preserve"> </w:t>
      </w:r>
      <w:r w:rsidR="003E494C">
        <w:rPr>
          <w:rFonts w:ascii="Times New Roman" w:hAnsi="Times New Roman" w:cs="Times New Roman"/>
          <w:sz w:val="24"/>
          <w:szCs w:val="24"/>
        </w:rPr>
        <w:t>the existing</w:t>
      </w:r>
      <w:r w:rsidR="000A1496">
        <w:rPr>
          <w:rFonts w:ascii="Times New Roman" w:hAnsi="Times New Roman" w:cs="Times New Roman"/>
          <w:sz w:val="24"/>
          <w:szCs w:val="24"/>
        </w:rPr>
        <w:t xml:space="preserve"> human rights jurisprudence reveals </w:t>
      </w:r>
      <w:r>
        <w:rPr>
          <w:rFonts w:ascii="Times New Roman" w:hAnsi="Times New Roman" w:cs="Times New Roman"/>
          <w:sz w:val="24"/>
          <w:szCs w:val="24"/>
        </w:rPr>
        <w:t xml:space="preserve">that </w:t>
      </w:r>
      <w:r w:rsidR="00C04BC1">
        <w:rPr>
          <w:rFonts w:ascii="Times New Roman" w:hAnsi="Times New Roman" w:cs="Times New Roman"/>
          <w:sz w:val="24"/>
          <w:szCs w:val="24"/>
        </w:rPr>
        <w:t xml:space="preserve">it </w:t>
      </w:r>
      <w:r>
        <w:rPr>
          <w:rFonts w:ascii="Times New Roman" w:hAnsi="Times New Roman" w:cs="Times New Roman"/>
          <w:sz w:val="24"/>
          <w:szCs w:val="24"/>
        </w:rPr>
        <w:t xml:space="preserve">is a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but not </w:t>
      </w:r>
      <w:r w:rsidR="000263B9">
        <w:rPr>
          <w:rFonts w:ascii="Times New Roman" w:hAnsi="Times New Roman" w:cs="Times New Roman"/>
          <w:sz w:val="24"/>
          <w:szCs w:val="24"/>
        </w:rPr>
        <w:t xml:space="preserve">a </w:t>
      </w:r>
      <w:r>
        <w:rPr>
          <w:rFonts w:ascii="Times New Roman" w:hAnsi="Times New Roman" w:cs="Times New Roman"/>
          <w:sz w:val="24"/>
          <w:szCs w:val="24"/>
        </w:rPr>
        <w:t xml:space="preserve">necessary, condition.  </w:t>
      </w:r>
      <w:r w:rsidR="007F2563">
        <w:rPr>
          <w:rFonts w:ascii="Times New Roman" w:hAnsi="Times New Roman" w:cs="Times New Roman"/>
          <w:sz w:val="24"/>
          <w:szCs w:val="24"/>
        </w:rPr>
        <w:t xml:space="preserve">In other words, </w:t>
      </w:r>
      <w:r w:rsidR="00D07672">
        <w:rPr>
          <w:rFonts w:ascii="Times New Roman" w:hAnsi="Times New Roman" w:cs="Times New Roman"/>
          <w:sz w:val="24"/>
          <w:szCs w:val="24"/>
        </w:rPr>
        <w:t>judicial intervention is desirable, but not mandatory.</w:t>
      </w:r>
      <w:r w:rsidR="00D07672">
        <w:rPr>
          <w:rStyle w:val="FootnoteReference"/>
          <w:rFonts w:ascii="Times New Roman" w:hAnsi="Times New Roman" w:cs="Times New Roman"/>
          <w:sz w:val="24"/>
          <w:szCs w:val="24"/>
        </w:rPr>
        <w:footnoteReference w:id="73"/>
      </w:r>
      <w:r w:rsidR="00D07672">
        <w:rPr>
          <w:rFonts w:ascii="Times New Roman" w:hAnsi="Times New Roman" w:cs="Times New Roman"/>
          <w:sz w:val="24"/>
          <w:szCs w:val="24"/>
        </w:rPr>
        <w:t xml:space="preserve">  </w:t>
      </w:r>
      <w:r>
        <w:rPr>
          <w:rFonts w:ascii="Times New Roman" w:hAnsi="Times New Roman" w:cs="Times New Roman"/>
          <w:sz w:val="24"/>
          <w:szCs w:val="24"/>
        </w:rPr>
        <w:t>In this regard, it has been held that authorisation or supervision</w:t>
      </w:r>
      <w:r w:rsidR="008D04A4">
        <w:rPr>
          <w:rFonts w:ascii="Times New Roman" w:hAnsi="Times New Roman" w:cs="Times New Roman"/>
          <w:sz w:val="24"/>
          <w:szCs w:val="24"/>
        </w:rPr>
        <w:t xml:space="preserve"> can be given by </w:t>
      </w:r>
      <w:r w:rsidR="00974E9A">
        <w:rPr>
          <w:rFonts w:ascii="Times New Roman" w:hAnsi="Times New Roman" w:cs="Times New Roman"/>
          <w:sz w:val="24"/>
          <w:szCs w:val="24"/>
        </w:rPr>
        <w:t xml:space="preserve">a </w:t>
      </w:r>
      <w:r w:rsidR="008D04A4">
        <w:rPr>
          <w:rFonts w:ascii="Times New Roman" w:hAnsi="Times New Roman" w:cs="Times New Roman"/>
          <w:sz w:val="24"/>
          <w:szCs w:val="24"/>
        </w:rPr>
        <w:t>non-judicial authorit</w:t>
      </w:r>
      <w:r w:rsidR="00974E9A">
        <w:rPr>
          <w:rFonts w:ascii="Times New Roman" w:hAnsi="Times New Roman" w:cs="Times New Roman"/>
          <w:sz w:val="24"/>
          <w:szCs w:val="24"/>
        </w:rPr>
        <w:t>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provided that the authority in question is ‘sufficiently independent’ from the executive branch of the government.</w:t>
      </w:r>
      <w:r>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w:t>
      </w:r>
      <w:r w:rsidR="002E78BC">
        <w:rPr>
          <w:rFonts w:ascii="Times New Roman" w:hAnsi="Times New Roman" w:cs="Times New Roman"/>
          <w:sz w:val="24"/>
          <w:szCs w:val="24"/>
        </w:rPr>
        <w:t>It is easy to understand that the high</w:t>
      </w:r>
      <w:r w:rsidR="00141069">
        <w:rPr>
          <w:rFonts w:ascii="Times New Roman" w:hAnsi="Times New Roman" w:cs="Times New Roman"/>
          <w:sz w:val="24"/>
          <w:szCs w:val="24"/>
        </w:rPr>
        <w:t>-</w:t>
      </w:r>
      <w:r w:rsidR="002E78BC">
        <w:rPr>
          <w:rFonts w:ascii="Times New Roman" w:hAnsi="Times New Roman" w:cs="Times New Roman"/>
          <w:sz w:val="24"/>
          <w:szCs w:val="24"/>
        </w:rPr>
        <w:t>ranking government officials such as the Minister</w:t>
      </w:r>
      <w:r w:rsidR="00141069">
        <w:rPr>
          <w:rFonts w:ascii="Times New Roman" w:hAnsi="Times New Roman" w:cs="Times New Roman"/>
          <w:sz w:val="24"/>
          <w:szCs w:val="24"/>
        </w:rPr>
        <w:t>s</w:t>
      </w:r>
      <w:r w:rsidR="002E78BC">
        <w:rPr>
          <w:rFonts w:ascii="Times New Roman" w:hAnsi="Times New Roman" w:cs="Times New Roman"/>
          <w:sz w:val="24"/>
          <w:szCs w:val="24"/>
        </w:rPr>
        <w:t xml:space="preserve"> o</w:t>
      </w:r>
      <w:r w:rsidR="00750537">
        <w:rPr>
          <w:rFonts w:ascii="Times New Roman" w:hAnsi="Times New Roman" w:cs="Times New Roman"/>
          <w:sz w:val="24"/>
          <w:szCs w:val="24"/>
        </w:rPr>
        <w:t>f</w:t>
      </w:r>
      <w:r w:rsidR="002E78BC">
        <w:rPr>
          <w:rFonts w:ascii="Times New Roman" w:hAnsi="Times New Roman" w:cs="Times New Roman"/>
          <w:sz w:val="24"/>
          <w:szCs w:val="24"/>
        </w:rPr>
        <w:t xml:space="preserve"> Interior or Justice are to be ex</w:t>
      </w:r>
      <w:r w:rsidR="00141069">
        <w:rPr>
          <w:rFonts w:ascii="Times New Roman" w:hAnsi="Times New Roman" w:cs="Times New Roman"/>
          <w:sz w:val="24"/>
          <w:szCs w:val="24"/>
        </w:rPr>
        <w:t>c</w:t>
      </w:r>
      <w:r w:rsidR="002E78BC">
        <w:rPr>
          <w:rFonts w:ascii="Times New Roman" w:hAnsi="Times New Roman" w:cs="Times New Roman"/>
          <w:sz w:val="24"/>
          <w:szCs w:val="24"/>
        </w:rPr>
        <w:t>luded</w:t>
      </w:r>
      <w:r w:rsidR="00141069">
        <w:rPr>
          <w:rFonts w:ascii="Times New Roman" w:hAnsi="Times New Roman" w:cs="Times New Roman"/>
          <w:sz w:val="24"/>
          <w:szCs w:val="24"/>
        </w:rPr>
        <w:t xml:space="preserve"> from authorising or supervising special investigative techniques.</w:t>
      </w:r>
      <w:r w:rsidR="00141069">
        <w:rPr>
          <w:rStyle w:val="FootnoteReference"/>
          <w:rFonts w:ascii="Times New Roman" w:hAnsi="Times New Roman" w:cs="Times New Roman"/>
          <w:sz w:val="24"/>
          <w:szCs w:val="24"/>
        </w:rPr>
        <w:footnoteReference w:id="76"/>
      </w:r>
      <w:r w:rsidR="00141069">
        <w:rPr>
          <w:rFonts w:ascii="Times New Roman" w:hAnsi="Times New Roman" w:cs="Times New Roman"/>
          <w:sz w:val="24"/>
          <w:szCs w:val="24"/>
        </w:rPr>
        <w:t xml:space="preserve"> </w:t>
      </w:r>
      <w:r w:rsidR="002E78BC">
        <w:rPr>
          <w:rFonts w:ascii="Times New Roman" w:hAnsi="Times New Roman" w:cs="Times New Roman"/>
          <w:sz w:val="24"/>
          <w:szCs w:val="24"/>
        </w:rPr>
        <w:t xml:space="preserve"> </w:t>
      </w:r>
      <w:r w:rsidR="00141069">
        <w:rPr>
          <w:rFonts w:ascii="Times New Roman" w:hAnsi="Times New Roman" w:cs="Times New Roman"/>
          <w:sz w:val="24"/>
          <w:szCs w:val="24"/>
        </w:rPr>
        <w:t>However, uncertain</w:t>
      </w:r>
      <w:r w:rsidR="00F126BD">
        <w:rPr>
          <w:rFonts w:ascii="Times New Roman" w:hAnsi="Times New Roman" w:cs="Times New Roman"/>
          <w:sz w:val="24"/>
          <w:szCs w:val="24"/>
        </w:rPr>
        <w:t>t</w:t>
      </w:r>
      <w:r w:rsidR="008201B1">
        <w:rPr>
          <w:rFonts w:ascii="Times New Roman" w:hAnsi="Times New Roman" w:cs="Times New Roman"/>
          <w:sz w:val="24"/>
          <w:szCs w:val="24"/>
        </w:rPr>
        <w:t>y</w:t>
      </w:r>
      <w:r w:rsidR="00141069">
        <w:rPr>
          <w:rFonts w:ascii="Times New Roman" w:hAnsi="Times New Roman" w:cs="Times New Roman"/>
          <w:sz w:val="24"/>
          <w:szCs w:val="24"/>
        </w:rPr>
        <w:t xml:space="preserve"> remains as to other</w:t>
      </w:r>
      <w:r w:rsidR="008201B1">
        <w:rPr>
          <w:rFonts w:ascii="Times New Roman" w:hAnsi="Times New Roman" w:cs="Times New Roman"/>
          <w:sz w:val="24"/>
          <w:szCs w:val="24"/>
        </w:rPr>
        <w:t xml:space="preserve"> authorities</w:t>
      </w:r>
      <w:r w:rsidR="00141069">
        <w:rPr>
          <w:rFonts w:ascii="Times New Roman" w:hAnsi="Times New Roman" w:cs="Times New Roman"/>
          <w:sz w:val="24"/>
          <w:szCs w:val="24"/>
        </w:rPr>
        <w:t>.  As these techniques are usually employed by the police, internal authorisation or supervision would</w:t>
      </w:r>
      <w:r w:rsidR="00DF28C4">
        <w:rPr>
          <w:rFonts w:ascii="Times New Roman" w:hAnsi="Times New Roman" w:cs="Times New Roman"/>
          <w:sz w:val="24"/>
          <w:szCs w:val="24"/>
        </w:rPr>
        <w:t xml:space="preserve"> presumably </w:t>
      </w:r>
      <w:r w:rsidR="00141069">
        <w:rPr>
          <w:rFonts w:ascii="Times New Roman" w:hAnsi="Times New Roman" w:cs="Times New Roman"/>
          <w:sz w:val="24"/>
          <w:szCs w:val="24"/>
        </w:rPr>
        <w:t xml:space="preserve">be contrary to the notion of independence.  Public prosecution (both high and lower ranking prosecutors) may come to one’s mind next, but </w:t>
      </w:r>
      <w:r w:rsidR="008201B1">
        <w:rPr>
          <w:rFonts w:ascii="Times New Roman" w:hAnsi="Times New Roman" w:cs="Times New Roman"/>
          <w:sz w:val="24"/>
          <w:szCs w:val="24"/>
        </w:rPr>
        <w:t xml:space="preserve">it </w:t>
      </w:r>
      <w:r w:rsidR="00141069">
        <w:rPr>
          <w:rFonts w:ascii="Times New Roman" w:hAnsi="Times New Roman" w:cs="Times New Roman"/>
          <w:sz w:val="24"/>
          <w:szCs w:val="24"/>
        </w:rPr>
        <w:t xml:space="preserve">has been held that the independence requirement would not </w:t>
      </w:r>
      <w:r w:rsidR="00E11927">
        <w:rPr>
          <w:rFonts w:ascii="Times New Roman" w:hAnsi="Times New Roman" w:cs="Times New Roman"/>
          <w:sz w:val="24"/>
          <w:szCs w:val="24"/>
        </w:rPr>
        <w:t>always be met.</w:t>
      </w:r>
      <w:r w:rsidR="004031EB">
        <w:rPr>
          <w:rStyle w:val="FootnoteReference"/>
          <w:rFonts w:ascii="Times New Roman" w:hAnsi="Times New Roman" w:cs="Times New Roman"/>
          <w:sz w:val="24"/>
          <w:szCs w:val="24"/>
        </w:rPr>
        <w:footnoteReference w:id="77"/>
      </w:r>
      <w:r w:rsidR="009668F7">
        <w:rPr>
          <w:rFonts w:ascii="Times New Roman" w:hAnsi="Times New Roman" w:cs="Times New Roman"/>
          <w:sz w:val="24"/>
          <w:szCs w:val="24"/>
        </w:rPr>
        <w:t xml:space="preserve"> </w:t>
      </w:r>
      <w:r w:rsidR="00E11927">
        <w:rPr>
          <w:rFonts w:ascii="Times New Roman" w:hAnsi="Times New Roman" w:cs="Times New Roman"/>
          <w:sz w:val="24"/>
          <w:szCs w:val="24"/>
        </w:rPr>
        <w:t xml:space="preserve"> </w:t>
      </w:r>
      <w:r w:rsidR="009668F7">
        <w:rPr>
          <w:rFonts w:ascii="Times New Roman" w:hAnsi="Times New Roman" w:cs="Times New Roman"/>
          <w:sz w:val="24"/>
          <w:szCs w:val="24"/>
        </w:rPr>
        <w:t>Interestingly, bodies consisting of parliamentarians (e.g. Parliamentary Justice Committee and Parliamentary Ombudsman) were considered as being sufficiently independent.</w:t>
      </w:r>
      <w:r w:rsidR="009668F7">
        <w:rPr>
          <w:rStyle w:val="FootnoteReference"/>
          <w:rFonts w:ascii="Times New Roman" w:hAnsi="Times New Roman" w:cs="Times New Roman"/>
          <w:sz w:val="24"/>
          <w:szCs w:val="24"/>
        </w:rPr>
        <w:footnoteReference w:id="78"/>
      </w:r>
      <w:r w:rsidR="00334B77">
        <w:rPr>
          <w:rFonts w:ascii="Times New Roman" w:hAnsi="Times New Roman" w:cs="Times New Roman"/>
          <w:sz w:val="24"/>
          <w:szCs w:val="24"/>
        </w:rPr>
        <w:t xml:space="preserve">  </w:t>
      </w:r>
      <w:r w:rsidR="00365F60">
        <w:rPr>
          <w:rFonts w:ascii="Times New Roman" w:hAnsi="Times New Roman" w:cs="Times New Roman"/>
          <w:sz w:val="24"/>
          <w:szCs w:val="24"/>
        </w:rPr>
        <w:t xml:space="preserve">However, such bodies are not equipped </w:t>
      </w:r>
      <w:r w:rsidR="003A3B08">
        <w:rPr>
          <w:rFonts w:ascii="Times New Roman" w:hAnsi="Times New Roman" w:cs="Times New Roman"/>
          <w:sz w:val="24"/>
          <w:szCs w:val="24"/>
        </w:rPr>
        <w:t xml:space="preserve">well </w:t>
      </w:r>
      <w:r w:rsidR="00365F60">
        <w:rPr>
          <w:rFonts w:ascii="Times New Roman" w:hAnsi="Times New Roman" w:cs="Times New Roman"/>
          <w:sz w:val="24"/>
          <w:szCs w:val="24"/>
        </w:rPr>
        <w:t xml:space="preserve">to provide effective supervision before or during these measures are being used, as </w:t>
      </w:r>
      <w:r w:rsidR="00244544">
        <w:rPr>
          <w:rFonts w:ascii="Times New Roman" w:hAnsi="Times New Roman" w:cs="Times New Roman"/>
          <w:sz w:val="24"/>
          <w:szCs w:val="24"/>
        </w:rPr>
        <w:t xml:space="preserve">parliamentarians </w:t>
      </w:r>
      <w:r w:rsidR="00D0518D">
        <w:rPr>
          <w:rFonts w:ascii="Times New Roman" w:hAnsi="Times New Roman" w:cs="Times New Roman"/>
          <w:sz w:val="24"/>
          <w:szCs w:val="24"/>
        </w:rPr>
        <w:t>do not normally</w:t>
      </w:r>
      <w:r w:rsidR="00365F60">
        <w:rPr>
          <w:rFonts w:ascii="Times New Roman" w:hAnsi="Times New Roman" w:cs="Times New Roman"/>
          <w:sz w:val="24"/>
          <w:szCs w:val="24"/>
        </w:rPr>
        <w:t xml:space="preserve"> </w:t>
      </w:r>
      <w:r w:rsidR="00D0518D">
        <w:rPr>
          <w:rFonts w:ascii="Times New Roman" w:hAnsi="Times New Roman" w:cs="Times New Roman"/>
          <w:sz w:val="24"/>
          <w:szCs w:val="24"/>
        </w:rPr>
        <w:t>possess</w:t>
      </w:r>
      <w:r w:rsidR="00365F60">
        <w:rPr>
          <w:rFonts w:ascii="Times New Roman" w:hAnsi="Times New Roman" w:cs="Times New Roman"/>
          <w:sz w:val="24"/>
          <w:szCs w:val="24"/>
        </w:rPr>
        <w:t xml:space="preserve"> sufficient legal understanding of the key principles such as reasonable suspicion, necessity or proportionality</w:t>
      </w:r>
      <w:r w:rsidR="00244544">
        <w:rPr>
          <w:rFonts w:ascii="Times New Roman" w:hAnsi="Times New Roman" w:cs="Times New Roman"/>
          <w:sz w:val="24"/>
          <w:szCs w:val="24"/>
        </w:rPr>
        <w:t xml:space="preserve"> as well as technical expertise on the use of special investigative techniques.  </w:t>
      </w:r>
      <w:r w:rsidR="00365F60">
        <w:rPr>
          <w:rFonts w:ascii="Times New Roman" w:hAnsi="Times New Roman" w:cs="Times New Roman"/>
          <w:sz w:val="24"/>
          <w:szCs w:val="24"/>
        </w:rPr>
        <w:t xml:space="preserve"> </w:t>
      </w:r>
    </w:p>
    <w:p w:rsidR="00832EC9" w:rsidRDefault="00365F60" w:rsidP="00940DE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4031EB">
        <w:rPr>
          <w:rFonts w:ascii="Times New Roman" w:hAnsi="Times New Roman" w:cs="Times New Roman"/>
          <w:sz w:val="24"/>
          <w:szCs w:val="24"/>
        </w:rPr>
        <w:t>All of</w:t>
      </w:r>
      <w:proofErr w:type="gramEnd"/>
      <w:r w:rsidR="004031EB">
        <w:rPr>
          <w:rFonts w:ascii="Times New Roman" w:hAnsi="Times New Roman" w:cs="Times New Roman"/>
          <w:sz w:val="24"/>
          <w:szCs w:val="24"/>
        </w:rPr>
        <w:t xml:space="preserve"> these point to a conclusion that the judicia</w:t>
      </w:r>
      <w:r w:rsidR="00CF4E34">
        <w:rPr>
          <w:rFonts w:ascii="Times New Roman" w:hAnsi="Times New Roman" w:cs="Times New Roman"/>
          <w:sz w:val="24"/>
          <w:szCs w:val="24"/>
        </w:rPr>
        <w:t>ry</w:t>
      </w:r>
      <w:r w:rsidR="004031EB">
        <w:rPr>
          <w:rFonts w:ascii="Times New Roman" w:hAnsi="Times New Roman" w:cs="Times New Roman"/>
          <w:sz w:val="24"/>
          <w:szCs w:val="24"/>
        </w:rPr>
        <w:t xml:space="preserve"> is best placed to authorise and supervise</w:t>
      </w:r>
      <w:r w:rsidR="008201B1">
        <w:rPr>
          <w:rFonts w:ascii="Times New Roman" w:hAnsi="Times New Roman" w:cs="Times New Roman"/>
          <w:sz w:val="24"/>
          <w:szCs w:val="24"/>
        </w:rPr>
        <w:t xml:space="preserve"> independently and impartially</w:t>
      </w:r>
      <w:r w:rsidR="004031EB">
        <w:rPr>
          <w:rFonts w:ascii="Times New Roman" w:hAnsi="Times New Roman" w:cs="Times New Roman"/>
          <w:sz w:val="24"/>
          <w:szCs w:val="24"/>
        </w:rPr>
        <w:t>, and therefore that their involvement should be made mandatory.  In addition to maintaining the integrity of</w:t>
      </w:r>
      <w:r w:rsidR="00291A38">
        <w:rPr>
          <w:rFonts w:ascii="Times New Roman" w:hAnsi="Times New Roman" w:cs="Times New Roman"/>
          <w:sz w:val="24"/>
          <w:szCs w:val="24"/>
        </w:rPr>
        <w:t xml:space="preserve"> special investigative techniques</w:t>
      </w:r>
      <w:r w:rsidR="004031EB">
        <w:rPr>
          <w:rFonts w:ascii="Times New Roman" w:hAnsi="Times New Roman" w:cs="Times New Roman"/>
          <w:sz w:val="24"/>
          <w:szCs w:val="24"/>
        </w:rPr>
        <w:t xml:space="preserve">, judicial authorisation and supervision from the beginning can prevent human rights violations from occurring in the first place.  </w:t>
      </w:r>
      <w:r w:rsidR="002B686B">
        <w:rPr>
          <w:rFonts w:ascii="Times New Roman" w:hAnsi="Times New Roman" w:cs="Times New Roman"/>
          <w:sz w:val="24"/>
          <w:szCs w:val="24"/>
        </w:rPr>
        <w:t xml:space="preserve">The European Court </w:t>
      </w:r>
      <w:r w:rsidR="00291A38">
        <w:rPr>
          <w:rFonts w:ascii="Times New Roman" w:hAnsi="Times New Roman" w:cs="Times New Roman"/>
          <w:sz w:val="24"/>
          <w:szCs w:val="24"/>
        </w:rPr>
        <w:t>h</w:t>
      </w:r>
      <w:r w:rsidR="002B686B">
        <w:rPr>
          <w:rFonts w:ascii="Times New Roman" w:hAnsi="Times New Roman" w:cs="Times New Roman"/>
          <w:sz w:val="24"/>
          <w:szCs w:val="24"/>
        </w:rPr>
        <w:t xml:space="preserve">as </w:t>
      </w:r>
      <w:r w:rsidR="00291A38">
        <w:rPr>
          <w:rFonts w:ascii="Times New Roman" w:hAnsi="Times New Roman" w:cs="Times New Roman"/>
          <w:sz w:val="24"/>
          <w:szCs w:val="24"/>
        </w:rPr>
        <w:t xml:space="preserve">opined </w:t>
      </w:r>
      <w:r w:rsidR="002B686B">
        <w:rPr>
          <w:rFonts w:ascii="Times New Roman" w:hAnsi="Times New Roman" w:cs="Times New Roman"/>
          <w:sz w:val="24"/>
          <w:szCs w:val="24"/>
        </w:rPr>
        <w:t>in the past that prior</w:t>
      </w:r>
      <w:r w:rsidR="00CD2EF9">
        <w:rPr>
          <w:rFonts w:ascii="Times New Roman" w:hAnsi="Times New Roman" w:cs="Times New Roman"/>
          <w:sz w:val="24"/>
          <w:szCs w:val="24"/>
        </w:rPr>
        <w:t xml:space="preserve"> or initial</w:t>
      </w:r>
      <w:r w:rsidR="00CF4E34">
        <w:rPr>
          <w:rFonts w:ascii="Times New Roman" w:hAnsi="Times New Roman" w:cs="Times New Roman"/>
          <w:sz w:val="24"/>
          <w:szCs w:val="24"/>
        </w:rPr>
        <w:t xml:space="preserve"> </w:t>
      </w:r>
      <w:r w:rsidR="002B686B">
        <w:rPr>
          <w:rFonts w:ascii="Times New Roman" w:hAnsi="Times New Roman" w:cs="Times New Roman"/>
          <w:sz w:val="24"/>
          <w:szCs w:val="24"/>
        </w:rPr>
        <w:t>judicial authorisation is not an absolute requirement where there is judicial oversight afterwards as this would counterbalance the shortcomings of the authorisation</w:t>
      </w:r>
      <w:r w:rsidR="00291A38">
        <w:rPr>
          <w:rFonts w:ascii="Times New Roman" w:hAnsi="Times New Roman" w:cs="Times New Roman"/>
          <w:sz w:val="24"/>
          <w:szCs w:val="24"/>
        </w:rPr>
        <w:t>.</w:t>
      </w:r>
      <w:r w:rsidR="00291A38">
        <w:rPr>
          <w:rStyle w:val="FootnoteReference"/>
          <w:rFonts w:ascii="Times New Roman" w:hAnsi="Times New Roman" w:cs="Times New Roman"/>
          <w:sz w:val="24"/>
          <w:szCs w:val="24"/>
        </w:rPr>
        <w:footnoteReference w:id="79"/>
      </w:r>
      <w:r w:rsidR="002B686B">
        <w:rPr>
          <w:rFonts w:ascii="Times New Roman" w:hAnsi="Times New Roman" w:cs="Times New Roman"/>
          <w:sz w:val="24"/>
          <w:szCs w:val="24"/>
        </w:rPr>
        <w:t xml:space="preserve"> </w:t>
      </w:r>
      <w:r w:rsidR="00291A38">
        <w:rPr>
          <w:rFonts w:ascii="Times New Roman" w:hAnsi="Times New Roman" w:cs="Times New Roman"/>
          <w:sz w:val="24"/>
          <w:szCs w:val="24"/>
        </w:rPr>
        <w:t xml:space="preserve"> </w:t>
      </w:r>
      <w:r w:rsidR="00CD2EF9">
        <w:rPr>
          <w:rFonts w:ascii="Times New Roman" w:hAnsi="Times New Roman" w:cs="Times New Roman"/>
          <w:sz w:val="24"/>
          <w:szCs w:val="24"/>
        </w:rPr>
        <w:t xml:space="preserve">This argument, however, is not convincing as it still leaves a possibility of human rights </w:t>
      </w:r>
      <w:r w:rsidR="007277A8">
        <w:rPr>
          <w:rFonts w:ascii="Times New Roman" w:hAnsi="Times New Roman" w:cs="Times New Roman"/>
          <w:sz w:val="24"/>
          <w:szCs w:val="24"/>
        </w:rPr>
        <w:t xml:space="preserve">violations </w:t>
      </w:r>
      <w:r w:rsidR="00334B77">
        <w:rPr>
          <w:rFonts w:ascii="Times New Roman" w:hAnsi="Times New Roman" w:cs="Times New Roman"/>
          <w:sz w:val="24"/>
          <w:szCs w:val="24"/>
        </w:rPr>
        <w:t>occurring beforehand</w:t>
      </w:r>
      <w:r w:rsidR="00AE655B">
        <w:rPr>
          <w:rFonts w:ascii="Times New Roman" w:hAnsi="Times New Roman" w:cs="Times New Roman"/>
          <w:sz w:val="24"/>
          <w:szCs w:val="24"/>
        </w:rPr>
        <w:t xml:space="preserve"> </w:t>
      </w:r>
      <w:r w:rsidR="00334B77">
        <w:rPr>
          <w:rFonts w:ascii="Times New Roman" w:hAnsi="Times New Roman" w:cs="Times New Roman"/>
          <w:sz w:val="24"/>
          <w:szCs w:val="24"/>
        </w:rPr>
        <w:t xml:space="preserve">and </w:t>
      </w:r>
      <w:r w:rsidR="00CD2EF9">
        <w:rPr>
          <w:rFonts w:ascii="Times New Roman" w:hAnsi="Times New Roman" w:cs="Times New Roman"/>
          <w:sz w:val="24"/>
          <w:szCs w:val="24"/>
        </w:rPr>
        <w:t xml:space="preserve">dealing with them afterwards </w:t>
      </w:r>
      <w:r w:rsidR="00B02FFE">
        <w:rPr>
          <w:rFonts w:ascii="Times New Roman" w:hAnsi="Times New Roman" w:cs="Times New Roman"/>
          <w:sz w:val="24"/>
          <w:szCs w:val="24"/>
        </w:rPr>
        <w:t>may</w:t>
      </w:r>
      <w:r w:rsidR="00CD2EF9">
        <w:rPr>
          <w:rFonts w:ascii="Times New Roman" w:hAnsi="Times New Roman" w:cs="Times New Roman"/>
          <w:sz w:val="24"/>
          <w:szCs w:val="24"/>
        </w:rPr>
        <w:t xml:space="preserve"> not always </w:t>
      </w:r>
      <w:r w:rsidR="00862DFF">
        <w:rPr>
          <w:rFonts w:ascii="Times New Roman" w:hAnsi="Times New Roman" w:cs="Times New Roman"/>
          <w:sz w:val="24"/>
          <w:szCs w:val="24"/>
        </w:rPr>
        <w:t xml:space="preserve">restore the violated rights </w:t>
      </w:r>
      <w:r w:rsidR="00C715CA">
        <w:rPr>
          <w:rFonts w:ascii="Times New Roman" w:hAnsi="Times New Roman" w:cs="Times New Roman"/>
          <w:sz w:val="24"/>
          <w:szCs w:val="24"/>
        </w:rPr>
        <w:t xml:space="preserve">on </w:t>
      </w:r>
      <w:r w:rsidR="00CD2EF9">
        <w:rPr>
          <w:rFonts w:ascii="Times New Roman" w:hAnsi="Times New Roman" w:cs="Times New Roman"/>
          <w:sz w:val="24"/>
          <w:szCs w:val="24"/>
        </w:rPr>
        <w:t>the part of the victims</w:t>
      </w:r>
      <w:r w:rsidR="00862DFF">
        <w:rPr>
          <w:rFonts w:ascii="Times New Roman" w:hAnsi="Times New Roman" w:cs="Times New Roman"/>
          <w:sz w:val="24"/>
          <w:szCs w:val="24"/>
        </w:rPr>
        <w:t xml:space="preserve"> fully</w:t>
      </w:r>
      <w:r w:rsidR="00CD2EF9">
        <w:rPr>
          <w:rFonts w:ascii="Times New Roman" w:hAnsi="Times New Roman" w:cs="Times New Roman"/>
          <w:sz w:val="24"/>
          <w:szCs w:val="24"/>
        </w:rPr>
        <w:t xml:space="preserve">.  </w:t>
      </w:r>
      <w:r w:rsidR="004031EB">
        <w:rPr>
          <w:rFonts w:ascii="Times New Roman" w:hAnsi="Times New Roman" w:cs="Times New Roman"/>
          <w:sz w:val="24"/>
          <w:szCs w:val="24"/>
        </w:rPr>
        <w:t xml:space="preserve">Another benefit </w:t>
      </w:r>
      <w:r w:rsidR="00C715CA">
        <w:rPr>
          <w:rFonts w:ascii="Times New Roman" w:hAnsi="Times New Roman" w:cs="Times New Roman"/>
          <w:sz w:val="24"/>
          <w:szCs w:val="24"/>
        </w:rPr>
        <w:t xml:space="preserve">of mandatory judicial involvement </w:t>
      </w:r>
      <w:r w:rsidR="004031EB">
        <w:rPr>
          <w:rFonts w:ascii="Times New Roman" w:hAnsi="Times New Roman" w:cs="Times New Roman"/>
          <w:sz w:val="24"/>
          <w:szCs w:val="24"/>
        </w:rPr>
        <w:t xml:space="preserve">would be that </w:t>
      </w:r>
      <w:r w:rsidR="00C715CA">
        <w:rPr>
          <w:rFonts w:ascii="Times New Roman" w:hAnsi="Times New Roman" w:cs="Times New Roman"/>
          <w:sz w:val="24"/>
          <w:szCs w:val="24"/>
        </w:rPr>
        <w:t xml:space="preserve">it </w:t>
      </w:r>
      <w:r w:rsidR="004031EB">
        <w:rPr>
          <w:rFonts w:ascii="Times New Roman" w:hAnsi="Times New Roman" w:cs="Times New Roman"/>
          <w:sz w:val="24"/>
          <w:szCs w:val="24"/>
        </w:rPr>
        <w:t>w</w:t>
      </w:r>
      <w:r w:rsidR="001117E7">
        <w:rPr>
          <w:rFonts w:ascii="Times New Roman" w:hAnsi="Times New Roman" w:cs="Times New Roman"/>
          <w:sz w:val="24"/>
          <w:szCs w:val="24"/>
        </w:rPr>
        <w:t xml:space="preserve">ould </w:t>
      </w:r>
      <w:r w:rsidR="004031EB">
        <w:rPr>
          <w:rFonts w:ascii="Times New Roman" w:hAnsi="Times New Roman" w:cs="Times New Roman"/>
          <w:sz w:val="24"/>
          <w:szCs w:val="24"/>
        </w:rPr>
        <w:t>naturally encourage</w:t>
      </w:r>
      <w:r w:rsidR="00C715CA">
        <w:rPr>
          <w:rFonts w:ascii="Times New Roman" w:hAnsi="Times New Roman" w:cs="Times New Roman"/>
          <w:sz w:val="24"/>
          <w:szCs w:val="24"/>
        </w:rPr>
        <w:t xml:space="preserve"> the relevant law enforcement authorities</w:t>
      </w:r>
      <w:r w:rsidR="004A2A0C">
        <w:rPr>
          <w:rFonts w:ascii="Times New Roman" w:hAnsi="Times New Roman" w:cs="Times New Roman"/>
          <w:sz w:val="24"/>
          <w:szCs w:val="24"/>
        </w:rPr>
        <w:t xml:space="preserve"> </w:t>
      </w:r>
      <w:r w:rsidR="004031EB">
        <w:rPr>
          <w:rFonts w:ascii="Times New Roman" w:hAnsi="Times New Roman" w:cs="Times New Roman"/>
          <w:sz w:val="24"/>
          <w:szCs w:val="24"/>
        </w:rPr>
        <w:t xml:space="preserve">to consider issues like reasonableness, necessity and proportionality more rigorously, further reducing the </w:t>
      </w:r>
      <w:r w:rsidR="006C494D">
        <w:rPr>
          <w:rFonts w:ascii="Times New Roman" w:hAnsi="Times New Roman" w:cs="Times New Roman"/>
          <w:sz w:val="24"/>
          <w:szCs w:val="24"/>
        </w:rPr>
        <w:t>possibilities</w:t>
      </w:r>
      <w:r w:rsidR="004031EB">
        <w:rPr>
          <w:rFonts w:ascii="Times New Roman" w:hAnsi="Times New Roman" w:cs="Times New Roman"/>
          <w:sz w:val="24"/>
          <w:szCs w:val="24"/>
        </w:rPr>
        <w:t xml:space="preserve"> of </w:t>
      </w:r>
      <w:r w:rsidR="00C715CA">
        <w:rPr>
          <w:rFonts w:ascii="Times New Roman" w:hAnsi="Times New Roman" w:cs="Times New Roman"/>
          <w:sz w:val="24"/>
          <w:szCs w:val="24"/>
        </w:rPr>
        <w:t xml:space="preserve">human rights </w:t>
      </w:r>
      <w:r w:rsidR="004031EB">
        <w:rPr>
          <w:rFonts w:ascii="Times New Roman" w:hAnsi="Times New Roman" w:cs="Times New Roman"/>
          <w:sz w:val="24"/>
          <w:szCs w:val="24"/>
        </w:rPr>
        <w:t>abuse</w:t>
      </w:r>
      <w:r w:rsidR="00C715CA">
        <w:rPr>
          <w:rFonts w:ascii="Times New Roman" w:hAnsi="Times New Roman" w:cs="Times New Roman"/>
          <w:sz w:val="24"/>
          <w:szCs w:val="24"/>
        </w:rPr>
        <w:t>s</w:t>
      </w:r>
      <w:r w:rsidR="009C7380">
        <w:rPr>
          <w:rFonts w:ascii="Times New Roman" w:hAnsi="Times New Roman" w:cs="Times New Roman"/>
          <w:sz w:val="24"/>
          <w:szCs w:val="24"/>
        </w:rPr>
        <w:t>.</w:t>
      </w:r>
      <w:r w:rsidR="006C68AA">
        <w:rPr>
          <w:rFonts w:ascii="Times New Roman" w:hAnsi="Times New Roman" w:cs="Times New Roman"/>
          <w:sz w:val="24"/>
          <w:szCs w:val="24"/>
        </w:rPr>
        <w:t xml:space="preserve"> </w:t>
      </w:r>
      <w:r w:rsidR="009C7380">
        <w:rPr>
          <w:rFonts w:ascii="Times New Roman" w:hAnsi="Times New Roman" w:cs="Times New Roman"/>
          <w:sz w:val="24"/>
          <w:szCs w:val="24"/>
        </w:rPr>
        <w:t>T</w:t>
      </w:r>
      <w:r w:rsidR="006C68AA">
        <w:rPr>
          <w:rFonts w:ascii="Times New Roman" w:hAnsi="Times New Roman" w:cs="Times New Roman"/>
          <w:sz w:val="24"/>
          <w:szCs w:val="24"/>
        </w:rPr>
        <w:t xml:space="preserve">his </w:t>
      </w:r>
      <w:r w:rsidR="00642022">
        <w:rPr>
          <w:rFonts w:ascii="Times New Roman" w:hAnsi="Times New Roman" w:cs="Times New Roman"/>
          <w:sz w:val="24"/>
          <w:szCs w:val="24"/>
        </w:rPr>
        <w:t xml:space="preserve">in turn </w:t>
      </w:r>
      <w:r w:rsidR="00AE655B">
        <w:rPr>
          <w:rFonts w:ascii="Times New Roman" w:hAnsi="Times New Roman" w:cs="Times New Roman"/>
          <w:sz w:val="24"/>
          <w:szCs w:val="24"/>
        </w:rPr>
        <w:t xml:space="preserve">can enhance public confidence in law enforcement. </w:t>
      </w:r>
      <w:r w:rsidR="004A2A0C">
        <w:rPr>
          <w:rFonts w:ascii="Times New Roman" w:hAnsi="Times New Roman" w:cs="Times New Roman"/>
          <w:sz w:val="24"/>
          <w:szCs w:val="24"/>
        </w:rPr>
        <w:t xml:space="preserve"> In addition, when human rights are protected throughout the process, the</w:t>
      </w:r>
      <w:r w:rsidR="00334B77">
        <w:rPr>
          <w:rFonts w:ascii="Times New Roman" w:hAnsi="Times New Roman" w:cs="Times New Roman"/>
          <w:sz w:val="24"/>
          <w:szCs w:val="24"/>
        </w:rPr>
        <w:t xml:space="preserve">re will be no need </w:t>
      </w:r>
      <w:r w:rsidR="00F03EBB">
        <w:rPr>
          <w:rFonts w:ascii="Times New Roman" w:hAnsi="Times New Roman" w:cs="Times New Roman"/>
          <w:sz w:val="24"/>
          <w:szCs w:val="24"/>
        </w:rPr>
        <w:t xml:space="preserve">for victims </w:t>
      </w:r>
      <w:r w:rsidR="00334B77">
        <w:rPr>
          <w:rFonts w:ascii="Times New Roman" w:hAnsi="Times New Roman" w:cs="Times New Roman"/>
          <w:sz w:val="24"/>
          <w:szCs w:val="24"/>
        </w:rPr>
        <w:t xml:space="preserve">to </w:t>
      </w:r>
      <w:r w:rsidR="00F03EBB">
        <w:rPr>
          <w:rFonts w:ascii="Times New Roman" w:hAnsi="Times New Roman" w:cs="Times New Roman"/>
          <w:sz w:val="24"/>
          <w:szCs w:val="24"/>
        </w:rPr>
        <w:t>seek redress and compensation</w:t>
      </w:r>
      <w:r w:rsidR="004A2A0C">
        <w:rPr>
          <w:rFonts w:ascii="Times New Roman" w:hAnsi="Times New Roman" w:cs="Times New Roman"/>
          <w:sz w:val="24"/>
          <w:szCs w:val="24"/>
        </w:rPr>
        <w:t xml:space="preserve">, </w:t>
      </w:r>
      <w:r w:rsidR="00AD4D34">
        <w:rPr>
          <w:rFonts w:ascii="Times New Roman" w:hAnsi="Times New Roman" w:cs="Times New Roman"/>
          <w:sz w:val="24"/>
          <w:szCs w:val="24"/>
        </w:rPr>
        <w:t xml:space="preserve">saving a good amount </w:t>
      </w:r>
      <w:r w:rsidR="00CD2EF9">
        <w:rPr>
          <w:rFonts w:ascii="Times New Roman" w:hAnsi="Times New Roman" w:cs="Times New Roman"/>
          <w:sz w:val="24"/>
          <w:szCs w:val="24"/>
        </w:rPr>
        <w:t>of</w:t>
      </w:r>
      <w:r w:rsidR="00AD4D34">
        <w:rPr>
          <w:rFonts w:ascii="Times New Roman" w:hAnsi="Times New Roman" w:cs="Times New Roman"/>
          <w:sz w:val="24"/>
          <w:szCs w:val="24"/>
        </w:rPr>
        <w:t xml:space="preserve"> </w:t>
      </w:r>
      <w:r w:rsidR="00F03EBB">
        <w:rPr>
          <w:rFonts w:ascii="Times New Roman" w:hAnsi="Times New Roman" w:cs="Times New Roman"/>
          <w:sz w:val="24"/>
          <w:szCs w:val="24"/>
        </w:rPr>
        <w:t>money which can be channelled into</w:t>
      </w:r>
      <w:r w:rsidR="0048212C">
        <w:rPr>
          <w:rFonts w:ascii="Times New Roman" w:hAnsi="Times New Roman" w:cs="Times New Roman"/>
          <w:sz w:val="24"/>
          <w:szCs w:val="24"/>
        </w:rPr>
        <w:t xml:space="preserve"> meaningful purposes</w:t>
      </w:r>
      <w:r w:rsidR="00F03EBB">
        <w:rPr>
          <w:rFonts w:ascii="Times New Roman" w:hAnsi="Times New Roman" w:cs="Times New Roman"/>
          <w:sz w:val="24"/>
          <w:szCs w:val="24"/>
        </w:rPr>
        <w:t xml:space="preserve"> such as investment in technology</w:t>
      </w:r>
      <w:r w:rsidR="00155FA8">
        <w:rPr>
          <w:rFonts w:ascii="Times New Roman" w:hAnsi="Times New Roman" w:cs="Times New Roman"/>
          <w:sz w:val="24"/>
          <w:szCs w:val="24"/>
        </w:rPr>
        <w:t xml:space="preserve"> and</w:t>
      </w:r>
      <w:r w:rsidR="00F03EBB">
        <w:rPr>
          <w:rFonts w:ascii="Times New Roman" w:hAnsi="Times New Roman" w:cs="Times New Roman"/>
          <w:sz w:val="24"/>
          <w:szCs w:val="24"/>
        </w:rPr>
        <w:t xml:space="preserve"> training</w:t>
      </w:r>
      <w:r w:rsidR="00155FA8">
        <w:rPr>
          <w:rFonts w:ascii="Times New Roman" w:hAnsi="Times New Roman" w:cs="Times New Roman"/>
          <w:sz w:val="24"/>
          <w:szCs w:val="24"/>
        </w:rPr>
        <w:t xml:space="preserve"> of law enforcement </w:t>
      </w:r>
      <w:r w:rsidR="001117E7">
        <w:rPr>
          <w:rFonts w:ascii="Times New Roman" w:hAnsi="Times New Roman" w:cs="Times New Roman"/>
          <w:sz w:val="24"/>
          <w:szCs w:val="24"/>
        </w:rPr>
        <w:t>officials</w:t>
      </w:r>
      <w:r w:rsidR="00AD4D34">
        <w:rPr>
          <w:rFonts w:ascii="Times New Roman" w:hAnsi="Times New Roman" w:cs="Times New Roman"/>
          <w:sz w:val="24"/>
          <w:szCs w:val="24"/>
        </w:rPr>
        <w:t xml:space="preserve">.  </w:t>
      </w:r>
      <w:r w:rsidR="0048212C">
        <w:rPr>
          <w:rFonts w:ascii="Times New Roman" w:hAnsi="Times New Roman" w:cs="Times New Roman"/>
          <w:sz w:val="24"/>
          <w:szCs w:val="24"/>
        </w:rPr>
        <w:t xml:space="preserve"> </w:t>
      </w:r>
      <w:r w:rsidR="001B744E">
        <w:rPr>
          <w:rFonts w:ascii="Times New Roman" w:hAnsi="Times New Roman" w:cs="Times New Roman"/>
          <w:sz w:val="24"/>
          <w:szCs w:val="24"/>
        </w:rPr>
        <w:t xml:space="preserve">Mandatory judicial scrutiny </w:t>
      </w:r>
      <w:r w:rsidR="005409A9">
        <w:rPr>
          <w:rFonts w:ascii="Times New Roman" w:hAnsi="Times New Roman" w:cs="Times New Roman"/>
          <w:sz w:val="24"/>
          <w:szCs w:val="24"/>
        </w:rPr>
        <w:t xml:space="preserve">is not totally out of line with the current trend in </w:t>
      </w:r>
      <w:r w:rsidR="005B6CC1">
        <w:rPr>
          <w:rFonts w:ascii="Times New Roman" w:hAnsi="Times New Roman" w:cs="Times New Roman"/>
          <w:sz w:val="24"/>
          <w:szCs w:val="24"/>
        </w:rPr>
        <w:t>S</w:t>
      </w:r>
      <w:r w:rsidR="005409A9">
        <w:rPr>
          <w:rFonts w:ascii="Times New Roman" w:hAnsi="Times New Roman" w:cs="Times New Roman"/>
          <w:sz w:val="24"/>
          <w:szCs w:val="24"/>
        </w:rPr>
        <w:t>tate practice, as a number of States</w:t>
      </w:r>
      <w:r w:rsidR="00403FE1">
        <w:rPr>
          <w:rFonts w:ascii="Times New Roman" w:hAnsi="Times New Roman" w:cs="Times New Roman"/>
          <w:sz w:val="24"/>
          <w:szCs w:val="24"/>
        </w:rPr>
        <w:t xml:space="preserve">, including </w:t>
      </w:r>
      <w:r w:rsidR="0092005F" w:rsidRPr="00C21F3C">
        <w:rPr>
          <w:rFonts w:ascii="Times New Roman" w:hAnsi="Times New Roman"/>
          <w:sz w:val="24"/>
          <w:szCs w:val="24"/>
        </w:rPr>
        <w:t>Australia,</w:t>
      </w:r>
      <w:r w:rsidR="0092005F" w:rsidRPr="00C21F3C">
        <w:rPr>
          <w:rStyle w:val="FootnoteReference"/>
          <w:rFonts w:ascii="Times New Roman" w:hAnsi="Times New Roman"/>
          <w:sz w:val="24"/>
          <w:szCs w:val="24"/>
        </w:rPr>
        <w:footnoteReference w:id="80"/>
      </w:r>
      <w:r w:rsidR="0092005F" w:rsidRPr="00C21F3C">
        <w:rPr>
          <w:rFonts w:ascii="Times New Roman" w:hAnsi="Times New Roman"/>
          <w:sz w:val="24"/>
          <w:szCs w:val="24"/>
        </w:rPr>
        <w:t xml:space="preserve"> Canada,</w:t>
      </w:r>
      <w:r w:rsidR="0092005F" w:rsidRPr="00C21F3C">
        <w:rPr>
          <w:rStyle w:val="FootnoteReference"/>
          <w:rFonts w:ascii="Times New Roman" w:hAnsi="Times New Roman"/>
          <w:sz w:val="24"/>
          <w:szCs w:val="24"/>
        </w:rPr>
        <w:footnoteReference w:id="81"/>
      </w:r>
      <w:r w:rsidR="0092005F" w:rsidRPr="00C21F3C">
        <w:rPr>
          <w:rFonts w:ascii="Times New Roman" w:hAnsi="Times New Roman"/>
          <w:sz w:val="24"/>
          <w:szCs w:val="24"/>
        </w:rPr>
        <w:t xml:space="preserve"> Germany,</w:t>
      </w:r>
      <w:r w:rsidR="0092005F" w:rsidRPr="00C21F3C">
        <w:rPr>
          <w:rStyle w:val="FootnoteReference"/>
          <w:rFonts w:ascii="Times New Roman" w:hAnsi="Times New Roman"/>
          <w:sz w:val="24"/>
          <w:szCs w:val="24"/>
        </w:rPr>
        <w:footnoteReference w:id="82"/>
      </w:r>
      <w:r w:rsidR="0092005F" w:rsidRPr="00C21F3C">
        <w:rPr>
          <w:rFonts w:ascii="Times New Roman" w:hAnsi="Times New Roman"/>
          <w:sz w:val="24"/>
          <w:szCs w:val="24"/>
        </w:rPr>
        <w:t xml:space="preserve"> the Netherlands,</w:t>
      </w:r>
      <w:r w:rsidR="0092005F" w:rsidRPr="00C21F3C">
        <w:rPr>
          <w:rStyle w:val="FootnoteReference"/>
          <w:rFonts w:ascii="Times New Roman" w:hAnsi="Times New Roman"/>
          <w:sz w:val="24"/>
          <w:szCs w:val="24"/>
        </w:rPr>
        <w:footnoteReference w:id="83"/>
      </w:r>
      <w:r w:rsidR="0092005F" w:rsidRPr="00C21F3C">
        <w:rPr>
          <w:rFonts w:ascii="Times New Roman" w:hAnsi="Times New Roman"/>
          <w:sz w:val="24"/>
          <w:szCs w:val="24"/>
        </w:rPr>
        <w:t xml:space="preserve"> Poland,</w:t>
      </w:r>
      <w:r w:rsidR="0092005F" w:rsidRPr="00C21F3C">
        <w:rPr>
          <w:rStyle w:val="FootnoteReference"/>
          <w:rFonts w:ascii="Times New Roman" w:hAnsi="Times New Roman"/>
          <w:sz w:val="24"/>
          <w:szCs w:val="24"/>
        </w:rPr>
        <w:footnoteReference w:id="84"/>
      </w:r>
      <w:r w:rsidR="0092005F" w:rsidRPr="00C21F3C">
        <w:rPr>
          <w:rFonts w:ascii="Times New Roman" w:hAnsi="Times New Roman"/>
          <w:sz w:val="24"/>
          <w:szCs w:val="24"/>
        </w:rPr>
        <w:t xml:space="preserve"> South Africa,</w:t>
      </w:r>
      <w:r w:rsidR="0092005F" w:rsidRPr="00C21F3C">
        <w:rPr>
          <w:rStyle w:val="FootnoteReference"/>
          <w:rFonts w:ascii="Times New Roman" w:hAnsi="Times New Roman"/>
          <w:sz w:val="24"/>
          <w:szCs w:val="24"/>
        </w:rPr>
        <w:footnoteReference w:id="85"/>
      </w:r>
      <w:r w:rsidR="0092005F" w:rsidRPr="00C21F3C">
        <w:rPr>
          <w:rFonts w:ascii="Times New Roman" w:hAnsi="Times New Roman"/>
          <w:sz w:val="24"/>
          <w:szCs w:val="24"/>
        </w:rPr>
        <w:t xml:space="preserve"> Spain,</w:t>
      </w:r>
      <w:r w:rsidR="0092005F" w:rsidRPr="00C21F3C">
        <w:rPr>
          <w:rStyle w:val="FootnoteReference"/>
          <w:rFonts w:ascii="Times New Roman" w:hAnsi="Times New Roman"/>
          <w:sz w:val="24"/>
          <w:szCs w:val="24"/>
        </w:rPr>
        <w:footnoteReference w:id="86"/>
      </w:r>
      <w:r w:rsidR="0092005F" w:rsidRPr="00C21F3C">
        <w:rPr>
          <w:rFonts w:ascii="Times New Roman" w:hAnsi="Times New Roman"/>
          <w:sz w:val="24"/>
          <w:szCs w:val="24"/>
        </w:rPr>
        <w:t xml:space="preserve"> Switzerland</w:t>
      </w:r>
      <w:r w:rsidR="0092005F" w:rsidRPr="00C21F3C">
        <w:rPr>
          <w:rStyle w:val="FootnoteReference"/>
          <w:rFonts w:ascii="Times New Roman" w:hAnsi="Times New Roman"/>
          <w:sz w:val="24"/>
          <w:szCs w:val="24"/>
        </w:rPr>
        <w:footnoteReference w:id="87"/>
      </w:r>
      <w:r w:rsidR="0092005F" w:rsidRPr="00C21F3C">
        <w:rPr>
          <w:rFonts w:ascii="Times New Roman" w:hAnsi="Times New Roman"/>
          <w:sz w:val="24"/>
          <w:szCs w:val="24"/>
        </w:rPr>
        <w:t xml:space="preserve"> </w:t>
      </w:r>
      <w:r w:rsidR="0092005F">
        <w:rPr>
          <w:rFonts w:ascii="Times New Roman" w:hAnsi="Times New Roman"/>
          <w:sz w:val="24"/>
          <w:szCs w:val="24"/>
        </w:rPr>
        <w:t>and the</w:t>
      </w:r>
      <w:r w:rsidR="00403FE1">
        <w:rPr>
          <w:rFonts w:ascii="Times New Roman" w:hAnsi="Times New Roman" w:cs="Times New Roman"/>
          <w:sz w:val="24"/>
          <w:szCs w:val="24"/>
        </w:rPr>
        <w:t xml:space="preserve"> United Kingdom</w:t>
      </w:r>
      <w:r w:rsidR="00403FE1">
        <w:rPr>
          <w:rStyle w:val="FootnoteReference"/>
          <w:rFonts w:ascii="Times New Roman" w:hAnsi="Times New Roman" w:cs="Times New Roman"/>
          <w:sz w:val="24"/>
          <w:szCs w:val="24"/>
        </w:rPr>
        <w:footnoteReference w:id="88"/>
      </w:r>
      <w:r w:rsidR="00F65C31">
        <w:rPr>
          <w:rFonts w:ascii="Times New Roman" w:hAnsi="Times New Roman" w:cs="Times New Roman"/>
          <w:sz w:val="24"/>
          <w:szCs w:val="24"/>
        </w:rPr>
        <w:t xml:space="preserve"> </w:t>
      </w:r>
      <w:r w:rsidR="00403FE1">
        <w:rPr>
          <w:rFonts w:ascii="Times New Roman" w:hAnsi="Times New Roman" w:cs="Times New Roman"/>
          <w:sz w:val="24"/>
          <w:szCs w:val="24"/>
        </w:rPr>
        <w:t xml:space="preserve"> </w:t>
      </w:r>
      <w:r w:rsidR="0092005F">
        <w:rPr>
          <w:rFonts w:ascii="Times New Roman" w:hAnsi="Times New Roman" w:cs="Times New Roman"/>
          <w:sz w:val="24"/>
          <w:szCs w:val="24"/>
        </w:rPr>
        <w:t>already require prior judicial authorisation and/or oversight</w:t>
      </w:r>
      <w:r w:rsidR="00530FA4">
        <w:rPr>
          <w:rFonts w:ascii="Times New Roman" w:hAnsi="Times New Roman" w:cs="Times New Roman"/>
          <w:sz w:val="24"/>
          <w:szCs w:val="24"/>
        </w:rPr>
        <w:t xml:space="preserve"> one way </w:t>
      </w:r>
      <w:r w:rsidR="00530FA4">
        <w:rPr>
          <w:rFonts w:ascii="Times New Roman" w:hAnsi="Times New Roman" w:cs="Times New Roman"/>
          <w:sz w:val="24"/>
          <w:szCs w:val="24"/>
        </w:rPr>
        <w:lastRenderedPageBreak/>
        <w:t>or another</w:t>
      </w:r>
      <w:r w:rsidR="0092005F">
        <w:rPr>
          <w:rFonts w:ascii="Times New Roman" w:hAnsi="Times New Roman" w:cs="Times New Roman"/>
          <w:sz w:val="24"/>
          <w:szCs w:val="24"/>
        </w:rPr>
        <w:t xml:space="preserve">.  </w:t>
      </w:r>
      <w:r w:rsidR="00334B77">
        <w:rPr>
          <w:rFonts w:ascii="Times New Roman" w:hAnsi="Times New Roman" w:cs="Times New Roman"/>
          <w:sz w:val="24"/>
          <w:szCs w:val="24"/>
        </w:rPr>
        <w:t xml:space="preserve">The Human Rights Committee also has used a stronger language </w:t>
      </w:r>
      <w:r w:rsidR="0002532A">
        <w:rPr>
          <w:rFonts w:ascii="Times New Roman" w:hAnsi="Times New Roman" w:cs="Times New Roman"/>
          <w:sz w:val="24"/>
          <w:szCs w:val="24"/>
        </w:rPr>
        <w:t xml:space="preserve">by urging </w:t>
      </w:r>
      <w:r w:rsidR="00334B77">
        <w:rPr>
          <w:rFonts w:ascii="Times New Roman" w:hAnsi="Times New Roman" w:cs="Times New Roman"/>
          <w:sz w:val="24"/>
          <w:szCs w:val="24"/>
        </w:rPr>
        <w:t>States to ensure that the judiciary is involved in all cases of special investigative techniques, including authorisation and oversight</w:t>
      </w:r>
      <w:r w:rsidR="0092005F">
        <w:rPr>
          <w:rFonts w:ascii="Times New Roman" w:hAnsi="Times New Roman" w:cs="Times New Roman"/>
          <w:sz w:val="24"/>
          <w:szCs w:val="24"/>
        </w:rPr>
        <w:t>,</w:t>
      </w:r>
      <w:r w:rsidR="00334B77">
        <w:rPr>
          <w:rStyle w:val="FootnoteReference"/>
          <w:rFonts w:ascii="Times New Roman" w:hAnsi="Times New Roman" w:cs="Times New Roman"/>
          <w:sz w:val="24"/>
          <w:szCs w:val="24"/>
        </w:rPr>
        <w:footnoteReference w:id="89"/>
      </w:r>
      <w:r w:rsidR="00334B77">
        <w:rPr>
          <w:rFonts w:ascii="Times New Roman" w:hAnsi="Times New Roman" w:cs="Times New Roman"/>
          <w:sz w:val="24"/>
          <w:szCs w:val="24"/>
        </w:rPr>
        <w:t xml:space="preserve"> </w:t>
      </w:r>
      <w:r w:rsidR="0092005F">
        <w:rPr>
          <w:rFonts w:ascii="Times New Roman" w:hAnsi="Times New Roman" w:cs="Times New Roman"/>
          <w:sz w:val="24"/>
          <w:szCs w:val="24"/>
        </w:rPr>
        <w:t>and</w:t>
      </w:r>
      <w:r w:rsidR="00F87354">
        <w:rPr>
          <w:rFonts w:ascii="Times New Roman" w:hAnsi="Times New Roman" w:cs="Times New Roman"/>
          <w:sz w:val="24"/>
          <w:szCs w:val="24"/>
        </w:rPr>
        <w:t xml:space="preserve"> </w:t>
      </w:r>
      <w:r w:rsidR="0092005F">
        <w:rPr>
          <w:rFonts w:ascii="Times New Roman" w:hAnsi="Times New Roman" w:cs="Times New Roman"/>
          <w:sz w:val="24"/>
          <w:szCs w:val="24"/>
        </w:rPr>
        <w:t>scholar</w:t>
      </w:r>
      <w:r w:rsidR="001D4016">
        <w:rPr>
          <w:rFonts w:ascii="Times New Roman" w:hAnsi="Times New Roman" w:cs="Times New Roman"/>
          <w:sz w:val="24"/>
          <w:szCs w:val="24"/>
        </w:rPr>
        <w:t>s</w:t>
      </w:r>
      <w:r w:rsidR="0092005F">
        <w:rPr>
          <w:rFonts w:ascii="Times New Roman" w:hAnsi="Times New Roman" w:cs="Times New Roman"/>
          <w:sz w:val="24"/>
          <w:szCs w:val="24"/>
        </w:rPr>
        <w:t xml:space="preserve"> support such a move</w:t>
      </w:r>
      <w:r w:rsidR="003D0FFE">
        <w:rPr>
          <w:rFonts w:ascii="Times New Roman" w:hAnsi="Times New Roman" w:cs="Times New Roman"/>
          <w:sz w:val="24"/>
          <w:szCs w:val="24"/>
        </w:rPr>
        <w:t xml:space="preserve"> as well</w:t>
      </w:r>
      <w:r w:rsidR="0092005F">
        <w:rPr>
          <w:rFonts w:ascii="Times New Roman" w:hAnsi="Times New Roman" w:cs="Times New Roman"/>
          <w:sz w:val="24"/>
          <w:szCs w:val="24"/>
        </w:rPr>
        <w:t>.</w:t>
      </w:r>
      <w:r w:rsidR="0092005F">
        <w:rPr>
          <w:rStyle w:val="FootnoteReference"/>
          <w:rFonts w:ascii="Times New Roman" w:hAnsi="Times New Roman" w:cs="Times New Roman"/>
          <w:sz w:val="24"/>
          <w:szCs w:val="24"/>
        </w:rPr>
        <w:footnoteReference w:id="90"/>
      </w:r>
      <w:r w:rsidR="0092005F">
        <w:rPr>
          <w:rFonts w:ascii="Times New Roman" w:hAnsi="Times New Roman" w:cs="Times New Roman"/>
          <w:sz w:val="24"/>
          <w:szCs w:val="24"/>
        </w:rPr>
        <w:t xml:space="preserve">  </w:t>
      </w:r>
    </w:p>
    <w:p w:rsidR="008073C0" w:rsidRDefault="00B06861" w:rsidP="00DB503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terms of the </w:t>
      </w:r>
      <w:r w:rsidR="00DD3D3B">
        <w:rPr>
          <w:rFonts w:ascii="Times New Roman" w:hAnsi="Times New Roman" w:cs="Times New Roman"/>
          <w:sz w:val="24"/>
          <w:szCs w:val="24"/>
        </w:rPr>
        <w:t>punishment</w:t>
      </w:r>
      <w:r>
        <w:rPr>
          <w:rFonts w:ascii="Times New Roman" w:hAnsi="Times New Roman" w:cs="Times New Roman"/>
          <w:sz w:val="24"/>
          <w:szCs w:val="24"/>
        </w:rPr>
        <w:t xml:space="preserve"> for </w:t>
      </w:r>
      <w:r w:rsidR="00405063">
        <w:rPr>
          <w:rFonts w:ascii="Times New Roman" w:hAnsi="Times New Roman" w:cs="Times New Roman"/>
          <w:sz w:val="24"/>
          <w:szCs w:val="24"/>
        </w:rPr>
        <w:t xml:space="preserve">transnational </w:t>
      </w:r>
      <w:r>
        <w:rPr>
          <w:rFonts w:ascii="Times New Roman" w:hAnsi="Times New Roman" w:cs="Times New Roman"/>
          <w:sz w:val="24"/>
          <w:szCs w:val="24"/>
        </w:rPr>
        <w:t>organised crime, the human rights bodies</w:t>
      </w:r>
      <w:r w:rsidR="0000748D">
        <w:rPr>
          <w:rFonts w:ascii="Times New Roman" w:hAnsi="Times New Roman" w:cs="Times New Roman"/>
          <w:sz w:val="24"/>
          <w:szCs w:val="24"/>
        </w:rPr>
        <w:t xml:space="preserve"> </w:t>
      </w:r>
      <w:r w:rsidR="00DB5038">
        <w:rPr>
          <w:rFonts w:ascii="Times New Roman" w:hAnsi="Times New Roman" w:cs="Times New Roman"/>
          <w:sz w:val="24"/>
          <w:szCs w:val="24"/>
        </w:rPr>
        <w:t>generally</w:t>
      </w:r>
      <w:r w:rsidR="00E83C4E">
        <w:rPr>
          <w:rFonts w:ascii="Times New Roman" w:hAnsi="Times New Roman" w:cs="Times New Roman"/>
          <w:sz w:val="24"/>
          <w:szCs w:val="24"/>
        </w:rPr>
        <w:t xml:space="preserve"> support</w:t>
      </w:r>
      <w:r>
        <w:rPr>
          <w:rFonts w:ascii="Times New Roman" w:hAnsi="Times New Roman" w:cs="Times New Roman"/>
          <w:sz w:val="24"/>
          <w:szCs w:val="24"/>
        </w:rPr>
        <w:t xml:space="preserve"> effective and appropriate penalties which reflect the gravity of offences in question.</w:t>
      </w:r>
      <w:r w:rsidR="00E83C4E">
        <w:rPr>
          <w:rStyle w:val="FootnoteReference"/>
          <w:rFonts w:ascii="Times New Roman" w:hAnsi="Times New Roman" w:cs="Times New Roman"/>
          <w:sz w:val="24"/>
          <w:szCs w:val="24"/>
        </w:rPr>
        <w:footnoteReference w:id="91"/>
      </w:r>
      <w:r>
        <w:rPr>
          <w:rFonts w:ascii="Times New Roman" w:hAnsi="Times New Roman" w:cs="Times New Roman"/>
          <w:sz w:val="24"/>
          <w:szCs w:val="24"/>
        </w:rPr>
        <w:t xml:space="preserve">   </w:t>
      </w:r>
      <w:r w:rsidR="00DB5038">
        <w:rPr>
          <w:rFonts w:ascii="Times New Roman" w:hAnsi="Times New Roman" w:cs="Times New Roman"/>
          <w:sz w:val="24"/>
          <w:szCs w:val="24"/>
        </w:rPr>
        <w:t xml:space="preserve">A wide margin of appreciation is naturally granted </w:t>
      </w:r>
      <w:r w:rsidR="00212109">
        <w:rPr>
          <w:rFonts w:ascii="Times New Roman" w:hAnsi="Times New Roman" w:cs="Times New Roman"/>
          <w:sz w:val="24"/>
          <w:szCs w:val="24"/>
        </w:rPr>
        <w:t xml:space="preserve">to States </w:t>
      </w:r>
      <w:r w:rsidR="00DB5038">
        <w:rPr>
          <w:rFonts w:ascii="Times New Roman" w:hAnsi="Times New Roman" w:cs="Times New Roman"/>
          <w:sz w:val="24"/>
          <w:szCs w:val="24"/>
        </w:rPr>
        <w:t xml:space="preserve">in determining the levels of punishment, as the perceptions </w:t>
      </w:r>
      <w:r w:rsidR="008B5E9A">
        <w:rPr>
          <w:rFonts w:ascii="Times New Roman" w:hAnsi="Times New Roman" w:cs="Times New Roman"/>
          <w:sz w:val="24"/>
          <w:szCs w:val="24"/>
        </w:rPr>
        <w:t xml:space="preserve">on </w:t>
      </w:r>
      <w:r w:rsidR="00DB5038">
        <w:rPr>
          <w:rFonts w:ascii="Times New Roman" w:hAnsi="Times New Roman" w:cs="Times New Roman"/>
          <w:sz w:val="24"/>
          <w:szCs w:val="24"/>
        </w:rPr>
        <w:t xml:space="preserve">the seriousness of organised crime are influenced by </w:t>
      </w:r>
      <w:r w:rsidR="00D10140">
        <w:rPr>
          <w:rFonts w:ascii="Times New Roman" w:hAnsi="Times New Roman" w:cs="Times New Roman"/>
          <w:sz w:val="24"/>
          <w:szCs w:val="24"/>
        </w:rPr>
        <w:t xml:space="preserve">their </w:t>
      </w:r>
      <w:r w:rsidR="00DB5038">
        <w:rPr>
          <w:rFonts w:ascii="Times New Roman" w:hAnsi="Times New Roman" w:cs="Times New Roman"/>
          <w:sz w:val="24"/>
          <w:szCs w:val="24"/>
        </w:rPr>
        <w:t>political, social, moral, and cultural underpinnings</w:t>
      </w:r>
      <w:r w:rsidR="00284217">
        <w:rPr>
          <w:rFonts w:ascii="Times New Roman" w:hAnsi="Times New Roman" w:cs="Times New Roman"/>
          <w:sz w:val="24"/>
          <w:szCs w:val="24"/>
        </w:rPr>
        <w:t xml:space="preserve">, </w:t>
      </w:r>
      <w:r w:rsidR="00FB478A">
        <w:rPr>
          <w:rFonts w:ascii="Times New Roman" w:hAnsi="Times New Roman" w:cs="Times New Roman"/>
          <w:sz w:val="24"/>
          <w:szCs w:val="24"/>
        </w:rPr>
        <w:t>making it</w:t>
      </w:r>
      <w:r w:rsidR="00284217">
        <w:rPr>
          <w:rFonts w:ascii="Times New Roman" w:hAnsi="Times New Roman" w:cs="Times New Roman"/>
          <w:sz w:val="24"/>
          <w:szCs w:val="24"/>
        </w:rPr>
        <w:t xml:space="preserve"> </w:t>
      </w:r>
      <w:r w:rsidR="00DB5038">
        <w:rPr>
          <w:rFonts w:ascii="Times New Roman" w:hAnsi="Times New Roman" w:cs="Times New Roman"/>
          <w:sz w:val="24"/>
          <w:szCs w:val="24"/>
        </w:rPr>
        <w:t>impossible</w:t>
      </w:r>
      <w:r w:rsidR="00E503B1">
        <w:rPr>
          <w:rFonts w:ascii="Times New Roman" w:hAnsi="Times New Roman" w:cs="Times New Roman"/>
          <w:sz w:val="24"/>
          <w:szCs w:val="24"/>
        </w:rPr>
        <w:t xml:space="preserve"> agree </w:t>
      </w:r>
      <w:r w:rsidR="00DB5038">
        <w:rPr>
          <w:rFonts w:ascii="Times New Roman" w:hAnsi="Times New Roman" w:cs="Times New Roman"/>
          <w:sz w:val="24"/>
          <w:szCs w:val="24"/>
        </w:rPr>
        <w:t xml:space="preserve">on uniform </w:t>
      </w:r>
      <w:r w:rsidR="00424773">
        <w:rPr>
          <w:rFonts w:ascii="Times New Roman" w:hAnsi="Times New Roman" w:cs="Times New Roman"/>
          <w:sz w:val="24"/>
          <w:szCs w:val="24"/>
        </w:rPr>
        <w:t>rules</w:t>
      </w:r>
      <w:r w:rsidR="00DB5038">
        <w:rPr>
          <w:rFonts w:ascii="Times New Roman" w:hAnsi="Times New Roman" w:cs="Times New Roman"/>
          <w:sz w:val="24"/>
          <w:szCs w:val="24"/>
        </w:rPr>
        <w:t xml:space="preserve">.  </w:t>
      </w:r>
      <w:r w:rsidR="00FE7C58">
        <w:rPr>
          <w:rFonts w:ascii="Times New Roman" w:hAnsi="Times New Roman" w:cs="Times New Roman"/>
          <w:sz w:val="24"/>
          <w:szCs w:val="24"/>
        </w:rPr>
        <w:t>Having said this,</w:t>
      </w:r>
      <w:r w:rsidR="00230E2A">
        <w:rPr>
          <w:rFonts w:ascii="Times New Roman" w:hAnsi="Times New Roman" w:cs="Times New Roman"/>
          <w:sz w:val="24"/>
          <w:szCs w:val="24"/>
        </w:rPr>
        <w:t xml:space="preserve"> there</w:t>
      </w:r>
      <w:r w:rsidR="00FE7C58">
        <w:rPr>
          <w:rFonts w:ascii="Times New Roman" w:hAnsi="Times New Roman" w:cs="Times New Roman"/>
          <w:sz w:val="24"/>
          <w:szCs w:val="24"/>
        </w:rPr>
        <w:t xml:space="preserve"> </w:t>
      </w:r>
      <w:r w:rsidR="00C273A7">
        <w:rPr>
          <w:rFonts w:ascii="Times New Roman" w:hAnsi="Times New Roman" w:cs="Times New Roman"/>
          <w:sz w:val="24"/>
          <w:szCs w:val="24"/>
        </w:rPr>
        <w:t xml:space="preserve">is </w:t>
      </w:r>
      <w:r w:rsidR="00230E2A">
        <w:rPr>
          <w:rFonts w:ascii="Times New Roman" w:hAnsi="Times New Roman" w:cs="Times New Roman"/>
          <w:sz w:val="24"/>
          <w:szCs w:val="24"/>
        </w:rPr>
        <w:t>a consensus</w:t>
      </w:r>
      <w:r w:rsidR="0017600D">
        <w:rPr>
          <w:rFonts w:ascii="Times New Roman" w:hAnsi="Times New Roman" w:cs="Times New Roman"/>
          <w:sz w:val="24"/>
          <w:szCs w:val="24"/>
        </w:rPr>
        <w:t xml:space="preserve"> that </w:t>
      </w:r>
      <w:r w:rsidR="00FE7C58">
        <w:rPr>
          <w:rFonts w:ascii="Times New Roman" w:hAnsi="Times New Roman" w:cs="Times New Roman"/>
          <w:sz w:val="24"/>
          <w:szCs w:val="24"/>
        </w:rPr>
        <w:t xml:space="preserve">the death penalty </w:t>
      </w:r>
      <w:r w:rsidR="0017600D">
        <w:rPr>
          <w:rFonts w:ascii="Times New Roman" w:hAnsi="Times New Roman" w:cs="Times New Roman"/>
          <w:sz w:val="24"/>
          <w:szCs w:val="24"/>
        </w:rPr>
        <w:t xml:space="preserve">should not be imposed </w:t>
      </w:r>
      <w:r w:rsidR="00FE7C58">
        <w:rPr>
          <w:rFonts w:ascii="Times New Roman" w:hAnsi="Times New Roman" w:cs="Times New Roman"/>
          <w:sz w:val="24"/>
          <w:szCs w:val="24"/>
        </w:rPr>
        <w:t xml:space="preserve">for </w:t>
      </w:r>
      <w:r w:rsidR="0017600D">
        <w:rPr>
          <w:rFonts w:ascii="Times New Roman" w:hAnsi="Times New Roman" w:cs="Times New Roman"/>
          <w:sz w:val="24"/>
          <w:szCs w:val="24"/>
        </w:rPr>
        <w:t xml:space="preserve">transnational </w:t>
      </w:r>
      <w:r w:rsidR="00FE7C58">
        <w:rPr>
          <w:rFonts w:ascii="Times New Roman" w:hAnsi="Times New Roman" w:cs="Times New Roman"/>
          <w:sz w:val="24"/>
          <w:szCs w:val="24"/>
        </w:rPr>
        <w:t xml:space="preserve">organised crime.  </w:t>
      </w:r>
      <w:r w:rsidR="000E1E2C">
        <w:rPr>
          <w:rFonts w:ascii="Times New Roman" w:hAnsi="Times New Roman" w:cs="Times New Roman"/>
          <w:sz w:val="24"/>
          <w:szCs w:val="24"/>
        </w:rPr>
        <w:t>The ICCPR does not strictly prohibit this punishment as it is allowed for “most serious crime</w:t>
      </w:r>
      <w:r w:rsidR="005A122A">
        <w:rPr>
          <w:rFonts w:ascii="Times New Roman" w:hAnsi="Times New Roman" w:cs="Times New Roman"/>
          <w:sz w:val="24"/>
          <w:szCs w:val="24"/>
        </w:rPr>
        <w:t>.</w:t>
      </w:r>
      <w:r w:rsidR="000E1E2C">
        <w:rPr>
          <w:rFonts w:ascii="Times New Roman" w:hAnsi="Times New Roman" w:cs="Times New Roman"/>
          <w:sz w:val="24"/>
          <w:szCs w:val="24"/>
        </w:rPr>
        <w:t>”</w:t>
      </w:r>
      <w:r w:rsidR="000E1E2C">
        <w:rPr>
          <w:rStyle w:val="FootnoteReference"/>
          <w:rFonts w:ascii="Times New Roman" w:hAnsi="Times New Roman" w:cs="Times New Roman"/>
          <w:sz w:val="24"/>
          <w:szCs w:val="24"/>
        </w:rPr>
        <w:footnoteReference w:id="92"/>
      </w:r>
      <w:r w:rsidR="000E1E2C">
        <w:rPr>
          <w:rFonts w:ascii="Times New Roman" w:hAnsi="Times New Roman" w:cs="Times New Roman"/>
          <w:sz w:val="24"/>
          <w:szCs w:val="24"/>
        </w:rPr>
        <w:t xml:space="preserve">   The fact that only 85 States have ratified the Second Optional Protocol to the ICCPR Abolishing the Death Penalty (out of 169 Parties to the ICCPR)</w:t>
      </w:r>
      <w:r w:rsidR="000E1E2C">
        <w:rPr>
          <w:rStyle w:val="FootnoteReference"/>
          <w:rFonts w:ascii="Times New Roman" w:hAnsi="Times New Roman" w:cs="Times New Roman"/>
          <w:sz w:val="24"/>
          <w:szCs w:val="24"/>
        </w:rPr>
        <w:footnoteReference w:id="93"/>
      </w:r>
      <w:r w:rsidR="00D31F96">
        <w:rPr>
          <w:rFonts w:ascii="Times New Roman" w:hAnsi="Times New Roman" w:cs="Times New Roman"/>
          <w:sz w:val="24"/>
          <w:szCs w:val="24"/>
        </w:rPr>
        <w:t xml:space="preserve"> </w:t>
      </w:r>
      <w:r w:rsidR="006E1041">
        <w:rPr>
          <w:rFonts w:ascii="Times New Roman" w:hAnsi="Times New Roman" w:cs="Times New Roman"/>
          <w:sz w:val="24"/>
          <w:szCs w:val="24"/>
        </w:rPr>
        <w:t xml:space="preserve">demonstrates </w:t>
      </w:r>
      <w:r w:rsidR="00825571">
        <w:rPr>
          <w:rFonts w:ascii="Times New Roman" w:hAnsi="Times New Roman" w:cs="Times New Roman"/>
          <w:sz w:val="24"/>
          <w:szCs w:val="24"/>
        </w:rPr>
        <w:t xml:space="preserve">a </w:t>
      </w:r>
      <w:r w:rsidR="00D31F96">
        <w:rPr>
          <w:rFonts w:ascii="Times New Roman" w:hAnsi="Times New Roman" w:cs="Times New Roman"/>
          <w:sz w:val="24"/>
          <w:szCs w:val="24"/>
        </w:rPr>
        <w:t xml:space="preserve">strong support for the death penalty.  However, there </w:t>
      </w:r>
      <w:r w:rsidR="00420A53">
        <w:rPr>
          <w:rFonts w:ascii="Times New Roman" w:hAnsi="Times New Roman" w:cs="Times New Roman"/>
          <w:sz w:val="24"/>
          <w:szCs w:val="24"/>
        </w:rPr>
        <w:t xml:space="preserve">is </w:t>
      </w:r>
      <w:r w:rsidR="00D31F96">
        <w:rPr>
          <w:rFonts w:ascii="Times New Roman" w:hAnsi="Times New Roman" w:cs="Times New Roman"/>
          <w:sz w:val="24"/>
          <w:szCs w:val="24"/>
        </w:rPr>
        <w:t xml:space="preserve">now a </w:t>
      </w:r>
      <w:r w:rsidR="00420A53">
        <w:rPr>
          <w:rFonts w:ascii="Times New Roman" w:hAnsi="Times New Roman" w:cs="Times New Roman"/>
          <w:sz w:val="24"/>
          <w:szCs w:val="24"/>
        </w:rPr>
        <w:t>widespread recognition</w:t>
      </w:r>
      <w:r w:rsidR="00D31F96">
        <w:rPr>
          <w:rFonts w:ascii="Times New Roman" w:hAnsi="Times New Roman" w:cs="Times New Roman"/>
          <w:sz w:val="24"/>
          <w:szCs w:val="24"/>
        </w:rPr>
        <w:t xml:space="preserve"> that organised crime does not constitute “most serious crime</w:t>
      </w:r>
      <w:r w:rsidR="006E1041">
        <w:rPr>
          <w:rFonts w:ascii="Times New Roman" w:hAnsi="Times New Roman" w:cs="Times New Roman"/>
          <w:sz w:val="24"/>
          <w:szCs w:val="24"/>
        </w:rPr>
        <w:t>.</w:t>
      </w:r>
      <w:r w:rsidR="00D31F96">
        <w:rPr>
          <w:rFonts w:ascii="Times New Roman" w:hAnsi="Times New Roman" w:cs="Times New Roman"/>
          <w:sz w:val="24"/>
          <w:szCs w:val="24"/>
        </w:rPr>
        <w:t xml:space="preserve">” </w:t>
      </w:r>
      <w:r w:rsidR="0016735F">
        <w:rPr>
          <w:rFonts w:ascii="Times New Roman" w:hAnsi="Times New Roman" w:cs="Times New Roman"/>
          <w:sz w:val="24"/>
          <w:szCs w:val="24"/>
        </w:rPr>
        <w:t xml:space="preserve"> </w:t>
      </w:r>
      <w:r w:rsidR="00C273A7">
        <w:rPr>
          <w:rFonts w:ascii="Times New Roman" w:hAnsi="Times New Roman" w:cs="Times New Roman"/>
          <w:sz w:val="24"/>
          <w:szCs w:val="24"/>
        </w:rPr>
        <w:t>T</w:t>
      </w:r>
      <w:r w:rsidR="00D31F96">
        <w:rPr>
          <w:rFonts w:ascii="Times New Roman" w:hAnsi="Times New Roman" w:cs="Times New Roman"/>
          <w:sz w:val="24"/>
          <w:szCs w:val="24"/>
        </w:rPr>
        <w:t>he</w:t>
      </w:r>
      <w:r w:rsidR="00A30E50">
        <w:rPr>
          <w:rFonts w:ascii="Times New Roman" w:hAnsi="Times New Roman" w:cs="Times New Roman"/>
          <w:sz w:val="24"/>
          <w:szCs w:val="24"/>
        </w:rPr>
        <w:t xml:space="preserve"> </w:t>
      </w:r>
      <w:r w:rsidR="00D31F96">
        <w:rPr>
          <w:rFonts w:ascii="Times New Roman" w:hAnsi="Times New Roman" w:cs="Times New Roman"/>
          <w:sz w:val="24"/>
          <w:szCs w:val="24"/>
        </w:rPr>
        <w:t xml:space="preserve">Human Rights Committee </w:t>
      </w:r>
      <w:r w:rsidR="0080757D">
        <w:rPr>
          <w:rFonts w:ascii="Times New Roman" w:hAnsi="Times New Roman" w:cs="Times New Roman"/>
          <w:sz w:val="24"/>
          <w:szCs w:val="24"/>
        </w:rPr>
        <w:t xml:space="preserve">has </w:t>
      </w:r>
      <w:r w:rsidR="000B279D">
        <w:rPr>
          <w:rFonts w:ascii="Times New Roman" w:hAnsi="Times New Roman" w:cs="Times New Roman"/>
          <w:sz w:val="24"/>
          <w:szCs w:val="24"/>
        </w:rPr>
        <w:t xml:space="preserve">consistently </w:t>
      </w:r>
      <w:r w:rsidR="00D31F96">
        <w:rPr>
          <w:rFonts w:ascii="Times New Roman" w:hAnsi="Times New Roman" w:cs="Times New Roman"/>
          <w:sz w:val="24"/>
          <w:szCs w:val="24"/>
        </w:rPr>
        <w:t>maintained th</w:t>
      </w:r>
      <w:r w:rsidR="00084999">
        <w:rPr>
          <w:rFonts w:ascii="Times New Roman" w:hAnsi="Times New Roman" w:cs="Times New Roman"/>
          <w:sz w:val="24"/>
          <w:szCs w:val="24"/>
        </w:rPr>
        <w:t>at th</w:t>
      </w:r>
      <w:r w:rsidR="0080757D">
        <w:rPr>
          <w:rFonts w:ascii="Times New Roman" w:hAnsi="Times New Roman" w:cs="Times New Roman"/>
          <w:sz w:val="24"/>
          <w:szCs w:val="24"/>
        </w:rPr>
        <w:t>is punishment</w:t>
      </w:r>
      <w:r w:rsidR="00084999">
        <w:rPr>
          <w:rFonts w:ascii="Times New Roman" w:hAnsi="Times New Roman" w:cs="Times New Roman"/>
          <w:sz w:val="24"/>
          <w:szCs w:val="24"/>
        </w:rPr>
        <w:t xml:space="preserve"> should not be applied to drug offences</w:t>
      </w:r>
      <w:r w:rsidR="00D31F96">
        <w:rPr>
          <w:rFonts w:ascii="Times New Roman" w:hAnsi="Times New Roman" w:cs="Times New Roman"/>
          <w:sz w:val="24"/>
          <w:szCs w:val="24"/>
        </w:rPr>
        <w:t>,</w:t>
      </w:r>
      <w:r w:rsidR="00D31F96">
        <w:rPr>
          <w:rStyle w:val="FootnoteReference"/>
          <w:rFonts w:ascii="Times New Roman" w:hAnsi="Times New Roman" w:cs="Times New Roman"/>
          <w:sz w:val="24"/>
          <w:szCs w:val="24"/>
        </w:rPr>
        <w:footnoteReference w:id="94"/>
      </w:r>
      <w:r w:rsidR="00D31F96">
        <w:rPr>
          <w:rFonts w:ascii="Times New Roman" w:hAnsi="Times New Roman" w:cs="Times New Roman"/>
          <w:sz w:val="24"/>
          <w:szCs w:val="24"/>
        </w:rPr>
        <w:t xml:space="preserve">  </w:t>
      </w:r>
      <w:r w:rsidR="00084999">
        <w:rPr>
          <w:rFonts w:ascii="Times New Roman" w:hAnsi="Times New Roman" w:cs="Times New Roman"/>
          <w:sz w:val="24"/>
          <w:szCs w:val="24"/>
        </w:rPr>
        <w:t xml:space="preserve">a position supported by others </w:t>
      </w:r>
      <w:r w:rsidR="000238CD">
        <w:rPr>
          <w:rFonts w:ascii="Times New Roman" w:hAnsi="Times New Roman" w:cs="Times New Roman"/>
          <w:sz w:val="24"/>
          <w:szCs w:val="24"/>
        </w:rPr>
        <w:t xml:space="preserve">like </w:t>
      </w:r>
      <w:r w:rsidR="00011547">
        <w:rPr>
          <w:rFonts w:ascii="Times New Roman" w:hAnsi="Times New Roman" w:cs="Times New Roman"/>
          <w:sz w:val="24"/>
          <w:szCs w:val="24"/>
        </w:rPr>
        <w:t xml:space="preserve">the Special </w:t>
      </w:r>
      <w:r w:rsidR="00011547">
        <w:rPr>
          <w:rFonts w:ascii="Times New Roman" w:hAnsi="Times New Roman" w:cs="Times New Roman"/>
          <w:sz w:val="24"/>
          <w:szCs w:val="24"/>
        </w:rPr>
        <w:lastRenderedPageBreak/>
        <w:t>Rapporteurs on Torture</w:t>
      </w:r>
      <w:r w:rsidR="00011547">
        <w:rPr>
          <w:rStyle w:val="FootnoteReference"/>
          <w:rFonts w:ascii="Times New Roman" w:hAnsi="Times New Roman" w:cs="Times New Roman"/>
          <w:sz w:val="24"/>
          <w:szCs w:val="24"/>
        </w:rPr>
        <w:footnoteReference w:id="95"/>
      </w:r>
      <w:r w:rsidR="00011547">
        <w:rPr>
          <w:rFonts w:ascii="Times New Roman" w:hAnsi="Times New Roman" w:cs="Times New Roman"/>
          <w:sz w:val="24"/>
          <w:szCs w:val="24"/>
        </w:rPr>
        <w:t xml:space="preserve"> </w:t>
      </w:r>
      <w:r w:rsidR="00084999">
        <w:rPr>
          <w:rFonts w:ascii="Times New Roman" w:hAnsi="Times New Roman" w:cs="Times New Roman"/>
          <w:sz w:val="24"/>
          <w:szCs w:val="24"/>
        </w:rPr>
        <w:t>and on</w:t>
      </w:r>
      <w:r w:rsidR="00011547">
        <w:rPr>
          <w:rFonts w:ascii="Times New Roman" w:hAnsi="Times New Roman" w:cs="Times New Roman"/>
          <w:sz w:val="24"/>
          <w:szCs w:val="24"/>
        </w:rPr>
        <w:t xml:space="preserve"> Extrajudicial Executions</w:t>
      </w:r>
      <w:r w:rsidR="00084999">
        <w:rPr>
          <w:rFonts w:ascii="Times New Roman" w:hAnsi="Times New Roman" w:cs="Times New Roman"/>
          <w:sz w:val="24"/>
          <w:szCs w:val="24"/>
        </w:rPr>
        <w:t>.</w:t>
      </w:r>
      <w:r w:rsidR="00011547">
        <w:rPr>
          <w:rStyle w:val="FootnoteReference"/>
          <w:rFonts w:ascii="Times New Roman" w:hAnsi="Times New Roman" w:cs="Times New Roman"/>
          <w:sz w:val="24"/>
          <w:szCs w:val="24"/>
        </w:rPr>
        <w:footnoteReference w:id="96"/>
      </w:r>
      <w:r w:rsidR="00011547">
        <w:rPr>
          <w:rFonts w:ascii="Times New Roman" w:hAnsi="Times New Roman" w:cs="Times New Roman"/>
          <w:sz w:val="24"/>
          <w:szCs w:val="24"/>
        </w:rPr>
        <w:t xml:space="preserve"> </w:t>
      </w:r>
      <w:r w:rsidR="00084999">
        <w:rPr>
          <w:rFonts w:ascii="Times New Roman" w:hAnsi="Times New Roman" w:cs="Times New Roman"/>
          <w:sz w:val="24"/>
          <w:szCs w:val="24"/>
        </w:rPr>
        <w:t xml:space="preserve"> The same </w:t>
      </w:r>
      <w:r w:rsidR="0080757D">
        <w:rPr>
          <w:rFonts w:ascii="Times New Roman" w:hAnsi="Times New Roman" w:cs="Times New Roman"/>
          <w:sz w:val="24"/>
          <w:szCs w:val="24"/>
        </w:rPr>
        <w:t>opinion</w:t>
      </w:r>
      <w:r w:rsidR="00084999">
        <w:rPr>
          <w:rFonts w:ascii="Times New Roman" w:hAnsi="Times New Roman" w:cs="Times New Roman"/>
          <w:sz w:val="24"/>
          <w:szCs w:val="24"/>
        </w:rPr>
        <w:t xml:space="preserve"> has gradually been applied to other crimes </w:t>
      </w:r>
      <w:r w:rsidR="008C4DE7">
        <w:rPr>
          <w:rFonts w:ascii="Times New Roman" w:hAnsi="Times New Roman" w:cs="Times New Roman"/>
          <w:sz w:val="24"/>
          <w:szCs w:val="24"/>
        </w:rPr>
        <w:t>including</w:t>
      </w:r>
      <w:r w:rsidR="00084999">
        <w:rPr>
          <w:rFonts w:ascii="Times New Roman" w:hAnsi="Times New Roman" w:cs="Times New Roman"/>
          <w:sz w:val="24"/>
          <w:szCs w:val="24"/>
        </w:rPr>
        <w:t xml:space="preserve"> corruption/bribery,</w:t>
      </w:r>
      <w:r w:rsidR="00084999">
        <w:rPr>
          <w:rStyle w:val="FootnoteReference"/>
          <w:rFonts w:ascii="Times New Roman" w:hAnsi="Times New Roman" w:cs="Times New Roman"/>
          <w:sz w:val="24"/>
          <w:szCs w:val="24"/>
        </w:rPr>
        <w:footnoteReference w:id="97"/>
      </w:r>
      <w:r w:rsidR="00084999">
        <w:rPr>
          <w:rFonts w:ascii="Times New Roman" w:hAnsi="Times New Roman" w:cs="Times New Roman"/>
          <w:sz w:val="24"/>
          <w:szCs w:val="24"/>
        </w:rPr>
        <w:t xml:space="preserve"> organisation of prostitution,</w:t>
      </w:r>
      <w:r w:rsidR="00084999">
        <w:rPr>
          <w:rStyle w:val="FootnoteReference"/>
          <w:rFonts w:ascii="Times New Roman" w:hAnsi="Times New Roman" w:cs="Times New Roman"/>
          <w:sz w:val="24"/>
          <w:szCs w:val="24"/>
        </w:rPr>
        <w:footnoteReference w:id="98"/>
      </w:r>
      <w:r w:rsidR="00084999">
        <w:rPr>
          <w:rFonts w:ascii="Times New Roman" w:hAnsi="Times New Roman" w:cs="Times New Roman"/>
          <w:sz w:val="24"/>
          <w:szCs w:val="24"/>
        </w:rPr>
        <w:t xml:space="preserve"> economic crimes,</w:t>
      </w:r>
      <w:r w:rsidR="00084999">
        <w:rPr>
          <w:rStyle w:val="FootnoteReference"/>
          <w:rFonts w:ascii="Times New Roman" w:hAnsi="Times New Roman" w:cs="Times New Roman"/>
          <w:sz w:val="24"/>
          <w:szCs w:val="24"/>
        </w:rPr>
        <w:footnoteReference w:id="99"/>
      </w:r>
      <w:r w:rsidR="00084999">
        <w:rPr>
          <w:rFonts w:ascii="Times New Roman" w:hAnsi="Times New Roman" w:cs="Times New Roman"/>
          <w:sz w:val="24"/>
          <w:szCs w:val="24"/>
        </w:rPr>
        <w:t xml:space="preserve"> </w:t>
      </w:r>
      <w:r w:rsidR="00720EA5">
        <w:rPr>
          <w:rFonts w:ascii="Times New Roman" w:hAnsi="Times New Roman" w:cs="Times New Roman"/>
          <w:sz w:val="24"/>
          <w:szCs w:val="24"/>
        </w:rPr>
        <w:t xml:space="preserve">and </w:t>
      </w:r>
      <w:r w:rsidR="00084999">
        <w:rPr>
          <w:rFonts w:ascii="Times New Roman" w:hAnsi="Times New Roman" w:cs="Times New Roman"/>
          <w:sz w:val="24"/>
          <w:szCs w:val="24"/>
        </w:rPr>
        <w:t xml:space="preserve">abduction not resulting in death (which </w:t>
      </w:r>
      <w:r w:rsidR="00851298">
        <w:rPr>
          <w:rFonts w:ascii="Times New Roman" w:hAnsi="Times New Roman" w:cs="Times New Roman"/>
          <w:sz w:val="24"/>
          <w:szCs w:val="24"/>
        </w:rPr>
        <w:t>can be applied to</w:t>
      </w:r>
      <w:r w:rsidR="00084999">
        <w:rPr>
          <w:rFonts w:ascii="Times New Roman" w:hAnsi="Times New Roman" w:cs="Times New Roman"/>
          <w:sz w:val="24"/>
          <w:szCs w:val="24"/>
        </w:rPr>
        <w:t xml:space="preserve"> human trafficking</w:t>
      </w:r>
      <w:r w:rsidR="00227DD9">
        <w:rPr>
          <w:rFonts w:ascii="Times New Roman" w:hAnsi="Times New Roman" w:cs="Times New Roman"/>
          <w:sz w:val="24"/>
          <w:szCs w:val="24"/>
        </w:rPr>
        <w:t xml:space="preserve"> and maritime piracy</w:t>
      </w:r>
      <w:r w:rsidR="00084999">
        <w:rPr>
          <w:rFonts w:ascii="Times New Roman" w:hAnsi="Times New Roman" w:cs="Times New Roman"/>
          <w:sz w:val="24"/>
          <w:szCs w:val="24"/>
        </w:rPr>
        <w:t>)</w:t>
      </w:r>
      <w:r w:rsidR="00720EA5">
        <w:rPr>
          <w:rFonts w:ascii="Times New Roman" w:hAnsi="Times New Roman" w:cs="Times New Roman"/>
          <w:sz w:val="24"/>
          <w:szCs w:val="24"/>
        </w:rPr>
        <w:t>.</w:t>
      </w:r>
      <w:r w:rsidR="00084999">
        <w:rPr>
          <w:rStyle w:val="FootnoteReference"/>
          <w:rFonts w:ascii="Times New Roman" w:hAnsi="Times New Roman" w:cs="Times New Roman"/>
          <w:sz w:val="24"/>
          <w:szCs w:val="24"/>
        </w:rPr>
        <w:footnoteReference w:id="100"/>
      </w:r>
      <w:r w:rsidR="00084999">
        <w:rPr>
          <w:rFonts w:ascii="Times New Roman" w:hAnsi="Times New Roman" w:cs="Times New Roman"/>
          <w:sz w:val="24"/>
          <w:szCs w:val="24"/>
        </w:rPr>
        <w:t xml:space="preserve"> </w:t>
      </w:r>
      <w:r w:rsidR="00720EA5">
        <w:rPr>
          <w:rFonts w:ascii="Times New Roman" w:hAnsi="Times New Roman" w:cs="Times New Roman"/>
          <w:sz w:val="24"/>
          <w:szCs w:val="24"/>
        </w:rPr>
        <w:t xml:space="preserve"> More recently, the</w:t>
      </w:r>
      <w:r w:rsidR="00084999">
        <w:rPr>
          <w:rFonts w:ascii="Times New Roman" w:hAnsi="Times New Roman" w:cs="Times New Roman"/>
          <w:sz w:val="24"/>
          <w:szCs w:val="24"/>
        </w:rPr>
        <w:t xml:space="preserve"> UN Secretary-General has </w:t>
      </w:r>
      <w:r w:rsidR="00D114E0">
        <w:rPr>
          <w:rFonts w:ascii="Times New Roman" w:hAnsi="Times New Roman" w:cs="Times New Roman"/>
          <w:sz w:val="24"/>
          <w:szCs w:val="24"/>
        </w:rPr>
        <w:t xml:space="preserve">stated </w:t>
      </w:r>
      <w:r w:rsidR="00084999">
        <w:rPr>
          <w:rFonts w:ascii="Times New Roman" w:hAnsi="Times New Roman" w:cs="Times New Roman"/>
          <w:sz w:val="24"/>
          <w:szCs w:val="24"/>
        </w:rPr>
        <w:t>that the phrase “most serious crime” should be restricted to murder or intentional killings.</w:t>
      </w:r>
      <w:r w:rsidR="00084999">
        <w:rPr>
          <w:rStyle w:val="FootnoteReference"/>
          <w:rFonts w:ascii="Times New Roman" w:hAnsi="Times New Roman" w:cs="Times New Roman"/>
          <w:sz w:val="24"/>
          <w:szCs w:val="24"/>
        </w:rPr>
        <w:footnoteReference w:id="101"/>
      </w:r>
      <w:r w:rsidR="00D31F96">
        <w:rPr>
          <w:rFonts w:ascii="Times New Roman" w:hAnsi="Times New Roman" w:cs="Times New Roman"/>
          <w:sz w:val="24"/>
          <w:szCs w:val="24"/>
        </w:rPr>
        <w:t xml:space="preserve"> </w:t>
      </w:r>
      <w:r w:rsidR="00084999">
        <w:rPr>
          <w:rFonts w:ascii="Times New Roman" w:hAnsi="Times New Roman" w:cs="Times New Roman"/>
          <w:sz w:val="24"/>
          <w:szCs w:val="24"/>
        </w:rPr>
        <w:t xml:space="preserve"> </w:t>
      </w:r>
      <w:r w:rsidR="00BB57A8">
        <w:rPr>
          <w:rFonts w:ascii="Times New Roman" w:hAnsi="Times New Roman" w:cs="Times New Roman"/>
          <w:sz w:val="24"/>
          <w:szCs w:val="24"/>
        </w:rPr>
        <w:t>For those which still retain this punishment</w:t>
      </w:r>
      <w:r w:rsidR="00141BF3">
        <w:rPr>
          <w:rFonts w:ascii="Times New Roman" w:hAnsi="Times New Roman" w:cs="Times New Roman"/>
          <w:sz w:val="24"/>
          <w:szCs w:val="24"/>
        </w:rPr>
        <w:t xml:space="preserve"> for transnational organised crime</w:t>
      </w:r>
      <w:r w:rsidR="00BB57A8">
        <w:rPr>
          <w:rFonts w:ascii="Times New Roman" w:hAnsi="Times New Roman" w:cs="Times New Roman"/>
          <w:sz w:val="24"/>
          <w:szCs w:val="24"/>
        </w:rPr>
        <w:t xml:space="preserve">, an immediate step which should be </w:t>
      </w:r>
      <w:r w:rsidR="005A1966">
        <w:rPr>
          <w:rFonts w:ascii="Times New Roman" w:hAnsi="Times New Roman" w:cs="Times New Roman"/>
          <w:sz w:val="24"/>
          <w:szCs w:val="24"/>
        </w:rPr>
        <w:t xml:space="preserve">considered and </w:t>
      </w:r>
      <w:r w:rsidR="00BB57A8">
        <w:rPr>
          <w:rFonts w:ascii="Times New Roman" w:hAnsi="Times New Roman" w:cs="Times New Roman"/>
          <w:sz w:val="24"/>
          <w:szCs w:val="24"/>
        </w:rPr>
        <w:t xml:space="preserve">taken is to </w:t>
      </w:r>
      <w:r w:rsidR="00420A53">
        <w:rPr>
          <w:rFonts w:ascii="Times New Roman" w:hAnsi="Times New Roman" w:cs="Times New Roman"/>
          <w:sz w:val="24"/>
          <w:szCs w:val="24"/>
        </w:rPr>
        <w:t>establish a moratorium</w:t>
      </w:r>
      <w:r w:rsidR="00BB57A8">
        <w:rPr>
          <w:rFonts w:ascii="Times New Roman" w:hAnsi="Times New Roman" w:cs="Times New Roman"/>
          <w:sz w:val="24"/>
          <w:szCs w:val="24"/>
        </w:rPr>
        <w:t xml:space="preserve"> on</w:t>
      </w:r>
      <w:r w:rsidR="00420A53">
        <w:rPr>
          <w:rFonts w:ascii="Times New Roman" w:hAnsi="Times New Roman" w:cs="Times New Roman"/>
          <w:sz w:val="24"/>
          <w:szCs w:val="24"/>
        </w:rPr>
        <w:t xml:space="preserve"> executions</w:t>
      </w:r>
      <w:r w:rsidR="008073C0">
        <w:rPr>
          <w:rStyle w:val="FootnoteReference"/>
          <w:rFonts w:ascii="Times New Roman" w:hAnsi="Times New Roman" w:cs="Times New Roman"/>
          <w:sz w:val="24"/>
          <w:szCs w:val="24"/>
        </w:rPr>
        <w:footnoteReference w:id="102"/>
      </w:r>
      <w:r w:rsidR="00BB57A8">
        <w:rPr>
          <w:rFonts w:ascii="Times New Roman" w:hAnsi="Times New Roman" w:cs="Times New Roman"/>
          <w:sz w:val="24"/>
          <w:szCs w:val="24"/>
        </w:rPr>
        <w:t xml:space="preserve"> with a view to aboli</w:t>
      </w:r>
      <w:r w:rsidR="00657B57">
        <w:rPr>
          <w:rFonts w:ascii="Times New Roman" w:hAnsi="Times New Roman" w:cs="Times New Roman"/>
          <w:sz w:val="24"/>
          <w:szCs w:val="24"/>
        </w:rPr>
        <w:t>shing it altogether</w:t>
      </w:r>
      <w:r w:rsidR="00BB57A8">
        <w:rPr>
          <w:rFonts w:ascii="Times New Roman" w:hAnsi="Times New Roman" w:cs="Times New Roman"/>
          <w:sz w:val="24"/>
          <w:szCs w:val="24"/>
        </w:rPr>
        <w:t xml:space="preserve"> in the future. </w:t>
      </w:r>
      <w:r w:rsidR="00420A53">
        <w:rPr>
          <w:rFonts w:ascii="Times New Roman" w:hAnsi="Times New Roman" w:cs="Times New Roman"/>
          <w:sz w:val="24"/>
          <w:szCs w:val="24"/>
        </w:rPr>
        <w:t xml:space="preserve">  </w:t>
      </w:r>
      <w:r w:rsidR="001C31B1">
        <w:rPr>
          <w:rFonts w:ascii="Times New Roman" w:hAnsi="Times New Roman" w:cs="Times New Roman"/>
          <w:sz w:val="24"/>
          <w:szCs w:val="24"/>
        </w:rPr>
        <w:t xml:space="preserve"> </w:t>
      </w:r>
    </w:p>
    <w:p w:rsidR="00F12493" w:rsidRPr="00F12493" w:rsidRDefault="00EE7D07" w:rsidP="00F12493">
      <w:pPr>
        <w:spacing w:line="480" w:lineRule="auto"/>
        <w:ind w:firstLine="720"/>
        <w:rPr>
          <w:rFonts w:ascii="Times New Roman" w:hAnsi="Times New Roman" w:cs="Times New Roman"/>
          <w:sz w:val="24"/>
          <w:szCs w:val="24"/>
        </w:rPr>
      </w:pPr>
      <w:r w:rsidRPr="00F12493">
        <w:rPr>
          <w:rFonts w:ascii="Times New Roman" w:hAnsi="Times New Roman" w:cs="Times New Roman"/>
          <w:sz w:val="24"/>
          <w:szCs w:val="24"/>
        </w:rPr>
        <w:t xml:space="preserve">Another obligation relevant to investigation, prosecution and punishment of </w:t>
      </w:r>
      <w:r w:rsidR="00B4622D">
        <w:rPr>
          <w:rFonts w:ascii="Times New Roman" w:hAnsi="Times New Roman" w:cs="Times New Roman"/>
          <w:sz w:val="24"/>
          <w:szCs w:val="24"/>
        </w:rPr>
        <w:t xml:space="preserve">transnational </w:t>
      </w:r>
      <w:r w:rsidRPr="00F12493">
        <w:rPr>
          <w:rFonts w:ascii="Times New Roman" w:hAnsi="Times New Roman" w:cs="Times New Roman"/>
          <w:sz w:val="24"/>
          <w:szCs w:val="24"/>
        </w:rPr>
        <w:t xml:space="preserve">organised crime is asset recovery or confiscation of criminal proceeds.  </w:t>
      </w:r>
      <w:r w:rsidR="00EC53F3" w:rsidRPr="00F12493">
        <w:rPr>
          <w:rFonts w:ascii="Times New Roman" w:hAnsi="Times New Roman" w:cs="Times New Roman"/>
          <w:sz w:val="24"/>
          <w:szCs w:val="24"/>
        </w:rPr>
        <w:t xml:space="preserve">An effective regime of asset recovery can send a strong message to criminals that they are not able to benefit from their criminal activities, and this may have a degree of deterrent effect.  </w:t>
      </w:r>
      <w:r w:rsidR="007A1F90">
        <w:rPr>
          <w:rFonts w:ascii="Times New Roman" w:hAnsi="Times New Roman" w:cs="Times New Roman"/>
          <w:sz w:val="24"/>
          <w:szCs w:val="24"/>
        </w:rPr>
        <w:t>M</w:t>
      </w:r>
      <w:r w:rsidR="00A90B7B">
        <w:rPr>
          <w:rFonts w:ascii="Times New Roman" w:hAnsi="Times New Roman" w:cs="Times New Roman"/>
          <w:sz w:val="24"/>
          <w:szCs w:val="24"/>
        </w:rPr>
        <w:t>ore importantly</w:t>
      </w:r>
      <w:r w:rsidR="007A1F90">
        <w:rPr>
          <w:rFonts w:ascii="Times New Roman" w:hAnsi="Times New Roman" w:cs="Times New Roman"/>
          <w:sz w:val="24"/>
          <w:szCs w:val="24"/>
        </w:rPr>
        <w:t xml:space="preserve">, it </w:t>
      </w:r>
      <w:r w:rsidR="004270A1">
        <w:rPr>
          <w:rFonts w:ascii="Times New Roman" w:hAnsi="Times New Roman" w:cs="Times New Roman"/>
          <w:sz w:val="24"/>
          <w:szCs w:val="24"/>
        </w:rPr>
        <w:t xml:space="preserve">allows </w:t>
      </w:r>
      <w:r w:rsidR="007A7B76">
        <w:rPr>
          <w:rFonts w:ascii="Times New Roman" w:hAnsi="Times New Roman" w:cs="Times New Roman"/>
          <w:sz w:val="24"/>
          <w:szCs w:val="24"/>
        </w:rPr>
        <w:t xml:space="preserve">States </w:t>
      </w:r>
      <w:r w:rsidR="004270A1">
        <w:rPr>
          <w:rFonts w:ascii="Times New Roman" w:hAnsi="Times New Roman" w:cs="Times New Roman"/>
          <w:sz w:val="24"/>
          <w:szCs w:val="24"/>
        </w:rPr>
        <w:t>to return stolen money</w:t>
      </w:r>
      <w:r w:rsidR="00AD7D4D">
        <w:rPr>
          <w:rFonts w:ascii="Times New Roman" w:hAnsi="Times New Roman" w:cs="Times New Roman"/>
          <w:sz w:val="24"/>
          <w:szCs w:val="24"/>
        </w:rPr>
        <w:t xml:space="preserve"> and other assets</w:t>
      </w:r>
      <w:r w:rsidR="004270A1">
        <w:rPr>
          <w:rFonts w:ascii="Times New Roman" w:hAnsi="Times New Roman" w:cs="Times New Roman"/>
          <w:sz w:val="24"/>
          <w:szCs w:val="24"/>
        </w:rPr>
        <w:t xml:space="preserve"> to the victims</w:t>
      </w:r>
      <w:r w:rsidR="00AD7D4D">
        <w:rPr>
          <w:rFonts w:ascii="Times New Roman" w:hAnsi="Times New Roman" w:cs="Times New Roman"/>
          <w:sz w:val="24"/>
          <w:szCs w:val="24"/>
        </w:rPr>
        <w:t>,</w:t>
      </w:r>
      <w:r w:rsidR="004270A1">
        <w:rPr>
          <w:rFonts w:ascii="Times New Roman" w:hAnsi="Times New Roman" w:cs="Times New Roman"/>
          <w:sz w:val="24"/>
          <w:szCs w:val="24"/>
        </w:rPr>
        <w:t xml:space="preserve"> thereby contributing to restoration of </w:t>
      </w:r>
      <w:r w:rsidR="004A7DA3">
        <w:rPr>
          <w:rFonts w:ascii="Times New Roman" w:hAnsi="Times New Roman" w:cs="Times New Roman"/>
          <w:sz w:val="24"/>
          <w:szCs w:val="24"/>
        </w:rPr>
        <w:t>their right to property, among others.</w:t>
      </w:r>
      <w:r w:rsidR="004270A1">
        <w:rPr>
          <w:rFonts w:ascii="Times New Roman" w:hAnsi="Times New Roman" w:cs="Times New Roman"/>
          <w:sz w:val="24"/>
          <w:szCs w:val="24"/>
        </w:rPr>
        <w:t xml:space="preserve"> </w:t>
      </w:r>
      <w:r w:rsidR="004A7DA3">
        <w:rPr>
          <w:rFonts w:ascii="Times New Roman" w:hAnsi="Times New Roman" w:cs="Times New Roman"/>
          <w:sz w:val="24"/>
          <w:szCs w:val="24"/>
        </w:rPr>
        <w:t xml:space="preserve"> </w:t>
      </w:r>
      <w:r w:rsidR="00EC53F3" w:rsidRPr="00F12493">
        <w:rPr>
          <w:rFonts w:ascii="Times New Roman" w:hAnsi="Times New Roman" w:cs="Times New Roman"/>
          <w:sz w:val="24"/>
          <w:szCs w:val="24"/>
        </w:rPr>
        <w:t xml:space="preserve">While Article 12 of </w:t>
      </w:r>
      <w:r w:rsidR="005528A7">
        <w:rPr>
          <w:rFonts w:ascii="Times New Roman" w:hAnsi="Times New Roman" w:cs="Times New Roman"/>
          <w:sz w:val="24"/>
          <w:szCs w:val="24"/>
        </w:rPr>
        <w:t xml:space="preserve">the </w:t>
      </w:r>
      <w:r w:rsidR="00EC53F3" w:rsidRPr="00F12493">
        <w:rPr>
          <w:rFonts w:ascii="Times New Roman" w:hAnsi="Times New Roman" w:cs="Times New Roman"/>
          <w:sz w:val="24"/>
          <w:szCs w:val="24"/>
        </w:rPr>
        <w:t xml:space="preserve">UNTOC already requires States to take necessary measures to confiscate criminal </w:t>
      </w:r>
      <w:r w:rsidR="00EC53F3" w:rsidRPr="00F12493">
        <w:rPr>
          <w:rFonts w:ascii="Times New Roman" w:hAnsi="Times New Roman" w:cs="Times New Roman"/>
          <w:sz w:val="24"/>
          <w:szCs w:val="24"/>
        </w:rPr>
        <w:lastRenderedPageBreak/>
        <w:t xml:space="preserve">proceeds, it has been </w:t>
      </w:r>
      <w:r w:rsidR="0002495E" w:rsidRPr="00F12493">
        <w:rPr>
          <w:rFonts w:ascii="Times New Roman" w:hAnsi="Times New Roman" w:cs="Times New Roman"/>
          <w:sz w:val="24"/>
          <w:szCs w:val="24"/>
        </w:rPr>
        <w:t>argued</w:t>
      </w:r>
      <w:r w:rsidR="00EC53F3" w:rsidRPr="00F12493">
        <w:rPr>
          <w:rFonts w:ascii="Times New Roman" w:hAnsi="Times New Roman" w:cs="Times New Roman"/>
          <w:sz w:val="24"/>
          <w:szCs w:val="24"/>
        </w:rPr>
        <w:t xml:space="preserve"> that the same obligation arises from international human rights law, particularly </w:t>
      </w:r>
      <w:r w:rsidR="009251B1">
        <w:rPr>
          <w:rFonts w:ascii="Times New Roman" w:hAnsi="Times New Roman" w:cs="Times New Roman"/>
          <w:sz w:val="24"/>
          <w:szCs w:val="24"/>
        </w:rPr>
        <w:t xml:space="preserve">the </w:t>
      </w:r>
      <w:r w:rsidR="00EC53F3" w:rsidRPr="00F12493">
        <w:rPr>
          <w:rFonts w:ascii="Times New Roman" w:hAnsi="Times New Roman" w:cs="Times New Roman"/>
          <w:sz w:val="24"/>
          <w:szCs w:val="24"/>
        </w:rPr>
        <w:t>devot</w:t>
      </w:r>
      <w:r w:rsidR="0002495E" w:rsidRPr="00F12493">
        <w:rPr>
          <w:rFonts w:ascii="Times New Roman" w:hAnsi="Times New Roman" w:cs="Times New Roman"/>
          <w:sz w:val="24"/>
          <w:szCs w:val="24"/>
        </w:rPr>
        <w:t>ion of</w:t>
      </w:r>
      <w:r w:rsidR="00A23264" w:rsidRPr="00F12493">
        <w:rPr>
          <w:rFonts w:ascii="Times New Roman" w:hAnsi="Times New Roman" w:cs="Times New Roman"/>
          <w:sz w:val="24"/>
          <w:szCs w:val="24"/>
        </w:rPr>
        <w:t xml:space="preserve"> </w:t>
      </w:r>
      <w:r w:rsidR="0002495E" w:rsidRPr="00F12493">
        <w:rPr>
          <w:rFonts w:ascii="Times New Roman" w:hAnsi="Times New Roman" w:cs="Times New Roman"/>
        </w:rPr>
        <w:t>States’</w:t>
      </w:r>
      <w:r w:rsidR="00A23264" w:rsidRPr="00F12493">
        <w:rPr>
          <w:rFonts w:ascii="Times New Roman" w:hAnsi="Times New Roman" w:cs="Times New Roman"/>
        </w:rPr>
        <w:t xml:space="preserve"> </w:t>
      </w:r>
      <w:r w:rsidR="00A23264" w:rsidRPr="00F12493">
        <w:rPr>
          <w:rFonts w:ascii="Times New Roman" w:hAnsi="Times New Roman" w:cs="Times New Roman"/>
          <w:sz w:val="24"/>
          <w:szCs w:val="24"/>
        </w:rPr>
        <w:t xml:space="preserve">maximum available resources to the fulfilment of economic, social and cultural rights </w:t>
      </w:r>
      <w:r w:rsidR="00EC53F3" w:rsidRPr="00F12493">
        <w:rPr>
          <w:rFonts w:ascii="Times New Roman" w:hAnsi="Times New Roman" w:cs="Times New Roman"/>
          <w:sz w:val="24"/>
          <w:szCs w:val="24"/>
        </w:rPr>
        <w:t>u</w:t>
      </w:r>
      <w:r w:rsidR="00A23264" w:rsidRPr="00F12493">
        <w:rPr>
          <w:rFonts w:ascii="Times New Roman" w:hAnsi="Times New Roman" w:cs="Times New Roman"/>
          <w:sz w:val="24"/>
          <w:szCs w:val="24"/>
        </w:rPr>
        <w:t>nder Article 2(1) of the I</w:t>
      </w:r>
      <w:r w:rsidR="009251B1">
        <w:rPr>
          <w:rFonts w:ascii="Times New Roman" w:hAnsi="Times New Roman" w:cs="Times New Roman"/>
          <w:sz w:val="24"/>
          <w:szCs w:val="24"/>
        </w:rPr>
        <w:t>CESCR</w:t>
      </w:r>
      <w:r w:rsidR="00A23264" w:rsidRPr="00F12493">
        <w:rPr>
          <w:rFonts w:ascii="Times New Roman" w:hAnsi="Times New Roman" w:cs="Times New Roman"/>
          <w:sz w:val="24"/>
          <w:szCs w:val="24"/>
        </w:rPr>
        <w:t>.</w:t>
      </w:r>
      <w:r w:rsidR="00A23264" w:rsidRPr="00F12493">
        <w:rPr>
          <w:rStyle w:val="FootnoteReference"/>
          <w:rFonts w:ascii="Times New Roman" w:hAnsi="Times New Roman" w:cs="Times New Roman"/>
          <w:sz w:val="24"/>
          <w:szCs w:val="24"/>
        </w:rPr>
        <w:footnoteReference w:id="103"/>
      </w:r>
      <w:r w:rsidR="0002495E" w:rsidRPr="00F12493">
        <w:rPr>
          <w:rFonts w:ascii="Times New Roman" w:hAnsi="Times New Roman" w:cs="Times New Roman"/>
          <w:sz w:val="24"/>
          <w:szCs w:val="24"/>
        </w:rPr>
        <w:t xml:space="preserve"> This is based on the recognition that illicit financial flows facilitated by crimes such as corruption, tax evasion</w:t>
      </w:r>
      <w:r w:rsidR="008D0FC1">
        <w:rPr>
          <w:rFonts w:ascii="Times New Roman" w:hAnsi="Times New Roman" w:cs="Times New Roman"/>
          <w:sz w:val="24"/>
          <w:szCs w:val="24"/>
        </w:rPr>
        <w:t>, organised fraud</w:t>
      </w:r>
      <w:r w:rsidR="0002495E" w:rsidRPr="00F12493">
        <w:rPr>
          <w:rFonts w:ascii="Times New Roman" w:hAnsi="Times New Roman" w:cs="Times New Roman"/>
          <w:sz w:val="24"/>
          <w:szCs w:val="24"/>
        </w:rPr>
        <w:t xml:space="preserve"> and money laundering deprive States of their ability to mobilise resources to seek full realisation of human rights.</w:t>
      </w:r>
      <w:r w:rsidR="0002495E">
        <w:rPr>
          <w:rStyle w:val="FootnoteReference"/>
          <w:rFonts w:ascii="Times New Roman" w:hAnsi="Times New Roman" w:cs="Times New Roman"/>
          <w:sz w:val="24"/>
          <w:szCs w:val="24"/>
        </w:rPr>
        <w:footnoteReference w:id="104"/>
      </w:r>
      <w:r w:rsidR="0002495E" w:rsidRPr="00F12493">
        <w:rPr>
          <w:rFonts w:ascii="Times New Roman" w:hAnsi="Times New Roman" w:cs="Times New Roman"/>
          <w:sz w:val="24"/>
          <w:szCs w:val="24"/>
        </w:rPr>
        <w:t xml:space="preserve"> </w:t>
      </w:r>
      <w:r w:rsidR="00703D5C">
        <w:rPr>
          <w:rFonts w:ascii="Times New Roman" w:hAnsi="Times New Roman" w:cs="Times New Roman"/>
          <w:sz w:val="24"/>
          <w:szCs w:val="24"/>
        </w:rPr>
        <w:t xml:space="preserve"> </w:t>
      </w:r>
      <w:r w:rsidR="00033621" w:rsidRPr="00F12493">
        <w:rPr>
          <w:rFonts w:ascii="Times New Roman" w:hAnsi="Times New Roman" w:cs="Times New Roman"/>
          <w:sz w:val="24"/>
          <w:szCs w:val="24"/>
        </w:rPr>
        <w:t xml:space="preserve">While this obligation </w:t>
      </w:r>
      <w:r w:rsidR="00E335F4">
        <w:rPr>
          <w:rFonts w:ascii="Times New Roman" w:hAnsi="Times New Roman" w:cs="Times New Roman"/>
          <w:sz w:val="24"/>
          <w:szCs w:val="24"/>
        </w:rPr>
        <w:t xml:space="preserve">may arise from </w:t>
      </w:r>
      <w:r w:rsidR="00033621" w:rsidRPr="00F12493">
        <w:rPr>
          <w:rFonts w:ascii="Times New Roman" w:hAnsi="Times New Roman" w:cs="Times New Roman"/>
          <w:sz w:val="24"/>
          <w:szCs w:val="24"/>
        </w:rPr>
        <w:t>the ICESCR, its relevan</w:t>
      </w:r>
      <w:r w:rsidR="00551A43">
        <w:rPr>
          <w:rFonts w:ascii="Times New Roman" w:hAnsi="Times New Roman" w:cs="Times New Roman"/>
          <w:sz w:val="24"/>
          <w:szCs w:val="24"/>
        </w:rPr>
        <w:t>ce</w:t>
      </w:r>
      <w:r w:rsidR="00033621" w:rsidRPr="00F12493">
        <w:rPr>
          <w:rFonts w:ascii="Times New Roman" w:hAnsi="Times New Roman" w:cs="Times New Roman"/>
          <w:sz w:val="24"/>
          <w:szCs w:val="24"/>
        </w:rPr>
        <w:t xml:space="preserve"> to </w:t>
      </w:r>
      <w:r w:rsidR="00EC1499" w:rsidRPr="00F12493">
        <w:rPr>
          <w:rFonts w:ascii="Times New Roman" w:hAnsi="Times New Roman" w:cs="Times New Roman"/>
          <w:sz w:val="24"/>
          <w:szCs w:val="24"/>
        </w:rPr>
        <w:t>civil and political rights has also been recognised.</w:t>
      </w:r>
      <w:r w:rsidR="00EC1499">
        <w:rPr>
          <w:rStyle w:val="FootnoteReference"/>
          <w:rFonts w:ascii="Times New Roman" w:hAnsi="Times New Roman" w:cs="Times New Roman"/>
          <w:sz w:val="24"/>
          <w:szCs w:val="24"/>
        </w:rPr>
        <w:footnoteReference w:id="105"/>
      </w:r>
      <w:r w:rsidR="00EC1499" w:rsidRPr="00F12493">
        <w:rPr>
          <w:rFonts w:ascii="Times New Roman" w:hAnsi="Times New Roman" w:cs="Times New Roman"/>
          <w:sz w:val="24"/>
          <w:szCs w:val="24"/>
        </w:rPr>
        <w:t xml:space="preserve"> </w:t>
      </w:r>
      <w:r w:rsidR="00B15B68">
        <w:rPr>
          <w:rFonts w:ascii="Times New Roman" w:hAnsi="Times New Roman" w:cs="Times New Roman"/>
          <w:sz w:val="24"/>
          <w:szCs w:val="24"/>
        </w:rPr>
        <w:t xml:space="preserve"> </w:t>
      </w:r>
      <w:r w:rsidR="00F12493">
        <w:rPr>
          <w:rFonts w:ascii="Times New Roman" w:hAnsi="Times New Roman" w:cs="Times New Roman"/>
          <w:sz w:val="24"/>
          <w:szCs w:val="24"/>
        </w:rPr>
        <w:t xml:space="preserve"> In addition to establishing </w:t>
      </w:r>
      <w:r w:rsidR="005528A7">
        <w:rPr>
          <w:rFonts w:ascii="Times New Roman" w:hAnsi="Times New Roman" w:cs="Times New Roman"/>
          <w:sz w:val="24"/>
          <w:szCs w:val="24"/>
        </w:rPr>
        <w:t>a</w:t>
      </w:r>
      <w:r w:rsidR="00F12493">
        <w:rPr>
          <w:rFonts w:ascii="Times New Roman" w:hAnsi="Times New Roman" w:cs="Times New Roman"/>
          <w:sz w:val="24"/>
          <w:szCs w:val="24"/>
        </w:rPr>
        <w:t xml:space="preserve"> robust asset recovery regime through national legislation, enhanc</w:t>
      </w:r>
      <w:r w:rsidR="005528A7">
        <w:rPr>
          <w:rFonts w:ascii="Times New Roman" w:hAnsi="Times New Roman" w:cs="Times New Roman"/>
          <w:sz w:val="24"/>
          <w:szCs w:val="24"/>
        </w:rPr>
        <w:t>ing</w:t>
      </w:r>
      <w:r w:rsidR="00F12493">
        <w:rPr>
          <w:rFonts w:ascii="Times New Roman" w:hAnsi="Times New Roman" w:cs="Times New Roman"/>
          <w:sz w:val="24"/>
          <w:szCs w:val="24"/>
        </w:rPr>
        <w:t xml:space="preserve"> the capability of the relevant law enforcement authorities and the judiciary </w:t>
      </w:r>
      <w:r w:rsidR="005528A7">
        <w:rPr>
          <w:rFonts w:ascii="Times New Roman" w:hAnsi="Times New Roman" w:cs="Times New Roman"/>
          <w:sz w:val="24"/>
          <w:szCs w:val="24"/>
        </w:rPr>
        <w:t>is also important in fulfilling this obligation</w:t>
      </w:r>
      <w:r w:rsidR="00F12493">
        <w:rPr>
          <w:rFonts w:ascii="Times New Roman" w:hAnsi="Times New Roman" w:cs="Times New Roman"/>
          <w:sz w:val="24"/>
          <w:szCs w:val="24"/>
        </w:rPr>
        <w:t xml:space="preserve">. </w:t>
      </w:r>
      <w:r w:rsidR="00E32C75">
        <w:rPr>
          <w:rFonts w:ascii="Times New Roman" w:hAnsi="Times New Roman" w:cs="Times New Roman"/>
          <w:sz w:val="24"/>
          <w:szCs w:val="24"/>
        </w:rPr>
        <w:t>T</w:t>
      </w:r>
      <w:r w:rsidR="00220C32">
        <w:rPr>
          <w:rFonts w:ascii="Times New Roman" w:hAnsi="Times New Roman" w:cs="Times New Roman"/>
          <w:sz w:val="24"/>
          <w:szCs w:val="24"/>
        </w:rPr>
        <w:t>he</w:t>
      </w:r>
      <w:r w:rsidR="00083A40" w:rsidRPr="00F12493">
        <w:rPr>
          <w:rFonts w:ascii="Times New Roman" w:hAnsi="Times New Roman" w:cs="Times New Roman"/>
          <w:sz w:val="24"/>
          <w:szCs w:val="24"/>
        </w:rPr>
        <w:t xml:space="preserve"> need for effective asset recovery was </w:t>
      </w:r>
      <w:r w:rsidR="00220C32">
        <w:rPr>
          <w:rFonts w:ascii="Times New Roman" w:hAnsi="Times New Roman" w:cs="Times New Roman"/>
          <w:sz w:val="24"/>
          <w:szCs w:val="24"/>
        </w:rPr>
        <w:t>stressed</w:t>
      </w:r>
      <w:r w:rsidR="00083A40" w:rsidRPr="00F12493">
        <w:rPr>
          <w:rFonts w:ascii="Times New Roman" w:hAnsi="Times New Roman" w:cs="Times New Roman"/>
          <w:sz w:val="24"/>
          <w:szCs w:val="24"/>
        </w:rPr>
        <w:t xml:space="preserve"> </w:t>
      </w:r>
      <w:r w:rsidR="005D052C">
        <w:rPr>
          <w:rFonts w:ascii="Times New Roman" w:hAnsi="Times New Roman" w:cs="Times New Roman"/>
          <w:sz w:val="24"/>
          <w:szCs w:val="24"/>
        </w:rPr>
        <w:t xml:space="preserve">previously </w:t>
      </w:r>
      <w:r w:rsidR="00083A40" w:rsidRPr="00F12493">
        <w:rPr>
          <w:rFonts w:ascii="Times New Roman" w:hAnsi="Times New Roman" w:cs="Times New Roman"/>
          <w:sz w:val="24"/>
          <w:szCs w:val="24"/>
        </w:rPr>
        <w:t>by the Special Rapporteur on Human Tra</w:t>
      </w:r>
      <w:r w:rsidR="00CB48EF">
        <w:rPr>
          <w:rFonts w:ascii="Times New Roman" w:hAnsi="Times New Roman" w:cs="Times New Roman"/>
          <w:sz w:val="24"/>
          <w:szCs w:val="24"/>
        </w:rPr>
        <w:t>fficking,</w:t>
      </w:r>
      <w:r w:rsidR="00083A40" w:rsidRPr="00F12493">
        <w:rPr>
          <w:rStyle w:val="FootnoteReference"/>
          <w:rFonts w:ascii="Times New Roman" w:hAnsi="Times New Roman" w:cs="Times New Roman"/>
          <w:sz w:val="24"/>
          <w:szCs w:val="24"/>
        </w:rPr>
        <w:footnoteReference w:id="106"/>
      </w:r>
      <w:r w:rsidR="00CB48EF">
        <w:rPr>
          <w:rFonts w:ascii="Times New Roman" w:hAnsi="Times New Roman" w:cs="Times New Roman"/>
          <w:sz w:val="24"/>
          <w:szCs w:val="24"/>
        </w:rPr>
        <w:t xml:space="preserve"> </w:t>
      </w:r>
      <w:r w:rsidR="00F42DC1">
        <w:rPr>
          <w:rFonts w:ascii="Times New Roman" w:hAnsi="Times New Roman" w:cs="Times New Roman"/>
          <w:sz w:val="24"/>
          <w:szCs w:val="24"/>
        </w:rPr>
        <w:t>and</w:t>
      </w:r>
      <w:r w:rsidR="00564950">
        <w:rPr>
          <w:rFonts w:ascii="Times New Roman" w:hAnsi="Times New Roman" w:cs="Times New Roman"/>
          <w:sz w:val="24"/>
          <w:szCs w:val="24"/>
        </w:rPr>
        <w:t xml:space="preserve"> the</w:t>
      </w:r>
      <w:r w:rsidR="00CB48EF">
        <w:rPr>
          <w:rFonts w:ascii="Times New Roman" w:hAnsi="Times New Roman" w:cs="Times New Roman"/>
          <w:sz w:val="24"/>
          <w:szCs w:val="24"/>
        </w:rPr>
        <w:t xml:space="preserve"> same obligation </w:t>
      </w:r>
      <w:r w:rsidR="0018224B">
        <w:rPr>
          <w:rFonts w:ascii="Times New Roman" w:hAnsi="Times New Roman" w:cs="Times New Roman"/>
          <w:sz w:val="24"/>
          <w:szCs w:val="24"/>
        </w:rPr>
        <w:t>should</w:t>
      </w:r>
      <w:r w:rsidR="00564950">
        <w:rPr>
          <w:rFonts w:ascii="Times New Roman" w:hAnsi="Times New Roman" w:cs="Times New Roman"/>
          <w:sz w:val="24"/>
          <w:szCs w:val="24"/>
        </w:rPr>
        <w:t xml:space="preserve"> </w:t>
      </w:r>
      <w:r w:rsidR="00CB48EF">
        <w:rPr>
          <w:rFonts w:ascii="Times New Roman" w:hAnsi="Times New Roman" w:cs="Times New Roman"/>
          <w:sz w:val="24"/>
          <w:szCs w:val="24"/>
        </w:rPr>
        <w:t xml:space="preserve">apply to </w:t>
      </w:r>
      <w:r w:rsidR="001F0DCC">
        <w:rPr>
          <w:rFonts w:ascii="Times New Roman" w:hAnsi="Times New Roman" w:cs="Times New Roman"/>
          <w:sz w:val="24"/>
          <w:szCs w:val="24"/>
        </w:rPr>
        <w:t>all</w:t>
      </w:r>
      <w:r w:rsidR="00CB48EF">
        <w:rPr>
          <w:rFonts w:ascii="Times New Roman" w:hAnsi="Times New Roman" w:cs="Times New Roman"/>
          <w:sz w:val="24"/>
          <w:szCs w:val="24"/>
        </w:rPr>
        <w:t xml:space="preserve"> forms of organised crime.  </w:t>
      </w:r>
      <w:r w:rsidR="00083A40" w:rsidRPr="00F12493">
        <w:rPr>
          <w:rFonts w:ascii="Times New Roman" w:hAnsi="Times New Roman" w:cs="Times New Roman"/>
          <w:sz w:val="24"/>
          <w:szCs w:val="24"/>
        </w:rPr>
        <w:t xml:space="preserve">  </w:t>
      </w:r>
    </w:p>
    <w:p w:rsidR="00D949D3" w:rsidRDefault="009509C0" w:rsidP="00700F4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Confiscation of criminal proceeds can be divided roughly into two categories.  The first is </w:t>
      </w:r>
      <w:proofErr w:type="gramStart"/>
      <w:r>
        <w:rPr>
          <w:rFonts w:ascii="Times New Roman" w:hAnsi="Times New Roman" w:cs="Times New Roman"/>
          <w:sz w:val="24"/>
          <w:szCs w:val="24"/>
        </w:rPr>
        <w:t>conviction</w:t>
      </w:r>
      <w:r w:rsidR="003571D5">
        <w:rPr>
          <w:rFonts w:ascii="Times New Roman" w:hAnsi="Times New Roman" w:cs="Times New Roman"/>
          <w:sz w:val="24"/>
          <w:szCs w:val="24"/>
        </w:rPr>
        <w:t xml:space="preserve"> </w:t>
      </w:r>
      <w:r>
        <w:rPr>
          <w:rFonts w:ascii="Times New Roman" w:hAnsi="Times New Roman" w:cs="Times New Roman"/>
          <w:sz w:val="24"/>
          <w:szCs w:val="24"/>
        </w:rPr>
        <w:t>based</w:t>
      </w:r>
      <w:proofErr w:type="gramEnd"/>
      <w:r>
        <w:rPr>
          <w:rFonts w:ascii="Times New Roman" w:hAnsi="Times New Roman" w:cs="Times New Roman"/>
          <w:sz w:val="24"/>
          <w:szCs w:val="24"/>
        </w:rPr>
        <w:t xml:space="preserve"> confiscation.  As the name suggests, a confiscation order is issued after</w:t>
      </w:r>
      <w:r w:rsidR="008768CB">
        <w:rPr>
          <w:rFonts w:ascii="Times New Roman" w:hAnsi="Times New Roman" w:cs="Times New Roman"/>
          <w:sz w:val="24"/>
          <w:szCs w:val="24"/>
        </w:rPr>
        <w:t xml:space="preserve"> conviction</w:t>
      </w:r>
      <w:r>
        <w:rPr>
          <w:rFonts w:ascii="Times New Roman" w:hAnsi="Times New Roman" w:cs="Times New Roman"/>
          <w:sz w:val="24"/>
          <w:szCs w:val="24"/>
        </w:rPr>
        <w:t xml:space="preserve">.  In this sense, such confiscation </w:t>
      </w:r>
      <w:proofErr w:type="gramStart"/>
      <w:r>
        <w:rPr>
          <w:rFonts w:ascii="Times New Roman" w:hAnsi="Times New Roman" w:cs="Times New Roman"/>
          <w:sz w:val="24"/>
          <w:szCs w:val="24"/>
        </w:rPr>
        <w:t>can be seen as</w:t>
      </w:r>
      <w:proofErr w:type="gramEnd"/>
      <w:r>
        <w:rPr>
          <w:rFonts w:ascii="Times New Roman" w:hAnsi="Times New Roman" w:cs="Times New Roman"/>
          <w:sz w:val="24"/>
          <w:szCs w:val="24"/>
        </w:rPr>
        <w:t xml:space="preserve"> an additional form of punishment.</w:t>
      </w:r>
      <w:r w:rsidR="00B15B68">
        <w:rPr>
          <w:rFonts w:ascii="Times New Roman" w:hAnsi="Times New Roman" w:cs="Times New Roman"/>
          <w:sz w:val="24"/>
          <w:szCs w:val="24"/>
        </w:rPr>
        <w:t xml:space="preserve"> </w:t>
      </w:r>
      <w:r>
        <w:rPr>
          <w:rFonts w:ascii="Times New Roman" w:hAnsi="Times New Roman" w:cs="Times New Roman"/>
          <w:sz w:val="24"/>
          <w:szCs w:val="24"/>
        </w:rPr>
        <w:t xml:space="preserve"> In addition, some States, including Australia, Canada, Colombia, Ireland, Italy, the Netherlands, United Kingdom and United States,</w:t>
      </w:r>
      <w:r w:rsidR="00B15B68">
        <w:rPr>
          <w:rFonts w:ascii="Times New Roman" w:hAnsi="Times New Roman" w:cs="Times New Roman"/>
          <w:sz w:val="24"/>
          <w:szCs w:val="24"/>
        </w:rPr>
        <w:t xml:space="preserve"> </w:t>
      </w:r>
      <w:r>
        <w:rPr>
          <w:rFonts w:ascii="Times New Roman" w:hAnsi="Times New Roman" w:cs="Times New Roman"/>
          <w:sz w:val="24"/>
          <w:szCs w:val="24"/>
        </w:rPr>
        <w:t>also rely on non-</w:t>
      </w:r>
      <w:proofErr w:type="gramStart"/>
      <w:r>
        <w:rPr>
          <w:rFonts w:ascii="Times New Roman" w:hAnsi="Times New Roman" w:cs="Times New Roman"/>
          <w:sz w:val="24"/>
          <w:szCs w:val="24"/>
        </w:rPr>
        <w:t>conviction based</w:t>
      </w:r>
      <w:proofErr w:type="gramEnd"/>
      <w:r>
        <w:rPr>
          <w:rFonts w:ascii="Times New Roman" w:hAnsi="Times New Roman" w:cs="Times New Roman"/>
          <w:sz w:val="24"/>
          <w:szCs w:val="24"/>
        </w:rPr>
        <w:t xml:space="preserve"> confiscation.  This </w:t>
      </w:r>
      <w:r w:rsidR="002B24D6">
        <w:rPr>
          <w:rFonts w:ascii="Times New Roman" w:hAnsi="Times New Roman" w:cs="Times New Roman"/>
          <w:sz w:val="24"/>
          <w:szCs w:val="24"/>
        </w:rPr>
        <w:t>is</w:t>
      </w:r>
      <w:r>
        <w:rPr>
          <w:rFonts w:ascii="Times New Roman" w:hAnsi="Times New Roman" w:cs="Times New Roman"/>
          <w:sz w:val="24"/>
          <w:szCs w:val="24"/>
        </w:rPr>
        <w:t xml:space="preserve"> facilitated through civil proceedings, using ‘balance of probabilities’ as the standard of proof, without </w:t>
      </w:r>
      <w:r w:rsidR="002B24D6">
        <w:rPr>
          <w:rFonts w:ascii="Times New Roman" w:hAnsi="Times New Roman" w:cs="Times New Roman"/>
          <w:sz w:val="24"/>
          <w:szCs w:val="24"/>
        </w:rPr>
        <w:t xml:space="preserve">one being </w:t>
      </w:r>
      <w:r w:rsidR="00C121B9">
        <w:rPr>
          <w:rFonts w:ascii="Times New Roman" w:hAnsi="Times New Roman" w:cs="Times New Roman"/>
          <w:sz w:val="24"/>
          <w:szCs w:val="24"/>
        </w:rPr>
        <w:t>c</w:t>
      </w:r>
      <w:r>
        <w:rPr>
          <w:rFonts w:ascii="Times New Roman" w:hAnsi="Times New Roman" w:cs="Times New Roman"/>
          <w:sz w:val="24"/>
          <w:szCs w:val="24"/>
        </w:rPr>
        <w:t>onvict</w:t>
      </w:r>
      <w:r w:rsidR="002B24D6">
        <w:rPr>
          <w:rFonts w:ascii="Times New Roman" w:hAnsi="Times New Roman" w:cs="Times New Roman"/>
          <w:sz w:val="24"/>
          <w:szCs w:val="24"/>
        </w:rPr>
        <w:t>ed</w:t>
      </w:r>
      <w:r>
        <w:rPr>
          <w:rFonts w:ascii="Times New Roman" w:hAnsi="Times New Roman" w:cs="Times New Roman"/>
          <w:sz w:val="24"/>
          <w:szCs w:val="24"/>
        </w:rPr>
        <w:t>.  For this reason, non-</w:t>
      </w:r>
      <w:proofErr w:type="gramStart"/>
      <w:r>
        <w:rPr>
          <w:rFonts w:ascii="Times New Roman" w:hAnsi="Times New Roman" w:cs="Times New Roman"/>
          <w:sz w:val="24"/>
          <w:szCs w:val="24"/>
        </w:rPr>
        <w:t>conviction based</w:t>
      </w:r>
      <w:proofErr w:type="gramEnd"/>
      <w:r>
        <w:rPr>
          <w:rFonts w:ascii="Times New Roman" w:hAnsi="Times New Roman" w:cs="Times New Roman"/>
          <w:sz w:val="24"/>
          <w:szCs w:val="24"/>
        </w:rPr>
        <w:t xml:space="preserve"> confiscation is sometimes referred to as ‘civil asset recovery’ in some jurisdictions such as </w:t>
      </w:r>
      <w:r>
        <w:rPr>
          <w:rFonts w:ascii="Times New Roman" w:hAnsi="Times New Roman" w:cs="Times New Roman"/>
          <w:sz w:val="24"/>
          <w:szCs w:val="24"/>
        </w:rPr>
        <w:lastRenderedPageBreak/>
        <w:t xml:space="preserve">the United Kingdom and the Republic of Ireland.  </w:t>
      </w:r>
      <w:r w:rsidR="00D949D3">
        <w:rPr>
          <w:rFonts w:ascii="Times New Roman" w:hAnsi="Times New Roman" w:cs="Times New Roman"/>
          <w:sz w:val="24"/>
          <w:szCs w:val="24"/>
        </w:rPr>
        <w:t xml:space="preserve">This regime </w:t>
      </w:r>
      <w:r w:rsidR="00944F36">
        <w:rPr>
          <w:rFonts w:ascii="Times New Roman" w:hAnsi="Times New Roman" w:cs="Times New Roman"/>
          <w:sz w:val="24"/>
          <w:szCs w:val="24"/>
        </w:rPr>
        <w:t>h</w:t>
      </w:r>
      <w:r w:rsidR="00D949D3">
        <w:rPr>
          <w:rFonts w:ascii="Times New Roman" w:hAnsi="Times New Roman" w:cs="Times New Roman"/>
          <w:sz w:val="24"/>
          <w:szCs w:val="24"/>
        </w:rPr>
        <w:t>as been regarded as a useful tool to combat organised crime</w:t>
      </w:r>
      <w:r w:rsidR="00D949D3" w:rsidRPr="00971BEE">
        <w:rPr>
          <w:rStyle w:val="FootnoteReference"/>
          <w:rFonts w:ascii="Times New Roman" w:hAnsi="Times New Roman" w:cs="Times New Roman"/>
          <w:sz w:val="24"/>
          <w:szCs w:val="24"/>
        </w:rPr>
        <w:footnoteReference w:id="107"/>
      </w:r>
      <w:r w:rsidR="001049CD">
        <w:rPr>
          <w:rFonts w:ascii="Times New Roman" w:hAnsi="Times New Roman" w:cs="Times New Roman"/>
          <w:sz w:val="24"/>
          <w:szCs w:val="24"/>
        </w:rPr>
        <w:t xml:space="preserve"> as it allows the law enforcement authorities </w:t>
      </w:r>
      <w:r w:rsidR="00887813">
        <w:rPr>
          <w:rFonts w:ascii="Times New Roman" w:hAnsi="Times New Roman" w:cs="Times New Roman"/>
          <w:sz w:val="24"/>
          <w:szCs w:val="24"/>
        </w:rPr>
        <w:t xml:space="preserve">to act </w:t>
      </w:r>
      <w:r w:rsidR="001049CD">
        <w:rPr>
          <w:rFonts w:ascii="Times New Roman" w:hAnsi="Times New Roman" w:cs="Times New Roman"/>
          <w:sz w:val="24"/>
          <w:szCs w:val="24"/>
        </w:rPr>
        <w:t>sooner rather than later</w:t>
      </w:r>
      <w:r w:rsidR="00887813">
        <w:rPr>
          <w:rFonts w:ascii="Times New Roman" w:hAnsi="Times New Roman" w:cs="Times New Roman"/>
          <w:sz w:val="24"/>
          <w:szCs w:val="24"/>
        </w:rPr>
        <w:t xml:space="preserve"> </w:t>
      </w:r>
      <w:r w:rsidR="001049CD">
        <w:rPr>
          <w:rFonts w:ascii="Times New Roman" w:hAnsi="Times New Roman" w:cs="Times New Roman"/>
          <w:sz w:val="24"/>
          <w:szCs w:val="24"/>
        </w:rPr>
        <w:t xml:space="preserve">before criminal proceeds </w:t>
      </w:r>
      <w:r w:rsidR="00887813">
        <w:rPr>
          <w:rFonts w:ascii="Times New Roman" w:hAnsi="Times New Roman" w:cs="Times New Roman"/>
          <w:sz w:val="24"/>
          <w:szCs w:val="24"/>
        </w:rPr>
        <w:t>disappear</w:t>
      </w:r>
      <w:r w:rsidR="00260793">
        <w:rPr>
          <w:rFonts w:ascii="Times New Roman" w:hAnsi="Times New Roman" w:cs="Times New Roman"/>
          <w:sz w:val="24"/>
          <w:szCs w:val="24"/>
        </w:rPr>
        <w:t xml:space="preserve"> </w:t>
      </w:r>
      <w:r w:rsidR="00887813">
        <w:rPr>
          <w:rFonts w:ascii="Times New Roman" w:hAnsi="Times New Roman" w:cs="Times New Roman"/>
          <w:sz w:val="24"/>
          <w:szCs w:val="24"/>
        </w:rPr>
        <w:t>through money laundering, for instance</w:t>
      </w:r>
      <w:r w:rsidR="001049CD">
        <w:rPr>
          <w:rFonts w:ascii="Times New Roman" w:hAnsi="Times New Roman" w:cs="Times New Roman"/>
          <w:sz w:val="24"/>
          <w:szCs w:val="24"/>
        </w:rPr>
        <w:t xml:space="preserve">.  </w:t>
      </w:r>
      <w:r w:rsidR="00D949D3" w:rsidRPr="00971BEE">
        <w:rPr>
          <w:rFonts w:ascii="Times New Roman" w:hAnsi="Times New Roman" w:cs="Times New Roman"/>
          <w:sz w:val="24"/>
          <w:szCs w:val="24"/>
        </w:rPr>
        <w:t xml:space="preserve"> </w:t>
      </w:r>
      <w:r w:rsidR="00D949D3">
        <w:rPr>
          <w:rFonts w:ascii="Times New Roman" w:hAnsi="Times New Roman" w:cs="Times New Roman"/>
          <w:sz w:val="24"/>
          <w:szCs w:val="24"/>
        </w:rPr>
        <w:t xml:space="preserve"> </w:t>
      </w:r>
    </w:p>
    <w:p w:rsidR="008D33CD" w:rsidRDefault="00D949D3" w:rsidP="008D33CD">
      <w:pPr>
        <w:spacing w:line="480" w:lineRule="auto"/>
        <w:rPr>
          <w:rFonts w:ascii="Times New Roman" w:hAnsi="Times New Roman" w:cs="Times New Roman"/>
          <w:sz w:val="24"/>
          <w:szCs w:val="24"/>
        </w:rPr>
      </w:pPr>
      <w:r>
        <w:rPr>
          <w:rFonts w:ascii="Times New Roman" w:hAnsi="Times New Roman" w:cs="Times New Roman"/>
          <w:sz w:val="24"/>
          <w:szCs w:val="24"/>
        </w:rPr>
        <w:tab/>
      </w:r>
      <w:r w:rsidR="003571D5">
        <w:rPr>
          <w:rFonts w:ascii="Times New Roman" w:hAnsi="Times New Roman" w:cs="Times New Roman"/>
          <w:sz w:val="24"/>
          <w:szCs w:val="24"/>
        </w:rPr>
        <w:t>Although</w:t>
      </w:r>
      <w:r w:rsidRPr="000022F7">
        <w:rPr>
          <w:rFonts w:ascii="Times New Roman" w:hAnsi="Times New Roman" w:cs="Times New Roman"/>
          <w:sz w:val="24"/>
          <w:szCs w:val="24"/>
        </w:rPr>
        <w:t xml:space="preserve"> there is no </w:t>
      </w:r>
      <w:r w:rsidR="008D33CD">
        <w:rPr>
          <w:rFonts w:ascii="Times New Roman" w:hAnsi="Times New Roman" w:cs="Times New Roman"/>
          <w:sz w:val="24"/>
          <w:szCs w:val="24"/>
        </w:rPr>
        <w:t xml:space="preserve">major </w:t>
      </w:r>
      <w:r w:rsidRPr="000022F7">
        <w:rPr>
          <w:rFonts w:ascii="Times New Roman" w:hAnsi="Times New Roman" w:cs="Times New Roman"/>
          <w:sz w:val="24"/>
          <w:szCs w:val="24"/>
        </w:rPr>
        <w:t xml:space="preserve">issue in confiscating criminal proceeds after criminals are properly prosecuted and punished, </w:t>
      </w:r>
      <w:r w:rsidR="008D33CD">
        <w:rPr>
          <w:rFonts w:ascii="Times New Roman" w:hAnsi="Times New Roman" w:cs="Times New Roman"/>
          <w:sz w:val="24"/>
          <w:szCs w:val="24"/>
        </w:rPr>
        <w:t>non-convicted based confiscation</w:t>
      </w:r>
      <w:r w:rsidRPr="000022F7">
        <w:rPr>
          <w:rFonts w:ascii="Times New Roman" w:hAnsi="Times New Roman" w:cs="Times New Roman"/>
          <w:sz w:val="24"/>
          <w:szCs w:val="24"/>
        </w:rPr>
        <w:t xml:space="preserve"> has raised some human rights concerns.  </w:t>
      </w:r>
      <w:r w:rsidR="001941F8" w:rsidRPr="000022F7">
        <w:rPr>
          <w:rFonts w:ascii="Times New Roman" w:hAnsi="Times New Roman" w:cs="Times New Roman"/>
          <w:sz w:val="24"/>
          <w:szCs w:val="24"/>
        </w:rPr>
        <w:t>Many States have a</w:t>
      </w:r>
      <w:r w:rsidR="003571D5">
        <w:rPr>
          <w:rFonts w:ascii="Times New Roman" w:hAnsi="Times New Roman" w:cs="Times New Roman"/>
          <w:sz w:val="24"/>
          <w:szCs w:val="24"/>
        </w:rPr>
        <w:t xml:space="preserve"> problem </w:t>
      </w:r>
      <w:r w:rsidR="001941F8" w:rsidRPr="000022F7">
        <w:rPr>
          <w:rFonts w:ascii="Times New Roman" w:hAnsi="Times New Roman" w:cs="Times New Roman"/>
          <w:sz w:val="24"/>
          <w:szCs w:val="24"/>
        </w:rPr>
        <w:t>with this type of confiscation as the lower burden of proof</w:t>
      </w:r>
      <w:r w:rsidR="00A70691">
        <w:rPr>
          <w:rFonts w:ascii="Times New Roman" w:hAnsi="Times New Roman" w:cs="Times New Roman"/>
          <w:sz w:val="24"/>
          <w:szCs w:val="24"/>
        </w:rPr>
        <w:t xml:space="preserve"> (i.e. balance of probabilities)</w:t>
      </w:r>
      <w:r w:rsidR="001941F8" w:rsidRPr="000022F7">
        <w:rPr>
          <w:rFonts w:ascii="Times New Roman" w:hAnsi="Times New Roman" w:cs="Times New Roman"/>
          <w:sz w:val="24"/>
          <w:szCs w:val="24"/>
        </w:rPr>
        <w:t xml:space="preserve"> is used and </w:t>
      </w:r>
      <w:r w:rsidR="00876299">
        <w:rPr>
          <w:rFonts w:ascii="Times New Roman" w:hAnsi="Times New Roman" w:cs="Times New Roman"/>
          <w:sz w:val="24"/>
          <w:szCs w:val="24"/>
        </w:rPr>
        <w:t xml:space="preserve">in some jurisdictions, </w:t>
      </w:r>
      <w:r w:rsidR="001941F8" w:rsidRPr="000022F7">
        <w:rPr>
          <w:rFonts w:ascii="Times New Roman" w:hAnsi="Times New Roman" w:cs="Times New Roman"/>
          <w:sz w:val="24"/>
          <w:szCs w:val="24"/>
        </w:rPr>
        <w:t>it is up to those affected</w:t>
      </w:r>
      <w:r w:rsidR="00E31EC5">
        <w:rPr>
          <w:rFonts w:ascii="Times New Roman" w:hAnsi="Times New Roman" w:cs="Times New Roman"/>
          <w:sz w:val="24"/>
          <w:szCs w:val="24"/>
        </w:rPr>
        <w:t>, no</w:t>
      </w:r>
      <w:r w:rsidR="00846622">
        <w:rPr>
          <w:rFonts w:ascii="Times New Roman" w:hAnsi="Times New Roman" w:cs="Times New Roman"/>
          <w:sz w:val="24"/>
          <w:szCs w:val="24"/>
        </w:rPr>
        <w:t>t</w:t>
      </w:r>
      <w:r w:rsidR="00E31EC5">
        <w:rPr>
          <w:rFonts w:ascii="Times New Roman" w:hAnsi="Times New Roman" w:cs="Times New Roman"/>
          <w:sz w:val="24"/>
          <w:szCs w:val="24"/>
        </w:rPr>
        <w:t xml:space="preserve"> prosecution,</w:t>
      </w:r>
      <w:r w:rsidR="001941F8" w:rsidRPr="000022F7">
        <w:rPr>
          <w:rFonts w:ascii="Times New Roman" w:hAnsi="Times New Roman" w:cs="Times New Roman"/>
          <w:sz w:val="24"/>
          <w:szCs w:val="24"/>
        </w:rPr>
        <w:t xml:space="preserve"> to prove that the property was not obtained as a result of criminal activities.</w:t>
      </w:r>
      <w:r w:rsidR="001941F8" w:rsidRPr="000022F7">
        <w:rPr>
          <w:rStyle w:val="FootnoteReference"/>
          <w:rFonts w:ascii="Times New Roman" w:hAnsi="Times New Roman" w:cs="Times New Roman"/>
          <w:sz w:val="24"/>
          <w:szCs w:val="24"/>
        </w:rPr>
        <w:footnoteReference w:id="108"/>
      </w:r>
      <w:r w:rsidR="001941F8" w:rsidRPr="000022F7">
        <w:rPr>
          <w:rFonts w:ascii="Times New Roman" w:hAnsi="Times New Roman" w:cs="Times New Roman"/>
          <w:sz w:val="24"/>
          <w:szCs w:val="24"/>
        </w:rPr>
        <w:t xml:space="preserve"> </w:t>
      </w:r>
      <w:r w:rsidR="00E31EC5">
        <w:rPr>
          <w:rFonts w:ascii="Times New Roman" w:hAnsi="Times New Roman" w:cs="Times New Roman"/>
          <w:sz w:val="24"/>
          <w:szCs w:val="24"/>
        </w:rPr>
        <w:t xml:space="preserve"> Under the principle of criminal law, </w:t>
      </w:r>
      <w:r w:rsidR="00044E1F">
        <w:rPr>
          <w:rFonts w:ascii="Times New Roman" w:hAnsi="Times New Roman" w:cs="Times New Roman"/>
          <w:sz w:val="24"/>
          <w:szCs w:val="24"/>
        </w:rPr>
        <w:t xml:space="preserve">therefore, </w:t>
      </w:r>
      <w:r w:rsidR="008D33CD">
        <w:rPr>
          <w:rFonts w:ascii="Times New Roman" w:hAnsi="Times New Roman" w:cs="Times New Roman"/>
          <w:sz w:val="24"/>
          <w:szCs w:val="24"/>
        </w:rPr>
        <w:t>non-conviction based confiscation</w:t>
      </w:r>
      <w:r w:rsidR="00044E1F">
        <w:rPr>
          <w:rFonts w:ascii="Times New Roman" w:hAnsi="Times New Roman" w:cs="Times New Roman"/>
          <w:sz w:val="24"/>
          <w:szCs w:val="24"/>
        </w:rPr>
        <w:t xml:space="preserve"> </w:t>
      </w:r>
      <w:r w:rsidR="00421949">
        <w:rPr>
          <w:rFonts w:ascii="Times New Roman" w:hAnsi="Times New Roman" w:cs="Times New Roman"/>
          <w:sz w:val="24"/>
          <w:szCs w:val="24"/>
        </w:rPr>
        <w:t xml:space="preserve">can be </w:t>
      </w:r>
      <w:r w:rsidR="004D39B0">
        <w:rPr>
          <w:rFonts w:ascii="Times New Roman" w:hAnsi="Times New Roman" w:cs="Times New Roman"/>
          <w:sz w:val="24"/>
          <w:szCs w:val="24"/>
        </w:rPr>
        <w:t>r</w:t>
      </w:r>
      <w:r w:rsidR="00044E1F">
        <w:rPr>
          <w:rFonts w:ascii="Times New Roman" w:hAnsi="Times New Roman" w:cs="Times New Roman"/>
          <w:sz w:val="24"/>
          <w:szCs w:val="24"/>
        </w:rPr>
        <w:t>egarded as a clear</w:t>
      </w:r>
      <w:r w:rsidR="00E31EC5">
        <w:rPr>
          <w:rFonts w:ascii="Times New Roman" w:hAnsi="Times New Roman" w:cs="Times New Roman"/>
          <w:sz w:val="24"/>
          <w:szCs w:val="24"/>
        </w:rPr>
        <w:t xml:space="preserve"> breach</w:t>
      </w:r>
      <w:r w:rsidR="00C85D01">
        <w:rPr>
          <w:rFonts w:ascii="Times New Roman" w:hAnsi="Times New Roman" w:cs="Times New Roman"/>
          <w:sz w:val="24"/>
          <w:szCs w:val="24"/>
        </w:rPr>
        <w:t xml:space="preserve"> of the</w:t>
      </w:r>
      <w:r w:rsidR="00E31EC5">
        <w:rPr>
          <w:rFonts w:ascii="Times New Roman" w:hAnsi="Times New Roman" w:cs="Times New Roman"/>
          <w:sz w:val="24"/>
          <w:szCs w:val="24"/>
        </w:rPr>
        <w:t xml:space="preserve"> presumption of innocence.  </w:t>
      </w:r>
      <w:r w:rsidR="006F463B">
        <w:rPr>
          <w:rFonts w:ascii="Times New Roman" w:hAnsi="Times New Roman" w:cs="Times New Roman"/>
          <w:sz w:val="24"/>
          <w:szCs w:val="24"/>
        </w:rPr>
        <w:t xml:space="preserve"> </w:t>
      </w:r>
      <w:r w:rsidR="000022F7">
        <w:rPr>
          <w:rFonts w:ascii="Times New Roman" w:hAnsi="Times New Roman"/>
          <w:bCs/>
          <w:sz w:val="24"/>
          <w:szCs w:val="24"/>
        </w:rPr>
        <w:t>In</w:t>
      </w:r>
      <w:r w:rsidR="000022F7">
        <w:rPr>
          <w:rFonts w:ascii="Times New Roman" w:hAnsi="Times New Roman" w:cs="Times New Roman"/>
          <w:sz w:val="24"/>
          <w:szCs w:val="24"/>
        </w:rPr>
        <w:t xml:space="preserve">deed, </w:t>
      </w:r>
      <w:r w:rsidR="001941F8" w:rsidRPr="00971BEE">
        <w:rPr>
          <w:rFonts w:ascii="Times New Roman" w:hAnsi="Times New Roman" w:cs="Times New Roman"/>
          <w:sz w:val="24"/>
          <w:szCs w:val="24"/>
        </w:rPr>
        <w:t>human rights comp</w:t>
      </w:r>
      <w:r w:rsidR="001941F8">
        <w:rPr>
          <w:rFonts w:ascii="Times New Roman" w:hAnsi="Times New Roman" w:cs="Times New Roman"/>
          <w:sz w:val="24"/>
          <w:szCs w:val="24"/>
        </w:rPr>
        <w:t xml:space="preserve">laints </w:t>
      </w:r>
      <w:r w:rsidR="00313B2A">
        <w:rPr>
          <w:rFonts w:ascii="Times New Roman" w:hAnsi="Times New Roman" w:cs="Times New Roman"/>
          <w:sz w:val="24"/>
          <w:szCs w:val="24"/>
        </w:rPr>
        <w:t xml:space="preserve">on this basis </w:t>
      </w:r>
      <w:r w:rsidR="001941F8">
        <w:rPr>
          <w:rFonts w:ascii="Times New Roman" w:hAnsi="Times New Roman" w:cs="Times New Roman"/>
          <w:sz w:val="24"/>
          <w:szCs w:val="24"/>
        </w:rPr>
        <w:t>have</w:t>
      </w:r>
      <w:r w:rsidR="001941F8" w:rsidRPr="00971BEE">
        <w:rPr>
          <w:rFonts w:ascii="Times New Roman" w:hAnsi="Times New Roman" w:cs="Times New Roman"/>
          <w:sz w:val="24"/>
          <w:szCs w:val="24"/>
        </w:rPr>
        <w:t xml:space="preserve"> been lodged against various States</w:t>
      </w:r>
      <w:r w:rsidR="00313B2A">
        <w:rPr>
          <w:rFonts w:ascii="Times New Roman" w:hAnsi="Times New Roman" w:cs="Times New Roman"/>
          <w:sz w:val="24"/>
          <w:szCs w:val="24"/>
        </w:rPr>
        <w:t xml:space="preserve">, particularly </w:t>
      </w:r>
      <w:r w:rsidR="000022F7">
        <w:rPr>
          <w:rFonts w:ascii="Times New Roman" w:hAnsi="Times New Roman" w:cs="Times New Roman"/>
          <w:sz w:val="24"/>
          <w:szCs w:val="24"/>
        </w:rPr>
        <w:t xml:space="preserve">in Europe.  Interestingly, </w:t>
      </w:r>
      <w:r w:rsidR="001941F8">
        <w:rPr>
          <w:rFonts w:ascii="Times New Roman" w:hAnsi="Times New Roman" w:cs="Times New Roman"/>
          <w:sz w:val="24"/>
          <w:szCs w:val="24"/>
        </w:rPr>
        <w:t>it has</w:t>
      </w:r>
      <w:r w:rsidR="001941F8" w:rsidRPr="00971BEE">
        <w:rPr>
          <w:rFonts w:ascii="Times New Roman" w:hAnsi="Times New Roman" w:cs="Times New Roman"/>
          <w:sz w:val="24"/>
          <w:szCs w:val="24"/>
        </w:rPr>
        <w:t xml:space="preserve"> been held that the purpose of </w:t>
      </w:r>
      <w:r w:rsidR="008D33CD">
        <w:rPr>
          <w:rFonts w:ascii="Times New Roman" w:hAnsi="Times New Roman" w:cs="Times New Roman"/>
          <w:sz w:val="24"/>
          <w:szCs w:val="24"/>
        </w:rPr>
        <w:t xml:space="preserve">non-conviction based confiscation </w:t>
      </w:r>
      <w:r w:rsidR="001941F8" w:rsidRPr="00971BEE">
        <w:rPr>
          <w:rFonts w:ascii="Times New Roman" w:hAnsi="Times New Roman" w:cs="Times New Roman"/>
          <w:sz w:val="24"/>
          <w:szCs w:val="24"/>
        </w:rPr>
        <w:t>is to recover assets illegally</w:t>
      </w:r>
      <w:r w:rsidR="001941F8">
        <w:rPr>
          <w:rFonts w:ascii="Times New Roman" w:hAnsi="Times New Roman" w:cs="Times New Roman"/>
          <w:sz w:val="24"/>
          <w:szCs w:val="24"/>
        </w:rPr>
        <w:t xml:space="preserve"> possessed</w:t>
      </w:r>
      <w:r w:rsidR="001941F8" w:rsidRPr="00971BEE">
        <w:rPr>
          <w:rFonts w:ascii="Times New Roman" w:hAnsi="Times New Roman" w:cs="Times New Roman"/>
          <w:sz w:val="24"/>
          <w:szCs w:val="24"/>
        </w:rPr>
        <w:t xml:space="preserve"> and not to determine one’s guilt</w:t>
      </w:r>
      <w:r w:rsidR="006076DB">
        <w:rPr>
          <w:rFonts w:ascii="Times New Roman" w:hAnsi="Times New Roman" w:cs="Times New Roman"/>
          <w:sz w:val="24"/>
          <w:szCs w:val="24"/>
        </w:rPr>
        <w:t>,</w:t>
      </w:r>
      <w:r w:rsidR="001941F8" w:rsidRPr="00971BEE">
        <w:rPr>
          <w:rStyle w:val="FootnoteReference"/>
          <w:rFonts w:ascii="Times New Roman" w:hAnsi="Times New Roman" w:cs="Times New Roman"/>
          <w:sz w:val="24"/>
          <w:szCs w:val="24"/>
        </w:rPr>
        <w:footnoteReference w:id="109"/>
      </w:r>
      <w:r w:rsidR="004E7146">
        <w:rPr>
          <w:rFonts w:ascii="Times New Roman" w:hAnsi="Times New Roman" w:cs="Times New Roman"/>
          <w:sz w:val="24"/>
          <w:szCs w:val="24"/>
        </w:rPr>
        <w:t xml:space="preserve"> </w:t>
      </w:r>
      <w:r w:rsidR="006076DB">
        <w:rPr>
          <w:rFonts w:ascii="Times New Roman" w:hAnsi="Times New Roman" w:cs="Times New Roman"/>
          <w:sz w:val="24"/>
          <w:szCs w:val="24"/>
        </w:rPr>
        <w:t xml:space="preserve">and </w:t>
      </w:r>
      <w:r w:rsidR="004E7146">
        <w:rPr>
          <w:rFonts w:ascii="Times New Roman" w:hAnsi="Times New Roman" w:cs="Times New Roman"/>
          <w:sz w:val="24"/>
          <w:szCs w:val="24"/>
        </w:rPr>
        <w:t xml:space="preserve">that </w:t>
      </w:r>
      <w:r w:rsidR="007928EF">
        <w:rPr>
          <w:rFonts w:ascii="Times New Roman" w:hAnsi="Times New Roman" w:cs="Times New Roman"/>
          <w:sz w:val="24"/>
          <w:szCs w:val="24"/>
        </w:rPr>
        <w:t>it is</w:t>
      </w:r>
      <w:r w:rsidR="00A14CF2">
        <w:rPr>
          <w:rFonts w:ascii="Times New Roman" w:hAnsi="Times New Roman" w:cs="Times New Roman"/>
          <w:sz w:val="24"/>
          <w:szCs w:val="24"/>
        </w:rPr>
        <w:t xml:space="preserve"> </w:t>
      </w:r>
      <w:r w:rsidR="004E7146">
        <w:rPr>
          <w:rFonts w:ascii="Times New Roman" w:hAnsi="Times New Roman" w:cs="Times New Roman"/>
          <w:sz w:val="24"/>
          <w:szCs w:val="24"/>
        </w:rPr>
        <w:t xml:space="preserve">a “preventive measure” which </w:t>
      </w:r>
      <w:r w:rsidR="00A14CF2">
        <w:rPr>
          <w:rFonts w:ascii="Times New Roman" w:hAnsi="Times New Roman" w:cs="Times New Roman"/>
          <w:sz w:val="24"/>
          <w:szCs w:val="24"/>
        </w:rPr>
        <w:t>is separate from a criminal sanction</w:t>
      </w:r>
      <w:r w:rsidR="004E7146">
        <w:rPr>
          <w:rFonts w:ascii="Times New Roman" w:hAnsi="Times New Roman" w:cs="Times New Roman"/>
          <w:sz w:val="24"/>
          <w:szCs w:val="24"/>
        </w:rPr>
        <w:t>.</w:t>
      </w:r>
      <w:r w:rsidR="004E7146">
        <w:rPr>
          <w:rStyle w:val="FootnoteReference"/>
          <w:rFonts w:ascii="Times New Roman" w:hAnsi="Times New Roman" w:cs="Times New Roman"/>
          <w:sz w:val="24"/>
          <w:szCs w:val="24"/>
        </w:rPr>
        <w:footnoteReference w:id="110"/>
      </w:r>
      <w:r w:rsidR="001941F8" w:rsidRPr="00971BEE">
        <w:rPr>
          <w:rFonts w:ascii="Times New Roman" w:hAnsi="Times New Roman" w:cs="Times New Roman"/>
          <w:sz w:val="24"/>
          <w:szCs w:val="24"/>
        </w:rPr>
        <w:t xml:space="preserve"> </w:t>
      </w:r>
      <w:r w:rsidR="00A14CF2">
        <w:rPr>
          <w:rFonts w:ascii="Times New Roman" w:hAnsi="Times New Roman" w:cs="Times New Roman"/>
          <w:sz w:val="24"/>
          <w:szCs w:val="24"/>
        </w:rPr>
        <w:t xml:space="preserve"> </w:t>
      </w:r>
      <w:r w:rsidR="00F71D2F" w:rsidRPr="00971BEE">
        <w:rPr>
          <w:rFonts w:ascii="Times New Roman" w:hAnsi="Times New Roman" w:cs="Times New Roman"/>
          <w:sz w:val="24"/>
          <w:szCs w:val="24"/>
        </w:rPr>
        <w:t xml:space="preserve">Consequently, civil </w:t>
      </w:r>
      <w:r w:rsidR="00673D4A">
        <w:rPr>
          <w:rFonts w:ascii="Times New Roman" w:hAnsi="Times New Roman" w:cs="Times New Roman"/>
          <w:sz w:val="24"/>
          <w:szCs w:val="24"/>
        </w:rPr>
        <w:t xml:space="preserve">asset </w:t>
      </w:r>
      <w:r w:rsidR="00F71D2F" w:rsidRPr="00971BEE">
        <w:rPr>
          <w:rFonts w:ascii="Times New Roman" w:hAnsi="Times New Roman" w:cs="Times New Roman"/>
          <w:sz w:val="24"/>
          <w:szCs w:val="24"/>
        </w:rPr>
        <w:t>recovery</w:t>
      </w:r>
      <w:r w:rsidR="00F71D2F">
        <w:rPr>
          <w:rFonts w:ascii="Times New Roman" w:hAnsi="Times New Roman" w:cs="Times New Roman"/>
          <w:sz w:val="24"/>
          <w:szCs w:val="24"/>
        </w:rPr>
        <w:t xml:space="preserve"> </w:t>
      </w:r>
      <w:r w:rsidR="00013F23">
        <w:rPr>
          <w:rFonts w:ascii="Times New Roman" w:hAnsi="Times New Roman" w:cs="Times New Roman"/>
          <w:sz w:val="24"/>
          <w:szCs w:val="24"/>
        </w:rPr>
        <w:t xml:space="preserve">has not been held to </w:t>
      </w:r>
      <w:r w:rsidR="00F71D2F">
        <w:rPr>
          <w:rFonts w:ascii="Times New Roman" w:hAnsi="Times New Roman" w:cs="Times New Roman"/>
          <w:sz w:val="24"/>
          <w:szCs w:val="24"/>
        </w:rPr>
        <w:t xml:space="preserve">result in a breach of </w:t>
      </w:r>
      <w:r w:rsidR="00EE657E">
        <w:rPr>
          <w:rFonts w:ascii="Times New Roman" w:hAnsi="Times New Roman" w:cs="Times New Roman"/>
          <w:sz w:val="24"/>
          <w:szCs w:val="24"/>
        </w:rPr>
        <w:t xml:space="preserve">the </w:t>
      </w:r>
      <w:r w:rsidR="00F71D2F">
        <w:rPr>
          <w:rFonts w:ascii="Times New Roman" w:hAnsi="Times New Roman" w:cs="Times New Roman"/>
          <w:sz w:val="24"/>
          <w:szCs w:val="24"/>
        </w:rPr>
        <w:t>presumption of innocence</w:t>
      </w:r>
      <w:r w:rsidR="00013F23">
        <w:rPr>
          <w:rFonts w:ascii="Times New Roman" w:hAnsi="Times New Roman" w:cs="Times New Roman"/>
          <w:sz w:val="24"/>
          <w:szCs w:val="24"/>
        </w:rPr>
        <w:t xml:space="preserve"> automatically</w:t>
      </w:r>
      <w:r w:rsidR="008D33CD">
        <w:rPr>
          <w:rFonts w:ascii="Times New Roman" w:hAnsi="Times New Roman" w:cs="Times New Roman"/>
          <w:sz w:val="24"/>
          <w:szCs w:val="24"/>
        </w:rPr>
        <w:t>.</w:t>
      </w:r>
      <w:r w:rsidR="008D33CD">
        <w:rPr>
          <w:rFonts w:ascii="Times New Roman" w:hAnsi="Times New Roman" w:cs="Times New Roman"/>
          <w:sz w:val="24"/>
          <w:szCs w:val="24"/>
        </w:rPr>
        <w:tab/>
      </w:r>
    </w:p>
    <w:p w:rsidR="00FD26CE" w:rsidRPr="00D97CD7" w:rsidRDefault="00A14CF2" w:rsidP="00D97CD7">
      <w:pPr>
        <w:spacing w:line="480" w:lineRule="auto"/>
        <w:ind w:firstLine="720"/>
        <w:rPr>
          <w:rFonts w:ascii="Times New Roman" w:hAnsi="Times New Roman" w:cs="Times New Roman"/>
          <w:iCs/>
          <w:sz w:val="24"/>
          <w:szCs w:val="24"/>
        </w:rPr>
      </w:pPr>
      <w:r>
        <w:rPr>
          <w:rFonts w:ascii="Times New Roman" w:hAnsi="Times New Roman" w:cs="Times New Roman"/>
          <w:sz w:val="24"/>
          <w:szCs w:val="24"/>
        </w:rPr>
        <w:t xml:space="preserve">This position, however, does not sit well with </w:t>
      </w:r>
      <w:r w:rsidR="00BE34C1">
        <w:rPr>
          <w:rFonts w:ascii="Times New Roman" w:hAnsi="Times New Roman" w:cs="Times New Roman"/>
          <w:sz w:val="24"/>
          <w:szCs w:val="24"/>
        </w:rPr>
        <w:t xml:space="preserve">the previous ruling </w:t>
      </w:r>
      <w:r>
        <w:rPr>
          <w:rFonts w:ascii="Times New Roman" w:hAnsi="Times New Roman" w:cs="Times New Roman"/>
          <w:sz w:val="24"/>
          <w:szCs w:val="24"/>
        </w:rPr>
        <w:t>that confiscation can also pursue the aim of punishing an offender.</w:t>
      </w:r>
      <w:r>
        <w:rPr>
          <w:rStyle w:val="FootnoteReference"/>
          <w:rFonts w:ascii="Times New Roman" w:hAnsi="Times New Roman" w:cs="Times New Roman"/>
          <w:sz w:val="24"/>
          <w:szCs w:val="24"/>
        </w:rPr>
        <w:footnoteReference w:id="111"/>
      </w:r>
      <w:r>
        <w:rPr>
          <w:rFonts w:ascii="Times New Roman" w:hAnsi="Times New Roman" w:cs="Times New Roman"/>
          <w:sz w:val="24"/>
          <w:szCs w:val="24"/>
        </w:rPr>
        <w:t xml:space="preserve">  </w:t>
      </w:r>
      <w:r w:rsidR="00051B9C">
        <w:rPr>
          <w:rFonts w:ascii="Times New Roman" w:hAnsi="Times New Roman" w:cs="Times New Roman"/>
          <w:sz w:val="24"/>
          <w:szCs w:val="24"/>
        </w:rPr>
        <w:t xml:space="preserve">Indeed, </w:t>
      </w:r>
      <w:r w:rsidR="001705BA">
        <w:rPr>
          <w:rFonts w:ascii="Times New Roman" w:hAnsi="Times New Roman"/>
          <w:bCs/>
          <w:sz w:val="24"/>
          <w:szCs w:val="24"/>
        </w:rPr>
        <w:t>s</w:t>
      </w:r>
      <w:r w:rsidR="00051B9C" w:rsidRPr="000022F7">
        <w:rPr>
          <w:rFonts w:ascii="Times New Roman" w:hAnsi="Times New Roman"/>
          <w:bCs/>
          <w:sz w:val="24"/>
          <w:szCs w:val="24"/>
        </w:rPr>
        <w:t>cholars</w:t>
      </w:r>
      <w:r w:rsidR="0071245B">
        <w:rPr>
          <w:rFonts w:ascii="Times New Roman" w:hAnsi="Times New Roman"/>
          <w:bCs/>
          <w:sz w:val="24"/>
          <w:szCs w:val="24"/>
        </w:rPr>
        <w:t xml:space="preserve"> </w:t>
      </w:r>
      <w:r w:rsidR="001705BA">
        <w:rPr>
          <w:rFonts w:ascii="Times New Roman" w:hAnsi="Times New Roman"/>
          <w:bCs/>
          <w:sz w:val="24"/>
          <w:szCs w:val="24"/>
        </w:rPr>
        <w:t xml:space="preserve">support a view </w:t>
      </w:r>
      <w:r w:rsidR="00051B9C" w:rsidRPr="000022F7">
        <w:rPr>
          <w:rFonts w:ascii="Times New Roman" w:hAnsi="Times New Roman"/>
          <w:bCs/>
          <w:sz w:val="24"/>
          <w:szCs w:val="24"/>
        </w:rPr>
        <w:t xml:space="preserve">that </w:t>
      </w:r>
      <w:r w:rsidR="00BE34C1">
        <w:rPr>
          <w:rFonts w:ascii="Times New Roman" w:hAnsi="Times New Roman"/>
          <w:bCs/>
          <w:sz w:val="24"/>
          <w:szCs w:val="24"/>
        </w:rPr>
        <w:t>the regime</w:t>
      </w:r>
      <w:r w:rsidR="00051B9C">
        <w:rPr>
          <w:rFonts w:ascii="Times New Roman" w:hAnsi="Times New Roman"/>
          <w:bCs/>
          <w:sz w:val="24"/>
          <w:szCs w:val="24"/>
        </w:rPr>
        <w:t xml:space="preserve"> amounts to punishment, </w:t>
      </w:r>
      <w:r w:rsidR="00051B9C" w:rsidRPr="000022F7">
        <w:rPr>
          <w:rFonts w:ascii="Times New Roman" w:hAnsi="Times New Roman"/>
          <w:bCs/>
          <w:sz w:val="24"/>
          <w:szCs w:val="24"/>
        </w:rPr>
        <w:t xml:space="preserve"> and therefore that it should be regarded as a criminal </w:t>
      </w:r>
      <w:r w:rsidR="00681568">
        <w:rPr>
          <w:rFonts w:ascii="Times New Roman" w:hAnsi="Times New Roman"/>
          <w:bCs/>
          <w:sz w:val="24"/>
          <w:szCs w:val="24"/>
        </w:rPr>
        <w:t xml:space="preserve">justice </w:t>
      </w:r>
      <w:r w:rsidR="00051B9C" w:rsidRPr="000022F7">
        <w:rPr>
          <w:rFonts w:ascii="Times New Roman" w:hAnsi="Times New Roman"/>
          <w:bCs/>
          <w:sz w:val="24"/>
          <w:szCs w:val="24"/>
        </w:rPr>
        <w:lastRenderedPageBreak/>
        <w:t>mechanism</w:t>
      </w:r>
      <w:r w:rsidR="00051B9C">
        <w:rPr>
          <w:rFonts w:ascii="Times New Roman" w:hAnsi="Times New Roman"/>
          <w:bCs/>
          <w:sz w:val="24"/>
          <w:szCs w:val="24"/>
        </w:rPr>
        <w:t>.</w:t>
      </w:r>
      <w:r w:rsidR="00051B9C" w:rsidRPr="000022F7">
        <w:rPr>
          <w:rStyle w:val="FootnoteReference"/>
          <w:rFonts w:ascii="Times New Roman" w:hAnsi="Times New Roman"/>
          <w:bCs/>
          <w:sz w:val="24"/>
          <w:szCs w:val="24"/>
        </w:rPr>
        <w:footnoteReference w:id="112"/>
      </w:r>
      <w:r w:rsidR="001705BA">
        <w:rPr>
          <w:rFonts w:ascii="Times New Roman" w:hAnsi="Times New Roman"/>
          <w:bCs/>
          <w:sz w:val="24"/>
          <w:szCs w:val="24"/>
        </w:rPr>
        <w:t xml:space="preserve">  Campbell further </w:t>
      </w:r>
      <w:r w:rsidR="00002024">
        <w:rPr>
          <w:rFonts w:ascii="Times New Roman" w:hAnsi="Times New Roman"/>
          <w:bCs/>
          <w:sz w:val="24"/>
          <w:szCs w:val="24"/>
        </w:rPr>
        <w:t xml:space="preserve">opines </w:t>
      </w:r>
      <w:r w:rsidR="001705BA">
        <w:rPr>
          <w:rFonts w:ascii="Times New Roman" w:hAnsi="Times New Roman"/>
          <w:bCs/>
          <w:sz w:val="24"/>
          <w:szCs w:val="24"/>
        </w:rPr>
        <w:t>that “moral responsibility and social blame” are present in civil asset proceedings, placing “the label of criminal on the person without due process protections.”</w:t>
      </w:r>
      <w:r w:rsidR="001705BA">
        <w:rPr>
          <w:rStyle w:val="FootnoteReference"/>
          <w:rFonts w:ascii="Times New Roman" w:hAnsi="Times New Roman"/>
          <w:bCs/>
          <w:sz w:val="24"/>
          <w:szCs w:val="24"/>
        </w:rPr>
        <w:footnoteReference w:id="113"/>
      </w:r>
      <w:r w:rsidR="00051B9C">
        <w:rPr>
          <w:rFonts w:ascii="Times New Roman" w:hAnsi="Times New Roman"/>
          <w:bCs/>
          <w:sz w:val="24"/>
          <w:szCs w:val="24"/>
        </w:rPr>
        <w:t xml:space="preserve"> </w:t>
      </w:r>
      <w:r w:rsidR="00683649">
        <w:rPr>
          <w:rFonts w:ascii="Times New Roman" w:hAnsi="Times New Roman" w:cs="Times New Roman"/>
          <w:sz w:val="24"/>
          <w:szCs w:val="24"/>
        </w:rPr>
        <w:t>Consequently, it has been argued that the presumption of innocence should apply</w:t>
      </w:r>
      <w:r w:rsidR="00602BCA">
        <w:rPr>
          <w:rFonts w:ascii="Times New Roman" w:hAnsi="Times New Roman" w:cs="Times New Roman"/>
          <w:sz w:val="24"/>
          <w:szCs w:val="24"/>
        </w:rPr>
        <w:t xml:space="preserve"> to civil asset recovery</w:t>
      </w:r>
      <w:r w:rsidR="00683649">
        <w:rPr>
          <w:rFonts w:ascii="Times New Roman" w:hAnsi="Times New Roman" w:cs="Times New Roman"/>
          <w:sz w:val="24"/>
          <w:szCs w:val="24"/>
        </w:rPr>
        <w:t>.</w:t>
      </w:r>
      <w:r w:rsidR="00683649">
        <w:rPr>
          <w:rStyle w:val="FootnoteReference"/>
          <w:rFonts w:ascii="Times New Roman" w:hAnsi="Times New Roman" w:cs="Times New Roman"/>
          <w:sz w:val="24"/>
          <w:szCs w:val="24"/>
        </w:rPr>
        <w:footnoteReference w:id="114"/>
      </w:r>
      <w:r w:rsidR="00683649">
        <w:rPr>
          <w:rFonts w:ascii="Times New Roman" w:hAnsi="Times New Roman" w:cs="Times New Roman"/>
          <w:sz w:val="24"/>
          <w:szCs w:val="24"/>
        </w:rPr>
        <w:t xml:space="preserve">  </w:t>
      </w:r>
      <w:r w:rsidR="00D97CD7" w:rsidRPr="00D97CD7">
        <w:rPr>
          <w:rFonts w:ascii="Times New Roman" w:hAnsi="Times New Roman" w:cs="Times New Roman"/>
          <w:sz w:val="24"/>
          <w:szCs w:val="24"/>
        </w:rPr>
        <w:t>Strangely,  it</w:t>
      </w:r>
      <w:r w:rsidR="00D97CD7">
        <w:rPr>
          <w:rFonts w:ascii="Times New Roman" w:hAnsi="Times New Roman" w:cs="Times New Roman"/>
          <w:sz w:val="24"/>
          <w:szCs w:val="24"/>
        </w:rPr>
        <w:t xml:space="preserve"> has been held that other procedural safeguards (e.g. </w:t>
      </w:r>
      <w:r w:rsidR="00D97CD7" w:rsidRPr="00971BEE">
        <w:rPr>
          <w:rStyle w:val="ju-005fpara--char"/>
          <w:rFonts w:ascii="Times New Roman" w:hAnsi="Times New Roman" w:cs="Times New Roman"/>
          <w:iCs/>
          <w:sz w:val="24"/>
          <w:szCs w:val="24"/>
        </w:rPr>
        <w:t xml:space="preserve">public/open hearing, disclosure of the prosecution’s case, and an opportunity to rebut such an assumption on the </w:t>
      </w:r>
      <w:r w:rsidR="00D97CD7">
        <w:rPr>
          <w:rStyle w:val="ju-005fpara--char"/>
          <w:rFonts w:ascii="Times New Roman" w:hAnsi="Times New Roman" w:cs="Times New Roman"/>
          <w:iCs/>
          <w:sz w:val="24"/>
          <w:szCs w:val="24"/>
        </w:rPr>
        <w:t>balance of probabilities)</w:t>
      </w:r>
      <w:r w:rsidR="00D97CD7" w:rsidRPr="00971BEE">
        <w:rPr>
          <w:rStyle w:val="FootnoteReference"/>
          <w:rFonts w:ascii="Times New Roman" w:hAnsi="Times New Roman" w:cs="Times New Roman"/>
          <w:iCs/>
          <w:sz w:val="24"/>
          <w:szCs w:val="24"/>
        </w:rPr>
        <w:footnoteReference w:id="115"/>
      </w:r>
      <w:r w:rsidR="00D97CD7">
        <w:rPr>
          <w:rStyle w:val="ju-005fpara--char"/>
          <w:rFonts w:ascii="Times New Roman" w:hAnsi="Times New Roman" w:cs="Times New Roman"/>
          <w:iCs/>
          <w:sz w:val="24"/>
          <w:szCs w:val="24"/>
        </w:rPr>
        <w:t xml:space="preserve"> </w:t>
      </w:r>
      <w:r w:rsidR="00AB7F45">
        <w:rPr>
          <w:rStyle w:val="ju-005fpara--char"/>
          <w:rFonts w:ascii="Times New Roman" w:hAnsi="Times New Roman" w:cs="Times New Roman"/>
          <w:iCs/>
          <w:sz w:val="24"/>
          <w:szCs w:val="24"/>
        </w:rPr>
        <w:t xml:space="preserve">were </w:t>
      </w:r>
      <w:r w:rsidR="00D97CD7">
        <w:rPr>
          <w:rStyle w:val="ju-005fpara--char"/>
          <w:rFonts w:ascii="Times New Roman" w:hAnsi="Times New Roman" w:cs="Times New Roman"/>
          <w:iCs/>
          <w:sz w:val="24"/>
          <w:szCs w:val="24"/>
        </w:rPr>
        <w:t>applicable even for civil proceedings</w:t>
      </w:r>
      <w:r w:rsidR="00042C6F">
        <w:rPr>
          <w:rStyle w:val="ju-005fpara--char"/>
          <w:rFonts w:ascii="Times New Roman" w:hAnsi="Times New Roman" w:cs="Times New Roman"/>
          <w:iCs/>
          <w:sz w:val="24"/>
          <w:szCs w:val="24"/>
        </w:rPr>
        <w:t xml:space="preserve">.  </w:t>
      </w:r>
      <w:r w:rsidR="00BC3518">
        <w:rPr>
          <w:rStyle w:val="ju-005fpara--char"/>
          <w:rFonts w:ascii="Times New Roman" w:hAnsi="Times New Roman" w:cs="Times New Roman"/>
          <w:iCs/>
          <w:sz w:val="24"/>
          <w:szCs w:val="24"/>
        </w:rPr>
        <w:t xml:space="preserve"> </w:t>
      </w:r>
      <w:r w:rsidR="00042C6F">
        <w:rPr>
          <w:rStyle w:val="ju-005fpara--char"/>
          <w:rFonts w:ascii="Times New Roman" w:hAnsi="Times New Roman" w:cs="Times New Roman"/>
          <w:iCs/>
          <w:sz w:val="24"/>
          <w:szCs w:val="24"/>
        </w:rPr>
        <w:t>Here, a</w:t>
      </w:r>
      <w:r w:rsidR="00BC3518">
        <w:rPr>
          <w:rStyle w:val="ju-005fpara--char"/>
          <w:rFonts w:ascii="Times New Roman" w:hAnsi="Times New Roman" w:cs="Times New Roman"/>
          <w:iCs/>
          <w:sz w:val="24"/>
          <w:szCs w:val="24"/>
        </w:rPr>
        <w:t xml:space="preserve"> question </w:t>
      </w:r>
      <w:r w:rsidR="00652066">
        <w:rPr>
          <w:rStyle w:val="ju-005fpara--char"/>
          <w:rFonts w:ascii="Times New Roman" w:hAnsi="Times New Roman" w:cs="Times New Roman"/>
          <w:iCs/>
          <w:sz w:val="24"/>
          <w:szCs w:val="24"/>
        </w:rPr>
        <w:t xml:space="preserve">can </w:t>
      </w:r>
      <w:r w:rsidR="00AB7F45">
        <w:rPr>
          <w:rStyle w:val="ju-005fpara--char"/>
          <w:rFonts w:ascii="Times New Roman" w:hAnsi="Times New Roman" w:cs="Times New Roman"/>
          <w:iCs/>
          <w:sz w:val="24"/>
          <w:szCs w:val="24"/>
        </w:rPr>
        <w:t>be</w:t>
      </w:r>
      <w:r w:rsidR="00BC3518">
        <w:rPr>
          <w:rStyle w:val="ju-005fpara--char"/>
          <w:rFonts w:ascii="Times New Roman" w:hAnsi="Times New Roman" w:cs="Times New Roman"/>
          <w:iCs/>
          <w:sz w:val="24"/>
          <w:szCs w:val="24"/>
        </w:rPr>
        <w:t xml:space="preserve"> asked as </w:t>
      </w:r>
      <w:r w:rsidR="00AB7F45">
        <w:rPr>
          <w:rStyle w:val="ju-005fpara--char"/>
          <w:rFonts w:ascii="Times New Roman" w:hAnsi="Times New Roman" w:cs="Times New Roman"/>
          <w:iCs/>
          <w:sz w:val="24"/>
          <w:szCs w:val="24"/>
        </w:rPr>
        <w:t xml:space="preserve">to </w:t>
      </w:r>
      <w:r w:rsidR="00BC3518">
        <w:rPr>
          <w:rStyle w:val="ju-005fpara--char"/>
          <w:rFonts w:ascii="Times New Roman" w:hAnsi="Times New Roman" w:cs="Times New Roman"/>
          <w:iCs/>
          <w:sz w:val="24"/>
          <w:szCs w:val="24"/>
        </w:rPr>
        <w:t xml:space="preserve">whether </w:t>
      </w:r>
      <w:r w:rsidR="00D97CD7">
        <w:rPr>
          <w:rStyle w:val="ju-005fpara--char"/>
          <w:rFonts w:ascii="Times New Roman" w:hAnsi="Times New Roman" w:cs="Times New Roman"/>
          <w:iCs/>
          <w:sz w:val="24"/>
          <w:szCs w:val="24"/>
        </w:rPr>
        <w:t>the presumption of innocence, which i</w:t>
      </w:r>
      <w:r w:rsidR="003C3F26">
        <w:rPr>
          <w:rStyle w:val="ju-005fpara--char"/>
          <w:rFonts w:ascii="Times New Roman" w:hAnsi="Times New Roman" w:cs="Times New Roman"/>
          <w:iCs/>
          <w:sz w:val="24"/>
          <w:szCs w:val="24"/>
        </w:rPr>
        <w:t>s</w:t>
      </w:r>
      <w:r w:rsidR="00D97CD7">
        <w:rPr>
          <w:rStyle w:val="ju-005fpara--char"/>
          <w:rFonts w:ascii="Times New Roman" w:hAnsi="Times New Roman" w:cs="Times New Roman"/>
          <w:iCs/>
          <w:sz w:val="24"/>
          <w:szCs w:val="24"/>
        </w:rPr>
        <w:t xml:space="preserve"> </w:t>
      </w:r>
      <w:r w:rsidR="00042C6F">
        <w:rPr>
          <w:rStyle w:val="ju-005fpara--char"/>
          <w:rFonts w:ascii="Times New Roman" w:hAnsi="Times New Roman" w:cs="Times New Roman"/>
          <w:iCs/>
          <w:sz w:val="24"/>
          <w:szCs w:val="24"/>
        </w:rPr>
        <w:t xml:space="preserve">also </w:t>
      </w:r>
      <w:r w:rsidR="00013CC5">
        <w:rPr>
          <w:rStyle w:val="ju-005fpara--char"/>
          <w:rFonts w:ascii="Times New Roman" w:hAnsi="Times New Roman" w:cs="Times New Roman"/>
          <w:iCs/>
          <w:sz w:val="24"/>
          <w:szCs w:val="24"/>
        </w:rPr>
        <w:t xml:space="preserve">an integral </w:t>
      </w:r>
      <w:r w:rsidR="00AB7F45">
        <w:rPr>
          <w:rStyle w:val="ju-005fpara--char"/>
          <w:rFonts w:ascii="Times New Roman" w:hAnsi="Times New Roman" w:cs="Times New Roman"/>
          <w:iCs/>
          <w:sz w:val="24"/>
          <w:szCs w:val="24"/>
        </w:rPr>
        <w:t>and</w:t>
      </w:r>
      <w:r w:rsidR="00013CC5">
        <w:rPr>
          <w:rStyle w:val="ju-005fpara--char"/>
          <w:rFonts w:ascii="Times New Roman" w:hAnsi="Times New Roman" w:cs="Times New Roman"/>
          <w:iCs/>
          <w:sz w:val="24"/>
          <w:szCs w:val="24"/>
        </w:rPr>
        <w:t xml:space="preserve"> interlinked </w:t>
      </w:r>
      <w:r w:rsidR="00D97CD7">
        <w:rPr>
          <w:rStyle w:val="ju-005fpara--char"/>
          <w:rFonts w:ascii="Times New Roman" w:hAnsi="Times New Roman" w:cs="Times New Roman"/>
          <w:iCs/>
          <w:sz w:val="24"/>
          <w:szCs w:val="24"/>
        </w:rPr>
        <w:t>part of the</w:t>
      </w:r>
      <w:r w:rsidR="003A02BC">
        <w:rPr>
          <w:rStyle w:val="ju-005fpara--char"/>
          <w:rFonts w:ascii="Times New Roman" w:hAnsi="Times New Roman" w:cs="Times New Roman"/>
          <w:iCs/>
          <w:sz w:val="24"/>
          <w:szCs w:val="24"/>
        </w:rPr>
        <w:t xml:space="preserve"> overall</w:t>
      </w:r>
      <w:r w:rsidR="00D97CD7">
        <w:rPr>
          <w:rStyle w:val="ju-005fpara--char"/>
          <w:rFonts w:ascii="Times New Roman" w:hAnsi="Times New Roman" w:cs="Times New Roman"/>
          <w:iCs/>
          <w:sz w:val="24"/>
          <w:szCs w:val="24"/>
        </w:rPr>
        <w:t xml:space="preserve"> procedural guarantees,</w:t>
      </w:r>
      <w:r w:rsidR="00D97CD7">
        <w:rPr>
          <w:rStyle w:val="FootnoteReference"/>
          <w:rFonts w:ascii="Times New Roman" w:hAnsi="Times New Roman" w:cs="Times New Roman"/>
          <w:iCs/>
          <w:sz w:val="24"/>
          <w:szCs w:val="24"/>
        </w:rPr>
        <w:footnoteReference w:id="116"/>
      </w:r>
      <w:r w:rsidR="00D97CD7">
        <w:rPr>
          <w:rStyle w:val="ju-005fpara--char"/>
          <w:rFonts w:ascii="Times New Roman" w:hAnsi="Times New Roman" w:cs="Times New Roman"/>
          <w:iCs/>
          <w:sz w:val="24"/>
          <w:szCs w:val="24"/>
        </w:rPr>
        <w:t xml:space="preserve"> </w:t>
      </w:r>
      <w:r w:rsidR="00BC3518">
        <w:rPr>
          <w:rStyle w:val="ju-005fpara--char"/>
          <w:rFonts w:ascii="Times New Roman" w:hAnsi="Times New Roman" w:cs="Times New Roman"/>
          <w:iCs/>
          <w:sz w:val="24"/>
          <w:szCs w:val="24"/>
        </w:rPr>
        <w:t>should be</w:t>
      </w:r>
      <w:r w:rsidR="00D97CD7">
        <w:rPr>
          <w:rStyle w:val="ju-005fpara--char"/>
          <w:rFonts w:ascii="Times New Roman" w:hAnsi="Times New Roman" w:cs="Times New Roman"/>
          <w:iCs/>
          <w:sz w:val="24"/>
          <w:szCs w:val="24"/>
        </w:rPr>
        <w:t xml:space="preserve"> treated differently.  </w:t>
      </w:r>
      <w:r w:rsidR="00604D4E">
        <w:rPr>
          <w:rStyle w:val="ju-005fpara--char"/>
          <w:rFonts w:ascii="Times New Roman" w:hAnsi="Times New Roman" w:cs="Times New Roman"/>
          <w:iCs/>
          <w:sz w:val="24"/>
          <w:szCs w:val="24"/>
        </w:rPr>
        <w:t xml:space="preserve">In reality, </w:t>
      </w:r>
      <w:r w:rsidR="00604D4E">
        <w:rPr>
          <w:rFonts w:ascii="Times New Roman" w:hAnsi="Times New Roman" w:cs="Times New Roman"/>
          <w:sz w:val="24"/>
          <w:szCs w:val="24"/>
        </w:rPr>
        <w:t>s</w:t>
      </w:r>
      <w:r w:rsidR="00585C30">
        <w:rPr>
          <w:rFonts w:ascii="Times New Roman" w:hAnsi="Times New Roman" w:cs="Times New Roman"/>
          <w:sz w:val="24"/>
          <w:szCs w:val="24"/>
        </w:rPr>
        <w:t>ome civil law States have the tradition of applying this principle even for civil proceedings,</w:t>
      </w:r>
      <w:r w:rsidR="00585C30">
        <w:rPr>
          <w:rStyle w:val="FootnoteReference"/>
          <w:rFonts w:ascii="Times New Roman" w:hAnsi="Times New Roman" w:cs="Times New Roman"/>
          <w:sz w:val="24"/>
          <w:szCs w:val="24"/>
        </w:rPr>
        <w:footnoteReference w:id="117"/>
      </w:r>
      <w:r w:rsidR="00822E79">
        <w:rPr>
          <w:rFonts w:ascii="Times New Roman" w:hAnsi="Times New Roman" w:cs="Times New Roman"/>
          <w:sz w:val="24"/>
          <w:szCs w:val="24"/>
        </w:rPr>
        <w:t xml:space="preserve"> and there is no reason why the same cannot apply to </w:t>
      </w:r>
      <w:r w:rsidR="004236FB">
        <w:rPr>
          <w:rFonts w:ascii="Times New Roman" w:hAnsi="Times New Roman" w:cs="Times New Roman"/>
          <w:sz w:val="24"/>
          <w:szCs w:val="24"/>
        </w:rPr>
        <w:t>non-</w:t>
      </w:r>
      <w:proofErr w:type="gramStart"/>
      <w:r w:rsidR="004236FB">
        <w:rPr>
          <w:rFonts w:ascii="Times New Roman" w:hAnsi="Times New Roman" w:cs="Times New Roman"/>
          <w:sz w:val="24"/>
          <w:szCs w:val="24"/>
        </w:rPr>
        <w:t>conviction based</w:t>
      </w:r>
      <w:proofErr w:type="gramEnd"/>
      <w:r w:rsidR="004236FB">
        <w:rPr>
          <w:rFonts w:ascii="Times New Roman" w:hAnsi="Times New Roman" w:cs="Times New Roman"/>
          <w:sz w:val="24"/>
          <w:szCs w:val="24"/>
        </w:rPr>
        <w:t xml:space="preserve"> confiscation</w:t>
      </w:r>
      <w:r w:rsidR="00822E79">
        <w:rPr>
          <w:rFonts w:ascii="Times New Roman" w:hAnsi="Times New Roman" w:cs="Times New Roman"/>
          <w:sz w:val="24"/>
          <w:szCs w:val="24"/>
        </w:rPr>
        <w:t xml:space="preserve">.  </w:t>
      </w:r>
      <w:r w:rsidR="008B0A09">
        <w:rPr>
          <w:rFonts w:ascii="Times New Roman" w:hAnsi="Times New Roman" w:cs="Times New Roman"/>
          <w:sz w:val="24"/>
          <w:szCs w:val="24"/>
        </w:rPr>
        <w:t xml:space="preserve"> </w:t>
      </w:r>
      <w:r w:rsidR="001017BF">
        <w:rPr>
          <w:rStyle w:val="ju-005fpara--char"/>
          <w:rFonts w:ascii="Times New Roman" w:hAnsi="Times New Roman" w:cs="Times New Roman"/>
          <w:iCs/>
          <w:sz w:val="24"/>
          <w:szCs w:val="24"/>
        </w:rPr>
        <w:t xml:space="preserve">In summary, international human rights law </w:t>
      </w:r>
      <w:r w:rsidR="00AF1C59">
        <w:rPr>
          <w:rStyle w:val="ju-005fpara--char"/>
          <w:rFonts w:ascii="Times New Roman" w:hAnsi="Times New Roman" w:cs="Times New Roman"/>
          <w:iCs/>
          <w:sz w:val="24"/>
          <w:szCs w:val="24"/>
        </w:rPr>
        <w:t xml:space="preserve">complements the existing instruments relating to organised crime by </w:t>
      </w:r>
      <w:r w:rsidR="00753F15">
        <w:rPr>
          <w:rStyle w:val="ju-005fpara--char"/>
          <w:rFonts w:ascii="Times New Roman" w:hAnsi="Times New Roman" w:cs="Times New Roman"/>
          <w:iCs/>
          <w:sz w:val="24"/>
          <w:szCs w:val="24"/>
        </w:rPr>
        <w:t xml:space="preserve">encouraging </w:t>
      </w:r>
      <w:r w:rsidR="009E5DF3">
        <w:rPr>
          <w:rStyle w:val="ju-005fpara--char"/>
          <w:rFonts w:ascii="Times New Roman" w:hAnsi="Times New Roman" w:cs="Times New Roman"/>
          <w:iCs/>
          <w:sz w:val="24"/>
          <w:szCs w:val="24"/>
        </w:rPr>
        <w:t xml:space="preserve">States to ensure </w:t>
      </w:r>
      <w:r w:rsidR="00D01815">
        <w:rPr>
          <w:rStyle w:val="ju-005fpara--char"/>
          <w:rFonts w:ascii="Times New Roman" w:hAnsi="Times New Roman" w:cs="Times New Roman"/>
          <w:iCs/>
          <w:sz w:val="24"/>
          <w:szCs w:val="24"/>
        </w:rPr>
        <w:t xml:space="preserve">that </w:t>
      </w:r>
      <w:r w:rsidR="001017BF">
        <w:rPr>
          <w:rStyle w:val="ju-005fpara--char"/>
          <w:rFonts w:ascii="Times New Roman" w:hAnsi="Times New Roman" w:cs="Times New Roman"/>
          <w:iCs/>
          <w:sz w:val="24"/>
          <w:szCs w:val="24"/>
        </w:rPr>
        <w:t>investigation, prosecution and punishment</w:t>
      </w:r>
      <w:r w:rsidR="002C11BA">
        <w:rPr>
          <w:rStyle w:val="ju-005fpara--char"/>
          <w:rFonts w:ascii="Times New Roman" w:hAnsi="Times New Roman" w:cs="Times New Roman"/>
          <w:iCs/>
          <w:sz w:val="24"/>
          <w:szCs w:val="24"/>
        </w:rPr>
        <w:t xml:space="preserve"> for transnational organised crime</w:t>
      </w:r>
      <w:r w:rsidR="001017BF">
        <w:rPr>
          <w:rStyle w:val="ju-005fpara--char"/>
          <w:rFonts w:ascii="Times New Roman" w:hAnsi="Times New Roman" w:cs="Times New Roman"/>
          <w:iCs/>
          <w:sz w:val="24"/>
          <w:szCs w:val="24"/>
        </w:rPr>
        <w:t xml:space="preserve"> are conducted appropriately</w:t>
      </w:r>
      <w:r w:rsidR="00C83B64">
        <w:rPr>
          <w:rStyle w:val="ju-005fpara--char"/>
          <w:rFonts w:ascii="Times New Roman" w:hAnsi="Times New Roman" w:cs="Times New Roman"/>
          <w:iCs/>
          <w:sz w:val="24"/>
          <w:szCs w:val="24"/>
        </w:rPr>
        <w:t xml:space="preserve">.  </w:t>
      </w:r>
      <w:r w:rsidR="00685F38">
        <w:rPr>
          <w:rStyle w:val="ju-005fpara--char"/>
          <w:rFonts w:ascii="Times New Roman" w:hAnsi="Times New Roman" w:cs="Times New Roman"/>
          <w:iCs/>
          <w:sz w:val="24"/>
          <w:szCs w:val="24"/>
        </w:rPr>
        <w:t xml:space="preserve"> </w:t>
      </w:r>
      <w:r w:rsidR="009E5DF3">
        <w:rPr>
          <w:rStyle w:val="ju-005fpara--char"/>
          <w:rFonts w:ascii="Times New Roman" w:hAnsi="Times New Roman" w:cs="Times New Roman"/>
          <w:iCs/>
          <w:sz w:val="24"/>
          <w:szCs w:val="24"/>
        </w:rPr>
        <w:t>However,</w:t>
      </w:r>
      <w:r w:rsidR="00753F15">
        <w:rPr>
          <w:rStyle w:val="ju-005fpara--char"/>
          <w:rFonts w:ascii="Times New Roman" w:hAnsi="Times New Roman" w:cs="Times New Roman"/>
          <w:iCs/>
          <w:sz w:val="24"/>
          <w:szCs w:val="24"/>
        </w:rPr>
        <w:t xml:space="preserve"> it is also evident that uncertainty remains in some areas</w:t>
      </w:r>
      <w:r w:rsidR="00685F38">
        <w:rPr>
          <w:rStyle w:val="ju-005fpara--char"/>
          <w:rFonts w:ascii="Times New Roman" w:hAnsi="Times New Roman" w:cs="Times New Roman"/>
          <w:iCs/>
          <w:sz w:val="24"/>
          <w:szCs w:val="24"/>
        </w:rPr>
        <w:t xml:space="preserve">.  </w:t>
      </w:r>
    </w:p>
    <w:p w:rsidR="00A578C7" w:rsidRDefault="00A578C7" w:rsidP="00FD26CE">
      <w:pPr>
        <w:spacing w:line="480" w:lineRule="auto"/>
        <w:rPr>
          <w:rFonts w:ascii="Times New Roman" w:hAnsi="Times New Roman" w:cs="Times New Roman"/>
          <w:b/>
          <w:i/>
          <w:sz w:val="24"/>
          <w:szCs w:val="24"/>
        </w:rPr>
      </w:pPr>
    </w:p>
    <w:p w:rsidR="00FD26CE" w:rsidRPr="00FD26CE" w:rsidRDefault="00FD26CE" w:rsidP="00FD26CE">
      <w:pPr>
        <w:spacing w:line="480" w:lineRule="auto"/>
        <w:rPr>
          <w:rFonts w:ascii="Times New Roman" w:hAnsi="Times New Roman" w:cs="Times New Roman"/>
          <w:b/>
          <w:i/>
          <w:sz w:val="24"/>
          <w:szCs w:val="24"/>
        </w:rPr>
      </w:pPr>
      <w:r w:rsidRPr="00FD26CE">
        <w:rPr>
          <w:rFonts w:ascii="Times New Roman" w:hAnsi="Times New Roman" w:cs="Times New Roman"/>
          <w:b/>
          <w:i/>
          <w:sz w:val="24"/>
          <w:szCs w:val="24"/>
        </w:rPr>
        <w:lastRenderedPageBreak/>
        <w:t>Obligation to Protect the Victims of Transnational Organised Crime</w:t>
      </w:r>
    </w:p>
    <w:p w:rsidR="004A09D7" w:rsidRDefault="00603FF1" w:rsidP="008432A2">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3A5BBA">
        <w:rPr>
          <w:rFonts w:ascii="Times New Roman" w:hAnsi="Times New Roman" w:cs="Times New Roman"/>
          <w:sz w:val="24"/>
          <w:szCs w:val="24"/>
        </w:rPr>
        <w:t xml:space="preserve">nternational human rights </w:t>
      </w:r>
      <w:r w:rsidR="004970ED">
        <w:rPr>
          <w:rFonts w:ascii="Times New Roman" w:hAnsi="Times New Roman" w:cs="Times New Roman"/>
          <w:sz w:val="24"/>
          <w:szCs w:val="24"/>
        </w:rPr>
        <w:t xml:space="preserve">law </w:t>
      </w:r>
      <w:r w:rsidR="001017BF">
        <w:rPr>
          <w:rFonts w:ascii="Times New Roman" w:hAnsi="Times New Roman" w:cs="Times New Roman"/>
          <w:sz w:val="24"/>
          <w:szCs w:val="24"/>
        </w:rPr>
        <w:t>is particularly</w:t>
      </w:r>
      <w:r w:rsidR="005126C8">
        <w:rPr>
          <w:rFonts w:ascii="Times New Roman" w:hAnsi="Times New Roman" w:cs="Times New Roman"/>
          <w:sz w:val="24"/>
          <w:szCs w:val="24"/>
        </w:rPr>
        <w:t xml:space="preserve"> </w:t>
      </w:r>
      <w:r w:rsidR="00312EA8">
        <w:rPr>
          <w:rFonts w:ascii="Times New Roman" w:hAnsi="Times New Roman" w:cs="Times New Roman"/>
          <w:sz w:val="24"/>
          <w:szCs w:val="24"/>
        </w:rPr>
        <w:t xml:space="preserve">important in asserting the obligation to protect </w:t>
      </w:r>
      <w:r w:rsidR="001017BF">
        <w:rPr>
          <w:rFonts w:ascii="Times New Roman" w:hAnsi="Times New Roman" w:cs="Times New Roman"/>
          <w:sz w:val="24"/>
          <w:szCs w:val="24"/>
        </w:rPr>
        <w:t xml:space="preserve">as it promotes a victim-centred approach as opposed to a purely criminal justice one </w:t>
      </w:r>
      <w:r w:rsidR="00312EA8">
        <w:rPr>
          <w:rFonts w:ascii="Times New Roman" w:hAnsi="Times New Roman" w:cs="Times New Roman"/>
          <w:sz w:val="24"/>
          <w:szCs w:val="24"/>
        </w:rPr>
        <w:t xml:space="preserve">promoted by the UNTOC and other instruments </w:t>
      </w:r>
      <w:r w:rsidR="001017BF">
        <w:rPr>
          <w:rFonts w:ascii="Times New Roman" w:hAnsi="Times New Roman" w:cs="Times New Roman"/>
          <w:sz w:val="24"/>
          <w:szCs w:val="24"/>
        </w:rPr>
        <w:t>which does not always take the</w:t>
      </w:r>
      <w:r w:rsidR="00312EA8">
        <w:rPr>
          <w:rFonts w:ascii="Times New Roman" w:hAnsi="Times New Roman" w:cs="Times New Roman"/>
          <w:sz w:val="24"/>
          <w:szCs w:val="24"/>
        </w:rPr>
        <w:t>ir</w:t>
      </w:r>
      <w:r w:rsidR="001017BF">
        <w:rPr>
          <w:rFonts w:ascii="Times New Roman" w:hAnsi="Times New Roman" w:cs="Times New Roman"/>
          <w:sz w:val="24"/>
          <w:szCs w:val="24"/>
        </w:rPr>
        <w:t xml:space="preserve"> plight into consideration.  </w:t>
      </w:r>
      <w:r w:rsidR="00A257C6">
        <w:rPr>
          <w:rFonts w:ascii="Times New Roman" w:hAnsi="Times New Roman" w:cs="Times New Roman"/>
          <w:sz w:val="24"/>
          <w:szCs w:val="24"/>
        </w:rPr>
        <w:t xml:space="preserve">The </w:t>
      </w:r>
      <w:r w:rsidR="00D60090">
        <w:rPr>
          <w:rFonts w:ascii="Times New Roman" w:hAnsi="Times New Roman" w:cs="Times New Roman"/>
          <w:sz w:val="24"/>
          <w:szCs w:val="24"/>
        </w:rPr>
        <w:t xml:space="preserve">actual </w:t>
      </w:r>
      <w:r w:rsidR="00A257C6">
        <w:rPr>
          <w:rFonts w:ascii="Times New Roman" w:hAnsi="Times New Roman" w:cs="Times New Roman"/>
          <w:sz w:val="24"/>
          <w:szCs w:val="24"/>
        </w:rPr>
        <w:t>protection</w:t>
      </w:r>
      <w:r w:rsidR="00F05A81">
        <w:rPr>
          <w:rFonts w:ascii="Times New Roman" w:hAnsi="Times New Roman" w:cs="Times New Roman"/>
          <w:sz w:val="24"/>
          <w:szCs w:val="24"/>
        </w:rPr>
        <w:t xml:space="preserve"> measures</w:t>
      </w:r>
      <w:r w:rsidR="00192941">
        <w:rPr>
          <w:rFonts w:ascii="Times New Roman" w:hAnsi="Times New Roman" w:cs="Times New Roman"/>
          <w:sz w:val="24"/>
          <w:szCs w:val="24"/>
        </w:rPr>
        <w:t xml:space="preserve"> </w:t>
      </w:r>
      <w:r w:rsidR="00A257C6">
        <w:rPr>
          <w:rFonts w:ascii="Times New Roman" w:hAnsi="Times New Roman" w:cs="Times New Roman"/>
          <w:sz w:val="24"/>
          <w:szCs w:val="24"/>
        </w:rPr>
        <w:t xml:space="preserve">depend on the types of </w:t>
      </w:r>
      <w:r w:rsidR="00695123">
        <w:rPr>
          <w:rFonts w:ascii="Times New Roman" w:hAnsi="Times New Roman" w:cs="Times New Roman"/>
          <w:sz w:val="24"/>
          <w:szCs w:val="24"/>
        </w:rPr>
        <w:t>crime committed, the degree of victi</w:t>
      </w:r>
      <w:r w:rsidR="00F05A81">
        <w:rPr>
          <w:rFonts w:ascii="Times New Roman" w:hAnsi="Times New Roman" w:cs="Times New Roman"/>
          <w:sz w:val="24"/>
          <w:szCs w:val="24"/>
        </w:rPr>
        <w:t xml:space="preserve">misation, as well as the rights </w:t>
      </w:r>
      <w:r w:rsidR="00695123">
        <w:rPr>
          <w:rFonts w:ascii="Times New Roman" w:hAnsi="Times New Roman" w:cs="Times New Roman"/>
          <w:sz w:val="24"/>
          <w:szCs w:val="24"/>
        </w:rPr>
        <w:t xml:space="preserve">which are affected.  </w:t>
      </w:r>
      <w:r w:rsidR="00A257C6">
        <w:rPr>
          <w:rFonts w:ascii="Times New Roman" w:hAnsi="Times New Roman" w:cs="Times New Roman"/>
          <w:sz w:val="24"/>
          <w:szCs w:val="24"/>
        </w:rPr>
        <w:t xml:space="preserve">There </w:t>
      </w:r>
      <w:r w:rsidR="004709F1">
        <w:rPr>
          <w:rFonts w:ascii="Times New Roman" w:hAnsi="Times New Roman" w:cs="Times New Roman"/>
          <w:sz w:val="24"/>
          <w:szCs w:val="24"/>
        </w:rPr>
        <w:t xml:space="preserve">are </w:t>
      </w:r>
      <w:r w:rsidR="00A257C6">
        <w:rPr>
          <w:rFonts w:ascii="Times New Roman" w:hAnsi="Times New Roman" w:cs="Times New Roman"/>
          <w:sz w:val="24"/>
          <w:szCs w:val="24"/>
        </w:rPr>
        <w:t xml:space="preserve">therefore no </w:t>
      </w:r>
      <w:r w:rsidR="006C2386">
        <w:rPr>
          <w:rFonts w:ascii="Times New Roman" w:hAnsi="Times New Roman" w:cs="Times New Roman"/>
          <w:sz w:val="24"/>
          <w:szCs w:val="24"/>
        </w:rPr>
        <w:t>concrete</w:t>
      </w:r>
      <w:r w:rsidR="00BD35A0">
        <w:rPr>
          <w:rFonts w:ascii="Times New Roman" w:hAnsi="Times New Roman" w:cs="Times New Roman"/>
          <w:sz w:val="24"/>
          <w:szCs w:val="24"/>
        </w:rPr>
        <w:t>,</w:t>
      </w:r>
      <w:r w:rsidR="006C2386">
        <w:rPr>
          <w:rFonts w:ascii="Times New Roman" w:hAnsi="Times New Roman" w:cs="Times New Roman"/>
          <w:sz w:val="24"/>
          <w:szCs w:val="24"/>
        </w:rPr>
        <w:t xml:space="preserve"> </w:t>
      </w:r>
      <w:r w:rsidR="00A257C6">
        <w:rPr>
          <w:rFonts w:ascii="Times New Roman" w:hAnsi="Times New Roman" w:cs="Times New Roman"/>
          <w:sz w:val="24"/>
          <w:szCs w:val="24"/>
        </w:rPr>
        <w:t>uni</w:t>
      </w:r>
      <w:r w:rsidR="00A84DEA">
        <w:rPr>
          <w:rFonts w:ascii="Times New Roman" w:hAnsi="Times New Roman" w:cs="Times New Roman"/>
          <w:sz w:val="24"/>
          <w:szCs w:val="24"/>
        </w:rPr>
        <w:t>form</w:t>
      </w:r>
      <w:r w:rsidR="00A257C6">
        <w:rPr>
          <w:rFonts w:ascii="Times New Roman" w:hAnsi="Times New Roman" w:cs="Times New Roman"/>
          <w:sz w:val="24"/>
          <w:szCs w:val="24"/>
        </w:rPr>
        <w:t xml:space="preserve"> rules applicable to every single situation.  </w:t>
      </w:r>
      <w:r w:rsidR="00F05A81">
        <w:rPr>
          <w:rFonts w:ascii="Times New Roman" w:hAnsi="Times New Roman" w:cs="Times New Roman"/>
          <w:sz w:val="24"/>
          <w:szCs w:val="24"/>
        </w:rPr>
        <w:t xml:space="preserve"> </w:t>
      </w:r>
      <w:r w:rsidR="004A09D7">
        <w:rPr>
          <w:rFonts w:ascii="Times New Roman" w:hAnsi="Times New Roman" w:cs="Times New Roman"/>
          <w:sz w:val="24"/>
          <w:szCs w:val="24"/>
        </w:rPr>
        <w:t xml:space="preserve">In general terms, the obligation to protect victims of </w:t>
      </w:r>
      <w:r w:rsidR="005C2357">
        <w:rPr>
          <w:rFonts w:ascii="Times New Roman" w:hAnsi="Times New Roman" w:cs="Times New Roman"/>
          <w:sz w:val="24"/>
          <w:szCs w:val="24"/>
        </w:rPr>
        <w:t xml:space="preserve">transnational </w:t>
      </w:r>
      <w:r w:rsidR="004A09D7">
        <w:rPr>
          <w:rFonts w:ascii="Times New Roman" w:hAnsi="Times New Roman" w:cs="Times New Roman"/>
          <w:sz w:val="24"/>
          <w:szCs w:val="24"/>
        </w:rPr>
        <w:t>organised crime can be established from a duty to secure, ensure or restore rights, and to provide remedies.</w:t>
      </w:r>
      <w:r w:rsidR="004A09D7">
        <w:rPr>
          <w:rStyle w:val="FootnoteReference"/>
          <w:rFonts w:ascii="Times New Roman" w:hAnsi="Times New Roman" w:cs="Times New Roman"/>
          <w:sz w:val="24"/>
          <w:szCs w:val="24"/>
        </w:rPr>
        <w:footnoteReference w:id="118"/>
      </w:r>
      <w:r w:rsidR="000574F7">
        <w:rPr>
          <w:rFonts w:ascii="Times New Roman" w:hAnsi="Times New Roman" w:cs="Times New Roman"/>
          <w:sz w:val="24"/>
          <w:szCs w:val="24"/>
        </w:rPr>
        <w:t xml:space="preserve"> </w:t>
      </w:r>
      <w:r w:rsidR="004D67A7">
        <w:rPr>
          <w:rFonts w:ascii="Times New Roman" w:hAnsi="Times New Roman" w:cs="Times New Roman"/>
          <w:sz w:val="24"/>
          <w:szCs w:val="24"/>
        </w:rPr>
        <w:t xml:space="preserve"> </w:t>
      </w:r>
      <w:r w:rsidR="00440470">
        <w:rPr>
          <w:rFonts w:ascii="Times New Roman" w:hAnsi="Times New Roman" w:cs="Times New Roman"/>
          <w:sz w:val="24"/>
          <w:szCs w:val="24"/>
        </w:rPr>
        <w:t>This</w:t>
      </w:r>
      <w:r w:rsidR="003C5BC5">
        <w:rPr>
          <w:rFonts w:ascii="Times New Roman" w:hAnsi="Times New Roman" w:cs="Times New Roman"/>
          <w:sz w:val="24"/>
          <w:szCs w:val="24"/>
        </w:rPr>
        <w:t xml:space="preserve"> </w:t>
      </w:r>
      <w:r w:rsidR="00122195">
        <w:rPr>
          <w:rFonts w:ascii="Times New Roman" w:hAnsi="Times New Roman" w:cs="Times New Roman"/>
          <w:sz w:val="24"/>
          <w:szCs w:val="24"/>
        </w:rPr>
        <w:t>has been</w:t>
      </w:r>
      <w:r w:rsidR="004D67A7">
        <w:rPr>
          <w:rFonts w:ascii="Times New Roman" w:hAnsi="Times New Roman" w:cs="Times New Roman"/>
          <w:sz w:val="24"/>
          <w:szCs w:val="24"/>
        </w:rPr>
        <w:t xml:space="preserve"> regarded as having an </w:t>
      </w:r>
      <w:proofErr w:type="spellStart"/>
      <w:r w:rsidR="004D67A7" w:rsidRPr="004D67A7">
        <w:rPr>
          <w:rFonts w:ascii="Times New Roman" w:hAnsi="Times New Roman" w:cs="Times New Roman"/>
          <w:i/>
          <w:sz w:val="24"/>
          <w:szCs w:val="24"/>
        </w:rPr>
        <w:t>erga</w:t>
      </w:r>
      <w:proofErr w:type="spellEnd"/>
      <w:r w:rsidR="004D67A7" w:rsidRPr="004D67A7">
        <w:rPr>
          <w:rFonts w:ascii="Times New Roman" w:hAnsi="Times New Roman" w:cs="Times New Roman"/>
          <w:i/>
          <w:sz w:val="24"/>
          <w:szCs w:val="24"/>
        </w:rPr>
        <w:t xml:space="preserve"> </w:t>
      </w:r>
      <w:proofErr w:type="spellStart"/>
      <w:r w:rsidR="004D67A7" w:rsidRPr="004D67A7">
        <w:rPr>
          <w:rFonts w:ascii="Times New Roman" w:hAnsi="Times New Roman" w:cs="Times New Roman"/>
          <w:i/>
          <w:sz w:val="24"/>
          <w:szCs w:val="24"/>
        </w:rPr>
        <w:t>omnes</w:t>
      </w:r>
      <w:proofErr w:type="spellEnd"/>
      <w:r w:rsidR="004D67A7">
        <w:rPr>
          <w:rFonts w:ascii="Times New Roman" w:hAnsi="Times New Roman" w:cs="Times New Roman"/>
          <w:sz w:val="24"/>
          <w:szCs w:val="24"/>
        </w:rPr>
        <w:t xml:space="preserve"> character by the Inter-American Court of Human Rights in the past</w:t>
      </w:r>
      <w:r w:rsidR="00443405">
        <w:rPr>
          <w:rFonts w:ascii="Times New Roman" w:hAnsi="Times New Roman" w:cs="Times New Roman"/>
          <w:sz w:val="24"/>
          <w:szCs w:val="24"/>
        </w:rPr>
        <w:t>,</w:t>
      </w:r>
      <w:r w:rsidR="004D67A7">
        <w:rPr>
          <w:rStyle w:val="FootnoteReference"/>
          <w:rFonts w:ascii="Times New Roman" w:hAnsi="Times New Roman" w:cs="Times New Roman"/>
          <w:sz w:val="24"/>
          <w:szCs w:val="24"/>
        </w:rPr>
        <w:footnoteReference w:id="119"/>
      </w:r>
      <w:r w:rsidR="00443405">
        <w:rPr>
          <w:rFonts w:ascii="Times New Roman" w:hAnsi="Times New Roman" w:cs="Times New Roman"/>
          <w:sz w:val="24"/>
          <w:szCs w:val="24"/>
        </w:rPr>
        <w:t xml:space="preserve"> underscoring its importance under international law.</w:t>
      </w:r>
      <w:r w:rsidR="003C5BC5">
        <w:rPr>
          <w:rFonts w:ascii="Times New Roman" w:hAnsi="Times New Roman" w:cs="Times New Roman"/>
          <w:sz w:val="24"/>
          <w:szCs w:val="24"/>
        </w:rPr>
        <w:t xml:space="preserve">  While this obligation has been established for civil and political rights, its relevance to economic, social and cultural rights has </w:t>
      </w:r>
      <w:r w:rsidR="004C792A">
        <w:rPr>
          <w:rFonts w:ascii="Times New Roman" w:hAnsi="Times New Roman" w:cs="Times New Roman"/>
          <w:sz w:val="24"/>
          <w:szCs w:val="24"/>
        </w:rPr>
        <w:t>increasingly</w:t>
      </w:r>
      <w:r w:rsidR="003C5BC5">
        <w:rPr>
          <w:rFonts w:ascii="Times New Roman" w:hAnsi="Times New Roman" w:cs="Times New Roman"/>
          <w:sz w:val="24"/>
          <w:szCs w:val="24"/>
        </w:rPr>
        <w:t xml:space="preserve"> been acknowledged</w:t>
      </w:r>
      <w:r w:rsidR="003C5BC5">
        <w:rPr>
          <w:rStyle w:val="FootnoteReference"/>
          <w:rFonts w:ascii="Times New Roman" w:hAnsi="Times New Roman" w:cs="Times New Roman"/>
          <w:sz w:val="24"/>
          <w:szCs w:val="24"/>
        </w:rPr>
        <w:footnoteReference w:id="120"/>
      </w:r>
      <w:r w:rsidR="007D4967">
        <w:rPr>
          <w:rFonts w:ascii="Times New Roman" w:hAnsi="Times New Roman" w:cs="Times New Roman"/>
          <w:sz w:val="24"/>
          <w:szCs w:val="24"/>
        </w:rPr>
        <w:t xml:space="preserve"> although not as </w:t>
      </w:r>
      <w:r w:rsidR="00223005">
        <w:rPr>
          <w:rFonts w:ascii="Times New Roman" w:hAnsi="Times New Roman" w:cs="Times New Roman"/>
          <w:sz w:val="24"/>
          <w:szCs w:val="24"/>
        </w:rPr>
        <w:t xml:space="preserve">strong </w:t>
      </w:r>
      <w:r w:rsidR="007D4967">
        <w:rPr>
          <w:rFonts w:ascii="Times New Roman" w:hAnsi="Times New Roman" w:cs="Times New Roman"/>
          <w:sz w:val="24"/>
          <w:szCs w:val="24"/>
        </w:rPr>
        <w:t xml:space="preserve">as it can be.  </w:t>
      </w:r>
      <w:r w:rsidR="008432A2">
        <w:rPr>
          <w:rFonts w:ascii="Times New Roman" w:hAnsi="Times New Roman" w:cs="Times New Roman"/>
          <w:sz w:val="24"/>
          <w:szCs w:val="24"/>
        </w:rPr>
        <w:t xml:space="preserve"> </w:t>
      </w:r>
      <w:r w:rsidR="004400A6">
        <w:rPr>
          <w:rFonts w:ascii="Times New Roman" w:hAnsi="Times New Roman" w:cs="Times New Roman"/>
          <w:sz w:val="24"/>
          <w:szCs w:val="24"/>
        </w:rPr>
        <w:t xml:space="preserve">  </w:t>
      </w:r>
      <w:r w:rsidR="0047556D">
        <w:rPr>
          <w:rFonts w:ascii="Times New Roman" w:hAnsi="Times New Roman" w:cs="Times New Roman"/>
          <w:sz w:val="24"/>
          <w:szCs w:val="24"/>
        </w:rPr>
        <w:t xml:space="preserve">  </w:t>
      </w:r>
    </w:p>
    <w:p w:rsidR="00695123" w:rsidRDefault="008C3AC1" w:rsidP="004B6C37">
      <w:pPr>
        <w:spacing w:line="480" w:lineRule="auto"/>
        <w:ind w:firstLine="720"/>
        <w:rPr>
          <w:rStyle w:val="sb8d990e2"/>
          <w:rFonts w:ascii="Times New Roman" w:hAnsi="Times New Roman" w:cs="Times New Roman"/>
          <w:sz w:val="24"/>
          <w:szCs w:val="24"/>
        </w:rPr>
      </w:pPr>
      <w:r>
        <w:rPr>
          <w:rFonts w:ascii="Times New Roman" w:hAnsi="Times New Roman" w:cs="Times New Roman"/>
          <w:sz w:val="24"/>
          <w:szCs w:val="24"/>
        </w:rPr>
        <w:t>A closer examination of the development of international human rights law</w:t>
      </w:r>
      <w:r w:rsidR="007D7231">
        <w:rPr>
          <w:rFonts w:ascii="Times New Roman" w:hAnsi="Times New Roman" w:cs="Times New Roman"/>
          <w:sz w:val="24"/>
          <w:szCs w:val="24"/>
        </w:rPr>
        <w:t xml:space="preserve"> </w:t>
      </w:r>
      <w:r w:rsidR="002C0B60">
        <w:rPr>
          <w:rFonts w:ascii="Times New Roman" w:hAnsi="Times New Roman" w:cs="Times New Roman"/>
          <w:sz w:val="24"/>
          <w:szCs w:val="24"/>
        </w:rPr>
        <w:t>reveals</w:t>
      </w:r>
      <w:r w:rsidR="00E34F45">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604C9C">
        <w:rPr>
          <w:rFonts w:ascii="Times New Roman" w:hAnsi="Times New Roman" w:cs="Times New Roman"/>
          <w:sz w:val="24"/>
          <w:szCs w:val="24"/>
        </w:rPr>
        <w:t xml:space="preserve">the existing </w:t>
      </w:r>
      <w:r w:rsidR="00A257C6">
        <w:rPr>
          <w:rFonts w:ascii="Times New Roman" w:hAnsi="Times New Roman" w:cs="Times New Roman"/>
          <w:sz w:val="24"/>
          <w:szCs w:val="24"/>
        </w:rPr>
        <w:t>norms and principles a</w:t>
      </w:r>
      <w:r w:rsidR="008060A6">
        <w:rPr>
          <w:rFonts w:ascii="Times New Roman" w:hAnsi="Times New Roman" w:cs="Times New Roman"/>
          <w:sz w:val="24"/>
          <w:szCs w:val="24"/>
        </w:rPr>
        <w:t xml:space="preserve">re applicable to </w:t>
      </w:r>
      <w:r w:rsidR="00335AB6">
        <w:rPr>
          <w:rFonts w:ascii="Times New Roman" w:hAnsi="Times New Roman" w:cs="Times New Roman"/>
          <w:sz w:val="24"/>
          <w:szCs w:val="24"/>
        </w:rPr>
        <w:t>the protection of victims of transnational organised crime</w:t>
      </w:r>
      <w:r>
        <w:rPr>
          <w:rFonts w:ascii="Times New Roman" w:hAnsi="Times New Roman" w:cs="Times New Roman"/>
          <w:sz w:val="24"/>
          <w:szCs w:val="24"/>
        </w:rPr>
        <w:t>.</w:t>
      </w:r>
      <w:r w:rsidR="00E3524F">
        <w:rPr>
          <w:rFonts w:ascii="Times New Roman" w:hAnsi="Times New Roman" w:cs="Times New Roman"/>
          <w:sz w:val="24"/>
          <w:szCs w:val="24"/>
        </w:rPr>
        <w:t xml:space="preserve">  </w:t>
      </w:r>
      <w:r w:rsidR="00695123">
        <w:rPr>
          <w:rFonts w:ascii="Times New Roman" w:hAnsi="Times New Roman" w:cs="Times New Roman"/>
          <w:sz w:val="24"/>
          <w:szCs w:val="24"/>
        </w:rPr>
        <w:t xml:space="preserve">In relation to </w:t>
      </w:r>
      <w:r w:rsidR="009E7E43">
        <w:rPr>
          <w:rFonts w:ascii="Times New Roman" w:hAnsi="Times New Roman" w:cs="Times New Roman"/>
          <w:sz w:val="24"/>
          <w:szCs w:val="24"/>
        </w:rPr>
        <w:t xml:space="preserve">the </w:t>
      </w:r>
      <w:r w:rsidR="00695123">
        <w:rPr>
          <w:rFonts w:ascii="Times New Roman" w:hAnsi="Times New Roman" w:cs="Times New Roman"/>
          <w:sz w:val="24"/>
          <w:szCs w:val="24"/>
        </w:rPr>
        <w:t xml:space="preserve">right to life, for instance, it has been recognised that </w:t>
      </w:r>
      <w:r>
        <w:rPr>
          <w:rFonts w:ascii="Times New Roman" w:hAnsi="Times New Roman" w:cs="Times New Roman"/>
          <w:sz w:val="24"/>
          <w:szCs w:val="24"/>
        </w:rPr>
        <w:t xml:space="preserve">it </w:t>
      </w:r>
      <w:r w:rsidR="00695123">
        <w:rPr>
          <w:rFonts w:ascii="Times New Roman" w:hAnsi="Times New Roman" w:cs="Times New Roman"/>
          <w:sz w:val="24"/>
          <w:szCs w:val="24"/>
        </w:rPr>
        <w:t>must be protected from all forms of threats</w:t>
      </w:r>
      <w:r w:rsidR="007D7231">
        <w:rPr>
          <w:rFonts w:ascii="Times New Roman" w:hAnsi="Times New Roman" w:cs="Times New Roman"/>
          <w:sz w:val="24"/>
          <w:szCs w:val="24"/>
        </w:rPr>
        <w:t xml:space="preserve"> </w:t>
      </w:r>
      <w:r w:rsidR="00AB0107">
        <w:rPr>
          <w:rFonts w:ascii="Times New Roman" w:hAnsi="Times New Roman" w:cs="Times New Roman"/>
          <w:sz w:val="24"/>
          <w:szCs w:val="24"/>
        </w:rPr>
        <w:t xml:space="preserve">perpetrated by </w:t>
      </w:r>
      <w:r w:rsidR="007D7231">
        <w:rPr>
          <w:rFonts w:ascii="Times New Roman" w:hAnsi="Times New Roman" w:cs="Times New Roman"/>
          <w:sz w:val="24"/>
          <w:szCs w:val="24"/>
        </w:rPr>
        <w:t xml:space="preserve">both </w:t>
      </w:r>
      <w:r w:rsidR="00AB0107">
        <w:rPr>
          <w:rFonts w:ascii="Times New Roman" w:hAnsi="Times New Roman" w:cs="Times New Roman"/>
          <w:sz w:val="24"/>
          <w:szCs w:val="24"/>
        </w:rPr>
        <w:t>States agent</w:t>
      </w:r>
      <w:r w:rsidR="007D7231">
        <w:rPr>
          <w:rFonts w:ascii="Times New Roman" w:hAnsi="Times New Roman" w:cs="Times New Roman"/>
          <w:sz w:val="24"/>
          <w:szCs w:val="24"/>
        </w:rPr>
        <w:t>s</w:t>
      </w:r>
      <w:r w:rsidR="00AB0107">
        <w:rPr>
          <w:rFonts w:ascii="Times New Roman" w:hAnsi="Times New Roman" w:cs="Times New Roman"/>
          <w:sz w:val="24"/>
          <w:szCs w:val="24"/>
        </w:rPr>
        <w:t xml:space="preserve"> </w:t>
      </w:r>
      <w:r w:rsidR="007D7231">
        <w:rPr>
          <w:rFonts w:ascii="Times New Roman" w:hAnsi="Times New Roman" w:cs="Times New Roman"/>
          <w:sz w:val="24"/>
          <w:szCs w:val="24"/>
        </w:rPr>
        <w:t xml:space="preserve">and </w:t>
      </w:r>
      <w:r w:rsidR="00695123">
        <w:rPr>
          <w:rFonts w:ascii="Times New Roman" w:hAnsi="Times New Roman" w:cs="Times New Roman"/>
          <w:sz w:val="24"/>
          <w:szCs w:val="24"/>
        </w:rPr>
        <w:t>non-State actors.</w:t>
      </w:r>
      <w:r w:rsidR="00695123">
        <w:rPr>
          <w:rStyle w:val="FootnoteReference"/>
          <w:rFonts w:ascii="Times New Roman" w:hAnsi="Times New Roman" w:cs="Times New Roman"/>
          <w:sz w:val="24"/>
          <w:szCs w:val="24"/>
        </w:rPr>
        <w:footnoteReference w:id="121"/>
      </w:r>
      <w:r w:rsidR="00695123">
        <w:rPr>
          <w:rFonts w:ascii="Times New Roman" w:hAnsi="Times New Roman" w:cs="Times New Roman"/>
          <w:sz w:val="24"/>
          <w:szCs w:val="24"/>
        </w:rPr>
        <w:t xml:space="preserve"> </w:t>
      </w:r>
      <w:r w:rsidR="005126C8">
        <w:rPr>
          <w:rFonts w:ascii="Times New Roman" w:hAnsi="Times New Roman" w:cs="Times New Roman"/>
          <w:sz w:val="24"/>
          <w:szCs w:val="24"/>
        </w:rPr>
        <w:t xml:space="preserve"> An important</w:t>
      </w:r>
      <w:r w:rsidR="00695123">
        <w:rPr>
          <w:rFonts w:ascii="Times New Roman" w:hAnsi="Times New Roman" w:cs="Times New Roman"/>
          <w:sz w:val="24"/>
          <w:szCs w:val="24"/>
        </w:rPr>
        <w:t xml:space="preserve"> first step </w:t>
      </w:r>
      <w:r w:rsidR="00CC318B">
        <w:rPr>
          <w:rFonts w:ascii="Times New Roman" w:hAnsi="Times New Roman" w:cs="Times New Roman"/>
          <w:sz w:val="24"/>
          <w:szCs w:val="24"/>
        </w:rPr>
        <w:t xml:space="preserve">in this regard </w:t>
      </w:r>
      <w:r w:rsidR="00695123">
        <w:rPr>
          <w:rFonts w:ascii="Times New Roman" w:hAnsi="Times New Roman" w:cs="Times New Roman"/>
          <w:sz w:val="24"/>
          <w:szCs w:val="24"/>
        </w:rPr>
        <w:t xml:space="preserve">is to establish and </w:t>
      </w:r>
      <w:r w:rsidR="00695123">
        <w:rPr>
          <w:rFonts w:ascii="Times New Roman" w:hAnsi="Times New Roman" w:cs="Times New Roman"/>
          <w:sz w:val="24"/>
          <w:szCs w:val="24"/>
        </w:rPr>
        <w:lastRenderedPageBreak/>
        <w:t>maintain effective criminal prohibitions</w:t>
      </w:r>
      <w:r w:rsidR="00D27700">
        <w:rPr>
          <w:rFonts w:ascii="Times New Roman" w:hAnsi="Times New Roman" w:cs="Times New Roman"/>
          <w:sz w:val="24"/>
          <w:szCs w:val="24"/>
        </w:rPr>
        <w:t xml:space="preserve"> and sanctions</w:t>
      </w:r>
      <w:r w:rsidR="00695123">
        <w:rPr>
          <w:rFonts w:ascii="Times New Roman" w:hAnsi="Times New Roman" w:cs="Times New Roman"/>
          <w:sz w:val="24"/>
          <w:szCs w:val="24"/>
        </w:rPr>
        <w:t xml:space="preserve"> on all forms of arbitrary deprivations of life</w:t>
      </w:r>
      <w:r w:rsidR="007D7231">
        <w:rPr>
          <w:rFonts w:ascii="Times New Roman" w:hAnsi="Times New Roman" w:cs="Times New Roman"/>
          <w:sz w:val="24"/>
          <w:szCs w:val="24"/>
        </w:rPr>
        <w:t xml:space="preserve"> resulting </w:t>
      </w:r>
      <w:r w:rsidR="00C370E0">
        <w:rPr>
          <w:rFonts w:ascii="Times New Roman" w:hAnsi="Times New Roman" w:cs="Times New Roman"/>
          <w:sz w:val="24"/>
          <w:szCs w:val="24"/>
        </w:rPr>
        <w:t xml:space="preserve">from transnational </w:t>
      </w:r>
      <w:r w:rsidR="00695123">
        <w:rPr>
          <w:rFonts w:ascii="Times New Roman" w:hAnsi="Times New Roman" w:cs="Times New Roman"/>
          <w:sz w:val="24"/>
          <w:szCs w:val="24"/>
        </w:rPr>
        <w:t>organised crime.</w:t>
      </w:r>
      <w:r w:rsidR="00695123">
        <w:rPr>
          <w:rStyle w:val="FootnoteReference"/>
          <w:rFonts w:ascii="Times New Roman" w:hAnsi="Times New Roman" w:cs="Times New Roman"/>
          <w:sz w:val="24"/>
          <w:szCs w:val="24"/>
        </w:rPr>
        <w:footnoteReference w:id="122"/>
      </w:r>
      <w:r w:rsidR="00695123">
        <w:rPr>
          <w:rFonts w:ascii="Times New Roman" w:hAnsi="Times New Roman" w:cs="Times New Roman"/>
          <w:sz w:val="24"/>
          <w:szCs w:val="24"/>
        </w:rPr>
        <w:t xml:space="preserve">  </w:t>
      </w:r>
      <w:r w:rsidR="006C2386">
        <w:rPr>
          <w:rFonts w:ascii="Times New Roman" w:hAnsi="Times New Roman" w:cs="Times New Roman"/>
          <w:sz w:val="24"/>
          <w:szCs w:val="24"/>
        </w:rPr>
        <w:t>This obligation is therefore closely interlinked with the obligation</w:t>
      </w:r>
      <w:r w:rsidR="008866F7">
        <w:rPr>
          <w:rFonts w:ascii="Times New Roman" w:hAnsi="Times New Roman" w:cs="Times New Roman"/>
          <w:sz w:val="24"/>
          <w:szCs w:val="24"/>
        </w:rPr>
        <w:t>s</w:t>
      </w:r>
      <w:r w:rsidR="006C2386">
        <w:rPr>
          <w:rFonts w:ascii="Times New Roman" w:hAnsi="Times New Roman" w:cs="Times New Roman"/>
          <w:sz w:val="24"/>
          <w:szCs w:val="24"/>
        </w:rPr>
        <w:t xml:space="preserve"> to investigate, prosecute and punish </w:t>
      </w:r>
      <w:r w:rsidR="00A24E0E">
        <w:rPr>
          <w:rFonts w:ascii="Times New Roman" w:hAnsi="Times New Roman" w:cs="Times New Roman"/>
          <w:sz w:val="24"/>
          <w:szCs w:val="24"/>
        </w:rPr>
        <w:t>explained</w:t>
      </w:r>
      <w:r w:rsidR="006C2386">
        <w:rPr>
          <w:rFonts w:ascii="Times New Roman" w:hAnsi="Times New Roman" w:cs="Times New Roman"/>
          <w:sz w:val="24"/>
          <w:szCs w:val="24"/>
        </w:rPr>
        <w:t xml:space="preserve"> earlier.  </w:t>
      </w:r>
      <w:r w:rsidR="00695123">
        <w:rPr>
          <w:rFonts w:ascii="Times New Roman" w:hAnsi="Times New Roman" w:cs="Times New Roman"/>
          <w:sz w:val="24"/>
          <w:szCs w:val="24"/>
        </w:rPr>
        <w:t xml:space="preserve"> </w:t>
      </w:r>
      <w:r w:rsidR="00CA2F80">
        <w:rPr>
          <w:rFonts w:ascii="Times New Roman" w:hAnsi="Times New Roman" w:cs="Times New Roman"/>
          <w:sz w:val="24"/>
          <w:szCs w:val="24"/>
        </w:rPr>
        <w:t>I</w:t>
      </w:r>
      <w:r w:rsidR="00695123">
        <w:rPr>
          <w:rFonts w:ascii="Times New Roman" w:hAnsi="Times New Roman" w:cs="Times New Roman"/>
          <w:sz w:val="24"/>
          <w:szCs w:val="24"/>
        </w:rPr>
        <w:t xml:space="preserve">t has been established </w:t>
      </w:r>
      <w:r w:rsidR="00CA2F80">
        <w:rPr>
          <w:rFonts w:ascii="Times New Roman" w:hAnsi="Times New Roman" w:cs="Times New Roman"/>
          <w:sz w:val="24"/>
          <w:szCs w:val="24"/>
        </w:rPr>
        <w:t xml:space="preserve">further </w:t>
      </w:r>
      <w:r w:rsidR="00695123">
        <w:rPr>
          <w:rFonts w:ascii="Times New Roman" w:hAnsi="Times New Roman" w:cs="Times New Roman"/>
          <w:sz w:val="24"/>
          <w:szCs w:val="24"/>
        </w:rPr>
        <w:t xml:space="preserve">that </w:t>
      </w:r>
      <w:r w:rsidR="000A20AA">
        <w:rPr>
          <w:rFonts w:ascii="Times New Roman" w:hAnsi="Times New Roman" w:cs="Times New Roman"/>
          <w:sz w:val="24"/>
          <w:szCs w:val="24"/>
        </w:rPr>
        <w:t>States must take steps to safeguard the lives of those</w:t>
      </w:r>
      <w:r w:rsidR="00CA2F80">
        <w:rPr>
          <w:rFonts w:ascii="Times New Roman" w:hAnsi="Times New Roman" w:cs="Times New Roman"/>
          <w:sz w:val="24"/>
          <w:szCs w:val="24"/>
        </w:rPr>
        <w:t xml:space="preserve"> </w:t>
      </w:r>
      <w:r w:rsidR="000A20AA">
        <w:rPr>
          <w:rFonts w:ascii="Times New Roman" w:hAnsi="Times New Roman" w:cs="Times New Roman"/>
          <w:sz w:val="24"/>
          <w:szCs w:val="24"/>
        </w:rPr>
        <w:t>within its jurisdiction.</w:t>
      </w:r>
      <w:r w:rsidR="00CA2F80">
        <w:rPr>
          <w:rStyle w:val="FootnoteReference"/>
          <w:rFonts w:ascii="Times New Roman" w:hAnsi="Times New Roman" w:cs="Times New Roman"/>
          <w:sz w:val="24"/>
          <w:szCs w:val="24"/>
        </w:rPr>
        <w:footnoteReference w:id="123"/>
      </w:r>
      <w:r w:rsidR="000A20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A20AA">
        <w:rPr>
          <w:rFonts w:ascii="Times New Roman" w:hAnsi="Times New Roman" w:cs="Times New Roman"/>
          <w:sz w:val="24"/>
          <w:szCs w:val="24"/>
        </w:rPr>
        <w:t>In this regard, they must take operational measures to protect</w:t>
      </w:r>
      <w:r w:rsidR="000A20AA">
        <w:rPr>
          <w:rStyle w:val="sb8d990e2"/>
        </w:rPr>
        <w:t xml:space="preserve"> </w:t>
      </w:r>
      <w:r w:rsidR="00B80A40">
        <w:rPr>
          <w:rStyle w:val="sb8d990e2"/>
          <w:rFonts w:ascii="Times New Roman" w:hAnsi="Times New Roman" w:cs="Times New Roman"/>
          <w:sz w:val="24"/>
          <w:szCs w:val="24"/>
        </w:rPr>
        <w:t>“</w:t>
      </w:r>
      <w:r w:rsidR="000A20AA" w:rsidRPr="000A20AA">
        <w:rPr>
          <w:rStyle w:val="sb8d990e2"/>
          <w:rFonts w:ascii="Times New Roman" w:hAnsi="Times New Roman" w:cs="Times New Roman"/>
          <w:sz w:val="24"/>
          <w:szCs w:val="24"/>
        </w:rPr>
        <w:t>an individual whose life is at risk from the criminal acts of another individual.</w:t>
      </w:r>
      <w:r w:rsidR="00B80A40">
        <w:rPr>
          <w:rStyle w:val="sb8d990e2"/>
          <w:rFonts w:ascii="Times New Roman" w:hAnsi="Times New Roman" w:cs="Times New Roman"/>
          <w:sz w:val="24"/>
          <w:szCs w:val="24"/>
        </w:rPr>
        <w:t>”</w:t>
      </w:r>
      <w:r w:rsidR="000A20AA" w:rsidRPr="000A20AA">
        <w:rPr>
          <w:rStyle w:val="FootnoteReference"/>
          <w:rFonts w:ascii="Times New Roman" w:hAnsi="Times New Roman" w:cs="Times New Roman"/>
          <w:sz w:val="24"/>
          <w:szCs w:val="24"/>
        </w:rPr>
        <w:footnoteReference w:id="124"/>
      </w:r>
      <w:r w:rsidR="000A20AA">
        <w:rPr>
          <w:rStyle w:val="sb8d990e2"/>
          <w:rFonts w:ascii="Times New Roman" w:hAnsi="Times New Roman" w:cs="Times New Roman"/>
          <w:sz w:val="24"/>
          <w:szCs w:val="24"/>
        </w:rPr>
        <w:t xml:space="preserve">  In addition to the right to life, this reasoning has been applied to </w:t>
      </w:r>
      <w:r w:rsidR="00E23250">
        <w:rPr>
          <w:rStyle w:val="sb8d990e2"/>
          <w:rFonts w:ascii="Times New Roman" w:hAnsi="Times New Roman" w:cs="Times New Roman"/>
          <w:sz w:val="24"/>
          <w:szCs w:val="24"/>
        </w:rPr>
        <w:t xml:space="preserve">the </w:t>
      </w:r>
      <w:r w:rsidR="000A20AA">
        <w:rPr>
          <w:rStyle w:val="sb8d990e2"/>
          <w:rFonts w:ascii="Times New Roman" w:hAnsi="Times New Roman" w:cs="Times New Roman"/>
          <w:sz w:val="24"/>
          <w:szCs w:val="24"/>
        </w:rPr>
        <w:t>prohibition on torture, inhuman or degrading treatment</w:t>
      </w:r>
      <w:r w:rsidR="00386429">
        <w:rPr>
          <w:rStyle w:val="sb8d990e2"/>
          <w:rFonts w:ascii="Times New Roman" w:hAnsi="Times New Roman" w:cs="Times New Roman"/>
          <w:sz w:val="24"/>
          <w:szCs w:val="24"/>
        </w:rPr>
        <w:t xml:space="preserve">, </w:t>
      </w:r>
      <w:r w:rsidR="000A20AA">
        <w:rPr>
          <w:rStyle w:val="sb8d990e2"/>
          <w:rFonts w:ascii="Times New Roman" w:hAnsi="Times New Roman" w:cs="Times New Roman"/>
          <w:sz w:val="24"/>
          <w:szCs w:val="24"/>
        </w:rPr>
        <w:t>slavery and forced labour.</w:t>
      </w:r>
      <w:r w:rsidR="000A20AA">
        <w:rPr>
          <w:rStyle w:val="FootnoteReference"/>
          <w:rFonts w:ascii="Times New Roman" w:hAnsi="Times New Roman" w:cs="Times New Roman"/>
          <w:sz w:val="24"/>
          <w:szCs w:val="24"/>
        </w:rPr>
        <w:footnoteReference w:id="125"/>
      </w:r>
      <w:r w:rsidR="00F70B99">
        <w:rPr>
          <w:rStyle w:val="sb8d990e2"/>
          <w:rFonts w:ascii="Times New Roman" w:hAnsi="Times New Roman" w:cs="Times New Roman"/>
          <w:sz w:val="24"/>
          <w:szCs w:val="24"/>
        </w:rPr>
        <w:t xml:space="preserve">  In principle, then, </w:t>
      </w:r>
      <w:r w:rsidR="00DD50DB">
        <w:rPr>
          <w:rStyle w:val="sb8d990e2"/>
          <w:rFonts w:ascii="Times New Roman" w:hAnsi="Times New Roman" w:cs="Times New Roman"/>
          <w:sz w:val="24"/>
          <w:szCs w:val="24"/>
        </w:rPr>
        <w:t xml:space="preserve">this obligation </w:t>
      </w:r>
      <w:r w:rsidR="00F70B99">
        <w:rPr>
          <w:rStyle w:val="sb8d990e2"/>
          <w:rFonts w:ascii="Times New Roman" w:hAnsi="Times New Roman" w:cs="Times New Roman"/>
          <w:sz w:val="24"/>
          <w:szCs w:val="24"/>
        </w:rPr>
        <w:t xml:space="preserve">should </w:t>
      </w:r>
      <w:r w:rsidR="00E3524F">
        <w:rPr>
          <w:rStyle w:val="sb8d990e2"/>
          <w:rFonts w:ascii="Times New Roman" w:hAnsi="Times New Roman" w:cs="Times New Roman"/>
          <w:sz w:val="24"/>
          <w:szCs w:val="24"/>
        </w:rPr>
        <w:t>apply</w:t>
      </w:r>
      <w:r w:rsidR="00F70B99">
        <w:rPr>
          <w:rStyle w:val="sb8d990e2"/>
          <w:rFonts w:ascii="Times New Roman" w:hAnsi="Times New Roman" w:cs="Times New Roman"/>
          <w:sz w:val="24"/>
          <w:szCs w:val="24"/>
        </w:rPr>
        <w:t xml:space="preserve"> to other forms </w:t>
      </w:r>
      <w:r w:rsidR="001137D3">
        <w:rPr>
          <w:rStyle w:val="sb8d990e2"/>
          <w:rFonts w:ascii="Times New Roman" w:hAnsi="Times New Roman" w:cs="Times New Roman"/>
          <w:sz w:val="24"/>
          <w:szCs w:val="24"/>
        </w:rPr>
        <w:t>of organised crime which result</w:t>
      </w:r>
      <w:r w:rsidR="00F70B99">
        <w:rPr>
          <w:rStyle w:val="sb8d990e2"/>
          <w:rFonts w:ascii="Times New Roman" w:hAnsi="Times New Roman" w:cs="Times New Roman"/>
          <w:sz w:val="24"/>
          <w:szCs w:val="24"/>
        </w:rPr>
        <w:t xml:space="preserve"> in violations of these rights</w:t>
      </w:r>
      <w:r w:rsidR="00D20E9B">
        <w:rPr>
          <w:rStyle w:val="sb8d990e2"/>
          <w:rFonts w:ascii="Times New Roman" w:hAnsi="Times New Roman" w:cs="Times New Roman"/>
          <w:sz w:val="24"/>
          <w:szCs w:val="24"/>
        </w:rPr>
        <w:t xml:space="preserve"> at </w:t>
      </w:r>
      <w:r w:rsidR="00E43567">
        <w:rPr>
          <w:rStyle w:val="sb8d990e2"/>
          <w:rFonts w:ascii="Times New Roman" w:hAnsi="Times New Roman" w:cs="Times New Roman"/>
          <w:sz w:val="24"/>
          <w:szCs w:val="24"/>
        </w:rPr>
        <w:t xml:space="preserve">the very minimum.  </w:t>
      </w:r>
      <w:r w:rsidR="00CA2F80">
        <w:rPr>
          <w:rStyle w:val="sb8d990e2"/>
          <w:rFonts w:ascii="Times New Roman" w:hAnsi="Times New Roman" w:cs="Times New Roman"/>
          <w:sz w:val="24"/>
          <w:szCs w:val="24"/>
        </w:rPr>
        <w:t xml:space="preserve">  </w:t>
      </w:r>
    </w:p>
    <w:p w:rsidR="00F70B99" w:rsidRDefault="00F70B99" w:rsidP="00B4565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there is a limitation to </w:t>
      </w:r>
      <w:r w:rsidR="00EC0993">
        <w:rPr>
          <w:rFonts w:ascii="Times New Roman" w:hAnsi="Times New Roman" w:cs="Times New Roman"/>
          <w:sz w:val="24"/>
          <w:szCs w:val="24"/>
        </w:rPr>
        <w:t xml:space="preserve">the provision of </w:t>
      </w:r>
      <w:r>
        <w:rPr>
          <w:rFonts w:ascii="Times New Roman" w:hAnsi="Times New Roman" w:cs="Times New Roman"/>
          <w:sz w:val="24"/>
          <w:szCs w:val="24"/>
        </w:rPr>
        <w:t xml:space="preserve">operational measures to protect.  </w:t>
      </w:r>
      <w:r w:rsidR="00B4565A">
        <w:rPr>
          <w:rFonts w:ascii="Times New Roman" w:hAnsi="Times New Roman" w:cs="Times New Roman"/>
          <w:sz w:val="24"/>
          <w:szCs w:val="24"/>
        </w:rPr>
        <w:t>According to t</w:t>
      </w:r>
      <w:r>
        <w:rPr>
          <w:rFonts w:ascii="Times New Roman" w:hAnsi="Times New Roman" w:cs="Times New Roman"/>
          <w:sz w:val="24"/>
          <w:szCs w:val="24"/>
        </w:rPr>
        <w:t>he European Court of Human Rights</w:t>
      </w:r>
      <w:r w:rsidR="00B4565A">
        <w:rPr>
          <w:rFonts w:ascii="Times New Roman" w:hAnsi="Times New Roman" w:cs="Times New Roman"/>
          <w:sz w:val="24"/>
          <w:szCs w:val="24"/>
        </w:rPr>
        <w:t>, “</w:t>
      </w:r>
      <w:r w:rsidRPr="00B4565A">
        <w:rPr>
          <w:rStyle w:val="sb8d990e2"/>
          <w:rFonts w:ascii="Times New Roman" w:hAnsi="Times New Roman" w:cs="Times New Roman"/>
          <w:sz w:val="24"/>
          <w:szCs w:val="24"/>
        </w:rPr>
        <w:t>it must be established that the authorities knew or ought to have known at the time of the existence of a real and immediate risk to the life of an identified individual from the criminal acts of a third party</w:t>
      </w:r>
      <w:r w:rsidR="004818F9" w:rsidRPr="00B4565A">
        <w:rPr>
          <w:rStyle w:val="sb8d990e2"/>
          <w:rFonts w:ascii="Times New Roman" w:hAnsi="Times New Roman" w:cs="Times New Roman"/>
          <w:sz w:val="24"/>
          <w:szCs w:val="24"/>
        </w:rPr>
        <w:t>.</w:t>
      </w:r>
      <w:r w:rsidR="00B4565A">
        <w:rPr>
          <w:rStyle w:val="sb8d990e2"/>
          <w:rFonts w:ascii="Times New Roman" w:hAnsi="Times New Roman" w:cs="Times New Roman"/>
          <w:sz w:val="24"/>
          <w:szCs w:val="24"/>
        </w:rPr>
        <w:t>”</w:t>
      </w:r>
      <w:r w:rsidRPr="00B4565A">
        <w:rPr>
          <w:rStyle w:val="FootnoteReference"/>
          <w:rFonts w:ascii="Times New Roman" w:hAnsi="Times New Roman" w:cs="Times New Roman"/>
          <w:sz w:val="24"/>
          <w:szCs w:val="24"/>
        </w:rPr>
        <w:footnoteReference w:id="126"/>
      </w:r>
      <w:r w:rsidR="00B4565A">
        <w:rPr>
          <w:rStyle w:val="sb8d990e2"/>
          <w:rFonts w:ascii="Times New Roman" w:hAnsi="Times New Roman" w:cs="Times New Roman"/>
          <w:sz w:val="24"/>
          <w:szCs w:val="24"/>
        </w:rPr>
        <w:t xml:space="preserve">  </w:t>
      </w:r>
      <w:r w:rsidR="00D27700">
        <w:rPr>
          <w:rFonts w:ascii="Times New Roman" w:hAnsi="Times New Roman" w:cs="Times New Roman"/>
          <w:sz w:val="24"/>
          <w:szCs w:val="24"/>
        </w:rPr>
        <w:t xml:space="preserve">This takes into account the difficulties arising from </w:t>
      </w:r>
      <w:r w:rsidR="002E7422">
        <w:rPr>
          <w:rFonts w:ascii="Times New Roman" w:hAnsi="Times New Roman" w:cs="Times New Roman"/>
          <w:sz w:val="24"/>
          <w:szCs w:val="24"/>
        </w:rPr>
        <w:t xml:space="preserve">the </w:t>
      </w:r>
      <w:r w:rsidR="00D27700">
        <w:rPr>
          <w:rFonts w:ascii="Times New Roman" w:hAnsi="Times New Roman" w:cs="Times New Roman"/>
          <w:sz w:val="24"/>
          <w:szCs w:val="24"/>
        </w:rPr>
        <w:t xml:space="preserve">limited resources </w:t>
      </w:r>
      <w:r w:rsidR="002E7422">
        <w:rPr>
          <w:rFonts w:ascii="Times New Roman" w:hAnsi="Times New Roman" w:cs="Times New Roman"/>
          <w:sz w:val="24"/>
          <w:szCs w:val="24"/>
        </w:rPr>
        <w:t>on the part of law enforcement agencies</w:t>
      </w:r>
      <w:r w:rsidR="009224B1">
        <w:rPr>
          <w:rFonts w:ascii="Times New Roman" w:hAnsi="Times New Roman" w:cs="Times New Roman"/>
          <w:sz w:val="24"/>
          <w:szCs w:val="24"/>
        </w:rPr>
        <w:t xml:space="preserve"> in properly identifying victims and taking appropriate actions</w:t>
      </w:r>
      <w:r w:rsidR="006F41C5">
        <w:rPr>
          <w:rFonts w:ascii="Times New Roman" w:hAnsi="Times New Roman" w:cs="Times New Roman"/>
          <w:sz w:val="24"/>
          <w:szCs w:val="24"/>
        </w:rPr>
        <w:t>.</w:t>
      </w:r>
      <w:r w:rsidR="006F41C5">
        <w:rPr>
          <w:rStyle w:val="FootnoteReference"/>
          <w:rFonts w:ascii="Times New Roman" w:hAnsi="Times New Roman" w:cs="Times New Roman"/>
          <w:sz w:val="24"/>
          <w:szCs w:val="24"/>
        </w:rPr>
        <w:footnoteReference w:id="127"/>
      </w:r>
      <w:r w:rsidR="006F41C5">
        <w:rPr>
          <w:rFonts w:ascii="Times New Roman" w:hAnsi="Times New Roman" w:cs="Times New Roman"/>
          <w:sz w:val="24"/>
          <w:szCs w:val="24"/>
        </w:rPr>
        <w:t xml:space="preserve"> </w:t>
      </w:r>
      <w:r w:rsidR="00B4565A">
        <w:rPr>
          <w:rFonts w:ascii="Times New Roman" w:hAnsi="Times New Roman" w:cs="Times New Roman"/>
          <w:sz w:val="24"/>
          <w:szCs w:val="24"/>
        </w:rPr>
        <w:t xml:space="preserve"> </w:t>
      </w:r>
      <w:r w:rsidR="00BB796A">
        <w:rPr>
          <w:rFonts w:ascii="Times New Roman" w:hAnsi="Times New Roman" w:cs="Times New Roman"/>
          <w:sz w:val="24"/>
          <w:szCs w:val="24"/>
        </w:rPr>
        <w:t xml:space="preserve">This reasoning, unfortunately, is problematic </w:t>
      </w:r>
      <w:r w:rsidR="0079199E">
        <w:rPr>
          <w:rFonts w:ascii="Times New Roman" w:hAnsi="Times New Roman" w:cs="Times New Roman"/>
          <w:sz w:val="24"/>
          <w:szCs w:val="24"/>
        </w:rPr>
        <w:t xml:space="preserve">because </w:t>
      </w:r>
      <w:r w:rsidR="002E7422">
        <w:rPr>
          <w:rFonts w:ascii="Times New Roman" w:hAnsi="Times New Roman" w:cs="Times New Roman"/>
          <w:sz w:val="24"/>
          <w:szCs w:val="24"/>
        </w:rPr>
        <w:t>protection is primarily given to</w:t>
      </w:r>
      <w:r w:rsidR="00800162">
        <w:rPr>
          <w:rFonts w:ascii="Times New Roman" w:hAnsi="Times New Roman" w:cs="Times New Roman"/>
          <w:sz w:val="24"/>
          <w:szCs w:val="24"/>
        </w:rPr>
        <w:t xml:space="preserve"> the</w:t>
      </w:r>
      <w:r w:rsidR="002E7422">
        <w:rPr>
          <w:rFonts w:ascii="Times New Roman" w:hAnsi="Times New Roman" w:cs="Times New Roman"/>
          <w:sz w:val="24"/>
          <w:szCs w:val="24"/>
        </w:rPr>
        <w:t xml:space="preserve"> </w:t>
      </w:r>
      <w:r w:rsidR="00BB796A">
        <w:rPr>
          <w:rFonts w:ascii="Times New Roman" w:hAnsi="Times New Roman" w:cs="Times New Roman"/>
          <w:sz w:val="24"/>
          <w:szCs w:val="24"/>
        </w:rPr>
        <w:t>victims</w:t>
      </w:r>
      <w:r w:rsidR="006D6560">
        <w:rPr>
          <w:rFonts w:ascii="Times New Roman" w:hAnsi="Times New Roman" w:cs="Times New Roman"/>
          <w:sz w:val="24"/>
          <w:szCs w:val="24"/>
        </w:rPr>
        <w:t xml:space="preserve"> coming forward</w:t>
      </w:r>
      <w:r w:rsidR="002E7422">
        <w:rPr>
          <w:rFonts w:ascii="Times New Roman" w:hAnsi="Times New Roman" w:cs="Times New Roman"/>
          <w:sz w:val="24"/>
          <w:szCs w:val="24"/>
        </w:rPr>
        <w:t xml:space="preserve"> </w:t>
      </w:r>
      <w:r w:rsidR="006D6560">
        <w:rPr>
          <w:rFonts w:ascii="Times New Roman" w:hAnsi="Times New Roman" w:cs="Times New Roman"/>
          <w:sz w:val="24"/>
          <w:szCs w:val="24"/>
        </w:rPr>
        <w:t>to provide in</w:t>
      </w:r>
      <w:r w:rsidR="005116DD">
        <w:rPr>
          <w:rFonts w:ascii="Times New Roman" w:hAnsi="Times New Roman" w:cs="Times New Roman"/>
          <w:sz w:val="24"/>
          <w:szCs w:val="24"/>
        </w:rPr>
        <w:t>telligence</w:t>
      </w:r>
      <w:r w:rsidR="006D6560">
        <w:rPr>
          <w:rFonts w:ascii="Times New Roman" w:hAnsi="Times New Roman" w:cs="Times New Roman"/>
          <w:sz w:val="24"/>
          <w:szCs w:val="24"/>
        </w:rPr>
        <w:t xml:space="preserve"> or evidence</w:t>
      </w:r>
      <w:r w:rsidR="00BB796A">
        <w:rPr>
          <w:rFonts w:ascii="Times New Roman" w:hAnsi="Times New Roman" w:cs="Times New Roman"/>
          <w:sz w:val="24"/>
          <w:szCs w:val="24"/>
        </w:rPr>
        <w:t xml:space="preserve">.  In practice, this </w:t>
      </w:r>
      <w:r w:rsidR="006D6560">
        <w:rPr>
          <w:rFonts w:ascii="Times New Roman" w:hAnsi="Times New Roman" w:cs="Times New Roman"/>
          <w:sz w:val="24"/>
          <w:szCs w:val="24"/>
        </w:rPr>
        <w:t>might</w:t>
      </w:r>
      <w:r w:rsidR="00BB796A">
        <w:rPr>
          <w:rFonts w:ascii="Times New Roman" w:hAnsi="Times New Roman" w:cs="Times New Roman"/>
          <w:sz w:val="24"/>
          <w:szCs w:val="24"/>
        </w:rPr>
        <w:t xml:space="preserve"> not happen often.  In relation to human trafficking, for instance, many victims are often afraid of approaching the law enforcement authorities due to the fear of law enforcement action or reprisal by traffickers.</w:t>
      </w:r>
      <w:r w:rsidR="00BC4A96">
        <w:rPr>
          <w:rStyle w:val="FootnoteReference"/>
          <w:rFonts w:ascii="Times New Roman" w:hAnsi="Times New Roman" w:cs="Times New Roman"/>
          <w:sz w:val="24"/>
          <w:szCs w:val="24"/>
        </w:rPr>
        <w:footnoteReference w:id="128"/>
      </w:r>
      <w:r w:rsidR="00BB796A">
        <w:rPr>
          <w:rFonts w:ascii="Times New Roman" w:hAnsi="Times New Roman" w:cs="Times New Roman"/>
          <w:sz w:val="24"/>
          <w:szCs w:val="24"/>
        </w:rPr>
        <w:t xml:space="preserve"> </w:t>
      </w:r>
      <w:r w:rsidR="00A878D3">
        <w:rPr>
          <w:rFonts w:ascii="Times New Roman" w:hAnsi="Times New Roman" w:cs="Times New Roman"/>
          <w:sz w:val="24"/>
          <w:szCs w:val="24"/>
        </w:rPr>
        <w:t xml:space="preserve"> </w:t>
      </w:r>
      <w:r w:rsidR="00A06D77">
        <w:rPr>
          <w:rFonts w:ascii="Times New Roman" w:hAnsi="Times New Roman" w:cs="Times New Roman"/>
          <w:sz w:val="24"/>
          <w:szCs w:val="24"/>
        </w:rPr>
        <w:t xml:space="preserve">The clandestine </w:t>
      </w:r>
      <w:r w:rsidR="001717F3">
        <w:rPr>
          <w:rFonts w:ascii="Times New Roman" w:hAnsi="Times New Roman" w:cs="Times New Roman"/>
          <w:sz w:val="24"/>
          <w:szCs w:val="24"/>
        </w:rPr>
        <w:t xml:space="preserve">and dangerous </w:t>
      </w:r>
      <w:r w:rsidR="00A06D77">
        <w:rPr>
          <w:rFonts w:ascii="Times New Roman" w:hAnsi="Times New Roman" w:cs="Times New Roman"/>
          <w:sz w:val="24"/>
          <w:szCs w:val="24"/>
        </w:rPr>
        <w:t xml:space="preserve">nature of organised crime also makes it </w:t>
      </w:r>
      <w:r w:rsidR="00A06D77">
        <w:rPr>
          <w:rFonts w:ascii="Times New Roman" w:hAnsi="Times New Roman" w:cs="Times New Roman"/>
          <w:sz w:val="24"/>
          <w:szCs w:val="24"/>
        </w:rPr>
        <w:lastRenderedPageBreak/>
        <w:t>difficult</w:t>
      </w:r>
      <w:r w:rsidR="00A878D3">
        <w:rPr>
          <w:rFonts w:ascii="Times New Roman" w:hAnsi="Times New Roman" w:cs="Times New Roman"/>
          <w:sz w:val="24"/>
          <w:szCs w:val="24"/>
        </w:rPr>
        <w:t xml:space="preserve"> for others</w:t>
      </w:r>
      <w:r w:rsidR="00A06D77">
        <w:rPr>
          <w:rFonts w:ascii="Times New Roman" w:hAnsi="Times New Roman" w:cs="Times New Roman"/>
          <w:sz w:val="24"/>
          <w:szCs w:val="24"/>
        </w:rPr>
        <w:t xml:space="preserve"> to </w:t>
      </w:r>
      <w:r w:rsidR="00E87710">
        <w:rPr>
          <w:rFonts w:ascii="Times New Roman" w:hAnsi="Times New Roman" w:cs="Times New Roman"/>
          <w:sz w:val="24"/>
          <w:szCs w:val="24"/>
        </w:rPr>
        <w:t>detect and report.</w:t>
      </w:r>
      <w:r w:rsidR="00FA7BAD">
        <w:rPr>
          <w:rFonts w:ascii="Times New Roman" w:hAnsi="Times New Roman" w:cs="Times New Roman"/>
          <w:sz w:val="24"/>
          <w:szCs w:val="24"/>
        </w:rPr>
        <w:t xml:space="preserve">  Under </w:t>
      </w:r>
      <w:r w:rsidR="003D4005">
        <w:rPr>
          <w:rFonts w:ascii="Times New Roman" w:hAnsi="Times New Roman" w:cs="Times New Roman"/>
          <w:sz w:val="24"/>
          <w:szCs w:val="24"/>
        </w:rPr>
        <w:t>these</w:t>
      </w:r>
      <w:r w:rsidR="00FA7BAD">
        <w:rPr>
          <w:rFonts w:ascii="Times New Roman" w:hAnsi="Times New Roman" w:cs="Times New Roman"/>
          <w:sz w:val="24"/>
          <w:szCs w:val="24"/>
        </w:rPr>
        <w:t xml:space="preserve"> circumstances, </w:t>
      </w:r>
      <w:r w:rsidR="00307748">
        <w:rPr>
          <w:rFonts w:ascii="Times New Roman" w:hAnsi="Times New Roman" w:cs="Times New Roman"/>
          <w:sz w:val="24"/>
          <w:szCs w:val="24"/>
        </w:rPr>
        <w:t>it</w:t>
      </w:r>
      <w:r w:rsidR="00EB43A1">
        <w:rPr>
          <w:rFonts w:ascii="Times New Roman" w:hAnsi="Times New Roman" w:cs="Times New Roman"/>
          <w:sz w:val="24"/>
          <w:szCs w:val="24"/>
        </w:rPr>
        <w:t xml:space="preserve"> </w:t>
      </w:r>
      <w:r w:rsidR="00B82234">
        <w:rPr>
          <w:rFonts w:ascii="Times New Roman" w:hAnsi="Times New Roman" w:cs="Times New Roman"/>
          <w:sz w:val="24"/>
          <w:szCs w:val="24"/>
        </w:rPr>
        <w:t>becomes</w:t>
      </w:r>
      <w:r w:rsidR="00EB43A1">
        <w:rPr>
          <w:rFonts w:ascii="Times New Roman" w:hAnsi="Times New Roman" w:cs="Times New Roman"/>
          <w:sz w:val="24"/>
          <w:szCs w:val="24"/>
        </w:rPr>
        <w:t xml:space="preserve"> unlikely </w:t>
      </w:r>
      <w:r w:rsidR="00307748">
        <w:rPr>
          <w:rFonts w:ascii="Times New Roman" w:hAnsi="Times New Roman" w:cs="Times New Roman"/>
          <w:sz w:val="24"/>
          <w:szCs w:val="24"/>
        </w:rPr>
        <w:t xml:space="preserve">for the </w:t>
      </w:r>
      <w:r w:rsidR="00FA7BAD">
        <w:rPr>
          <w:rFonts w:ascii="Times New Roman" w:hAnsi="Times New Roman" w:cs="Times New Roman"/>
          <w:sz w:val="24"/>
          <w:szCs w:val="24"/>
        </w:rPr>
        <w:t xml:space="preserve">authorities to </w:t>
      </w:r>
      <w:r w:rsidR="00EB43A1">
        <w:rPr>
          <w:rFonts w:ascii="Times New Roman" w:hAnsi="Times New Roman" w:cs="Times New Roman"/>
          <w:sz w:val="24"/>
          <w:szCs w:val="24"/>
        </w:rPr>
        <w:t xml:space="preserve">be able to </w:t>
      </w:r>
      <w:r w:rsidR="00B82234">
        <w:rPr>
          <w:rFonts w:ascii="Times New Roman" w:hAnsi="Times New Roman" w:cs="Times New Roman"/>
          <w:sz w:val="24"/>
          <w:szCs w:val="24"/>
        </w:rPr>
        <w:t>identify</w:t>
      </w:r>
      <w:r w:rsidR="00FA7BAD">
        <w:rPr>
          <w:rFonts w:ascii="Times New Roman" w:hAnsi="Times New Roman" w:cs="Times New Roman"/>
          <w:sz w:val="24"/>
          <w:szCs w:val="24"/>
        </w:rPr>
        <w:t xml:space="preserve"> the real or immediate risks to </w:t>
      </w:r>
      <w:r w:rsidR="003D4005">
        <w:rPr>
          <w:rFonts w:ascii="Times New Roman" w:hAnsi="Times New Roman" w:cs="Times New Roman"/>
          <w:sz w:val="24"/>
          <w:szCs w:val="24"/>
        </w:rPr>
        <w:t xml:space="preserve">victims’ </w:t>
      </w:r>
      <w:r w:rsidR="00FA7BAD">
        <w:rPr>
          <w:rFonts w:ascii="Times New Roman" w:hAnsi="Times New Roman" w:cs="Times New Roman"/>
          <w:sz w:val="24"/>
          <w:szCs w:val="24"/>
        </w:rPr>
        <w:t>human rights</w:t>
      </w:r>
      <w:r w:rsidR="00FF1E86">
        <w:rPr>
          <w:rFonts w:ascii="Times New Roman" w:hAnsi="Times New Roman" w:cs="Times New Roman"/>
          <w:sz w:val="24"/>
          <w:szCs w:val="24"/>
        </w:rPr>
        <w:t>.  Consequently,</w:t>
      </w:r>
      <w:r w:rsidR="00B82234">
        <w:rPr>
          <w:rFonts w:ascii="Times New Roman" w:hAnsi="Times New Roman" w:cs="Times New Roman"/>
          <w:sz w:val="24"/>
          <w:szCs w:val="24"/>
        </w:rPr>
        <w:t xml:space="preserve"> </w:t>
      </w:r>
      <w:r w:rsidR="000E419A">
        <w:rPr>
          <w:rFonts w:ascii="Times New Roman" w:hAnsi="Times New Roman" w:cs="Times New Roman"/>
          <w:sz w:val="24"/>
          <w:szCs w:val="24"/>
        </w:rPr>
        <w:t>this limitation</w:t>
      </w:r>
      <w:r w:rsidR="00A06D77">
        <w:rPr>
          <w:rFonts w:ascii="Times New Roman" w:hAnsi="Times New Roman" w:cs="Times New Roman"/>
          <w:sz w:val="24"/>
          <w:szCs w:val="24"/>
        </w:rPr>
        <w:t xml:space="preserve"> undermine</w:t>
      </w:r>
      <w:r w:rsidR="00981A1F">
        <w:rPr>
          <w:rFonts w:ascii="Times New Roman" w:hAnsi="Times New Roman" w:cs="Times New Roman"/>
          <w:sz w:val="24"/>
          <w:szCs w:val="24"/>
        </w:rPr>
        <w:t>s</w:t>
      </w:r>
      <w:r w:rsidR="00A06D77">
        <w:rPr>
          <w:rFonts w:ascii="Times New Roman" w:hAnsi="Times New Roman" w:cs="Times New Roman"/>
          <w:sz w:val="24"/>
          <w:szCs w:val="24"/>
        </w:rPr>
        <w:t xml:space="preserve"> </w:t>
      </w:r>
      <w:r w:rsidR="00EB049F">
        <w:rPr>
          <w:rFonts w:ascii="Times New Roman" w:hAnsi="Times New Roman" w:cs="Times New Roman"/>
          <w:sz w:val="24"/>
          <w:szCs w:val="24"/>
        </w:rPr>
        <w:t xml:space="preserve">the positive </w:t>
      </w:r>
      <w:r w:rsidR="000E419A">
        <w:rPr>
          <w:rFonts w:ascii="Times New Roman" w:hAnsi="Times New Roman" w:cs="Times New Roman"/>
          <w:sz w:val="24"/>
          <w:szCs w:val="24"/>
        </w:rPr>
        <w:t xml:space="preserve">(or due diligence) </w:t>
      </w:r>
      <w:r w:rsidR="00EB049F">
        <w:rPr>
          <w:rFonts w:ascii="Times New Roman" w:hAnsi="Times New Roman" w:cs="Times New Roman"/>
          <w:sz w:val="24"/>
          <w:szCs w:val="24"/>
        </w:rPr>
        <w:t>obligation</w:t>
      </w:r>
      <w:r w:rsidR="005D1E5B">
        <w:rPr>
          <w:rFonts w:ascii="Times New Roman" w:hAnsi="Times New Roman" w:cs="Times New Roman"/>
          <w:sz w:val="24"/>
          <w:szCs w:val="24"/>
        </w:rPr>
        <w:t>s</w:t>
      </w:r>
      <w:r w:rsidR="000E419A">
        <w:rPr>
          <w:rFonts w:ascii="Times New Roman" w:hAnsi="Times New Roman" w:cs="Times New Roman"/>
          <w:sz w:val="24"/>
          <w:szCs w:val="24"/>
        </w:rPr>
        <w:t xml:space="preserve"> </w:t>
      </w:r>
      <w:r w:rsidR="00EB049F">
        <w:rPr>
          <w:rFonts w:ascii="Times New Roman" w:hAnsi="Times New Roman" w:cs="Times New Roman"/>
          <w:sz w:val="24"/>
          <w:szCs w:val="24"/>
        </w:rPr>
        <w:t>to investigate human rights violations</w:t>
      </w:r>
      <w:r w:rsidR="00260F84">
        <w:rPr>
          <w:rFonts w:ascii="Times New Roman" w:hAnsi="Times New Roman" w:cs="Times New Roman"/>
          <w:sz w:val="24"/>
          <w:szCs w:val="24"/>
        </w:rPr>
        <w:t xml:space="preserve">, </w:t>
      </w:r>
      <w:r w:rsidR="005D1E5B">
        <w:rPr>
          <w:rFonts w:ascii="Times New Roman" w:hAnsi="Times New Roman" w:cs="Times New Roman"/>
          <w:sz w:val="24"/>
          <w:szCs w:val="24"/>
        </w:rPr>
        <w:t>and more importantly</w:t>
      </w:r>
      <w:r w:rsidR="00FF1E86">
        <w:rPr>
          <w:rFonts w:ascii="Times New Roman" w:hAnsi="Times New Roman" w:cs="Times New Roman"/>
          <w:sz w:val="24"/>
          <w:szCs w:val="24"/>
        </w:rPr>
        <w:t>,</w:t>
      </w:r>
      <w:r w:rsidR="005D1E5B">
        <w:rPr>
          <w:rFonts w:ascii="Times New Roman" w:hAnsi="Times New Roman" w:cs="Times New Roman"/>
          <w:sz w:val="24"/>
          <w:szCs w:val="24"/>
        </w:rPr>
        <w:t xml:space="preserve"> to provide </w:t>
      </w:r>
      <w:proofErr w:type="gramStart"/>
      <w:r w:rsidR="005D1E5B">
        <w:rPr>
          <w:rFonts w:ascii="Times New Roman" w:hAnsi="Times New Roman" w:cs="Times New Roman"/>
          <w:sz w:val="24"/>
          <w:szCs w:val="24"/>
        </w:rPr>
        <w:t>sufficient</w:t>
      </w:r>
      <w:proofErr w:type="gramEnd"/>
      <w:r w:rsidR="005D1E5B">
        <w:rPr>
          <w:rFonts w:ascii="Times New Roman" w:hAnsi="Times New Roman" w:cs="Times New Roman"/>
          <w:sz w:val="24"/>
          <w:szCs w:val="24"/>
        </w:rPr>
        <w:t xml:space="preserve"> protection to victims.</w:t>
      </w:r>
      <w:r w:rsidR="00EB049F">
        <w:rPr>
          <w:rFonts w:ascii="Times New Roman" w:hAnsi="Times New Roman" w:cs="Times New Roman"/>
          <w:sz w:val="24"/>
          <w:szCs w:val="24"/>
        </w:rPr>
        <w:t xml:space="preserve">  </w:t>
      </w:r>
      <w:r w:rsidR="008C3AC1">
        <w:rPr>
          <w:rFonts w:ascii="Times New Roman" w:hAnsi="Times New Roman" w:cs="Times New Roman"/>
          <w:sz w:val="24"/>
          <w:szCs w:val="24"/>
        </w:rPr>
        <w:t xml:space="preserve"> </w:t>
      </w:r>
      <w:r w:rsidR="00D906DF">
        <w:rPr>
          <w:rFonts w:ascii="Times New Roman" w:hAnsi="Times New Roman" w:cs="Times New Roman"/>
          <w:sz w:val="24"/>
          <w:szCs w:val="24"/>
        </w:rPr>
        <w:t xml:space="preserve">The best approach is to </w:t>
      </w:r>
      <w:r w:rsidR="00E50B83">
        <w:rPr>
          <w:rFonts w:ascii="Times New Roman" w:hAnsi="Times New Roman" w:cs="Times New Roman"/>
          <w:sz w:val="24"/>
          <w:szCs w:val="24"/>
        </w:rPr>
        <w:t>implement appropriate protection measures</w:t>
      </w:r>
      <w:r w:rsidR="00D906DF">
        <w:rPr>
          <w:rFonts w:ascii="Times New Roman" w:hAnsi="Times New Roman" w:cs="Times New Roman"/>
          <w:sz w:val="24"/>
          <w:szCs w:val="24"/>
        </w:rPr>
        <w:t xml:space="preserve"> regardless of whether States should/ought to have known</w:t>
      </w:r>
      <w:r w:rsidR="00615C33">
        <w:rPr>
          <w:rFonts w:ascii="Times New Roman" w:hAnsi="Times New Roman" w:cs="Times New Roman"/>
          <w:sz w:val="24"/>
          <w:szCs w:val="24"/>
        </w:rPr>
        <w:t xml:space="preserve"> the existence of risks</w:t>
      </w:r>
      <w:r w:rsidR="00F70206">
        <w:rPr>
          <w:rFonts w:ascii="Times New Roman" w:hAnsi="Times New Roman" w:cs="Times New Roman"/>
          <w:sz w:val="24"/>
          <w:szCs w:val="24"/>
        </w:rPr>
        <w:t xml:space="preserve"> previously.</w:t>
      </w:r>
      <w:r w:rsidR="000371D9">
        <w:rPr>
          <w:rFonts w:ascii="Times New Roman" w:hAnsi="Times New Roman" w:cs="Times New Roman"/>
          <w:sz w:val="24"/>
          <w:szCs w:val="24"/>
        </w:rPr>
        <w:t xml:space="preserve"> </w:t>
      </w:r>
      <w:r w:rsidR="00F70206">
        <w:rPr>
          <w:rFonts w:ascii="Times New Roman" w:hAnsi="Times New Roman" w:cs="Times New Roman"/>
          <w:sz w:val="24"/>
          <w:szCs w:val="24"/>
        </w:rPr>
        <w:t xml:space="preserve">  </w:t>
      </w:r>
    </w:p>
    <w:p w:rsidR="00D173FE" w:rsidRDefault="005D4D5B" w:rsidP="00CA248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terms of </w:t>
      </w:r>
      <w:r w:rsidR="00964701">
        <w:rPr>
          <w:rFonts w:ascii="Times New Roman" w:hAnsi="Times New Roman" w:cs="Times New Roman"/>
          <w:sz w:val="24"/>
          <w:szCs w:val="24"/>
        </w:rPr>
        <w:t xml:space="preserve">specific protection measures, </w:t>
      </w:r>
      <w:r w:rsidR="00095377">
        <w:rPr>
          <w:rFonts w:ascii="Times New Roman" w:hAnsi="Times New Roman" w:cs="Times New Roman"/>
          <w:sz w:val="24"/>
          <w:szCs w:val="24"/>
        </w:rPr>
        <w:t>they depend</w:t>
      </w:r>
      <w:r w:rsidR="008200C5">
        <w:rPr>
          <w:rFonts w:ascii="Times New Roman" w:hAnsi="Times New Roman" w:cs="Times New Roman"/>
          <w:sz w:val="24"/>
          <w:szCs w:val="24"/>
        </w:rPr>
        <w:t xml:space="preserve"> on the types of crime in question.  </w:t>
      </w:r>
      <w:r w:rsidR="00095377">
        <w:rPr>
          <w:rFonts w:ascii="Times New Roman" w:hAnsi="Times New Roman" w:cs="Times New Roman"/>
          <w:sz w:val="24"/>
          <w:szCs w:val="24"/>
        </w:rPr>
        <w:t>For instance, p</w:t>
      </w:r>
      <w:r w:rsidR="00AE211C">
        <w:rPr>
          <w:rFonts w:ascii="Times New Roman" w:hAnsi="Times New Roman" w:cs="Times New Roman"/>
          <w:sz w:val="24"/>
          <w:szCs w:val="24"/>
        </w:rPr>
        <w:t xml:space="preserve">rovision of shelter, medical/psychological assistance, </w:t>
      </w:r>
      <w:r w:rsidR="00F831AA">
        <w:rPr>
          <w:rFonts w:ascii="Times New Roman" w:hAnsi="Times New Roman" w:cs="Times New Roman"/>
          <w:sz w:val="24"/>
          <w:szCs w:val="24"/>
        </w:rPr>
        <w:t xml:space="preserve">as well as </w:t>
      </w:r>
      <w:r w:rsidR="00AE211C">
        <w:rPr>
          <w:rFonts w:ascii="Times New Roman" w:hAnsi="Times New Roman" w:cs="Times New Roman"/>
          <w:sz w:val="24"/>
          <w:szCs w:val="24"/>
        </w:rPr>
        <w:t>consular</w:t>
      </w:r>
      <w:r w:rsidR="00F831AA">
        <w:rPr>
          <w:rFonts w:ascii="Times New Roman" w:hAnsi="Times New Roman" w:cs="Times New Roman"/>
          <w:sz w:val="24"/>
          <w:szCs w:val="24"/>
        </w:rPr>
        <w:t>/</w:t>
      </w:r>
      <w:r w:rsidR="00856FBF">
        <w:rPr>
          <w:rFonts w:ascii="Times New Roman" w:hAnsi="Times New Roman" w:cs="Times New Roman"/>
          <w:sz w:val="24"/>
          <w:szCs w:val="24"/>
        </w:rPr>
        <w:t xml:space="preserve">legal </w:t>
      </w:r>
      <w:r w:rsidR="00AE211C">
        <w:rPr>
          <w:rFonts w:ascii="Times New Roman" w:hAnsi="Times New Roman" w:cs="Times New Roman"/>
          <w:sz w:val="24"/>
          <w:szCs w:val="24"/>
        </w:rPr>
        <w:t>assistanc</w:t>
      </w:r>
      <w:r w:rsidR="00856FBF">
        <w:rPr>
          <w:rFonts w:ascii="Times New Roman" w:hAnsi="Times New Roman" w:cs="Times New Roman"/>
          <w:sz w:val="24"/>
          <w:szCs w:val="24"/>
        </w:rPr>
        <w:t>e</w:t>
      </w:r>
      <w:r w:rsidR="00AE211C">
        <w:rPr>
          <w:rFonts w:ascii="Times New Roman" w:hAnsi="Times New Roman" w:cs="Times New Roman"/>
          <w:sz w:val="24"/>
          <w:szCs w:val="24"/>
        </w:rPr>
        <w:t xml:space="preserve"> ha</w:t>
      </w:r>
      <w:r w:rsidR="00464D32">
        <w:rPr>
          <w:rFonts w:ascii="Times New Roman" w:hAnsi="Times New Roman" w:cs="Times New Roman"/>
          <w:sz w:val="24"/>
          <w:szCs w:val="24"/>
        </w:rPr>
        <w:t>s</w:t>
      </w:r>
      <w:r w:rsidR="00AE211C">
        <w:rPr>
          <w:rFonts w:ascii="Times New Roman" w:hAnsi="Times New Roman" w:cs="Times New Roman"/>
          <w:sz w:val="24"/>
          <w:szCs w:val="24"/>
        </w:rPr>
        <w:t xml:space="preserve"> been regarded as crucial </w:t>
      </w:r>
      <w:r w:rsidR="00964701">
        <w:rPr>
          <w:rFonts w:ascii="Times New Roman" w:hAnsi="Times New Roman" w:cs="Times New Roman"/>
          <w:sz w:val="24"/>
          <w:szCs w:val="24"/>
        </w:rPr>
        <w:t xml:space="preserve">for the victims of </w:t>
      </w:r>
      <w:r w:rsidR="00AB0107">
        <w:rPr>
          <w:rFonts w:ascii="Times New Roman" w:hAnsi="Times New Roman" w:cs="Times New Roman"/>
          <w:sz w:val="24"/>
          <w:szCs w:val="24"/>
        </w:rPr>
        <w:t xml:space="preserve">slavery, forced labour and </w:t>
      </w:r>
      <w:r w:rsidR="00964701">
        <w:rPr>
          <w:rFonts w:ascii="Times New Roman" w:hAnsi="Times New Roman" w:cs="Times New Roman"/>
          <w:sz w:val="24"/>
          <w:szCs w:val="24"/>
        </w:rPr>
        <w:t>human trafficking.</w:t>
      </w:r>
      <w:r w:rsidR="00AE211C">
        <w:rPr>
          <w:rStyle w:val="FootnoteReference"/>
          <w:rFonts w:ascii="Times New Roman" w:hAnsi="Times New Roman" w:cs="Times New Roman"/>
          <w:sz w:val="24"/>
          <w:szCs w:val="24"/>
        </w:rPr>
        <w:footnoteReference w:id="129"/>
      </w:r>
      <w:r w:rsidR="00AE211C">
        <w:rPr>
          <w:rFonts w:ascii="Times New Roman" w:hAnsi="Times New Roman" w:cs="Times New Roman"/>
          <w:sz w:val="24"/>
          <w:szCs w:val="24"/>
        </w:rPr>
        <w:t xml:space="preserve">  </w:t>
      </w:r>
      <w:r w:rsidR="00964701">
        <w:rPr>
          <w:rFonts w:ascii="Times New Roman" w:hAnsi="Times New Roman" w:cs="Times New Roman"/>
          <w:sz w:val="24"/>
          <w:szCs w:val="24"/>
        </w:rPr>
        <w:t>The Committee on Economic, Social and Cultural Rights has interpreted protection from social and economic exploitation to include these measures</w:t>
      </w:r>
      <w:r w:rsidR="00556F37">
        <w:rPr>
          <w:rFonts w:ascii="Times New Roman" w:hAnsi="Times New Roman" w:cs="Times New Roman"/>
          <w:sz w:val="24"/>
          <w:szCs w:val="24"/>
        </w:rPr>
        <w:t>,</w:t>
      </w:r>
      <w:r w:rsidR="00964701">
        <w:rPr>
          <w:rStyle w:val="FootnoteReference"/>
          <w:rFonts w:ascii="Times New Roman" w:hAnsi="Times New Roman" w:cs="Times New Roman"/>
          <w:sz w:val="24"/>
          <w:szCs w:val="24"/>
        </w:rPr>
        <w:footnoteReference w:id="130"/>
      </w:r>
      <w:r w:rsidR="00964701">
        <w:rPr>
          <w:rFonts w:ascii="Times New Roman" w:hAnsi="Times New Roman" w:cs="Times New Roman"/>
          <w:sz w:val="24"/>
          <w:szCs w:val="24"/>
        </w:rPr>
        <w:t xml:space="preserve"> </w:t>
      </w:r>
      <w:r w:rsidR="00556F37">
        <w:rPr>
          <w:rFonts w:ascii="Times New Roman" w:hAnsi="Times New Roman" w:cs="Times New Roman"/>
          <w:sz w:val="24"/>
          <w:szCs w:val="24"/>
        </w:rPr>
        <w:t xml:space="preserve">and </w:t>
      </w:r>
      <w:r w:rsidR="00964701">
        <w:rPr>
          <w:rFonts w:ascii="Times New Roman" w:hAnsi="Times New Roman" w:cs="Times New Roman"/>
          <w:sz w:val="24"/>
          <w:szCs w:val="24"/>
        </w:rPr>
        <w:t xml:space="preserve"> </w:t>
      </w:r>
      <w:r w:rsidR="00556F37">
        <w:rPr>
          <w:rFonts w:ascii="Times New Roman" w:hAnsi="Times New Roman" w:cs="Times New Roman"/>
          <w:sz w:val="24"/>
          <w:szCs w:val="24"/>
        </w:rPr>
        <w:t>o</w:t>
      </w:r>
      <w:r w:rsidR="00CD4E8C">
        <w:rPr>
          <w:rFonts w:ascii="Times New Roman" w:hAnsi="Times New Roman" w:cs="Times New Roman"/>
          <w:sz w:val="24"/>
          <w:szCs w:val="24"/>
        </w:rPr>
        <w:t>ther human rights bodies such as the Committee on Migrant Workers</w:t>
      </w:r>
      <w:r w:rsidR="00CD4E8C">
        <w:rPr>
          <w:rStyle w:val="FootnoteReference"/>
          <w:rFonts w:ascii="Times New Roman" w:hAnsi="Times New Roman" w:cs="Times New Roman"/>
          <w:sz w:val="24"/>
          <w:szCs w:val="24"/>
        </w:rPr>
        <w:footnoteReference w:id="131"/>
      </w:r>
      <w:r w:rsidR="00CD4E8C">
        <w:rPr>
          <w:rFonts w:ascii="Times New Roman" w:hAnsi="Times New Roman" w:cs="Times New Roman"/>
          <w:sz w:val="24"/>
          <w:szCs w:val="24"/>
        </w:rPr>
        <w:t xml:space="preserve"> and the Committee on the Elimination of Discrimination against Women</w:t>
      </w:r>
      <w:r w:rsidR="00CD4E8C">
        <w:rPr>
          <w:rStyle w:val="FootnoteReference"/>
          <w:rFonts w:ascii="Times New Roman" w:hAnsi="Times New Roman" w:cs="Times New Roman"/>
          <w:sz w:val="24"/>
          <w:szCs w:val="24"/>
        </w:rPr>
        <w:footnoteReference w:id="132"/>
      </w:r>
      <w:r w:rsidR="00CD4E8C">
        <w:rPr>
          <w:rFonts w:ascii="Times New Roman" w:hAnsi="Times New Roman" w:cs="Times New Roman"/>
          <w:sz w:val="24"/>
          <w:szCs w:val="24"/>
        </w:rPr>
        <w:t xml:space="preserve"> </w:t>
      </w:r>
      <w:r w:rsidR="0044790D">
        <w:rPr>
          <w:rFonts w:ascii="Times New Roman" w:hAnsi="Times New Roman" w:cs="Times New Roman"/>
          <w:sz w:val="24"/>
          <w:szCs w:val="24"/>
        </w:rPr>
        <w:t xml:space="preserve">have </w:t>
      </w:r>
      <w:r w:rsidR="00FB6BB6">
        <w:rPr>
          <w:rFonts w:ascii="Times New Roman" w:hAnsi="Times New Roman" w:cs="Times New Roman"/>
          <w:sz w:val="24"/>
          <w:szCs w:val="24"/>
        </w:rPr>
        <w:t>also endorsed them</w:t>
      </w:r>
      <w:r w:rsidR="0044790D">
        <w:rPr>
          <w:rFonts w:ascii="Times New Roman" w:hAnsi="Times New Roman" w:cs="Times New Roman"/>
          <w:sz w:val="24"/>
          <w:szCs w:val="24"/>
        </w:rPr>
        <w:t xml:space="preserve">. </w:t>
      </w:r>
      <w:r w:rsidR="00FB6BB6">
        <w:rPr>
          <w:rFonts w:ascii="Times New Roman" w:hAnsi="Times New Roman" w:cs="Times New Roman"/>
          <w:sz w:val="24"/>
          <w:szCs w:val="24"/>
        </w:rPr>
        <w:t xml:space="preserve"> </w:t>
      </w:r>
      <w:r w:rsidR="00CD4E8C">
        <w:rPr>
          <w:rFonts w:ascii="Times New Roman" w:hAnsi="Times New Roman" w:cs="Times New Roman"/>
          <w:sz w:val="24"/>
          <w:szCs w:val="24"/>
        </w:rPr>
        <w:t>In addition, t</w:t>
      </w:r>
      <w:r w:rsidR="00AE211C">
        <w:rPr>
          <w:rFonts w:ascii="Times New Roman" w:hAnsi="Times New Roman" w:cs="Times New Roman"/>
          <w:sz w:val="24"/>
          <w:szCs w:val="24"/>
        </w:rPr>
        <w:t>he European Court of Human Rights recently held that the positive obligations in relation to slavery must be interpreted in light of the Council of Europe Convention on the Action against Trafficking in Human Beings</w:t>
      </w:r>
      <w:r w:rsidR="00A32F4B">
        <w:rPr>
          <w:rFonts w:ascii="Times New Roman" w:hAnsi="Times New Roman" w:cs="Times New Roman"/>
          <w:sz w:val="24"/>
          <w:szCs w:val="24"/>
        </w:rPr>
        <w:t xml:space="preserve"> 2005</w:t>
      </w:r>
      <w:r w:rsidR="00AE211C">
        <w:rPr>
          <w:rFonts w:ascii="Times New Roman" w:hAnsi="Times New Roman" w:cs="Times New Roman"/>
          <w:sz w:val="24"/>
          <w:szCs w:val="24"/>
        </w:rPr>
        <w:t>.</w:t>
      </w:r>
      <w:r w:rsidR="00AE211C">
        <w:rPr>
          <w:rStyle w:val="FootnoteReference"/>
          <w:rFonts w:ascii="Times New Roman" w:hAnsi="Times New Roman" w:cs="Times New Roman"/>
          <w:sz w:val="24"/>
          <w:szCs w:val="24"/>
        </w:rPr>
        <w:footnoteReference w:id="133"/>
      </w:r>
      <w:r w:rsidR="00AE211C">
        <w:rPr>
          <w:rFonts w:ascii="Times New Roman" w:hAnsi="Times New Roman" w:cs="Times New Roman"/>
          <w:sz w:val="24"/>
          <w:szCs w:val="24"/>
        </w:rPr>
        <w:t xml:space="preserve"> This means that States are obliged to </w:t>
      </w:r>
      <w:r w:rsidR="00AE211C">
        <w:rPr>
          <w:rFonts w:ascii="Times New Roman" w:hAnsi="Times New Roman" w:cs="Times New Roman"/>
          <w:sz w:val="24"/>
          <w:szCs w:val="24"/>
        </w:rPr>
        <w:lastRenderedPageBreak/>
        <w:t>provide others measures stipulated in this instrument, such as translation and interpretation (for foreign victims), access to education, vocational training, and labour market.</w:t>
      </w:r>
      <w:r w:rsidR="00AE211C">
        <w:rPr>
          <w:rStyle w:val="FootnoteReference"/>
          <w:rFonts w:ascii="Times New Roman" w:hAnsi="Times New Roman" w:cs="Times New Roman"/>
          <w:sz w:val="24"/>
          <w:szCs w:val="24"/>
        </w:rPr>
        <w:footnoteReference w:id="134"/>
      </w:r>
      <w:r w:rsidR="00AE211C">
        <w:rPr>
          <w:rFonts w:ascii="Times New Roman" w:hAnsi="Times New Roman" w:cs="Times New Roman"/>
          <w:sz w:val="24"/>
          <w:szCs w:val="24"/>
        </w:rPr>
        <w:t xml:space="preserve">  </w:t>
      </w:r>
    </w:p>
    <w:p w:rsidR="00AE211C" w:rsidRDefault="00AE211C" w:rsidP="00CA248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caveat, however, is that some of these measures are to be given to </w:t>
      </w:r>
      <w:r w:rsidR="00D173FE">
        <w:rPr>
          <w:rFonts w:ascii="Times New Roman" w:hAnsi="Times New Roman" w:cs="Times New Roman"/>
          <w:sz w:val="24"/>
          <w:szCs w:val="24"/>
        </w:rPr>
        <w:t xml:space="preserve">the </w:t>
      </w:r>
      <w:r>
        <w:rPr>
          <w:rFonts w:ascii="Times New Roman" w:hAnsi="Times New Roman" w:cs="Times New Roman"/>
          <w:sz w:val="24"/>
          <w:szCs w:val="24"/>
        </w:rPr>
        <w:t>victims who are lawful residents in a State.</w:t>
      </w:r>
      <w:r>
        <w:rPr>
          <w:rStyle w:val="FootnoteReference"/>
          <w:rFonts w:ascii="Times New Roman" w:hAnsi="Times New Roman" w:cs="Times New Roman"/>
          <w:sz w:val="24"/>
          <w:szCs w:val="24"/>
        </w:rPr>
        <w:footnoteReference w:id="135"/>
      </w:r>
      <w:r>
        <w:rPr>
          <w:rFonts w:ascii="Times New Roman" w:hAnsi="Times New Roman" w:cs="Times New Roman"/>
          <w:sz w:val="24"/>
          <w:szCs w:val="24"/>
        </w:rPr>
        <w:t xml:space="preserve">  </w:t>
      </w:r>
      <w:r w:rsidR="00964701">
        <w:rPr>
          <w:rFonts w:ascii="Times New Roman" w:hAnsi="Times New Roman" w:cs="Times New Roman"/>
          <w:sz w:val="24"/>
          <w:szCs w:val="24"/>
        </w:rPr>
        <w:t xml:space="preserve">This is problematic as many victims of </w:t>
      </w:r>
      <w:r w:rsidR="009869D3">
        <w:rPr>
          <w:rFonts w:ascii="Times New Roman" w:hAnsi="Times New Roman" w:cs="Times New Roman"/>
          <w:sz w:val="24"/>
          <w:szCs w:val="24"/>
        </w:rPr>
        <w:t xml:space="preserve">slavery, forced labour and </w:t>
      </w:r>
      <w:r w:rsidR="00964701">
        <w:rPr>
          <w:rFonts w:ascii="Times New Roman" w:hAnsi="Times New Roman" w:cs="Times New Roman"/>
          <w:sz w:val="24"/>
          <w:szCs w:val="24"/>
        </w:rPr>
        <w:t xml:space="preserve">human trafficking </w:t>
      </w:r>
      <w:r w:rsidR="00350A5C">
        <w:rPr>
          <w:rFonts w:ascii="Times New Roman" w:hAnsi="Times New Roman" w:cs="Times New Roman"/>
          <w:sz w:val="24"/>
          <w:szCs w:val="24"/>
        </w:rPr>
        <w:t xml:space="preserve">are foreign nationals.  In this regard, States </w:t>
      </w:r>
      <w:r w:rsidR="00293C7F">
        <w:rPr>
          <w:rFonts w:ascii="Times New Roman" w:hAnsi="Times New Roman" w:cs="Times New Roman"/>
          <w:sz w:val="24"/>
          <w:szCs w:val="24"/>
        </w:rPr>
        <w:t>should</w:t>
      </w:r>
      <w:r w:rsidR="00350A5C">
        <w:rPr>
          <w:rFonts w:ascii="Times New Roman" w:hAnsi="Times New Roman" w:cs="Times New Roman"/>
          <w:sz w:val="24"/>
          <w:szCs w:val="24"/>
        </w:rPr>
        <w:t xml:space="preserve"> legalise or regularise the status of </w:t>
      </w:r>
      <w:r w:rsidR="00177BBE">
        <w:rPr>
          <w:rFonts w:ascii="Times New Roman" w:hAnsi="Times New Roman" w:cs="Times New Roman"/>
          <w:sz w:val="24"/>
          <w:szCs w:val="24"/>
        </w:rPr>
        <w:t xml:space="preserve">the </w:t>
      </w:r>
      <w:r w:rsidR="00350A5C">
        <w:rPr>
          <w:rFonts w:ascii="Times New Roman" w:hAnsi="Times New Roman" w:cs="Times New Roman"/>
          <w:sz w:val="24"/>
          <w:szCs w:val="24"/>
        </w:rPr>
        <w:t>victims of trafficking.</w:t>
      </w:r>
      <w:r w:rsidR="00350A5C">
        <w:rPr>
          <w:rStyle w:val="FootnoteReference"/>
          <w:rFonts w:ascii="Times New Roman" w:hAnsi="Times New Roman" w:cs="Times New Roman"/>
          <w:sz w:val="24"/>
          <w:szCs w:val="24"/>
        </w:rPr>
        <w:footnoteReference w:id="136"/>
      </w:r>
      <w:r w:rsidR="007B5D15">
        <w:rPr>
          <w:rFonts w:ascii="Times New Roman" w:hAnsi="Times New Roman" w:cs="Times New Roman"/>
          <w:sz w:val="24"/>
          <w:szCs w:val="24"/>
        </w:rPr>
        <w:t xml:space="preserve">  This is strengthened by the principle of </w:t>
      </w:r>
      <w:r w:rsidR="007B5D15" w:rsidRPr="001957EA">
        <w:rPr>
          <w:rFonts w:ascii="Times New Roman" w:hAnsi="Times New Roman" w:cs="Times New Roman"/>
          <w:i/>
          <w:sz w:val="24"/>
          <w:szCs w:val="24"/>
        </w:rPr>
        <w:t>non-refoulement</w:t>
      </w:r>
      <w:r w:rsidR="007B5D15">
        <w:rPr>
          <w:rFonts w:ascii="Times New Roman" w:hAnsi="Times New Roman" w:cs="Times New Roman"/>
          <w:sz w:val="24"/>
          <w:szCs w:val="24"/>
        </w:rPr>
        <w:t xml:space="preserve"> which can apply to cases where victims face the risk of re-trafficking, or other inhuman or degrading treatment upon return.</w:t>
      </w:r>
      <w:r w:rsidR="007B5D15">
        <w:rPr>
          <w:rStyle w:val="FootnoteReference"/>
          <w:rFonts w:ascii="Times New Roman" w:hAnsi="Times New Roman" w:cs="Times New Roman"/>
          <w:sz w:val="24"/>
          <w:szCs w:val="24"/>
        </w:rPr>
        <w:footnoteReference w:id="137"/>
      </w:r>
      <w:r w:rsidR="007B5D15">
        <w:rPr>
          <w:rFonts w:ascii="Times New Roman" w:hAnsi="Times New Roman" w:cs="Times New Roman"/>
          <w:sz w:val="24"/>
          <w:szCs w:val="24"/>
        </w:rPr>
        <w:t xml:space="preserve">  </w:t>
      </w:r>
      <w:r w:rsidR="00691AF8">
        <w:rPr>
          <w:rFonts w:ascii="Times New Roman" w:hAnsi="Times New Roman" w:cs="Times New Roman"/>
          <w:sz w:val="24"/>
          <w:szCs w:val="24"/>
        </w:rPr>
        <w:t>Further, protection measures should not be conditional upon victims</w:t>
      </w:r>
      <w:r w:rsidR="00F96F75">
        <w:rPr>
          <w:rFonts w:ascii="Times New Roman" w:hAnsi="Times New Roman" w:cs="Times New Roman"/>
          <w:sz w:val="24"/>
          <w:szCs w:val="24"/>
        </w:rPr>
        <w:t>’</w:t>
      </w:r>
      <w:r w:rsidR="00691AF8">
        <w:rPr>
          <w:rFonts w:ascii="Times New Roman" w:hAnsi="Times New Roman" w:cs="Times New Roman"/>
          <w:sz w:val="24"/>
          <w:szCs w:val="24"/>
        </w:rPr>
        <w:t xml:space="preserve"> participation in criminal proceedings against traffickers</w:t>
      </w:r>
      <w:r w:rsidR="001957EA">
        <w:rPr>
          <w:rFonts w:ascii="Times New Roman" w:hAnsi="Times New Roman" w:cs="Times New Roman"/>
          <w:sz w:val="24"/>
          <w:szCs w:val="24"/>
        </w:rPr>
        <w:t>,</w:t>
      </w:r>
      <w:r w:rsidR="00691AF8">
        <w:rPr>
          <w:rStyle w:val="FootnoteReference"/>
          <w:rFonts w:ascii="Times New Roman" w:hAnsi="Times New Roman" w:cs="Times New Roman"/>
          <w:sz w:val="24"/>
          <w:szCs w:val="24"/>
        </w:rPr>
        <w:footnoteReference w:id="138"/>
      </w:r>
      <w:r w:rsidR="001957EA">
        <w:rPr>
          <w:rFonts w:ascii="Times New Roman" w:hAnsi="Times New Roman" w:cs="Times New Roman"/>
          <w:sz w:val="24"/>
          <w:szCs w:val="24"/>
        </w:rPr>
        <w:t xml:space="preserve"> and they should not be penalised when they are forced to commit criminal offences as part of the trafficking process.</w:t>
      </w:r>
      <w:r w:rsidR="001957EA">
        <w:rPr>
          <w:rStyle w:val="FootnoteReference"/>
          <w:rFonts w:ascii="Times New Roman" w:hAnsi="Times New Roman" w:cs="Times New Roman"/>
          <w:sz w:val="24"/>
          <w:szCs w:val="24"/>
        </w:rPr>
        <w:footnoteReference w:id="139"/>
      </w:r>
      <w:r w:rsidR="00C9136B">
        <w:rPr>
          <w:rFonts w:ascii="Times New Roman" w:hAnsi="Times New Roman" w:cs="Times New Roman"/>
          <w:sz w:val="24"/>
          <w:szCs w:val="24"/>
        </w:rPr>
        <w:t xml:space="preserve">  </w:t>
      </w:r>
      <w:r w:rsidR="00FC5D42">
        <w:rPr>
          <w:rFonts w:ascii="Times New Roman" w:hAnsi="Times New Roman" w:cs="Times New Roman"/>
          <w:sz w:val="24"/>
          <w:szCs w:val="24"/>
        </w:rPr>
        <w:t xml:space="preserve">While these are </w:t>
      </w:r>
      <w:r w:rsidR="003F4B8B">
        <w:rPr>
          <w:rFonts w:ascii="Times New Roman" w:hAnsi="Times New Roman" w:cs="Times New Roman"/>
          <w:sz w:val="24"/>
          <w:szCs w:val="24"/>
        </w:rPr>
        <w:t>positive developments</w:t>
      </w:r>
      <w:r w:rsidR="0062454D">
        <w:rPr>
          <w:rFonts w:ascii="Times New Roman" w:hAnsi="Times New Roman" w:cs="Times New Roman"/>
          <w:sz w:val="24"/>
          <w:szCs w:val="24"/>
        </w:rPr>
        <w:t xml:space="preserve">, </w:t>
      </w:r>
      <w:r w:rsidR="00CD59B1">
        <w:rPr>
          <w:rFonts w:ascii="Times New Roman" w:hAnsi="Times New Roman" w:cs="Times New Roman"/>
          <w:sz w:val="24"/>
          <w:szCs w:val="24"/>
        </w:rPr>
        <w:t>the same norms and principles are yet to be applied rigorously to other forms of organised crime.  I</w:t>
      </w:r>
      <w:r w:rsidR="00214B25">
        <w:rPr>
          <w:rFonts w:ascii="Times New Roman" w:hAnsi="Times New Roman" w:cs="Times New Roman"/>
          <w:sz w:val="24"/>
          <w:szCs w:val="24"/>
        </w:rPr>
        <w:t>t is</w:t>
      </w:r>
      <w:r w:rsidR="00EE14E6">
        <w:rPr>
          <w:rFonts w:ascii="Times New Roman" w:hAnsi="Times New Roman" w:cs="Times New Roman"/>
          <w:sz w:val="24"/>
          <w:szCs w:val="24"/>
        </w:rPr>
        <w:t xml:space="preserve"> </w:t>
      </w:r>
      <w:r w:rsidR="00CD59B1">
        <w:rPr>
          <w:rFonts w:ascii="Times New Roman" w:hAnsi="Times New Roman" w:cs="Times New Roman"/>
          <w:sz w:val="24"/>
          <w:szCs w:val="24"/>
        </w:rPr>
        <w:t xml:space="preserve">therefore </w:t>
      </w:r>
      <w:r w:rsidR="00EE14E6">
        <w:rPr>
          <w:rFonts w:ascii="Times New Roman" w:hAnsi="Times New Roman" w:cs="Times New Roman"/>
          <w:sz w:val="24"/>
          <w:szCs w:val="24"/>
        </w:rPr>
        <w:t>essential</w:t>
      </w:r>
      <w:r w:rsidR="00214B25">
        <w:rPr>
          <w:rFonts w:ascii="Times New Roman" w:hAnsi="Times New Roman" w:cs="Times New Roman"/>
          <w:sz w:val="24"/>
          <w:szCs w:val="24"/>
        </w:rPr>
        <w:t xml:space="preserve"> that the</w:t>
      </w:r>
      <w:r w:rsidR="004D056A">
        <w:rPr>
          <w:rFonts w:ascii="Times New Roman" w:hAnsi="Times New Roman" w:cs="Times New Roman"/>
          <w:sz w:val="24"/>
          <w:szCs w:val="24"/>
        </w:rPr>
        <w:t xml:space="preserve"> human rights bodies </w:t>
      </w:r>
      <w:r w:rsidR="00CD59B1">
        <w:rPr>
          <w:rFonts w:ascii="Times New Roman" w:hAnsi="Times New Roman" w:cs="Times New Roman"/>
          <w:sz w:val="24"/>
          <w:szCs w:val="24"/>
        </w:rPr>
        <w:t xml:space="preserve">start doing so in order to widen the scope of protection to all victims of organised crime, </w:t>
      </w:r>
      <w:r w:rsidR="00E77508">
        <w:rPr>
          <w:rFonts w:ascii="Times New Roman" w:hAnsi="Times New Roman" w:cs="Times New Roman"/>
          <w:sz w:val="24"/>
          <w:szCs w:val="24"/>
        </w:rPr>
        <w:t xml:space="preserve">particularly </w:t>
      </w:r>
      <w:r w:rsidR="00214B25">
        <w:rPr>
          <w:rFonts w:ascii="Times New Roman" w:hAnsi="Times New Roman" w:cs="Times New Roman"/>
          <w:sz w:val="24"/>
          <w:szCs w:val="24"/>
        </w:rPr>
        <w:t xml:space="preserve">where </w:t>
      </w:r>
      <w:r w:rsidR="009C44D4">
        <w:rPr>
          <w:rFonts w:ascii="Times New Roman" w:hAnsi="Times New Roman" w:cs="Times New Roman"/>
          <w:sz w:val="24"/>
          <w:szCs w:val="24"/>
        </w:rPr>
        <w:t xml:space="preserve">their </w:t>
      </w:r>
      <w:r w:rsidR="00214B25">
        <w:rPr>
          <w:rFonts w:ascii="Times New Roman" w:hAnsi="Times New Roman" w:cs="Times New Roman"/>
          <w:sz w:val="24"/>
          <w:szCs w:val="24"/>
        </w:rPr>
        <w:t>physical and mental well-beings are severally affected.</w:t>
      </w:r>
      <w:r w:rsidR="00A503E1">
        <w:rPr>
          <w:rFonts w:ascii="Times New Roman" w:hAnsi="Times New Roman" w:cs="Times New Roman"/>
          <w:sz w:val="24"/>
          <w:szCs w:val="24"/>
        </w:rPr>
        <w:t xml:space="preserve"> </w:t>
      </w:r>
      <w:r w:rsidR="00214B25">
        <w:rPr>
          <w:rFonts w:ascii="Times New Roman" w:hAnsi="Times New Roman" w:cs="Times New Roman"/>
          <w:sz w:val="24"/>
          <w:szCs w:val="24"/>
        </w:rPr>
        <w:t xml:space="preserve">  </w:t>
      </w:r>
    </w:p>
    <w:p w:rsidR="00B34123" w:rsidRDefault="009E08C9" w:rsidP="00FA3D6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obligation to protect</w:t>
      </w:r>
      <w:r w:rsidR="009078E4">
        <w:rPr>
          <w:rFonts w:ascii="Times New Roman" w:hAnsi="Times New Roman" w:cs="Times New Roman"/>
          <w:sz w:val="24"/>
          <w:szCs w:val="24"/>
        </w:rPr>
        <w:t xml:space="preserve"> </w:t>
      </w:r>
      <w:r>
        <w:rPr>
          <w:rFonts w:ascii="Times New Roman" w:hAnsi="Times New Roman" w:cs="Times New Roman"/>
          <w:sz w:val="24"/>
          <w:szCs w:val="24"/>
        </w:rPr>
        <w:t xml:space="preserve">also arises </w:t>
      </w:r>
      <w:r w:rsidR="00F728F6">
        <w:rPr>
          <w:rFonts w:ascii="Times New Roman" w:hAnsi="Times New Roman" w:cs="Times New Roman"/>
          <w:sz w:val="24"/>
          <w:szCs w:val="24"/>
        </w:rPr>
        <w:t>from</w:t>
      </w:r>
      <w:r w:rsidR="009C2C0B">
        <w:rPr>
          <w:rFonts w:ascii="Times New Roman" w:hAnsi="Times New Roman" w:cs="Times New Roman"/>
          <w:sz w:val="24"/>
          <w:szCs w:val="24"/>
        </w:rPr>
        <w:t xml:space="preserve"> economic, social and cultural rights.</w:t>
      </w:r>
      <w:r w:rsidR="007C1C61">
        <w:rPr>
          <w:rFonts w:ascii="Times New Roman" w:hAnsi="Times New Roman" w:cs="Times New Roman"/>
          <w:sz w:val="24"/>
          <w:szCs w:val="24"/>
        </w:rPr>
        <w:t xml:space="preserve"> </w:t>
      </w:r>
      <w:r w:rsidR="005E2E08">
        <w:rPr>
          <w:rFonts w:ascii="Times New Roman" w:hAnsi="Times New Roman" w:cs="Times New Roman"/>
          <w:sz w:val="24"/>
          <w:szCs w:val="24"/>
        </w:rPr>
        <w:t xml:space="preserve"> In relation to </w:t>
      </w:r>
      <w:r w:rsidR="002E3926">
        <w:rPr>
          <w:rFonts w:ascii="Times New Roman" w:hAnsi="Times New Roman" w:cs="Times New Roman"/>
          <w:sz w:val="24"/>
          <w:szCs w:val="24"/>
        </w:rPr>
        <w:t>drug use and misuse</w:t>
      </w:r>
      <w:r w:rsidR="005E2E08">
        <w:rPr>
          <w:rFonts w:ascii="Times New Roman" w:hAnsi="Times New Roman" w:cs="Times New Roman"/>
          <w:sz w:val="24"/>
          <w:szCs w:val="24"/>
        </w:rPr>
        <w:t>, A</w:t>
      </w:r>
      <w:r w:rsidR="002E3926">
        <w:rPr>
          <w:rFonts w:ascii="Times New Roman" w:hAnsi="Times New Roman" w:cs="Times New Roman"/>
          <w:sz w:val="24"/>
          <w:szCs w:val="24"/>
        </w:rPr>
        <w:t xml:space="preserve">rticle 33 of the Convention on the Rights of the Child </w:t>
      </w:r>
      <w:r w:rsidR="00671B8E">
        <w:rPr>
          <w:rFonts w:ascii="Times New Roman" w:hAnsi="Times New Roman" w:cs="Times New Roman"/>
          <w:sz w:val="24"/>
          <w:szCs w:val="24"/>
        </w:rPr>
        <w:t>1989</w:t>
      </w:r>
      <w:r w:rsidR="00671B8E">
        <w:rPr>
          <w:rStyle w:val="FootnoteReference"/>
          <w:rFonts w:ascii="Times New Roman" w:hAnsi="Times New Roman" w:cs="Times New Roman"/>
          <w:sz w:val="24"/>
          <w:szCs w:val="24"/>
        </w:rPr>
        <w:footnoteReference w:id="140"/>
      </w:r>
      <w:r w:rsidR="00671B8E">
        <w:rPr>
          <w:rFonts w:ascii="Times New Roman" w:hAnsi="Times New Roman" w:cs="Times New Roman"/>
          <w:sz w:val="24"/>
          <w:szCs w:val="24"/>
        </w:rPr>
        <w:t xml:space="preserve"> </w:t>
      </w:r>
      <w:r w:rsidR="002E3926">
        <w:rPr>
          <w:rFonts w:ascii="Times New Roman" w:hAnsi="Times New Roman" w:cs="Times New Roman"/>
          <w:sz w:val="24"/>
          <w:szCs w:val="24"/>
        </w:rPr>
        <w:t>obli</w:t>
      </w:r>
      <w:r w:rsidR="008F7956">
        <w:rPr>
          <w:rFonts w:ascii="Times New Roman" w:hAnsi="Times New Roman" w:cs="Times New Roman"/>
          <w:sz w:val="24"/>
          <w:szCs w:val="24"/>
        </w:rPr>
        <w:t xml:space="preserve">ges </w:t>
      </w:r>
      <w:r w:rsidR="002E3926">
        <w:rPr>
          <w:rFonts w:ascii="Times New Roman" w:hAnsi="Times New Roman" w:cs="Times New Roman"/>
          <w:sz w:val="24"/>
          <w:szCs w:val="24"/>
        </w:rPr>
        <w:t>States to</w:t>
      </w:r>
      <w:r w:rsidR="00FA3D61">
        <w:rPr>
          <w:rFonts w:ascii="Times New Roman" w:hAnsi="Times New Roman" w:cs="Times New Roman"/>
          <w:sz w:val="24"/>
          <w:szCs w:val="24"/>
        </w:rPr>
        <w:t xml:space="preserve"> </w:t>
      </w:r>
      <w:r w:rsidR="00FA3D61" w:rsidRPr="00FA3D61">
        <w:rPr>
          <w:rFonts w:ascii="Times New Roman" w:hAnsi="Times New Roman" w:cs="Times New Roman"/>
          <w:sz w:val="24"/>
          <w:szCs w:val="24"/>
        </w:rPr>
        <w:t>“</w:t>
      </w:r>
      <w:r w:rsidR="002E3926" w:rsidRPr="00FA3D61">
        <w:rPr>
          <w:rFonts w:ascii="Times New Roman" w:hAnsi="Times New Roman" w:cs="Times New Roman"/>
          <w:sz w:val="24"/>
          <w:szCs w:val="24"/>
        </w:rPr>
        <w:t>take all appropriate measures, including legislative, administrative, social and educational measures, to protect children from the illicit use of narcotic drugs and psychotropic substances</w:t>
      </w:r>
      <w:r w:rsidR="007C1C61" w:rsidRPr="00FA3D61">
        <w:rPr>
          <w:rFonts w:ascii="Times New Roman" w:hAnsi="Times New Roman" w:cs="Times New Roman"/>
          <w:sz w:val="24"/>
          <w:szCs w:val="24"/>
        </w:rPr>
        <w:t>.</w:t>
      </w:r>
      <w:r w:rsidR="00FA3D61" w:rsidRPr="00FA3D61">
        <w:rPr>
          <w:rFonts w:ascii="Times New Roman" w:hAnsi="Times New Roman" w:cs="Times New Roman"/>
          <w:sz w:val="24"/>
          <w:szCs w:val="24"/>
        </w:rPr>
        <w:t>”</w:t>
      </w:r>
      <w:r w:rsidR="00FA3D61">
        <w:rPr>
          <w:rFonts w:ascii="Times New Roman" w:hAnsi="Times New Roman" w:cs="Times New Roman"/>
          <w:sz w:val="24"/>
          <w:szCs w:val="24"/>
        </w:rPr>
        <w:t xml:space="preserve">  </w:t>
      </w:r>
      <w:r w:rsidR="00C12DD6">
        <w:rPr>
          <w:rFonts w:ascii="Times New Roman" w:hAnsi="Times New Roman" w:cs="Times New Roman"/>
          <w:sz w:val="24"/>
          <w:szCs w:val="24"/>
        </w:rPr>
        <w:t>In examining this Article, the Committee on the Rights of the Child has</w:t>
      </w:r>
      <w:r w:rsidR="00391D8B">
        <w:rPr>
          <w:rFonts w:ascii="Times New Roman" w:hAnsi="Times New Roman" w:cs="Times New Roman"/>
          <w:sz w:val="24"/>
          <w:szCs w:val="24"/>
        </w:rPr>
        <w:t xml:space="preserve"> urged</w:t>
      </w:r>
      <w:r w:rsidR="00C12DD6">
        <w:rPr>
          <w:rFonts w:ascii="Times New Roman" w:hAnsi="Times New Roman" w:cs="Times New Roman"/>
          <w:sz w:val="24"/>
          <w:szCs w:val="24"/>
        </w:rPr>
        <w:t xml:space="preserve"> States </w:t>
      </w:r>
      <w:r w:rsidR="00391D8B">
        <w:rPr>
          <w:rFonts w:ascii="Times New Roman" w:hAnsi="Times New Roman" w:cs="Times New Roman"/>
          <w:sz w:val="24"/>
          <w:szCs w:val="24"/>
        </w:rPr>
        <w:t>to</w:t>
      </w:r>
      <w:r w:rsidR="00C12DD6">
        <w:rPr>
          <w:rFonts w:ascii="Times New Roman" w:hAnsi="Times New Roman" w:cs="Times New Roman"/>
          <w:sz w:val="24"/>
          <w:szCs w:val="24"/>
        </w:rPr>
        <w:t xml:space="preserve"> increase the availability of prevention, treatment and rehabilitati</w:t>
      </w:r>
      <w:r w:rsidR="00CD1031">
        <w:rPr>
          <w:rFonts w:ascii="Times New Roman" w:hAnsi="Times New Roman" w:cs="Times New Roman"/>
          <w:sz w:val="24"/>
          <w:szCs w:val="24"/>
        </w:rPr>
        <w:t>on services for substance abuse</w:t>
      </w:r>
      <w:r w:rsidR="00412A93">
        <w:rPr>
          <w:rFonts w:ascii="Times New Roman" w:hAnsi="Times New Roman" w:cs="Times New Roman"/>
          <w:sz w:val="24"/>
          <w:szCs w:val="24"/>
        </w:rPr>
        <w:t>,</w:t>
      </w:r>
      <w:r w:rsidR="00C12DD6">
        <w:rPr>
          <w:rStyle w:val="FootnoteReference"/>
          <w:rFonts w:ascii="Times New Roman" w:hAnsi="Times New Roman" w:cs="Times New Roman"/>
          <w:sz w:val="24"/>
          <w:szCs w:val="24"/>
        </w:rPr>
        <w:footnoteReference w:id="141"/>
      </w:r>
      <w:r w:rsidR="00CD1031">
        <w:rPr>
          <w:rFonts w:ascii="Times New Roman" w:hAnsi="Times New Roman" w:cs="Times New Roman"/>
          <w:sz w:val="24"/>
          <w:szCs w:val="24"/>
        </w:rPr>
        <w:t xml:space="preserve"> </w:t>
      </w:r>
      <w:r w:rsidR="002427A1">
        <w:rPr>
          <w:rFonts w:ascii="Times New Roman" w:hAnsi="Times New Roman" w:cs="Times New Roman"/>
          <w:sz w:val="24"/>
          <w:szCs w:val="24"/>
        </w:rPr>
        <w:t>c</w:t>
      </w:r>
      <w:r w:rsidR="00CD1031">
        <w:rPr>
          <w:rFonts w:ascii="Times New Roman" w:hAnsi="Times New Roman" w:cs="Times New Roman"/>
          <w:sz w:val="24"/>
          <w:szCs w:val="24"/>
        </w:rPr>
        <w:t xml:space="preserve">learly linking to </w:t>
      </w:r>
      <w:r w:rsidR="00412A93">
        <w:rPr>
          <w:rFonts w:ascii="Times New Roman" w:hAnsi="Times New Roman" w:cs="Times New Roman"/>
          <w:sz w:val="24"/>
          <w:szCs w:val="24"/>
        </w:rPr>
        <w:t xml:space="preserve">the </w:t>
      </w:r>
      <w:r w:rsidR="00CD1031">
        <w:rPr>
          <w:rFonts w:ascii="Times New Roman" w:hAnsi="Times New Roman" w:cs="Times New Roman"/>
          <w:sz w:val="24"/>
          <w:szCs w:val="24"/>
        </w:rPr>
        <w:t xml:space="preserve">protection of health. </w:t>
      </w:r>
      <w:r w:rsidR="00F662B0">
        <w:rPr>
          <w:rFonts w:ascii="Times New Roman" w:hAnsi="Times New Roman" w:cs="Times New Roman"/>
          <w:sz w:val="24"/>
          <w:szCs w:val="24"/>
        </w:rPr>
        <w:t xml:space="preserve">While this instrument is limited to children, the </w:t>
      </w:r>
      <w:r w:rsidR="00B54980">
        <w:rPr>
          <w:rFonts w:ascii="Times New Roman" w:hAnsi="Times New Roman" w:cs="Times New Roman"/>
          <w:sz w:val="24"/>
          <w:szCs w:val="24"/>
        </w:rPr>
        <w:t xml:space="preserve">principle of non-discrimination, an overarching principle for all human rights, </w:t>
      </w:r>
      <w:r w:rsidR="00B30700">
        <w:rPr>
          <w:rFonts w:ascii="Times New Roman" w:hAnsi="Times New Roman" w:cs="Times New Roman"/>
          <w:sz w:val="24"/>
          <w:szCs w:val="24"/>
        </w:rPr>
        <w:t xml:space="preserve">means that the same should apply to all drug users.  </w:t>
      </w:r>
      <w:r w:rsidR="00B34123">
        <w:rPr>
          <w:rFonts w:ascii="Times New Roman" w:hAnsi="Times New Roman" w:cs="Times New Roman"/>
          <w:sz w:val="24"/>
          <w:szCs w:val="24"/>
        </w:rPr>
        <w:t xml:space="preserve">In this regard, </w:t>
      </w:r>
      <w:r w:rsidR="00B30700">
        <w:rPr>
          <w:rFonts w:ascii="Times New Roman" w:hAnsi="Times New Roman" w:cs="Times New Roman"/>
          <w:sz w:val="24"/>
          <w:szCs w:val="24"/>
        </w:rPr>
        <w:t>t</w:t>
      </w:r>
      <w:r w:rsidR="009B5C15">
        <w:rPr>
          <w:rFonts w:ascii="Times New Roman" w:hAnsi="Times New Roman" w:cs="Times New Roman"/>
          <w:sz w:val="24"/>
          <w:szCs w:val="24"/>
        </w:rPr>
        <w:t>he Committee on Economic, Social and Cultural Rights stressed the need to ensure access to healthcare</w:t>
      </w:r>
      <w:r w:rsidR="005D12F9">
        <w:rPr>
          <w:rFonts w:ascii="Times New Roman" w:hAnsi="Times New Roman" w:cs="Times New Roman"/>
          <w:sz w:val="24"/>
          <w:szCs w:val="24"/>
        </w:rPr>
        <w:t xml:space="preserve"> (including </w:t>
      </w:r>
      <w:r w:rsidR="00873468">
        <w:rPr>
          <w:rFonts w:ascii="Times New Roman" w:hAnsi="Times New Roman" w:cs="Times New Roman"/>
          <w:sz w:val="24"/>
          <w:szCs w:val="24"/>
        </w:rPr>
        <w:t>dependency</w:t>
      </w:r>
      <w:r w:rsidR="00E35EF8">
        <w:rPr>
          <w:rFonts w:ascii="Times New Roman" w:hAnsi="Times New Roman" w:cs="Times New Roman"/>
          <w:sz w:val="24"/>
          <w:szCs w:val="24"/>
        </w:rPr>
        <w:t>/substitution</w:t>
      </w:r>
      <w:r w:rsidR="00873468">
        <w:rPr>
          <w:rFonts w:ascii="Times New Roman" w:hAnsi="Times New Roman" w:cs="Times New Roman"/>
          <w:sz w:val="24"/>
          <w:szCs w:val="24"/>
        </w:rPr>
        <w:t xml:space="preserve"> treatment</w:t>
      </w:r>
      <w:r w:rsidR="00E35EF8">
        <w:rPr>
          <w:rFonts w:ascii="Times New Roman" w:hAnsi="Times New Roman" w:cs="Times New Roman"/>
          <w:sz w:val="24"/>
          <w:szCs w:val="24"/>
        </w:rPr>
        <w:t>s</w:t>
      </w:r>
      <w:r w:rsidR="00873468">
        <w:rPr>
          <w:rFonts w:ascii="Times New Roman" w:hAnsi="Times New Roman" w:cs="Times New Roman"/>
          <w:sz w:val="24"/>
          <w:szCs w:val="24"/>
        </w:rPr>
        <w:t xml:space="preserve"> and </w:t>
      </w:r>
      <w:r w:rsidR="005D12F9">
        <w:rPr>
          <w:rFonts w:ascii="Times New Roman" w:hAnsi="Times New Roman" w:cs="Times New Roman"/>
          <w:sz w:val="24"/>
          <w:szCs w:val="24"/>
        </w:rPr>
        <w:t>harm reduction)</w:t>
      </w:r>
      <w:r w:rsidR="009B5C15">
        <w:rPr>
          <w:rFonts w:ascii="Times New Roman" w:hAnsi="Times New Roman" w:cs="Times New Roman"/>
          <w:sz w:val="24"/>
          <w:szCs w:val="24"/>
        </w:rPr>
        <w:t>,</w:t>
      </w:r>
      <w:r w:rsidR="005D12F9">
        <w:rPr>
          <w:rStyle w:val="FootnoteReference"/>
          <w:rFonts w:ascii="Times New Roman" w:hAnsi="Times New Roman" w:cs="Times New Roman"/>
          <w:sz w:val="24"/>
          <w:szCs w:val="24"/>
        </w:rPr>
        <w:footnoteReference w:id="142"/>
      </w:r>
      <w:r w:rsidR="009B5C15">
        <w:rPr>
          <w:rFonts w:ascii="Times New Roman" w:hAnsi="Times New Roman" w:cs="Times New Roman"/>
          <w:sz w:val="24"/>
          <w:szCs w:val="24"/>
        </w:rPr>
        <w:t xml:space="preserve"> psychological support and rehabilitation under the right to health</w:t>
      </w:r>
      <w:r w:rsidR="009B5C15">
        <w:rPr>
          <w:rStyle w:val="FootnoteReference"/>
          <w:rFonts w:ascii="Times New Roman" w:hAnsi="Times New Roman" w:cs="Times New Roman"/>
          <w:sz w:val="24"/>
          <w:szCs w:val="24"/>
        </w:rPr>
        <w:footnoteReference w:id="143"/>
      </w:r>
      <w:r w:rsidR="00B30700">
        <w:rPr>
          <w:rFonts w:ascii="Times New Roman" w:hAnsi="Times New Roman" w:cs="Times New Roman"/>
          <w:sz w:val="24"/>
          <w:szCs w:val="24"/>
        </w:rPr>
        <w:t xml:space="preserve"> without ma</w:t>
      </w:r>
      <w:r w:rsidR="00873468">
        <w:rPr>
          <w:rFonts w:ascii="Times New Roman" w:hAnsi="Times New Roman" w:cs="Times New Roman"/>
          <w:sz w:val="24"/>
          <w:szCs w:val="24"/>
        </w:rPr>
        <w:t>king</w:t>
      </w:r>
      <w:r w:rsidR="00B30700">
        <w:rPr>
          <w:rFonts w:ascii="Times New Roman" w:hAnsi="Times New Roman" w:cs="Times New Roman"/>
          <w:sz w:val="24"/>
          <w:szCs w:val="24"/>
        </w:rPr>
        <w:t xml:space="preserve"> any distinction as to who should be entitled to them.</w:t>
      </w:r>
      <w:r w:rsidR="00B34123">
        <w:rPr>
          <w:rFonts w:ascii="Times New Roman" w:hAnsi="Times New Roman" w:cs="Times New Roman"/>
          <w:sz w:val="24"/>
          <w:szCs w:val="24"/>
        </w:rPr>
        <w:t xml:space="preserve">  </w:t>
      </w:r>
    </w:p>
    <w:p w:rsidR="0069183E" w:rsidRDefault="0069183E" w:rsidP="00AE4B6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w:t>
      </w:r>
      <w:r w:rsidR="003039FD">
        <w:rPr>
          <w:rFonts w:ascii="Times New Roman" w:hAnsi="Times New Roman" w:cs="Times New Roman"/>
          <w:sz w:val="24"/>
          <w:szCs w:val="24"/>
        </w:rPr>
        <w:t xml:space="preserve">issue related to health </w:t>
      </w:r>
      <w:r>
        <w:rPr>
          <w:rFonts w:ascii="Times New Roman" w:hAnsi="Times New Roman" w:cs="Times New Roman"/>
          <w:sz w:val="24"/>
          <w:szCs w:val="24"/>
        </w:rPr>
        <w:t xml:space="preserve">is the adverse impact caused by dumping of hazardous wastes.  </w:t>
      </w:r>
      <w:r w:rsidR="0003596C">
        <w:rPr>
          <w:rFonts w:ascii="Times New Roman" w:hAnsi="Times New Roman" w:cs="Times New Roman"/>
          <w:sz w:val="24"/>
          <w:szCs w:val="24"/>
        </w:rPr>
        <w:t>To begin with, States are required to prevent non-State actors from polluting the environment,</w:t>
      </w:r>
      <w:r w:rsidR="0003596C">
        <w:rPr>
          <w:rStyle w:val="FootnoteReference"/>
          <w:rFonts w:ascii="Times New Roman" w:hAnsi="Times New Roman" w:cs="Times New Roman"/>
          <w:sz w:val="24"/>
          <w:szCs w:val="24"/>
        </w:rPr>
        <w:footnoteReference w:id="144"/>
      </w:r>
      <w:r w:rsidR="0003596C">
        <w:rPr>
          <w:rFonts w:ascii="Times New Roman" w:hAnsi="Times New Roman" w:cs="Times New Roman"/>
          <w:sz w:val="24"/>
          <w:szCs w:val="24"/>
        </w:rPr>
        <w:t xml:space="preserve"> </w:t>
      </w:r>
      <w:r w:rsidR="007E6A21">
        <w:rPr>
          <w:rFonts w:ascii="Times New Roman" w:hAnsi="Times New Roman" w:cs="Times New Roman"/>
          <w:sz w:val="24"/>
          <w:szCs w:val="24"/>
        </w:rPr>
        <w:t xml:space="preserve">and </w:t>
      </w:r>
      <w:r w:rsidR="00A063C9">
        <w:rPr>
          <w:rFonts w:ascii="Times New Roman" w:hAnsi="Times New Roman" w:cs="Times New Roman"/>
          <w:sz w:val="24"/>
          <w:szCs w:val="24"/>
        </w:rPr>
        <w:t>this applies to waste management.</w:t>
      </w:r>
      <w:r w:rsidR="00A063C9">
        <w:rPr>
          <w:rStyle w:val="FootnoteReference"/>
          <w:rFonts w:ascii="Times New Roman" w:hAnsi="Times New Roman" w:cs="Times New Roman"/>
          <w:sz w:val="24"/>
          <w:szCs w:val="24"/>
        </w:rPr>
        <w:footnoteReference w:id="145"/>
      </w:r>
      <w:r w:rsidR="00A063C9">
        <w:rPr>
          <w:rFonts w:ascii="Times New Roman" w:hAnsi="Times New Roman" w:cs="Times New Roman"/>
          <w:sz w:val="24"/>
          <w:szCs w:val="24"/>
        </w:rPr>
        <w:t xml:space="preserve">  </w:t>
      </w:r>
      <w:r w:rsidR="00447D59">
        <w:rPr>
          <w:rFonts w:ascii="Times New Roman" w:hAnsi="Times New Roman" w:cs="Times New Roman"/>
          <w:sz w:val="24"/>
          <w:szCs w:val="24"/>
        </w:rPr>
        <w:t xml:space="preserve">Linking this specifically </w:t>
      </w:r>
      <w:r w:rsidR="000665B7">
        <w:rPr>
          <w:rFonts w:ascii="Times New Roman" w:hAnsi="Times New Roman" w:cs="Times New Roman"/>
          <w:sz w:val="24"/>
          <w:szCs w:val="24"/>
        </w:rPr>
        <w:t>to the right to health, States</w:t>
      </w:r>
      <w:r w:rsidR="00956748">
        <w:rPr>
          <w:rFonts w:ascii="Times New Roman" w:hAnsi="Times New Roman" w:cs="Times New Roman"/>
          <w:sz w:val="24"/>
          <w:szCs w:val="24"/>
        </w:rPr>
        <w:t xml:space="preserve"> should</w:t>
      </w:r>
      <w:r w:rsidR="000665B7">
        <w:rPr>
          <w:rFonts w:ascii="Times New Roman" w:hAnsi="Times New Roman" w:cs="Times New Roman"/>
          <w:sz w:val="24"/>
          <w:szCs w:val="24"/>
        </w:rPr>
        <w:t xml:space="preserve"> protect those within their jurisdictions </w:t>
      </w:r>
      <w:r w:rsidR="002C7031">
        <w:rPr>
          <w:rFonts w:ascii="Times New Roman" w:hAnsi="Times New Roman" w:cs="Times New Roman"/>
          <w:sz w:val="24"/>
          <w:szCs w:val="24"/>
        </w:rPr>
        <w:t xml:space="preserve">from toxic chemicals, </w:t>
      </w:r>
      <w:r w:rsidR="002C7031">
        <w:rPr>
          <w:rFonts w:ascii="Times New Roman" w:hAnsi="Times New Roman" w:cs="Times New Roman"/>
          <w:sz w:val="24"/>
          <w:szCs w:val="24"/>
        </w:rPr>
        <w:lastRenderedPageBreak/>
        <w:t>pollution and contamination.</w:t>
      </w:r>
      <w:r w:rsidR="002C7031">
        <w:rPr>
          <w:rStyle w:val="FootnoteReference"/>
          <w:rFonts w:ascii="Times New Roman" w:hAnsi="Times New Roman" w:cs="Times New Roman"/>
          <w:sz w:val="24"/>
          <w:szCs w:val="24"/>
        </w:rPr>
        <w:footnoteReference w:id="146"/>
      </w:r>
      <w:r w:rsidR="002C7031">
        <w:rPr>
          <w:rFonts w:ascii="Times New Roman" w:hAnsi="Times New Roman" w:cs="Times New Roman"/>
          <w:sz w:val="24"/>
          <w:szCs w:val="24"/>
        </w:rPr>
        <w:t xml:space="preserve">   </w:t>
      </w:r>
      <w:r w:rsidR="00686550">
        <w:rPr>
          <w:rFonts w:ascii="Times New Roman" w:hAnsi="Times New Roman" w:cs="Times New Roman"/>
          <w:sz w:val="24"/>
          <w:szCs w:val="24"/>
        </w:rPr>
        <w:t>T</w:t>
      </w:r>
      <w:r w:rsidR="002C7031">
        <w:rPr>
          <w:rFonts w:ascii="Times New Roman" w:hAnsi="Times New Roman" w:cs="Times New Roman"/>
          <w:sz w:val="24"/>
          <w:szCs w:val="24"/>
        </w:rPr>
        <w:t>he same obligation can be placed under the prohibition on inhuman or degrading treatment provided for by international and regional instruments</w:t>
      </w:r>
      <w:r w:rsidR="00A65BD8">
        <w:rPr>
          <w:rFonts w:ascii="Times New Roman" w:hAnsi="Times New Roman" w:cs="Times New Roman"/>
          <w:sz w:val="24"/>
          <w:szCs w:val="24"/>
        </w:rPr>
        <w:t>,</w:t>
      </w:r>
      <w:r w:rsidR="002C7031">
        <w:rPr>
          <w:rStyle w:val="FootnoteReference"/>
          <w:rFonts w:ascii="Times New Roman" w:hAnsi="Times New Roman" w:cs="Times New Roman"/>
          <w:sz w:val="24"/>
          <w:szCs w:val="24"/>
        </w:rPr>
        <w:footnoteReference w:id="147"/>
      </w:r>
      <w:r w:rsidR="002C7031">
        <w:rPr>
          <w:rFonts w:ascii="Times New Roman" w:hAnsi="Times New Roman" w:cs="Times New Roman"/>
          <w:sz w:val="24"/>
          <w:szCs w:val="24"/>
        </w:rPr>
        <w:t xml:space="preserve"> </w:t>
      </w:r>
      <w:r w:rsidR="00A65BD8">
        <w:rPr>
          <w:rFonts w:ascii="Times New Roman" w:hAnsi="Times New Roman" w:cs="Times New Roman"/>
          <w:sz w:val="24"/>
          <w:szCs w:val="24"/>
        </w:rPr>
        <w:t>thereby underscoring the principle of interdependence and indivisibility of human rights.</w:t>
      </w:r>
      <w:r w:rsidR="002C7031">
        <w:rPr>
          <w:rFonts w:ascii="Times New Roman" w:hAnsi="Times New Roman" w:cs="Times New Roman"/>
          <w:sz w:val="24"/>
          <w:szCs w:val="24"/>
        </w:rPr>
        <w:t xml:space="preserve"> </w:t>
      </w:r>
      <w:r w:rsidR="00A65BD8">
        <w:rPr>
          <w:rFonts w:ascii="Times New Roman" w:hAnsi="Times New Roman" w:cs="Times New Roman"/>
          <w:sz w:val="24"/>
          <w:szCs w:val="24"/>
        </w:rPr>
        <w:t xml:space="preserve"> </w:t>
      </w:r>
      <w:r w:rsidR="00A063C9">
        <w:rPr>
          <w:rFonts w:ascii="Times New Roman" w:hAnsi="Times New Roman" w:cs="Times New Roman"/>
          <w:sz w:val="24"/>
          <w:szCs w:val="24"/>
        </w:rPr>
        <w:t xml:space="preserve">An essential starting point, then, is </w:t>
      </w:r>
      <w:r w:rsidR="0003596C">
        <w:rPr>
          <w:rFonts w:ascii="Times New Roman" w:hAnsi="Times New Roman" w:cs="Times New Roman"/>
          <w:sz w:val="24"/>
          <w:szCs w:val="24"/>
        </w:rPr>
        <w:t xml:space="preserve">to establish a legislative framework to criminalise dumping of hazardous wastes with </w:t>
      </w:r>
      <w:proofErr w:type="gramStart"/>
      <w:r w:rsidR="0003596C">
        <w:rPr>
          <w:rFonts w:ascii="Times New Roman" w:hAnsi="Times New Roman" w:cs="Times New Roman"/>
          <w:sz w:val="24"/>
          <w:szCs w:val="24"/>
        </w:rPr>
        <w:t>sufficient</w:t>
      </w:r>
      <w:proofErr w:type="gramEnd"/>
      <w:r w:rsidR="0003596C">
        <w:rPr>
          <w:rFonts w:ascii="Times New Roman" w:hAnsi="Times New Roman" w:cs="Times New Roman"/>
          <w:sz w:val="24"/>
          <w:szCs w:val="24"/>
        </w:rPr>
        <w:t xml:space="preserve"> penalties in line with the obligation</w:t>
      </w:r>
      <w:r w:rsidR="005B197C">
        <w:rPr>
          <w:rFonts w:ascii="Times New Roman" w:hAnsi="Times New Roman" w:cs="Times New Roman"/>
          <w:sz w:val="24"/>
          <w:szCs w:val="24"/>
        </w:rPr>
        <w:t>s</w:t>
      </w:r>
      <w:r w:rsidR="0003596C">
        <w:rPr>
          <w:rFonts w:ascii="Times New Roman" w:hAnsi="Times New Roman" w:cs="Times New Roman"/>
          <w:sz w:val="24"/>
          <w:szCs w:val="24"/>
        </w:rPr>
        <w:t xml:space="preserve"> to investigate, prosecute and punish noted above.  </w:t>
      </w:r>
      <w:r>
        <w:rPr>
          <w:rFonts w:ascii="Times New Roman" w:hAnsi="Times New Roman" w:cs="Times New Roman"/>
          <w:sz w:val="24"/>
          <w:szCs w:val="24"/>
        </w:rPr>
        <w:t xml:space="preserve"> States </w:t>
      </w:r>
      <w:r w:rsidR="0003596C">
        <w:rPr>
          <w:rFonts w:ascii="Times New Roman" w:hAnsi="Times New Roman" w:cs="Times New Roman"/>
          <w:sz w:val="24"/>
          <w:szCs w:val="24"/>
        </w:rPr>
        <w:t xml:space="preserve">also </w:t>
      </w:r>
      <w:r>
        <w:rPr>
          <w:rFonts w:ascii="Times New Roman" w:hAnsi="Times New Roman" w:cs="Times New Roman"/>
          <w:sz w:val="24"/>
          <w:szCs w:val="24"/>
        </w:rPr>
        <w:t xml:space="preserve">have </w:t>
      </w:r>
      <w:r w:rsidR="004726E6">
        <w:rPr>
          <w:rFonts w:ascii="Times New Roman" w:hAnsi="Times New Roman" w:cs="Times New Roman"/>
          <w:sz w:val="24"/>
          <w:szCs w:val="24"/>
        </w:rPr>
        <w:t xml:space="preserve">a duty </w:t>
      </w:r>
      <w:r>
        <w:rPr>
          <w:rFonts w:ascii="Times New Roman" w:hAnsi="Times New Roman" w:cs="Times New Roman"/>
          <w:sz w:val="24"/>
          <w:szCs w:val="24"/>
        </w:rPr>
        <w:t xml:space="preserve">to </w:t>
      </w:r>
      <w:r w:rsidR="00AE4B60">
        <w:rPr>
          <w:rFonts w:ascii="Times New Roman" w:hAnsi="Times New Roman" w:cs="Times New Roman"/>
          <w:sz w:val="24"/>
          <w:szCs w:val="24"/>
        </w:rPr>
        <w:t>“</w:t>
      </w:r>
      <w:r>
        <w:rPr>
          <w:rFonts w:ascii="Times New Roman" w:hAnsi="Times New Roman" w:cs="Times New Roman"/>
          <w:sz w:val="24"/>
          <w:szCs w:val="24"/>
        </w:rPr>
        <w:t>assist individuals whose human rights have been impacted by environmental harms,</w:t>
      </w:r>
      <w:r w:rsidR="00AE4B60">
        <w:rPr>
          <w:rFonts w:ascii="Times New Roman" w:hAnsi="Times New Roman" w:cs="Times New Roman"/>
          <w:sz w:val="24"/>
          <w:szCs w:val="24"/>
        </w:rPr>
        <w:t>”</w:t>
      </w:r>
      <w:r>
        <w:rPr>
          <w:rFonts w:ascii="Times New Roman" w:hAnsi="Times New Roman" w:cs="Times New Roman"/>
          <w:sz w:val="24"/>
          <w:szCs w:val="24"/>
        </w:rPr>
        <w:t xml:space="preserve"> and measures in this regard may include, but are not limited</w:t>
      </w:r>
      <w:r w:rsidR="00F61709">
        <w:rPr>
          <w:rFonts w:ascii="Times New Roman" w:hAnsi="Times New Roman" w:cs="Times New Roman"/>
          <w:sz w:val="24"/>
          <w:szCs w:val="24"/>
        </w:rPr>
        <w:t xml:space="preserve"> to</w:t>
      </w:r>
      <w:r>
        <w:rPr>
          <w:rFonts w:ascii="Times New Roman" w:hAnsi="Times New Roman" w:cs="Times New Roman"/>
          <w:sz w:val="24"/>
          <w:szCs w:val="24"/>
        </w:rPr>
        <w:t>, special assistance and medical care</w:t>
      </w:r>
      <w:r w:rsidR="00AE4B60">
        <w:rPr>
          <w:rFonts w:ascii="Times New Roman" w:hAnsi="Times New Roman" w:cs="Times New Roman"/>
          <w:sz w:val="24"/>
          <w:szCs w:val="24"/>
        </w:rPr>
        <w:t xml:space="preserve">, as well as </w:t>
      </w:r>
      <w:r>
        <w:rPr>
          <w:rFonts w:ascii="Times New Roman" w:hAnsi="Times New Roman" w:cs="Times New Roman"/>
          <w:sz w:val="24"/>
          <w:szCs w:val="24"/>
        </w:rPr>
        <w:t>disposal of contaminated products.</w:t>
      </w:r>
      <w:r>
        <w:rPr>
          <w:rStyle w:val="FootnoteReference"/>
          <w:rFonts w:ascii="Times New Roman" w:hAnsi="Times New Roman" w:cs="Times New Roman"/>
          <w:sz w:val="24"/>
          <w:szCs w:val="24"/>
        </w:rPr>
        <w:footnoteReference w:id="148"/>
      </w:r>
      <w:r>
        <w:rPr>
          <w:rFonts w:ascii="Times New Roman" w:hAnsi="Times New Roman" w:cs="Times New Roman"/>
          <w:sz w:val="24"/>
          <w:szCs w:val="24"/>
        </w:rPr>
        <w:t xml:space="preserve">   Further, </w:t>
      </w:r>
      <w:r w:rsidR="0003596C">
        <w:rPr>
          <w:rFonts w:ascii="Times New Roman" w:hAnsi="Times New Roman" w:cs="Times New Roman"/>
          <w:sz w:val="24"/>
          <w:szCs w:val="24"/>
        </w:rPr>
        <w:t>they</w:t>
      </w:r>
      <w:r>
        <w:rPr>
          <w:rFonts w:ascii="Times New Roman" w:hAnsi="Times New Roman" w:cs="Times New Roman"/>
          <w:sz w:val="24"/>
          <w:szCs w:val="24"/>
        </w:rPr>
        <w:t xml:space="preserve"> </w:t>
      </w:r>
      <w:r w:rsidR="00F61709">
        <w:rPr>
          <w:rFonts w:ascii="Times New Roman" w:hAnsi="Times New Roman" w:cs="Times New Roman"/>
          <w:sz w:val="24"/>
          <w:szCs w:val="24"/>
        </w:rPr>
        <w:t>should</w:t>
      </w:r>
      <w:r>
        <w:rPr>
          <w:rFonts w:ascii="Times New Roman" w:hAnsi="Times New Roman" w:cs="Times New Roman"/>
          <w:sz w:val="24"/>
          <w:szCs w:val="24"/>
        </w:rPr>
        <w:t xml:space="preserve"> provide sufficient awareness-raising and information on the </w:t>
      </w:r>
      <w:r w:rsidR="0003596C">
        <w:rPr>
          <w:rFonts w:ascii="Times New Roman" w:hAnsi="Times New Roman" w:cs="Times New Roman"/>
          <w:sz w:val="24"/>
          <w:szCs w:val="24"/>
        </w:rPr>
        <w:t xml:space="preserve">presence and </w:t>
      </w:r>
      <w:r>
        <w:rPr>
          <w:rFonts w:ascii="Times New Roman" w:hAnsi="Times New Roman" w:cs="Times New Roman"/>
          <w:sz w:val="24"/>
          <w:szCs w:val="24"/>
        </w:rPr>
        <w:t xml:space="preserve">risks </w:t>
      </w:r>
      <w:r w:rsidR="0003596C">
        <w:rPr>
          <w:rFonts w:ascii="Times New Roman" w:hAnsi="Times New Roman" w:cs="Times New Roman"/>
          <w:sz w:val="24"/>
          <w:szCs w:val="24"/>
        </w:rPr>
        <w:t>of toxic substances.</w:t>
      </w:r>
      <w:r w:rsidR="0003596C">
        <w:rPr>
          <w:rStyle w:val="FootnoteReference"/>
          <w:rFonts w:ascii="Times New Roman" w:hAnsi="Times New Roman" w:cs="Times New Roman"/>
          <w:sz w:val="24"/>
          <w:szCs w:val="24"/>
        </w:rPr>
        <w:footnoteReference w:id="149"/>
      </w:r>
      <w:r>
        <w:rPr>
          <w:rFonts w:ascii="Times New Roman" w:hAnsi="Times New Roman" w:cs="Times New Roman"/>
          <w:sz w:val="24"/>
          <w:szCs w:val="24"/>
        </w:rPr>
        <w:t xml:space="preserve">  </w:t>
      </w:r>
      <w:r w:rsidR="009215D0">
        <w:rPr>
          <w:rFonts w:ascii="Times New Roman" w:hAnsi="Times New Roman" w:cs="Times New Roman"/>
          <w:sz w:val="24"/>
          <w:szCs w:val="24"/>
        </w:rPr>
        <w:t>Finally, victims should be granted effective remedies and restitution</w:t>
      </w:r>
      <w:r w:rsidR="009215D0">
        <w:rPr>
          <w:rStyle w:val="FootnoteReference"/>
          <w:rFonts w:ascii="Times New Roman" w:hAnsi="Times New Roman" w:cs="Times New Roman"/>
          <w:sz w:val="24"/>
          <w:szCs w:val="24"/>
        </w:rPr>
        <w:footnoteReference w:id="150"/>
      </w:r>
      <w:r w:rsidR="00583272">
        <w:rPr>
          <w:rFonts w:ascii="Times New Roman" w:hAnsi="Times New Roman" w:cs="Times New Roman"/>
          <w:sz w:val="24"/>
          <w:szCs w:val="24"/>
        </w:rPr>
        <w:t xml:space="preserve"> in the same way as other instances of human rights violations.  </w:t>
      </w:r>
    </w:p>
    <w:p w:rsidR="00C03B19" w:rsidRDefault="00353BCC" w:rsidP="00C03B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w:t>
      </w:r>
      <w:r w:rsidR="00C03B19">
        <w:rPr>
          <w:rFonts w:ascii="Times New Roman" w:hAnsi="Times New Roman" w:cs="Times New Roman"/>
          <w:sz w:val="24"/>
          <w:szCs w:val="24"/>
        </w:rPr>
        <w:t>States must protect cultur</w:t>
      </w:r>
      <w:r w:rsidR="004611B3">
        <w:rPr>
          <w:rFonts w:ascii="Times New Roman" w:hAnsi="Times New Roman" w:cs="Times New Roman"/>
          <w:sz w:val="24"/>
          <w:szCs w:val="24"/>
        </w:rPr>
        <w:t>al</w:t>
      </w:r>
      <w:r w:rsidR="005D79BE">
        <w:rPr>
          <w:rFonts w:ascii="Times New Roman" w:hAnsi="Times New Roman" w:cs="Times New Roman"/>
          <w:sz w:val="24"/>
          <w:szCs w:val="24"/>
        </w:rPr>
        <w:t xml:space="preserve"> property and</w:t>
      </w:r>
      <w:r w:rsidR="00783554">
        <w:rPr>
          <w:rFonts w:ascii="Times New Roman" w:hAnsi="Times New Roman" w:cs="Times New Roman"/>
          <w:sz w:val="24"/>
          <w:szCs w:val="24"/>
        </w:rPr>
        <w:t xml:space="preserve"> heritage </w:t>
      </w:r>
      <w:r w:rsidR="00C03B19">
        <w:rPr>
          <w:rFonts w:ascii="Times New Roman" w:hAnsi="Times New Roman" w:cs="Times New Roman"/>
          <w:sz w:val="24"/>
          <w:szCs w:val="24"/>
        </w:rPr>
        <w:t xml:space="preserve">from being destroyed </w:t>
      </w:r>
      <w:r w:rsidR="00AC7AA4">
        <w:rPr>
          <w:rFonts w:ascii="Times New Roman" w:hAnsi="Times New Roman" w:cs="Times New Roman"/>
          <w:sz w:val="24"/>
          <w:szCs w:val="24"/>
        </w:rPr>
        <w:t>and/or stolen</w:t>
      </w:r>
      <w:r w:rsidR="00C03B19">
        <w:rPr>
          <w:rFonts w:ascii="Times New Roman" w:hAnsi="Times New Roman" w:cs="Times New Roman"/>
          <w:sz w:val="24"/>
          <w:szCs w:val="24"/>
        </w:rPr>
        <w:t>.  The Committee on Economic, Social and Cultural Rights has made it clear that States are obliged to protect cultural heritage in all its forms, in times of war and peace and natural disasters.</w:t>
      </w:r>
      <w:r w:rsidR="00DD2717">
        <w:rPr>
          <w:rStyle w:val="FootnoteReference"/>
          <w:rFonts w:ascii="Times New Roman" w:hAnsi="Times New Roman" w:cs="Times New Roman"/>
          <w:sz w:val="24"/>
          <w:szCs w:val="24"/>
        </w:rPr>
        <w:footnoteReference w:id="151"/>
      </w:r>
      <w:r w:rsidR="00C03B19">
        <w:rPr>
          <w:rFonts w:ascii="Times New Roman" w:hAnsi="Times New Roman" w:cs="Times New Roman"/>
          <w:sz w:val="24"/>
          <w:szCs w:val="24"/>
        </w:rPr>
        <w:t xml:space="preserve"> </w:t>
      </w:r>
      <w:r w:rsidR="00E60D25">
        <w:rPr>
          <w:rFonts w:ascii="Times New Roman" w:hAnsi="Times New Roman" w:cs="Times New Roman"/>
          <w:sz w:val="24"/>
          <w:szCs w:val="24"/>
        </w:rPr>
        <w:t>In addition to enacting legislation prohibiting illegal exploitation and trafficking of cultural heritage,  additional</w:t>
      </w:r>
      <w:r w:rsidR="00C03B19">
        <w:rPr>
          <w:rFonts w:ascii="Times New Roman" w:hAnsi="Times New Roman" w:cs="Times New Roman"/>
          <w:sz w:val="24"/>
          <w:szCs w:val="24"/>
        </w:rPr>
        <w:t xml:space="preserve"> measures to be taken </w:t>
      </w:r>
      <w:r w:rsidR="003E18EE">
        <w:rPr>
          <w:rFonts w:ascii="Times New Roman" w:hAnsi="Times New Roman" w:cs="Times New Roman"/>
          <w:sz w:val="24"/>
          <w:szCs w:val="24"/>
        </w:rPr>
        <w:t>here</w:t>
      </w:r>
      <w:r w:rsidR="00737800">
        <w:rPr>
          <w:rFonts w:ascii="Times New Roman" w:hAnsi="Times New Roman" w:cs="Times New Roman"/>
          <w:sz w:val="24"/>
          <w:szCs w:val="24"/>
        </w:rPr>
        <w:t xml:space="preserve"> i</w:t>
      </w:r>
      <w:r w:rsidR="00C03B19">
        <w:rPr>
          <w:rFonts w:ascii="Times New Roman" w:hAnsi="Times New Roman" w:cs="Times New Roman"/>
          <w:sz w:val="24"/>
          <w:szCs w:val="24"/>
        </w:rPr>
        <w:t>nclude</w:t>
      </w:r>
      <w:r w:rsidR="005F548D">
        <w:rPr>
          <w:rFonts w:ascii="Times New Roman" w:hAnsi="Times New Roman" w:cs="Times New Roman"/>
          <w:sz w:val="24"/>
          <w:szCs w:val="24"/>
        </w:rPr>
        <w:t xml:space="preserve"> </w:t>
      </w:r>
      <w:r w:rsidR="00C03B19">
        <w:rPr>
          <w:rFonts w:ascii="Times New Roman" w:hAnsi="Times New Roman" w:cs="Times New Roman"/>
          <w:sz w:val="24"/>
          <w:szCs w:val="24"/>
        </w:rPr>
        <w:t>preservation</w:t>
      </w:r>
      <w:r w:rsidR="00BD5DE7">
        <w:rPr>
          <w:rFonts w:ascii="Times New Roman" w:hAnsi="Times New Roman" w:cs="Times New Roman"/>
          <w:sz w:val="24"/>
          <w:szCs w:val="24"/>
        </w:rPr>
        <w:t xml:space="preserve"> and</w:t>
      </w:r>
      <w:r w:rsidR="00C30455">
        <w:rPr>
          <w:rFonts w:ascii="Times New Roman" w:hAnsi="Times New Roman" w:cs="Times New Roman"/>
          <w:sz w:val="24"/>
          <w:szCs w:val="24"/>
        </w:rPr>
        <w:t>/or</w:t>
      </w:r>
      <w:r w:rsidR="00C03B19">
        <w:rPr>
          <w:rFonts w:ascii="Times New Roman" w:hAnsi="Times New Roman" w:cs="Times New Roman"/>
          <w:sz w:val="24"/>
          <w:szCs w:val="24"/>
        </w:rPr>
        <w:t xml:space="preserve"> restoration of cultural </w:t>
      </w:r>
      <w:r w:rsidR="00885853">
        <w:rPr>
          <w:rFonts w:ascii="Times New Roman" w:hAnsi="Times New Roman" w:cs="Times New Roman"/>
          <w:sz w:val="24"/>
          <w:szCs w:val="24"/>
        </w:rPr>
        <w:t xml:space="preserve">property and </w:t>
      </w:r>
      <w:r w:rsidR="00C03B19">
        <w:rPr>
          <w:rFonts w:ascii="Times New Roman" w:hAnsi="Times New Roman" w:cs="Times New Roman"/>
          <w:sz w:val="24"/>
          <w:szCs w:val="24"/>
        </w:rPr>
        <w:t>heritage.</w:t>
      </w:r>
      <w:r w:rsidR="00C03B19">
        <w:rPr>
          <w:rStyle w:val="FootnoteReference"/>
          <w:rFonts w:ascii="Times New Roman" w:hAnsi="Times New Roman" w:cs="Times New Roman"/>
          <w:sz w:val="24"/>
          <w:szCs w:val="24"/>
        </w:rPr>
        <w:footnoteReference w:id="152"/>
      </w:r>
      <w:r w:rsidR="00C03B19">
        <w:rPr>
          <w:rFonts w:ascii="Times New Roman" w:hAnsi="Times New Roman" w:cs="Times New Roman"/>
          <w:sz w:val="24"/>
          <w:szCs w:val="24"/>
        </w:rPr>
        <w:t xml:space="preserve"> </w:t>
      </w:r>
      <w:r w:rsidR="0052115B">
        <w:rPr>
          <w:rFonts w:ascii="Times New Roman" w:hAnsi="Times New Roman" w:cs="Times New Roman"/>
          <w:sz w:val="24"/>
          <w:szCs w:val="24"/>
        </w:rPr>
        <w:t xml:space="preserve">The </w:t>
      </w:r>
      <w:r w:rsidR="00C03B19">
        <w:rPr>
          <w:rFonts w:ascii="Times New Roman" w:hAnsi="Times New Roman" w:cs="Times New Roman"/>
          <w:sz w:val="24"/>
          <w:szCs w:val="24"/>
        </w:rPr>
        <w:t xml:space="preserve">establishment of </w:t>
      </w:r>
      <w:r w:rsidR="0052115B">
        <w:rPr>
          <w:rFonts w:ascii="Times New Roman" w:hAnsi="Times New Roman" w:cs="Times New Roman"/>
          <w:sz w:val="24"/>
          <w:szCs w:val="24"/>
        </w:rPr>
        <w:t xml:space="preserve">independent mechanisms to deal with </w:t>
      </w:r>
      <w:r w:rsidR="00C03B19">
        <w:rPr>
          <w:rFonts w:ascii="Times New Roman" w:hAnsi="Times New Roman" w:cs="Times New Roman"/>
          <w:sz w:val="24"/>
          <w:szCs w:val="24"/>
        </w:rPr>
        <w:t>illegal practices</w:t>
      </w:r>
      <w:r w:rsidR="0052115B">
        <w:rPr>
          <w:rFonts w:ascii="Times New Roman" w:hAnsi="Times New Roman" w:cs="Times New Roman"/>
          <w:sz w:val="24"/>
          <w:szCs w:val="24"/>
        </w:rPr>
        <w:t xml:space="preserve"> was also regarded as beneficial.</w:t>
      </w:r>
      <w:r w:rsidR="0052115B">
        <w:rPr>
          <w:rStyle w:val="FootnoteReference"/>
          <w:rFonts w:ascii="Times New Roman" w:hAnsi="Times New Roman" w:cs="Times New Roman"/>
          <w:sz w:val="24"/>
          <w:szCs w:val="24"/>
        </w:rPr>
        <w:footnoteReference w:id="153"/>
      </w:r>
      <w:r w:rsidR="00FB6B6D">
        <w:rPr>
          <w:rFonts w:ascii="Times New Roman" w:hAnsi="Times New Roman" w:cs="Times New Roman"/>
          <w:sz w:val="24"/>
          <w:szCs w:val="24"/>
        </w:rPr>
        <w:t xml:space="preserve"> </w:t>
      </w:r>
      <w:r w:rsidR="00C03B19">
        <w:rPr>
          <w:rFonts w:ascii="Times New Roman" w:hAnsi="Times New Roman" w:cs="Times New Roman"/>
          <w:sz w:val="24"/>
          <w:szCs w:val="24"/>
        </w:rPr>
        <w:t xml:space="preserve"> </w:t>
      </w:r>
      <w:r w:rsidR="000D1454">
        <w:rPr>
          <w:rFonts w:ascii="Times New Roman" w:hAnsi="Times New Roman" w:cs="Times New Roman"/>
          <w:sz w:val="24"/>
          <w:szCs w:val="24"/>
        </w:rPr>
        <w:t xml:space="preserve">Moreover, </w:t>
      </w:r>
      <w:r w:rsidR="000D1454">
        <w:rPr>
          <w:rFonts w:ascii="Times New Roman" w:hAnsi="Times New Roman" w:cs="Times New Roman"/>
          <w:sz w:val="24"/>
          <w:szCs w:val="24"/>
        </w:rPr>
        <w:lastRenderedPageBreak/>
        <w:t>States must “take effective steps to ensure that there is appropriate education and awareness-raising concerning the right to take part in cultural life” which would also focus on “the need to respect cultural heritage.”</w:t>
      </w:r>
      <w:r w:rsidR="000D1454">
        <w:rPr>
          <w:rStyle w:val="FootnoteReference"/>
          <w:rFonts w:ascii="Times New Roman" w:hAnsi="Times New Roman" w:cs="Times New Roman"/>
          <w:sz w:val="24"/>
          <w:szCs w:val="24"/>
        </w:rPr>
        <w:footnoteReference w:id="154"/>
      </w:r>
      <w:r w:rsidR="000D1454">
        <w:rPr>
          <w:rFonts w:ascii="Times New Roman" w:hAnsi="Times New Roman" w:cs="Times New Roman"/>
          <w:sz w:val="24"/>
          <w:szCs w:val="24"/>
        </w:rPr>
        <w:t xml:space="preserve"> </w:t>
      </w:r>
      <w:r w:rsidR="00EB58C0">
        <w:rPr>
          <w:rFonts w:ascii="Times New Roman" w:hAnsi="Times New Roman" w:cs="Times New Roman"/>
          <w:sz w:val="24"/>
          <w:szCs w:val="24"/>
        </w:rPr>
        <w:t xml:space="preserve">It is important to highlight here that the human rights obligation extends beyond protection of physical and mental well-being of people affected.  </w:t>
      </w:r>
    </w:p>
    <w:p w:rsidR="006F122D" w:rsidRDefault="00FB6B6D" w:rsidP="006F122D">
      <w:pPr>
        <w:pStyle w:val="NormalWeb"/>
        <w:spacing w:line="480" w:lineRule="auto"/>
        <w:ind w:firstLine="720"/>
      </w:pPr>
      <w:r>
        <w:t>A more</w:t>
      </w:r>
      <w:r w:rsidR="00725751">
        <w:t xml:space="preserve"> co</w:t>
      </w:r>
      <w:r w:rsidR="00497500">
        <w:t>mplex</w:t>
      </w:r>
      <w:r w:rsidR="00725751">
        <w:t xml:space="preserve"> </w:t>
      </w:r>
      <w:r w:rsidR="00BA211C">
        <w:t xml:space="preserve">dimension is </w:t>
      </w:r>
      <w:r w:rsidR="00AD1763">
        <w:t xml:space="preserve">protection of </w:t>
      </w:r>
      <w:r w:rsidR="0026043E">
        <w:t>wildlife.</w:t>
      </w:r>
      <w:r w:rsidR="00A92D10">
        <w:t xml:space="preserve">  It has been recognised</w:t>
      </w:r>
      <w:r w:rsidR="00DA5E6C">
        <w:t xml:space="preserve">, for instance, </w:t>
      </w:r>
      <w:r w:rsidR="00A92D10">
        <w:t>that States must respect the special relationship between the indigenous peoples/communities and their land “in the way that guarantee their social, cultural and economic survival</w:t>
      </w:r>
      <w:r w:rsidR="00F73CCB">
        <w:t>.</w:t>
      </w:r>
      <w:r w:rsidR="00A92D10">
        <w:t>”</w:t>
      </w:r>
      <w:r w:rsidR="00A92D10">
        <w:rPr>
          <w:rStyle w:val="FootnoteReference"/>
        </w:rPr>
        <w:footnoteReference w:id="155"/>
      </w:r>
      <w:r w:rsidR="00D27533">
        <w:t xml:space="preserve">  </w:t>
      </w:r>
      <w:r w:rsidR="00FB6941">
        <w:t xml:space="preserve"> In reading the right to property in conjunction with the right to self-determination (ICCPR/ICESER) and the rights of minority (ICCPR), the Inter-American Court of Human Rights held that </w:t>
      </w:r>
      <w:r w:rsidR="00833382">
        <w:t xml:space="preserve">indigenous peoples must be able to enjoy their right to property in accordance with their tradition, including </w:t>
      </w:r>
      <w:r w:rsidR="00737800">
        <w:t>“</w:t>
      </w:r>
      <w:r w:rsidR="00833382">
        <w:t>natural resources that lie on or within their land</w:t>
      </w:r>
      <w:r w:rsidR="00BF361B">
        <w:t xml:space="preserve"> through agricultural, hunting and fishing activities.</w:t>
      </w:r>
      <w:r w:rsidR="00737800">
        <w:t>”</w:t>
      </w:r>
      <w:r w:rsidR="00833382">
        <w:rPr>
          <w:rStyle w:val="FootnoteReference"/>
        </w:rPr>
        <w:footnoteReference w:id="156"/>
      </w:r>
      <w:r w:rsidR="00833382">
        <w:t xml:space="preserve">  The same reasoning has been</w:t>
      </w:r>
      <w:r w:rsidR="004A64C4">
        <w:t xml:space="preserve"> endorsed</w:t>
      </w:r>
      <w:r w:rsidR="00833382">
        <w:t xml:space="preserve"> by the Expert Mechanism </w:t>
      </w:r>
      <w:r w:rsidR="001A3D97">
        <w:t>on the Rights of Indigenous People in the context of cultural heritage.</w:t>
      </w:r>
      <w:r w:rsidR="001A3D97">
        <w:rPr>
          <w:rStyle w:val="FootnoteReference"/>
        </w:rPr>
        <w:footnoteReference w:id="157"/>
      </w:r>
      <w:r w:rsidR="001A3D97">
        <w:t xml:space="preserve">  </w:t>
      </w:r>
      <w:r w:rsidR="00A364AD">
        <w:t xml:space="preserve">All of these </w:t>
      </w:r>
      <w:r w:rsidR="005C4350">
        <w:t xml:space="preserve"> would mean that </w:t>
      </w:r>
      <w:r w:rsidR="000D0946">
        <w:t xml:space="preserve">States should </w:t>
      </w:r>
      <w:r w:rsidR="002D264B">
        <w:t xml:space="preserve">generally </w:t>
      </w:r>
      <w:r w:rsidR="000D0946">
        <w:t xml:space="preserve">allow </w:t>
      </w:r>
      <w:r w:rsidR="005C4350">
        <w:t>indigenous</w:t>
      </w:r>
      <w:r w:rsidR="009D64B3">
        <w:t xml:space="preserve"> </w:t>
      </w:r>
      <w:r w:rsidR="00CB6983">
        <w:t xml:space="preserve">peoples </w:t>
      </w:r>
      <w:r w:rsidR="000D0946">
        <w:t>to</w:t>
      </w:r>
      <w:r w:rsidR="009A76CD">
        <w:t xml:space="preserve"> </w:t>
      </w:r>
      <w:r w:rsidR="000D0946">
        <w:t xml:space="preserve"> hunt, consume or sell</w:t>
      </w:r>
      <w:r w:rsidR="005C4350">
        <w:t xml:space="preserve"> wildli</w:t>
      </w:r>
      <w:r w:rsidR="000D0946">
        <w:t>fe in accordance with their traditional ways of life</w:t>
      </w:r>
      <w:r w:rsidR="009A76CD">
        <w:t xml:space="preserve">.  </w:t>
      </w:r>
      <w:r w:rsidR="0063172D">
        <w:t>Further, they should prevent non-State actors such as org</w:t>
      </w:r>
      <w:r w:rsidR="00737800">
        <w:t>a</w:t>
      </w:r>
      <w:r w:rsidR="0063172D">
        <w:t>n</w:t>
      </w:r>
      <w:r w:rsidR="00737800">
        <w:t>i</w:t>
      </w:r>
      <w:r w:rsidR="0063172D">
        <w:t>sed criminal groups from exploiting</w:t>
      </w:r>
      <w:r w:rsidR="007A2E83">
        <w:t xml:space="preserve"> wildlife</w:t>
      </w:r>
      <w:r w:rsidR="0063172D">
        <w:t xml:space="preserve">.  This can be established from a general </w:t>
      </w:r>
      <w:r w:rsidR="005B2C1D">
        <w:t>duty</w:t>
      </w:r>
      <w:r w:rsidR="00D7090B">
        <w:t>, among others,</w:t>
      </w:r>
      <w:r w:rsidR="0063172D">
        <w:t xml:space="preserve"> to protect against environmental harm</w:t>
      </w:r>
      <w:r w:rsidR="005F7B30">
        <w:t>s</w:t>
      </w:r>
      <w:r w:rsidR="0063172D">
        <w:t xml:space="preserve"> caused</w:t>
      </w:r>
      <w:r w:rsidR="00F11661">
        <w:t xml:space="preserve"> by private </w:t>
      </w:r>
      <w:r w:rsidR="0063172D">
        <w:t>actors</w:t>
      </w:r>
      <w:r w:rsidR="0063172D">
        <w:rPr>
          <w:rStyle w:val="FootnoteReference"/>
        </w:rPr>
        <w:footnoteReference w:id="158"/>
      </w:r>
      <w:r w:rsidR="00F11661">
        <w:t xml:space="preserve"> and to prevent them from interfering with the right to culture.</w:t>
      </w:r>
      <w:r w:rsidR="00F11661">
        <w:rPr>
          <w:rStyle w:val="FootnoteReference"/>
        </w:rPr>
        <w:footnoteReference w:id="159"/>
      </w:r>
      <w:r w:rsidR="00F11661">
        <w:t xml:space="preserve"> </w:t>
      </w:r>
    </w:p>
    <w:p w:rsidR="000619FE" w:rsidRDefault="00DA2052" w:rsidP="00EE2D0D">
      <w:pPr>
        <w:pStyle w:val="NormalWeb"/>
        <w:spacing w:line="480" w:lineRule="auto"/>
        <w:ind w:firstLine="720"/>
      </w:pPr>
      <w:r>
        <w:lastRenderedPageBreak/>
        <w:t xml:space="preserve">It is important to recognise, however, that </w:t>
      </w:r>
      <w:r w:rsidR="001D1638">
        <w:t>these rights</w:t>
      </w:r>
      <w:r w:rsidR="00094C68">
        <w:t xml:space="preserve"> are not absolute, as they </w:t>
      </w:r>
      <w:r w:rsidR="00EE2D0D">
        <w:t xml:space="preserve">can be </w:t>
      </w:r>
      <w:r w:rsidR="0063172D">
        <w:t xml:space="preserve">limited </w:t>
      </w:r>
      <w:r w:rsidR="006F122D">
        <w:t>in the interest of society</w:t>
      </w:r>
      <w:r w:rsidR="00EE2D0D">
        <w:t xml:space="preserve"> as a whole</w:t>
      </w:r>
      <w:r w:rsidR="00D67BE8">
        <w:t>.</w:t>
      </w:r>
      <w:r w:rsidR="006F122D">
        <w:rPr>
          <w:rStyle w:val="FootnoteReference"/>
        </w:rPr>
        <w:footnoteReference w:id="160"/>
      </w:r>
      <w:r w:rsidR="00154D07">
        <w:t xml:space="preserve">  </w:t>
      </w:r>
      <w:r w:rsidR="005F5676">
        <w:t>So for instance</w:t>
      </w:r>
      <w:r w:rsidR="00154D07">
        <w:t>, it has been held that States can restrict the exercise of right to property when such restriction has a legal basis and legitimate objective</w:t>
      </w:r>
      <w:r w:rsidR="005F5676">
        <w:t>(s)</w:t>
      </w:r>
      <w:r w:rsidR="00553BFB">
        <w:t xml:space="preserve">, </w:t>
      </w:r>
      <w:r w:rsidR="00E62AF8">
        <w:t>and is</w:t>
      </w:r>
      <w:r w:rsidR="00154D07">
        <w:t xml:space="preserve"> necessary and proportionate</w:t>
      </w:r>
      <w:r w:rsidR="00553BFB">
        <w:t>.</w:t>
      </w:r>
      <w:r w:rsidR="00154D07">
        <w:rPr>
          <w:rStyle w:val="FootnoteReference"/>
        </w:rPr>
        <w:footnoteReference w:id="161"/>
      </w:r>
      <w:r w:rsidR="00553BFB">
        <w:t xml:space="preserve">  T</w:t>
      </w:r>
      <w:r w:rsidR="004D5EDB">
        <w:t xml:space="preserve">he </w:t>
      </w:r>
      <w:r w:rsidR="00A364AD">
        <w:t xml:space="preserve">same reasoning has been </w:t>
      </w:r>
      <w:r w:rsidR="004D5EDB">
        <w:t>extended</w:t>
      </w:r>
      <w:r w:rsidR="00A364AD">
        <w:t xml:space="preserve"> to the right to culture.</w:t>
      </w:r>
      <w:r w:rsidR="00A364AD">
        <w:rPr>
          <w:rStyle w:val="FootnoteReference"/>
        </w:rPr>
        <w:footnoteReference w:id="162"/>
      </w:r>
      <w:r w:rsidR="00154D07">
        <w:t xml:space="preserve"> </w:t>
      </w:r>
      <w:r w:rsidR="006F122D">
        <w:t xml:space="preserve"> </w:t>
      </w:r>
      <w:r w:rsidR="00A377B4">
        <w:t>P</w:t>
      </w:r>
      <w:r w:rsidR="00154D07">
        <w:t>r</w:t>
      </w:r>
      <w:r w:rsidR="00727C36">
        <w:t>ohibition</w:t>
      </w:r>
      <w:r w:rsidR="00154D07">
        <w:t xml:space="preserve"> of wildlife exploitation and trafficking </w:t>
      </w:r>
      <w:r w:rsidR="00A377B4">
        <w:t xml:space="preserve">as well as </w:t>
      </w:r>
      <w:r w:rsidR="00103C58">
        <w:t xml:space="preserve">its </w:t>
      </w:r>
      <w:r w:rsidR="00A377B4">
        <w:t xml:space="preserve">preservation or conservation </w:t>
      </w:r>
      <w:r w:rsidR="00D7090B">
        <w:t xml:space="preserve">would </w:t>
      </w:r>
      <w:r w:rsidR="00B26464">
        <w:t>certainly</w:t>
      </w:r>
      <w:r w:rsidR="00FD3E92">
        <w:t xml:space="preserve"> </w:t>
      </w:r>
      <w:r w:rsidR="00154D07">
        <w:t>satisfy these requirements</w:t>
      </w:r>
      <w:r w:rsidR="00A377B4">
        <w:t xml:space="preserve">.  </w:t>
      </w:r>
      <w:r w:rsidR="007B76CB">
        <w:t xml:space="preserve"> Indeed, establishment of game/wildlife reserve</w:t>
      </w:r>
      <w:r w:rsidR="00923E18">
        <w:t>s has been regarded as leg</w:t>
      </w:r>
      <w:r w:rsidR="007B76CB">
        <w:t>itimate.</w:t>
      </w:r>
      <w:r w:rsidR="007B76CB">
        <w:rPr>
          <w:rStyle w:val="FootnoteReference"/>
        </w:rPr>
        <w:footnoteReference w:id="163"/>
      </w:r>
      <w:r w:rsidR="007B76CB">
        <w:t xml:space="preserve"> </w:t>
      </w:r>
      <w:r w:rsidR="00A377B4">
        <w:t xml:space="preserve"> </w:t>
      </w:r>
      <w:r w:rsidR="00584CF4">
        <w:t xml:space="preserve">It should also be </w:t>
      </w:r>
      <w:r w:rsidR="0053640D">
        <w:t>highlighted</w:t>
      </w:r>
      <w:r w:rsidR="00584CF4">
        <w:t xml:space="preserve"> </w:t>
      </w:r>
      <w:r w:rsidR="0053640D">
        <w:t>here that p</w:t>
      </w:r>
      <w:r w:rsidR="00964D93">
        <w:t xml:space="preserve">reservation of wildlife can secure the rights of </w:t>
      </w:r>
      <w:r w:rsidR="00C70A11">
        <w:t>indigenous populations</w:t>
      </w:r>
      <w:r w:rsidR="00964D93">
        <w:t xml:space="preserve"> in the long run, as they can continue to </w:t>
      </w:r>
      <w:r w:rsidR="00EE2B00">
        <w:t xml:space="preserve">benefit from </w:t>
      </w:r>
      <w:proofErr w:type="gramStart"/>
      <w:r w:rsidR="00EE2B00">
        <w:t>it</w:t>
      </w:r>
      <w:proofErr w:type="gramEnd"/>
      <w:r w:rsidR="00EE2B00">
        <w:t xml:space="preserve"> </w:t>
      </w:r>
      <w:r w:rsidR="00B73549">
        <w:t>generation after generation</w:t>
      </w:r>
      <w:r w:rsidR="00584CF4">
        <w:t xml:space="preserve">.  </w:t>
      </w:r>
      <w:r w:rsidR="007A2E83">
        <w:t xml:space="preserve">All of these are in conformity with the general obligation to protect biodiversity </w:t>
      </w:r>
      <w:r w:rsidR="0008634E">
        <w:t xml:space="preserve">through legislative and institutional frameworks </w:t>
      </w:r>
      <w:r w:rsidR="007A2E83">
        <w:t>in order to support full realisation of human rights which depend o</w:t>
      </w:r>
      <w:r w:rsidR="00E32511">
        <w:t>n them</w:t>
      </w:r>
      <w:r w:rsidR="007A2E83">
        <w:t>.</w:t>
      </w:r>
      <w:r w:rsidR="007A2E83">
        <w:rPr>
          <w:rStyle w:val="FootnoteReference"/>
        </w:rPr>
        <w:footnoteReference w:id="164"/>
      </w:r>
      <w:r w:rsidR="007A2E83">
        <w:t xml:space="preserve"> </w:t>
      </w:r>
    </w:p>
    <w:p w:rsidR="0004637D" w:rsidRDefault="0004637D" w:rsidP="007B76CB">
      <w:pPr>
        <w:pStyle w:val="NormalWeb"/>
        <w:spacing w:line="480" w:lineRule="auto"/>
        <w:ind w:firstLine="720"/>
      </w:pPr>
      <w:r>
        <w:t>H</w:t>
      </w:r>
      <w:r w:rsidR="008C752F">
        <w:t>aving said this</w:t>
      </w:r>
      <w:r w:rsidR="00265786">
        <w:t xml:space="preserve">, there are </w:t>
      </w:r>
      <w:r w:rsidR="00536267">
        <w:t xml:space="preserve">simultaneously </w:t>
      </w:r>
      <w:proofErr w:type="gramStart"/>
      <w:r w:rsidR="00536267">
        <w:t xml:space="preserve">a </w:t>
      </w:r>
      <w:r w:rsidR="00265786">
        <w:t>number of</w:t>
      </w:r>
      <w:proofErr w:type="gramEnd"/>
      <w:r w:rsidR="00265786">
        <w:t xml:space="preserve"> obligations </w:t>
      </w:r>
      <w:r w:rsidR="00855536">
        <w:t xml:space="preserve">designed to </w:t>
      </w:r>
      <w:r w:rsidR="00536267">
        <w:t xml:space="preserve">ensure that </w:t>
      </w:r>
      <w:r w:rsidR="00537FC2">
        <w:t xml:space="preserve">any </w:t>
      </w:r>
      <w:r w:rsidR="00536267">
        <w:t xml:space="preserve">restrictions </w:t>
      </w:r>
      <w:r w:rsidR="00831722">
        <w:t xml:space="preserve">imposed </w:t>
      </w:r>
      <w:r w:rsidR="00536267">
        <w:t>are not disproportionate</w:t>
      </w:r>
      <w:r>
        <w:t xml:space="preserve">.   For instance, those affected </w:t>
      </w:r>
      <w:r w:rsidR="00217489">
        <w:t xml:space="preserve">should </w:t>
      </w:r>
      <w:r>
        <w:t xml:space="preserve">be able to participate in </w:t>
      </w:r>
      <w:r w:rsidR="00A94890">
        <w:t xml:space="preserve">a </w:t>
      </w:r>
      <w:r>
        <w:t>decision</w:t>
      </w:r>
      <w:r w:rsidR="00F87403">
        <w:t>-</w:t>
      </w:r>
      <w:r>
        <w:t>makin</w:t>
      </w:r>
      <w:r w:rsidR="00537FC2">
        <w:t>g</w:t>
      </w:r>
      <w:r w:rsidR="00A94890">
        <w:t xml:space="preserve"> process</w:t>
      </w:r>
      <w:r>
        <w:rPr>
          <w:rStyle w:val="FootnoteReference"/>
        </w:rPr>
        <w:footnoteReference w:id="165"/>
      </w:r>
      <w:r>
        <w:t xml:space="preserve"> and </w:t>
      </w:r>
      <w:r w:rsidR="00217489">
        <w:t xml:space="preserve">States must </w:t>
      </w:r>
      <w:r>
        <w:t>obtain their free, prior and informed consent if large scale development or investment projects are planned</w:t>
      </w:r>
      <w:r>
        <w:rPr>
          <w:rStyle w:val="FootnoteReference"/>
        </w:rPr>
        <w:footnoteReference w:id="166"/>
      </w:r>
      <w:r>
        <w:t xml:space="preserve"> as these may result in loss of their land, eviction, migration and resettlement.</w:t>
      </w:r>
      <w:r>
        <w:rPr>
          <w:rStyle w:val="FootnoteReference"/>
        </w:rPr>
        <w:footnoteReference w:id="167"/>
      </w:r>
      <w:r>
        <w:t xml:space="preserve">  </w:t>
      </w:r>
      <w:r w:rsidR="007B76CB">
        <w:t>The d</w:t>
      </w:r>
      <w:r>
        <w:t xml:space="preserve">evelopment </w:t>
      </w:r>
      <w:r w:rsidR="00EE3BD9">
        <w:t xml:space="preserve">of </w:t>
      </w:r>
      <w:r w:rsidR="007B76CB">
        <w:t xml:space="preserve">game/wildlife </w:t>
      </w:r>
      <w:r>
        <w:t>reserves i</w:t>
      </w:r>
      <w:r w:rsidR="007B76CB">
        <w:t xml:space="preserve">n </w:t>
      </w:r>
      <w:r w:rsidR="00E95E7F">
        <w:t xml:space="preserve">the areas </w:t>
      </w:r>
      <w:r>
        <w:t>traditionally used and habituated by indigenous population</w:t>
      </w:r>
      <w:r w:rsidR="007B76CB">
        <w:t>s certainly falls under this</w:t>
      </w:r>
      <w:r>
        <w:t xml:space="preserve">.  </w:t>
      </w:r>
      <w:r w:rsidR="008975E3">
        <w:t xml:space="preserve">States </w:t>
      </w:r>
      <w:r w:rsidR="007B76CB">
        <w:t xml:space="preserve">must </w:t>
      </w:r>
      <w:r w:rsidR="00F736B6">
        <w:t xml:space="preserve">also </w:t>
      </w:r>
      <w:r w:rsidR="007B76CB">
        <w:t xml:space="preserve">secure access to these reserves or </w:t>
      </w:r>
      <w:r w:rsidR="007B76CB">
        <w:lastRenderedPageBreak/>
        <w:t>provide alternatives for them to enjoy their culture</w:t>
      </w:r>
      <w:r w:rsidR="00903C23">
        <w:t>,</w:t>
      </w:r>
      <w:r w:rsidR="007B76CB">
        <w:rPr>
          <w:rStyle w:val="FootnoteReference"/>
        </w:rPr>
        <w:footnoteReference w:id="168"/>
      </w:r>
      <w:r w:rsidR="00903C23">
        <w:t xml:space="preserve"> while </w:t>
      </w:r>
      <w:r w:rsidR="00D811EE">
        <w:t>simultaneously</w:t>
      </w:r>
      <w:r w:rsidR="00903C23">
        <w:t xml:space="preserve"> preventing other non-State actors</w:t>
      </w:r>
      <w:r w:rsidR="00B50BA8">
        <w:t xml:space="preserve"> (e.g. criminals) </w:t>
      </w:r>
      <w:r w:rsidR="00903C23">
        <w:t>from interfering with their right to enjoy wildlife and natural resources.</w:t>
      </w:r>
      <w:r w:rsidR="00903C23">
        <w:rPr>
          <w:rStyle w:val="FootnoteReference"/>
        </w:rPr>
        <w:footnoteReference w:id="169"/>
      </w:r>
      <w:r w:rsidR="007B76CB">
        <w:t xml:space="preserve">  Further, those </w:t>
      </w:r>
      <w:r>
        <w:t>who are forced to relocate to other</w:t>
      </w:r>
      <w:r w:rsidR="00EA01DF">
        <w:t xml:space="preserve"> areas</w:t>
      </w:r>
      <w:r>
        <w:t xml:space="preserve"> should also be entitled to sufficient compensation</w:t>
      </w:r>
      <w:r w:rsidR="00961FA6">
        <w:t xml:space="preserve">.  To be specific, </w:t>
      </w:r>
      <w:r w:rsidR="00E95E7F">
        <w:t xml:space="preserve">they </w:t>
      </w:r>
      <w:r w:rsidR="00961FA6">
        <w:t>should be:</w:t>
      </w:r>
    </w:p>
    <w:p w:rsidR="00961FA6" w:rsidRDefault="00961FA6" w:rsidP="00EA01DF">
      <w:pPr>
        <w:pStyle w:val="NormalWeb"/>
        <w:ind w:firstLine="720"/>
        <w:rPr>
          <w:sz w:val="20"/>
          <w:szCs w:val="20"/>
        </w:rPr>
      </w:pPr>
      <w:proofErr w:type="spellStart"/>
      <w:r>
        <w:rPr>
          <w:sz w:val="20"/>
          <w:szCs w:val="20"/>
        </w:rPr>
        <w:t>i</w:t>
      </w:r>
      <w:proofErr w:type="spellEnd"/>
      <w:r>
        <w:rPr>
          <w:sz w:val="20"/>
          <w:szCs w:val="20"/>
        </w:rPr>
        <w:t>) compensated for their losses at full replacement cost prior to the actual move</w:t>
      </w:r>
    </w:p>
    <w:p w:rsidR="00961FA6" w:rsidRDefault="00961FA6" w:rsidP="00EA01DF">
      <w:pPr>
        <w:pStyle w:val="NormalWeb"/>
        <w:tabs>
          <w:tab w:val="right" w:pos="9026"/>
        </w:tabs>
        <w:ind w:firstLine="720"/>
        <w:rPr>
          <w:sz w:val="20"/>
          <w:szCs w:val="20"/>
        </w:rPr>
      </w:pPr>
      <w:r>
        <w:rPr>
          <w:sz w:val="20"/>
          <w:szCs w:val="20"/>
        </w:rPr>
        <w:t>ii) assisted with the move and supported during the transition period in the resettlement site; and</w:t>
      </w:r>
    </w:p>
    <w:p w:rsidR="000D3191" w:rsidRDefault="00961FA6" w:rsidP="000D3191">
      <w:pPr>
        <w:pStyle w:val="NormalWeb"/>
        <w:tabs>
          <w:tab w:val="right" w:pos="9026"/>
        </w:tabs>
        <w:ind w:left="720"/>
        <w:rPr>
          <w:sz w:val="20"/>
          <w:szCs w:val="20"/>
        </w:rPr>
      </w:pPr>
      <w:r>
        <w:rPr>
          <w:sz w:val="20"/>
          <w:szCs w:val="20"/>
        </w:rPr>
        <w:t>iii) assisted in their efforts to improve upon their former living standards, income earning capacity and production levels, or at least to restore them</w:t>
      </w:r>
      <w:r>
        <w:rPr>
          <w:rStyle w:val="FootnoteReference"/>
          <w:sz w:val="20"/>
          <w:szCs w:val="20"/>
        </w:rPr>
        <w:footnoteReference w:id="170"/>
      </w:r>
    </w:p>
    <w:p w:rsidR="00A61585" w:rsidRPr="00EE3BD9" w:rsidRDefault="000D3191" w:rsidP="000D3191">
      <w:pPr>
        <w:pStyle w:val="NormalWeb"/>
        <w:tabs>
          <w:tab w:val="right" w:pos="9026"/>
        </w:tabs>
        <w:spacing w:line="480" w:lineRule="auto"/>
      </w:pPr>
      <w:r w:rsidRPr="00EE3BD9">
        <w:t xml:space="preserve">While these developments are not specifically directed towards trafficking and exploitation of wildlife </w:t>
      </w:r>
      <w:r w:rsidRPr="00EE3BD9">
        <w:rPr>
          <w:i/>
        </w:rPr>
        <w:t>per se</w:t>
      </w:r>
      <w:r w:rsidRPr="00EE3BD9">
        <w:t xml:space="preserve">, there is no reason why the relevant norms and principles should not be applied to this issue.  </w:t>
      </w:r>
      <w:r w:rsidR="00961FA6" w:rsidRPr="00EE3BD9">
        <w:tab/>
      </w:r>
    </w:p>
    <w:p w:rsidR="001C2919" w:rsidRDefault="00D158F1" w:rsidP="004C51ED">
      <w:pPr>
        <w:pStyle w:val="NormalWeb"/>
        <w:spacing w:line="480" w:lineRule="auto"/>
        <w:ind w:firstLine="720"/>
      </w:pPr>
      <w:r>
        <w:t>It</w:t>
      </w:r>
      <w:r w:rsidR="0087039D">
        <w:t xml:space="preserve"> is clear tha</w:t>
      </w:r>
      <w:r>
        <w:t>t much of the above discussions apply to</w:t>
      </w:r>
      <w:r w:rsidR="00A61585">
        <w:t xml:space="preserve"> </w:t>
      </w:r>
      <w:r w:rsidR="00D52A12">
        <w:t>indigenous peoples</w:t>
      </w:r>
      <w:r w:rsidR="00A61585">
        <w:t>,</w:t>
      </w:r>
      <w:r w:rsidR="0003781B">
        <w:t xml:space="preserve"> but</w:t>
      </w:r>
      <w:r w:rsidR="00A61585">
        <w:t xml:space="preserve"> a</w:t>
      </w:r>
      <w:r w:rsidR="00D52A12">
        <w:t xml:space="preserve"> question </w:t>
      </w:r>
      <w:r w:rsidR="00017CF4">
        <w:t>to be</w:t>
      </w:r>
      <w:r w:rsidR="00D52A12">
        <w:t xml:space="preserve"> asked </w:t>
      </w:r>
      <w:r w:rsidR="00017CF4">
        <w:t xml:space="preserve">is </w:t>
      </w:r>
      <w:r w:rsidR="00D52A12">
        <w:t>whether the same</w:t>
      </w:r>
      <w:r w:rsidR="00693A88">
        <w:t xml:space="preserve"> human rights norms and principles</w:t>
      </w:r>
      <w:r w:rsidR="00D52A12">
        <w:t xml:space="preserve"> </w:t>
      </w:r>
      <w:r w:rsidR="00FD3E92">
        <w:t>can</w:t>
      </w:r>
      <w:r w:rsidR="00D52A12">
        <w:t xml:space="preserve"> </w:t>
      </w:r>
      <w:r w:rsidR="00693A88">
        <w:t>be extended</w:t>
      </w:r>
      <w:r w:rsidR="00D52A12">
        <w:t xml:space="preserve"> to others who may not be regarded as indigenous people</w:t>
      </w:r>
      <w:r w:rsidR="00232988">
        <w:t>s</w:t>
      </w:r>
      <w:r w:rsidR="00065F26">
        <w:t xml:space="preserve"> strictly speaking </w:t>
      </w:r>
      <w:r w:rsidR="00D52A12">
        <w:t xml:space="preserve">but </w:t>
      </w:r>
      <w:r w:rsidR="00232988">
        <w:t xml:space="preserve">still </w:t>
      </w:r>
      <w:r w:rsidR="00D52A12">
        <w:t xml:space="preserve">rely on wildlife for their economic, social or cultural development and survival.  </w:t>
      </w:r>
      <w:r w:rsidR="00A93822">
        <w:t>The answer seems that they should.</w:t>
      </w:r>
      <w:r w:rsidR="00426293">
        <w:t xml:space="preserve"> </w:t>
      </w:r>
      <w:r w:rsidR="00A93822">
        <w:t xml:space="preserve"> </w:t>
      </w:r>
      <w:r w:rsidR="0029750C">
        <w:t>For one, Article 27 of the ICCPR guarantees the rights of minority groups</w:t>
      </w:r>
      <w:r w:rsidR="00A93822">
        <w:t>, who are not necessarily the same as indigenous peoples,</w:t>
      </w:r>
      <w:r w:rsidR="0029750C">
        <w:t xml:space="preserve"> to enjoy their own culture, including the use of land resources and traditional activities like hunting and fishing.</w:t>
      </w:r>
      <w:r w:rsidR="0029750C">
        <w:rPr>
          <w:rStyle w:val="FootnoteReference"/>
        </w:rPr>
        <w:footnoteReference w:id="171"/>
      </w:r>
      <w:r w:rsidR="0029750C">
        <w:t xml:space="preserve"> </w:t>
      </w:r>
      <w:r w:rsidR="00A93822">
        <w:t xml:space="preserve"> </w:t>
      </w:r>
      <w:r w:rsidR="004C51ED">
        <w:t>In addition, t</w:t>
      </w:r>
      <w:r w:rsidR="005457EA">
        <w:t xml:space="preserve">he right to take part in cultural life under Article 15 of the ICESCR is a right of </w:t>
      </w:r>
      <w:r w:rsidR="003F5203">
        <w:t>“</w:t>
      </w:r>
      <w:r w:rsidR="005457EA">
        <w:t>everyone</w:t>
      </w:r>
      <w:r w:rsidR="003F5203">
        <w:t xml:space="preserve">” and should not be limited to </w:t>
      </w:r>
      <w:r w:rsidR="005457EA">
        <w:t xml:space="preserve">certain groups of people.  </w:t>
      </w:r>
      <w:r w:rsidR="003F5203">
        <w:t>Indeed, the Committee Economic, Social and Cultural Rights has stressed that cultural rights can be exercised by</w:t>
      </w:r>
      <w:r w:rsidR="004C51ED">
        <w:t xml:space="preserve"> “a person a) as an individual, b) in association with others, or c) within a community or group</w:t>
      </w:r>
      <w:r w:rsidR="003F5203">
        <w:t>.</w:t>
      </w:r>
      <w:r w:rsidR="004C51ED">
        <w:t>”</w:t>
      </w:r>
      <w:r w:rsidR="003F5203">
        <w:rPr>
          <w:rStyle w:val="FootnoteReference"/>
        </w:rPr>
        <w:footnoteReference w:id="172"/>
      </w:r>
      <w:r w:rsidR="003F5203">
        <w:t xml:space="preserve"> </w:t>
      </w:r>
      <w:r w:rsidR="004C51ED">
        <w:t xml:space="preserve"> Further</w:t>
      </w:r>
      <w:r w:rsidR="00084DED">
        <w:t>,</w:t>
      </w:r>
      <w:r w:rsidR="004C51ED">
        <w:t xml:space="preserve"> the </w:t>
      </w:r>
      <w:r w:rsidR="004C51ED">
        <w:lastRenderedPageBreak/>
        <w:t>Special Rapporteur on the Environment has argued that local populations should be protected similarly to indigenous people based on the principle of non-discrimination.</w:t>
      </w:r>
      <w:r w:rsidR="004C51ED">
        <w:rPr>
          <w:rStyle w:val="FootnoteReference"/>
        </w:rPr>
        <w:footnoteReference w:id="173"/>
      </w:r>
      <w:r w:rsidR="004C51ED">
        <w:t xml:space="preserve">  </w:t>
      </w:r>
      <w:r w:rsidR="00ED1FAB">
        <w:t xml:space="preserve">Therefore, it seems reasonable to conclude that the </w:t>
      </w:r>
      <w:r w:rsidR="005457EA">
        <w:t>ambit</w:t>
      </w:r>
      <w:r w:rsidR="0040362B">
        <w:t xml:space="preserve"> of the right to enjoy wildlife is much wider</w:t>
      </w:r>
      <w:r w:rsidR="004C51ED">
        <w:t xml:space="preserve">.  </w:t>
      </w:r>
      <w:r w:rsidR="005457EA">
        <w:t xml:space="preserve"> </w:t>
      </w:r>
    </w:p>
    <w:p w:rsidR="002A5F0B" w:rsidRDefault="0066311B" w:rsidP="00987169">
      <w:pPr>
        <w:pStyle w:val="NormalWeb"/>
        <w:spacing w:line="480" w:lineRule="auto"/>
        <w:ind w:firstLine="720"/>
      </w:pPr>
      <w:r>
        <w:t>What becomes evident i</w:t>
      </w:r>
      <w:r w:rsidR="00597F80">
        <w:t xml:space="preserve">n looking at </w:t>
      </w:r>
      <w:r w:rsidR="00110BF2">
        <w:t xml:space="preserve">the </w:t>
      </w:r>
      <w:r w:rsidR="00597F80">
        <w:t>protection obligations is that they arise from a range of rights guaranteed by relevant international instruments</w:t>
      </w:r>
      <w:r w:rsidR="00FD0B1A">
        <w:t xml:space="preserve">. </w:t>
      </w:r>
      <w:r w:rsidR="00951DBD">
        <w:t xml:space="preserve"> </w:t>
      </w:r>
      <w:r w:rsidR="00FD0B1A">
        <w:t xml:space="preserve">It has long been established that the nature of obligations is different for civil and political rights on the one hand, and economic, social and cultural rights on the other.  </w:t>
      </w:r>
      <w:r w:rsidR="00BE16C6">
        <w:t xml:space="preserve">In particular, the obligations of the former are of immediate effect, while those of the latter are based on progressive realisation given that </w:t>
      </w:r>
      <w:r w:rsidR="00AB2640">
        <w:t>they are</w:t>
      </w:r>
      <w:r w:rsidR="00BE16C6">
        <w:t xml:space="preserve"> </w:t>
      </w:r>
      <w:r w:rsidR="00AB2640">
        <w:t>generally more resource intensive.</w:t>
      </w:r>
      <w:r w:rsidR="00412BA7">
        <w:rPr>
          <w:rStyle w:val="FootnoteReference"/>
        </w:rPr>
        <w:footnoteReference w:id="174"/>
      </w:r>
      <w:r w:rsidR="00BE16C6">
        <w:t xml:space="preserve">  </w:t>
      </w:r>
      <w:r w:rsidR="00FD0B1A">
        <w:t xml:space="preserve">The present </w:t>
      </w:r>
      <w:r w:rsidR="00E133B6">
        <w:t>discussions</w:t>
      </w:r>
      <w:r w:rsidR="00FD0B1A">
        <w:t xml:space="preserve">, however, show that this distinction </w:t>
      </w:r>
      <w:r w:rsidR="00935597">
        <w:t>should not</w:t>
      </w:r>
      <w:r w:rsidR="00904706">
        <w:t xml:space="preserve"> </w:t>
      </w:r>
      <w:r w:rsidR="00FD0B1A">
        <w:t xml:space="preserve">serve as hinderance to </w:t>
      </w:r>
      <w:r w:rsidR="002D4496">
        <w:t xml:space="preserve">the </w:t>
      </w:r>
      <w:r w:rsidR="00FD0B1A">
        <w:t xml:space="preserve">protection of </w:t>
      </w:r>
      <w:r w:rsidR="00951DBD">
        <w:t xml:space="preserve">the </w:t>
      </w:r>
      <w:r w:rsidR="00FD0B1A">
        <w:t>victims of transnational organised crime</w:t>
      </w:r>
      <w:r w:rsidR="00935597">
        <w:t xml:space="preserve"> because the </w:t>
      </w:r>
      <w:r w:rsidR="00951DBD">
        <w:t xml:space="preserve">relevant human </w:t>
      </w:r>
      <w:r w:rsidR="00935597">
        <w:t>rights explored earlier are interdependent and indivisible.</w:t>
      </w:r>
      <w:r w:rsidR="00FD0B1A">
        <w:t xml:space="preserve"> </w:t>
      </w:r>
      <w:r w:rsidR="006949C0">
        <w:t xml:space="preserve"> States therefore cannot rely on a lack of resources not </w:t>
      </w:r>
      <w:r w:rsidR="00951DBD">
        <w:t xml:space="preserve">to </w:t>
      </w:r>
      <w:r w:rsidR="00714A6F">
        <w:t xml:space="preserve">protect </w:t>
      </w:r>
      <w:r w:rsidR="00593004">
        <w:t xml:space="preserve">economic, social and cultural rights </w:t>
      </w:r>
      <w:r w:rsidR="006949C0">
        <w:t>as the</w:t>
      </w:r>
      <w:r w:rsidR="00201AB4">
        <w:t xml:space="preserve"> obligation</w:t>
      </w:r>
      <w:r w:rsidR="006949C0">
        <w:t xml:space="preserve"> also arise</w:t>
      </w:r>
      <w:r w:rsidR="00776647">
        <w:t>s</w:t>
      </w:r>
      <w:r w:rsidR="006949C0">
        <w:t xml:space="preserve"> from civil and political rights.  </w:t>
      </w:r>
      <w:r w:rsidR="00560A97">
        <w:t xml:space="preserve">Indeed, it has been cogently argued that it should be possible to talk about economic, social and cultural rights </w:t>
      </w:r>
      <w:r w:rsidR="00EF4A4B">
        <w:t>under the instruments on</w:t>
      </w:r>
      <w:r w:rsidR="00560A97">
        <w:t xml:space="preserve"> civil and political rights</w:t>
      </w:r>
      <w:r w:rsidR="00593004">
        <w:t>,</w:t>
      </w:r>
      <w:r w:rsidR="00560A97">
        <w:rPr>
          <w:rStyle w:val="FootnoteReference"/>
        </w:rPr>
        <w:footnoteReference w:id="175"/>
      </w:r>
      <w:r w:rsidR="00593004">
        <w:t xml:space="preserve"> a point also acknowledged by the European Court of Human Rights.</w:t>
      </w:r>
      <w:r w:rsidR="00593004">
        <w:rPr>
          <w:rStyle w:val="FootnoteReference"/>
        </w:rPr>
        <w:footnoteReference w:id="176"/>
      </w:r>
      <w:r w:rsidR="00560A97">
        <w:t xml:space="preserve">   </w:t>
      </w:r>
      <w:r w:rsidR="003174DC">
        <w:t xml:space="preserve">In practical terms, they </w:t>
      </w:r>
      <w:r w:rsidR="00734D62">
        <w:t>must implement appropriate budge</w:t>
      </w:r>
      <w:r w:rsidR="002862B9">
        <w:t>t</w:t>
      </w:r>
      <w:r w:rsidR="00734D62">
        <w:t xml:space="preserve"> allocation and confiscate criminal proceeds effectively </w:t>
      </w:r>
      <w:r w:rsidR="00366A7F">
        <w:t xml:space="preserve">as a starting point </w:t>
      </w:r>
      <w:r w:rsidR="00734D62">
        <w:t xml:space="preserve">so that there will be enough resources to fulfil the obligation to protect the victims of transnational organised crime.   </w:t>
      </w:r>
    </w:p>
    <w:p w:rsidR="003A5BBA" w:rsidRPr="000331B7" w:rsidRDefault="004C4B0C" w:rsidP="00FB41E6">
      <w:pPr>
        <w:spacing w:line="480" w:lineRule="auto"/>
        <w:rPr>
          <w:rFonts w:ascii="Times New Roman" w:hAnsi="Times New Roman" w:cs="Times New Roman"/>
          <w:b/>
          <w:i/>
          <w:sz w:val="24"/>
          <w:szCs w:val="24"/>
        </w:rPr>
      </w:pPr>
      <w:r w:rsidRPr="000331B7">
        <w:rPr>
          <w:rFonts w:ascii="Times New Roman" w:hAnsi="Times New Roman" w:cs="Times New Roman"/>
          <w:b/>
          <w:i/>
          <w:sz w:val="24"/>
          <w:szCs w:val="24"/>
        </w:rPr>
        <w:t xml:space="preserve">Obligation to Prevent Transnational Organised Crime </w:t>
      </w:r>
    </w:p>
    <w:p w:rsidR="00A678D7" w:rsidRDefault="005C3297" w:rsidP="007F0D7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accordance with Article 31 of </w:t>
      </w:r>
      <w:r w:rsidR="00DF4C50">
        <w:rPr>
          <w:rFonts w:ascii="Times New Roman" w:hAnsi="Times New Roman" w:cs="Times New Roman"/>
          <w:sz w:val="24"/>
          <w:szCs w:val="24"/>
        </w:rPr>
        <w:t xml:space="preserve">the </w:t>
      </w:r>
      <w:r>
        <w:rPr>
          <w:rFonts w:ascii="Times New Roman" w:hAnsi="Times New Roman" w:cs="Times New Roman"/>
          <w:sz w:val="24"/>
          <w:szCs w:val="24"/>
        </w:rPr>
        <w:t>UNTOC, States are to implement measures</w:t>
      </w:r>
      <w:r w:rsidR="00C07A74">
        <w:rPr>
          <w:rFonts w:ascii="Times New Roman" w:hAnsi="Times New Roman" w:cs="Times New Roman"/>
          <w:sz w:val="24"/>
          <w:szCs w:val="24"/>
        </w:rPr>
        <w:t>, through active co-operation between the law enforcement/public authorities and private entities,</w:t>
      </w:r>
      <w:r>
        <w:rPr>
          <w:rFonts w:ascii="Times New Roman" w:hAnsi="Times New Roman" w:cs="Times New Roman"/>
          <w:sz w:val="24"/>
          <w:szCs w:val="24"/>
        </w:rPr>
        <w:t xml:space="preserve"> </w:t>
      </w:r>
      <w:r w:rsidR="00EC5CCE">
        <w:rPr>
          <w:rFonts w:ascii="Times New Roman" w:hAnsi="Times New Roman" w:cs="Times New Roman"/>
          <w:sz w:val="24"/>
          <w:szCs w:val="24"/>
        </w:rPr>
        <w:t xml:space="preserve">such as </w:t>
      </w:r>
      <w:r>
        <w:rPr>
          <w:rFonts w:ascii="Times New Roman" w:hAnsi="Times New Roman" w:cs="Times New Roman"/>
          <w:sz w:val="24"/>
          <w:szCs w:val="24"/>
        </w:rPr>
        <w:t>prevent</w:t>
      </w:r>
      <w:r w:rsidR="00EC5CCE">
        <w:rPr>
          <w:rFonts w:ascii="Times New Roman" w:hAnsi="Times New Roman" w:cs="Times New Roman"/>
          <w:sz w:val="24"/>
          <w:szCs w:val="24"/>
        </w:rPr>
        <w:t>ion of</w:t>
      </w:r>
      <w:r>
        <w:rPr>
          <w:rFonts w:ascii="Times New Roman" w:hAnsi="Times New Roman" w:cs="Times New Roman"/>
          <w:sz w:val="24"/>
          <w:szCs w:val="24"/>
        </w:rPr>
        <w:t xml:space="preserve"> the manipulation of legal markets by organised criminal groups, reintegration of criminals </w:t>
      </w:r>
      <w:r w:rsidR="00C07A74">
        <w:rPr>
          <w:rFonts w:ascii="Times New Roman" w:hAnsi="Times New Roman" w:cs="Times New Roman"/>
          <w:sz w:val="24"/>
          <w:szCs w:val="24"/>
        </w:rPr>
        <w:t xml:space="preserve">and </w:t>
      </w:r>
      <w:r>
        <w:rPr>
          <w:rFonts w:ascii="Times New Roman" w:hAnsi="Times New Roman" w:cs="Times New Roman"/>
          <w:sz w:val="24"/>
          <w:szCs w:val="24"/>
        </w:rPr>
        <w:t>awareness-raising for the general public</w:t>
      </w:r>
      <w:r w:rsidR="00C07A74">
        <w:rPr>
          <w:rFonts w:ascii="Times New Roman" w:hAnsi="Times New Roman" w:cs="Times New Roman"/>
          <w:sz w:val="24"/>
          <w:szCs w:val="24"/>
        </w:rPr>
        <w:t xml:space="preserve">.  </w:t>
      </w:r>
      <w:r w:rsidR="00DF4C50">
        <w:rPr>
          <w:rFonts w:ascii="Times New Roman" w:hAnsi="Times New Roman" w:cs="Times New Roman"/>
          <w:sz w:val="24"/>
          <w:szCs w:val="24"/>
        </w:rPr>
        <w:t xml:space="preserve">While these undoubtedly </w:t>
      </w:r>
      <w:r w:rsidR="00477D07">
        <w:rPr>
          <w:rFonts w:ascii="Times New Roman" w:hAnsi="Times New Roman" w:cs="Times New Roman"/>
          <w:sz w:val="24"/>
          <w:szCs w:val="24"/>
        </w:rPr>
        <w:t xml:space="preserve">are </w:t>
      </w:r>
      <w:r w:rsidR="00BA7998">
        <w:rPr>
          <w:rFonts w:ascii="Times New Roman" w:hAnsi="Times New Roman" w:cs="Times New Roman"/>
          <w:sz w:val="24"/>
          <w:szCs w:val="24"/>
        </w:rPr>
        <w:t>useful</w:t>
      </w:r>
      <w:r w:rsidR="00DF4C50">
        <w:rPr>
          <w:rFonts w:ascii="Times New Roman" w:hAnsi="Times New Roman" w:cs="Times New Roman"/>
          <w:sz w:val="24"/>
          <w:szCs w:val="24"/>
        </w:rPr>
        <w:t>, a major</w:t>
      </w:r>
      <w:r w:rsidR="00C07A74">
        <w:rPr>
          <w:rFonts w:ascii="Times New Roman" w:hAnsi="Times New Roman" w:cs="Times New Roman"/>
          <w:sz w:val="24"/>
          <w:szCs w:val="24"/>
        </w:rPr>
        <w:t xml:space="preserve"> drawback</w:t>
      </w:r>
      <w:r w:rsidR="00DF4C50">
        <w:rPr>
          <w:rFonts w:ascii="Times New Roman" w:hAnsi="Times New Roman" w:cs="Times New Roman"/>
          <w:sz w:val="24"/>
          <w:szCs w:val="24"/>
        </w:rPr>
        <w:t xml:space="preserve"> of the UNTOC </w:t>
      </w:r>
      <w:r w:rsidR="00C07A74">
        <w:rPr>
          <w:rFonts w:ascii="Times New Roman" w:hAnsi="Times New Roman" w:cs="Times New Roman"/>
          <w:sz w:val="24"/>
          <w:szCs w:val="24"/>
        </w:rPr>
        <w:t xml:space="preserve">is that </w:t>
      </w:r>
      <w:r w:rsidR="00697C8D">
        <w:rPr>
          <w:rFonts w:ascii="Times New Roman" w:hAnsi="Times New Roman" w:cs="Times New Roman"/>
          <w:sz w:val="24"/>
          <w:szCs w:val="24"/>
        </w:rPr>
        <w:t xml:space="preserve">it </w:t>
      </w:r>
      <w:r w:rsidR="00C07A74">
        <w:rPr>
          <w:rFonts w:ascii="Times New Roman" w:hAnsi="Times New Roman" w:cs="Times New Roman"/>
          <w:sz w:val="24"/>
          <w:szCs w:val="24"/>
        </w:rPr>
        <w:t xml:space="preserve">is silent on the need to tackle </w:t>
      </w:r>
      <w:r w:rsidR="0059370B">
        <w:rPr>
          <w:rFonts w:ascii="Times New Roman" w:hAnsi="Times New Roman" w:cs="Times New Roman"/>
          <w:sz w:val="24"/>
          <w:szCs w:val="24"/>
        </w:rPr>
        <w:t xml:space="preserve">the supply-demand dynamics </w:t>
      </w:r>
      <w:r w:rsidR="00205FB2">
        <w:rPr>
          <w:rFonts w:ascii="Times New Roman" w:hAnsi="Times New Roman" w:cs="Times New Roman"/>
          <w:sz w:val="24"/>
          <w:szCs w:val="24"/>
        </w:rPr>
        <w:t>through</w:t>
      </w:r>
      <w:r w:rsidR="0059370B">
        <w:rPr>
          <w:rFonts w:ascii="Times New Roman" w:hAnsi="Times New Roman" w:cs="Times New Roman"/>
          <w:sz w:val="24"/>
          <w:szCs w:val="24"/>
        </w:rPr>
        <w:t xml:space="preserve"> which organised crime </w:t>
      </w:r>
      <w:r w:rsidR="00205FB2">
        <w:rPr>
          <w:rFonts w:ascii="Times New Roman" w:hAnsi="Times New Roman" w:cs="Times New Roman"/>
          <w:sz w:val="24"/>
          <w:szCs w:val="24"/>
        </w:rPr>
        <w:t>thrives</w:t>
      </w:r>
      <w:r w:rsidR="0059370B">
        <w:rPr>
          <w:rFonts w:ascii="Times New Roman" w:hAnsi="Times New Roman" w:cs="Times New Roman"/>
          <w:sz w:val="24"/>
          <w:szCs w:val="24"/>
        </w:rPr>
        <w:t>.</w:t>
      </w:r>
      <w:r w:rsidR="00C07A74">
        <w:rPr>
          <w:rStyle w:val="FootnoteReference"/>
          <w:rFonts w:ascii="Times New Roman" w:hAnsi="Times New Roman" w:cs="Times New Roman"/>
          <w:sz w:val="24"/>
          <w:szCs w:val="24"/>
        </w:rPr>
        <w:footnoteReference w:id="177"/>
      </w:r>
      <w:r w:rsidR="0059370B">
        <w:rPr>
          <w:rFonts w:ascii="Times New Roman" w:hAnsi="Times New Roman" w:cs="Times New Roman"/>
          <w:sz w:val="24"/>
          <w:szCs w:val="24"/>
        </w:rPr>
        <w:t xml:space="preserve">  Criminals will continue to create and operate </w:t>
      </w:r>
      <w:r w:rsidR="00611FF6">
        <w:rPr>
          <w:rFonts w:ascii="Times New Roman" w:hAnsi="Times New Roman" w:cs="Times New Roman"/>
          <w:sz w:val="24"/>
          <w:szCs w:val="24"/>
        </w:rPr>
        <w:t xml:space="preserve">in the </w:t>
      </w:r>
      <w:r w:rsidR="0059370B">
        <w:rPr>
          <w:rFonts w:ascii="Times New Roman" w:hAnsi="Times New Roman" w:cs="Times New Roman"/>
          <w:sz w:val="24"/>
          <w:szCs w:val="24"/>
        </w:rPr>
        <w:t xml:space="preserve">markets for illegal goods and services such as drugs, wildlife and human beings as long as there is strong </w:t>
      </w:r>
      <w:r w:rsidR="00DC5B0A">
        <w:rPr>
          <w:rFonts w:ascii="Times New Roman" w:hAnsi="Times New Roman" w:cs="Times New Roman"/>
          <w:sz w:val="24"/>
          <w:szCs w:val="24"/>
        </w:rPr>
        <w:t xml:space="preserve">global </w:t>
      </w:r>
      <w:r w:rsidR="0059370B">
        <w:rPr>
          <w:rFonts w:ascii="Times New Roman" w:hAnsi="Times New Roman" w:cs="Times New Roman"/>
          <w:sz w:val="24"/>
          <w:szCs w:val="24"/>
        </w:rPr>
        <w:t>demand for them</w:t>
      </w:r>
      <w:r w:rsidR="005D4139">
        <w:rPr>
          <w:rFonts w:ascii="Times New Roman" w:hAnsi="Times New Roman" w:cs="Times New Roman"/>
          <w:sz w:val="24"/>
          <w:szCs w:val="24"/>
        </w:rPr>
        <w:t xml:space="preserve">.  </w:t>
      </w:r>
      <w:r w:rsidR="001505CA">
        <w:rPr>
          <w:rFonts w:ascii="Times New Roman" w:hAnsi="Times New Roman" w:cs="Times New Roman"/>
          <w:sz w:val="24"/>
          <w:szCs w:val="24"/>
        </w:rPr>
        <w:t xml:space="preserve">Any prevention strategy should therefore pay </w:t>
      </w:r>
      <w:proofErr w:type="gramStart"/>
      <w:r w:rsidR="001505CA">
        <w:rPr>
          <w:rFonts w:ascii="Times New Roman" w:hAnsi="Times New Roman" w:cs="Times New Roman"/>
          <w:sz w:val="24"/>
          <w:szCs w:val="24"/>
        </w:rPr>
        <w:t>sufficient</w:t>
      </w:r>
      <w:proofErr w:type="gramEnd"/>
      <w:r w:rsidR="001505CA">
        <w:rPr>
          <w:rFonts w:ascii="Times New Roman" w:hAnsi="Times New Roman" w:cs="Times New Roman"/>
          <w:sz w:val="24"/>
          <w:szCs w:val="24"/>
        </w:rPr>
        <w:t xml:space="preserve"> attention to</w:t>
      </w:r>
      <w:r w:rsidR="00272331">
        <w:rPr>
          <w:rFonts w:ascii="Times New Roman" w:hAnsi="Times New Roman" w:cs="Times New Roman"/>
          <w:sz w:val="24"/>
          <w:szCs w:val="24"/>
        </w:rPr>
        <w:t xml:space="preserve"> </w:t>
      </w:r>
      <w:r w:rsidR="00E6497A">
        <w:rPr>
          <w:rFonts w:ascii="Times New Roman" w:hAnsi="Times New Roman" w:cs="Times New Roman"/>
          <w:sz w:val="24"/>
          <w:szCs w:val="24"/>
        </w:rPr>
        <w:t>the supply-demand</w:t>
      </w:r>
      <w:r w:rsidR="007114FC">
        <w:rPr>
          <w:rFonts w:ascii="Times New Roman" w:hAnsi="Times New Roman" w:cs="Times New Roman"/>
          <w:sz w:val="24"/>
          <w:szCs w:val="24"/>
        </w:rPr>
        <w:t xml:space="preserve"> </w:t>
      </w:r>
      <w:r w:rsidR="005F27CD">
        <w:rPr>
          <w:rFonts w:ascii="Times New Roman" w:hAnsi="Times New Roman" w:cs="Times New Roman"/>
          <w:sz w:val="24"/>
          <w:szCs w:val="24"/>
        </w:rPr>
        <w:t>dynamics</w:t>
      </w:r>
      <w:r w:rsidR="00C07A74">
        <w:rPr>
          <w:rFonts w:ascii="Times New Roman" w:hAnsi="Times New Roman" w:cs="Times New Roman"/>
          <w:sz w:val="24"/>
          <w:szCs w:val="24"/>
        </w:rPr>
        <w:t xml:space="preserve">, and international human rights law can fill some gaps created by </w:t>
      </w:r>
      <w:r w:rsidR="00DF4C50">
        <w:rPr>
          <w:rFonts w:ascii="Times New Roman" w:hAnsi="Times New Roman" w:cs="Times New Roman"/>
          <w:sz w:val="24"/>
          <w:szCs w:val="24"/>
        </w:rPr>
        <w:t xml:space="preserve">the </w:t>
      </w:r>
      <w:r w:rsidR="00C07A74">
        <w:rPr>
          <w:rFonts w:ascii="Times New Roman" w:hAnsi="Times New Roman" w:cs="Times New Roman"/>
          <w:sz w:val="24"/>
          <w:szCs w:val="24"/>
        </w:rPr>
        <w:t>UNTOC</w:t>
      </w:r>
      <w:r w:rsidR="002A323C">
        <w:rPr>
          <w:rFonts w:ascii="Times New Roman" w:hAnsi="Times New Roman" w:cs="Times New Roman"/>
          <w:sz w:val="24"/>
          <w:szCs w:val="24"/>
        </w:rPr>
        <w:t xml:space="preserve">.  </w:t>
      </w:r>
    </w:p>
    <w:p w:rsidR="004B534B" w:rsidRDefault="002B2D2E" w:rsidP="002B2D2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678D7">
        <w:rPr>
          <w:rFonts w:ascii="Times New Roman" w:hAnsi="Times New Roman" w:cs="Times New Roman"/>
          <w:sz w:val="24"/>
          <w:szCs w:val="24"/>
        </w:rPr>
        <w:t xml:space="preserve">It should be stated from the outset that </w:t>
      </w:r>
      <w:r w:rsidR="007114FC">
        <w:rPr>
          <w:rFonts w:ascii="Times New Roman" w:hAnsi="Times New Roman" w:cs="Times New Roman"/>
          <w:sz w:val="24"/>
          <w:szCs w:val="24"/>
        </w:rPr>
        <w:t>it is not as simpl</w:t>
      </w:r>
      <w:r w:rsidR="0024664C">
        <w:rPr>
          <w:rFonts w:ascii="Times New Roman" w:hAnsi="Times New Roman" w:cs="Times New Roman"/>
          <w:sz w:val="24"/>
          <w:szCs w:val="24"/>
        </w:rPr>
        <w:t>e</w:t>
      </w:r>
      <w:r w:rsidR="007114FC">
        <w:rPr>
          <w:rFonts w:ascii="Times New Roman" w:hAnsi="Times New Roman" w:cs="Times New Roman"/>
          <w:sz w:val="24"/>
          <w:szCs w:val="24"/>
        </w:rPr>
        <w:t xml:space="preserve"> as criminalising</w:t>
      </w:r>
      <w:r w:rsidR="00085E6E">
        <w:rPr>
          <w:rFonts w:ascii="Times New Roman" w:hAnsi="Times New Roman" w:cs="Times New Roman"/>
          <w:sz w:val="24"/>
          <w:szCs w:val="24"/>
        </w:rPr>
        <w:t xml:space="preserve"> the production or</w:t>
      </w:r>
      <w:r w:rsidR="00F37C25">
        <w:rPr>
          <w:rFonts w:ascii="Times New Roman" w:hAnsi="Times New Roman" w:cs="Times New Roman"/>
          <w:sz w:val="24"/>
          <w:szCs w:val="24"/>
        </w:rPr>
        <w:t xml:space="preserve"> </w:t>
      </w:r>
      <w:r w:rsidR="007114FC">
        <w:rPr>
          <w:rFonts w:ascii="Times New Roman" w:hAnsi="Times New Roman" w:cs="Times New Roman"/>
          <w:sz w:val="24"/>
          <w:szCs w:val="24"/>
        </w:rPr>
        <w:t>consu</w:t>
      </w:r>
      <w:r w:rsidR="00085E6E">
        <w:rPr>
          <w:rFonts w:ascii="Times New Roman" w:hAnsi="Times New Roman" w:cs="Times New Roman"/>
          <w:sz w:val="24"/>
          <w:szCs w:val="24"/>
        </w:rPr>
        <w:t>mption</w:t>
      </w:r>
      <w:r w:rsidR="007114FC">
        <w:rPr>
          <w:rFonts w:ascii="Times New Roman" w:hAnsi="Times New Roman" w:cs="Times New Roman"/>
          <w:sz w:val="24"/>
          <w:szCs w:val="24"/>
        </w:rPr>
        <w:t xml:space="preserve"> </w:t>
      </w:r>
      <w:r w:rsidR="00085E6E">
        <w:rPr>
          <w:rFonts w:ascii="Times New Roman" w:hAnsi="Times New Roman" w:cs="Times New Roman"/>
          <w:sz w:val="24"/>
          <w:szCs w:val="24"/>
        </w:rPr>
        <w:t xml:space="preserve">of various goods and services </w:t>
      </w:r>
      <w:r w:rsidR="007114FC">
        <w:rPr>
          <w:rFonts w:ascii="Times New Roman" w:hAnsi="Times New Roman" w:cs="Times New Roman"/>
          <w:sz w:val="24"/>
          <w:szCs w:val="24"/>
        </w:rPr>
        <w:t xml:space="preserve">as there are many complex issues surrounding the supply-demand dynamics. </w:t>
      </w:r>
      <w:r>
        <w:rPr>
          <w:rFonts w:ascii="Times New Roman" w:hAnsi="Times New Roman" w:cs="Times New Roman"/>
          <w:sz w:val="24"/>
          <w:szCs w:val="24"/>
        </w:rPr>
        <w:t xml:space="preserve"> </w:t>
      </w:r>
      <w:r w:rsidR="00F27EC5">
        <w:rPr>
          <w:rFonts w:ascii="Times New Roman" w:hAnsi="Times New Roman" w:cs="Times New Roman"/>
          <w:sz w:val="24"/>
          <w:szCs w:val="24"/>
        </w:rPr>
        <w:t xml:space="preserve">In relation to drug production, for instance, </w:t>
      </w:r>
      <w:r w:rsidR="007E1AEA">
        <w:rPr>
          <w:rFonts w:ascii="Times New Roman" w:hAnsi="Times New Roman" w:cs="Times New Roman"/>
          <w:sz w:val="24"/>
          <w:szCs w:val="24"/>
        </w:rPr>
        <w:t>it has</w:t>
      </w:r>
      <w:r w:rsidR="00E541D1">
        <w:rPr>
          <w:rFonts w:ascii="Times New Roman" w:hAnsi="Times New Roman" w:cs="Times New Roman"/>
          <w:sz w:val="24"/>
          <w:szCs w:val="24"/>
        </w:rPr>
        <w:t xml:space="preserve"> </w:t>
      </w:r>
      <w:r w:rsidR="007E1AEA">
        <w:rPr>
          <w:rFonts w:ascii="Times New Roman" w:hAnsi="Times New Roman" w:cs="Times New Roman"/>
          <w:sz w:val="24"/>
          <w:szCs w:val="24"/>
        </w:rPr>
        <w:t>been</w:t>
      </w:r>
      <w:r w:rsidR="00E541D1">
        <w:rPr>
          <w:rFonts w:ascii="Times New Roman" w:hAnsi="Times New Roman" w:cs="Times New Roman"/>
          <w:sz w:val="24"/>
          <w:szCs w:val="24"/>
        </w:rPr>
        <w:t xml:space="preserve"> argued</w:t>
      </w:r>
      <w:r w:rsidR="005A5AA9">
        <w:rPr>
          <w:rFonts w:ascii="Times New Roman" w:hAnsi="Times New Roman" w:cs="Times New Roman"/>
          <w:sz w:val="24"/>
          <w:szCs w:val="24"/>
        </w:rPr>
        <w:t xml:space="preserve"> that </w:t>
      </w:r>
      <w:r w:rsidR="00362637">
        <w:rPr>
          <w:rFonts w:ascii="Times New Roman" w:hAnsi="Times New Roman" w:cs="Times New Roman"/>
          <w:sz w:val="24"/>
          <w:szCs w:val="24"/>
        </w:rPr>
        <w:t xml:space="preserve">a prohibitionist strategy of </w:t>
      </w:r>
      <w:r w:rsidR="003C1615">
        <w:rPr>
          <w:rFonts w:ascii="Times New Roman" w:hAnsi="Times New Roman" w:cs="Times New Roman"/>
          <w:sz w:val="24"/>
          <w:szCs w:val="24"/>
        </w:rPr>
        <w:t xml:space="preserve">forcible </w:t>
      </w:r>
      <w:r w:rsidR="007C112C">
        <w:rPr>
          <w:rFonts w:ascii="Times New Roman" w:hAnsi="Times New Roman" w:cs="Times New Roman"/>
          <w:sz w:val="24"/>
          <w:szCs w:val="24"/>
        </w:rPr>
        <w:t xml:space="preserve">crop </w:t>
      </w:r>
      <w:r w:rsidR="003C1615">
        <w:rPr>
          <w:rFonts w:ascii="Times New Roman" w:hAnsi="Times New Roman" w:cs="Times New Roman"/>
          <w:sz w:val="24"/>
          <w:szCs w:val="24"/>
        </w:rPr>
        <w:t>eradication</w:t>
      </w:r>
      <w:r w:rsidR="007C112C">
        <w:rPr>
          <w:rFonts w:ascii="Times New Roman" w:hAnsi="Times New Roman" w:cs="Times New Roman"/>
          <w:sz w:val="24"/>
          <w:szCs w:val="24"/>
        </w:rPr>
        <w:t xml:space="preserve"> </w:t>
      </w:r>
      <w:r w:rsidR="003C1615">
        <w:rPr>
          <w:rFonts w:ascii="Times New Roman" w:hAnsi="Times New Roman" w:cs="Times New Roman"/>
          <w:sz w:val="24"/>
          <w:szCs w:val="24"/>
        </w:rPr>
        <w:t xml:space="preserve">(e.g. aerial </w:t>
      </w:r>
      <w:r w:rsidR="00362637">
        <w:rPr>
          <w:rFonts w:ascii="Times New Roman" w:hAnsi="Times New Roman" w:cs="Times New Roman"/>
          <w:sz w:val="24"/>
          <w:szCs w:val="24"/>
        </w:rPr>
        <w:t>fumigation</w:t>
      </w:r>
      <w:r w:rsidR="003C1615">
        <w:rPr>
          <w:rFonts w:ascii="Times New Roman" w:hAnsi="Times New Roman" w:cs="Times New Roman"/>
          <w:sz w:val="24"/>
          <w:szCs w:val="24"/>
        </w:rPr>
        <w:t>)</w:t>
      </w:r>
      <w:r w:rsidR="00194C7F">
        <w:rPr>
          <w:rFonts w:ascii="Times New Roman" w:hAnsi="Times New Roman" w:cs="Times New Roman"/>
          <w:sz w:val="24"/>
          <w:szCs w:val="24"/>
        </w:rPr>
        <w:t xml:space="preserve">, </w:t>
      </w:r>
      <w:r w:rsidR="00225FA9">
        <w:rPr>
          <w:rFonts w:ascii="Times New Roman" w:hAnsi="Times New Roman" w:cs="Times New Roman"/>
          <w:sz w:val="24"/>
          <w:szCs w:val="24"/>
        </w:rPr>
        <w:t>prevalent particularly</w:t>
      </w:r>
      <w:r w:rsidR="00380960">
        <w:rPr>
          <w:rFonts w:ascii="Times New Roman" w:hAnsi="Times New Roman" w:cs="Times New Roman"/>
          <w:sz w:val="24"/>
          <w:szCs w:val="24"/>
        </w:rPr>
        <w:t xml:space="preserve"> </w:t>
      </w:r>
      <w:r w:rsidR="007114FC">
        <w:rPr>
          <w:rFonts w:ascii="Times New Roman" w:hAnsi="Times New Roman" w:cs="Times New Roman"/>
          <w:sz w:val="24"/>
          <w:szCs w:val="24"/>
        </w:rPr>
        <w:t>in</w:t>
      </w:r>
      <w:r w:rsidR="00380960">
        <w:rPr>
          <w:rFonts w:ascii="Times New Roman" w:hAnsi="Times New Roman" w:cs="Times New Roman"/>
          <w:sz w:val="24"/>
          <w:szCs w:val="24"/>
        </w:rPr>
        <w:t xml:space="preserve"> </w:t>
      </w:r>
      <w:r w:rsidR="007114FC">
        <w:rPr>
          <w:rFonts w:ascii="Times New Roman" w:hAnsi="Times New Roman" w:cs="Times New Roman"/>
          <w:sz w:val="24"/>
          <w:szCs w:val="24"/>
        </w:rPr>
        <w:t>Latin America</w:t>
      </w:r>
      <w:r w:rsidR="00194C7F">
        <w:rPr>
          <w:rFonts w:ascii="Times New Roman" w:hAnsi="Times New Roman" w:cs="Times New Roman"/>
          <w:sz w:val="24"/>
          <w:szCs w:val="24"/>
        </w:rPr>
        <w:t xml:space="preserve">, </w:t>
      </w:r>
      <w:r w:rsidR="00707DAD">
        <w:rPr>
          <w:rFonts w:ascii="Times New Roman" w:hAnsi="Times New Roman" w:cs="Times New Roman"/>
          <w:sz w:val="24"/>
          <w:szCs w:val="24"/>
        </w:rPr>
        <w:t xml:space="preserve">has </w:t>
      </w:r>
      <w:r w:rsidR="005E43F3">
        <w:rPr>
          <w:rFonts w:ascii="Times New Roman" w:hAnsi="Times New Roman" w:cs="Times New Roman"/>
          <w:sz w:val="24"/>
          <w:szCs w:val="24"/>
        </w:rPr>
        <w:t xml:space="preserve">actually </w:t>
      </w:r>
      <w:r w:rsidR="00707DAD">
        <w:rPr>
          <w:rFonts w:ascii="Times New Roman" w:hAnsi="Times New Roman" w:cs="Times New Roman"/>
          <w:sz w:val="24"/>
          <w:szCs w:val="24"/>
        </w:rPr>
        <w:t>led to</w:t>
      </w:r>
      <w:r w:rsidR="00D61A83">
        <w:rPr>
          <w:rFonts w:ascii="Times New Roman" w:hAnsi="Times New Roman" w:cs="Times New Roman"/>
          <w:sz w:val="24"/>
          <w:szCs w:val="24"/>
        </w:rPr>
        <w:t xml:space="preserve"> </w:t>
      </w:r>
      <w:r w:rsidR="00707DAD">
        <w:rPr>
          <w:rFonts w:ascii="Times New Roman" w:hAnsi="Times New Roman" w:cs="Times New Roman"/>
          <w:sz w:val="24"/>
          <w:szCs w:val="24"/>
        </w:rPr>
        <w:t xml:space="preserve">violations of </w:t>
      </w:r>
      <w:r w:rsidR="00613167">
        <w:rPr>
          <w:rFonts w:ascii="Times New Roman" w:hAnsi="Times New Roman" w:cs="Times New Roman"/>
          <w:sz w:val="24"/>
          <w:szCs w:val="24"/>
        </w:rPr>
        <w:t xml:space="preserve">the rights </w:t>
      </w:r>
      <w:r w:rsidR="00C427EA">
        <w:rPr>
          <w:rFonts w:ascii="Times New Roman" w:hAnsi="Times New Roman" w:cs="Times New Roman"/>
          <w:sz w:val="24"/>
          <w:szCs w:val="24"/>
        </w:rPr>
        <w:t xml:space="preserve">to </w:t>
      </w:r>
      <w:r w:rsidR="00613167">
        <w:rPr>
          <w:rFonts w:ascii="Times New Roman" w:hAnsi="Times New Roman" w:cs="Times New Roman"/>
          <w:sz w:val="24"/>
          <w:szCs w:val="24"/>
        </w:rPr>
        <w:t>health and adequate standards of living</w:t>
      </w:r>
      <w:r w:rsidR="00D61A83">
        <w:rPr>
          <w:rFonts w:ascii="Times New Roman" w:hAnsi="Times New Roman" w:cs="Times New Roman"/>
          <w:sz w:val="24"/>
          <w:szCs w:val="24"/>
        </w:rPr>
        <w:t xml:space="preserve"> of local populations.</w:t>
      </w:r>
      <w:r w:rsidR="003C1615">
        <w:rPr>
          <w:rStyle w:val="FootnoteReference"/>
          <w:rFonts w:ascii="Times New Roman" w:hAnsi="Times New Roman" w:cs="Times New Roman"/>
          <w:sz w:val="24"/>
          <w:szCs w:val="24"/>
        </w:rPr>
        <w:footnoteReference w:id="178"/>
      </w:r>
      <w:r w:rsidR="00D61A83">
        <w:rPr>
          <w:rFonts w:ascii="Times New Roman" w:hAnsi="Times New Roman" w:cs="Times New Roman"/>
          <w:sz w:val="24"/>
          <w:szCs w:val="24"/>
        </w:rPr>
        <w:t xml:space="preserve">  </w:t>
      </w:r>
      <w:r w:rsidR="007F0D73">
        <w:rPr>
          <w:rFonts w:ascii="Times New Roman" w:hAnsi="Times New Roman" w:cs="Times New Roman"/>
          <w:sz w:val="24"/>
          <w:szCs w:val="24"/>
        </w:rPr>
        <w:t xml:space="preserve">It has </w:t>
      </w:r>
      <w:r w:rsidR="00BA3ECF">
        <w:rPr>
          <w:rFonts w:ascii="Times New Roman" w:hAnsi="Times New Roman" w:cs="Times New Roman"/>
          <w:sz w:val="24"/>
          <w:szCs w:val="24"/>
        </w:rPr>
        <w:t>also resulted</w:t>
      </w:r>
      <w:r w:rsidR="007F0D73">
        <w:rPr>
          <w:rFonts w:ascii="Times New Roman" w:hAnsi="Times New Roman" w:cs="Times New Roman"/>
          <w:sz w:val="24"/>
          <w:szCs w:val="24"/>
        </w:rPr>
        <w:t xml:space="preserve"> </w:t>
      </w:r>
      <w:r w:rsidR="005A5AA9">
        <w:rPr>
          <w:rFonts w:ascii="Times New Roman" w:hAnsi="Times New Roman" w:cs="Times New Roman"/>
          <w:sz w:val="24"/>
          <w:szCs w:val="24"/>
        </w:rPr>
        <w:t xml:space="preserve">in </w:t>
      </w:r>
      <w:r w:rsidR="007F0D73">
        <w:rPr>
          <w:rFonts w:ascii="Times New Roman" w:hAnsi="Times New Roman" w:cs="Times New Roman"/>
          <w:sz w:val="24"/>
          <w:szCs w:val="24"/>
        </w:rPr>
        <w:t>other undesirable consequences such as reduced investments in public health, education, infrastructure</w:t>
      </w:r>
      <w:r w:rsidR="007F0D73">
        <w:rPr>
          <w:rStyle w:val="FootnoteReference"/>
          <w:rFonts w:ascii="Times New Roman" w:hAnsi="Times New Roman" w:cs="Times New Roman"/>
          <w:sz w:val="24"/>
          <w:szCs w:val="24"/>
        </w:rPr>
        <w:footnoteReference w:id="179"/>
      </w:r>
      <w:r w:rsidR="007F0D73">
        <w:rPr>
          <w:rFonts w:ascii="Times New Roman" w:hAnsi="Times New Roman" w:cs="Times New Roman"/>
          <w:sz w:val="24"/>
          <w:szCs w:val="24"/>
        </w:rPr>
        <w:t xml:space="preserve"> </w:t>
      </w:r>
      <w:r w:rsidR="00BA3ECF">
        <w:rPr>
          <w:rFonts w:ascii="Times New Roman" w:hAnsi="Times New Roman" w:cs="Times New Roman"/>
          <w:sz w:val="24"/>
          <w:szCs w:val="24"/>
        </w:rPr>
        <w:t>and environmental damages</w:t>
      </w:r>
      <w:r w:rsidR="00BA3ECF">
        <w:rPr>
          <w:rStyle w:val="FootnoteReference"/>
          <w:rFonts w:ascii="Times New Roman" w:hAnsi="Times New Roman" w:cs="Times New Roman"/>
          <w:sz w:val="24"/>
          <w:szCs w:val="24"/>
        </w:rPr>
        <w:footnoteReference w:id="180"/>
      </w:r>
      <w:r w:rsidR="007F0D73">
        <w:rPr>
          <w:rFonts w:ascii="Times New Roman" w:hAnsi="Times New Roman" w:cs="Times New Roman"/>
          <w:sz w:val="24"/>
          <w:szCs w:val="24"/>
        </w:rPr>
        <w:t xml:space="preserve"> </w:t>
      </w:r>
      <w:r w:rsidR="001B3F3E">
        <w:rPr>
          <w:rFonts w:ascii="Times New Roman" w:hAnsi="Times New Roman" w:cs="Times New Roman"/>
          <w:sz w:val="24"/>
          <w:szCs w:val="24"/>
        </w:rPr>
        <w:t xml:space="preserve">all of which undoubtedly have had negative impacts on </w:t>
      </w:r>
      <w:r w:rsidR="00F41D42">
        <w:rPr>
          <w:rFonts w:ascii="Times New Roman" w:hAnsi="Times New Roman" w:cs="Times New Roman"/>
          <w:sz w:val="24"/>
          <w:szCs w:val="24"/>
        </w:rPr>
        <w:t>full realisation</w:t>
      </w:r>
      <w:r w:rsidR="007668A6">
        <w:rPr>
          <w:rFonts w:ascii="Times New Roman" w:hAnsi="Times New Roman" w:cs="Times New Roman"/>
          <w:sz w:val="24"/>
          <w:szCs w:val="24"/>
        </w:rPr>
        <w:t xml:space="preserve"> </w:t>
      </w:r>
      <w:r w:rsidR="001B3F3E">
        <w:rPr>
          <w:rFonts w:ascii="Times New Roman" w:hAnsi="Times New Roman" w:cs="Times New Roman"/>
          <w:sz w:val="24"/>
          <w:szCs w:val="24"/>
        </w:rPr>
        <w:t xml:space="preserve">of human rights. </w:t>
      </w:r>
      <w:r w:rsidR="007F0D73">
        <w:rPr>
          <w:rFonts w:ascii="Times New Roman" w:hAnsi="Times New Roman" w:cs="Times New Roman"/>
          <w:sz w:val="24"/>
          <w:szCs w:val="24"/>
        </w:rPr>
        <w:t xml:space="preserve"> </w:t>
      </w:r>
      <w:r w:rsidR="00CD2A48">
        <w:rPr>
          <w:rFonts w:ascii="Times New Roman" w:hAnsi="Times New Roman" w:cs="Times New Roman"/>
          <w:sz w:val="24"/>
          <w:szCs w:val="24"/>
        </w:rPr>
        <w:t xml:space="preserve">In the end, </w:t>
      </w:r>
      <w:r w:rsidR="00575E24">
        <w:rPr>
          <w:rFonts w:ascii="Times New Roman" w:hAnsi="Times New Roman" w:cs="Times New Roman"/>
          <w:sz w:val="24"/>
          <w:szCs w:val="24"/>
        </w:rPr>
        <w:t xml:space="preserve">such an </w:t>
      </w:r>
      <w:r w:rsidR="00D61A83">
        <w:rPr>
          <w:rFonts w:ascii="Times New Roman" w:hAnsi="Times New Roman" w:cs="Times New Roman"/>
          <w:sz w:val="24"/>
          <w:szCs w:val="24"/>
        </w:rPr>
        <w:t xml:space="preserve">approach has </w:t>
      </w:r>
      <w:r w:rsidR="00370EA8">
        <w:rPr>
          <w:rFonts w:ascii="Times New Roman" w:hAnsi="Times New Roman" w:cs="Times New Roman"/>
          <w:sz w:val="24"/>
          <w:szCs w:val="24"/>
        </w:rPr>
        <w:t xml:space="preserve">not </w:t>
      </w:r>
      <w:r w:rsidR="00CC67D2">
        <w:rPr>
          <w:rFonts w:ascii="Times New Roman" w:hAnsi="Times New Roman" w:cs="Times New Roman"/>
          <w:sz w:val="24"/>
          <w:szCs w:val="24"/>
        </w:rPr>
        <w:t xml:space="preserve">lead to </w:t>
      </w:r>
      <w:r w:rsidR="00370EA8">
        <w:rPr>
          <w:rFonts w:ascii="Times New Roman" w:hAnsi="Times New Roman" w:cs="Times New Roman"/>
          <w:sz w:val="24"/>
          <w:szCs w:val="24"/>
        </w:rPr>
        <w:t xml:space="preserve">the reduction of </w:t>
      </w:r>
      <w:r w:rsidR="000F01C5">
        <w:rPr>
          <w:rFonts w:ascii="Times New Roman" w:hAnsi="Times New Roman" w:cs="Times New Roman"/>
          <w:sz w:val="24"/>
          <w:szCs w:val="24"/>
        </w:rPr>
        <w:t xml:space="preserve">drug </w:t>
      </w:r>
      <w:r w:rsidR="00370EA8">
        <w:rPr>
          <w:rFonts w:ascii="Times New Roman" w:hAnsi="Times New Roman" w:cs="Times New Roman"/>
          <w:sz w:val="24"/>
          <w:szCs w:val="24"/>
        </w:rPr>
        <w:t xml:space="preserve">supply as it has driven the illegal production and trafficking further </w:t>
      </w:r>
      <w:r w:rsidR="00370EA8">
        <w:rPr>
          <w:rFonts w:ascii="Times New Roman" w:hAnsi="Times New Roman" w:cs="Times New Roman"/>
          <w:sz w:val="24"/>
          <w:szCs w:val="24"/>
        </w:rPr>
        <w:lastRenderedPageBreak/>
        <w:t>underground</w:t>
      </w:r>
      <w:r w:rsidR="008012DA">
        <w:rPr>
          <w:rFonts w:ascii="Times New Roman" w:hAnsi="Times New Roman" w:cs="Times New Roman"/>
          <w:sz w:val="24"/>
          <w:szCs w:val="24"/>
        </w:rPr>
        <w:t xml:space="preserve"> and increased other problems such as violence and corruption.</w:t>
      </w:r>
      <w:r w:rsidR="00370EA8">
        <w:rPr>
          <w:rStyle w:val="FootnoteReference"/>
          <w:rFonts w:ascii="Times New Roman" w:hAnsi="Times New Roman" w:cs="Times New Roman"/>
          <w:sz w:val="24"/>
          <w:szCs w:val="24"/>
        </w:rPr>
        <w:footnoteReference w:id="181"/>
      </w:r>
      <w:r w:rsidR="00370EA8">
        <w:rPr>
          <w:rFonts w:ascii="Times New Roman" w:hAnsi="Times New Roman" w:cs="Times New Roman"/>
          <w:sz w:val="24"/>
          <w:szCs w:val="24"/>
        </w:rPr>
        <w:t xml:space="preserve"> </w:t>
      </w:r>
      <w:r w:rsidR="004B534B">
        <w:rPr>
          <w:rFonts w:ascii="Times New Roman" w:hAnsi="Times New Roman" w:cs="Times New Roman"/>
          <w:sz w:val="24"/>
          <w:szCs w:val="24"/>
        </w:rPr>
        <w:t xml:space="preserve"> It </w:t>
      </w:r>
      <w:r w:rsidR="002F4D08">
        <w:rPr>
          <w:rFonts w:ascii="Times New Roman" w:hAnsi="Times New Roman" w:cs="Times New Roman"/>
          <w:sz w:val="24"/>
          <w:szCs w:val="24"/>
        </w:rPr>
        <w:t xml:space="preserve">should also be </w:t>
      </w:r>
      <w:r w:rsidR="004B534B">
        <w:rPr>
          <w:rFonts w:ascii="Times New Roman" w:hAnsi="Times New Roman" w:cs="Times New Roman"/>
          <w:sz w:val="24"/>
          <w:szCs w:val="24"/>
        </w:rPr>
        <w:t>stress</w:t>
      </w:r>
      <w:r w:rsidR="002F4D08">
        <w:rPr>
          <w:rFonts w:ascii="Times New Roman" w:hAnsi="Times New Roman" w:cs="Times New Roman"/>
          <w:sz w:val="24"/>
          <w:szCs w:val="24"/>
        </w:rPr>
        <w:t>ed</w:t>
      </w:r>
      <w:r w:rsidR="004B534B">
        <w:rPr>
          <w:rFonts w:ascii="Times New Roman" w:hAnsi="Times New Roman" w:cs="Times New Roman"/>
          <w:sz w:val="24"/>
          <w:szCs w:val="24"/>
        </w:rPr>
        <w:t xml:space="preserve"> here that the most of illegal profits generated from drug production and trade are retained by criminals </w:t>
      </w:r>
      <w:r w:rsidR="006A1746">
        <w:rPr>
          <w:rFonts w:ascii="Times New Roman" w:hAnsi="Times New Roman" w:cs="Times New Roman"/>
          <w:sz w:val="24"/>
          <w:szCs w:val="24"/>
        </w:rPr>
        <w:t xml:space="preserve">who traffic and sell drugs, </w:t>
      </w:r>
      <w:r w:rsidR="00563F06">
        <w:rPr>
          <w:rFonts w:ascii="Times New Roman" w:hAnsi="Times New Roman" w:cs="Times New Roman"/>
          <w:sz w:val="24"/>
          <w:szCs w:val="24"/>
        </w:rPr>
        <w:t>but</w:t>
      </w:r>
      <w:r w:rsidR="006A1746">
        <w:rPr>
          <w:rFonts w:ascii="Times New Roman" w:hAnsi="Times New Roman" w:cs="Times New Roman"/>
          <w:sz w:val="24"/>
          <w:szCs w:val="24"/>
        </w:rPr>
        <w:t xml:space="preserve"> not the producers</w:t>
      </w:r>
      <w:r w:rsidR="00563F06">
        <w:rPr>
          <w:rFonts w:ascii="Times New Roman" w:hAnsi="Times New Roman" w:cs="Times New Roman"/>
          <w:sz w:val="24"/>
          <w:szCs w:val="24"/>
        </w:rPr>
        <w:t>/farmers</w:t>
      </w:r>
      <w:r w:rsidR="004B534B">
        <w:rPr>
          <w:rFonts w:ascii="Times New Roman" w:hAnsi="Times New Roman" w:cs="Times New Roman"/>
          <w:sz w:val="24"/>
          <w:szCs w:val="24"/>
        </w:rPr>
        <w:t>.</w:t>
      </w:r>
      <w:r w:rsidR="006A1746">
        <w:rPr>
          <w:rStyle w:val="FootnoteReference"/>
          <w:rFonts w:ascii="Times New Roman" w:hAnsi="Times New Roman" w:cs="Times New Roman"/>
          <w:sz w:val="24"/>
          <w:szCs w:val="24"/>
        </w:rPr>
        <w:footnoteReference w:id="182"/>
      </w:r>
      <w:r w:rsidR="004B534B">
        <w:rPr>
          <w:rFonts w:ascii="Times New Roman" w:hAnsi="Times New Roman" w:cs="Times New Roman"/>
          <w:sz w:val="24"/>
          <w:szCs w:val="24"/>
        </w:rPr>
        <w:t xml:space="preserve">  Although </w:t>
      </w:r>
      <w:r w:rsidR="00963113">
        <w:rPr>
          <w:rFonts w:ascii="Times New Roman" w:hAnsi="Times New Roman" w:cs="Times New Roman"/>
          <w:sz w:val="24"/>
          <w:szCs w:val="24"/>
        </w:rPr>
        <w:t>many</w:t>
      </w:r>
      <w:r w:rsidR="00674BEB">
        <w:rPr>
          <w:rFonts w:ascii="Times New Roman" w:hAnsi="Times New Roman" w:cs="Times New Roman"/>
          <w:sz w:val="24"/>
          <w:szCs w:val="24"/>
        </w:rPr>
        <w:t xml:space="preserve"> would</w:t>
      </w:r>
      <w:r w:rsidR="00963113">
        <w:rPr>
          <w:rFonts w:ascii="Times New Roman" w:hAnsi="Times New Roman" w:cs="Times New Roman"/>
          <w:sz w:val="24"/>
          <w:szCs w:val="24"/>
        </w:rPr>
        <w:t xml:space="preserve"> agree that the </w:t>
      </w:r>
      <w:r w:rsidR="004B534B">
        <w:rPr>
          <w:rFonts w:ascii="Times New Roman" w:hAnsi="Times New Roman" w:cs="Times New Roman"/>
          <w:sz w:val="24"/>
          <w:szCs w:val="24"/>
        </w:rPr>
        <w:t xml:space="preserve">prosecution and punishment of </w:t>
      </w:r>
      <w:r w:rsidR="000C27F3">
        <w:rPr>
          <w:rFonts w:ascii="Times New Roman" w:hAnsi="Times New Roman" w:cs="Times New Roman"/>
          <w:sz w:val="24"/>
          <w:szCs w:val="24"/>
        </w:rPr>
        <w:t>criminals who accumulate wealth by exploiting vulnerable producers</w:t>
      </w:r>
      <w:r w:rsidR="005F7F1C">
        <w:rPr>
          <w:rFonts w:ascii="Times New Roman" w:hAnsi="Times New Roman" w:cs="Times New Roman"/>
          <w:sz w:val="24"/>
          <w:szCs w:val="24"/>
        </w:rPr>
        <w:t xml:space="preserve"> </w:t>
      </w:r>
      <w:r w:rsidR="00963113">
        <w:rPr>
          <w:rFonts w:ascii="Times New Roman" w:hAnsi="Times New Roman" w:cs="Times New Roman"/>
          <w:sz w:val="24"/>
          <w:szCs w:val="24"/>
        </w:rPr>
        <w:t>is</w:t>
      </w:r>
      <w:r w:rsidR="004B534B">
        <w:rPr>
          <w:rFonts w:ascii="Times New Roman" w:hAnsi="Times New Roman" w:cs="Times New Roman"/>
          <w:sz w:val="24"/>
          <w:szCs w:val="24"/>
        </w:rPr>
        <w:t xml:space="preserve"> reasonable, a question should be asked whether the strict prohibitionist approach against </w:t>
      </w:r>
      <w:r w:rsidR="005F7F1C">
        <w:rPr>
          <w:rFonts w:ascii="Times New Roman" w:hAnsi="Times New Roman" w:cs="Times New Roman"/>
          <w:sz w:val="24"/>
          <w:szCs w:val="24"/>
        </w:rPr>
        <w:t xml:space="preserve">these </w:t>
      </w:r>
      <w:r w:rsidR="004B534B">
        <w:rPr>
          <w:rFonts w:ascii="Times New Roman" w:hAnsi="Times New Roman" w:cs="Times New Roman"/>
          <w:sz w:val="24"/>
          <w:szCs w:val="24"/>
        </w:rPr>
        <w:t>producer</w:t>
      </w:r>
      <w:r w:rsidR="00630417">
        <w:rPr>
          <w:rFonts w:ascii="Times New Roman" w:hAnsi="Times New Roman" w:cs="Times New Roman"/>
          <w:sz w:val="24"/>
          <w:szCs w:val="24"/>
        </w:rPr>
        <w:t>s</w:t>
      </w:r>
      <w:r w:rsidR="004B534B">
        <w:rPr>
          <w:rFonts w:ascii="Times New Roman" w:hAnsi="Times New Roman" w:cs="Times New Roman"/>
          <w:sz w:val="24"/>
          <w:szCs w:val="24"/>
        </w:rPr>
        <w:t xml:space="preserve"> </w:t>
      </w:r>
      <w:r w:rsidR="005F7F1C">
        <w:rPr>
          <w:rFonts w:ascii="Times New Roman" w:hAnsi="Times New Roman" w:cs="Times New Roman"/>
          <w:sz w:val="24"/>
          <w:szCs w:val="24"/>
        </w:rPr>
        <w:t>is appropriate</w:t>
      </w:r>
      <w:r w:rsidR="00630417">
        <w:rPr>
          <w:rFonts w:ascii="Times New Roman" w:hAnsi="Times New Roman" w:cs="Times New Roman"/>
          <w:sz w:val="24"/>
          <w:szCs w:val="24"/>
        </w:rPr>
        <w:t xml:space="preserve"> and/or effective</w:t>
      </w:r>
      <w:r w:rsidR="005F7F1C">
        <w:rPr>
          <w:rFonts w:ascii="Times New Roman" w:hAnsi="Times New Roman" w:cs="Times New Roman"/>
          <w:sz w:val="24"/>
          <w:szCs w:val="24"/>
        </w:rPr>
        <w:t xml:space="preserve">.  </w:t>
      </w:r>
      <w:r w:rsidR="00BF61A8">
        <w:rPr>
          <w:rFonts w:ascii="Times New Roman" w:hAnsi="Times New Roman" w:cs="Times New Roman"/>
          <w:sz w:val="24"/>
          <w:szCs w:val="24"/>
        </w:rPr>
        <w:t>However, many States are likely to maintain this position</w:t>
      </w:r>
      <w:r w:rsidR="00C97B9A">
        <w:rPr>
          <w:rFonts w:ascii="Times New Roman" w:hAnsi="Times New Roman" w:cs="Times New Roman"/>
          <w:sz w:val="24"/>
          <w:szCs w:val="24"/>
        </w:rPr>
        <w:t xml:space="preserve"> for political, social and cultural reasons</w:t>
      </w:r>
      <w:r w:rsidR="00BF61A8">
        <w:rPr>
          <w:rFonts w:ascii="Times New Roman" w:hAnsi="Times New Roman" w:cs="Times New Roman"/>
          <w:sz w:val="24"/>
          <w:szCs w:val="24"/>
        </w:rPr>
        <w:t xml:space="preserve">.  </w:t>
      </w:r>
    </w:p>
    <w:p w:rsidR="00736878" w:rsidRDefault="00160597" w:rsidP="00AC6E00">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other</w:t>
      </w:r>
      <w:r w:rsidR="008B4C5B">
        <w:rPr>
          <w:rFonts w:ascii="Times New Roman" w:hAnsi="Times New Roman" w:cs="Times New Roman"/>
          <w:sz w:val="24"/>
          <w:szCs w:val="24"/>
        </w:rPr>
        <w:t xml:space="preserve"> goods and services</w:t>
      </w:r>
      <w:r>
        <w:rPr>
          <w:rFonts w:ascii="Times New Roman" w:hAnsi="Times New Roman" w:cs="Times New Roman"/>
          <w:sz w:val="24"/>
          <w:szCs w:val="24"/>
        </w:rPr>
        <w:t xml:space="preserve">, decriminalisation </w:t>
      </w:r>
      <w:r w:rsidR="00E62B8C">
        <w:rPr>
          <w:rFonts w:ascii="Times New Roman" w:hAnsi="Times New Roman" w:cs="Times New Roman"/>
          <w:sz w:val="24"/>
          <w:szCs w:val="24"/>
        </w:rPr>
        <w:t>is</w:t>
      </w:r>
      <w:r w:rsidR="008B4C5B">
        <w:rPr>
          <w:rFonts w:ascii="Times New Roman" w:hAnsi="Times New Roman" w:cs="Times New Roman"/>
          <w:sz w:val="24"/>
          <w:szCs w:val="24"/>
        </w:rPr>
        <w:t xml:space="preserve"> being advocated</w:t>
      </w:r>
      <w:r w:rsidR="00E955DA">
        <w:rPr>
          <w:rFonts w:ascii="Times New Roman" w:hAnsi="Times New Roman" w:cs="Times New Roman"/>
          <w:sz w:val="24"/>
          <w:szCs w:val="24"/>
        </w:rPr>
        <w:t xml:space="preserve"> </w:t>
      </w:r>
      <w:r w:rsidR="00BF61A8">
        <w:rPr>
          <w:rFonts w:ascii="Times New Roman" w:hAnsi="Times New Roman" w:cs="Times New Roman"/>
          <w:sz w:val="24"/>
          <w:szCs w:val="24"/>
        </w:rPr>
        <w:t>pro</w:t>
      </w:r>
      <w:r w:rsidR="00E955DA">
        <w:rPr>
          <w:rFonts w:ascii="Times New Roman" w:hAnsi="Times New Roman" w:cs="Times New Roman"/>
          <w:sz w:val="24"/>
          <w:szCs w:val="24"/>
        </w:rPr>
        <w:t>actively</w:t>
      </w:r>
      <w:r>
        <w:rPr>
          <w:rFonts w:ascii="Times New Roman" w:hAnsi="Times New Roman" w:cs="Times New Roman"/>
          <w:sz w:val="24"/>
          <w:szCs w:val="24"/>
        </w:rPr>
        <w:t xml:space="preserve">.  </w:t>
      </w:r>
      <w:r w:rsidR="004D1F6C">
        <w:rPr>
          <w:rFonts w:ascii="Times New Roman" w:hAnsi="Times New Roman" w:cs="Times New Roman"/>
          <w:sz w:val="24"/>
          <w:szCs w:val="24"/>
        </w:rPr>
        <w:t xml:space="preserve">Provision </w:t>
      </w:r>
      <w:r w:rsidR="005C3068">
        <w:rPr>
          <w:rFonts w:ascii="Times New Roman" w:hAnsi="Times New Roman" w:cs="Times New Roman"/>
          <w:sz w:val="24"/>
          <w:szCs w:val="24"/>
        </w:rPr>
        <w:t xml:space="preserve">of </w:t>
      </w:r>
      <w:r>
        <w:rPr>
          <w:rFonts w:ascii="Times New Roman" w:hAnsi="Times New Roman" w:cs="Times New Roman"/>
          <w:sz w:val="24"/>
          <w:szCs w:val="24"/>
        </w:rPr>
        <w:t xml:space="preserve">sexual services is a case in point.  </w:t>
      </w:r>
      <w:r w:rsidR="00BE4ECB">
        <w:rPr>
          <w:rFonts w:ascii="Times New Roman" w:hAnsi="Times New Roman" w:cs="Times New Roman"/>
          <w:sz w:val="24"/>
          <w:szCs w:val="24"/>
        </w:rPr>
        <w:t>T</w:t>
      </w:r>
      <w:r>
        <w:rPr>
          <w:rFonts w:ascii="Times New Roman" w:hAnsi="Times New Roman" w:cs="Times New Roman"/>
          <w:sz w:val="24"/>
          <w:szCs w:val="24"/>
        </w:rPr>
        <w:t xml:space="preserve">he human rights bodies </w:t>
      </w:r>
      <w:r w:rsidR="004A1561">
        <w:rPr>
          <w:rFonts w:ascii="Times New Roman" w:hAnsi="Times New Roman" w:cs="Times New Roman"/>
          <w:sz w:val="24"/>
          <w:szCs w:val="24"/>
        </w:rPr>
        <w:t>are increasingly</w:t>
      </w:r>
      <w:r>
        <w:rPr>
          <w:rFonts w:ascii="Times New Roman" w:hAnsi="Times New Roman" w:cs="Times New Roman"/>
          <w:sz w:val="24"/>
          <w:szCs w:val="24"/>
        </w:rPr>
        <w:t xml:space="preserve"> </w:t>
      </w:r>
      <w:r w:rsidR="004A1561">
        <w:rPr>
          <w:rFonts w:ascii="Times New Roman" w:hAnsi="Times New Roman" w:cs="Times New Roman"/>
          <w:sz w:val="24"/>
          <w:szCs w:val="24"/>
        </w:rPr>
        <w:t xml:space="preserve">showing their </w:t>
      </w:r>
      <w:r>
        <w:rPr>
          <w:rFonts w:ascii="Times New Roman" w:hAnsi="Times New Roman" w:cs="Times New Roman"/>
          <w:sz w:val="24"/>
          <w:szCs w:val="24"/>
        </w:rPr>
        <w:t xml:space="preserve">support </w:t>
      </w:r>
      <w:r w:rsidR="004A1561">
        <w:rPr>
          <w:rFonts w:ascii="Times New Roman" w:hAnsi="Times New Roman" w:cs="Times New Roman"/>
          <w:sz w:val="24"/>
          <w:szCs w:val="24"/>
        </w:rPr>
        <w:t xml:space="preserve">for </w:t>
      </w:r>
      <w:r w:rsidR="00E62B8C">
        <w:rPr>
          <w:rFonts w:ascii="Times New Roman" w:hAnsi="Times New Roman" w:cs="Times New Roman"/>
          <w:sz w:val="24"/>
          <w:szCs w:val="24"/>
        </w:rPr>
        <w:t xml:space="preserve">its </w:t>
      </w:r>
      <w:r>
        <w:rPr>
          <w:rFonts w:ascii="Times New Roman" w:hAnsi="Times New Roman" w:cs="Times New Roman"/>
          <w:sz w:val="24"/>
          <w:szCs w:val="24"/>
        </w:rPr>
        <w:t>decriminalisation</w:t>
      </w:r>
      <w:r>
        <w:rPr>
          <w:rStyle w:val="FootnoteReference"/>
          <w:rFonts w:ascii="Times New Roman" w:hAnsi="Times New Roman" w:cs="Times New Roman"/>
          <w:sz w:val="24"/>
          <w:szCs w:val="24"/>
        </w:rPr>
        <w:footnoteReference w:id="183"/>
      </w:r>
      <w:r>
        <w:rPr>
          <w:rFonts w:ascii="Times New Roman" w:hAnsi="Times New Roman" w:cs="Times New Roman"/>
          <w:sz w:val="24"/>
          <w:szCs w:val="24"/>
        </w:rPr>
        <w:t xml:space="preserve"> </w:t>
      </w:r>
      <w:r w:rsidR="00070E56">
        <w:rPr>
          <w:rFonts w:ascii="Times New Roman" w:hAnsi="Times New Roman" w:cs="Times New Roman"/>
          <w:sz w:val="24"/>
          <w:szCs w:val="24"/>
        </w:rPr>
        <w:t>as</w:t>
      </w:r>
      <w:r w:rsidR="00916BB4">
        <w:rPr>
          <w:rFonts w:ascii="Times New Roman" w:hAnsi="Times New Roman" w:cs="Times New Roman"/>
          <w:sz w:val="24"/>
          <w:szCs w:val="24"/>
        </w:rPr>
        <w:t xml:space="preserve"> the</w:t>
      </w:r>
      <w:r w:rsidR="00FB4361">
        <w:rPr>
          <w:rFonts w:ascii="Times New Roman" w:hAnsi="Times New Roman" w:cs="Times New Roman"/>
          <w:sz w:val="24"/>
          <w:szCs w:val="24"/>
        </w:rPr>
        <w:t>y acknowledge that the</w:t>
      </w:r>
      <w:r w:rsidR="00916BB4">
        <w:rPr>
          <w:rFonts w:ascii="Times New Roman" w:hAnsi="Times New Roman" w:cs="Times New Roman"/>
          <w:sz w:val="24"/>
          <w:szCs w:val="24"/>
        </w:rPr>
        <w:t xml:space="preserve"> opposite</w:t>
      </w:r>
      <w:r w:rsidR="00070E56">
        <w:rPr>
          <w:rFonts w:ascii="Times New Roman" w:hAnsi="Times New Roman" w:cs="Times New Roman"/>
          <w:sz w:val="24"/>
          <w:szCs w:val="24"/>
        </w:rPr>
        <w:t xml:space="preserve"> can </w:t>
      </w:r>
      <w:r w:rsidR="00FB4361">
        <w:rPr>
          <w:rFonts w:ascii="Times New Roman" w:hAnsi="Times New Roman" w:cs="Times New Roman"/>
          <w:sz w:val="24"/>
          <w:szCs w:val="24"/>
        </w:rPr>
        <w:t>result in</w:t>
      </w:r>
      <w:r w:rsidR="00070E56">
        <w:rPr>
          <w:rFonts w:ascii="Times New Roman" w:hAnsi="Times New Roman" w:cs="Times New Roman"/>
          <w:sz w:val="24"/>
          <w:szCs w:val="24"/>
        </w:rPr>
        <w:t xml:space="preserve"> further stigmatisation and discriminatio</w:t>
      </w:r>
      <w:r w:rsidR="0038247B">
        <w:rPr>
          <w:rFonts w:ascii="Times New Roman" w:hAnsi="Times New Roman" w:cs="Times New Roman"/>
          <w:sz w:val="24"/>
          <w:szCs w:val="24"/>
        </w:rPr>
        <w:t>n</w:t>
      </w:r>
      <w:r w:rsidR="005B4FAA">
        <w:rPr>
          <w:rFonts w:ascii="Times New Roman" w:hAnsi="Times New Roman" w:cs="Times New Roman"/>
          <w:sz w:val="24"/>
          <w:szCs w:val="24"/>
        </w:rPr>
        <w:t>,</w:t>
      </w:r>
      <w:r w:rsidR="00070E56">
        <w:rPr>
          <w:rStyle w:val="FootnoteReference"/>
          <w:rFonts w:ascii="Times New Roman" w:hAnsi="Times New Roman" w:cs="Times New Roman"/>
          <w:sz w:val="24"/>
          <w:szCs w:val="24"/>
        </w:rPr>
        <w:footnoteReference w:id="184"/>
      </w:r>
      <w:r w:rsidR="00070E56">
        <w:rPr>
          <w:rFonts w:ascii="Times New Roman" w:hAnsi="Times New Roman" w:cs="Times New Roman"/>
          <w:sz w:val="24"/>
          <w:szCs w:val="24"/>
        </w:rPr>
        <w:t xml:space="preserve"> </w:t>
      </w:r>
      <w:r>
        <w:rPr>
          <w:rFonts w:ascii="Times New Roman" w:hAnsi="Times New Roman" w:cs="Times New Roman"/>
          <w:sz w:val="24"/>
          <w:szCs w:val="24"/>
        </w:rPr>
        <w:t>while maintaining a tough stance against violence and exploitation arising from sex work</w:t>
      </w:r>
      <w:r w:rsidR="00C8716F">
        <w:rPr>
          <w:rFonts w:ascii="Times New Roman" w:hAnsi="Times New Roman" w:cs="Times New Roman"/>
          <w:sz w:val="24"/>
          <w:szCs w:val="24"/>
        </w:rPr>
        <w:t>.</w:t>
      </w:r>
      <w:r>
        <w:rPr>
          <w:rStyle w:val="FootnoteReference"/>
          <w:rFonts w:ascii="Times New Roman" w:hAnsi="Times New Roman" w:cs="Times New Roman"/>
          <w:sz w:val="24"/>
          <w:szCs w:val="24"/>
        </w:rPr>
        <w:footnoteReference w:id="185"/>
      </w:r>
      <w:r w:rsidR="00C8716F">
        <w:rPr>
          <w:rFonts w:ascii="Times New Roman" w:hAnsi="Times New Roman" w:cs="Times New Roman"/>
          <w:sz w:val="24"/>
          <w:szCs w:val="24"/>
        </w:rPr>
        <w:t xml:space="preserve"> </w:t>
      </w:r>
      <w:r w:rsidR="00E62B8C">
        <w:rPr>
          <w:rFonts w:ascii="Times New Roman" w:hAnsi="Times New Roman" w:cs="Times New Roman"/>
          <w:sz w:val="24"/>
          <w:szCs w:val="24"/>
        </w:rPr>
        <w:t xml:space="preserve"> </w:t>
      </w:r>
      <w:r>
        <w:rPr>
          <w:rFonts w:ascii="Times New Roman" w:hAnsi="Times New Roman" w:cs="Times New Roman"/>
          <w:sz w:val="24"/>
          <w:szCs w:val="24"/>
        </w:rPr>
        <w:t>It has been</w:t>
      </w:r>
      <w:r w:rsidR="002D063B">
        <w:rPr>
          <w:rFonts w:ascii="Times New Roman" w:hAnsi="Times New Roman" w:cs="Times New Roman"/>
          <w:sz w:val="24"/>
          <w:szCs w:val="24"/>
        </w:rPr>
        <w:t xml:space="preserve"> </w:t>
      </w:r>
      <w:r>
        <w:rPr>
          <w:rFonts w:ascii="Times New Roman" w:hAnsi="Times New Roman" w:cs="Times New Roman"/>
          <w:sz w:val="24"/>
          <w:szCs w:val="24"/>
        </w:rPr>
        <w:t xml:space="preserve">argued that decriminalisation would reduce the need for sex workers to rely </w:t>
      </w:r>
      <w:r w:rsidR="00EC0412">
        <w:rPr>
          <w:rFonts w:ascii="Times New Roman" w:hAnsi="Times New Roman" w:cs="Times New Roman"/>
          <w:sz w:val="24"/>
          <w:szCs w:val="24"/>
        </w:rPr>
        <w:t xml:space="preserve">on </w:t>
      </w:r>
      <w:r w:rsidR="00F27A43">
        <w:rPr>
          <w:rFonts w:ascii="Times New Roman" w:hAnsi="Times New Roman" w:cs="Times New Roman"/>
          <w:sz w:val="24"/>
          <w:szCs w:val="24"/>
        </w:rPr>
        <w:t xml:space="preserve">these </w:t>
      </w:r>
      <w:r w:rsidR="00EC0412">
        <w:rPr>
          <w:rFonts w:ascii="Times New Roman" w:hAnsi="Times New Roman" w:cs="Times New Roman"/>
          <w:sz w:val="24"/>
          <w:szCs w:val="24"/>
        </w:rPr>
        <w:t xml:space="preserve">exploiters </w:t>
      </w:r>
      <w:r>
        <w:rPr>
          <w:rFonts w:ascii="Times New Roman" w:hAnsi="Times New Roman" w:cs="Times New Roman"/>
          <w:sz w:val="24"/>
          <w:szCs w:val="24"/>
        </w:rPr>
        <w:t xml:space="preserve">and allow them to seek protection directly from the State, including access to justice, health care and social </w:t>
      </w:r>
      <w:r>
        <w:rPr>
          <w:rFonts w:ascii="Times New Roman" w:hAnsi="Times New Roman" w:cs="Times New Roman"/>
          <w:sz w:val="24"/>
          <w:szCs w:val="24"/>
        </w:rPr>
        <w:lastRenderedPageBreak/>
        <w:t>services.</w:t>
      </w:r>
      <w:r>
        <w:rPr>
          <w:rStyle w:val="FootnoteReference"/>
          <w:rFonts w:ascii="Times New Roman" w:hAnsi="Times New Roman" w:cs="Times New Roman"/>
          <w:sz w:val="24"/>
          <w:szCs w:val="24"/>
        </w:rPr>
        <w:footnoteReference w:id="186"/>
      </w:r>
      <w:r>
        <w:rPr>
          <w:rFonts w:ascii="Times New Roman" w:hAnsi="Times New Roman" w:cs="Times New Roman"/>
          <w:sz w:val="24"/>
          <w:szCs w:val="24"/>
        </w:rPr>
        <w:t xml:space="preserve"> </w:t>
      </w:r>
      <w:r w:rsidR="00E62B8C">
        <w:rPr>
          <w:rFonts w:ascii="Times New Roman" w:hAnsi="Times New Roman" w:cs="Times New Roman"/>
          <w:sz w:val="24"/>
          <w:szCs w:val="24"/>
        </w:rPr>
        <w:t xml:space="preserve">  </w:t>
      </w:r>
      <w:r w:rsidR="00765C00">
        <w:rPr>
          <w:rFonts w:ascii="Times New Roman" w:hAnsi="Times New Roman" w:cs="Times New Roman"/>
          <w:sz w:val="24"/>
          <w:szCs w:val="24"/>
        </w:rPr>
        <w:t>E</w:t>
      </w:r>
      <w:r w:rsidR="00EC0412">
        <w:rPr>
          <w:rFonts w:ascii="Times New Roman" w:hAnsi="Times New Roman" w:cs="Times New Roman"/>
          <w:sz w:val="24"/>
          <w:szCs w:val="24"/>
        </w:rPr>
        <w:t xml:space="preserve">qually important is the finding that </w:t>
      </w:r>
      <w:r>
        <w:rPr>
          <w:rFonts w:ascii="Times New Roman" w:hAnsi="Times New Roman" w:cs="Times New Roman"/>
          <w:sz w:val="24"/>
          <w:szCs w:val="24"/>
        </w:rPr>
        <w:t>decriminalisation has not increase</w:t>
      </w:r>
      <w:r w:rsidR="00F20F7D">
        <w:rPr>
          <w:rFonts w:ascii="Times New Roman" w:hAnsi="Times New Roman" w:cs="Times New Roman"/>
          <w:sz w:val="24"/>
          <w:szCs w:val="24"/>
        </w:rPr>
        <w:t>d</w:t>
      </w:r>
      <w:r>
        <w:rPr>
          <w:rFonts w:ascii="Times New Roman" w:hAnsi="Times New Roman" w:cs="Times New Roman"/>
          <w:sz w:val="24"/>
          <w:szCs w:val="24"/>
        </w:rPr>
        <w:t xml:space="preserve"> the demand for sexual services,</w:t>
      </w:r>
      <w:r>
        <w:rPr>
          <w:rStyle w:val="FootnoteReference"/>
          <w:rFonts w:ascii="Times New Roman" w:hAnsi="Times New Roman" w:cs="Times New Roman"/>
          <w:sz w:val="24"/>
          <w:szCs w:val="24"/>
        </w:rPr>
        <w:footnoteReference w:id="187"/>
      </w:r>
      <w:r>
        <w:rPr>
          <w:rFonts w:ascii="Times New Roman" w:hAnsi="Times New Roman" w:cs="Times New Roman"/>
          <w:sz w:val="24"/>
          <w:szCs w:val="24"/>
        </w:rPr>
        <w:t xml:space="preserve"> and even those </w:t>
      </w:r>
      <w:r w:rsidR="00897227">
        <w:rPr>
          <w:rFonts w:ascii="Times New Roman" w:hAnsi="Times New Roman" w:cs="Times New Roman"/>
          <w:sz w:val="24"/>
          <w:szCs w:val="24"/>
        </w:rPr>
        <w:t xml:space="preserve">States </w:t>
      </w:r>
      <w:r>
        <w:rPr>
          <w:rFonts w:ascii="Times New Roman" w:hAnsi="Times New Roman" w:cs="Times New Roman"/>
          <w:sz w:val="24"/>
          <w:szCs w:val="24"/>
        </w:rPr>
        <w:t>which have criminalised the purchase of sexual services (e.g. Sweden, Iceland and Norway)</w:t>
      </w:r>
      <w:r>
        <w:rPr>
          <w:rStyle w:val="FootnoteReference"/>
          <w:rFonts w:ascii="Times New Roman" w:hAnsi="Times New Roman" w:cs="Times New Roman"/>
          <w:sz w:val="24"/>
          <w:szCs w:val="24"/>
        </w:rPr>
        <w:footnoteReference w:id="188"/>
      </w:r>
      <w:r>
        <w:rPr>
          <w:rFonts w:ascii="Times New Roman" w:hAnsi="Times New Roman" w:cs="Times New Roman"/>
          <w:sz w:val="24"/>
          <w:szCs w:val="24"/>
        </w:rPr>
        <w:t xml:space="preserve"> already have adopted this approach. </w:t>
      </w:r>
      <w:r w:rsidR="00091CE5">
        <w:rPr>
          <w:rFonts w:ascii="Times New Roman" w:hAnsi="Times New Roman" w:cs="Times New Roman"/>
          <w:sz w:val="24"/>
          <w:szCs w:val="24"/>
        </w:rPr>
        <w:t xml:space="preserve">  </w:t>
      </w:r>
      <w:r w:rsidR="00CC2DC1">
        <w:rPr>
          <w:rFonts w:ascii="Times New Roman" w:hAnsi="Times New Roman" w:cs="Times New Roman"/>
          <w:sz w:val="24"/>
          <w:szCs w:val="24"/>
        </w:rPr>
        <w:t>D</w:t>
      </w:r>
      <w:r w:rsidR="000973CE">
        <w:rPr>
          <w:rFonts w:ascii="Times New Roman" w:hAnsi="Times New Roman" w:cs="Times New Roman"/>
          <w:sz w:val="24"/>
          <w:szCs w:val="24"/>
        </w:rPr>
        <w:t xml:space="preserve">ecriminalisation </w:t>
      </w:r>
      <w:r w:rsidR="00173324">
        <w:rPr>
          <w:rFonts w:ascii="Times New Roman" w:hAnsi="Times New Roman" w:cs="Times New Roman"/>
          <w:sz w:val="24"/>
          <w:szCs w:val="24"/>
        </w:rPr>
        <w:t>also</w:t>
      </w:r>
      <w:r w:rsidR="002F3C09">
        <w:rPr>
          <w:rFonts w:ascii="Times New Roman" w:hAnsi="Times New Roman" w:cs="Times New Roman"/>
          <w:sz w:val="24"/>
          <w:szCs w:val="24"/>
        </w:rPr>
        <w:t xml:space="preserve"> finds some support within the feminism discourse on prostitution on the basis</w:t>
      </w:r>
      <w:r w:rsidR="00AC6E00">
        <w:rPr>
          <w:rFonts w:ascii="Times New Roman" w:hAnsi="Times New Roman" w:cs="Times New Roman"/>
          <w:sz w:val="24"/>
          <w:szCs w:val="24"/>
        </w:rPr>
        <w:t>, among others,</w:t>
      </w:r>
      <w:r w:rsidR="002F3C09">
        <w:rPr>
          <w:rFonts w:ascii="Times New Roman" w:hAnsi="Times New Roman" w:cs="Times New Roman"/>
          <w:sz w:val="24"/>
          <w:szCs w:val="24"/>
        </w:rPr>
        <w:t xml:space="preserve"> that criminalisation only serves to prejudice</w:t>
      </w:r>
      <w:r w:rsidR="003B5C59">
        <w:rPr>
          <w:rFonts w:ascii="Times New Roman" w:hAnsi="Times New Roman" w:cs="Times New Roman"/>
          <w:sz w:val="24"/>
          <w:szCs w:val="24"/>
        </w:rPr>
        <w:t xml:space="preserve"> the </w:t>
      </w:r>
      <w:r w:rsidR="002F3C09">
        <w:rPr>
          <w:rFonts w:ascii="Times New Roman" w:hAnsi="Times New Roman" w:cs="Times New Roman"/>
          <w:sz w:val="24"/>
          <w:szCs w:val="24"/>
        </w:rPr>
        <w:t>society’</w:t>
      </w:r>
      <w:r w:rsidR="003B5C59">
        <w:rPr>
          <w:rFonts w:ascii="Times New Roman" w:hAnsi="Times New Roman" w:cs="Times New Roman"/>
          <w:sz w:val="24"/>
          <w:szCs w:val="24"/>
        </w:rPr>
        <w:t>s</w:t>
      </w:r>
      <w:r w:rsidR="002F3C09">
        <w:rPr>
          <w:rFonts w:ascii="Times New Roman" w:hAnsi="Times New Roman" w:cs="Times New Roman"/>
          <w:sz w:val="24"/>
          <w:szCs w:val="24"/>
        </w:rPr>
        <w:t xml:space="preserve"> view of women</w:t>
      </w:r>
      <w:r w:rsidR="002F3C09">
        <w:rPr>
          <w:rStyle w:val="FootnoteReference"/>
          <w:rFonts w:ascii="Times New Roman" w:hAnsi="Times New Roman" w:cs="Times New Roman"/>
          <w:sz w:val="24"/>
          <w:szCs w:val="24"/>
        </w:rPr>
        <w:footnoteReference w:id="189"/>
      </w:r>
      <w:r w:rsidR="002F3C09">
        <w:rPr>
          <w:rFonts w:ascii="Times New Roman" w:hAnsi="Times New Roman" w:cs="Times New Roman"/>
          <w:sz w:val="24"/>
          <w:szCs w:val="24"/>
        </w:rPr>
        <w:t xml:space="preserve"> and therefore does more harm</w:t>
      </w:r>
      <w:r w:rsidR="003B5C59">
        <w:rPr>
          <w:rFonts w:ascii="Times New Roman" w:hAnsi="Times New Roman" w:cs="Times New Roman"/>
          <w:sz w:val="24"/>
          <w:szCs w:val="24"/>
        </w:rPr>
        <w:t xml:space="preserve"> than good</w:t>
      </w:r>
      <w:r w:rsidR="002F3C09">
        <w:rPr>
          <w:rFonts w:ascii="Times New Roman" w:hAnsi="Times New Roman" w:cs="Times New Roman"/>
          <w:sz w:val="24"/>
          <w:szCs w:val="24"/>
        </w:rPr>
        <w:t>.</w:t>
      </w:r>
      <w:r w:rsidR="002F3C09">
        <w:rPr>
          <w:rStyle w:val="FootnoteReference"/>
          <w:rFonts w:ascii="Times New Roman" w:hAnsi="Times New Roman" w:cs="Times New Roman"/>
          <w:sz w:val="24"/>
          <w:szCs w:val="24"/>
        </w:rPr>
        <w:footnoteReference w:id="190"/>
      </w:r>
      <w:r w:rsidR="002F3C09">
        <w:rPr>
          <w:rFonts w:ascii="Times New Roman" w:hAnsi="Times New Roman" w:cs="Times New Roman"/>
          <w:sz w:val="24"/>
          <w:szCs w:val="24"/>
        </w:rPr>
        <w:t xml:space="preserve">  </w:t>
      </w:r>
      <w:r w:rsidR="00EC28DE">
        <w:rPr>
          <w:rFonts w:ascii="Times New Roman" w:hAnsi="Times New Roman" w:cs="Times New Roman"/>
          <w:sz w:val="24"/>
          <w:szCs w:val="24"/>
        </w:rPr>
        <w:t xml:space="preserve"> </w:t>
      </w:r>
      <w:r w:rsidR="00AC6E00">
        <w:rPr>
          <w:rFonts w:ascii="Times New Roman" w:hAnsi="Times New Roman" w:cs="Times New Roman"/>
          <w:sz w:val="24"/>
          <w:szCs w:val="24"/>
        </w:rPr>
        <w:t xml:space="preserve">A note of caution here is that </w:t>
      </w:r>
      <w:r w:rsidR="005B4FAA">
        <w:rPr>
          <w:rFonts w:ascii="Times New Roman" w:hAnsi="Times New Roman" w:cs="Times New Roman"/>
          <w:sz w:val="24"/>
          <w:szCs w:val="24"/>
        </w:rPr>
        <w:t>this support for decriminalisation does not mean that</w:t>
      </w:r>
      <w:r w:rsidR="008E36A8">
        <w:rPr>
          <w:rFonts w:ascii="Times New Roman" w:hAnsi="Times New Roman" w:cs="Times New Roman"/>
          <w:sz w:val="24"/>
          <w:szCs w:val="24"/>
        </w:rPr>
        <w:t xml:space="preserve"> the </w:t>
      </w:r>
      <w:r w:rsidR="00070E56">
        <w:rPr>
          <w:rFonts w:ascii="Times New Roman" w:hAnsi="Times New Roman" w:cs="Times New Roman"/>
          <w:sz w:val="24"/>
          <w:szCs w:val="24"/>
        </w:rPr>
        <w:t xml:space="preserve">human rights bodies </w:t>
      </w:r>
      <w:r w:rsidR="005B4FAA">
        <w:rPr>
          <w:rFonts w:ascii="Times New Roman" w:hAnsi="Times New Roman" w:cs="Times New Roman"/>
          <w:sz w:val="24"/>
          <w:szCs w:val="24"/>
        </w:rPr>
        <w:t xml:space="preserve">recognise </w:t>
      </w:r>
      <w:r w:rsidR="008E36A8">
        <w:rPr>
          <w:rFonts w:ascii="Times New Roman" w:hAnsi="Times New Roman" w:cs="Times New Roman"/>
          <w:sz w:val="24"/>
          <w:szCs w:val="24"/>
        </w:rPr>
        <w:t xml:space="preserve">prostitution as a legitimate </w:t>
      </w:r>
      <w:r w:rsidR="005B4FAA">
        <w:rPr>
          <w:rFonts w:ascii="Times New Roman" w:hAnsi="Times New Roman" w:cs="Times New Roman"/>
          <w:sz w:val="24"/>
          <w:szCs w:val="24"/>
        </w:rPr>
        <w:t xml:space="preserve">or desirable form of employment.  </w:t>
      </w:r>
      <w:r w:rsidR="00070E56">
        <w:rPr>
          <w:rFonts w:ascii="Times New Roman" w:hAnsi="Times New Roman" w:cs="Times New Roman"/>
          <w:sz w:val="24"/>
          <w:szCs w:val="24"/>
        </w:rPr>
        <w:t>The fact that alternative</w:t>
      </w:r>
      <w:r w:rsidR="005B4FAA">
        <w:rPr>
          <w:rFonts w:ascii="Times New Roman" w:hAnsi="Times New Roman" w:cs="Times New Roman"/>
          <w:sz w:val="24"/>
          <w:szCs w:val="24"/>
        </w:rPr>
        <w:t xml:space="preserve"> income generating</w:t>
      </w:r>
      <w:r w:rsidR="00070E56">
        <w:rPr>
          <w:rFonts w:ascii="Times New Roman" w:hAnsi="Times New Roman" w:cs="Times New Roman"/>
          <w:sz w:val="24"/>
          <w:szCs w:val="24"/>
        </w:rPr>
        <w:t xml:space="preserve"> opportunities </w:t>
      </w:r>
      <w:r w:rsidR="00165991">
        <w:rPr>
          <w:rFonts w:ascii="Times New Roman" w:hAnsi="Times New Roman" w:cs="Times New Roman"/>
          <w:sz w:val="24"/>
          <w:szCs w:val="24"/>
        </w:rPr>
        <w:t>are encouraged</w:t>
      </w:r>
      <w:r w:rsidR="00EF28AB">
        <w:rPr>
          <w:rFonts w:ascii="Times New Roman" w:hAnsi="Times New Roman" w:cs="Times New Roman"/>
          <w:sz w:val="24"/>
          <w:szCs w:val="24"/>
        </w:rPr>
        <w:t>,</w:t>
      </w:r>
      <w:r w:rsidR="00070E56">
        <w:rPr>
          <w:rStyle w:val="FootnoteReference"/>
          <w:rFonts w:ascii="Times New Roman" w:hAnsi="Times New Roman" w:cs="Times New Roman"/>
          <w:sz w:val="24"/>
          <w:szCs w:val="24"/>
        </w:rPr>
        <w:footnoteReference w:id="191"/>
      </w:r>
      <w:r w:rsidR="005B4FAA">
        <w:rPr>
          <w:rFonts w:ascii="Times New Roman" w:hAnsi="Times New Roman" w:cs="Times New Roman"/>
          <w:sz w:val="24"/>
          <w:szCs w:val="24"/>
        </w:rPr>
        <w:t xml:space="preserve"> </w:t>
      </w:r>
      <w:r w:rsidR="00EF28AB">
        <w:rPr>
          <w:rFonts w:ascii="Times New Roman" w:hAnsi="Times New Roman" w:cs="Times New Roman"/>
          <w:sz w:val="24"/>
          <w:szCs w:val="24"/>
        </w:rPr>
        <w:t>as well as the recognition that prostitution is a harmful practice,</w:t>
      </w:r>
      <w:r w:rsidR="00EF28AB">
        <w:rPr>
          <w:rStyle w:val="FootnoteReference"/>
          <w:rFonts w:ascii="Times New Roman" w:hAnsi="Times New Roman" w:cs="Times New Roman"/>
          <w:sz w:val="24"/>
          <w:szCs w:val="24"/>
        </w:rPr>
        <w:footnoteReference w:id="192"/>
      </w:r>
      <w:r w:rsidR="00EF28AB">
        <w:rPr>
          <w:rFonts w:ascii="Times New Roman" w:hAnsi="Times New Roman" w:cs="Times New Roman"/>
          <w:sz w:val="24"/>
          <w:szCs w:val="24"/>
        </w:rPr>
        <w:t xml:space="preserve">  </w:t>
      </w:r>
      <w:r w:rsidR="005B4FAA">
        <w:rPr>
          <w:rFonts w:ascii="Times New Roman" w:hAnsi="Times New Roman" w:cs="Times New Roman"/>
          <w:sz w:val="24"/>
          <w:szCs w:val="24"/>
        </w:rPr>
        <w:t>point to this conclusion</w:t>
      </w:r>
      <w:r w:rsidR="001E1065">
        <w:rPr>
          <w:rFonts w:ascii="Times New Roman" w:hAnsi="Times New Roman" w:cs="Times New Roman"/>
          <w:sz w:val="24"/>
          <w:szCs w:val="24"/>
        </w:rPr>
        <w:t xml:space="preserve">. </w:t>
      </w:r>
      <w:r w:rsidR="00D33C99">
        <w:rPr>
          <w:rFonts w:ascii="Times New Roman" w:hAnsi="Times New Roman" w:cs="Times New Roman"/>
          <w:sz w:val="24"/>
          <w:szCs w:val="24"/>
        </w:rPr>
        <w:t xml:space="preserve"> </w:t>
      </w:r>
      <w:r w:rsidR="00AC6E00">
        <w:rPr>
          <w:rFonts w:ascii="Times New Roman" w:hAnsi="Times New Roman" w:cs="Times New Roman"/>
          <w:sz w:val="24"/>
          <w:szCs w:val="24"/>
        </w:rPr>
        <w:t xml:space="preserve"> Interestingly, however, </w:t>
      </w:r>
      <w:r w:rsidR="00736878">
        <w:rPr>
          <w:rFonts w:ascii="Times New Roman" w:hAnsi="Times New Roman" w:cs="Times New Roman"/>
          <w:sz w:val="24"/>
          <w:szCs w:val="24"/>
        </w:rPr>
        <w:t>they simultaneously recognise women’s right to choose to an extent, as prostitution exit programmes are to be promoted for those “wishing to leave,”</w:t>
      </w:r>
      <w:r w:rsidR="00AC6E00">
        <w:rPr>
          <w:rStyle w:val="FootnoteReference"/>
          <w:rFonts w:ascii="Times New Roman" w:hAnsi="Times New Roman" w:cs="Times New Roman"/>
          <w:sz w:val="24"/>
          <w:szCs w:val="24"/>
        </w:rPr>
        <w:footnoteReference w:id="193"/>
      </w:r>
      <w:r w:rsidR="00736878">
        <w:rPr>
          <w:rFonts w:ascii="Times New Roman" w:hAnsi="Times New Roman" w:cs="Times New Roman"/>
          <w:sz w:val="24"/>
          <w:szCs w:val="24"/>
        </w:rPr>
        <w:t xml:space="preserve"> thereby respecting those who continue to remain in prostitution.  Their position therefore </w:t>
      </w:r>
      <w:r w:rsidR="00F12C3C">
        <w:rPr>
          <w:rFonts w:ascii="Times New Roman" w:hAnsi="Times New Roman" w:cs="Times New Roman"/>
          <w:sz w:val="24"/>
          <w:szCs w:val="24"/>
        </w:rPr>
        <w:t xml:space="preserve">seems to </w:t>
      </w:r>
      <w:r w:rsidR="00736878">
        <w:rPr>
          <w:rFonts w:ascii="Times New Roman" w:hAnsi="Times New Roman" w:cs="Times New Roman"/>
          <w:sz w:val="24"/>
          <w:szCs w:val="24"/>
        </w:rPr>
        <w:t>sit somewhere between liberal</w:t>
      </w:r>
      <w:r w:rsidR="00736878" w:rsidRPr="00736878">
        <w:rPr>
          <w:rStyle w:val="FootnoteReference"/>
          <w:rFonts w:ascii="Times New Roman" w:hAnsi="Times New Roman" w:cs="Times New Roman"/>
          <w:sz w:val="24"/>
          <w:szCs w:val="24"/>
        </w:rPr>
        <w:t xml:space="preserve"> </w:t>
      </w:r>
      <w:r w:rsidR="00736878">
        <w:rPr>
          <w:rFonts w:ascii="Times New Roman" w:hAnsi="Times New Roman" w:cs="Times New Roman"/>
          <w:sz w:val="24"/>
          <w:szCs w:val="24"/>
        </w:rPr>
        <w:t xml:space="preserve"> and radical feminist</w:t>
      </w:r>
      <w:r w:rsidR="00F12C3C">
        <w:rPr>
          <w:rFonts w:ascii="Times New Roman" w:hAnsi="Times New Roman" w:cs="Times New Roman"/>
          <w:sz w:val="24"/>
          <w:szCs w:val="24"/>
        </w:rPr>
        <w:t xml:space="preserve"> views on prostitution </w:t>
      </w:r>
      <w:r w:rsidR="00736878">
        <w:rPr>
          <w:rFonts w:ascii="Times New Roman" w:hAnsi="Times New Roman" w:cs="Times New Roman"/>
          <w:sz w:val="24"/>
          <w:szCs w:val="24"/>
        </w:rPr>
        <w:t>(</w:t>
      </w:r>
      <w:r w:rsidR="00F12C3C">
        <w:rPr>
          <w:rFonts w:ascii="Times New Roman" w:hAnsi="Times New Roman" w:cs="Times New Roman"/>
          <w:sz w:val="24"/>
          <w:szCs w:val="24"/>
        </w:rPr>
        <w:t xml:space="preserve">the former </w:t>
      </w:r>
      <w:r w:rsidR="009C6894">
        <w:rPr>
          <w:rFonts w:ascii="Times New Roman" w:hAnsi="Times New Roman" w:cs="Times New Roman"/>
          <w:sz w:val="24"/>
          <w:szCs w:val="24"/>
        </w:rPr>
        <w:t xml:space="preserve">recognising </w:t>
      </w:r>
      <w:r w:rsidR="00F12C3C">
        <w:rPr>
          <w:rFonts w:ascii="Times New Roman" w:hAnsi="Times New Roman" w:cs="Times New Roman"/>
          <w:sz w:val="24"/>
          <w:szCs w:val="24"/>
        </w:rPr>
        <w:t>prostitution as a choice and the latter regarding it as a form of coercion and not a true choice).</w:t>
      </w:r>
      <w:r w:rsidR="00736878">
        <w:rPr>
          <w:rStyle w:val="FootnoteReference"/>
          <w:rFonts w:ascii="Times New Roman" w:hAnsi="Times New Roman" w:cs="Times New Roman"/>
          <w:sz w:val="24"/>
          <w:szCs w:val="24"/>
        </w:rPr>
        <w:footnoteReference w:id="194"/>
      </w:r>
      <w:r w:rsidR="00EF103D">
        <w:rPr>
          <w:rFonts w:ascii="Times New Roman" w:hAnsi="Times New Roman" w:cs="Times New Roman"/>
          <w:sz w:val="24"/>
          <w:szCs w:val="24"/>
        </w:rPr>
        <w:t xml:space="preserve"> In reality, such an ambivalent stance by the human rights bodies is not uncommon for controversial topics such as </w:t>
      </w:r>
      <w:r w:rsidR="00EF103D">
        <w:rPr>
          <w:rFonts w:ascii="Times New Roman" w:hAnsi="Times New Roman" w:cs="Times New Roman"/>
          <w:sz w:val="24"/>
          <w:szCs w:val="24"/>
        </w:rPr>
        <w:lastRenderedPageBreak/>
        <w:t xml:space="preserve">prostitution as the State practice </w:t>
      </w:r>
      <w:r w:rsidR="00482032">
        <w:rPr>
          <w:rFonts w:ascii="Times New Roman" w:hAnsi="Times New Roman" w:cs="Times New Roman"/>
          <w:sz w:val="24"/>
          <w:szCs w:val="24"/>
        </w:rPr>
        <w:t>varies</w:t>
      </w:r>
      <w:r w:rsidR="00143A51">
        <w:rPr>
          <w:rFonts w:ascii="Times New Roman" w:hAnsi="Times New Roman" w:cs="Times New Roman"/>
          <w:sz w:val="24"/>
          <w:szCs w:val="24"/>
        </w:rPr>
        <w:t>, making it impossible to provide a definitive opinion</w:t>
      </w:r>
      <w:r w:rsidR="00482032">
        <w:rPr>
          <w:rFonts w:ascii="Times New Roman" w:hAnsi="Times New Roman" w:cs="Times New Roman"/>
          <w:sz w:val="24"/>
          <w:szCs w:val="24"/>
        </w:rPr>
        <w:t xml:space="preserve">.  </w:t>
      </w:r>
      <w:r w:rsidR="00301416">
        <w:rPr>
          <w:rFonts w:ascii="Times New Roman" w:hAnsi="Times New Roman" w:cs="Times New Roman"/>
          <w:sz w:val="24"/>
          <w:szCs w:val="24"/>
        </w:rPr>
        <w:t xml:space="preserve">However, </w:t>
      </w:r>
      <w:r w:rsidR="00A63B3D">
        <w:rPr>
          <w:rFonts w:ascii="Times New Roman" w:hAnsi="Times New Roman" w:cs="Times New Roman"/>
          <w:sz w:val="24"/>
          <w:szCs w:val="24"/>
        </w:rPr>
        <w:t>it is</w:t>
      </w:r>
      <w:r w:rsidR="00301416">
        <w:rPr>
          <w:rFonts w:ascii="Times New Roman" w:hAnsi="Times New Roman" w:cs="Times New Roman"/>
          <w:sz w:val="24"/>
          <w:szCs w:val="24"/>
        </w:rPr>
        <w:t xml:space="preserve"> not out of line with the spirit of the CEDAW</w:t>
      </w:r>
      <w:r w:rsidR="001C1647">
        <w:rPr>
          <w:rFonts w:ascii="Times New Roman" w:hAnsi="Times New Roman" w:cs="Times New Roman"/>
          <w:sz w:val="24"/>
          <w:szCs w:val="24"/>
        </w:rPr>
        <w:t>, as the instrument does not oblige States to prohibit prostitution itself, but exploitation of it.</w:t>
      </w:r>
      <w:r w:rsidR="001C1647">
        <w:rPr>
          <w:rStyle w:val="FootnoteReference"/>
          <w:rFonts w:ascii="Times New Roman" w:hAnsi="Times New Roman" w:cs="Times New Roman"/>
          <w:sz w:val="24"/>
          <w:szCs w:val="24"/>
        </w:rPr>
        <w:footnoteReference w:id="195"/>
      </w:r>
      <w:r w:rsidR="001C1647">
        <w:rPr>
          <w:rFonts w:ascii="Times New Roman" w:hAnsi="Times New Roman" w:cs="Times New Roman"/>
          <w:sz w:val="24"/>
          <w:szCs w:val="24"/>
        </w:rPr>
        <w:t xml:space="preserve">  </w:t>
      </w:r>
    </w:p>
    <w:p w:rsidR="00FB41E6" w:rsidRDefault="00C32D30" w:rsidP="00C306AA">
      <w:pPr>
        <w:spacing w:line="480" w:lineRule="auto"/>
        <w:ind w:firstLine="720"/>
        <w:rPr>
          <w:rFonts w:ascii="Times New Roman" w:hAnsi="Times New Roman" w:cs="Times New Roman"/>
          <w:sz w:val="24"/>
          <w:szCs w:val="24"/>
        </w:rPr>
      </w:pPr>
      <w:r>
        <w:rPr>
          <w:rFonts w:ascii="Times New Roman" w:hAnsi="Times New Roman" w:cs="Times New Roman"/>
          <w:sz w:val="24"/>
          <w:szCs w:val="24"/>
        </w:rPr>
        <w:t>Regardless of which approaches States may take,</w:t>
      </w:r>
      <w:r w:rsidR="00F27A43">
        <w:rPr>
          <w:rFonts w:ascii="Times New Roman" w:hAnsi="Times New Roman" w:cs="Times New Roman"/>
          <w:sz w:val="24"/>
          <w:szCs w:val="24"/>
        </w:rPr>
        <w:t xml:space="preserve"> what is important </w:t>
      </w:r>
      <w:r>
        <w:rPr>
          <w:rFonts w:ascii="Times New Roman" w:hAnsi="Times New Roman" w:cs="Times New Roman"/>
          <w:sz w:val="24"/>
          <w:szCs w:val="24"/>
        </w:rPr>
        <w:t xml:space="preserve">from a human rights perspective </w:t>
      </w:r>
      <w:r w:rsidR="00F27A43">
        <w:rPr>
          <w:rFonts w:ascii="Times New Roman" w:hAnsi="Times New Roman" w:cs="Times New Roman"/>
          <w:sz w:val="24"/>
          <w:szCs w:val="24"/>
        </w:rPr>
        <w:t xml:space="preserve">is </w:t>
      </w:r>
      <w:r w:rsidR="006B1413">
        <w:rPr>
          <w:rFonts w:ascii="Times New Roman" w:hAnsi="Times New Roman" w:cs="Times New Roman"/>
          <w:sz w:val="24"/>
          <w:szCs w:val="24"/>
        </w:rPr>
        <w:t xml:space="preserve">the </w:t>
      </w:r>
      <w:r w:rsidR="00F27A43">
        <w:rPr>
          <w:rFonts w:ascii="Times New Roman" w:hAnsi="Times New Roman" w:cs="Times New Roman"/>
          <w:sz w:val="24"/>
          <w:szCs w:val="24"/>
        </w:rPr>
        <w:t>empowerment of</w:t>
      </w:r>
      <w:r w:rsidR="00C61DA4">
        <w:rPr>
          <w:rFonts w:ascii="Times New Roman" w:hAnsi="Times New Roman" w:cs="Times New Roman"/>
          <w:sz w:val="24"/>
          <w:szCs w:val="24"/>
        </w:rPr>
        <w:t xml:space="preserve"> </w:t>
      </w:r>
      <w:r w:rsidR="006F4A4E">
        <w:rPr>
          <w:rFonts w:ascii="Times New Roman" w:hAnsi="Times New Roman" w:cs="Times New Roman"/>
          <w:sz w:val="24"/>
          <w:szCs w:val="24"/>
        </w:rPr>
        <w:t xml:space="preserve">vulnerable </w:t>
      </w:r>
      <w:r w:rsidR="00C61DA4">
        <w:rPr>
          <w:rFonts w:ascii="Times New Roman" w:hAnsi="Times New Roman" w:cs="Times New Roman"/>
          <w:sz w:val="24"/>
          <w:szCs w:val="24"/>
        </w:rPr>
        <w:t xml:space="preserve">producers and </w:t>
      </w:r>
      <w:r w:rsidR="005408E5">
        <w:rPr>
          <w:rFonts w:ascii="Times New Roman" w:hAnsi="Times New Roman" w:cs="Times New Roman"/>
          <w:sz w:val="24"/>
          <w:szCs w:val="24"/>
        </w:rPr>
        <w:t>providers</w:t>
      </w:r>
      <w:r w:rsidR="002D41C6">
        <w:rPr>
          <w:rFonts w:ascii="Times New Roman" w:hAnsi="Times New Roman" w:cs="Times New Roman"/>
          <w:sz w:val="24"/>
          <w:szCs w:val="24"/>
        </w:rPr>
        <w:t xml:space="preserve"> who are exploited by criminals</w:t>
      </w:r>
      <w:r w:rsidR="00F27A43">
        <w:rPr>
          <w:rFonts w:ascii="Times New Roman" w:hAnsi="Times New Roman" w:cs="Times New Roman"/>
          <w:sz w:val="24"/>
          <w:szCs w:val="24"/>
        </w:rPr>
        <w:t>.  A crucial first step for States</w:t>
      </w:r>
      <w:r w:rsidR="00DB56D3">
        <w:rPr>
          <w:rFonts w:ascii="Times New Roman" w:hAnsi="Times New Roman" w:cs="Times New Roman"/>
          <w:sz w:val="24"/>
          <w:szCs w:val="24"/>
        </w:rPr>
        <w:t xml:space="preserve"> </w:t>
      </w:r>
      <w:r w:rsidR="00F27A43">
        <w:rPr>
          <w:rFonts w:ascii="Times New Roman" w:hAnsi="Times New Roman" w:cs="Times New Roman"/>
          <w:sz w:val="24"/>
          <w:szCs w:val="24"/>
        </w:rPr>
        <w:t>is</w:t>
      </w:r>
      <w:r w:rsidR="004E29B6">
        <w:rPr>
          <w:rFonts w:ascii="Times New Roman" w:hAnsi="Times New Roman" w:cs="Times New Roman"/>
          <w:sz w:val="24"/>
          <w:szCs w:val="24"/>
        </w:rPr>
        <w:t xml:space="preserve"> </w:t>
      </w:r>
      <w:r w:rsidR="004F3632">
        <w:rPr>
          <w:rFonts w:ascii="Times New Roman" w:hAnsi="Times New Roman" w:cs="Times New Roman"/>
          <w:sz w:val="24"/>
          <w:szCs w:val="24"/>
        </w:rPr>
        <w:t>to</w:t>
      </w:r>
      <w:r w:rsidR="00D56C6D">
        <w:rPr>
          <w:rFonts w:ascii="Times New Roman" w:hAnsi="Times New Roman" w:cs="Times New Roman"/>
          <w:sz w:val="24"/>
          <w:szCs w:val="24"/>
        </w:rPr>
        <w:t xml:space="preserve"> </w:t>
      </w:r>
      <w:r w:rsidR="00D705DC">
        <w:rPr>
          <w:rFonts w:ascii="Times New Roman" w:hAnsi="Times New Roman" w:cs="Times New Roman"/>
          <w:sz w:val="24"/>
          <w:szCs w:val="24"/>
        </w:rPr>
        <w:t xml:space="preserve">understand why </w:t>
      </w:r>
      <w:r w:rsidR="00F27A43">
        <w:rPr>
          <w:rFonts w:ascii="Times New Roman" w:hAnsi="Times New Roman" w:cs="Times New Roman"/>
          <w:sz w:val="24"/>
          <w:szCs w:val="24"/>
        </w:rPr>
        <w:t xml:space="preserve">they </w:t>
      </w:r>
      <w:r w:rsidR="00D705DC">
        <w:rPr>
          <w:rFonts w:ascii="Times New Roman" w:hAnsi="Times New Roman" w:cs="Times New Roman"/>
          <w:sz w:val="24"/>
          <w:szCs w:val="24"/>
        </w:rPr>
        <w:t xml:space="preserve">are </w:t>
      </w:r>
      <w:r w:rsidR="002C0A23">
        <w:rPr>
          <w:rFonts w:ascii="Times New Roman" w:hAnsi="Times New Roman" w:cs="Times New Roman"/>
          <w:sz w:val="24"/>
          <w:szCs w:val="24"/>
        </w:rPr>
        <w:t xml:space="preserve">encouraged or </w:t>
      </w:r>
      <w:r w:rsidR="00F27A43">
        <w:rPr>
          <w:rFonts w:ascii="Times New Roman" w:hAnsi="Times New Roman" w:cs="Times New Roman"/>
          <w:sz w:val="24"/>
          <w:szCs w:val="24"/>
        </w:rPr>
        <w:t xml:space="preserve">compelled to engage in these activities </w:t>
      </w:r>
      <w:r w:rsidR="00D705DC">
        <w:rPr>
          <w:rFonts w:ascii="Times New Roman" w:hAnsi="Times New Roman" w:cs="Times New Roman"/>
          <w:sz w:val="24"/>
          <w:szCs w:val="24"/>
        </w:rPr>
        <w:t xml:space="preserve">in the first place </w:t>
      </w:r>
      <w:r w:rsidR="00FF4571">
        <w:rPr>
          <w:rFonts w:ascii="Times New Roman" w:hAnsi="Times New Roman" w:cs="Times New Roman"/>
          <w:sz w:val="24"/>
          <w:szCs w:val="24"/>
        </w:rPr>
        <w:t>and address the root causes</w:t>
      </w:r>
      <w:r w:rsidR="00D705DC">
        <w:rPr>
          <w:rFonts w:ascii="Times New Roman" w:hAnsi="Times New Roman" w:cs="Times New Roman"/>
          <w:sz w:val="24"/>
          <w:szCs w:val="24"/>
        </w:rPr>
        <w:t xml:space="preserve">.  </w:t>
      </w:r>
      <w:r w:rsidR="00E81105">
        <w:rPr>
          <w:rFonts w:ascii="Times New Roman" w:hAnsi="Times New Roman" w:cs="Times New Roman"/>
          <w:sz w:val="24"/>
          <w:szCs w:val="24"/>
        </w:rPr>
        <w:t>This is where international human law can play a</w:t>
      </w:r>
      <w:r w:rsidR="00164EC4">
        <w:rPr>
          <w:rFonts w:ascii="Times New Roman" w:hAnsi="Times New Roman" w:cs="Times New Roman"/>
          <w:sz w:val="24"/>
          <w:szCs w:val="24"/>
        </w:rPr>
        <w:t xml:space="preserve"> significant </w:t>
      </w:r>
      <w:r w:rsidR="00E81105">
        <w:rPr>
          <w:rFonts w:ascii="Times New Roman" w:hAnsi="Times New Roman" w:cs="Times New Roman"/>
          <w:sz w:val="24"/>
          <w:szCs w:val="24"/>
        </w:rPr>
        <w:t>role</w:t>
      </w:r>
      <w:r w:rsidR="00DF1CF7">
        <w:rPr>
          <w:rFonts w:ascii="Times New Roman" w:hAnsi="Times New Roman" w:cs="Times New Roman"/>
          <w:sz w:val="24"/>
          <w:szCs w:val="24"/>
        </w:rPr>
        <w:t xml:space="preserve"> as it allows </w:t>
      </w:r>
      <w:r w:rsidR="00365CAD">
        <w:rPr>
          <w:rFonts w:ascii="Times New Roman" w:hAnsi="Times New Roman" w:cs="Times New Roman"/>
          <w:sz w:val="24"/>
          <w:szCs w:val="24"/>
        </w:rPr>
        <w:t>all of those concerned</w:t>
      </w:r>
      <w:r w:rsidR="00DF1CF7">
        <w:rPr>
          <w:rFonts w:ascii="Times New Roman" w:hAnsi="Times New Roman" w:cs="Times New Roman"/>
          <w:sz w:val="24"/>
          <w:szCs w:val="24"/>
        </w:rPr>
        <w:t xml:space="preserve"> </w:t>
      </w:r>
      <w:r w:rsidR="00B949DB">
        <w:rPr>
          <w:rFonts w:ascii="Times New Roman" w:hAnsi="Times New Roman" w:cs="Times New Roman"/>
          <w:sz w:val="24"/>
          <w:szCs w:val="24"/>
        </w:rPr>
        <w:t xml:space="preserve">to </w:t>
      </w:r>
      <w:r w:rsidR="009B2ED2">
        <w:rPr>
          <w:rFonts w:ascii="Times New Roman" w:hAnsi="Times New Roman" w:cs="Times New Roman"/>
          <w:sz w:val="24"/>
          <w:szCs w:val="24"/>
        </w:rPr>
        <w:t>treat these individuals as the potential</w:t>
      </w:r>
      <w:r w:rsidR="004A1561">
        <w:rPr>
          <w:rFonts w:ascii="Times New Roman" w:hAnsi="Times New Roman" w:cs="Times New Roman"/>
          <w:sz w:val="24"/>
          <w:szCs w:val="24"/>
        </w:rPr>
        <w:t xml:space="preserve"> or </w:t>
      </w:r>
      <w:r w:rsidR="009B2ED2">
        <w:rPr>
          <w:rFonts w:ascii="Times New Roman" w:hAnsi="Times New Roman" w:cs="Times New Roman"/>
          <w:sz w:val="24"/>
          <w:szCs w:val="24"/>
        </w:rPr>
        <w:t xml:space="preserve">actual victims of human rights violations and </w:t>
      </w:r>
      <w:r w:rsidR="00181514">
        <w:rPr>
          <w:rFonts w:ascii="Times New Roman" w:hAnsi="Times New Roman" w:cs="Times New Roman"/>
          <w:sz w:val="24"/>
          <w:szCs w:val="24"/>
        </w:rPr>
        <w:t>find appropriate solutions beyond criminal justice responses.</w:t>
      </w:r>
      <w:r w:rsidR="00DF1CF7">
        <w:rPr>
          <w:rFonts w:ascii="Times New Roman" w:hAnsi="Times New Roman" w:cs="Times New Roman"/>
          <w:sz w:val="24"/>
          <w:szCs w:val="24"/>
        </w:rPr>
        <w:t xml:space="preserve">  </w:t>
      </w:r>
      <w:r w:rsidR="00E81105">
        <w:rPr>
          <w:rFonts w:ascii="Times New Roman" w:hAnsi="Times New Roman" w:cs="Times New Roman"/>
          <w:sz w:val="24"/>
          <w:szCs w:val="24"/>
        </w:rPr>
        <w:t>Undoubtedly poverty and economic hardship are among the key reasons.  In poorer regions of the world, many do not have other viable economic opportunities to sustain themselves.</w:t>
      </w:r>
      <w:r w:rsidR="00E81105">
        <w:rPr>
          <w:rStyle w:val="FootnoteReference"/>
          <w:rFonts w:ascii="Times New Roman" w:hAnsi="Times New Roman" w:cs="Times New Roman"/>
          <w:sz w:val="24"/>
          <w:szCs w:val="24"/>
        </w:rPr>
        <w:footnoteReference w:id="196"/>
      </w:r>
      <w:r w:rsidR="00E81105">
        <w:rPr>
          <w:rFonts w:ascii="Times New Roman" w:hAnsi="Times New Roman" w:cs="Times New Roman"/>
          <w:sz w:val="24"/>
          <w:szCs w:val="24"/>
        </w:rPr>
        <w:t xml:space="preserve">  This is exacerbated by other factors such as discrimination on accounts of gender, ethnicity, and other distinctions</w:t>
      </w:r>
      <w:r w:rsidR="0046684B">
        <w:rPr>
          <w:rStyle w:val="FootnoteReference"/>
          <w:rFonts w:ascii="Times New Roman" w:hAnsi="Times New Roman" w:cs="Times New Roman"/>
          <w:sz w:val="24"/>
          <w:szCs w:val="24"/>
        </w:rPr>
        <w:footnoteReference w:id="197"/>
      </w:r>
      <w:r w:rsidR="0046684B">
        <w:rPr>
          <w:rFonts w:ascii="Times New Roman" w:hAnsi="Times New Roman" w:cs="Times New Roman"/>
          <w:sz w:val="24"/>
          <w:szCs w:val="24"/>
        </w:rPr>
        <w:t xml:space="preserve"> </w:t>
      </w:r>
      <w:r w:rsidR="00E81105">
        <w:rPr>
          <w:rFonts w:ascii="Times New Roman" w:hAnsi="Times New Roman" w:cs="Times New Roman"/>
          <w:sz w:val="24"/>
          <w:szCs w:val="24"/>
        </w:rPr>
        <w:t xml:space="preserve"> as well as other violations of human rights which make certain</w:t>
      </w:r>
      <w:r w:rsidR="00B57100">
        <w:rPr>
          <w:rFonts w:ascii="Times New Roman" w:hAnsi="Times New Roman" w:cs="Times New Roman"/>
          <w:sz w:val="24"/>
          <w:szCs w:val="24"/>
        </w:rPr>
        <w:t xml:space="preserve"> groups of people </w:t>
      </w:r>
      <w:r w:rsidR="00E81105">
        <w:rPr>
          <w:rFonts w:ascii="Times New Roman" w:hAnsi="Times New Roman" w:cs="Times New Roman"/>
          <w:sz w:val="24"/>
          <w:szCs w:val="24"/>
        </w:rPr>
        <w:t>more vulnerable</w:t>
      </w:r>
      <w:r w:rsidR="00E1021A">
        <w:rPr>
          <w:rFonts w:ascii="Times New Roman" w:hAnsi="Times New Roman" w:cs="Times New Roman"/>
          <w:sz w:val="24"/>
          <w:szCs w:val="24"/>
        </w:rPr>
        <w:t xml:space="preserve"> to exploitation and victimisation.</w:t>
      </w:r>
      <w:r w:rsidR="00E81105">
        <w:rPr>
          <w:rFonts w:ascii="Times New Roman" w:hAnsi="Times New Roman" w:cs="Times New Roman"/>
          <w:sz w:val="24"/>
          <w:szCs w:val="24"/>
        </w:rPr>
        <w:t xml:space="preserve">  In looking at the development of </w:t>
      </w:r>
      <w:r w:rsidR="00A536E9">
        <w:rPr>
          <w:rFonts w:ascii="Times New Roman" w:hAnsi="Times New Roman" w:cs="Times New Roman"/>
          <w:sz w:val="24"/>
          <w:szCs w:val="24"/>
        </w:rPr>
        <w:t xml:space="preserve">international </w:t>
      </w:r>
      <w:r w:rsidR="00E81105">
        <w:rPr>
          <w:rFonts w:ascii="Times New Roman" w:hAnsi="Times New Roman" w:cs="Times New Roman"/>
          <w:sz w:val="24"/>
          <w:szCs w:val="24"/>
        </w:rPr>
        <w:t>human rights law surrounding transnational organised crime, the obligation to address poverty by providing alternative gainful opportunities</w:t>
      </w:r>
      <w:r w:rsidR="00E81105">
        <w:rPr>
          <w:rStyle w:val="FootnoteReference"/>
          <w:rFonts w:ascii="Times New Roman" w:hAnsi="Times New Roman" w:cs="Times New Roman"/>
          <w:sz w:val="24"/>
          <w:szCs w:val="24"/>
        </w:rPr>
        <w:footnoteReference w:id="198"/>
      </w:r>
      <w:r w:rsidR="00E81105">
        <w:rPr>
          <w:rFonts w:ascii="Times New Roman" w:hAnsi="Times New Roman" w:cs="Times New Roman"/>
          <w:sz w:val="24"/>
          <w:szCs w:val="24"/>
        </w:rPr>
        <w:t xml:space="preserve"> and securing access to education and training have been identified</w:t>
      </w:r>
      <w:r w:rsidR="00E81105">
        <w:rPr>
          <w:rStyle w:val="FootnoteReference"/>
          <w:rFonts w:ascii="Times New Roman" w:hAnsi="Times New Roman" w:cs="Times New Roman"/>
          <w:sz w:val="24"/>
          <w:szCs w:val="24"/>
        </w:rPr>
        <w:footnoteReference w:id="199"/>
      </w:r>
      <w:r w:rsidR="004A1561">
        <w:rPr>
          <w:rFonts w:ascii="Times New Roman" w:hAnsi="Times New Roman" w:cs="Times New Roman"/>
          <w:sz w:val="24"/>
          <w:szCs w:val="24"/>
        </w:rPr>
        <w:t xml:space="preserve"> as steps which should be taken by States.  </w:t>
      </w:r>
      <w:r w:rsidR="00823137">
        <w:rPr>
          <w:rFonts w:ascii="Times New Roman" w:hAnsi="Times New Roman" w:cs="Times New Roman"/>
          <w:sz w:val="24"/>
          <w:szCs w:val="24"/>
        </w:rPr>
        <w:t xml:space="preserve"> </w:t>
      </w:r>
      <w:r w:rsidR="00356B40">
        <w:rPr>
          <w:rFonts w:ascii="Times New Roman" w:hAnsi="Times New Roman" w:cs="Times New Roman"/>
          <w:sz w:val="24"/>
          <w:szCs w:val="24"/>
        </w:rPr>
        <w:t xml:space="preserve">  </w:t>
      </w:r>
      <w:r w:rsidR="00D83AD4">
        <w:rPr>
          <w:rFonts w:ascii="Times New Roman" w:hAnsi="Times New Roman" w:cs="Times New Roman"/>
          <w:sz w:val="24"/>
          <w:szCs w:val="24"/>
        </w:rPr>
        <w:t xml:space="preserve"> </w:t>
      </w:r>
      <w:r w:rsidR="00E81105">
        <w:rPr>
          <w:rFonts w:ascii="Times New Roman" w:hAnsi="Times New Roman" w:cs="Times New Roman"/>
          <w:sz w:val="24"/>
          <w:szCs w:val="24"/>
        </w:rPr>
        <w:t xml:space="preserve">        </w:t>
      </w:r>
    </w:p>
    <w:p w:rsidR="00484596" w:rsidRDefault="00DC28B8" w:rsidP="00BB7639">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BB7639">
        <w:rPr>
          <w:rFonts w:ascii="Times New Roman" w:hAnsi="Times New Roman" w:cs="Times New Roman"/>
          <w:sz w:val="24"/>
          <w:szCs w:val="24"/>
        </w:rPr>
        <w:t>he progressive realisation of economic, social and cultural rights means</w:t>
      </w:r>
      <w:r w:rsidR="006829B0">
        <w:rPr>
          <w:rFonts w:ascii="Times New Roman" w:hAnsi="Times New Roman" w:cs="Times New Roman"/>
          <w:sz w:val="24"/>
          <w:szCs w:val="24"/>
        </w:rPr>
        <w:t xml:space="preserve"> </w:t>
      </w:r>
      <w:r w:rsidR="00BB7639">
        <w:rPr>
          <w:rFonts w:ascii="Times New Roman" w:hAnsi="Times New Roman" w:cs="Times New Roman"/>
          <w:sz w:val="24"/>
          <w:szCs w:val="24"/>
        </w:rPr>
        <w:t xml:space="preserve">that </w:t>
      </w:r>
      <w:r w:rsidR="005D63EA">
        <w:rPr>
          <w:rFonts w:ascii="Times New Roman" w:hAnsi="Times New Roman" w:cs="Times New Roman"/>
          <w:sz w:val="24"/>
          <w:szCs w:val="24"/>
        </w:rPr>
        <w:t xml:space="preserve">these measures </w:t>
      </w:r>
      <w:r w:rsidR="00BB7639">
        <w:rPr>
          <w:rFonts w:ascii="Times New Roman" w:hAnsi="Times New Roman" w:cs="Times New Roman"/>
          <w:sz w:val="24"/>
          <w:szCs w:val="24"/>
        </w:rPr>
        <w:t xml:space="preserve">may not </w:t>
      </w:r>
      <w:r w:rsidR="005D63EA">
        <w:rPr>
          <w:rFonts w:ascii="Times New Roman" w:hAnsi="Times New Roman" w:cs="Times New Roman"/>
          <w:sz w:val="24"/>
          <w:szCs w:val="24"/>
        </w:rPr>
        <w:t xml:space="preserve">be implemented </w:t>
      </w:r>
      <w:r w:rsidR="00BB7639">
        <w:rPr>
          <w:rFonts w:ascii="Times New Roman" w:hAnsi="Times New Roman" w:cs="Times New Roman"/>
          <w:sz w:val="24"/>
          <w:szCs w:val="24"/>
        </w:rPr>
        <w:t xml:space="preserve">overnight, particularly </w:t>
      </w:r>
      <w:r w:rsidR="00B43EFE">
        <w:rPr>
          <w:rFonts w:ascii="Times New Roman" w:hAnsi="Times New Roman" w:cs="Times New Roman"/>
          <w:sz w:val="24"/>
          <w:szCs w:val="24"/>
        </w:rPr>
        <w:t>because</w:t>
      </w:r>
      <w:r w:rsidR="00BB7639">
        <w:rPr>
          <w:rFonts w:ascii="Times New Roman" w:hAnsi="Times New Roman" w:cs="Times New Roman"/>
          <w:sz w:val="24"/>
          <w:szCs w:val="24"/>
        </w:rPr>
        <w:t xml:space="preserve"> many States in the supply </w:t>
      </w:r>
      <w:r w:rsidR="00BB7639">
        <w:rPr>
          <w:rFonts w:ascii="Times New Roman" w:hAnsi="Times New Roman" w:cs="Times New Roman"/>
          <w:sz w:val="24"/>
          <w:szCs w:val="24"/>
        </w:rPr>
        <w:lastRenderedPageBreak/>
        <w:t xml:space="preserve">side </w:t>
      </w:r>
      <w:r w:rsidR="00586611">
        <w:rPr>
          <w:rFonts w:ascii="Times New Roman" w:hAnsi="Times New Roman" w:cs="Times New Roman"/>
          <w:sz w:val="24"/>
          <w:szCs w:val="24"/>
        </w:rPr>
        <w:t xml:space="preserve">of the chain </w:t>
      </w:r>
      <w:r w:rsidR="00BB7639">
        <w:rPr>
          <w:rFonts w:ascii="Times New Roman" w:hAnsi="Times New Roman" w:cs="Times New Roman"/>
          <w:sz w:val="24"/>
          <w:szCs w:val="24"/>
        </w:rPr>
        <w:t>are developing ones</w:t>
      </w:r>
      <w:r>
        <w:rPr>
          <w:rFonts w:ascii="Times New Roman" w:hAnsi="Times New Roman" w:cs="Times New Roman"/>
          <w:sz w:val="24"/>
          <w:szCs w:val="24"/>
        </w:rPr>
        <w:t xml:space="preserve"> which lack adequate financial, human and other resources.</w:t>
      </w:r>
      <w:r w:rsidR="00BB7639">
        <w:rPr>
          <w:rFonts w:ascii="Times New Roman" w:hAnsi="Times New Roman" w:cs="Times New Roman"/>
          <w:sz w:val="24"/>
          <w:szCs w:val="24"/>
        </w:rPr>
        <w:t xml:space="preserve">  </w:t>
      </w:r>
      <w:r>
        <w:rPr>
          <w:rFonts w:ascii="Times New Roman" w:hAnsi="Times New Roman" w:cs="Times New Roman"/>
          <w:sz w:val="24"/>
          <w:szCs w:val="24"/>
        </w:rPr>
        <w:t>However, this lack of resources cannot serve as an excuse not to take any action</w:t>
      </w:r>
      <w:r w:rsidR="0056730A">
        <w:rPr>
          <w:rFonts w:ascii="Times New Roman" w:hAnsi="Times New Roman" w:cs="Times New Roman"/>
          <w:sz w:val="24"/>
          <w:szCs w:val="24"/>
        </w:rPr>
        <w:t xml:space="preserve">.  </w:t>
      </w:r>
      <w:proofErr w:type="gramStart"/>
      <w:r w:rsidR="00FE6D9F">
        <w:rPr>
          <w:rFonts w:ascii="Times New Roman" w:hAnsi="Times New Roman" w:cs="Times New Roman"/>
          <w:sz w:val="24"/>
          <w:szCs w:val="24"/>
        </w:rPr>
        <w:t>Similar to</w:t>
      </w:r>
      <w:proofErr w:type="gramEnd"/>
      <w:r w:rsidR="00FE6D9F">
        <w:rPr>
          <w:rFonts w:ascii="Times New Roman" w:hAnsi="Times New Roman" w:cs="Times New Roman"/>
          <w:sz w:val="24"/>
          <w:szCs w:val="24"/>
        </w:rPr>
        <w:t xml:space="preserve"> protection measures explored above, </w:t>
      </w:r>
      <w:r w:rsidR="00685D17">
        <w:rPr>
          <w:rFonts w:ascii="Times New Roman" w:hAnsi="Times New Roman" w:cs="Times New Roman"/>
          <w:sz w:val="24"/>
          <w:szCs w:val="24"/>
        </w:rPr>
        <w:t xml:space="preserve">the </w:t>
      </w:r>
      <w:r w:rsidR="00983EF4">
        <w:rPr>
          <w:rFonts w:ascii="Times New Roman" w:hAnsi="Times New Roman" w:cs="Times New Roman"/>
          <w:sz w:val="24"/>
          <w:szCs w:val="24"/>
        </w:rPr>
        <w:t xml:space="preserve">proceeds </w:t>
      </w:r>
      <w:r w:rsidR="00724F08">
        <w:rPr>
          <w:rFonts w:ascii="Times New Roman" w:hAnsi="Times New Roman" w:cs="Times New Roman"/>
          <w:sz w:val="24"/>
          <w:szCs w:val="24"/>
        </w:rPr>
        <w:t xml:space="preserve">generated from criminal activities </w:t>
      </w:r>
      <w:r w:rsidR="000C4165">
        <w:rPr>
          <w:rFonts w:ascii="Times New Roman" w:hAnsi="Times New Roman" w:cs="Times New Roman"/>
          <w:sz w:val="24"/>
          <w:szCs w:val="24"/>
        </w:rPr>
        <w:t>can/</w:t>
      </w:r>
      <w:r w:rsidR="00685D17">
        <w:rPr>
          <w:rFonts w:ascii="Times New Roman" w:hAnsi="Times New Roman" w:cs="Times New Roman"/>
          <w:sz w:val="24"/>
          <w:szCs w:val="24"/>
        </w:rPr>
        <w:t>should be</w:t>
      </w:r>
      <w:r w:rsidR="00724F08">
        <w:rPr>
          <w:rFonts w:ascii="Times New Roman" w:hAnsi="Times New Roman" w:cs="Times New Roman"/>
          <w:sz w:val="24"/>
          <w:szCs w:val="24"/>
        </w:rPr>
        <w:t xml:space="preserve"> </w:t>
      </w:r>
      <w:r w:rsidR="00685D17">
        <w:rPr>
          <w:rFonts w:ascii="Times New Roman" w:hAnsi="Times New Roman" w:cs="Times New Roman"/>
          <w:sz w:val="24"/>
          <w:szCs w:val="24"/>
        </w:rPr>
        <w:t xml:space="preserve">confiscated and </w:t>
      </w:r>
      <w:r w:rsidR="00724F08">
        <w:rPr>
          <w:rFonts w:ascii="Times New Roman" w:hAnsi="Times New Roman" w:cs="Times New Roman"/>
          <w:sz w:val="24"/>
          <w:szCs w:val="24"/>
        </w:rPr>
        <w:t>u</w:t>
      </w:r>
      <w:r w:rsidR="005D7458">
        <w:rPr>
          <w:rFonts w:ascii="Times New Roman" w:hAnsi="Times New Roman" w:cs="Times New Roman"/>
          <w:sz w:val="24"/>
          <w:szCs w:val="24"/>
        </w:rPr>
        <w:t>tilised</w:t>
      </w:r>
      <w:r w:rsidR="00685D17">
        <w:rPr>
          <w:rFonts w:ascii="Times New Roman" w:hAnsi="Times New Roman" w:cs="Times New Roman"/>
          <w:sz w:val="24"/>
          <w:szCs w:val="24"/>
        </w:rPr>
        <w:t xml:space="preserve"> more effectively</w:t>
      </w:r>
      <w:r w:rsidR="00EF4B50">
        <w:rPr>
          <w:rFonts w:ascii="Times New Roman" w:hAnsi="Times New Roman" w:cs="Times New Roman"/>
          <w:sz w:val="24"/>
          <w:szCs w:val="24"/>
        </w:rPr>
        <w:t xml:space="preserve"> in order to reduce some burdens</w:t>
      </w:r>
      <w:r w:rsidR="00BD1095">
        <w:rPr>
          <w:rFonts w:ascii="Times New Roman" w:hAnsi="Times New Roman" w:cs="Times New Roman"/>
          <w:sz w:val="24"/>
          <w:szCs w:val="24"/>
        </w:rPr>
        <w:t xml:space="preserve">.  </w:t>
      </w:r>
      <w:r w:rsidR="0093023F">
        <w:rPr>
          <w:rFonts w:ascii="Times New Roman" w:hAnsi="Times New Roman" w:cs="Times New Roman"/>
          <w:sz w:val="24"/>
          <w:szCs w:val="24"/>
        </w:rPr>
        <w:t xml:space="preserve">In addition, </w:t>
      </w:r>
      <w:r w:rsidR="00BB7639">
        <w:rPr>
          <w:rFonts w:ascii="Times New Roman" w:hAnsi="Times New Roman" w:cs="Times New Roman"/>
          <w:sz w:val="24"/>
          <w:szCs w:val="24"/>
        </w:rPr>
        <w:t>Article 2(1) of the ICESC</w:t>
      </w:r>
      <w:r w:rsidR="00E54B32">
        <w:rPr>
          <w:rFonts w:ascii="Times New Roman" w:hAnsi="Times New Roman" w:cs="Times New Roman"/>
          <w:sz w:val="24"/>
          <w:szCs w:val="24"/>
        </w:rPr>
        <w:t>R</w:t>
      </w:r>
      <w:r w:rsidR="00BB7639">
        <w:rPr>
          <w:rFonts w:ascii="Times New Roman" w:hAnsi="Times New Roman" w:cs="Times New Roman"/>
          <w:sz w:val="24"/>
          <w:szCs w:val="24"/>
        </w:rPr>
        <w:t xml:space="preserve"> places a clear </w:t>
      </w:r>
      <w:r w:rsidR="00AF2F78">
        <w:rPr>
          <w:rFonts w:ascii="Times New Roman" w:hAnsi="Times New Roman" w:cs="Times New Roman"/>
          <w:sz w:val="24"/>
          <w:szCs w:val="24"/>
        </w:rPr>
        <w:t>duty</w:t>
      </w:r>
      <w:r w:rsidR="00BB7639">
        <w:rPr>
          <w:rFonts w:ascii="Times New Roman" w:hAnsi="Times New Roman" w:cs="Times New Roman"/>
          <w:sz w:val="24"/>
          <w:szCs w:val="24"/>
        </w:rPr>
        <w:t xml:space="preserve"> on other States</w:t>
      </w:r>
      <w:r w:rsidR="009712E4">
        <w:rPr>
          <w:rFonts w:ascii="Times New Roman" w:hAnsi="Times New Roman" w:cs="Times New Roman"/>
          <w:sz w:val="24"/>
          <w:szCs w:val="24"/>
        </w:rPr>
        <w:t xml:space="preserve">, particularly those where illicit goods and services are consumed </w:t>
      </w:r>
      <w:r w:rsidR="005D7458">
        <w:rPr>
          <w:rFonts w:ascii="Times New Roman" w:hAnsi="Times New Roman" w:cs="Times New Roman"/>
          <w:sz w:val="24"/>
          <w:szCs w:val="24"/>
        </w:rPr>
        <w:t xml:space="preserve">due to the existence of </w:t>
      </w:r>
      <w:r w:rsidR="009712E4">
        <w:rPr>
          <w:rFonts w:ascii="Times New Roman" w:hAnsi="Times New Roman" w:cs="Times New Roman"/>
          <w:sz w:val="24"/>
          <w:szCs w:val="24"/>
        </w:rPr>
        <w:t>strong demand</w:t>
      </w:r>
      <w:r w:rsidR="005D7458">
        <w:rPr>
          <w:rFonts w:ascii="Times New Roman" w:hAnsi="Times New Roman" w:cs="Times New Roman"/>
          <w:sz w:val="24"/>
          <w:szCs w:val="24"/>
        </w:rPr>
        <w:t xml:space="preserve">, </w:t>
      </w:r>
      <w:r w:rsidR="003557C7">
        <w:rPr>
          <w:rFonts w:ascii="Times New Roman" w:hAnsi="Times New Roman" w:cs="Times New Roman"/>
          <w:sz w:val="24"/>
          <w:szCs w:val="24"/>
        </w:rPr>
        <w:t>as well as</w:t>
      </w:r>
      <w:r w:rsidR="003469F9">
        <w:rPr>
          <w:rFonts w:ascii="Times New Roman" w:hAnsi="Times New Roman" w:cs="Times New Roman"/>
          <w:sz w:val="24"/>
          <w:szCs w:val="24"/>
        </w:rPr>
        <w:t xml:space="preserve"> the international community as a whole</w:t>
      </w:r>
      <w:r w:rsidR="003557C7">
        <w:rPr>
          <w:rFonts w:ascii="Times New Roman" w:hAnsi="Times New Roman" w:cs="Times New Roman"/>
          <w:sz w:val="24"/>
          <w:szCs w:val="24"/>
        </w:rPr>
        <w:t>,</w:t>
      </w:r>
      <w:r w:rsidR="003469F9">
        <w:rPr>
          <w:rFonts w:ascii="Times New Roman" w:hAnsi="Times New Roman" w:cs="Times New Roman"/>
          <w:sz w:val="24"/>
          <w:szCs w:val="24"/>
        </w:rPr>
        <w:t xml:space="preserve"> </w:t>
      </w:r>
      <w:r w:rsidR="00BB7639">
        <w:rPr>
          <w:rFonts w:ascii="Times New Roman" w:hAnsi="Times New Roman" w:cs="Times New Roman"/>
          <w:sz w:val="24"/>
          <w:szCs w:val="24"/>
        </w:rPr>
        <w:t>to assist those in need</w:t>
      </w:r>
      <w:r w:rsidR="0093023F">
        <w:rPr>
          <w:rFonts w:ascii="Times New Roman" w:hAnsi="Times New Roman" w:cs="Times New Roman"/>
          <w:sz w:val="24"/>
          <w:szCs w:val="24"/>
        </w:rPr>
        <w:t xml:space="preserve"> </w:t>
      </w:r>
      <w:r w:rsidR="00D10AC1">
        <w:rPr>
          <w:rFonts w:ascii="Times New Roman" w:hAnsi="Times New Roman" w:cs="Times New Roman"/>
          <w:sz w:val="24"/>
          <w:szCs w:val="24"/>
        </w:rPr>
        <w:t>to realise</w:t>
      </w:r>
      <w:r w:rsidR="0093023F">
        <w:rPr>
          <w:rFonts w:ascii="Times New Roman" w:hAnsi="Times New Roman" w:cs="Times New Roman"/>
          <w:sz w:val="24"/>
          <w:szCs w:val="24"/>
        </w:rPr>
        <w:t xml:space="preserve"> economic, social and cultural rights.</w:t>
      </w:r>
      <w:r w:rsidR="003469F9">
        <w:rPr>
          <w:rStyle w:val="FootnoteReference"/>
          <w:rFonts w:ascii="Times New Roman" w:hAnsi="Times New Roman" w:cs="Times New Roman"/>
          <w:sz w:val="24"/>
          <w:szCs w:val="24"/>
        </w:rPr>
        <w:footnoteReference w:id="200"/>
      </w:r>
      <w:r w:rsidR="00BB7639">
        <w:rPr>
          <w:rFonts w:ascii="Times New Roman" w:hAnsi="Times New Roman" w:cs="Times New Roman"/>
          <w:sz w:val="24"/>
          <w:szCs w:val="24"/>
        </w:rPr>
        <w:t xml:space="preserve"> </w:t>
      </w:r>
      <w:r w:rsidR="00103437">
        <w:rPr>
          <w:rFonts w:ascii="Times New Roman" w:hAnsi="Times New Roman" w:cs="Times New Roman"/>
          <w:sz w:val="24"/>
          <w:szCs w:val="24"/>
        </w:rPr>
        <w:t xml:space="preserve">Indeed, </w:t>
      </w:r>
      <w:r w:rsidR="006F6512">
        <w:rPr>
          <w:rFonts w:ascii="Times New Roman" w:hAnsi="Times New Roman" w:cs="Times New Roman"/>
          <w:sz w:val="24"/>
          <w:szCs w:val="24"/>
        </w:rPr>
        <w:t xml:space="preserve">this </w:t>
      </w:r>
      <w:r w:rsidR="003557C7">
        <w:rPr>
          <w:rFonts w:ascii="Times New Roman" w:hAnsi="Times New Roman" w:cs="Times New Roman"/>
          <w:sz w:val="24"/>
          <w:szCs w:val="24"/>
        </w:rPr>
        <w:t xml:space="preserve">obligation </w:t>
      </w:r>
      <w:r w:rsidR="00103437">
        <w:rPr>
          <w:rFonts w:ascii="Times New Roman" w:hAnsi="Times New Roman" w:cs="Times New Roman"/>
          <w:sz w:val="24"/>
          <w:szCs w:val="24"/>
        </w:rPr>
        <w:t xml:space="preserve">has been recognised in relation </w:t>
      </w:r>
      <w:r w:rsidR="003469F9">
        <w:rPr>
          <w:rFonts w:ascii="Times New Roman" w:hAnsi="Times New Roman" w:cs="Times New Roman"/>
          <w:sz w:val="24"/>
          <w:szCs w:val="24"/>
        </w:rPr>
        <w:t>to the rights to work</w:t>
      </w:r>
      <w:r w:rsidR="004001B1">
        <w:rPr>
          <w:rFonts w:ascii="Times New Roman" w:hAnsi="Times New Roman" w:cs="Times New Roman"/>
          <w:sz w:val="24"/>
          <w:szCs w:val="24"/>
        </w:rPr>
        <w:t>,</w:t>
      </w:r>
      <w:r w:rsidR="003469F9">
        <w:rPr>
          <w:rStyle w:val="FootnoteReference"/>
          <w:rFonts w:ascii="Times New Roman" w:hAnsi="Times New Roman" w:cs="Times New Roman"/>
          <w:sz w:val="24"/>
          <w:szCs w:val="24"/>
        </w:rPr>
        <w:footnoteReference w:id="201"/>
      </w:r>
      <w:r w:rsidR="003469F9">
        <w:rPr>
          <w:rFonts w:ascii="Times New Roman" w:hAnsi="Times New Roman" w:cs="Times New Roman"/>
          <w:sz w:val="24"/>
          <w:szCs w:val="24"/>
        </w:rPr>
        <w:t xml:space="preserve"> education</w:t>
      </w:r>
      <w:r w:rsidR="003469F9">
        <w:rPr>
          <w:rStyle w:val="FootnoteReference"/>
          <w:rFonts w:ascii="Times New Roman" w:hAnsi="Times New Roman" w:cs="Times New Roman"/>
          <w:sz w:val="24"/>
          <w:szCs w:val="24"/>
        </w:rPr>
        <w:footnoteReference w:id="202"/>
      </w:r>
      <w:r w:rsidR="00384350">
        <w:rPr>
          <w:rFonts w:ascii="Times New Roman" w:hAnsi="Times New Roman" w:cs="Times New Roman"/>
          <w:sz w:val="24"/>
          <w:szCs w:val="24"/>
        </w:rPr>
        <w:t xml:space="preserve"> </w:t>
      </w:r>
      <w:r w:rsidR="00597B8D">
        <w:rPr>
          <w:rFonts w:ascii="Times New Roman" w:hAnsi="Times New Roman" w:cs="Times New Roman"/>
          <w:sz w:val="24"/>
          <w:szCs w:val="24"/>
        </w:rPr>
        <w:t xml:space="preserve">and </w:t>
      </w:r>
      <w:r w:rsidR="00384350">
        <w:rPr>
          <w:rFonts w:ascii="Times New Roman" w:hAnsi="Times New Roman" w:cs="Times New Roman"/>
          <w:sz w:val="24"/>
          <w:szCs w:val="24"/>
        </w:rPr>
        <w:t>adequate standards of living</w:t>
      </w:r>
      <w:r w:rsidR="00597B8D">
        <w:rPr>
          <w:rStyle w:val="FootnoteReference"/>
          <w:rFonts w:ascii="Times New Roman" w:hAnsi="Times New Roman" w:cs="Times New Roman"/>
          <w:sz w:val="24"/>
          <w:szCs w:val="24"/>
        </w:rPr>
        <w:footnoteReference w:id="203"/>
      </w:r>
      <w:r w:rsidR="005D7458">
        <w:rPr>
          <w:rFonts w:ascii="Times New Roman" w:hAnsi="Times New Roman" w:cs="Times New Roman"/>
          <w:sz w:val="24"/>
          <w:szCs w:val="24"/>
        </w:rPr>
        <w:t xml:space="preserve"> among other rights.</w:t>
      </w:r>
      <w:r w:rsidR="00384350">
        <w:rPr>
          <w:rFonts w:ascii="Times New Roman" w:hAnsi="Times New Roman" w:cs="Times New Roman"/>
          <w:sz w:val="24"/>
          <w:szCs w:val="24"/>
        </w:rPr>
        <w:t xml:space="preserve"> </w:t>
      </w:r>
      <w:r>
        <w:rPr>
          <w:rFonts w:ascii="Times New Roman" w:hAnsi="Times New Roman" w:cs="Times New Roman"/>
          <w:sz w:val="24"/>
          <w:szCs w:val="24"/>
        </w:rPr>
        <w:t xml:space="preserve"> </w:t>
      </w:r>
      <w:r w:rsidR="003713A4">
        <w:rPr>
          <w:rFonts w:ascii="Times New Roman" w:hAnsi="Times New Roman" w:cs="Times New Roman"/>
          <w:sz w:val="24"/>
          <w:szCs w:val="24"/>
        </w:rPr>
        <w:t>When these root causes are dealt with effectively, there would be no need for vulnerable people to rely on criminal</w:t>
      </w:r>
      <w:r w:rsidR="00E90E22">
        <w:rPr>
          <w:rFonts w:ascii="Times New Roman" w:hAnsi="Times New Roman" w:cs="Times New Roman"/>
          <w:sz w:val="24"/>
          <w:szCs w:val="24"/>
        </w:rPr>
        <w:t xml:space="preserve"> and dangerous</w:t>
      </w:r>
      <w:r w:rsidR="00593248">
        <w:rPr>
          <w:rFonts w:ascii="Times New Roman" w:hAnsi="Times New Roman" w:cs="Times New Roman"/>
          <w:sz w:val="24"/>
          <w:szCs w:val="24"/>
        </w:rPr>
        <w:t xml:space="preserve"> activities </w:t>
      </w:r>
      <w:r w:rsidR="003713A4">
        <w:rPr>
          <w:rFonts w:ascii="Times New Roman" w:hAnsi="Times New Roman" w:cs="Times New Roman"/>
          <w:sz w:val="24"/>
          <w:szCs w:val="24"/>
        </w:rPr>
        <w:t xml:space="preserve">to sustain their living, and this can gradually reduce </w:t>
      </w:r>
      <w:r w:rsidR="002C55A8">
        <w:rPr>
          <w:rFonts w:ascii="Times New Roman" w:hAnsi="Times New Roman" w:cs="Times New Roman"/>
          <w:sz w:val="24"/>
          <w:szCs w:val="24"/>
        </w:rPr>
        <w:t>exploitation by</w:t>
      </w:r>
      <w:r w:rsidR="003713A4">
        <w:rPr>
          <w:rFonts w:ascii="Times New Roman" w:hAnsi="Times New Roman" w:cs="Times New Roman"/>
          <w:sz w:val="24"/>
          <w:szCs w:val="24"/>
        </w:rPr>
        <w:t xml:space="preserve"> organised criminal groups.  </w:t>
      </w:r>
    </w:p>
    <w:p w:rsidR="001C7B08" w:rsidRDefault="00145592" w:rsidP="00E9089F">
      <w:pPr>
        <w:spacing w:line="480" w:lineRule="auto"/>
        <w:rPr>
          <w:rFonts w:ascii="Times New Roman" w:hAnsi="Times New Roman" w:cs="Times New Roman"/>
          <w:sz w:val="24"/>
          <w:szCs w:val="24"/>
        </w:rPr>
      </w:pPr>
      <w:r>
        <w:rPr>
          <w:rFonts w:ascii="Times New Roman" w:hAnsi="Times New Roman" w:cs="Times New Roman"/>
          <w:sz w:val="24"/>
          <w:szCs w:val="24"/>
        </w:rPr>
        <w:tab/>
      </w:r>
      <w:r w:rsidR="00D802E1">
        <w:rPr>
          <w:rFonts w:ascii="Times New Roman" w:hAnsi="Times New Roman" w:cs="Times New Roman"/>
          <w:sz w:val="24"/>
          <w:szCs w:val="24"/>
        </w:rPr>
        <w:t>As</w:t>
      </w:r>
      <w:r w:rsidR="00F37C5E">
        <w:rPr>
          <w:rFonts w:ascii="Times New Roman" w:hAnsi="Times New Roman" w:cs="Times New Roman"/>
          <w:sz w:val="24"/>
          <w:szCs w:val="24"/>
        </w:rPr>
        <w:t xml:space="preserve"> to the demand for illicit goods and services,</w:t>
      </w:r>
      <w:r w:rsidR="00F43731">
        <w:rPr>
          <w:rFonts w:ascii="Times New Roman" w:hAnsi="Times New Roman" w:cs="Times New Roman"/>
          <w:sz w:val="24"/>
          <w:szCs w:val="24"/>
        </w:rPr>
        <w:t xml:space="preserve"> </w:t>
      </w:r>
      <w:r w:rsidR="004C0B55">
        <w:rPr>
          <w:rFonts w:ascii="Times New Roman" w:hAnsi="Times New Roman" w:cs="Times New Roman"/>
          <w:sz w:val="24"/>
          <w:szCs w:val="24"/>
        </w:rPr>
        <w:t xml:space="preserve">a similar picture emerges </w:t>
      </w:r>
      <w:r w:rsidR="00A5493B">
        <w:rPr>
          <w:rFonts w:ascii="Times New Roman" w:hAnsi="Times New Roman" w:cs="Times New Roman"/>
          <w:sz w:val="24"/>
          <w:szCs w:val="24"/>
        </w:rPr>
        <w:t xml:space="preserve">for </w:t>
      </w:r>
      <w:r w:rsidR="00E32C4F">
        <w:rPr>
          <w:rFonts w:ascii="Times New Roman" w:hAnsi="Times New Roman" w:cs="Times New Roman"/>
          <w:sz w:val="24"/>
          <w:szCs w:val="24"/>
        </w:rPr>
        <w:t xml:space="preserve">the </w:t>
      </w:r>
      <w:r w:rsidR="007E290A">
        <w:rPr>
          <w:rFonts w:ascii="Times New Roman" w:hAnsi="Times New Roman" w:cs="Times New Roman"/>
          <w:sz w:val="24"/>
          <w:szCs w:val="24"/>
        </w:rPr>
        <w:t xml:space="preserve">prohibition </w:t>
      </w:r>
      <w:r w:rsidR="004C0B55">
        <w:rPr>
          <w:rFonts w:ascii="Times New Roman" w:hAnsi="Times New Roman" w:cs="Times New Roman"/>
          <w:sz w:val="24"/>
          <w:szCs w:val="24"/>
        </w:rPr>
        <w:t xml:space="preserve">of </w:t>
      </w:r>
      <w:r w:rsidR="00964E85">
        <w:rPr>
          <w:rFonts w:ascii="Times New Roman" w:hAnsi="Times New Roman" w:cs="Times New Roman"/>
          <w:sz w:val="24"/>
          <w:szCs w:val="24"/>
        </w:rPr>
        <w:t xml:space="preserve">possession </w:t>
      </w:r>
      <w:r w:rsidR="00906B3B">
        <w:rPr>
          <w:rFonts w:ascii="Times New Roman" w:hAnsi="Times New Roman" w:cs="Times New Roman"/>
          <w:sz w:val="24"/>
          <w:szCs w:val="24"/>
        </w:rPr>
        <w:t>and</w:t>
      </w:r>
      <w:r w:rsidR="00223BEA">
        <w:rPr>
          <w:rFonts w:ascii="Times New Roman" w:hAnsi="Times New Roman" w:cs="Times New Roman"/>
          <w:sz w:val="24"/>
          <w:szCs w:val="24"/>
        </w:rPr>
        <w:t>/or</w:t>
      </w:r>
      <w:r w:rsidR="00906B3B">
        <w:rPr>
          <w:rFonts w:ascii="Times New Roman" w:hAnsi="Times New Roman" w:cs="Times New Roman"/>
          <w:sz w:val="24"/>
          <w:szCs w:val="24"/>
        </w:rPr>
        <w:t xml:space="preserve"> consumption</w:t>
      </w:r>
      <w:r w:rsidR="007E290A">
        <w:rPr>
          <w:rFonts w:ascii="Times New Roman" w:hAnsi="Times New Roman" w:cs="Times New Roman"/>
          <w:sz w:val="24"/>
          <w:szCs w:val="24"/>
        </w:rPr>
        <w:t>.</w:t>
      </w:r>
      <w:r w:rsidR="00702728">
        <w:rPr>
          <w:rFonts w:ascii="Times New Roman" w:hAnsi="Times New Roman" w:cs="Times New Roman"/>
          <w:sz w:val="24"/>
          <w:szCs w:val="24"/>
        </w:rPr>
        <w:t xml:space="preserve">  </w:t>
      </w:r>
      <w:r w:rsidR="009337F7">
        <w:rPr>
          <w:rFonts w:ascii="Times New Roman" w:hAnsi="Times New Roman" w:cs="Times New Roman"/>
          <w:sz w:val="24"/>
          <w:szCs w:val="24"/>
        </w:rPr>
        <w:t xml:space="preserve"> </w:t>
      </w:r>
      <w:r w:rsidR="006F6143">
        <w:rPr>
          <w:rFonts w:ascii="Times New Roman" w:hAnsi="Times New Roman" w:cs="Times New Roman"/>
          <w:sz w:val="24"/>
          <w:szCs w:val="24"/>
        </w:rPr>
        <w:t xml:space="preserve">While it may seem sensible to criminalise the possession of illicit goods such as child pornography, cultural/art products and wildlife, the same is not true for others from a human rights perspective.   </w:t>
      </w:r>
      <w:r w:rsidR="00283C1C">
        <w:rPr>
          <w:rFonts w:ascii="Times New Roman" w:hAnsi="Times New Roman" w:cs="Times New Roman"/>
          <w:sz w:val="24"/>
          <w:szCs w:val="24"/>
        </w:rPr>
        <w:t>With regard</w:t>
      </w:r>
      <w:r w:rsidR="00971C58">
        <w:rPr>
          <w:rFonts w:ascii="Times New Roman" w:hAnsi="Times New Roman" w:cs="Times New Roman"/>
          <w:sz w:val="24"/>
          <w:szCs w:val="24"/>
        </w:rPr>
        <w:t>s</w:t>
      </w:r>
      <w:r w:rsidR="00283C1C">
        <w:rPr>
          <w:rFonts w:ascii="Times New Roman" w:hAnsi="Times New Roman" w:cs="Times New Roman"/>
          <w:sz w:val="24"/>
          <w:szCs w:val="24"/>
        </w:rPr>
        <w:t xml:space="preserve"> to </w:t>
      </w:r>
      <w:r w:rsidR="00E9089F">
        <w:rPr>
          <w:rFonts w:ascii="Times New Roman" w:hAnsi="Times New Roman" w:cs="Times New Roman"/>
          <w:sz w:val="24"/>
          <w:szCs w:val="24"/>
        </w:rPr>
        <w:t>illicit drug</w:t>
      </w:r>
      <w:r w:rsidR="00BF60CB">
        <w:rPr>
          <w:rFonts w:ascii="Times New Roman" w:hAnsi="Times New Roman" w:cs="Times New Roman"/>
          <w:sz w:val="24"/>
          <w:szCs w:val="24"/>
        </w:rPr>
        <w:t>s</w:t>
      </w:r>
      <w:r w:rsidR="00E9089F">
        <w:rPr>
          <w:rFonts w:ascii="Times New Roman" w:hAnsi="Times New Roman" w:cs="Times New Roman"/>
          <w:sz w:val="24"/>
          <w:szCs w:val="24"/>
        </w:rPr>
        <w:t xml:space="preserve">, for instance, </w:t>
      </w:r>
      <w:r w:rsidR="00964E85">
        <w:rPr>
          <w:rFonts w:ascii="Times New Roman" w:hAnsi="Times New Roman" w:cs="Times New Roman"/>
          <w:sz w:val="24"/>
          <w:szCs w:val="24"/>
        </w:rPr>
        <w:t>the human rights bodies are advocating non-criminalisation</w:t>
      </w:r>
      <w:r w:rsidR="00E9089F">
        <w:rPr>
          <w:rFonts w:ascii="Times New Roman" w:hAnsi="Times New Roman" w:cs="Times New Roman"/>
          <w:sz w:val="24"/>
          <w:szCs w:val="24"/>
        </w:rPr>
        <w:t>/decriminalisation</w:t>
      </w:r>
      <w:r w:rsidR="00964E85">
        <w:rPr>
          <w:rFonts w:ascii="Times New Roman" w:hAnsi="Times New Roman" w:cs="Times New Roman"/>
          <w:sz w:val="24"/>
          <w:szCs w:val="24"/>
        </w:rPr>
        <w:t xml:space="preserve">.  The Special Rapporteur on the Right to Health </w:t>
      </w:r>
      <w:r w:rsidR="00364BD8">
        <w:rPr>
          <w:rFonts w:ascii="Times New Roman" w:hAnsi="Times New Roman" w:cs="Times New Roman"/>
          <w:sz w:val="24"/>
          <w:szCs w:val="24"/>
        </w:rPr>
        <w:t xml:space="preserve">has </w:t>
      </w:r>
      <w:r w:rsidR="00582AF0">
        <w:rPr>
          <w:rFonts w:ascii="Times New Roman" w:hAnsi="Times New Roman" w:cs="Times New Roman"/>
          <w:sz w:val="24"/>
          <w:szCs w:val="24"/>
        </w:rPr>
        <w:t>pointed out</w:t>
      </w:r>
      <w:r w:rsidR="00364BD8">
        <w:rPr>
          <w:rFonts w:ascii="Times New Roman" w:hAnsi="Times New Roman" w:cs="Times New Roman"/>
          <w:sz w:val="24"/>
          <w:szCs w:val="24"/>
        </w:rPr>
        <w:t xml:space="preserve"> that</w:t>
      </w:r>
      <w:r w:rsidR="00964E85">
        <w:rPr>
          <w:rFonts w:ascii="Times New Roman" w:hAnsi="Times New Roman" w:cs="Times New Roman"/>
          <w:sz w:val="24"/>
          <w:szCs w:val="24"/>
        </w:rPr>
        <w:t xml:space="preserve"> criminalisation could lead to risky forms of drug use, such as sharing of needles, using drugs in unsafe places, overdose </w:t>
      </w:r>
      <w:r w:rsidR="00964E85">
        <w:rPr>
          <w:rFonts w:ascii="Times New Roman" w:hAnsi="Times New Roman" w:cs="Times New Roman"/>
          <w:sz w:val="24"/>
          <w:szCs w:val="24"/>
        </w:rPr>
        <w:lastRenderedPageBreak/>
        <w:t>and infection, thereby increasing the threats to health.</w:t>
      </w:r>
      <w:r w:rsidR="00964E85">
        <w:rPr>
          <w:rStyle w:val="FootnoteReference"/>
          <w:rFonts w:ascii="Times New Roman" w:hAnsi="Times New Roman" w:cs="Times New Roman"/>
          <w:sz w:val="24"/>
          <w:szCs w:val="24"/>
        </w:rPr>
        <w:footnoteReference w:id="204"/>
      </w:r>
      <w:r w:rsidR="00964E85">
        <w:rPr>
          <w:rFonts w:ascii="Times New Roman" w:hAnsi="Times New Roman" w:cs="Times New Roman"/>
          <w:sz w:val="24"/>
          <w:szCs w:val="24"/>
        </w:rPr>
        <w:t xml:space="preserve">  It can also lead to further marginalisation or alienation of drug users, particularly vulnerable groups such as minors and ethnic minorities.  In order to tackle these, the Special Rapporteur has encouraged States to consider decriminalisation (removal of criminal punishment) or depenalisation (removal of custodial sentences) of possession and use of drugs, while simultaneously being cautious not to endorse </w:t>
      </w:r>
      <w:r w:rsidR="0088556E">
        <w:rPr>
          <w:rFonts w:ascii="Times New Roman" w:hAnsi="Times New Roman" w:cs="Times New Roman"/>
          <w:sz w:val="24"/>
          <w:szCs w:val="24"/>
        </w:rPr>
        <w:t xml:space="preserve">their </w:t>
      </w:r>
      <w:r w:rsidR="00964E85">
        <w:rPr>
          <w:rFonts w:ascii="Times New Roman" w:hAnsi="Times New Roman" w:cs="Times New Roman"/>
          <w:sz w:val="24"/>
          <w:szCs w:val="24"/>
        </w:rPr>
        <w:t>legalisation.</w:t>
      </w:r>
      <w:r w:rsidR="00964E85">
        <w:rPr>
          <w:rStyle w:val="FootnoteReference"/>
          <w:rFonts w:ascii="Times New Roman" w:hAnsi="Times New Roman" w:cs="Times New Roman"/>
          <w:sz w:val="24"/>
          <w:szCs w:val="24"/>
        </w:rPr>
        <w:footnoteReference w:id="205"/>
      </w:r>
      <w:r w:rsidR="00964E85">
        <w:rPr>
          <w:rFonts w:ascii="Times New Roman" w:hAnsi="Times New Roman" w:cs="Times New Roman"/>
          <w:sz w:val="24"/>
          <w:szCs w:val="24"/>
        </w:rPr>
        <w:t xml:space="preserve">   In his view, this could enhance the participation of drug users in appropriate treatment</w:t>
      </w:r>
      <w:r w:rsidR="00364BD8">
        <w:rPr>
          <w:rFonts w:ascii="Times New Roman" w:hAnsi="Times New Roman" w:cs="Times New Roman"/>
          <w:sz w:val="24"/>
          <w:szCs w:val="24"/>
        </w:rPr>
        <w:t>s</w:t>
      </w:r>
      <w:r w:rsidR="00964E85">
        <w:rPr>
          <w:rStyle w:val="FootnoteReference"/>
          <w:rFonts w:ascii="Times New Roman" w:hAnsi="Times New Roman" w:cs="Times New Roman"/>
          <w:sz w:val="24"/>
          <w:szCs w:val="24"/>
        </w:rPr>
        <w:footnoteReference w:id="206"/>
      </w:r>
      <w:r w:rsidR="00964E85">
        <w:rPr>
          <w:rFonts w:ascii="Times New Roman" w:hAnsi="Times New Roman" w:cs="Times New Roman"/>
          <w:sz w:val="24"/>
          <w:szCs w:val="24"/>
        </w:rPr>
        <w:t xml:space="preserve"> instead of stigmatisation</w:t>
      </w:r>
      <w:r w:rsidR="00EC13D8">
        <w:rPr>
          <w:rFonts w:ascii="Times New Roman" w:hAnsi="Times New Roman" w:cs="Times New Roman"/>
          <w:sz w:val="24"/>
          <w:szCs w:val="24"/>
        </w:rPr>
        <w:t xml:space="preserve">, thereby reducing the demand for drugs in the long run.  </w:t>
      </w:r>
      <w:r w:rsidR="00964E85">
        <w:rPr>
          <w:rFonts w:ascii="Times New Roman" w:hAnsi="Times New Roman" w:cs="Times New Roman"/>
          <w:sz w:val="24"/>
          <w:szCs w:val="24"/>
        </w:rPr>
        <w:t xml:space="preserve"> Decriminalisation has also been endorsed by the World Health Organisation,</w:t>
      </w:r>
      <w:r w:rsidR="00964E85">
        <w:rPr>
          <w:rStyle w:val="FootnoteReference"/>
          <w:rFonts w:ascii="Times New Roman" w:hAnsi="Times New Roman" w:cs="Times New Roman"/>
          <w:sz w:val="24"/>
          <w:szCs w:val="24"/>
        </w:rPr>
        <w:footnoteReference w:id="207"/>
      </w:r>
      <w:r w:rsidR="00964E85">
        <w:rPr>
          <w:rFonts w:ascii="Times New Roman" w:hAnsi="Times New Roman" w:cs="Times New Roman"/>
          <w:sz w:val="24"/>
          <w:szCs w:val="24"/>
        </w:rPr>
        <w:t xml:space="preserve"> the United Nations Joint Programme on HIV/AIDS (UNAIDS),</w:t>
      </w:r>
      <w:r w:rsidR="00964E85">
        <w:rPr>
          <w:rStyle w:val="FootnoteReference"/>
          <w:rFonts w:ascii="Times New Roman" w:hAnsi="Times New Roman" w:cs="Times New Roman"/>
          <w:sz w:val="24"/>
          <w:szCs w:val="24"/>
        </w:rPr>
        <w:footnoteReference w:id="208"/>
      </w:r>
      <w:r w:rsidR="00964E85">
        <w:rPr>
          <w:rFonts w:ascii="Times New Roman" w:hAnsi="Times New Roman" w:cs="Times New Roman"/>
          <w:sz w:val="24"/>
          <w:szCs w:val="24"/>
        </w:rPr>
        <w:t xml:space="preserve"> the Working Group on Arbitrary Detention, Special Rapporteurs on Extrajudicial Killings and on Torture, Inhuman or Degrading Treatment or Punishment,</w:t>
      </w:r>
      <w:r w:rsidR="00964E85">
        <w:rPr>
          <w:rStyle w:val="FootnoteReference"/>
          <w:rFonts w:ascii="Times New Roman" w:hAnsi="Times New Roman" w:cs="Times New Roman"/>
          <w:sz w:val="24"/>
          <w:szCs w:val="24"/>
        </w:rPr>
        <w:footnoteReference w:id="209"/>
      </w:r>
      <w:r w:rsidR="00964E85">
        <w:rPr>
          <w:rFonts w:ascii="Times New Roman" w:hAnsi="Times New Roman" w:cs="Times New Roman"/>
          <w:sz w:val="24"/>
          <w:szCs w:val="24"/>
        </w:rPr>
        <w:t xml:space="preserve"> and the human rights treaty bodies.</w:t>
      </w:r>
      <w:r w:rsidR="00964E85">
        <w:rPr>
          <w:rStyle w:val="FootnoteReference"/>
          <w:rFonts w:ascii="Times New Roman" w:hAnsi="Times New Roman" w:cs="Times New Roman"/>
          <w:sz w:val="24"/>
          <w:szCs w:val="24"/>
        </w:rPr>
        <w:footnoteReference w:id="210"/>
      </w:r>
      <w:r w:rsidR="00964E85">
        <w:rPr>
          <w:rFonts w:ascii="Times New Roman" w:hAnsi="Times New Roman" w:cs="Times New Roman"/>
          <w:sz w:val="24"/>
          <w:szCs w:val="24"/>
        </w:rPr>
        <w:t xml:space="preserve">  It is also interesting to note that States are being urged to stop human rights violations</w:t>
      </w:r>
      <w:r w:rsidR="00267329">
        <w:rPr>
          <w:rFonts w:ascii="Times New Roman" w:hAnsi="Times New Roman" w:cs="Times New Roman"/>
          <w:sz w:val="24"/>
          <w:szCs w:val="24"/>
        </w:rPr>
        <w:t xml:space="preserve"> </w:t>
      </w:r>
      <w:r w:rsidR="00964E85">
        <w:rPr>
          <w:rFonts w:ascii="Times New Roman" w:hAnsi="Times New Roman" w:cs="Times New Roman"/>
          <w:sz w:val="24"/>
          <w:szCs w:val="24"/>
        </w:rPr>
        <w:t>such as arbitrary detention,</w:t>
      </w:r>
      <w:r w:rsidR="00964E85">
        <w:rPr>
          <w:rStyle w:val="FootnoteReference"/>
          <w:rFonts w:ascii="Times New Roman" w:hAnsi="Times New Roman" w:cs="Times New Roman"/>
          <w:sz w:val="24"/>
          <w:szCs w:val="24"/>
        </w:rPr>
        <w:footnoteReference w:id="211"/>
      </w:r>
      <w:r w:rsidR="00964E85">
        <w:rPr>
          <w:rFonts w:ascii="Times New Roman" w:hAnsi="Times New Roman" w:cs="Times New Roman"/>
          <w:sz w:val="24"/>
          <w:szCs w:val="24"/>
        </w:rPr>
        <w:t xml:space="preserve"> extrajudicial killings and other forms of violence</w:t>
      </w:r>
      <w:r w:rsidR="00964E85">
        <w:rPr>
          <w:rStyle w:val="FootnoteReference"/>
          <w:rFonts w:ascii="Times New Roman" w:hAnsi="Times New Roman" w:cs="Times New Roman"/>
          <w:sz w:val="24"/>
          <w:szCs w:val="24"/>
        </w:rPr>
        <w:footnoteReference w:id="212"/>
      </w:r>
      <w:r w:rsidR="00964E85">
        <w:rPr>
          <w:rFonts w:ascii="Times New Roman" w:hAnsi="Times New Roman" w:cs="Times New Roman"/>
          <w:sz w:val="24"/>
          <w:szCs w:val="24"/>
        </w:rPr>
        <w:t xml:space="preserve"> and compulsory labour</w:t>
      </w:r>
      <w:r w:rsidR="00964E85">
        <w:rPr>
          <w:rStyle w:val="FootnoteReference"/>
          <w:rFonts w:ascii="Times New Roman" w:hAnsi="Times New Roman" w:cs="Times New Roman"/>
          <w:sz w:val="24"/>
          <w:szCs w:val="24"/>
        </w:rPr>
        <w:footnoteReference w:id="213"/>
      </w:r>
      <w:r w:rsidR="00964E85">
        <w:rPr>
          <w:rFonts w:ascii="Times New Roman" w:hAnsi="Times New Roman" w:cs="Times New Roman"/>
          <w:sz w:val="24"/>
          <w:szCs w:val="24"/>
        </w:rPr>
        <w:t xml:space="preserve"> against drug users.  In summary, there seems to be a consensus within the human right community that drug users are not to be regarded as criminals, but </w:t>
      </w:r>
      <w:r w:rsidR="00964E85">
        <w:rPr>
          <w:rFonts w:ascii="Times New Roman" w:hAnsi="Times New Roman" w:cs="Times New Roman"/>
          <w:sz w:val="24"/>
          <w:szCs w:val="24"/>
        </w:rPr>
        <w:lastRenderedPageBreak/>
        <w:t xml:space="preserve">rather as victims of human rights violations who deserve protection from States, and this is indeed a positive development. </w:t>
      </w:r>
      <w:r w:rsidR="001C7B08">
        <w:rPr>
          <w:rFonts w:ascii="Times New Roman" w:hAnsi="Times New Roman" w:cs="Times New Roman"/>
          <w:sz w:val="24"/>
          <w:szCs w:val="24"/>
        </w:rPr>
        <w:t xml:space="preserve"> </w:t>
      </w:r>
    </w:p>
    <w:p w:rsidR="00964E85" w:rsidRDefault="00964E85" w:rsidP="00964E8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decriminalisation of drug use and possession </w:t>
      </w:r>
      <w:r w:rsidR="00B9770C">
        <w:rPr>
          <w:rFonts w:ascii="Times New Roman" w:hAnsi="Times New Roman" w:cs="Times New Roman"/>
          <w:sz w:val="24"/>
          <w:szCs w:val="24"/>
        </w:rPr>
        <w:t>may seem r</w:t>
      </w:r>
      <w:r>
        <w:rPr>
          <w:rFonts w:ascii="Times New Roman" w:hAnsi="Times New Roman" w:cs="Times New Roman"/>
          <w:sz w:val="24"/>
          <w:szCs w:val="24"/>
        </w:rPr>
        <w:t>easonable, a careful consideration must be given to its effectiveness globally.  In advocating decriminalisation, the Special Rapporteur on the Right to Health cited the Portuguese system as an example of good practice.</w:t>
      </w:r>
      <w:r>
        <w:rPr>
          <w:rStyle w:val="FootnoteReference"/>
          <w:rFonts w:ascii="Times New Roman" w:hAnsi="Times New Roman" w:cs="Times New Roman"/>
          <w:sz w:val="24"/>
          <w:szCs w:val="24"/>
        </w:rPr>
        <w:footnoteReference w:id="214"/>
      </w:r>
      <w:r>
        <w:rPr>
          <w:rFonts w:ascii="Times New Roman" w:hAnsi="Times New Roman" w:cs="Times New Roman"/>
          <w:sz w:val="24"/>
          <w:szCs w:val="24"/>
        </w:rPr>
        <w:t xml:space="preserve">  Instead of imposing criminal penalties against drug users, the Portuguese government has established so-called </w:t>
      </w:r>
      <w:r w:rsidR="00B9770C">
        <w:rPr>
          <w:rFonts w:ascii="Times New Roman" w:hAnsi="Times New Roman" w:cs="Times New Roman"/>
          <w:sz w:val="24"/>
          <w:szCs w:val="24"/>
        </w:rPr>
        <w:t>“</w:t>
      </w:r>
      <w:r>
        <w:rPr>
          <w:rFonts w:ascii="Times New Roman" w:hAnsi="Times New Roman" w:cs="Times New Roman"/>
          <w:sz w:val="24"/>
          <w:szCs w:val="24"/>
        </w:rPr>
        <w:t>Dissuasion Commissions</w:t>
      </w:r>
      <w:r w:rsidR="00BB1AB5">
        <w:rPr>
          <w:rFonts w:ascii="Times New Roman" w:hAnsi="Times New Roman" w:cs="Times New Roman"/>
          <w:sz w:val="24"/>
          <w:szCs w:val="24"/>
        </w:rPr>
        <w:t>,</w:t>
      </w:r>
      <w:r w:rsidR="00B9770C">
        <w:rPr>
          <w:rFonts w:ascii="Times New Roman" w:hAnsi="Times New Roman" w:cs="Times New Roman"/>
          <w:sz w:val="24"/>
          <w:szCs w:val="24"/>
        </w:rPr>
        <w:t>”</w:t>
      </w:r>
      <w:r w:rsidR="00BB1AB5">
        <w:rPr>
          <w:rFonts w:ascii="Times New Roman" w:hAnsi="Times New Roman" w:cs="Times New Roman"/>
          <w:sz w:val="24"/>
          <w:szCs w:val="24"/>
        </w:rPr>
        <w:t xml:space="preserve"> </w:t>
      </w:r>
      <w:r w:rsidR="00A642F6">
        <w:rPr>
          <w:rFonts w:ascii="Times New Roman" w:hAnsi="Times New Roman" w:cs="Times New Roman"/>
          <w:sz w:val="24"/>
          <w:szCs w:val="24"/>
        </w:rPr>
        <w:t xml:space="preserve">consisting of psychologists, sociologists, and jurists and being supported by social workers and doctors,  </w:t>
      </w:r>
      <w:r>
        <w:rPr>
          <w:rFonts w:ascii="Times New Roman" w:hAnsi="Times New Roman" w:cs="Times New Roman"/>
          <w:sz w:val="24"/>
          <w:szCs w:val="24"/>
        </w:rPr>
        <w:t xml:space="preserve"> </w:t>
      </w:r>
      <w:r w:rsidR="00BB1AB5">
        <w:rPr>
          <w:rFonts w:ascii="Times New Roman" w:hAnsi="Times New Roman" w:cs="Times New Roman"/>
          <w:sz w:val="24"/>
          <w:szCs w:val="24"/>
        </w:rPr>
        <w:t xml:space="preserve">in order </w:t>
      </w:r>
      <w:r>
        <w:rPr>
          <w:rFonts w:ascii="Times New Roman" w:hAnsi="Times New Roman" w:cs="Times New Roman"/>
          <w:sz w:val="24"/>
          <w:szCs w:val="24"/>
        </w:rPr>
        <w:t xml:space="preserve">to deal with </w:t>
      </w:r>
      <w:r w:rsidR="00F70DF1">
        <w:rPr>
          <w:rFonts w:ascii="Times New Roman" w:hAnsi="Times New Roman" w:cs="Times New Roman"/>
          <w:sz w:val="24"/>
          <w:szCs w:val="24"/>
        </w:rPr>
        <w:t>drug users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15"/>
      </w:r>
      <w:r>
        <w:rPr>
          <w:rFonts w:ascii="Times New Roman" w:hAnsi="Times New Roman" w:cs="Times New Roman"/>
          <w:sz w:val="24"/>
          <w:szCs w:val="24"/>
        </w:rPr>
        <w:t xml:space="preserve">  Those caught in possession are required to appear before </w:t>
      </w:r>
      <w:r w:rsidR="00A642F6">
        <w:rPr>
          <w:rFonts w:ascii="Times New Roman" w:hAnsi="Times New Roman" w:cs="Times New Roman"/>
          <w:sz w:val="24"/>
          <w:szCs w:val="24"/>
        </w:rPr>
        <w:t>the</w:t>
      </w:r>
      <w:r>
        <w:rPr>
          <w:rFonts w:ascii="Times New Roman" w:hAnsi="Times New Roman" w:cs="Times New Roman"/>
          <w:sz w:val="24"/>
          <w:szCs w:val="24"/>
        </w:rPr>
        <w:t xml:space="preserve"> Commission and, depending on the level of addiction, it may take further action, such as by issuing a warning or ordering rehabilitation treatment.  It has been noted that Portugal’s emphasis on treatment instead of penalisation has dramatically reduced drug use domestically</w:t>
      </w:r>
      <w:r>
        <w:rPr>
          <w:rStyle w:val="FootnoteReference"/>
          <w:rFonts w:ascii="Times New Roman" w:hAnsi="Times New Roman" w:cs="Times New Roman"/>
          <w:sz w:val="24"/>
          <w:szCs w:val="24"/>
        </w:rPr>
        <w:footnoteReference w:id="216"/>
      </w:r>
      <w:r>
        <w:rPr>
          <w:rFonts w:ascii="Times New Roman" w:hAnsi="Times New Roman" w:cs="Times New Roman"/>
          <w:sz w:val="24"/>
          <w:szCs w:val="24"/>
        </w:rPr>
        <w:t xml:space="preserve"> as th</w:t>
      </w:r>
      <w:r w:rsidR="00364BD8">
        <w:rPr>
          <w:rFonts w:ascii="Times New Roman" w:hAnsi="Times New Roman" w:cs="Times New Roman"/>
          <w:sz w:val="24"/>
          <w:szCs w:val="24"/>
        </w:rPr>
        <w:t>is</w:t>
      </w:r>
      <w:r>
        <w:rPr>
          <w:rFonts w:ascii="Times New Roman" w:hAnsi="Times New Roman" w:cs="Times New Roman"/>
          <w:sz w:val="24"/>
          <w:szCs w:val="24"/>
        </w:rPr>
        <w:t xml:space="preserve"> has led to more people participating in treatment.</w:t>
      </w:r>
      <w:r>
        <w:rPr>
          <w:rStyle w:val="FootnoteReference"/>
          <w:rFonts w:ascii="Times New Roman" w:hAnsi="Times New Roman" w:cs="Times New Roman"/>
          <w:sz w:val="24"/>
          <w:szCs w:val="24"/>
        </w:rPr>
        <w:footnoteReference w:id="217"/>
      </w:r>
      <w:r>
        <w:rPr>
          <w:rFonts w:ascii="Times New Roman" w:hAnsi="Times New Roman" w:cs="Times New Roman"/>
          <w:sz w:val="24"/>
          <w:szCs w:val="24"/>
        </w:rPr>
        <w:t xml:space="preserve">        </w:t>
      </w:r>
    </w:p>
    <w:p w:rsidR="00964E85" w:rsidRDefault="00C3706C" w:rsidP="00964E8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w:t>
      </w:r>
      <w:r w:rsidR="00964E85">
        <w:rPr>
          <w:rFonts w:ascii="Times New Roman" w:hAnsi="Times New Roman" w:cs="Times New Roman"/>
          <w:sz w:val="24"/>
          <w:szCs w:val="24"/>
        </w:rPr>
        <w:t>the efforts of Portugal are noteworthy, there is no guarantee that it will work in other States.  The Portuguese system has been working well as a good amount of human, financial and other resources has been invested into it.  Without such commitment, therefore, decriminalisation may not work well.   Also, there is an issue of social and cultural attitudes towards drug use in a given State.   The success of the Portuguese model has partly to do with the fact that the general public has been able to accept the idea that drug users should not be criminalised/marginalised, without the government forcing to change the public opinion.</w:t>
      </w:r>
      <w:r w:rsidR="00964E85">
        <w:rPr>
          <w:rStyle w:val="FootnoteReference"/>
          <w:rFonts w:ascii="Times New Roman" w:hAnsi="Times New Roman" w:cs="Times New Roman"/>
          <w:sz w:val="24"/>
          <w:szCs w:val="24"/>
        </w:rPr>
        <w:footnoteReference w:id="218"/>
      </w:r>
      <w:r w:rsidR="00964E85">
        <w:rPr>
          <w:rFonts w:ascii="Times New Roman" w:hAnsi="Times New Roman" w:cs="Times New Roman"/>
          <w:sz w:val="24"/>
          <w:szCs w:val="24"/>
        </w:rPr>
        <w:t xml:space="preserve"> </w:t>
      </w:r>
      <w:r w:rsidR="00964E85">
        <w:rPr>
          <w:rFonts w:ascii="Times New Roman" w:hAnsi="Times New Roman" w:cs="Times New Roman"/>
          <w:sz w:val="24"/>
          <w:szCs w:val="24"/>
        </w:rPr>
        <w:lastRenderedPageBreak/>
        <w:t xml:space="preserve">This means that decriminalisation may not be accepted or work in States where </w:t>
      </w:r>
      <w:r w:rsidR="0012653F">
        <w:rPr>
          <w:rFonts w:ascii="Times New Roman" w:hAnsi="Times New Roman" w:cs="Times New Roman"/>
          <w:sz w:val="24"/>
          <w:szCs w:val="24"/>
        </w:rPr>
        <w:t>the attitudes of the general public</w:t>
      </w:r>
      <w:r w:rsidR="00964E85">
        <w:rPr>
          <w:rFonts w:ascii="Times New Roman" w:hAnsi="Times New Roman" w:cs="Times New Roman"/>
          <w:sz w:val="24"/>
          <w:szCs w:val="24"/>
        </w:rPr>
        <w:t xml:space="preserve"> are different.</w:t>
      </w:r>
      <w:r w:rsidR="00964E85">
        <w:rPr>
          <w:rStyle w:val="FootnoteReference"/>
          <w:rFonts w:ascii="Times New Roman" w:hAnsi="Times New Roman" w:cs="Times New Roman"/>
          <w:sz w:val="24"/>
          <w:szCs w:val="24"/>
        </w:rPr>
        <w:footnoteReference w:id="219"/>
      </w:r>
      <w:r w:rsidR="00964E85">
        <w:rPr>
          <w:rFonts w:ascii="Times New Roman" w:hAnsi="Times New Roman" w:cs="Times New Roman"/>
          <w:sz w:val="24"/>
          <w:szCs w:val="24"/>
        </w:rPr>
        <w:t xml:space="preserve">  Consequently, </w:t>
      </w:r>
      <w:r w:rsidR="007B7CB1">
        <w:rPr>
          <w:rFonts w:ascii="Times New Roman" w:hAnsi="Times New Roman" w:cs="Times New Roman"/>
          <w:sz w:val="24"/>
          <w:szCs w:val="24"/>
        </w:rPr>
        <w:t xml:space="preserve">a </w:t>
      </w:r>
      <w:r w:rsidR="00964E85">
        <w:rPr>
          <w:rFonts w:ascii="Times New Roman" w:hAnsi="Times New Roman" w:cs="Times New Roman"/>
          <w:sz w:val="24"/>
          <w:szCs w:val="24"/>
        </w:rPr>
        <w:t xml:space="preserve">more thorough analysis on the impact of decriminalisation from a cross-cultural, social and political perspectives must be conducted in order </w:t>
      </w:r>
      <w:r w:rsidR="004E364A">
        <w:rPr>
          <w:rFonts w:ascii="Times New Roman" w:hAnsi="Times New Roman" w:cs="Times New Roman"/>
          <w:sz w:val="24"/>
          <w:szCs w:val="24"/>
        </w:rPr>
        <w:t xml:space="preserve">for </w:t>
      </w:r>
      <w:r w:rsidR="00964E85">
        <w:rPr>
          <w:rFonts w:ascii="Times New Roman" w:hAnsi="Times New Roman" w:cs="Times New Roman"/>
          <w:sz w:val="24"/>
          <w:szCs w:val="24"/>
        </w:rPr>
        <w:t>decriminalisation</w:t>
      </w:r>
      <w:r w:rsidR="004E364A">
        <w:rPr>
          <w:rFonts w:ascii="Times New Roman" w:hAnsi="Times New Roman" w:cs="Times New Roman"/>
          <w:sz w:val="24"/>
          <w:szCs w:val="24"/>
        </w:rPr>
        <w:t xml:space="preserve"> to work properly</w:t>
      </w:r>
      <w:r w:rsidR="00964E85">
        <w:rPr>
          <w:rFonts w:ascii="Times New Roman" w:hAnsi="Times New Roman" w:cs="Times New Roman"/>
          <w:sz w:val="24"/>
          <w:szCs w:val="24"/>
        </w:rPr>
        <w:t xml:space="preserve">. </w:t>
      </w:r>
      <w:r w:rsidR="004161E2">
        <w:rPr>
          <w:rFonts w:ascii="Times New Roman" w:hAnsi="Times New Roman" w:cs="Times New Roman"/>
          <w:sz w:val="24"/>
          <w:szCs w:val="24"/>
        </w:rPr>
        <w:t xml:space="preserve">  From a human rights perspective, </w:t>
      </w:r>
      <w:r w:rsidR="009B2ED2">
        <w:rPr>
          <w:rFonts w:ascii="Times New Roman" w:hAnsi="Times New Roman" w:cs="Times New Roman"/>
          <w:sz w:val="24"/>
          <w:szCs w:val="24"/>
        </w:rPr>
        <w:t>it is essential for States to</w:t>
      </w:r>
      <w:r w:rsidR="00234D5F">
        <w:rPr>
          <w:rFonts w:ascii="Times New Roman" w:hAnsi="Times New Roman" w:cs="Times New Roman"/>
          <w:sz w:val="24"/>
          <w:szCs w:val="24"/>
        </w:rPr>
        <w:t xml:space="preserve"> provide accurate information regarding drug use and facilitate education/awareness-raising,</w:t>
      </w:r>
      <w:r w:rsidR="00234D5F">
        <w:rPr>
          <w:rStyle w:val="FootnoteReference"/>
          <w:rFonts w:ascii="Times New Roman" w:hAnsi="Times New Roman" w:cs="Times New Roman"/>
          <w:sz w:val="24"/>
          <w:szCs w:val="24"/>
        </w:rPr>
        <w:footnoteReference w:id="220"/>
      </w:r>
      <w:r w:rsidR="00234D5F">
        <w:rPr>
          <w:rFonts w:ascii="Times New Roman" w:hAnsi="Times New Roman" w:cs="Times New Roman"/>
          <w:sz w:val="24"/>
          <w:szCs w:val="24"/>
        </w:rPr>
        <w:t xml:space="preserve"> </w:t>
      </w:r>
      <w:r w:rsidR="00FA1AE3">
        <w:rPr>
          <w:rFonts w:ascii="Times New Roman" w:hAnsi="Times New Roman" w:cs="Times New Roman"/>
          <w:sz w:val="24"/>
          <w:szCs w:val="24"/>
        </w:rPr>
        <w:t xml:space="preserve">particularly </w:t>
      </w:r>
      <w:r w:rsidR="00234D5F">
        <w:rPr>
          <w:rFonts w:ascii="Times New Roman" w:hAnsi="Times New Roman" w:cs="Times New Roman"/>
          <w:sz w:val="24"/>
          <w:szCs w:val="24"/>
        </w:rPr>
        <w:t>among</w:t>
      </w:r>
      <w:r w:rsidR="00FA1AE3">
        <w:rPr>
          <w:rFonts w:ascii="Times New Roman" w:hAnsi="Times New Roman" w:cs="Times New Roman"/>
          <w:sz w:val="24"/>
          <w:szCs w:val="24"/>
        </w:rPr>
        <w:t xml:space="preserve"> young people</w:t>
      </w:r>
      <w:r w:rsidR="00234D5F">
        <w:rPr>
          <w:rStyle w:val="FootnoteReference"/>
          <w:rFonts w:ascii="Times New Roman" w:hAnsi="Times New Roman" w:cs="Times New Roman"/>
          <w:sz w:val="24"/>
          <w:szCs w:val="24"/>
        </w:rPr>
        <w:footnoteReference w:id="221"/>
      </w:r>
      <w:r w:rsidR="00FA1AE3">
        <w:rPr>
          <w:rFonts w:ascii="Times New Roman" w:hAnsi="Times New Roman" w:cs="Times New Roman"/>
          <w:sz w:val="24"/>
          <w:szCs w:val="24"/>
        </w:rPr>
        <w:t xml:space="preserve"> as these may contribute to the reduction of deman</w:t>
      </w:r>
      <w:r w:rsidR="00F81B8A">
        <w:rPr>
          <w:rFonts w:ascii="Times New Roman" w:hAnsi="Times New Roman" w:cs="Times New Roman"/>
          <w:sz w:val="24"/>
          <w:szCs w:val="24"/>
        </w:rPr>
        <w:t xml:space="preserve">d in the long run.  </w:t>
      </w:r>
    </w:p>
    <w:p w:rsidR="00F52E10" w:rsidRDefault="009337F7" w:rsidP="005D7118">
      <w:pPr>
        <w:spacing w:line="480" w:lineRule="auto"/>
        <w:rPr>
          <w:rFonts w:ascii="Times New Roman" w:hAnsi="Times New Roman" w:cs="Times New Roman"/>
          <w:sz w:val="24"/>
          <w:szCs w:val="24"/>
        </w:rPr>
      </w:pPr>
      <w:r>
        <w:rPr>
          <w:rFonts w:ascii="Times New Roman" w:hAnsi="Times New Roman" w:cs="Times New Roman"/>
          <w:sz w:val="24"/>
          <w:szCs w:val="24"/>
        </w:rPr>
        <w:tab/>
      </w:r>
      <w:r w:rsidR="00E135E4">
        <w:rPr>
          <w:rFonts w:ascii="Times New Roman" w:hAnsi="Times New Roman" w:cs="Times New Roman"/>
          <w:sz w:val="24"/>
          <w:szCs w:val="24"/>
        </w:rPr>
        <w:t>Equally complex is the</w:t>
      </w:r>
      <w:r>
        <w:rPr>
          <w:rFonts w:ascii="Times New Roman" w:hAnsi="Times New Roman" w:cs="Times New Roman"/>
          <w:sz w:val="24"/>
          <w:szCs w:val="24"/>
        </w:rPr>
        <w:t xml:space="preserve"> </w:t>
      </w:r>
      <w:r w:rsidR="00C3706C">
        <w:rPr>
          <w:rFonts w:ascii="Times New Roman" w:hAnsi="Times New Roman" w:cs="Times New Roman"/>
          <w:sz w:val="24"/>
          <w:szCs w:val="24"/>
        </w:rPr>
        <w:t xml:space="preserve">criminalisation of </w:t>
      </w:r>
      <w:r>
        <w:rPr>
          <w:rFonts w:ascii="Times New Roman" w:hAnsi="Times New Roman" w:cs="Times New Roman"/>
          <w:sz w:val="24"/>
          <w:szCs w:val="24"/>
        </w:rPr>
        <w:t>purchas</w:t>
      </w:r>
      <w:r w:rsidR="00BF7584">
        <w:rPr>
          <w:rFonts w:ascii="Times New Roman" w:hAnsi="Times New Roman" w:cs="Times New Roman"/>
          <w:sz w:val="24"/>
          <w:szCs w:val="24"/>
        </w:rPr>
        <w:t>ing</w:t>
      </w:r>
      <w:r>
        <w:rPr>
          <w:rFonts w:ascii="Times New Roman" w:hAnsi="Times New Roman" w:cs="Times New Roman"/>
          <w:sz w:val="24"/>
          <w:szCs w:val="24"/>
        </w:rPr>
        <w:t xml:space="preserve"> sexual services.</w:t>
      </w:r>
      <w:r w:rsidR="00C3706C">
        <w:rPr>
          <w:rFonts w:ascii="Times New Roman" w:hAnsi="Times New Roman" w:cs="Times New Roman"/>
          <w:sz w:val="24"/>
          <w:szCs w:val="24"/>
        </w:rPr>
        <w:t xml:space="preserve">  </w:t>
      </w:r>
      <w:r w:rsidR="00573ECC">
        <w:rPr>
          <w:rFonts w:ascii="Times New Roman" w:hAnsi="Times New Roman" w:cs="Times New Roman"/>
          <w:sz w:val="24"/>
          <w:szCs w:val="24"/>
        </w:rPr>
        <w:t xml:space="preserve">There </w:t>
      </w:r>
      <w:r w:rsidR="006C57AB">
        <w:rPr>
          <w:rFonts w:ascii="Times New Roman" w:hAnsi="Times New Roman" w:cs="Times New Roman"/>
          <w:sz w:val="24"/>
          <w:szCs w:val="24"/>
        </w:rPr>
        <w:t>may be</w:t>
      </w:r>
      <w:r w:rsidR="00BF7584">
        <w:rPr>
          <w:rFonts w:ascii="Times New Roman" w:hAnsi="Times New Roman" w:cs="Times New Roman"/>
          <w:sz w:val="24"/>
          <w:szCs w:val="24"/>
        </w:rPr>
        <w:t xml:space="preserve"> a </w:t>
      </w:r>
      <w:r w:rsidR="00573ECC">
        <w:rPr>
          <w:rFonts w:ascii="Times New Roman" w:hAnsi="Times New Roman" w:cs="Times New Roman"/>
          <w:sz w:val="24"/>
          <w:szCs w:val="24"/>
        </w:rPr>
        <w:t xml:space="preserve">strong support for punishing </w:t>
      </w:r>
      <w:r w:rsidR="00C3706C">
        <w:rPr>
          <w:rFonts w:ascii="Times New Roman" w:hAnsi="Times New Roman" w:cs="Times New Roman"/>
          <w:sz w:val="24"/>
          <w:szCs w:val="24"/>
        </w:rPr>
        <w:t xml:space="preserve">those who </w:t>
      </w:r>
      <w:r w:rsidR="006141FC">
        <w:rPr>
          <w:rFonts w:ascii="Times New Roman" w:hAnsi="Times New Roman" w:cs="Times New Roman"/>
          <w:sz w:val="24"/>
          <w:szCs w:val="24"/>
        </w:rPr>
        <w:t>purchase sexual services from</w:t>
      </w:r>
      <w:r w:rsidR="0063398F">
        <w:rPr>
          <w:rFonts w:ascii="Times New Roman" w:hAnsi="Times New Roman" w:cs="Times New Roman"/>
          <w:sz w:val="24"/>
          <w:szCs w:val="24"/>
        </w:rPr>
        <w:t xml:space="preserve"> </w:t>
      </w:r>
      <w:r w:rsidR="00C3706C">
        <w:rPr>
          <w:rFonts w:ascii="Times New Roman" w:hAnsi="Times New Roman" w:cs="Times New Roman"/>
          <w:sz w:val="24"/>
          <w:szCs w:val="24"/>
        </w:rPr>
        <w:t xml:space="preserve">children </w:t>
      </w:r>
      <w:r w:rsidR="00573ECC">
        <w:rPr>
          <w:rFonts w:ascii="Times New Roman" w:hAnsi="Times New Roman" w:cs="Times New Roman"/>
          <w:sz w:val="24"/>
          <w:szCs w:val="24"/>
        </w:rPr>
        <w:t>or others forced to provide them</w:t>
      </w:r>
      <w:r w:rsidR="00BF7584">
        <w:rPr>
          <w:rFonts w:ascii="Times New Roman" w:hAnsi="Times New Roman" w:cs="Times New Roman"/>
          <w:sz w:val="24"/>
          <w:szCs w:val="24"/>
        </w:rPr>
        <w:t>, such as the victims of human trafficking</w:t>
      </w:r>
      <w:r w:rsidR="00573ECC">
        <w:rPr>
          <w:rFonts w:ascii="Times New Roman" w:hAnsi="Times New Roman" w:cs="Times New Roman"/>
          <w:sz w:val="24"/>
          <w:szCs w:val="24"/>
        </w:rPr>
        <w:t xml:space="preserve">.  </w:t>
      </w:r>
      <w:r w:rsidR="00C3706C">
        <w:rPr>
          <w:rFonts w:ascii="Times New Roman" w:hAnsi="Times New Roman" w:cs="Times New Roman"/>
          <w:sz w:val="24"/>
          <w:szCs w:val="24"/>
        </w:rPr>
        <w:t xml:space="preserve"> </w:t>
      </w:r>
      <w:r w:rsidR="00573ECC">
        <w:rPr>
          <w:rFonts w:ascii="Times New Roman" w:hAnsi="Times New Roman" w:cs="Times New Roman"/>
          <w:sz w:val="24"/>
          <w:szCs w:val="24"/>
        </w:rPr>
        <w:t>However,</w:t>
      </w:r>
      <w:r w:rsidR="003C7AA8">
        <w:rPr>
          <w:rFonts w:ascii="Times New Roman" w:hAnsi="Times New Roman" w:cs="Times New Roman"/>
          <w:sz w:val="24"/>
          <w:szCs w:val="24"/>
        </w:rPr>
        <w:t xml:space="preserve"> </w:t>
      </w:r>
      <w:r w:rsidR="00AC0D8F">
        <w:rPr>
          <w:rFonts w:ascii="Times New Roman" w:hAnsi="Times New Roman" w:cs="Times New Roman"/>
          <w:sz w:val="24"/>
          <w:szCs w:val="24"/>
        </w:rPr>
        <w:t xml:space="preserve">a </w:t>
      </w:r>
      <w:r w:rsidR="00573ECC">
        <w:rPr>
          <w:rFonts w:ascii="Times New Roman" w:hAnsi="Times New Roman" w:cs="Times New Roman"/>
          <w:sz w:val="24"/>
          <w:szCs w:val="24"/>
        </w:rPr>
        <w:t xml:space="preserve">degree of </w:t>
      </w:r>
      <w:r w:rsidR="00C3706C">
        <w:rPr>
          <w:rFonts w:ascii="Times New Roman" w:hAnsi="Times New Roman" w:cs="Times New Roman"/>
          <w:sz w:val="24"/>
          <w:szCs w:val="24"/>
        </w:rPr>
        <w:t>uncertain</w:t>
      </w:r>
      <w:r w:rsidR="00573ECC">
        <w:rPr>
          <w:rFonts w:ascii="Times New Roman" w:hAnsi="Times New Roman" w:cs="Times New Roman"/>
          <w:sz w:val="24"/>
          <w:szCs w:val="24"/>
        </w:rPr>
        <w:t>t</w:t>
      </w:r>
      <w:r w:rsidR="00C3706C">
        <w:rPr>
          <w:rFonts w:ascii="Times New Roman" w:hAnsi="Times New Roman" w:cs="Times New Roman"/>
          <w:sz w:val="24"/>
          <w:szCs w:val="24"/>
        </w:rPr>
        <w:t xml:space="preserve">y remains in relation to </w:t>
      </w:r>
      <w:r w:rsidR="006141FC">
        <w:rPr>
          <w:rFonts w:ascii="Times New Roman" w:hAnsi="Times New Roman" w:cs="Times New Roman"/>
          <w:sz w:val="24"/>
          <w:szCs w:val="24"/>
        </w:rPr>
        <w:t>adults</w:t>
      </w:r>
      <w:r w:rsidR="00573ECC">
        <w:rPr>
          <w:rFonts w:ascii="Times New Roman" w:hAnsi="Times New Roman" w:cs="Times New Roman"/>
          <w:sz w:val="24"/>
          <w:szCs w:val="24"/>
        </w:rPr>
        <w:t xml:space="preserve"> voluntarily providing these services</w:t>
      </w:r>
      <w:r w:rsidR="006141FC">
        <w:rPr>
          <w:rFonts w:ascii="Times New Roman" w:hAnsi="Times New Roman" w:cs="Times New Roman"/>
          <w:sz w:val="24"/>
          <w:szCs w:val="24"/>
        </w:rPr>
        <w:t>.</w:t>
      </w:r>
      <w:r w:rsidR="00C3706C">
        <w:rPr>
          <w:rFonts w:ascii="Times New Roman" w:hAnsi="Times New Roman" w:cs="Times New Roman"/>
          <w:sz w:val="24"/>
          <w:szCs w:val="24"/>
        </w:rPr>
        <w:t xml:space="preserve"> </w:t>
      </w:r>
      <w:r w:rsidR="00573ECC">
        <w:rPr>
          <w:rFonts w:ascii="Times New Roman" w:hAnsi="Times New Roman" w:cs="Times New Roman"/>
          <w:sz w:val="24"/>
          <w:szCs w:val="24"/>
        </w:rPr>
        <w:t xml:space="preserve"> </w:t>
      </w:r>
      <w:r w:rsidR="009E750F">
        <w:rPr>
          <w:rFonts w:ascii="Times New Roman" w:hAnsi="Times New Roman" w:cs="Times New Roman"/>
          <w:sz w:val="24"/>
          <w:szCs w:val="24"/>
        </w:rPr>
        <w:t xml:space="preserve">On </w:t>
      </w:r>
      <w:r w:rsidR="008E3697">
        <w:rPr>
          <w:rFonts w:ascii="Times New Roman" w:hAnsi="Times New Roman" w:cs="Times New Roman"/>
          <w:sz w:val="24"/>
          <w:szCs w:val="24"/>
        </w:rPr>
        <w:t xml:space="preserve">the </w:t>
      </w:r>
      <w:r w:rsidR="009E750F">
        <w:rPr>
          <w:rFonts w:ascii="Times New Roman" w:hAnsi="Times New Roman" w:cs="Times New Roman"/>
          <w:sz w:val="24"/>
          <w:szCs w:val="24"/>
        </w:rPr>
        <w:t xml:space="preserve">one hand, it has been argued that decriminalisation or legalisation creates </w:t>
      </w:r>
      <w:r w:rsidR="00AC0D8F">
        <w:rPr>
          <w:rFonts w:ascii="Times New Roman" w:hAnsi="Times New Roman" w:cs="Times New Roman"/>
          <w:sz w:val="24"/>
          <w:szCs w:val="24"/>
        </w:rPr>
        <w:t xml:space="preserve">a </w:t>
      </w:r>
      <w:r w:rsidR="009E750F">
        <w:rPr>
          <w:rFonts w:ascii="Times New Roman" w:hAnsi="Times New Roman" w:cs="Times New Roman"/>
          <w:sz w:val="24"/>
          <w:szCs w:val="24"/>
        </w:rPr>
        <w:t>stronger demand</w:t>
      </w:r>
      <w:r w:rsidR="00C534BC">
        <w:rPr>
          <w:rFonts w:ascii="Times New Roman" w:hAnsi="Times New Roman" w:cs="Times New Roman"/>
          <w:sz w:val="24"/>
          <w:szCs w:val="24"/>
        </w:rPr>
        <w:t xml:space="preserve">, </w:t>
      </w:r>
      <w:r w:rsidR="009E750F">
        <w:rPr>
          <w:rFonts w:ascii="Times New Roman" w:hAnsi="Times New Roman" w:cs="Times New Roman"/>
          <w:sz w:val="24"/>
          <w:szCs w:val="24"/>
        </w:rPr>
        <w:t xml:space="preserve">which in turn can lead to undesirable consequences such as </w:t>
      </w:r>
      <w:r w:rsidR="00C534BC">
        <w:rPr>
          <w:rFonts w:ascii="Times New Roman" w:hAnsi="Times New Roman" w:cs="Times New Roman"/>
          <w:sz w:val="24"/>
          <w:szCs w:val="24"/>
        </w:rPr>
        <w:t xml:space="preserve">an increase in </w:t>
      </w:r>
      <w:r w:rsidR="009E750F">
        <w:rPr>
          <w:rFonts w:ascii="Times New Roman" w:hAnsi="Times New Roman" w:cs="Times New Roman"/>
          <w:sz w:val="24"/>
          <w:szCs w:val="24"/>
        </w:rPr>
        <w:t>human trafficking.</w:t>
      </w:r>
      <w:r w:rsidR="009E750F">
        <w:rPr>
          <w:rStyle w:val="FootnoteReference"/>
          <w:rFonts w:ascii="Times New Roman" w:hAnsi="Times New Roman" w:cs="Times New Roman"/>
          <w:sz w:val="24"/>
          <w:szCs w:val="24"/>
        </w:rPr>
        <w:footnoteReference w:id="222"/>
      </w:r>
      <w:r w:rsidR="009E750F">
        <w:rPr>
          <w:rFonts w:ascii="Times New Roman" w:hAnsi="Times New Roman" w:cs="Times New Roman"/>
          <w:sz w:val="24"/>
          <w:szCs w:val="24"/>
        </w:rPr>
        <w:t xml:space="preserve"> </w:t>
      </w:r>
      <w:r w:rsidR="003C7AA8">
        <w:rPr>
          <w:rFonts w:ascii="Times New Roman" w:hAnsi="Times New Roman" w:cs="Times New Roman"/>
          <w:sz w:val="24"/>
          <w:szCs w:val="24"/>
        </w:rPr>
        <w:t xml:space="preserve"> This enhances the argument for criminalisation </w:t>
      </w:r>
      <w:r w:rsidR="00C534BC">
        <w:rPr>
          <w:rFonts w:ascii="Times New Roman" w:hAnsi="Times New Roman" w:cs="Times New Roman"/>
          <w:sz w:val="24"/>
          <w:szCs w:val="24"/>
        </w:rPr>
        <w:t xml:space="preserve">of the </w:t>
      </w:r>
      <w:r w:rsidR="003C7AA8">
        <w:rPr>
          <w:rFonts w:ascii="Times New Roman" w:hAnsi="Times New Roman" w:cs="Times New Roman"/>
          <w:sz w:val="24"/>
          <w:szCs w:val="24"/>
        </w:rPr>
        <w:t>purchas</w:t>
      </w:r>
      <w:r w:rsidR="00C534BC">
        <w:rPr>
          <w:rFonts w:ascii="Times New Roman" w:hAnsi="Times New Roman" w:cs="Times New Roman"/>
          <w:sz w:val="24"/>
          <w:szCs w:val="24"/>
        </w:rPr>
        <w:t>e</w:t>
      </w:r>
      <w:r w:rsidR="003C7AA8">
        <w:rPr>
          <w:rFonts w:ascii="Times New Roman" w:hAnsi="Times New Roman" w:cs="Times New Roman"/>
          <w:sz w:val="24"/>
          <w:szCs w:val="24"/>
        </w:rPr>
        <w:t xml:space="preserve"> </w:t>
      </w:r>
      <w:r w:rsidR="00C534BC">
        <w:rPr>
          <w:rFonts w:ascii="Times New Roman" w:hAnsi="Times New Roman" w:cs="Times New Roman"/>
          <w:sz w:val="24"/>
          <w:szCs w:val="24"/>
        </w:rPr>
        <w:t>in order to maximise the deterrent effect.</w:t>
      </w:r>
      <w:r w:rsidR="003C7AA8">
        <w:rPr>
          <w:rStyle w:val="FootnoteReference"/>
          <w:rFonts w:ascii="Times New Roman" w:hAnsi="Times New Roman" w:cs="Times New Roman"/>
          <w:sz w:val="24"/>
          <w:szCs w:val="24"/>
        </w:rPr>
        <w:footnoteReference w:id="223"/>
      </w:r>
      <w:r w:rsidR="003C7AA8">
        <w:rPr>
          <w:rFonts w:ascii="Times New Roman" w:hAnsi="Times New Roman" w:cs="Times New Roman"/>
          <w:sz w:val="24"/>
          <w:szCs w:val="24"/>
        </w:rPr>
        <w:t xml:space="preserve">  When there is less demand, </w:t>
      </w:r>
      <w:r w:rsidR="00AC0D8F">
        <w:rPr>
          <w:rFonts w:ascii="Times New Roman" w:hAnsi="Times New Roman" w:cs="Times New Roman"/>
          <w:sz w:val="24"/>
          <w:szCs w:val="24"/>
        </w:rPr>
        <w:t xml:space="preserve">the argument goes, </w:t>
      </w:r>
      <w:r w:rsidR="003C7AA8">
        <w:rPr>
          <w:rFonts w:ascii="Times New Roman" w:hAnsi="Times New Roman" w:cs="Times New Roman"/>
          <w:sz w:val="24"/>
          <w:szCs w:val="24"/>
        </w:rPr>
        <w:t>there will be less supply, resulting in a fewer victims.</w:t>
      </w:r>
      <w:r w:rsidR="003C7AA8">
        <w:rPr>
          <w:rStyle w:val="FootnoteReference"/>
          <w:rFonts w:ascii="Times New Roman" w:hAnsi="Times New Roman" w:cs="Times New Roman"/>
          <w:sz w:val="24"/>
          <w:szCs w:val="24"/>
        </w:rPr>
        <w:footnoteReference w:id="224"/>
      </w:r>
      <w:r w:rsidR="003C7AA8">
        <w:rPr>
          <w:rFonts w:ascii="Times New Roman" w:hAnsi="Times New Roman" w:cs="Times New Roman"/>
          <w:sz w:val="24"/>
          <w:szCs w:val="24"/>
        </w:rPr>
        <w:t xml:space="preserve">  </w:t>
      </w:r>
      <w:r w:rsidR="006E191F">
        <w:rPr>
          <w:rFonts w:ascii="Times New Roman" w:hAnsi="Times New Roman" w:cs="Times New Roman"/>
          <w:sz w:val="24"/>
          <w:szCs w:val="24"/>
        </w:rPr>
        <w:t>On the other hand,</w:t>
      </w:r>
      <w:r w:rsidR="008C45F4">
        <w:rPr>
          <w:rFonts w:ascii="Times New Roman" w:hAnsi="Times New Roman" w:cs="Times New Roman"/>
          <w:sz w:val="24"/>
          <w:szCs w:val="24"/>
        </w:rPr>
        <w:t xml:space="preserve"> others, including entities representing sex workers, have </w:t>
      </w:r>
      <w:r w:rsidR="00AC0D8F">
        <w:rPr>
          <w:rFonts w:ascii="Times New Roman" w:hAnsi="Times New Roman" w:cs="Times New Roman"/>
          <w:sz w:val="24"/>
          <w:szCs w:val="24"/>
        </w:rPr>
        <w:t xml:space="preserve">maintained </w:t>
      </w:r>
      <w:r w:rsidR="008C45F4">
        <w:rPr>
          <w:rFonts w:ascii="Times New Roman" w:hAnsi="Times New Roman" w:cs="Times New Roman"/>
          <w:sz w:val="24"/>
          <w:szCs w:val="24"/>
        </w:rPr>
        <w:t xml:space="preserve">that criminalisation </w:t>
      </w:r>
      <w:r w:rsidR="00FA752C">
        <w:rPr>
          <w:rFonts w:ascii="Times New Roman" w:hAnsi="Times New Roman" w:cs="Times New Roman"/>
          <w:sz w:val="24"/>
          <w:szCs w:val="24"/>
        </w:rPr>
        <w:t xml:space="preserve">can </w:t>
      </w:r>
      <w:r w:rsidR="008C45F4">
        <w:rPr>
          <w:rFonts w:ascii="Times New Roman" w:hAnsi="Times New Roman" w:cs="Times New Roman"/>
          <w:sz w:val="24"/>
          <w:szCs w:val="24"/>
        </w:rPr>
        <w:t xml:space="preserve">drive </w:t>
      </w:r>
      <w:r w:rsidR="00BB6118">
        <w:rPr>
          <w:rFonts w:ascii="Times New Roman" w:hAnsi="Times New Roman" w:cs="Times New Roman"/>
          <w:sz w:val="24"/>
          <w:szCs w:val="24"/>
        </w:rPr>
        <w:t>sex work</w:t>
      </w:r>
      <w:r w:rsidR="008C45F4">
        <w:rPr>
          <w:rFonts w:ascii="Times New Roman" w:hAnsi="Times New Roman" w:cs="Times New Roman"/>
          <w:sz w:val="24"/>
          <w:szCs w:val="24"/>
        </w:rPr>
        <w:t xml:space="preserve"> underground, making it difficult for workers</w:t>
      </w:r>
      <w:r w:rsidR="003D0833">
        <w:rPr>
          <w:rFonts w:ascii="Times New Roman" w:hAnsi="Times New Roman" w:cs="Times New Roman"/>
          <w:sz w:val="24"/>
          <w:szCs w:val="24"/>
        </w:rPr>
        <w:t xml:space="preserve"> to</w:t>
      </w:r>
      <w:r w:rsidR="0086710E">
        <w:rPr>
          <w:rFonts w:ascii="Times New Roman" w:hAnsi="Times New Roman" w:cs="Times New Roman"/>
          <w:sz w:val="24"/>
          <w:szCs w:val="24"/>
        </w:rPr>
        <w:t>, among other things,</w:t>
      </w:r>
      <w:r w:rsidR="008C45F4">
        <w:rPr>
          <w:rFonts w:ascii="Times New Roman" w:hAnsi="Times New Roman" w:cs="Times New Roman"/>
          <w:sz w:val="24"/>
          <w:szCs w:val="24"/>
        </w:rPr>
        <w:t xml:space="preserve"> negotiate for safe </w:t>
      </w:r>
      <w:r w:rsidR="00FA752C">
        <w:rPr>
          <w:rFonts w:ascii="Times New Roman" w:hAnsi="Times New Roman" w:cs="Times New Roman"/>
          <w:sz w:val="24"/>
          <w:szCs w:val="24"/>
        </w:rPr>
        <w:lastRenderedPageBreak/>
        <w:t>activities</w:t>
      </w:r>
      <w:r w:rsidR="008C45F4">
        <w:rPr>
          <w:rFonts w:ascii="Times New Roman" w:hAnsi="Times New Roman" w:cs="Times New Roman"/>
          <w:sz w:val="24"/>
          <w:szCs w:val="24"/>
        </w:rPr>
        <w:t xml:space="preserve"> in the safe environment.</w:t>
      </w:r>
      <w:r w:rsidR="008C45F4">
        <w:rPr>
          <w:rStyle w:val="FootnoteReference"/>
          <w:rFonts w:ascii="Times New Roman" w:hAnsi="Times New Roman" w:cs="Times New Roman"/>
          <w:sz w:val="24"/>
          <w:szCs w:val="24"/>
        </w:rPr>
        <w:footnoteReference w:id="225"/>
      </w:r>
      <w:r w:rsidR="008C45F4">
        <w:rPr>
          <w:rFonts w:ascii="Times New Roman" w:hAnsi="Times New Roman" w:cs="Times New Roman"/>
          <w:sz w:val="24"/>
          <w:szCs w:val="24"/>
        </w:rPr>
        <w:t xml:space="preserve">  This polarisation</w:t>
      </w:r>
      <w:r w:rsidR="00F3013E">
        <w:rPr>
          <w:rFonts w:ascii="Times New Roman" w:hAnsi="Times New Roman" w:cs="Times New Roman"/>
          <w:sz w:val="24"/>
          <w:szCs w:val="24"/>
        </w:rPr>
        <w:t xml:space="preserve"> in criminalisation/decriminalisation debates </w:t>
      </w:r>
      <w:r w:rsidR="008C45F4">
        <w:rPr>
          <w:rFonts w:ascii="Times New Roman" w:hAnsi="Times New Roman" w:cs="Times New Roman"/>
          <w:sz w:val="24"/>
          <w:szCs w:val="24"/>
        </w:rPr>
        <w:t>is also evident in State practice</w:t>
      </w:r>
      <w:r w:rsidR="00FA752C">
        <w:rPr>
          <w:rFonts w:ascii="Times New Roman" w:hAnsi="Times New Roman" w:cs="Times New Roman"/>
          <w:sz w:val="24"/>
          <w:szCs w:val="24"/>
        </w:rPr>
        <w:t>.</w:t>
      </w:r>
      <w:r w:rsidR="008C45F4">
        <w:rPr>
          <w:rFonts w:ascii="Times New Roman" w:hAnsi="Times New Roman" w:cs="Times New Roman"/>
          <w:sz w:val="24"/>
          <w:szCs w:val="24"/>
        </w:rPr>
        <w:t xml:space="preserve">  </w:t>
      </w:r>
      <w:r w:rsidR="00C3706C">
        <w:rPr>
          <w:rFonts w:ascii="Times New Roman" w:hAnsi="Times New Roman" w:cs="Times New Roman"/>
          <w:sz w:val="24"/>
          <w:szCs w:val="24"/>
        </w:rPr>
        <w:t xml:space="preserve">Certain jurisdictions such as </w:t>
      </w:r>
      <w:r w:rsidR="00302626">
        <w:rPr>
          <w:rFonts w:ascii="Times New Roman" w:hAnsi="Times New Roman" w:cs="Times New Roman"/>
          <w:sz w:val="24"/>
          <w:szCs w:val="24"/>
        </w:rPr>
        <w:t>Canada,</w:t>
      </w:r>
      <w:r w:rsidR="00302626">
        <w:rPr>
          <w:rStyle w:val="FootnoteReference"/>
          <w:rFonts w:ascii="Times New Roman" w:hAnsi="Times New Roman" w:cs="Times New Roman"/>
          <w:sz w:val="24"/>
          <w:szCs w:val="24"/>
        </w:rPr>
        <w:footnoteReference w:id="226"/>
      </w:r>
      <w:r w:rsidR="00302626">
        <w:rPr>
          <w:rFonts w:ascii="Times New Roman" w:hAnsi="Times New Roman" w:cs="Times New Roman"/>
          <w:sz w:val="24"/>
          <w:szCs w:val="24"/>
        </w:rPr>
        <w:t xml:space="preserve"> Iceland,</w:t>
      </w:r>
      <w:r w:rsidR="00302626">
        <w:rPr>
          <w:rStyle w:val="FootnoteReference"/>
          <w:rFonts w:ascii="Times New Roman" w:hAnsi="Times New Roman" w:cs="Times New Roman"/>
          <w:sz w:val="24"/>
          <w:szCs w:val="24"/>
        </w:rPr>
        <w:footnoteReference w:id="227"/>
      </w:r>
      <w:r w:rsidR="00302626">
        <w:rPr>
          <w:rFonts w:ascii="Times New Roman" w:hAnsi="Times New Roman" w:cs="Times New Roman"/>
          <w:sz w:val="24"/>
          <w:szCs w:val="24"/>
        </w:rPr>
        <w:t xml:space="preserve"> </w:t>
      </w:r>
      <w:r w:rsidR="00F54B78">
        <w:rPr>
          <w:rFonts w:ascii="Times New Roman" w:hAnsi="Times New Roman" w:cs="Times New Roman"/>
          <w:sz w:val="24"/>
          <w:szCs w:val="24"/>
        </w:rPr>
        <w:t>Ireland,</w:t>
      </w:r>
      <w:r w:rsidR="00F54B78">
        <w:rPr>
          <w:rStyle w:val="FootnoteReference"/>
          <w:rFonts w:ascii="Times New Roman" w:hAnsi="Times New Roman" w:cs="Times New Roman"/>
          <w:sz w:val="24"/>
          <w:szCs w:val="24"/>
        </w:rPr>
        <w:footnoteReference w:id="228"/>
      </w:r>
      <w:r w:rsidR="00F54B78">
        <w:rPr>
          <w:rFonts w:ascii="Times New Roman" w:hAnsi="Times New Roman" w:cs="Times New Roman"/>
          <w:sz w:val="24"/>
          <w:szCs w:val="24"/>
        </w:rPr>
        <w:t xml:space="preserve"> </w:t>
      </w:r>
      <w:r w:rsidR="00302626">
        <w:rPr>
          <w:rFonts w:ascii="Times New Roman" w:hAnsi="Times New Roman" w:cs="Times New Roman"/>
          <w:sz w:val="24"/>
          <w:szCs w:val="24"/>
        </w:rPr>
        <w:t>Norway</w:t>
      </w:r>
      <w:r w:rsidR="006A30AC">
        <w:rPr>
          <w:rFonts w:ascii="Times New Roman" w:hAnsi="Times New Roman" w:cs="Times New Roman"/>
          <w:sz w:val="24"/>
          <w:szCs w:val="24"/>
        </w:rPr>
        <w:t>,</w:t>
      </w:r>
      <w:r w:rsidR="00302626">
        <w:rPr>
          <w:rStyle w:val="FootnoteReference"/>
          <w:rFonts w:ascii="Times New Roman" w:hAnsi="Times New Roman" w:cs="Times New Roman"/>
          <w:sz w:val="24"/>
          <w:szCs w:val="24"/>
        </w:rPr>
        <w:footnoteReference w:id="229"/>
      </w:r>
      <w:r w:rsidR="00302626">
        <w:rPr>
          <w:rFonts w:ascii="Times New Roman" w:hAnsi="Times New Roman" w:cs="Times New Roman"/>
          <w:sz w:val="24"/>
          <w:szCs w:val="24"/>
        </w:rPr>
        <w:t xml:space="preserve"> </w:t>
      </w:r>
      <w:r w:rsidR="006A30AC">
        <w:rPr>
          <w:rFonts w:ascii="Times New Roman" w:hAnsi="Times New Roman" w:cs="Times New Roman"/>
          <w:sz w:val="24"/>
          <w:szCs w:val="24"/>
        </w:rPr>
        <w:t>South Africa</w:t>
      </w:r>
      <w:r w:rsidR="006A30AC">
        <w:rPr>
          <w:rStyle w:val="FootnoteReference"/>
          <w:rFonts w:ascii="Times New Roman" w:hAnsi="Times New Roman" w:cs="Times New Roman"/>
          <w:sz w:val="24"/>
          <w:szCs w:val="24"/>
        </w:rPr>
        <w:footnoteReference w:id="230"/>
      </w:r>
      <w:r w:rsidR="006A30AC">
        <w:rPr>
          <w:rFonts w:ascii="Times New Roman" w:hAnsi="Times New Roman" w:cs="Times New Roman"/>
          <w:sz w:val="24"/>
          <w:szCs w:val="24"/>
        </w:rPr>
        <w:t xml:space="preserve"> </w:t>
      </w:r>
      <w:r w:rsidR="0063398F">
        <w:rPr>
          <w:rFonts w:ascii="Times New Roman" w:hAnsi="Times New Roman" w:cs="Times New Roman"/>
          <w:sz w:val="24"/>
          <w:szCs w:val="24"/>
        </w:rPr>
        <w:t xml:space="preserve">and </w:t>
      </w:r>
      <w:r w:rsidR="00C3706C">
        <w:rPr>
          <w:rFonts w:ascii="Times New Roman" w:hAnsi="Times New Roman" w:cs="Times New Roman"/>
          <w:sz w:val="24"/>
          <w:szCs w:val="24"/>
        </w:rPr>
        <w:t>Sweden</w:t>
      </w:r>
      <w:r w:rsidR="00C3706C">
        <w:rPr>
          <w:rStyle w:val="FootnoteReference"/>
          <w:rFonts w:ascii="Times New Roman" w:hAnsi="Times New Roman" w:cs="Times New Roman"/>
          <w:sz w:val="24"/>
          <w:szCs w:val="24"/>
        </w:rPr>
        <w:footnoteReference w:id="231"/>
      </w:r>
      <w:r w:rsidR="00C3706C">
        <w:rPr>
          <w:rFonts w:ascii="Times New Roman" w:hAnsi="Times New Roman" w:cs="Times New Roman"/>
          <w:sz w:val="24"/>
          <w:szCs w:val="24"/>
        </w:rPr>
        <w:t xml:space="preserve"> </w:t>
      </w:r>
      <w:r w:rsidR="00EF1836">
        <w:rPr>
          <w:rFonts w:ascii="Times New Roman" w:hAnsi="Times New Roman" w:cs="Times New Roman"/>
          <w:sz w:val="24"/>
          <w:szCs w:val="24"/>
        </w:rPr>
        <w:t xml:space="preserve"> </w:t>
      </w:r>
      <w:r w:rsidR="00C3706C">
        <w:rPr>
          <w:rFonts w:ascii="Times New Roman" w:hAnsi="Times New Roman" w:cs="Times New Roman"/>
          <w:sz w:val="24"/>
          <w:szCs w:val="24"/>
        </w:rPr>
        <w:t>have criminalised the purchase of sexual services altogether</w:t>
      </w:r>
      <w:r w:rsidR="00573ECC">
        <w:rPr>
          <w:rFonts w:ascii="Times New Roman" w:hAnsi="Times New Roman" w:cs="Times New Roman"/>
          <w:sz w:val="24"/>
          <w:szCs w:val="24"/>
        </w:rPr>
        <w:t>, while</w:t>
      </w:r>
      <w:r w:rsidR="00CE22BE">
        <w:rPr>
          <w:rFonts w:ascii="Times New Roman" w:hAnsi="Times New Roman" w:cs="Times New Roman"/>
          <w:sz w:val="24"/>
          <w:szCs w:val="24"/>
        </w:rPr>
        <w:t xml:space="preserve"> </w:t>
      </w:r>
      <w:r w:rsidR="00AC3E05">
        <w:rPr>
          <w:rFonts w:ascii="Times New Roman" w:hAnsi="Times New Roman" w:cs="Times New Roman"/>
          <w:sz w:val="24"/>
          <w:szCs w:val="24"/>
        </w:rPr>
        <w:t xml:space="preserve">other including the Netherlands </w:t>
      </w:r>
      <w:r w:rsidR="00E94577">
        <w:rPr>
          <w:rFonts w:ascii="Times New Roman" w:hAnsi="Times New Roman" w:cs="Times New Roman"/>
          <w:sz w:val="24"/>
          <w:szCs w:val="24"/>
        </w:rPr>
        <w:t xml:space="preserve">and Germany </w:t>
      </w:r>
      <w:r w:rsidR="00AC3E05">
        <w:rPr>
          <w:rFonts w:ascii="Times New Roman" w:hAnsi="Times New Roman" w:cs="Times New Roman"/>
          <w:sz w:val="24"/>
          <w:szCs w:val="24"/>
        </w:rPr>
        <w:t>have adopted non-criminalisation</w:t>
      </w:r>
      <w:r w:rsidR="00E94577">
        <w:rPr>
          <w:rFonts w:ascii="Times New Roman" w:hAnsi="Times New Roman" w:cs="Times New Roman"/>
          <w:sz w:val="24"/>
          <w:szCs w:val="24"/>
        </w:rPr>
        <w:t xml:space="preserve"> and regulation</w:t>
      </w:r>
      <w:r w:rsidR="00AC3E05">
        <w:rPr>
          <w:rFonts w:ascii="Times New Roman" w:hAnsi="Times New Roman" w:cs="Times New Roman"/>
          <w:sz w:val="24"/>
          <w:szCs w:val="24"/>
        </w:rPr>
        <w:t>.</w:t>
      </w:r>
      <w:r w:rsidR="00E94577">
        <w:rPr>
          <w:rStyle w:val="FootnoteReference"/>
          <w:rFonts w:ascii="Times New Roman" w:hAnsi="Times New Roman" w:cs="Times New Roman"/>
          <w:sz w:val="24"/>
          <w:szCs w:val="24"/>
        </w:rPr>
        <w:footnoteReference w:id="232"/>
      </w:r>
      <w:r w:rsidR="00CE22BE">
        <w:rPr>
          <w:rFonts w:ascii="Times New Roman" w:hAnsi="Times New Roman" w:cs="Times New Roman"/>
          <w:sz w:val="24"/>
          <w:szCs w:val="24"/>
        </w:rPr>
        <w:t xml:space="preserve"> </w:t>
      </w:r>
      <w:r w:rsidR="00AC3E05">
        <w:rPr>
          <w:rFonts w:ascii="Times New Roman" w:hAnsi="Times New Roman" w:cs="Times New Roman"/>
          <w:sz w:val="24"/>
          <w:szCs w:val="24"/>
        </w:rPr>
        <w:t xml:space="preserve"> </w:t>
      </w:r>
      <w:r w:rsidR="00B20412">
        <w:rPr>
          <w:rFonts w:ascii="Times New Roman" w:hAnsi="Times New Roman" w:cs="Times New Roman"/>
          <w:sz w:val="24"/>
          <w:szCs w:val="24"/>
        </w:rPr>
        <w:t xml:space="preserve">While both sides sound equally </w:t>
      </w:r>
      <w:r w:rsidR="00EF1836">
        <w:rPr>
          <w:rFonts w:ascii="Times New Roman" w:hAnsi="Times New Roman" w:cs="Times New Roman"/>
          <w:sz w:val="24"/>
          <w:szCs w:val="24"/>
        </w:rPr>
        <w:t>convincing</w:t>
      </w:r>
      <w:r w:rsidR="00B20412">
        <w:rPr>
          <w:rFonts w:ascii="Times New Roman" w:hAnsi="Times New Roman" w:cs="Times New Roman"/>
          <w:sz w:val="24"/>
          <w:szCs w:val="24"/>
        </w:rPr>
        <w:t>, the available research and evidence are not entirely conclusive as to which is right.</w:t>
      </w:r>
      <w:r w:rsidR="00B20412">
        <w:rPr>
          <w:rStyle w:val="FootnoteReference"/>
          <w:rFonts w:ascii="Times New Roman" w:hAnsi="Times New Roman" w:cs="Times New Roman"/>
          <w:sz w:val="24"/>
          <w:szCs w:val="24"/>
        </w:rPr>
        <w:footnoteReference w:id="233"/>
      </w:r>
      <w:r w:rsidR="00B20412">
        <w:rPr>
          <w:rFonts w:ascii="Times New Roman" w:hAnsi="Times New Roman" w:cs="Times New Roman"/>
          <w:sz w:val="24"/>
          <w:szCs w:val="24"/>
        </w:rPr>
        <w:t xml:space="preserve">  </w:t>
      </w:r>
      <w:r w:rsidR="00A228A5">
        <w:rPr>
          <w:rFonts w:ascii="Times New Roman" w:hAnsi="Times New Roman" w:cs="Times New Roman"/>
          <w:sz w:val="24"/>
          <w:szCs w:val="24"/>
        </w:rPr>
        <w:t>What is clear, however, is that</w:t>
      </w:r>
      <w:r w:rsidR="006F59B8">
        <w:rPr>
          <w:rFonts w:ascii="Times New Roman" w:hAnsi="Times New Roman" w:cs="Times New Roman"/>
          <w:sz w:val="24"/>
          <w:szCs w:val="24"/>
        </w:rPr>
        <w:t xml:space="preserve"> criminalisation or </w:t>
      </w:r>
      <w:r w:rsidR="00F95155">
        <w:rPr>
          <w:rFonts w:ascii="Times New Roman" w:hAnsi="Times New Roman" w:cs="Times New Roman"/>
          <w:sz w:val="24"/>
          <w:szCs w:val="24"/>
        </w:rPr>
        <w:t>decriminalisation/</w:t>
      </w:r>
      <w:r w:rsidR="006F59B8">
        <w:rPr>
          <w:rFonts w:ascii="Times New Roman" w:hAnsi="Times New Roman" w:cs="Times New Roman"/>
          <w:sz w:val="24"/>
          <w:szCs w:val="24"/>
        </w:rPr>
        <w:t xml:space="preserve">legalisation on </w:t>
      </w:r>
      <w:r w:rsidR="00A228A5">
        <w:rPr>
          <w:rFonts w:ascii="Times New Roman" w:hAnsi="Times New Roman" w:cs="Times New Roman"/>
          <w:sz w:val="24"/>
          <w:szCs w:val="24"/>
        </w:rPr>
        <w:t>their</w:t>
      </w:r>
      <w:r w:rsidR="006F59B8">
        <w:rPr>
          <w:rFonts w:ascii="Times New Roman" w:hAnsi="Times New Roman" w:cs="Times New Roman"/>
          <w:sz w:val="24"/>
          <w:szCs w:val="24"/>
        </w:rPr>
        <w:t xml:space="preserve"> own </w:t>
      </w:r>
      <w:r w:rsidR="00C24390">
        <w:rPr>
          <w:rFonts w:ascii="Times New Roman" w:hAnsi="Times New Roman" w:cs="Times New Roman"/>
          <w:sz w:val="24"/>
          <w:szCs w:val="24"/>
        </w:rPr>
        <w:t>are</w:t>
      </w:r>
      <w:r w:rsidR="006F59B8">
        <w:rPr>
          <w:rFonts w:ascii="Times New Roman" w:hAnsi="Times New Roman" w:cs="Times New Roman"/>
          <w:sz w:val="24"/>
          <w:szCs w:val="24"/>
        </w:rPr>
        <w:t xml:space="preserve"> not capable of addressing the demand as there are deeper social, cultural and political factors which fuel</w:t>
      </w:r>
      <w:r w:rsidR="006938CD">
        <w:rPr>
          <w:rFonts w:ascii="Times New Roman" w:hAnsi="Times New Roman" w:cs="Times New Roman"/>
          <w:sz w:val="24"/>
          <w:szCs w:val="24"/>
        </w:rPr>
        <w:t xml:space="preserve"> it</w:t>
      </w:r>
      <w:r w:rsidR="006F59B8">
        <w:rPr>
          <w:rFonts w:ascii="Times New Roman" w:hAnsi="Times New Roman" w:cs="Times New Roman"/>
          <w:sz w:val="24"/>
          <w:szCs w:val="24"/>
        </w:rPr>
        <w:t>.</w:t>
      </w:r>
      <w:r w:rsidR="006F59B8">
        <w:rPr>
          <w:rStyle w:val="FootnoteReference"/>
          <w:rFonts w:ascii="Times New Roman" w:hAnsi="Times New Roman" w:cs="Times New Roman"/>
          <w:sz w:val="24"/>
          <w:szCs w:val="24"/>
        </w:rPr>
        <w:footnoteReference w:id="234"/>
      </w:r>
      <w:r w:rsidR="006F59B8">
        <w:rPr>
          <w:rFonts w:ascii="Times New Roman" w:hAnsi="Times New Roman" w:cs="Times New Roman"/>
          <w:sz w:val="24"/>
          <w:szCs w:val="24"/>
        </w:rPr>
        <w:t xml:space="preserve">  </w:t>
      </w:r>
      <w:r w:rsidR="00677167">
        <w:rPr>
          <w:rFonts w:ascii="Times New Roman" w:hAnsi="Times New Roman" w:cs="Times New Roman"/>
          <w:sz w:val="24"/>
          <w:szCs w:val="24"/>
        </w:rPr>
        <w:t xml:space="preserve">Once again, </w:t>
      </w:r>
      <w:r w:rsidR="006F59B8">
        <w:rPr>
          <w:rFonts w:ascii="Times New Roman" w:hAnsi="Times New Roman" w:cs="Times New Roman"/>
          <w:sz w:val="24"/>
          <w:szCs w:val="24"/>
        </w:rPr>
        <w:t>States mus</w:t>
      </w:r>
      <w:r w:rsidR="00677167">
        <w:rPr>
          <w:rFonts w:ascii="Times New Roman" w:hAnsi="Times New Roman" w:cs="Times New Roman"/>
          <w:sz w:val="24"/>
          <w:szCs w:val="24"/>
        </w:rPr>
        <w:t>t</w:t>
      </w:r>
      <w:r w:rsidR="006F59B8">
        <w:rPr>
          <w:rFonts w:ascii="Times New Roman" w:hAnsi="Times New Roman" w:cs="Times New Roman"/>
          <w:sz w:val="24"/>
          <w:szCs w:val="24"/>
        </w:rPr>
        <w:t xml:space="preserve"> put in place </w:t>
      </w:r>
      <w:r w:rsidR="000F6645">
        <w:rPr>
          <w:rFonts w:ascii="Times New Roman" w:hAnsi="Times New Roman" w:cs="Times New Roman"/>
          <w:sz w:val="24"/>
          <w:szCs w:val="24"/>
        </w:rPr>
        <w:t xml:space="preserve">relevant </w:t>
      </w:r>
      <w:r w:rsidR="006F59B8">
        <w:rPr>
          <w:rFonts w:ascii="Times New Roman" w:hAnsi="Times New Roman" w:cs="Times New Roman"/>
          <w:sz w:val="24"/>
          <w:szCs w:val="24"/>
        </w:rPr>
        <w:t>awareness-raising and education</w:t>
      </w:r>
      <w:r w:rsidR="006F59B8">
        <w:rPr>
          <w:rStyle w:val="FootnoteReference"/>
          <w:rFonts w:ascii="Times New Roman" w:hAnsi="Times New Roman" w:cs="Times New Roman"/>
          <w:sz w:val="24"/>
          <w:szCs w:val="24"/>
        </w:rPr>
        <w:footnoteReference w:id="235"/>
      </w:r>
      <w:r w:rsidR="006F59B8">
        <w:rPr>
          <w:rFonts w:ascii="Times New Roman" w:hAnsi="Times New Roman" w:cs="Times New Roman"/>
          <w:sz w:val="24"/>
          <w:szCs w:val="24"/>
        </w:rPr>
        <w:t xml:space="preserve"> so that the mindset of the people likely to purchase sexual services can be altered</w:t>
      </w:r>
      <w:r w:rsidR="00F52431">
        <w:rPr>
          <w:rFonts w:ascii="Times New Roman" w:hAnsi="Times New Roman" w:cs="Times New Roman"/>
          <w:sz w:val="24"/>
          <w:szCs w:val="24"/>
        </w:rPr>
        <w:t>, leading to gradual reduction in the demand</w:t>
      </w:r>
      <w:r w:rsidR="00981BBB">
        <w:rPr>
          <w:rFonts w:ascii="Times New Roman" w:hAnsi="Times New Roman" w:cs="Times New Roman"/>
          <w:sz w:val="24"/>
          <w:szCs w:val="24"/>
        </w:rPr>
        <w:t xml:space="preserve"> in the future</w:t>
      </w:r>
      <w:r w:rsidR="00F52431">
        <w:rPr>
          <w:rFonts w:ascii="Times New Roman" w:hAnsi="Times New Roman" w:cs="Times New Roman"/>
          <w:sz w:val="24"/>
          <w:szCs w:val="24"/>
        </w:rPr>
        <w:t xml:space="preserve">.  </w:t>
      </w:r>
    </w:p>
    <w:p w:rsidR="007C76FA" w:rsidRDefault="007C76FA" w:rsidP="005D7118">
      <w:pPr>
        <w:spacing w:line="480" w:lineRule="auto"/>
        <w:rPr>
          <w:rFonts w:ascii="Times New Roman" w:hAnsi="Times New Roman" w:cs="Times New Roman"/>
          <w:sz w:val="24"/>
          <w:szCs w:val="24"/>
        </w:rPr>
      </w:pPr>
      <w:r>
        <w:rPr>
          <w:rFonts w:ascii="Times New Roman" w:hAnsi="Times New Roman" w:cs="Times New Roman"/>
          <w:sz w:val="24"/>
          <w:szCs w:val="24"/>
        </w:rPr>
        <w:tab/>
        <w:t>As to the demand for labour other than sexual services,</w:t>
      </w:r>
      <w:r w:rsidR="000853FC">
        <w:rPr>
          <w:rFonts w:ascii="Times New Roman" w:hAnsi="Times New Roman" w:cs="Times New Roman"/>
          <w:sz w:val="24"/>
          <w:szCs w:val="24"/>
        </w:rPr>
        <w:t xml:space="preserve"> </w:t>
      </w:r>
      <w:r w:rsidR="0066135A">
        <w:rPr>
          <w:rFonts w:ascii="Times New Roman" w:hAnsi="Times New Roman" w:cs="Times New Roman"/>
          <w:sz w:val="24"/>
          <w:szCs w:val="24"/>
        </w:rPr>
        <w:t xml:space="preserve">although </w:t>
      </w:r>
      <w:r w:rsidR="000921AB">
        <w:rPr>
          <w:rFonts w:ascii="Times New Roman" w:hAnsi="Times New Roman" w:cs="Times New Roman"/>
          <w:sz w:val="24"/>
          <w:szCs w:val="24"/>
        </w:rPr>
        <w:t xml:space="preserve">the </w:t>
      </w:r>
      <w:r w:rsidR="00DF634D">
        <w:rPr>
          <w:rFonts w:ascii="Times New Roman" w:hAnsi="Times New Roman" w:cs="Times New Roman"/>
          <w:sz w:val="24"/>
          <w:szCs w:val="24"/>
        </w:rPr>
        <w:t xml:space="preserve">prohibition of slavery and forced labour may deter </w:t>
      </w:r>
      <w:r w:rsidR="006D6E70">
        <w:rPr>
          <w:rFonts w:ascii="Times New Roman" w:hAnsi="Times New Roman" w:cs="Times New Roman"/>
          <w:sz w:val="24"/>
          <w:szCs w:val="24"/>
        </w:rPr>
        <w:t xml:space="preserve">some </w:t>
      </w:r>
      <w:r w:rsidR="00DF634D">
        <w:rPr>
          <w:rFonts w:ascii="Times New Roman" w:hAnsi="Times New Roman" w:cs="Times New Roman"/>
          <w:sz w:val="24"/>
          <w:szCs w:val="24"/>
        </w:rPr>
        <w:t xml:space="preserve">employers from exploiting vulnerable people, the fact that these practices still exist globally means that simple criminalisation is not adequate.  </w:t>
      </w:r>
      <w:r w:rsidR="00B20412">
        <w:rPr>
          <w:rFonts w:ascii="Times New Roman" w:hAnsi="Times New Roman" w:cs="Times New Roman"/>
          <w:sz w:val="24"/>
          <w:szCs w:val="24"/>
        </w:rPr>
        <w:lastRenderedPageBreak/>
        <w:t>Therefore,</w:t>
      </w:r>
      <w:r w:rsidR="00DF634D">
        <w:rPr>
          <w:rFonts w:ascii="Times New Roman" w:hAnsi="Times New Roman" w:cs="Times New Roman"/>
          <w:sz w:val="24"/>
          <w:szCs w:val="24"/>
        </w:rPr>
        <w:t xml:space="preserve"> more robust regulations and inspection</w:t>
      </w:r>
      <w:r w:rsidR="00D164A0">
        <w:rPr>
          <w:rFonts w:ascii="Times New Roman" w:hAnsi="Times New Roman" w:cs="Times New Roman"/>
          <w:sz w:val="24"/>
          <w:szCs w:val="24"/>
        </w:rPr>
        <w:t xml:space="preserve"> of labour practices have been recommended in order to enhance the protection of labour rights</w:t>
      </w:r>
      <w:r w:rsidR="00DF634D">
        <w:rPr>
          <w:rFonts w:ascii="Times New Roman" w:hAnsi="Times New Roman" w:cs="Times New Roman"/>
          <w:sz w:val="24"/>
          <w:szCs w:val="24"/>
        </w:rPr>
        <w:t>.</w:t>
      </w:r>
      <w:r w:rsidR="00DF634D">
        <w:rPr>
          <w:rStyle w:val="FootnoteReference"/>
          <w:rFonts w:ascii="Times New Roman" w:hAnsi="Times New Roman" w:cs="Times New Roman"/>
          <w:sz w:val="24"/>
          <w:szCs w:val="24"/>
        </w:rPr>
        <w:footnoteReference w:id="236"/>
      </w:r>
      <w:r w:rsidR="006D6E70">
        <w:rPr>
          <w:rFonts w:ascii="Times New Roman" w:hAnsi="Times New Roman" w:cs="Times New Roman"/>
          <w:sz w:val="24"/>
          <w:szCs w:val="24"/>
        </w:rPr>
        <w:t xml:space="preserve"> </w:t>
      </w:r>
      <w:r w:rsidR="00DF634D">
        <w:rPr>
          <w:rFonts w:ascii="Times New Roman" w:hAnsi="Times New Roman" w:cs="Times New Roman"/>
          <w:sz w:val="24"/>
          <w:szCs w:val="24"/>
        </w:rPr>
        <w:t xml:space="preserve"> </w:t>
      </w:r>
      <w:r w:rsidR="00D11341">
        <w:rPr>
          <w:rFonts w:ascii="Times New Roman" w:hAnsi="Times New Roman" w:cs="Times New Roman"/>
          <w:sz w:val="24"/>
          <w:szCs w:val="24"/>
        </w:rPr>
        <w:t>In addition, the importance of transparency and accountability in business practices has been regarded as crucial in recent times,</w:t>
      </w:r>
      <w:r w:rsidR="00D11341">
        <w:rPr>
          <w:rStyle w:val="FootnoteReference"/>
          <w:rFonts w:ascii="Times New Roman" w:hAnsi="Times New Roman" w:cs="Times New Roman"/>
          <w:sz w:val="24"/>
          <w:szCs w:val="24"/>
        </w:rPr>
        <w:footnoteReference w:id="237"/>
      </w:r>
      <w:r w:rsidR="00D11341">
        <w:rPr>
          <w:rFonts w:ascii="Times New Roman" w:hAnsi="Times New Roman" w:cs="Times New Roman"/>
          <w:sz w:val="24"/>
          <w:szCs w:val="24"/>
        </w:rPr>
        <w:t xml:space="preserve"> and measures such as </w:t>
      </w:r>
      <w:r w:rsidR="00F56C59">
        <w:rPr>
          <w:rFonts w:ascii="Times New Roman" w:hAnsi="Times New Roman" w:cs="Times New Roman"/>
          <w:sz w:val="24"/>
          <w:szCs w:val="24"/>
        </w:rPr>
        <w:t xml:space="preserve">imposition of </w:t>
      </w:r>
      <w:r w:rsidR="00D11341">
        <w:rPr>
          <w:rFonts w:ascii="Times New Roman" w:hAnsi="Times New Roman" w:cs="Times New Roman"/>
          <w:sz w:val="24"/>
          <w:szCs w:val="24"/>
        </w:rPr>
        <w:t>a reporting obligation on businesses to disclose their effort in eradicating slavery, forced labour and human trafficking have been regarded as good practice</w:t>
      </w:r>
      <w:r w:rsidR="00F56C59">
        <w:rPr>
          <w:rFonts w:ascii="Times New Roman" w:hAnsi="Times New Roman" w:cs="Times New Roman"/>
          <w:sz w:val="24"/>
          <w:szCs w:val="24"/>
        </w:rPr>
        <w:t>s</w:t>
      </w:r>
      <w:r w:rsidR="00B20412">
        <w:rPr>
          <w:rFonts w:ascii="Times New Roman" w:hAnsi="Times New Roman" w:cs="Times New Roman"/>
          <w:sz w:val="24"/>
          <w:szCs w:val="24"/>
        </w:rPr>
        <w:t>.</w:t>
      </w:r>
      <w:r w:rsidR="00D11341">
        <w:rPr>
          <w:rStyle w:val="FootnoteReference"/>
          <w:rFonts w:ascii="Times New Roman" w:hAnsi="Times New Roman" w:cs="Times New Roman"/>
          <w:sz w:val="24"/>
          <w:szCs w:val="24"/>
        </w:rPr>
        <w:footnoteReference w:id="238"/>
      </w:r>
      <w:r w:rsidR="00B20412">
        <w:rPr>
          <w:rFonts w:ascii="Times New Roman" w:hAnsi="Times New Roman" w:cs="Times New Roman"/>
          <w:sz w:val="24"/>
          <w:szCs w:val="24"/>
        </w:rPr>
        <w:t xml:space="preserve"> </w:t>
      </w:r>
      <w:r w:rsidR="006D6E70">
        <w:rPr>
          <w:rFonts w:ascii="Times New Roman" w:hAnsi="Times New Roman" w:cs="Times New Roman"/>
          <w:sz w:val="24"/>
          <w:szCs w:val="24"/>
        </w:rPr>
        <w:t xml:space="preserve"> This is in line with the general obligation to impose due diligence requirements on businesses to prevent abuses of human rights.</w:t>
      </w:r>
      <w:r w:rsidR="006D6E70">
        <w:rPr>
          <w:rStyle w:val="FootnoteReference"/>
          <w:rFonts w:ascii="Times New Roman" w:hAnsi="Times New Roman" w:cs="Times New Roman"/>
          <w:sz w:val="24"/>
          <w:szCs w:val="24"/>
        </w:rPr>
        <w:footnoteReference w:id="239"/>
      </w:r>
      <w:r w:rsidR="006D6E70">
        <w:rPr>
          <w:rFonts w:ascii="Times New Roman" w:hAnsi="Times New Roman" w:cs="Times New Roman"/>
          <w:sz w:val="24"/>
          <w:szCs w:val="24"/>
        </w:rPr>
        <w:t xml:space="preserve">  </w:t>
      </w:r>
      <w:r w:rsidR="00B20412">
        <w:rPr>
          <w:rFonts w:ascii="Times New Roman" w:hAnsi="Times New Roman" w:cs="Times New Roman"/>
          <w:sz w:val="24"/>
          <w:szCs w:val="24"/>
        </w:rPr>
        <w:t xml:space="preserve">A more complex issue is how </w:t>
      </w:r>
      <w:r w:rsidR="00303EEB">
        <w:rPr>
          <w:rFonts w:ascii="Times New Roman" w:hAnsi="Times New Roman" w:cs="Times New Roman"/>
          <w:sz w:val="24"/>
          <w:szCs w:val="24"/>
        </w:rPr>
        <w:t>to</w:t>
      </w:r>
      <w:r w:rsidR="00B20412">
        <w:rPr>
          <w:rFonts w:ascii="Times New Roman" w:hAnsi="Times New Roman" w:cs="Times New Roman"/>
          <w:sz w:val="24"/>
          <w:szCs w:val="24"/>
        </w:rPr>
        <w:t xml:space="preserve"> reduce the demand on the part of consumers.  As </w:t>
      </w:r>
      <w:r w:rsidR="00B01504">
        <w:rPr>
          <w:rFonts w:ascii="Times New Roman" w:hAnsi="Times New Roman" w:cs="Times New Roman"/>
          <w:sz w:val="24"/>
          <w:szCs w:val="24"/>
        </w:rPr>
        <w:t xml:space="preserve">they </w:t>
      </w:r>
      <w:r w:rsidR="00B20412">
        <w:rPr>
          <w:rFonts w:ascii="Times New Roman" w:hAnsi="Times New Roman" w:cs="Times New Roman"/>
          <w:sz w:val="24"/>
          <w:szCs w:val="24"/>
        </w:rPr>
        <w:t>do not directly engage in exploitation of labour, it is impracticable to criminalise purchasing of good</w:t>
      </w:r>
      <w:r w:rsidR="00672791">
        <w:rPr>
          <w:rFonts w:ascii="Times New Roman" w:hAnsi="Times New Roman" w:cs="Times New Roman"/>
          <w:sz w:val="24"/>
          <w:szCs w:val="24"/>
        </w:rPr>
        <w:t>s</w:t>
      </w:r>
      <w:r w:rsidR="00B20412">
        <w:rPr>
          <w:rFonts w:ascii="Times New Roman" w:hAnsi="Times New Roman" w:cs="Times New Roman"/>
          <w:sz w:val="24"/>
          <w:szCs w:val="24"/>
        </w:rPr>
        <w:t xml:space="preserve"> </w:t>
      </w:r>
      <w:r w:rsidR="00672791">
        <w:rPr>
          <w:rFonts w:ascii="Times New Roman" w:hAnsi="Times New Roman" w:cs="Times New Roman"/>
          <w:sz w:val="24"/>
          <w:szCs w:val="24"/>
        </w:rPr>
        <w:t xml:space="preserve">produced by those in slavery or forced labour. </w:t>
      </w:r>
      <w:r w:rsidR="00B20412">
        <w:rPr>
          <w:rFonts w:ascii="Times New Roman" w:hAnsi="Times New Roman" w:cs="Times New Roman"/>
          <w:sz w:val="24"/>
          <w:szCs w:val="24"/>
        </w:rPr>
        <w:t xml:space="preserve"> </w:t>
      </w:r>
      <w:r w:rsidR="006D1113">
        <w:rPr>
          <w:rFonts w:ascii="Times New Roman" w:hAnsi="Times New Roman" w:cs="Times New Roman"/>
          <w:sz w:val="24"/>
          <w:szCs w:val="24"/>
        </w:rPr>
        <w:t>T</w:t>
      </w:r>
      <w:r w:rsidR="00E3223B">
        <w:rPr>
          <w:rFonts w:ascii="Times New Roman" w:hAnsi="Times New Roman" w:cs="Times New Roman"/>
          <w:sz w:val="24"/>
          <w:szCs w:val="24"/>
        </w:rPr>
        <w:t>he</w:t>
      </w:r>
      <w:r w:rsidR="006D1113">
        <w:rPr>
          <w:rFonts w:ascii="Times New Roman" w:hAnsi="Times New Roman" w:cs="Times New Roman"/>
          <w:sz w:val="24"/>
          <w:szCs w:val="24"/>
        </w:rPr>
        <w:t xml:space="preserve"> significance</w:t>
      </w:r>
      <w:r w:rsidR="00E3223B">
        <w:rPr>
          <w:rFonts w:ascii="Times New Roman" w:hAnsi="Times New Roman" w:cs="Times New Roman"/>
          <w:sz w:val="24"/>
          <w:szCs w:val="24"/>
        </w:rPr>
        <w:t xml:space="preserve"> of education and awareness-raising once again should be stressed here.  </w:t>
      </w:r>
      <w:r w:rsidR="00B75488">
        <w:rPr>
          <w:rFonts w:ascii="Times New Roman" w:hAnsi="Times New Roman" w:cs="Times New Roman"/>
          <w:sz w:val="24"/>
          <w:szCs w:val="24"/>
        </w:rPr>
        <w:t xml:space="preserve">Once the </w:t>
      </w:r>
      <w:r w:rsidR="002B4F02">
        <w:rPr>
          <w:rFonts w:ascii="Times New Roman" w:hAnsi="Times New Roman" w:cs="Times New Roman"/>
          <w:sz w:val="24"/>
          <w:szCs w:val="24"/>
        </w:rPr>
        <w:t xml:space="preserve">members of the </w:t>
      </w:r>
      <w:r w:rsidR="00B75488">
        <w:rPr>
          <w:rFonts w:ascii="Times New Roman" w:hAnsi="Times New Roman" w:cs="Times New Roman"/>
          <w:sz w:val="24"/>
          <w:szCs w:val="24"/>
        </w:rPr>
        <w:t xml:space="preserve">general public </w:t>
      </w:r>
      <w:r w:rsidR="002B4F02">
        <w:rPr>
          <w:rFonts w:ascii="Times New Roman" w:hAnsi="Times New Roman" w:cs="Times New Roman"/>
          <w:sz w:val="24"/>
          <w:szCs w:val="24"/>
        </w:rPr>
        <w:t>become more</w:t>
      </w:r>
      <w:r w:rsidR="00B75488">
        <w:rPr>
          <w:rFonts w:ascii="Times New Roman" w:hAnsi="Times New Roman" w:cs="Times New Roman"/>
          <w:sz w:val="24"/>
          <w:szCs w:val="24"/>
        </w:rPr>
        <w:t xml:space="preserve"> aware of issues surrounding labour exploitation,</w:t>
      </w:r>
      <w:r w:rsidR="002B4F02">
        <w:rPr>
          <w:rFonts w:ascii="Times New Roman" w:hAnsi="Times New Roman" w:cs="Times New Roman"/>
          <w:sz w:val="24"/>
          <w:szCs w:val="24"/>
        </w:rPr>
        <w:t xml:space="preserve"> </w:t>
      </w:r>
      <w:r w:rsidR="00C77419">
        <w:rPr>
          <w:rFonts w:ascii="Times New Roman" w:hAnsi="Times New Roman" w:cs="Times New Roman"/>
          <w:sz w:val="24"/>
          <w:szCs w:val="24"/>
        </w:rPr>
        <w:t xml:space="preserve">they may be encouraged to support initiatives such as Fair Trade or actively </w:t>
      </w:r>
      <w:r w:rsidR="009E6160">
        <w:rPr>
          <w:rFonts w:ascii="Times New Roman" w:hAnsi="Times New Roman" w:cs="Times New Roman"/>
          <w:sz w:val="24"/>
          <w:szCs w:val="24"/>
        </w:rPr>
        <w:t xml:space="preserve">lobby </w:t>
      </w:r>
      <w:r w:rsidR="00246BA0">
        <w:rPr>
          <w:rFonts w:ascii="Times New Roman" w:hAnsi="Times New Roman" w:cs="Times New Roman"/>
          <w:sz w:val="24"/>
          <w:szCs w:val="24"/>
        </w:rPr>
        <w:t>the</w:t>
      </w:r>
      <w:r w:rsidR="00C77419">
        <w:rPr>
          <w:rFonts w:ascii="Times New Roman" w:hAnsi="Times New Roman" w:cs="Times New Roman"/>
          <w:sz w:val="24"/>
          <w:szCs w:val="24"/>
        </w:rPr>
        <w:t xml:space="preserve"> businesses to correct their behaviour</w:t>
      </w:r>
      <w:r w:rsidR="006864DC">
        <w:rPr>
          <w:rFonts w:ascii="Times New Roman" w:hAnsi="Times New Roman" w:cs="Times New Roman"/>
          <w:sz w:val="24"/>
          <w:szCs w:val="24"/>
        </w:rPr>
        <w:t xml:space="preserve">, which can in turn prevent future </w:t>
      </w:r>
      <w:r w:rsidR="00EA1FAA">
        <w:rPr>
          <w:rFonts w:ascii="Times New Roman" w:hAnsi="Times New Roman" w:cs="Times New Roman"/>
          <w:sz w:val="24"/>
          <w:szCs w:val="24"/>
        </w:rPr>
        <w:t xml:space="preserve">exploitation.  </w:t>
      </w:r>
      <w:r w:rsidR="003D0833">
        <w:rPr>
          <w:rFonts w:ascii="Times New Roman" w:hAnsi="Times New Roman" w:cs="Times New Roman"/>
          <w:sz w:val="24"/>
          <w:szCs w:val="24"/>
        </w:rPr>
        <w:t xml:space="preserve"> </w:t>
      </w:r>
      <w:r w:rsidR="007419B9">
        <w:rPr>
          <w:rFonts w:ascii="Times New Roman" w:hAnsi="Times New Roman" w:cs="Times New Roman"/>
          <w:sz w:val="24"/>
          <w:szCs w:val="24"/>
        </w:rPr>
        <w:t>The same argument also applies to the demand for other illicit goods and services</w:t>
      </w:r>
      <w:r w:rsidR="00C93937">
        <w:rPr>
          <w:rFonts w:ascii="Times New Roman" w:hAnsi="Times New Roman" w:cs="Times New Roman"/>
          <w:sz w:val="24"/>
          <w:szCs w:val="24"/>
        </w:rPr>
        <w:t xml:space="preserve"> such as cultural products and wildlife</w:t>
      </w:r>
      <w:r w:rsidR="007419B9">
        <w:rPr>
          <w:rFonts w:ascii="Times New Roman" w:hAnsi="Times New Roman" w:cs="Times New Roman"/>
          <w:sz w:val="24"/>
          <w:szCs w:val="24"/>
        </w:rPr>
        <w:t xml:space="preserve">.   </w:t>
      </w:r>
      <w:r w:rsidR="00707D69">
        <w:rPr>
          <w:rFonts w:ascii="Times New Roman" w:hAnsi="Times New Roman" w:cs="Times New Roman"/>
          <w:sz w:val="24"/>
          <w:szCs w:val="24"/>
        </w:rPr>
        <w:t xml:space="preserve">In summary, international human rights law is also useful in encouraging States to implement more </w:t>
      </w:r>
      <w:proofErr w:type="gramStart"/>
      <w:r w:rsidR="00707D69">
        <w:rPr>
          <w:rFonts w:ascii="Times New Roman" w:hAnsi="Times New Roman" w:cs="Times New Roman"/>
          <w:sz w:val="24"/>
          <w:szCs w:val="24"/>
        </w:rPr>
        <w:t>long term</w:t>
      </w:r>
      <w:proofErr w:type="gramEnd"/>
      <w:r w:rsidR="00707D69">
        <w:rPr>
          <w:rFonts w:ascii="Times New Roman" w:hAnsi="Times New Roman" w:cs="Times New Roman"/>
          <w:sz w:val="24"/>
          <w:szCs w:val="24"/>
        </w:rPr>
        <w:t xml:space="preserve"> preventive measures to address the complex </w:t>
      </w:r>
      <w:r w:rsidR="00957C6C">
        <w:rPr>
          <w:rFonts w:ascii="Times New Roman" w:hAnsi="Times New Roman" w:cs="Times New Roman"/>
          <w:sz w:val="24"/>
          <w:szCs w:val="24"/>
        </w:rPr>
        <w:t>s</w:t>
      </w:r>
      <w:r w:rsidR="00C566DF">
        <w:rPr>
          <w:rFonts w:ascii="Times New Roman" w:hAnsi="Times New Roman" w:cs="Times New Roman"/>
          <w:sz w:val="24"/>
          <w:szCs w:val="24"/>
        </w:rPr>
        <w:t>u</w:t>
      </w:r>
      <w:r w:rsidR="00957C6C">
        <w:rPr>
          <w:rFonts w:ascii="Times New Roman" w:hAnsi="Times New Roman" w:cs="Times New Roman"/>
          <w:sz w:val="24"/>
          <w:szCs w:val="24"/>
        </w:rPr>
        <w:t>pply</w:t>
      </w:r>
      <w:r w:rsidR="006E7B93">
        <w:rPr>
          <w:rFonts w:ascii="Times New Roman" w:hAnsi="Times New Roman" w:cs="Times New Roman"/>
          <w:sz w:val="24"/>
          <w:szCs w:val="24"/>
        </w:rPr>
        <w:t>-</w:t>
      </w:r>
      <w:r w:rsidR="00957C6C">
        <w:rPr>
          <w:rFonts w:ascii="Times New Roman" w:hAnsi="Times New Roman" w:cs="Times New Roman"/>
          <w:sz w:val="24"/>
          <w:szCs w:val="24"/>
        </w:rPr>
        <w:t>demand dynamics</w:t>
      </w:r>
      <w:r w:rsidR="00707D69">
        <w:rPr>
          <w:rFonts w:ascii="Times New Roman" w:hAnsi="Times New Roman" w:cs="Times New Roman"/>
          <w:sz w:val="24"/>
          <w:szCs w:val="24"/>
        </w:rPr>
        <w:t xml:space="preserve"> of transnational organised crime.  </w:t>
      </w:r>
    </w:p>
    <w:p w:rsidR="00A95B7E" w:rsidRDefault="00A95B7E" w:rsidP="00E12439">
      <w:pPr>
        <w:spacing w:line="480" w:lineRule="auto"/>
        <w:rPr>
          <w:rFonts w:ascii="Times New Roman" w:hAnsi="Times New Roman" w:cs="Times New Roman"/>
          <w:b/>
          <w:sz w:val="24"/>
          <w:szCs w:val="24"/>
        </w:rPr>
      </w:pPr>
    </w:p>
    <w:p w:rsidR="00985DC9" w:rsidRPr="00AC684E" w:rsidRDefault="00E12439" w:rsidP="00E12439">
      <w:pPr>
        <w:spacing w:line="480" w:lineRule="auto"/>
        <w:rPr>
          <w:rFonts w:ascii="Times New Roman" w:hAnsi="Times New Roman" w:cs="Times New Roman"/>
          <w:b/>
          <w:sz w:val="24"/>
          <w:szCs w:val="24"/>
        </w:rPr>
      </w:pPr>
      <w:r w:rsidRPr="00AC684E">
        <w:rPr>
          <w:rFonts w:ascii="Times New Roman" w:hAnsi="Times New Roman" w:cs="Times New Roman"/>
          <w:b/>
          <w:sz w:val="24"/>
          <w:szCs w:val="24"/>
        </w:rPr>
        <w:t>Conclusion</w:t>
      </w:r>
    </w:p>
    <w:p w:rsidR="00A90CCB" w:rsidRDefault="00A90CCB" w:rsidP="008765B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w:t>
      </w:r>
      <w:r w:rsidR="00F515FE">
        <w:rPr>
          <w:rFonts w:ascii="Times New Roman" w:hAnsi="Times New Roman" w:cs="Times New Roman"/>
          <w:sz w:val="24"/>
          <w:szCs w:val="24"/>
        </w:rPr>
        <w:t>article</w:t>
      </w:r>
      <w:r>
        <w:rPr>
          <w:rFonts w:ascii="Times New Roman" w:hAnsi="Times New Roman" w:cs="Times New Roman"/>
          <w:sz w:val="24"/>
          <w:szCs w:val="24"/>
        </w:rPr>
        <w:t xml:space="preserve"> has explored </w:t>
      </w:r>
      <w:r w:rsidR="008765BF">
        <w:rPr>
          <w:rFonts w:ascii="Times New Roman" w:hAnsi="Times New Roman" w:cs="Times New Roman"/>
          <w:sz w:val="24"/>
          <w:szCs w:val="24"/>
        </w:rPr>
        <w:t xml:space="preserve">human rights dimensions of </w:t>
      </w:r>
      <w:r w:rsidR="00624289">
        <w:rPr>
          <w:rFonts w:ascii="Times New Roman" w:hAnsi="Times New Roman" w:cs="Times New Roman"/>
          <w:sz w:val="24"/>
          <w:szCs w:val="24"/>
        </w:rPr>
        <w:t>national and international responses to</w:t>
      </w:r>
      <w:r w:rsidR="008765BF">
        <w:rPr>
          <w:rFonts w:ascii="Times New Roman" w:hAnsi="Times New Roman" w:cs="Times New Roman"/>
          <w:sz w:val="24"/>
          <w:szCs w:val="24"/>
        </w:rPr>
        <w:t xml:space="preserve"> transnational organised crime.  It is evident that it affects a wide variety of human right</w:t>
      </w:r>
      <w:r w:rsidR="00695874">
        <w:rPr>
          <w:rFonts w:ascii="Times New Roman" w:hAnsi="Times New Roman" w:cs="Times New Roman"/>
          <w:sz w:val="24"/>
          <w:szCs w:val="24"/>
        </w:rPr>
        <w:t>s, and this</w:t>
      </w:r>
      <w:r w:rsidR="00025B93">
        <w:rPr>
          <w:rFonts w:ascii="Times New Roman" w:hAnsi="Times New Roman" w:cs="Times New Roman"/>
          <w:sz w:val="24"/>
          <w:szCs w:val="24"/>
        </w:rPr>
        <w:t xml:space="preserve"> means that </w:t>
      </w:r>
      <w:r w:rsidR="00DC242B">
        <w:rPr>
          <w:rFonts w:ascii="Times New Roman" w:hAnsi="Times New Roman" w:cs="Times New Roman"/>
          <w:sz w:val="24"/>
          <w:szCs w:val="24"/>
        </w:rPr>
        <w:t>additional legal obligations can be established under</w:t>
      </w:r>
      <w:r w:rsidR="004361FF">
        <w:rPr>
          <w:rFonts w:ascii="Times New Roman" w:hAnsi="Times New Roman" w:cs="Times New Roman"/>
          <w:sz w:val="24"/>
          <w:szCs w:val="24"/>
        </w:rPr>
        <w:t xml:space="preserve"> relevant instruments.  T</w:t>
      </w:r>
      <w:r w:rsidR="00DC242B">
        <w:rPr>
          <w:rFonts w:ascii="Times New Roman" w:hAnsi="Times New Roman" w:cs="Times New Roman"/>
          <w:sz w:val="24"/>
          <w:szCs w:val="24"/>
        </w:rPr>
        <w:t xml:space="preserve">his </w:t>
      </w:r>
      <w:r w:rsidR="00F515FE">
        <w:rPr>
          <w:rFonts w:ascii="Times New Roman" w:hAnsi="Times New Roman" w:cs="Times New Roman"/>
          <w:sz w:val="24"/>
          <w:szCs w:val="24"/>
        </w:rPr>
        <w:t>article</w:t>
      </w:r>
      <w:r w:rsidR="00DC242B">
        <w:rPr>
          <w:rFonts w:ascii="Times New Roman" w:hAnsi="Times New Roman" w:cs="Times New Roman"/>
          <w:sz w:val="24"/>
          <w:szCs w:val="24"/>
        </w:rPr>
        <w:t xml:space="preserve"> has explored three key obligations </w:t>
      </w:r>
      <w:r>
        <w:rPr>
          <w:rFonts w:ascii="Times New Roman" w:hAnsi="Times New Roman" w:cs="Times New Roman"/>
          <w:sz w:val="24"/>
          <w:szCs w:val="24"/>
        </w:rPr>
        <w:t>1) investigat</w:t>
      </w:r>
      <w:r w:rsidR="00DC242B">
        <w:rPr>
          <w:rFonts w:ascii="Times New Roman" w:hAnsi="Times New Roman" w:cs="Times New Roman"/>
          <w:sz w:val="24"/>
          <w:szCs w:val="24"/>
        </w:rPr>
        <w:t>ion,</w:t>
      </w:r>
      <w:r>
        <w:rPr>
          <w:rFonts w:ascii="Times New Roman" w:hAnsi="Times New Roman" w:cs="Times New Roman"/>
          <w:sz w:val="24"/>
          <w:szCs w:val="24"/>
        </w:rPr>
        <w:t xml:space="preserve"> prosecut</w:t>
      </w:r>
      <w:r w:rsidR="00DC242B">
        <w:rPr>
          <w:rFonts w:ascii="Times New Roman" w:hAnsi="Times New Roman" w:cs="Times New Roman"/>
          <w:sz w:val="24"/>
          <w:szCs w:val="24"/>
        </w:rPr>
        <w:t>ion</w:t>
      </w:r>
      <w:r>
        <w:rPr>
          <w:rFonts w:ascii="Times New Roman" w:hAnsi="Times New Roman" w:cs="Times New Roman"/>
          <w:sz w:val="24"/>
          <w:szCs w:val="24"/>
        </w:rPr>
        <w:t xml:space="preserve"> and punish</w:t>
      </w:r>
      <w:r w:rsidR="00DC242B">
        <w:rPr>
          <w:rFonts w:ascii="Times New Roman" w:hAnsi="Times New Roman" w:cs="Times New Roman"/>
          <w:sz w:val="24"/>
          <w:szCs w:val="24"/>
        </w:rPr>
        <w:t>ment</w:t>
      </w:r>
      <w:r>
        <w:rPr>
          <w:rFonts w:ascii="Times New Roman" w:hAnsi="Times New Roman" w:cs="Times New Roman"/>
          <w:sz w:val="24"/>
          <w:szCs w:val="24"/>
        </w:rPr>
        <w:t>, 2) protect victims, and 3) prevent</w:t>
      </w:r>
      <w:r w:rsidR="00DC242B">
        <w:rPr>
          <w:rFonts w:ascii="Times New Roman" w:hAnsi="Times New Roman" w:cs="Times New Roman"/>
          <w:sz w:val="24"/>
          <w:szCs w:val="24"/>
        </w:rPr>
        <w:t>ion</w:t>
      </w:r>
      <w:r w:rsidR="00F77854">
        <w:rPr>
          <w:rFonts w:ascii="Times New Roman" w:hAnsi="Times New Roman" w:cs="Times New Roman"/>
          <w:sz w:val="24"/>
          <w:szCs w:val="24"/>
        </w:rPr>
        <w:t>, and i</w:t>
      </w:r>
      <w:r w:rsidR="00FF7D57">
        <w:rPr>
          <w:rFonts w:ascii="Times New Roman" w:hAnsi="Times New Roman" w:cs="Times New Roman"/>
          <w:sz w:val="24"/>
          <w:szCs w:val="24"/>
        </w:rPr>
        <w:t xml:space="preserve">t has been demonstrated that </w:t>
      </w:r>
      <w:r w:rsidR="00340B79">
        <w:rPr>
          <w:rFonts w:ascii="Times New Roman" w:hAnsi="Times New Roman" w:cs="Times New Roman"/>
          <w:sz w:val="24"/>
          <w:szCs w:val="24"/>
        </w:rPr>
        <w:t>international human rights law</w:t>
      </w:r>
      <w:r w:rsidR="00017232">
        <w:rPr>
          <w:rFonts w:ascii="Times New Roman" w:hAnsi="Times New Roman" w:cs="Times New Roman"/>
          <w:sz w:val="24"/>
          <w:szCs w:val="24"/>
        </w:rPr>
        <w:t>, through the existing and emerging norms and principles,</w:t>
      </w:r>
      <w:r w:rsidR="00340B79">
        <w:rPr>
          <w:rFonts w:ascii="Times New Roman" w:hAnsi="Times New Roman" w:cs="Times New Roman"/>
          <w:sz w:val="24"/>
          <w:szCs w:val="24"/>
        </w:rPr>
        <w:t xml:space="preserve"> can play an important role in </w:t>
      </w:r>
      <w:r w:rsidR="000259DB">
        <w:rPr>
          <w:rFonts w:ascii="Times New Roman" w:hAnsi="Times New Roman" w:cs="Times New Roman"/>
          <w:sz w:val="24"/>
          <w:szCs w:val="24"/>
        </w:rPr>
        <w:t xml:space="preserve">combating </w:t>
      </w:r>
      <w:r w:rsidR="00340B79">
        <w:rPr>
          <w:rFonts w:ascii="Times New Roman" w:hAnsi="Times New Roman" w:cs="Times New Roman"/>
          <w:sz w:val="24"/>
          <w:szCs w:val="24"/>
        </w:rPr>
        <w:t xml:space="preserve">transnational organised crime by </w:t>
      </w:r>
      <w:r w:rsidR="00351850">
        <w:rPr>
          <w:rFonts w:ascii="Times New Roman" w:hAnsi="Times New Roman" w:cs="Times New Roman"/>
          <w:sz w:val="24"/>
          <w:szCs w:val="24"/>
        </w:rPr>
        <w:t xml:space="preserve">strengthening the existing instruments </w:t>
      </w:r>
      <w:r w:rsidR="00EA6016">
        <w:rPr>
          <w:rFonts w:ascii="Times New Roman" w:hAnsi="Times New Roman" w:cs="Times New Roman"/>
          <w:sz w:val="24"/>
          <w:szCs w:val="24"/>
        </w:rPr>
        <w:t>such as</w:t>
      </w:r>
      <w:r w:rsidR="00351850">
        <w:rPr>
          <w:rFonts w:ascii="Times New Roman" w:hAnsi="Times New Roman" w:cs="Times New Roman"/>
          <w:sz w:val="24"/>
          <w:szCs w:val="24"/>
        </w:rPr>
        <w:t xml:space="preserve"> the UNTOC.  </w:t>
      </w:r>
      <w:r w:rsidR="00112A90">
        <w:rPr>
          <w:rFonts w:ascii="Times New Roman" w:hAnsi="Times New Roman" w:cs="Times New Roman"/>
          <w:sz w:val="24"/>
          <w:szCs w:val="24"/>
        </w:rPr>
        <w:t xml:space="preserve"> </w:t>
      </w:r>
      <w:proofErr w:type="gramStart"/>
      <w:r w:rsidR="00112A90">
        <w:rPr>
          <w:rFonts w:ascii="Times New Roman" w:hAnsi="Times New Roman" w:cs="Times New Roman"/>
          <w:sz w:val="24"/>
          <w:szCs w:val="24"/>
        </w:rPr>
        <w:t xml:space="preserve">In particular, </w:t>
      </w:r>
      <w:r w:rsidR="0059733A">
        <w:rPr>
          <w:rFonts w:ascii="Times New Roman" w:hAnsi="Times New Roman" w:cs="Times New Roman"/>
          <w:sz w:val="24"/>
          <w:szCs w:val="24"/>
        </w:rPr>
        <w:t>it</w:t>
      </w:r>
      <w:proofErr w:type="gramEnd"/>
      <w:r w:rsidR="0059733A">
        <w:rPr>
          <w:rFonts w:ascii="Times New Roman" w:hAnsi="Times New Roman" w:cs="Times New Roman"/>
          <w:sz w:val="24"/>
          <w:szCs w:val="24"/>
        </w:rPr>
        <w:t xml:space="preserve"> allows all of those concerns to understand its complex and multi-faceted nature and propose short, medium and long</w:t>
      </w:r>
      <w:r w:rsidR="00747368">
        <w:rPr>
          <w:rFonts w:ascii="Times New Roman" w:hAnsi="Times New Roman" w:cs="Times New Roman"/>
          <w:sz w:val="24"/>
          <w:szCs w:val="24"/>
        </w:rPr>
        <w:t>-</w:t>
      </w:r>
      <w:r w:rsidR="0059733A">
        <w:rPr>
          <w:rFonts w:ascii="Times New Roman" w:hAnsi="Times New Roman" w:cs="Times New Roman"/>
          <w:sz w:val="24"/>
          <w:szCs w:val="24"/>
        </w:rPr>
        <w:t xml:space="preserve">term solutions beyond criminal justice responses.  </w:t>
      </w:r>
    </w:p>
    <w:p w:rsidR="00BA6D32" w:rsidRPr="00E12439" w:rsidRDefault="00B57041" w:rsidP="00A0332A">
      <w:pPr>
        <w:spacing w:line="480" w:lineRule="auto"/>
        <w:ind w:firstLine="720"/>
        <w:rPr>
          <w:rFonts w:ascii="Times New Roman" w:hAnsi="Times New Roman" w:cs="Times New Roman"/>
          <w:sz w:val="24"/>
          <w:szCs w:val="24"/>
        </w:rPr>
      </w:pPr>
      <w:r>
        <w:rPr>
          <w:rFonts w:ascii="Times New Roman" w:hAnsi="Times New Roman" w:cs="Times New Roman"/>
          <w:sz w:val="24"/>
          <w:szCs w:val="24"/>
        </w:rPr>
        <w:t>H</w:t>
      </w:r>
      <w:r w:rsidR="00674E7E">
        <w:rPr>
          <w:rFonts w:ascii="Times New Roman" w:hAnsi="Times New Roman" w:cs="Times New Roman"/>
          <w:sz w:val="24"/>
          <w:szCs w:val="24"/>
        </w:rPr>
        <w:t xml:space="preserve">owever, </w:t>
      </w:r>
      <w:r>
        <w:rPr>
          <w:rFonts w:ascii="Times New Roman" w:hAnsi="Times New Roman" w:cs="Times New Roman"/>
          <w:sz w:val="24"/>
          <w:szCs w:val="24"/>
        </w:rPr>
        <w:t xml:space="preserve">the present analysis also reveals some </w:t>
      </w:r>
      <w:r w:rsidR="00FF7D57">
        <w:rPr>
          <w:rFonts w:ascii="Times New Roman" w:hAnsi="Times New Roman" w:cs="Times New Roman"/>
          <w:sz w:val="24"/>
          <w:szCs w:val="24"/>
        </w:rPr>
        <w:t>shortcomings</w:t>
      </w:r>
      <w:r>
        <w:rPr>
          <w:rFonts w:ascii="Times New Roman" w:hAnsi="Times New Roman" w:cs="Times New Roman"/>
          <w:sz w:val="24"/>
          <w:szCs w:val="24"/>
        </w:rPr>
        <w:t xml:space="preserve"> inherent in international human rights law</w:t>
      </w:r>
      <w:r w:rsidR="00674E7E">
        <w:rPr>
          <w:rFonts w:ascii="Times New Roman" w:hAnsi="Times New Roman" w:cs="Times New Roman"/>
          <w:sz w:val="24"/>
          <w:szCs w:val="24"/>
        </w:rPr>
        <w:t xml:space="preserve"> simultaneou</w:t>
      </w:r>
      <w:r w:rsidR="00226128">
        <w:rPr>
          <w:rFonts w:ascii="Times New Roman" w:hAnsi="Times New Roman" w:cs="Times New Roman"/>
          <w:sz w:val="24"/>
          <w:szCs w:val="24"/>
        </w:rPr>
        <w:t>s</w:t>
      </w:r>
      <w:r w:rsidR="00674E7E">
        <w:rPr>
          <w:rFonts w:ascii="Times New Roman" w:hAnsi="Times New Roman" w:cs="Times New Roman"/>
          <w:sz w:val="24"/>
          <w:szCs w:val="24"/>
        </w:rPr>
        <w:t>ly</w:t>
      </w:r>
      <w:r>
        <w:rPr>
          <w:rFonts w:ascii="Times New Roman" w:hAnsi="Times New Roman" w:cs="Times New Roman"/>
          <w:sz w:val="24"/>
          <w:szCs w:val="24"/>
        </w:rPr>
        <w:t xml:space="preserve">. </w:t>
      </w:r>
      <w:r w:rsidR="008F537B">
        <w:rPr>
          <w:rFonts w:ascii="Times New Roman" w:hAnsi="Times New Roman" w:cs="Times New Roman"/>
          <w:sz w:val="24"/>
          <w:szCs w:val="24"/>
        </w:rPr>
        <w:t xml:space="preserve"> </w:t>
      </w:r>
      <w:r w:rsidR="00B5454D">
        <w:rPr>
          <w:rFonts w:ascii="Times New Roman" w:hAnsi="Times New Roman" w:cs="Times New Roman"/>
          <w:sz w:val="24"/>
          <w:szCs w:val="24"/>
        </w:rPr>
        <w:t xml:space="preserve">For one, </w:t>
      </w:r>
      <w:r w:rsidR="00BE4F0C">
        <w:rPr>
          <w:rFonts w:ascii="Times New Roman" w:hAnsi="Times New Roman" w:cs="Times New Roman"/>
          <w:sz w:val="24"/>
          <w:szCs w:val="24"/>
        </w:rPr>
        <w:t xml:space="preserve">while the human norms and principles have been </w:t>
      </w:r>
      <w:r w:rsidR="00D95D5E">
        <w:rPr>
          <w:rFonts w:ascii="Times New Roman" w:hAnsi="Times New Roman" w:cs="Times New Roman"/>
          <w:sz w:val="24"/>
          <w:szCs w:val="24"/>
        </w:rPr>
        <w:t>clearly established</w:t>
      </w:r>
      <w:r w:rsidR="00BE4F0C">
        <w:rPr>
          <w:rFonts w:ascii="Times New Roman" w:hAnsi="Times New Roman" w:cs="Times New Roman"/>
          <w:sz w:val="24"/>
          <w:szCs w:val="24"/>
        </w:rPr>
        <w:t xml:space="preserve"> for </w:t>
      </w:r>
      <w:r w:rsidR="00D95D5E">
        <w:rPr>
          <w:rFonts w:ascii="Times New Roman" w:hAnsi="Times New Roman" w:cs="Times New Roman"/>
          <w:sz w:val="24"/>
          <w:szCs w:val="24"/>
        </w:rPr>
        <w:t xml:space="preserve">some </w:t>
      </w:r>
      <w:r w:rsidR="00BE4F0C">
        <w:rPr>
          <w:rFonts w:ascii="Times New Roman" w:hAnsi="Times New Roman" w:cs="Times New Roman"/>
          <w:sz w:val="24"/>
          <w:szCs w:val="24"/>
        </w:rPr>
        <w:t xml:space="preserve">crimes such as </w:t>
      </w:r>
      <w:r w:rsidR="00226128">
        <w:rPr>
          <w:rFonts w:ascii="Times New Roman" w:hAnsi="Times New Roman" w:cs="Times New Roman"/>
          <w:sz w:val="24"/>
          <w:szCs w:val="24"/>
        </w:rPr>
        <w:t xml:space="preserve">human trafficking, </w:t>
      </w:r>
      <w:r w:rsidR="00BE4F0C">
        <w:rPr>
          <w:rFonts w:ascii="Times New Roman" w:hAnsi="Times New Roman" w:cs="Times New Roman"/>
          <w:sz w:val="24"/>
          <w:szCs w:val="24"/>
        </w:rPr>
        <w:t xml:space="preserve">slavery and forced labour, the same is not true for others </w:t>
      </w:r>
      <w:proofErr w:type="gramStart"/>
      <w:r w:rsidR="00BE4F0C">
        <w:rPr>
          <w:rFonts w:ascii="Times New Roman" w:hAnsi="Times New Roman" w:cs="Times New Roman"/>
          <w:sz w:val="24"/>
          <w:szCs w:val="24"/>
        </w:rPr>
        <w:t>as yet</w:t>
      </w:r>
      <w:proofErr w:type="gramEnd"/>
      <w:r w:rsidR="00BE4F0C">
        <w:rPr>
          <w:rFonts w:ascii="Times New Roman" w:hAnsi="Times New Roman" w:cs="Times New Roman"/>
          <w:sz w:val="24"/>
          <w:szCs w:val="24"/>
        </w:rPr>
        <w:t xml:space="preserve">. </w:t>
      </w:r>
      <w:r w:rsidR="00D95D5E">
        <w:rPr>
          <w:rFonts w:ascii="Times New Roman" w:hAnsi="Times New Roman" w:cs="Times New Roman"/>
          <w:sz w:val="24"/>
          <w:szCs w:val="24"/>
        </w:rPr>
        <w:t xml:space="preserve"> </w:t>
      </w:r>
      <w:r w:rsidR="00B8655D">
        <w:rPr>
          <w:rFonts w:ascii="Times New Roman" w:hAnsi="Times New Roman" w:cs="Times New Roman"/>
          <w:sz w:val="24"/>
          <w:szCs w:val="24"/>
        </w:rPr>
        <w:t xml:space="preserve">This </w:t>
      </w:r>
      <w:r w:rsidR="00357898">
        <w:rPr>
          <w:rFonts w:ascii="Times New Roman" w:hAnsi="Times New Roman" w:cs="Times New Roman"/>
          <w:sz w:val="24"/>
          <w:szCs w:val="24"/>
        </w:rPr>
        <w:t>shows</w:t>
      </w:r>
      <w:r w:rsidR="00B8655D">
        <w:rPr>
          <w:rFonts w:ascii="Times New Roman" w:hAnsi="Times New Roman" w:cs="Times New Roman"/>
          <w:sz w:val="24"/>
          <w:szCs w:val="24"/>
        </w:rPr>
        <w:t xml:space="preserve"> that the human rights community does not </w:t>
      </w:r>
      <w:r w:rsidR="003C2676">
        <w:rPr>
          <w:rFonts w:ascii="Times New Roman" w:hAnsi="Times New Roman" w:cs="Times New Roman"/>
          <w:sz w:val="24"/>
          <w:szCs w:val="24"/>
        </w:rPr>
        <w:t xml:space="preserve">yet explicitly </w:t>
      </w:r>
      <w:r w:rsidR="0065051F">
        <w:rPr>
          <w:rFonts w:ascii="Times New Roman" w:hAnsi="Times New Roman" w:cs="Times New Roman"/>
          <w:sz w:val="24"/>
          <w:szCs w:val="24"/>
        </w:rPr>
        <w:t>treat</w:t>
      </w:r>
      <w:r w:rsidR="00B8655D">
        <w:rPr>
          <w:rFonts w:ascii="Times New Roman" w:hAnsi="Times New Roman" w:cs="Times New Roman"/>
          <w:sz w:val="24"/>
          <w:szCs w:val="24"/>
        </w:rPr>
        <w:t xml:space="preserve"> various forms of organised crime as human rights issues.  </w:t>
      </w:r>
      <w:r w:rsidR="00DE5797">
        <w:rPr>
          <w:rFonts w:ascii="Times New Roman" w:hAnsi="Times New Roman" w:cs="Times New Roman"/>
          <w:sz w:val="24"/>
          <w:szCs w:val="24"/>
        </w:rPr>
        <w:t xml:space="preserve"> </w:t>
      </w:r>
      <w:r w:rsidR="00B03CCF">
        <w:rPr>
          <w:rFonts w:ascii="Times New Roman" w:hAnsi="Times New Roman" w:cs="Times New Roman"/>
          <w:sz w:val="24"/>
          <w:szCs w:val="24"/>
        </w:rPr>
        <w:t xml:space="preserve">It has also been shown that </w:t>
      </w:r>
      <w:r w:rsidR="005E5413">
        <w:rPr>
          <w:rFonts w:ascii="Times New Roman" w:hAnsi="Times New Roman" w:cs="Times New Roman"/>
          <w:sz w:val="24"/>
          <w:szCs w:val="24"/>
        </w:rPr>
        <w:t xml:space="preserve">uncertainty and </w:t>
      </w:r>
      <w:r w:rsidR="00B03CCF">
        <w:rPr>
          <w:rFonts w:ascii="Times New Roman" w:hAnsi="Times New Roman" w:cs="Times New Roman"/>
          <w:sz w:val="24"/>
          <w:szCs w:val="24"/>
        </w:rPr>
        <w:t>concerns exit</w:t>
      </w:r>
      <w:r w:rsidR="00154E6C">
        <w:rPr>
          <w:rFonts w:ascii="Times New Roman" w:hAnsi="Times New Roman" w:cs="Times New Roman"/>
          <w:sz w:val="24"/>
          <w:szCs w:val="24"/>
        </w:rPr>
        <w:t xml:space="preserve"> </w:t>
      </w:r>
      <w:r w:rsidR="009F33E7">
        <w:rPr>
          <w:rFonts w:ascii="Times New Roman" w:hAnsi="Times New Roman" w:cs="Times New Roman"/>
          <w:sz w:val="24"/>
          <w:szCs w:val="24"/>
        </w:rPr>
        <w:t>i</w:t>
      </w:r>
      <w:r w:rsidR="00FF6574">
        <w:rPr>
          <w:rFonts w:ascii="Times New Roman" w:hAnsi="Times New Roman" w:cs="Times New Roman"/>
          <w:sz w:val="24"/>
          <w:szCs w:val="24"/>
        </w:rPr>
        <w:t>n some aspects of key obligations explored in this article</w:t>
      </w:r>
      <w:r w:rsidR="009F33E7">
        <w:rPr>
          <w:rFonts w:ascii="Times New Roman" w:hAnsi="Times New Roman" w:cs="Times New Roman"/>
          <w:sz w:val="24"/>
          <w:szCs w:val="24"/>
        </w:rPr>
        <w:t xml:space="preserve">. </w:t>
      </w:r>
      <w:r w:rsidR="00B03CCF">
        <w:rPr>
          <w:rFonts w:ascii="Times New Roman" w:hAnsi="Times New Roman" w:cs="Times New Roman"/>
          <w:sz w:val="24"/>
          <w:szCs w:val="24"/>
        </w:rPr>
        <w:t xml:space="preserve"> At a more general level, </w:t>
      </w:r>
      <w:r w:rsidR="00B236F2">
        <w:rPr>
          <w:rFonts w:ascii="Times New Roman" w:hAnsi="Times New Roman" w:cs="Times New Roman"/>
          <w:sz w:val="24"/>
          <w:szCs w:val="24"/>
        </w:rPr>
        <w:t xml:space="preserve">the present analysis highlights the difficulty in fulfilling </w:t>
      </w:r>
      <w:r w:rsidR="00CC399D">
        <w:rPr>
          <w:rFonts w:ascii="Times New Roman" w:hAnsi="Times New Roman" w:cs="Times New Roman"/>
          <w:sz w:val="24"/>
          <w:szCs w:val="24"/>
        </w:rPr>
        <w:t xml:space="preserve">the </w:t>
      </w:r>
      <w:r w:rsidR="00B236F2">
        <w:rPr>
          <w:rFonts w:ascii="Times New Roman" w:hAnsi="Times New Roman" w:cs="Times New Roman"/>
          <w:sz w:val="24"/>
          <w:szCs w:val="24"/>
        </w:rPr>
        <w:t>obligations relating to economic, social and cultural rights</w:t>
      </w:r>
      <w:r w:rsidR="00D92A80">
        <w:rPr>
          <w:rFonts w:ascii="Times New Roman" w:hAnsi="Times New Roman" w:cs="Times New Roman"/>
          <w:sz w:val="24"/>
          <w:szCs w:val="24"/>
        </w:rPr>
        <w:t xml:space="preserve"> due to</w:t>
      </w:r>
      <w:r w:rsidR="00872A30">
        <w:rPr>
          <w:rFonts w:ascii="Times New Roman" w:hAnsi="Times New Roman" w:cs="Times New Roman"/>
          <w:sz w:val="24"/>
          <w:szCs w:val="24"/>
        </w:rPr>
        <w:t xml:space="preserve"> the failure of States to allocate </w:t>
      </w:r>
      <w:r w:rsidR="003C2676">
        <w:rPr>
          <w:rFonts w:ascii="Times New Roman" w:hAnsi="Times New Roman" w:cs="Times New Roman"/>
          <w:sz w:val="24"/>
          <w:szCs w:val="24"/>
        </w:rPr>
        <w:t xml:space="preserve">the </w:t>
      </w:r>
      <w:bookmarkStart w:id="0" w:name="_GoBack"/>
      <w:bookmarkEnd w:id="0"/>
      <w:r w:rsidR="00872A30">
        <w:rPr>
          <w:rFonts w:ascii="Times New Roman" w:hAnsi="Times New Roman" w:cs="Times New Roman"/>
          <w:sz w:val="24"/>
          <w:szCs w:val="24"/>
        </w:rPr>
        <w:t>maximum available resources to these rights.</w:t>
      </w:r>
      <w:r w:rsidR="00D92A80">
        <w:rPr>
          <w:rFonts w:ascii="Times New Roman" w:hAnsi="Times New Roman" w:cs="Times New Roman"/>
          <w:sz w:val="24"/>
          <w:szCs w:val="24"/>
        </w:rPr>
        <w:t xml:space="preserve">  </w:t>
      </w:r>
      <w:r w:rsidR="00E83921">
        <w:rPr>
          <w:rFonts w:ascii="Times New Roman" w:hAnsi="Times New Roman" w:cs="Times New Roman"/>
          <w:sz w:val="24"/>
          <w:szCs w:val="24"/>
        </w:rPr>
        <w:t xml:space="preserve">All of these present an important opportunity to analyse the human rights issues relating to transnational organised crime more systematically and develop </w:t>
      </w:r>
      <w:r w:rsidR="00B67DC1">
        <w:rPr>
          <w:rFonts w:ascii="Times New Roman" w:hAnsi="Times New Roman" w:cs="Times New Roman"/>
          <w:sz w:val="24"/>
          <w:szCs w:val="24"/>
        </w:rPr>
        <w:t>concrete</w:t>
      </w:r>
      <w:r w:rsidR="00E83921">
        <w:rPr>
          <w:rFonts w:ascii="Times New Roman" w:hAnsi="Times New Roman" w:cs="Times New Roman"/>
          <w:sz w:val="24"/>
          <w:szCs w:val="24"/>
        </w:rPr>
        <w:t xml:space="preserve"> norms and principles further</w:t>
      </w:r>
      <w:r w:rsidR="005D6404">
        <w:rPr>
          <w:rFonts w:ascii="Times New Roman" w:hAnsi="Times New Roman" w:cs="Times New Roman"/>
          <w:sz w:val="24"/>
          <w:szCs w:val="24"/>
        </w:rPr>
        <w:t>.</w:t>
      </w:r>
      <w:r w:rsidR="00640779">
        <w:rPr>
          <w:rFonts w:ascii="Times New Roman" w:hAnsi="Times New Roman" w:cs="Times New Roman"/>
          <w:sz w:val="24"/>
          <w:szCs w:val="24"/>
        </w:rPr>
        <w:t xml:space="preserve">  </w:t>
      </w:r>
      <w:r w:rsidR="00A0332A">
        <w:rPr>
          <w:rFonts w:ascii="Times New Roman" w:hAnsi="Times New Roman" w:cs="Times New Roman"/>
          <w:sz w:val="24"/>
          <w:szCs w:val="24"/>
        </w:rPr>
        <w:t xml:space="preserve">In addition, </w:t>
      </w:r>
      <w:r w:rsidR="0065051F">
        <w:rPr>
          <w:rFonts w:ascii="Times New Roman" w:hAnsi="Times New Roman" w:cs="Times New Roman"/>
          <w:sz w:val="24"/>
          <w:szCs w:val="24"/>
        </w:rPr>
        <w:t>States</w:t>
      </w:r>
      <w:r w:rsidR="00975545">
        <w:rPr>
          <w:rFonts w:ascii="Times New Roman" w:hAnsi="Times New Roman" w:cs="Times New Roman"/>
          <w:sz w:val="24"/>
          <w:szCs w:val="24"/>
        </w:rPr>
        <w:t xml:space="preserve"> as well as the international community </w:t>
      </w:r>
      <w:r w:rsidR="0065051F">
        <w:rPr>
          <w:rFonts w:ascii="Times New Roman" w:hAnsi="Times New Roman" w:cs="Times New Roman"/>
          <w:sz w:val="24"/>
          <w:szCs w:val="24"/>
        </w:rPr>
        <w:t xml:space="preserve">cannot remain passive as </w:t>
      </w:r>
      <w:r w:rsidR="00975545">
        <w:rPr>
          <w:rFonts w:ascii="Times New Roman" w:hAnsi="Times New Roman" w:cs="Times New Roman"/>
          <w:sz w:val="24"/>
          <w:szCs w:val="24"/>
        </w:rPr>
        <w:t>international human rights law imposes individual and collective obligations to address transnational organised crime</w:t>
      </w:r>
      <w:r w:rsidR="00FA6804">
        <w:rPr>
          <w:rFonts w:ascii="Times New Roman" w:hAnsi="Times New Roman" w:cs="Times New Roman"/>
          <w:sz w:val="24"/>
          <w:szCs w:val="24"/>
        </w:rPr>
        <w:t xml:space="preserve">, bearing in mind </w:t>
      </w:r>
      <w:r w:rsidR="00EE5C4E">
        <w:rPr>
          <w:rFonts w:ascii="Times New Roman" w:hAnsi="Times New Roman" w:cs="Times New Roman"/>
          <w:sz w:val="24"/>
          <w:szCs w:val="24"/>
        </w:rPr>
        <w:t xml:space="preserve">the </w:t>
      </w:r>
      <w:r w:rsidR="00FA6804">
        <w:rPr>
          <w:rFonts w:ascii="Times New Roman" w:hAnsi="Times New Roman" w:cs="Times New Roman"/>
          <w:sz w:val="24"/>
          <w:szCs w:val="24"/>
        </w:rPr>
        <w:t xml:space="preserve">indivisibility and interdependence of all rights affected by it.  </w:t>
      </w:r>
      <w:r w:rsidR="00975545">
        <w:rPr>
          <w:rFonts w:ascii="Times New Roman" w:hAnsi="Times New Roman" w:cs="Times New Roman"/>
          <w:sz w:val="24"/>
          <w:szCs w:val="24"/>
        </w:rPr>
        <w:t xml:space="preserve"> </w:t>
      </w:r>
      <w:r w:rsidR="000148A0">
        <w:rPr>
          <w:rFonts w:ascii="Times New Roman" w:hAnsi="Times New Roman" w:cs="Times New Roman"/>
          <w:sz w:val="24"/>
          <w:szCs w:val="24"/>
        </w:rPr>
        <w:t xml:space="preserve">While there is still a long way to go, </w:t>
      </w:r>
      <w:r w:rsidR="00B67DC1">
        <w:rPr>
          <w:rFonts w:ascii="Times New Roman" w:hAnsi="Times New Roman" w:cs="Times New Roman"/>
          <w:sz w:val="24"/>
          <w:szCs w:val="24"/>
        </w:rPr>
        <w:t xml:space="preserve">it is hoped that </w:t>
      </w:r>
      <w:r w:rsidR="000148A0">
        <w:rPr>
          <w:rFonts w:ascii="Times New Roman" w:hAnsi="Times New Roman" w:cs="Times New Roman"/>
          <w:sz w:val="24"/>
          <w:szCs w:val="24"/>
        </w:rPr>
        <w:t>th</w:t>
      </w:r>
      <w:r w:rsidR="00FF4A43">
        <w:rPr>
          <w:rFonts w:ascii="Times New Roman" w:hAnsi="Times New Roman" w:cs="Times New Roman"/>
          <w:sz w:val="24"/>
          <w:szCs w:val="24"/>
        </w:rPr>
        <w:t xml:space="preserve">e present analysis </w:t>
      </w:r>
      <w:r w:rsidR="00CA0FB1">
        <w:rPr>
          <w:rFonts w:ascii="Times New Roman" w:hAnsi="Times New Roman" w:cs="Times New Roman"/>
          <w:sz w:val="24"/>
          <w:szCs w:val="24"/>
        </w:rPr>
        <w:lastRenderedPageBreak/>
        <w:t xml:space="preserve">has </w:t>
      </w:r>
      <w:r w:rsidR="00FF4A43">
        <w:rPr>
          <w:rFonts w:ascii="Times New Roman" w:hAnsi="Times New Roman" w:cs="Times New Roman"/>
          <w:sz w:val="24"/>
          <w:szCs w:val="24"/>
        </w:rPr>
        <w:t>shed some light</w:t>
      </w:r>
      <w:r w:rsidR="00CA0FB1">
        <w:rPr>
          <w:rFonts w:ascii="Times New Roman" w:hAnsi="Times New Roman" w:cs="Times New Roman"/>
          <w:sz w:val="24"/>
          <w:szCs w:val="24"/>
        </w:rPr>
        <w:t xml:space="preserve"> on the development of a more comprehensive </w:t>
      </w:r>
      <w:r w:rsidR="00FF4A43">
        <w:rPr>
          <w:rFonts w:ascii="Times New Roman" w:hAnsi="Times New Roman" w:cs="Times New Roman"/>
          <w:sz w:val="24"/>
          <w:szCs w:val="24"/>
        </w:rPr>
        <w:t>action against transnational organised crime</w:t>
      </w:r>
      <w:r w:rsidR="00CA0FB1">
        <w:rPr>
          <w:rFonts w:ascii="Times New Roman" w:hAnsi="Times New Roman" w:cs="Times New Roman"/>
          <w:sz w:val="24"/>
          <w:szCs w:val="24"/>
        </w:rPr>
        <w:t>, and how international human rights law can</w:t>
      </w:r>
      <w:r w:rsidR="00B67DC1">
        <w:rPr>
          <w:rFonts w:ascii="Times New Roman" w:hAnsi="Times New Roman" w:cs="Times New Roman"/>
          <w:sz w:val="24"/>
          <w:szCs w:val="24"/>
        </w:rPr>
        <w:t xml:space="preserve"> assist</w:t>
      </w:r>
      <w:r w:rsidR="00CA0FB1">
        <w:rPr>
          <w:rFonts w:ascii="Times New Roman" w:hAnsi="Times New Roman" w:cs="Times New Roman"/>
          <w:sz w:val="24"/>
          <w:szCs w:val="24"/>
        </w:rPr>
        <w:t xml:space="preserve"> this process.  </w:t>
      </w:r>
    </w:p>
    <w:sectPr w:rsidR="00BA6D32" w:rsidRPr="00E1243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DDB" w:rsidRDefault="00806DDB" w:rsidP="00D013E5">
      <w:pPr>
        <w:spacing w:after="0" w:line="240" w:lineRule="auto"/>
      </w:pPr>
      <w:r>
        <w:separator/>
      </w:r>
    </w:p>
  </w:endnote>
  <w:endnote w:type="continuationSeparator" w:id="0">
    <w:p w:rsidR="00806DDB" w:rsidRDefault="00806DDB" w:rsidP="00D0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65549"/>
      <w:docPartObj>
        <w:docPartGallery w:val="Page Numbers (Bottom of Page)"/>
        <w:docPartUnique/>
      </w:docPartObj>
    </w:sdtPr>
    <w:sdtEndPr>
      <w:rPr>
        <w:noProof/>
      </w:rPr>
    </w:sdtEndPr>
    <w:sdtContent>
      <w:p w:rsidR="003B5ED2" w:rsidRDefault="003B5E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B5ED2" w:rsidRDefault="003B5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DDB" w:rsidRDefault="00806DDB" w:rsidP="00D013E5">
      <w:pPr>
        <w:spacing w:after="0" w:line="240" w:lineRule="auto"/>
      </w:pPr>
      <w:r>
        <w:separator/>
      </w:r>
    </w:p>
  </w:footnote>
  <w:footnote w:type="continuationSeparator" w:id="0">
    <w:p w:rsidR="00806DDB" w:rsidRDefault="00806DDB" w:rsidP="00D013E5">
      <w:pPr>
        <w:spacing w:after="0" w:line="240" w:lineRule="auto"/>
      </w:pPr>
      <w:r>
        <w:continuationSeparator/>
      </w:r>
    </w:p>
  </w:footnote>
  <w:footnote w:id="1">
    <w:p w:rsidR="003B5ED2" w:rsidRDefault="003B5ED2" w:rsidP="00AB2970">
      <w:pPr>
        <w:pStyle w:val="FootnoteText"/>
        <w:rPr>
          <w:rFonts w:ascii="Times New Roman" w:hAnsi="Times New Roman" w:cs="Times New Roman"/>
        </w:rPr>
      </w:pPr>
      <w:r w:rsidRPr="00AB2970">
        <w:rPr>
          <w:rFonts w:ascii="Times New Roman" w:hAnsi="Times New Roman" w:cs="Times New Roman"/>
        </w:rPr>
        <w:t>*</w:t>
      </w:r>
      <w:r>
        <w:rPr>
          <w:rFonts w:ascii="Times New Roman" w:hAnsi="Times New Roman" w:cs="Times New Roman"/>
        </w:rPr>
        <w:t xml:space="preserve"> Professor of International Law &amp; Human Rights, </w:t>
      </w:r>
      <w:proofErr w:type="spellStart"/>
      <w:r>
        <w:rPr>
          <w:rFonts w:ascii="Times New Roman" w:hAnsi="Times New Roman" w:cs="Times New Roman"/>
        </w:rPr>
        <w:t>Keele</w:t>
      </w:r>
      <w:proofErr w:type="spellEnd"/>
      <w:r>
        <w:rPr>
          <w:rFonts w:ascii="Times New Roman" w:hAnsi="Times New Roman" w:cs="Times New Roman"/>
        </w:rPr>
        <w:t xml:space="preserve"> Law School.</w:t>
      </w:r>
    </w:p>
    <w:p w:rsidR="003B5ED2" w:rsidRPr="003B35C4" w:rsidRDefault="003B5ED2" w:rsidP="00854C98">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Letizia Paoli, </w:t>
      </w:r>
      <w:r w:rsidRPr="003B35C4">
        <w:rPr>
          <w:rFonts w:ascii="Times New Roman" w:hAnsi="Times New Roman" w:cs="Times New Roman"/>
          <w:i/>
        </w:rPr>
        <w:t>Mafia Brotherhood: Organised Crime, Italian Style</w:t>
      </w:r>
      <w:r w:rsidRPr="003B35C4">
        <w:rPr>
          <w:rFonts w:ascii="Times New Roman" w:hAnsi="Times New Roman" w:cs="Times New Roman"/>
        </w:rPr>
        <w:t xml:space="preserve"> (Oxford University Press 2003).  </w:t>
      </w:r>
    </w:p>
  </w:footnote>
  <w:footnote w:id="2">
    <w:p w:rsidR="003B5ED2" w:rsidRPr="003B35C4" w:rsidRDefault="003B5ED2" w:rsidP="00854C98">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rPr>
        <w:t>Yiu</w:t>
      </w:r>
      <w:proofErr w:type="spellEnd"/>
      <w:r w:rsidRPr="003B35C4">
        <w:rPr>
          <w:rFonts w:ascii="Times New Roman" w:hAnsi="Times New Roman" w:cs="Times New Roman"/>
        </w:rPr>
        <w:t xml:space="preserve">-Kong Chu, </w:t>
      </w:r>
      <w:r w:rsidRPr="003B35C4">
        <w:rPr>
          <w:rFonts w:ascii="Times New Roman" w:hAnsi="Times New Roman" w:cs="Times New Roman"/>
          <w:i/>
        </w:rPr>
        <w:t>The Triads as Business</w:t>
      </w:r>
      <w:r w:rsidRPr="003B35C4">
        <w:rPr>
          <w:rFonts w:ascii="Times New Roman" w:hAnsi="Times New Roman" w:cs="Times New Roman"/>
        </w:rPr>
        <w:t xml:space="preserve"> (Routledge 2008). </w:t>
      </w:r>
    </w:p>
  </w:footnote>
  <w:footnote w:id="3">
    <w:p w:rsidR="003B5ED2" w:rsidRPr="003B35C4" w:rsidRDefault="003B5ED2" w:rsidP="00854C98">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David Kaplan and Alec </w:t>
      </w:r>
      <w:proofErr w:type="spellStart"/>
      <w:r w:rsidRPr="003B35C4">
        <w:rPr>
          <w:rFonts w:ascii="Times New Roman" w:hAnsi="Times New Roman" w:cs="Times New Roman"/>
        </w:rPr>
        <w:t>Dubro</w:t>
      </w:r>
      <w:proofErr w:type="spellEnd"/>
      <w:r w:rsidRPr="003B35C4">
        <w:rPr>
          <w:rFonts w:ascii="Times New Roman" w:hAnsi="Times New Roman" w:cs="Times New Roman"/>
        </w:rPr>
        <w:t xml:space="preserve">, </w:t>
      </w:r>
      <w:r w:rsidRPr="003B35C4">
        <w:rPr>
          <w:rFonts w:ascii="Times New Roman" w:hAnsi="Times New Roman" w:cs="Times New Roman"/>
          <w:i/>
        </w:rPr>
        <w:t>Yakuza: Japan’s Criminal Underworld</w:t>
      </w:r>
      <w:r w:rsidRPr="003B35C4">
        <w:rPr>
          <w:rFonts w:ascii="Times New Roman" w:hAnsi="Times New Roman" w:cs="Times New Roman"/>
        </w:rPr>
        <w:t xml:space="preserve"> (University of California Press 2003).</w:t>
      </w:r>
    </w:p>
  </w:footnote>
  <w:footnote w:id="4">
    <w:p w:rsidR="003B5ED2" w:rsidRPr="003B35C4" w:rsidRDefault="003B5ED2" w:rsidP="00854C98">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June S. </w:t>
      </w:r>
      <w:proofErr w:type="spellStart"/>
      <w:r w:rsidRPr="003B35C4">
        <w:rPr>
          <w:rFonts w:ascii="Times New Roman" w:hAnsi="Times New Roman" w:cs="Times New Roman"/>
        </w:rPr>
        <w:t>Beittel</w:t>
      </w:r>
      <w:proofErr w:type="spellEnd"/>
      <w:r w:rsidRPr="003B35C4">
        <w:rPr>
          <w:rFonts w:ascii="Times New Roman" w:hAnsi="Times New Roman" w:cs="Times New Roman"/>
        </w:rPr>
        <w:t xml:space="preserve">, </w:t>
      </w:r>
      <w:r w:rsidRPr="003B35C4">
        <w:rPr>
          <w:rFonts w:ascii="Times New Roman" w:hAnsi="Times New Roman" w:cs="Times New Roman"/>
          <w:i/>
        </w:rPr>
        <w:t>Mexico: Organised Crime and Drug Trafficking Organisations</w:t>
      </w:r>
      <w:r w:rsidRPr="003B35C4">
        <w:rPr>
          <w:rFonts w:ascii="Times New Roman" w:hAnsi="Times New Roman" w:cs="Times New Roman"/>
        </w:rPr>
        <w:t xml:space="preserve"> (US Congress Research Service 2015).  </w:t>
      </w:r>
    </w:p>
  </w:footnote>
  <w:footnote w:id="5">
    <w:p w:rsidR="003B5ED2" w:rsidRPr="003B35C4" w:rsidRDefault="003B5ED2" w:rsidP="00854C98">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Federico Varese, </w:t>
      </w:r>
      <w:r w:rsidRPr="003B35C4">
        <w:rPr>
          <w:rFonts w:ascii="Times New Roman" w:hAnsi="Times New Roman" w:cs="Times New Roman"/>
          <w:i/>
        </w:rPr>
        <w:t>The Russian Mafia: Private Protection in New Market Economy</w:t>
      </w:r>
      <w:r w:rsidRPr="003B35C4">
        <w:rPr>
          <w:rFonts w:ascii="Times New Roman" w:hAnsi="Times New Roman" w:cs="Times New Roman"/>
        </w:rPr>
        <w:t xml:space="preserve"> (Oxford University Press 2001).  </w:t>
      </w:r>
    </w:p>
  </w:footnote>
  <w:footnote w:id="6">
    <w:p w:rsidR="003B5ED2" w:rsidRPr="003B35C4" w:rsidRDefault="003B5ED2" w:rsidP="00854C98">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United Nations Office of Drugs and Crime (UNODC), </w:t>
      </w:r>
      <w:r w:rsidRPr="003B35C4">
        <w:rPr>
          <w:rFonts w:ascii="Times New Roman" w:hAnsi="Times New Roman" w:cs="Times New Roman"/>
          <w:i/>
        </w:rPr>
        <w:t>Transnational Organised Crime in West Africa: A Threat Assessment</w:t>
      </w:r>
      <w:r w:rsidRPr="003B35C4">
        <w:rPr>
          <w:rFonts w:ascii="Times New Roman" w:hAnsi="Times New Roman" w:cs="Times New Roman"/>
        </w:rPr>
        <w:t xml:space="preserve"> (2013).  </w:t>
      </w:r>
    </w:p>
  </w:footnote>
  <w:footnote w:id="7">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2225 UNTS 209.  </w:t>
      </w:r>
    </w:p>
  </w:footnote>
  <w:footnote w:id="8">
    <w:p w:rsidR="003B5ED2" w:rsidRPr="003B35C4" w:rsidRDefault="003B5ED2" w:rsidP="0032189A">
      <w:pPr>
        <w:spacing w:after="0"/>
        <w:rPr>
          <w:rFonts w:ascii="Times New Roman" w:eastAsia="Times New Roman" w:hAnsi="Times New Roman" w:cs="Times New Roman"/>
          <w:sz w:val="20"/>
          <w:szCs w:val="20"/>
        </w:rPr>
      </w:pPr>
      <w:r w:rsidRPr="003B35C4">
        <w:rPr>
          <w:rStyle w:val="FootnoteReference"/>
          <w:rFonts w:ascii="Times New Roman" w:hAnsi="Times New Roman" w:cs="Times New Roman"/>
          <w:sz w:val="20"/>
          <w:szCs w:val="20"/>
        </w:rPr>
        <w:footnoteRef/>
      </w:r>
      <w:r w:rsidRPr="003B35C4">
        <w:rPr>
          <w:rFonts w:ascii="Times New Roman" w:hAnsi="Times New Roman" w:cs="Times New Roman"/>
          <w:sz w:val="20"/>
          <w:szCs w:val="20"/>
        </w:rPr>
        <w:t xml:space="preserve"> Under Art 2 of the UNOTC, organised crime is to be understood as a “serious crime” (attracting a minimum of 4 years’ imprisonment) committed by an “organised criminal group” which is defined as “</w:t>
      </w:r>
      <w:r w:rsidRPr="003B35C4">
        <w:rPr>
          <w:rFonts w:ascii="Times New Roman" w:eastAsia="Times New Roman" w:hAnsi="Times New Roman" w:cs="Times New Roman"/>
          <w:sz w:val="20"/>
          <w:szCs w:val="20"/>
        </w:rPr>
        <w:t>a structured group of three or more persons, existing for a period of time and acting in concert with the aim of committing one or more serious crimes or offences established in accordance with this Convention, in order to obtain, directly or indirectly, a financial or other material benefit.”</w:t>
      </w:r>
    </w:p>
  </w:footnote>
  <w:footnote w:id="9">
    <w:p w:rsidR="003B5ED2" w:rsidRPr="003B35C4" w:rsidRDefault="003B5ED2" w:rsidP="0032189A">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International Labour Organisation, &lt;</w:t>
      </w:r>
      <w:hyperlink r:id="rId1" w:history="1">
        <w:r w:rsidRPr="003B35C4">
          <w:rPr>
            <w:rStyle w:val="Hyperlink"/>
            <w:rFonts w:ascii="Times New Roman" w:hAnsi="Times New Roman" w:cs="Times New Roman"/>
          </w:rPr>
          <w:t>http://www.ilo.org/global/topics/forced-labour/lang--</w:t>
        </w:r>
        <w:proofErr w:type="spellStart"/>
        <w:r w:rsidRPr="003B35C4">
          <w:rPr>
            <w:rStyle w:val="Hyperlink"/>
            <w:rFonts w:ascii="Times New Roman" w:hAnsi="Times New Roman" w:cs="Times New Roman"/>
          </w:rPr>
          <w:t>en</w:t>
        </w:r>
        <w:proofErr w:type="spellEnd"/>
        <w:r w:rsidRPr="003B35C4">
          <w:rPr>
            <w:rStyle w:val="Hyperlink"/>
            <w:rFonts w:ascii="Times New Roman" w:hAnsi="Times New Roman" w:cs="Times New Roman"/>
          </w:rPr>
          <w:t>/index.htm</w:t>
        </w:r>
      </w:hyperlink>
      <w:r w:rsidRPr="003B35C4">
        <w:rPr>
          <w:rFonts w:ascii="Times New Roman" w:hAnsi="Times New Roman" w:cs="Times New Roman"/>
        </w:rPr>
        <w:t xml:space="preserve">&gt; </w:t>
      </w:r>
      <w:r>
        <w:rPr>
          <w:rFonts w:ascii="Times New Roman" w:hAnsi="Times New Roman" w:cs="Times New Roman"/>
        </w:rPr>
        <w:t>accessed 1 April 2019.</w:t>
      </w:r>
      <w:r w:rsidRPr="003B35C4">
        <w:rPr>
          <w:rFonts w:ascii="Times New Roman" w:hAnsi="Times New Roman" w:cs="Times New Roman"/>
        </w:rPr>
        <w:t xml:space="preserve">  </w:t>
      </w:r>
    </w:p>
  </w:footnote>
  <w:footnote w:id="10">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CE7B29">
        <w:rPr>
          <w:rFonts w:ascii="Times New Roman" w:hAnsi="Times New Roman" w:cs="Times New Roman"/>
          <w:i/>
        </w:rPr>
        <w:t>Ibid.</w:t>
      </w:r>
    </w:p>
  </w:footnote>
  <w:footnote w:id="11">
    <w:p w:rsidR="003B5ED2" w:rsidRPr="003B35C4" w:rsidRDefault="003B5ED2" w:rsidP="008F2F27">
      <w:pPr>
        <w:pStyle w:val="FootnoteText"/>
        <w:tabs>
          <w:tab w:val="left" w:pos="1500"/>
        </w:tabs>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Art 8 International Covenant on Civil and Political Rights 1966 (ICCPR), 999 UNTS 171; Art 4 European Convention on Human Rights 1950 (ECHR), ETS. No. 5; Art 6 American Convention on Human Rights 1969 (ACHR), 1144 UNTS 123; and Art 5 African Charter on Human and Peoples’ Rights 1981 (African Charter), 1520 UNTS 218.  </w:t>
      </w:r>
    </w:p>
  </w:footnote>
  <w:footnote w:id="12">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Special Rapporteur on Contemporary Forms of Slavery</w:t>
      </w:r>
      <w:r w:rsidRPr="003B35C4">
        <w:rPr>
          <w:rFonts w:ascii="Times New Roman" w:hAnsi="Times New Roman" w:cs="Times New Roman"/>
        </w:rPr>
        <w:t xml:space="preserve">, A/HRC/36/43 (2017), para 11.  </w:t>
      </w:r>
    </w:p>
  </w:footnote>
  <w:footnote w:id="13">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Barcelona Traction, Light and Power Company, Limited (Belgium v. Spain) (1962–1970)</w:t>
      </w:r>
      <w:r w:rsidRPr="003B35C4">
        <w:rPr>
          <w:rFonts w:ascii="Times New Roman" w:hAnsi="Times New Roman" w:cs="Times New Roman"/>
        </w:rPr>
        <w:t xml:space="preserve">, Second Phase, Judgment, I.C.J Reports 1970, para 34.  </w:t>
      </w:r>
    </w:p>
  </w:footnote>
  <w:footnote w:id="14">
    <w:p w:rsidR="003B5ED2" w:rsidRPr="003B35C4" w:rsidRDefault="003B5ED2" w:rsidP="00A0757C">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International Maritime Organisation, </w:t>
      </w:r>
      <w:r w:rsidRPr="003B35C4">
        <w:rPr>
          <w:rFonts w:ascii="Times New Roman" w:hAnsi="Times New Roman" w:cs="Times New Roman"/>
          <w:i/>
        </w:rPr>
        <w:t>Reports on Acts of Piracy and Armed Robbery at Sea: Annual Report 2016</w:t>
      </w:r>
      <w:r w:rsidRPr="003B35C4">
        <w:rPr>
          <w:rFonts w:ascii="Times New Roman" w:hAnsi="Times New Roman" w:cs="Times New Roman"/>
        </w:rPr>
        <w:t xml:space="preserve">, para 5.  </w:t>
      </w:r>
    </w:p>
  </w:footnote>
  <w:footnote w:id="15">
    <w:p w:rsidR="003B5ED2" w:rsidRPr="003B35C4" w:rsidRDefault="003B5ED2" w:rsidP="00C90E8F">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Velasquez Rodriquez v Honduras</w:t>
      </w:r>
      <w:r w:rsidRPr="003B35C4">
        <w:rPr>
          <w:rFonts w:ascii="Times New Roman" w:hAnsi="Times New Roman" w:cs="Times New Roman"/>
        </w:rPr>
        <w:t xml:space="preserve"> </w:t>
      </w:r>
      <w:r>
        <w:rPr>
          <w:rFonts w:ascii="Times New Roman" w:hAnsi="Times New Roman" w:cs="Times New Roman"/>
        </w:rPr>
        <w:t xml:space="preserve">(1988), </w:t>
      </w:r>
      <w:r w:rsidRPr="003B35C4">
        <w:rPr>
          <w:rFonts w:ascii="Times New Roman" w:hAnsi="Times New Roman" w:cs="Times New Roman"/>
        </w:rPr>
        <w:t>Ser. C, No. 1, para 155.</w:t>
      </w:r>
    </w:p>
  </w:footnote>
  <w:footnote w:id="16">
    <w:p w:rsidR="003B5ED2" w:rsidRPr="003B35C4" w:rsidRDefault="003B5ED2" w:rsidP="00C90E8F">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Working Group on Arbitrary Detention</w:t>
      </w:r>
      <w:r w:rsidRPr="003B35C4">
        <w:rPr>
          <w:rFonts w:ascii="Times New Roman" w:hAnsi="Times New Roman" w:cs="Times New Roman"/>
        </w:rPr>
        <w:t xml:space="preserve">, E/CN.4/2005/6 (2005), para 66.  In this report, the Working Group was referring to hostage taking by terrorists, but the same reasoning should apply to other non-State actors.  </w:t>
      </w:r>
    </w:p>
  </w:footnote>
  <w:footnote w:id="17">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Human Rights Committee, </w:t>
      </w:r>
      <w:r w:rsidRPr="003B35C4">
        <w:rPr>
          <w:rFonts w:ascii="Times New Roman" w:hAnsi="Times New Roman" w:cs="Times New Roman"/>
          <w:i/>
        </w:rPr>
        <w:t>General Comment No. 35 (Liberty and Security of a Person)</w:t>
      </w:r>
      <w:r w:rsidRPr="003B35C4">
        <w:rPr>
          <w:rFonts w:ascii="Times New Roman" w:hAnsi="Times New Roman" w:cs="Times New Roman"/>
        </w:rPr>
        <w:t xml:space="preserve">, CCPR/C/GC/35 (2014), para 7.  </w:t>
      </w:r>
    </w:p>
  </w:footnote>
  <w:footnote w:id="18">
    <w:p w:rsidR="003B5ED2" w:rsidRPr="003B35C4" w:rsidRDefault="003B5ED2" w:rsidP="00EC2E1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See for instance, Amnesty International, “</w:t>
      </w:r>
      <w:r w:rsidRPr="003B35C4">
        <w:rPr>
          <w:rFonts w:ascii="Times New Roman" w:hAnsi="Times New Roman" w:cs="Times New Roman"/>
          <w:i/>
        </w:rPr>
        <w:t>If You Are Poor, You Are Killed”: Extrajudicial Execution in the Philippines’ “War on Drugs”</w:t>
      </w:r>
      <w:r w:rsidRPr="003B35C4">
        <w:rPr>
          <w:rFonts w:ascii="Times New Roman" w:hAnsi="Times New Roman" w:cs="Times New Roman"/>
        </w:rPr>
        <w:t xml:space="preserve"> (January 2017); and Human Rights Watch, </w:t>
      </w:r>
      <w:r w:rsidRPr="003B35C4">
        <w:rPr>
          <w:rFonts w:ascii="Times New Roman" w:hAnsi="Times New Roman" w:cs="Times New Roman"/>
          <w:i/>
        </w:rPr>
        <w:t>Licence to Kill: Philippines Police Killings in Duterte’s War on Drugs</w:t>
      </w:r>
      <w:r w:rsidRPr="003B35C4">
        <w:rPr>
          <w:rFonts w:ascii="Times New Roman" w:hAnsi="Times New Roman" w:cs="Times New Roman"/>
        </w:rPr>
        <w:t xml:space="preserve"> (March 2017).   </w:t>
      </w:r>
    </w:p>
  </w:footnote>
  <w:footnote w:id="19">
    <w:p w:rsidR="003B5ED2" w:rsidRPr="003B35C4" w:rsidRDefault="003B5ED2" w:rsidP="00EC2E1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Working Group on the Universal Periodic Review: The Philippines</w:t>
      </w:r>
      <w:r w:rsidRPr="003B35C4">
        <w:rPr>
          <w:rFonts w:ascii="Times New Roman" w:hAnsi="Times New Roman" w:cs="Times New Roman"/>
        </w:rPr>
        <w:t xml:space="preserve">, A/HRC/36/12 (2017).  </w:t>
      </w:r>
    </w:p>
  </w:footnote>
  <w:footnote w:id="20">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Human Rights Committee, </w:t>
      </w:r>
      <w:r w:rsidRPr="003B35C4">
        <w:rPr>
          <w:rFonts w:ascii="Times New Roman" w:hAnsi="Times New Roman" w:cs="Times New Roman"/>
          <w:i/>
        </w:rPr>
        <w:t>General Comment No. 31 (The Nature of General Obligations Imposed on State Parties to the Covenant)</w:t>
      </w:r>
      <w:r w:rsidRPr="003B35C4">
        <w:rPr>
          <w:rFonts w:ascii="Times New Roman" w:hAnsi="Times New Roman" w:cs="Times New Roman"/>
        </w:rPr>
        <w:t>, CCPR/C/21/Rev.1/Add. 13 (2004), para 8.</w:t>
      </w:r>
    </w:p>
  </w:footnote>
  <w:footnote w:id="2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Arts 6 and 7, 993 UNTS 3.</w:t>
      </w:r>
    </w:p>
  </w:footnote>
  <w:footnote w:id="22">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A66760">
        <w:rPr>
          <w:rFonts w:ascii="Times New Roman" w:hAnsi="Times New Roman" w:cs="Times New Roman"/>
          <w:i/>
        </w:rPr>
        <w:t>Ibid</w:t>
      </w:r>
      <w:r>
        <w:rPr>
          <w:rFonts w:ascii="Times New Roman" w:hAnsi="Times New Roman" w:cs="Times New Roman"/>
        </w:rPr>
        <w:t xml:space="preserve">, </w:t>
      </w:r>
      <w:r w:rsidRPr="003B35C4">
        <w:rPr>
          <w:rFonts w:ascii="Times New Roman" w:hAnsi="Times New Roman" w:cs="Times New Roman"/>
        </w:rPr>
        <w:t>Art 12</w:t>
      </w:r>
      <w:r>
        <w:rPr>
          <w:rFonts w:ascii="Times New Roman" w:hAnsi="Times New Roman" w:cs="Times New Roman"/>
        </w:rPr>
        <w:t>.</w:t>
      </w:r>
      <w:r w:rsidRPr="003B35C4">
        <w:rPr>
          <w:rFonts w:ascii="Times New Roman" w:hAnsi="Times New Roman" w:cs="Times New Roman"/>
        </w:rPr>
        <w:t xml:space="preserve">  </w:t>
      </w:r>
    </w:p>
  </w:footnote>
  <w:footnote w:id="23">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Committee on Economic, Social and Cultural Rights, </w:t>
      </w:r>
      <w:r w:rsidRPr="003B35C4">
        <w:rPr>
          <w:rFonts w:ascii="Times New Roman" w:hAnsi="Times New Roman" w:cs="Times New Roman"/>
          <w:i/>
        </w:rPr>
        <w:t>General Comment No. 14, The Right to the Highest Attainable Standard of Health</w:t>
      </w:r>
      <w:r w:rsidRPr="003B35C4">
        <w:rPr>
          <w:rFonts w:ascii="Times New Roman" w:hAnsi="Times New Roman" w:cs="Times New Roman"/>
        </w:rPr>
        <w:t>, E/C.12/2000/4</w:t>
      </w:r>
      <w:r w:rsidRPr="003B35C4">
        <w:rPr>
          <w:rFonts w:ascii="Times New Roman" w:hAnsi="Times New Roman" w:cs="Times New Roman"/>
          <w:i/>
        </w:rPr>
        <w:t xml:space="preserve"> </w:t>
      </w:r>
      <w:r w:rsidRPr="003B35C4">
        <w:rPr>
          <w:rFonts w:ascii="Times New Roman" w:hAnsi="Times New Roman" w:cs="Times New Roman"/>
        </w:rPr>
        <w:t>(2000), paras 15 and 36; Committee on the Rights of the Child</w:t>
      </w:r>
      <w:r w:rsidRPr="003B35C4">
        <w:rPr>
          <w:rFonts w:ascii="Times New Roman" w:hAnsi="Times New Roman" w:cs="Times New Roman"/>
          <w:i/>
        </w:rPr>
        <w:t xml:space="preserve">, General Comment No. 20 on the Implementation of the Rights of the Child During Adolescence, </w:t>
      </w:r>
      <w:r w:rsidRPr="003B35C4">
        <w:rPr>
          <w:rFonts w:ascii="Times New Roman" w:hAnsi="Times New Roman" w:cs="Times New Roman"/>
        </w:rPr>
        <w:t>CRC/C/GC/20</w:t>
      </w:r>
      <w:r w:rsidRPr="003B35C4">
        <w:rPr>
          <w:rFonts w:ascii="Times New Roman" w:hAnsi="Times New Roman" w:cs="Times New Roman"/>
          <w:i/>
        </w:rPr>
        <w:t xml:space="preserve"> </w:t>
      </w:r>
      <w:r w:rsidRPr="003B35C4">
        <w:rPr>
          <w:rFonts w:ascii="Times New Roman" w:hAnsi="Times New Roman" w:cs="Times New Roman"/>
        </w:rPr>
        <w:t xml:space="preserve">(2016), paras 62 and 64; and </w:t>
      </w:r>
      <w:r w:rsidRPr="003B35C4">
        <w:rPr>
          <w:rFonts w:ascii="Times New Roman" w:hAnsi="Times New Roman" w:cs="Times New Roman"/>
          <w:i/>
        </w:rPr>
        <w:t>Report of the Special Rapporteur on the Right of Everyone to the Enjoyment of the Highest Attainable Standard of Physical and Mental Health</w:t>
      </w:r>
      <w:r w:rsidRPr="003B35C4">
        <w:rPr>
          <w:rFonts w:ascii="Times New Roman" w:hAnsi="Times New Roman" w:cs="Times New Roman"/>
        </w:rPr>
        <w:t xml:space="preserve">, A/HRC/32/32 (2016), paras 95-105.   </w:t>
      </w:r>
    </w:p>
  </w:footnote>
  <w:footnote w:id="24">
    <w:p w:rsidR="003B5ED2" w:rsidRPr="003B35C4" w:rsidRDefault="003B5ED2" w:rsidP="0012453B">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Special Rapporteur on the Adverse Effects of the Movement and Dumping of Toxic and Dangerous Products and Wastes on the Enjoyment of Human Rights</w:t>
      </w:r>
      <w:r w:rsidRPr="003B35C4">
        <w:rPr>
          <w:rFonts w:ascii="Times New Roman" w:hAnsi="Times New Roman" w:cs="Times New Roman"/>
        </w:rPr>
        <w:t xml:space="preserve">, A/HRC/18/31 (2011), paras 20-44. </w:t>
      </w:r>
    </w:p>
  </w:footnote>
  <w:footnote w:id="25">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See for instance, Europol, </w:t>
      </w:r>
      <w:r w:rsidRPr="003B35C4">
        <w:rPr>
          <w:rFonts w:ascii="Times New Roman" w:hAnsi="Times New Roman" w:cs="Times New Roman"/>
          <w:i/>
        </w:rPr>
        <w:t>Threat Assessment 2013: Environmental Crime in the EU</w:t>
      </w:r>
      <w:r w:rsidRPr="003B35C4">
        <w:rPr>
          <w:rFonts w:ascii="Times New Roman" w:hAnsi="Times New Roman" w:cs="Times New Roman"/>
        </w:rPr>
        <w:t xml:space="preserve">.  It was reported in 2011 that mafias are earning as much as €20 Billion from dumping wastes.  </w:t>
      </w:r>
    </w:p>
  </w:footnote>
  <w:footnote w:id="26">
    <w:p w:rsidR="003B5ED2" w:rsidRPr="003B35C4" w:rsidRDefault="003B5ED2" w:rsidP="00DE3534">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Art 1 Protocol 1 to the European Convention on Human Rights 1952, ETS No.9; Art 21 ACHR; and Art 14 African Charter.  </w:t>
      </w:r>
    </w:p>
  </w:footnote>
  <w:footnote w:id="27">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Europol</w:t>
      </w:r>
      <w:r w:rsidRPr="003B35C4">
        <w:rPr>
          <w:rFonts w:ascii="Times New Roman" w:hAnsi="Times New Roman" w:cs="Times New Roman"/>
          <w:i/>
        </w:rPr>
        <w:t>, Serious and Organised Crime Threat Assessment 2017</w:t>
      </w:r>
      <w:r w:rsidRPr="003B35C4">
        <w:rPr>
          <w:rFonts w:ascii="Times New Roman" w:hAnsi="Times New Roman" w:cs="Times New Roman"/>
        </w:rPr>
        <w:t xml:space="preserve">, 47-48. </w:t>
      </w:r>
    </w:p>
  </w:footnote>
  <w:footnote w:id="28">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A66760">
        <w:rPr>
          <w:rFonts w:ascii="Times New Roman" w:hAnsi="Times New Roman" w:cs="Times New Roman"/>
          <w:i/>
        </w:rPr>
        <w:t>Ibid</w:t>
      </w:r>
      <w:r w:rsidRPr="003B35C4">
        <w:rPr>
          <w:rFonts w:ascii="Times New Roman" w:hAnsi="Times New Roman" w:cs="Times New Roman"/>
        </w:rPr>
        <w:t xml:space="preserve">, 32.  </w:t>
      </w:r>
    </w:p>
  </w:footnote>
  <w:footnote w:id="29">
    <w:p w:rsidR="003B5ED2" w:rsidRPr="003B35C4" w:rsidRDefault="003B5ED2" w:rsidP="00EA6BDE">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 xml:space="preserve">Final Study on Illicit Flows, Human Rights, and the 2030 Agenda for Sustainable Development of the Independent Expert on the Effects of Foreign Debt and Other Related International Financial Obligations of States </w:t>
      </w:r>
      <w:r>
        <w:rPr>
          <w:rFonts w:ascii="Times New Roman" w:hAnsi="Times New Roman" w:cs="Times New Roman"/>
          <w:i/>
        </w:rPr>
        <w:t>on</w:t>
      </w:r>
      <w:r w:rsidRPr="003B35C4">
        <w:rPr>
          <w:rFonts w:ascii="Times New Roman" w:hAnsi="Times New Roman" w:cs="Times New Roman"/>
          <w:i/>
        </w:rPr>
        <w:t xml:space="preserve"> Full Realisation of All Human Rights, Particularly Economic, Social and Cultural Rights</w:t>
      </w:r>
      <w:r w:rsidRPr="003B35C4">
        <w:rPr>
          <w:rFonts w:ascii="Times New Roman" w:hAnsi="Times New Roman" w:cs="Times New Roman"/>
        </w:rPr>
        <w:t>, A/HRC/31/61 (2016), para</w:t>
      </w:r>
      <w:r>
        <w:rPr>
          <w:rFonts w:ascii="Times New Roman" w:hAnsi="Times New Roman" w:cs="Times New Roman"/>
        </w:rPr>
        <w:t xml:space="preserve"> </w:t>
      </w:r>
      <w:r w:rsidRPr="003B35C4">
        <w:rPr>
          <w:rFonts w:ascii="Times New Roman" w:hAnsi="Times New Roman" w:cs="Times New Roman"/>
        </w:rPr>
        <w:t xml:space="preserve">21.  </w:t>
      </w:r>
    </w:p>
  </w:footnote>
  <w:footnote w:id="30">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 on the Combined Second to Fourth Periodic Reports of Afghanistan</w:t>
      </w:r>
      <w:r w:rsidRPr="003B35C4">
        <w:rPr>
          <w:rFonts w:ascii="Times New Roman" w:hAnsi="Times New Roman" w:cs="Times New Roman"/>
        </w:rPr>
        <w:t>, E/CN.12/AFG/CO/2-4 (2010), para 44.</w:t>
      </w:r>
    </w:p>
  </w:footnote>
  <w:footnote w:id="3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Independent International Commission on Inquiry on the Syrian Arab Republic</w:t>
      </w:r>
      <w:r w:rsidRPr="003B35C4">
        <w:rPr>
          <w:rFonts w:ascii="Times New Roman" w:hAnsi="Times New Roman" w:cs="Times New Roman"/>
        </w:rPr>
        <w:t xml:space="preserve">, A/HRC/31/68 (2016), para 138; and Tim Van Lit, </w:t>
      </w:r>
      <w:r w:rsidRPr="003B35C4">
        <w:rPr>
          <w:rFonts w:ascii="Times New Roman" w:hAnsi="Times New Roman" w:cs="Times New Roman"/>
          <w:i/>
        </w:rPr>
        <w:t>Destruction, Plunder and Trafficking of Cultural Property and Heritage by Islamic State in Syria and Iraq – A War Crime Perspective</w:t>
      </w:r>
      <w:r w:rsidRPr="003B35C4">
        <w:rPr>
          <w:rFonts w:ascii="Times New Roman" w:hAnsi="Times New Roman" w:cs="Times New Roman"/>
        </w:rPr>
        <w:t xml:space="preserve"> (War Crime Unit, Dutch National Police 2016).  </w:t>
      </w:r>
    </w:p>
  </w:footnote>
  <w:footnote w:id="32">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Channing May, </w:t>
      </w:r>
      <w:r w:rsidRPr="003B35C4">
        <w:rPr>
          <w:rFonts w:ascii="Times New Roman" w:hAnsi="Times New Roman" w:cs="Times New Roman"/>
          <w:i/>
        </w:rPr>
        <w:t>Transnational Crime and the Developing World</w:t>
      </w:r>
      <w:r w:rsidRPr="003B35C4">
        <w:rPr>
          <w:rFonts w:ascii="Times New Roman" w:hAnsi="Times New Roman" w:cs="Times New Roman"/>
        </w:rPr>
        <w:t xml:space="preserve"> (Global Financial Security 2017), 25.  </w:t>
      </w:r>
    </w:p>
  </w:footnote>
  <w:footnote w:id="33">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Council of Europe, </w:t>
      </w:r>
      <w:r w:rsidRPr="003B35C4">
        <w:rPr>
          <w:rFonts w:ascii="Times New Roman" w:hAnsi="Times New Roman" w:cs="Times New Roman"/>
          <w:i/>
        </w:rPr>
        <w:t>Explanatory Report to the Council of Europe Convention on Offences Relating to Cultural Property</w:t>
      </w:r>
      <w:r w:rsidRPr="003B35C4">
        <w:rPr>
          <w:rFonts w:ascii="Times New Roman" w:hAnsi="Times New Roman" w:cs="Times New Roman"/>
        </w:rPr>
        <w:t xml:space="preserve"> (Council of Europe 2017); and Interpol, </w:t>
      </w:r>
      <w:r w:rsidRPr="003B35C4">
        <w:rPr>
          <w:rFonts w:ascii="Times New Roman" w:hAnsi="Times New Roman" w:cs="Times New Roman"/>
          <w:i/>
        </w:rPr>
        <w:t>Protecting Cultural Heritage: An Imperative for Humanity</w:t>
      </w:r>
      <w:r w:rsidRPr="003B35C4">
        <w:rPr>
          <w:rFonts w:ascii="Times New Roman" w:hAnsi="Times New Roman" w:cs="Times New Roman"/>
        </w:rPr>
        <w:t xml:space="preserve"> (Interpol 2016). </w:t>
      </w:r>
    </w:p>
  </w:footnote>
  <w:footnote w:id="34">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Greg </w:t>
      </w:r>
      <w:proofErr w:type="spellStart"/>
      <w:r w:rsidRPr="003B35C4">
        <w:rPr>
          <w:rFonts w:ascii="Times New Roman" w:hAnsi="Times New Roman" w:cs="Times New Roman"/>
        </w:rPr>
        <w:t>Borgstede</w:t>
      </w:r>
      <w:proofErr w:type="spellEnd"/>
      <w:r w:rsidRPr="003B35C4">
        <w:rPr>
          <w:rFonts w:ascii="Times New Roman" w:hAnsi="Times New Roman" w:cs="Times New Roman"/>
        </w:rPr>
        <w:t xml:space="preserve">, ‘Cultural Property, the Palermo Convention, and Transnational Organised Crime’ (2014) 21 </w:t>
      </w:r>
      <w:r w:rsidRPr="003B35C4">
        <w:rPr>
          <w:rFonts w:ascii="Times New Roman" w:hAnsi="Times New Roman" w:cs="Times New Roman"/>
          <w:i/>
        </w:rPr>
        <w:t>International Journal of Cultural Property</w:t>
      </w:r>
      <w:r w:rsidRPr="003B35C4">
        <w:rPr>
          <w:rFonts w:ascii="Times New Roman" w:hAnsi="Times New Roman" w:cs="Times New Roman"/>
        </w:rPr>
        <w:t xml:space="preserve"> 281, 284.  </w:t>
      </w:r>
    </w:p>
  </w:footnote>
  <w:footnote w:id="35">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Special Rapporteur in the Field of Cultural Rights</w:t>
      </w:r>
      <w:r w:rsidRPr="003B35C4">
        <w:rPr>
          <w:rFonts w:ascii="Times New Roman" w:hAnsi="Times New Roman" w:cs="Times New Roman"/>
        </w:rPr>
        <w:t>, A/71/317 (2016), para</w:t>
      </w:r>
      <w:r>
        <w:rPr>
          <w:rFonts w:ascii="Times New Roman" w:hAnsi="Times New Roman" w:cs="Times New Roman"/>
        </w:rPr>
        <w:t xml:space="preserve"> </w:t>
      </w:r>
      <w:r w:rsidRPr="003B35C4">
        <w:rPr>
          <w:rFonts w:ascii="Times New Roman" w:hAnsi="Times New Roman" w:cs="Times New Roman"/>
        </w:rPr>
        <w:t>2.</w:t>
      </w:r>
    </w:p>
  </w:footnote>
  <w:footnote w:id="36">
    <w:p w:rsidR="003B5ED2" w:rsidRPr="003B35C4" w:rsidRDefault="003B5ED2" w:rsidP="00725751">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Expert Mechanism Advice No. 8: Promotion and Protection of the Rights of Indigenous Peoples with Respect to Their Cultural Heritage</w:t>
      </w:r>
      <w:r w:rsidRPr="003B35C4">
        <w:rPr>
          <w:rFonts w:ascii="Times New Roman" w:hAnsi="Times New Roman" w:cs="Times New Roman"/>
        </w:rPr>
        <w:t xml:space="preserve">, A/HRC/30/53 (2015), Annex, para 1.  </w:t>
      </w:r>
    </w:p>
  </w:footnote>
  <w:footnote w:id="37">
    <w:p w:rsidR="003B5ED2" w:rsidRPr="003B35C4" w:rsidRDefault="003B5ED2" w:rsidP="0083338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Human Rights Committee, </w:t>
      </w:r>
      <w:r w:rsidRPr="003B35C4">
        <w:rPr>
          <w:rFonts w:ascii="Times New Roman" w:hAnsi="Times New Roman" w:cs="Times New Roman"/>
          <w:i/>
        </w:rPr>
        <w:t>General Comment No. 23 (Article 27: Rights of Minorities)</w:t>
      </w:r>
      <w:r w:rsidRPr="003B35C4">
        <w:rPr>
          <w:rFonts w:ascii="Times New Roman" w:hAnsi="Times New Roman" w:cs="Times New Roman"/>
        </w:rPr>
        <w:t xml:space="preserve">, CCPR/C/21/Rev.1/Add.5 (1994), para 7; and Committee on Economic, Social and Cultural Rights, </w:t>
      </w:r>
      <w:r w:rsidRPr="003B35C4">
        <w:rPr>
          <w:rFonts w:ascii="Times New Roman" w:hAnsi="Times New Roman" w:cs="Times New Roman"/>
          <w:i/>
        </w:rPr>
        <w:t>General Comment No. 21 (Right to Take Part in Cultural Life)</w:t>
      </w:r>
      <w:r w:rsidRPr="003B35C4">
        <w:rPr>
          <w:rFonts w:ascii="Times New Roman" w:hAnsi="Times New Roman" w:cs="Times New Roman"/>
        </w:rPr>
        <w:t>, E/C.12/GC/21(2009), para 36.</w:t>
      </w:r>
    </w:p>
  </w:footnote>
  <w:footnote w:id="38">
    <w:p w:rsidR="003B5ED2" w:rsidRPr="003B35C4" w:rsidRDefault="003B5ED2" w:rsidP="00987C11">
      <w:pPr>
        <w:spacing w:after="0"/>
        <w:rPr>
          <w:rFonts w:ascii="Times New Roman" w:eastAsia="Times New Roman" w:hAnsi="Times New Roman" w:cs="Times New Roman"/>
          <w:sz w:val="20"/>
          <w:szCs w:val="20"/>
        </w:rPr>
      </w:pPr>
      <w:r w:rsidRPr="003B35C4">
        <w:rPr>
          <w:rStyle w:val="FootnoteReference"/>
          <w:rFonts w:ascii="Times New Roman" w:hAnsi="Times New Roman" w:cs="Times New Roman"/>
          <w:sz w:val="20"/>
          <w:szCs w:val="20"/>
        </w:rPr>
        <w:footnoteRef/>
      </w:r>
      <w:r w:rsidRPr="003B35C4">
        <w:rPr>
          <w:rFonts w:ascii="Times New Roman" w:hAnsi="Times New Roman" w:cs="Times New Roman"/>
          <w:sz w:val="20"/>
          <w:szCs w:val="20"/>
        </w:rPr>
        <w:t xml:space="preserve"> </w:t>
      </w:r>
      <w:r w:rsidRPr="003B35C4">
        <w:rPr>
          <w:rFonts w:ascii="Times New Roman" w:eastAsia="Times New Roman" w:hAnsi="Times New Roman" w:cs="Times New Roman"/>
          <w:i/>
          <w:sz w:val="20"/>
          <w:szCs w:val="20"/>
        </w:rPr>
        <w:t>Malawi African Association and Others v. Mauritania</w:t>
      </w:r>
      <w:r w:rsidRPr="003B35C4">
        <w:rPr>
          <w:rFonts w:ascii="Times New Roman" w:eastAsia="Times New Roman" w:hAnsi="Times New Roman" w:cs="Times New Roman"/>
          <w:sz w:val="20"/>
          <w:szCs w:val="20"/>
        </w:rPr>
        <w:t xml:space="preserve"> (2000), </w:t>
      </w:r>
      <w:r w:rsidRPr="003B35C4">
        <w:rPr>
          <w:rFonts w:ascii="Times New Roman" w:hAnsi="Times New Roman" w:cs="Times New Roman"/>
          <w:sz w:val="20"/>
          <w:szCs w:val="20"/>
        </w:rPr>
        <w:t xml:space="preserve">Comm. Nos. 54/91, 61/91, 98/93, 164/97, 196/97 and 210/98, </w:t>
      </w:r>
      <w:r w:rsidRPr="003B35C4">
        <w:rPr>
          <w:rFonts w:ascii="Times New Roman" w:eastAsia="Times New Roman" w:hAnsi="Times New Roman" w:cs="Times New Roman"/>
          <w:sz w:val="20"/>
          <w:szCs w:val="20"/>
        </w:rPr>
        <w:t>para</w:t>
      </w:r>
      <w:r>
        <w:rPr>
          <w:rFonts w:ascii="Times New Roman" w:eastAsia="Times New Roman" w:hAnsi="Times New Roman" w:cs="Times New Roman"/>
          <w:sz w:val="20"/>
          <w:szCs w:val="20"/>
        </w:rPr>
        <w:t xml:space="preserve"> </w:t>
      </w:r>
      <w:r w:rsidRPr="003B35C4">
        <w:rPr>
          <w:rFonts w:ascii="Times New Roman" w:eastAsia="Times New Roman" w:hAnsi="Times New Roman" w:cs="Times New Roman"/>
          <w:sz w:val="20"/>
          <w:szCs w:val="20"/>
        </w:rPr>
        <w:t xml:space="preserve">127; </w:t>
      </w:r>
      <w:r w:rsidRPr="003B35C4">
        <w:rPr>
          <w:rFonts w:ascii="Times New Roman" w:eastAsia="Times New Roman" w:hAnsi="Times New Roman" w:cs="Times New Roman"/>
          <w:i/>
          <w:sz w:val="20"/>
          <w:szCs w:val="20"/>
        </w:rPr>
        <w:t xml:space="preserve">The </w:t>
      </w:r>
      <w:proofErr w:type="spellStart"/>
      <w:r w:rsidRPr="003B35C4">
        <w:rPr>
          <w:rFonts w:ascii="Times New Roman" w:eastAsia="Times New Roman" w:hAnsi="Times New Roman" w:cs="Times New Roman"/>
          <w:i/>
          <w:sz w:val="20"/>
          <w:szCs w:val="20"/>
        </w:rPr>
        <w:t>Mayagna</w:t>
      </w:r>
      <w:proofErr w:type="spellEnd"/>
      <w:r w:rsidRPr="003B35C4">
        <w:rPr>
          <w:rFonts w:ascii="Times New Roman" w:eastAsia="Times New Roman" w:hAnsi="Times New Roman" w:cs="Times New Roman"/>
          <w:i/>
          <w:sz w:val="20"/>
          <w:szCs w:val="20"/>
        </w:rPr>
        <w:t xml:space="preserve"> (Sumo) </w:t>
      </w:r>
      <w:proofErr w:type="spellStart"/>
      <w:r w:rsidRPr="003B35C4">
        <w:rPr>
          <w:rFonts w:ascii="Times New Roman" w:eastAsia="Times New Roman" w:hAnsi="Times New Roman" w:cs="Times New Roman"/>
          <w:i/>
          <w:sz w:val="20"/>
          <w:szCs w:val="20"/>
        </w:rPr>
        <w:t>Awas</w:t>
      </w:r>
      <w:proofErr w:type="spellEnd"/>
      <w:r w:rsidRPr="003B35C4">
        <w:rPr>
          <w:rFonts w:ascii="Times New Roman" w:eastAsia="Times New Roman" w:hAnsi="Times New Roman" w:cs="Times New Roman"/>
          <w:i/>
          <w:sz w:val="20"/>
          <w:szCs w:val="20"/>
        </w:rPr>
        <w:t xml:space="preserve"> </w:t>
      </w:r>
      <w:proofErr w:type="spellStart"/>
      <w:r w:rsidRPr="003B35C4">
        <w:rPr>
          <w:rFonts w:ascii="Times New Roman" w:eastAsia="Times New Roman" w:hAnsi="Times New Roman" w:cs="Times New Roman"/>
          <w:i/>
          <w:sz w:val="20"/>
          <w:szCs w:val="20"/>
        </w:rPr>
        <w:t>Tingni</w:t>
      </w:r>
      <w:proofErr w:type="spellEnd"/>
      <w:r w:rsidRPr="003B35C4">
        <w:rPr>
          <w:rFonts w:ascii="Times New Roman" w:eastAsia="Times New Roman" w:hAnsi="Times New Roman" w:cs="Times New Roman"/>
          <w:i/>
          <w:sz w:val="20"/>
          <w:szCs w:val="20"/>
        </w:rPr>
        <w:t xml:space="preserve"> v Nicaragua</w:t>
      </w:r>
      <w:r w:rsidRPr="003B35C4">
        <w:rPr>
          <w:rFonts w:ascii="Times New Roman" w:eastAsia="Times New Roman" w:hAnsi="Times New Roman" w:cs="Times New Roman"/>
          <w:sz w:val="20"/>
          <w:szCs w:val="20"/>
        </w:rPr>
        <w:t xml:space="preserve"> (2001), Ser. C, No. 79, para 148; and </w:t>
      </w:r>
      <w:proofErr w:type="spellStart"/>
      <w:r w:rsidRPr="003B35C4">
        <w:rPr>
          <w:rFonts w:ascii="Times New Roman" w:eastAsia="Times New Roman" w:hAnsi="Times New Roman" w:cs="Times New Roman"/>
          <w:i/>
          <w:sz w:val="20"/>
          <w:szCs w:val="20"/>
        </w:rPr>
        <w:t>Saramaka</w:t>
      </w:r>
      <w:proofErr w:type="spellEnd"/>
      <w:r w:rsidRPr="003B35C4">
        <w:rPr>
          <w:rFonts w:ascii="Times New Roman" w:eastAsia="Times New Roman" w:hAnsi="Times New Roman" w:cs="Times New Roman"/>
          <w:i/>
          <w:sz w:val="20"/>
          <w:szCs w:val="20"/>
        </w:rPr>
        <w:t xml:space="preserve"> People v Suriname</w:t>
      </w:r>
      <w:r w:rsidRPr="003B35C4">
        <w:rPr>
          <w:rFonts w:ascii="Times New Roman" w:eastAsia="Times New Roman" w:hAnsi="Times New Roman" w:cs="Times New Roman"/>
          <w:sz w:val="20"/>
          <w:szCs w:val="20"/>
        </w:rPr>
        <w:t xml:space="preserve"> (2007), Ser. C, No. 172, paras 119-121.  </w:t>
      </w:r>
    </w:p>
  </w:footnote>
  <w:footnote w:id="39">
    <w:p w:rsidR="003B5ED2" w:rsidRPr="003B35C4" w:rsidRDefault="003B5ED2" w:rsidP="00987C11">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United Nations Office of Drugs and Crime, </w:t>
      </w:r>
      <w:r w:rsidRPr="003B35C4">
        <w:rPr>
          <w:rFonts w:ascii="Times New Roman" w:hAnsi="Times New Roman" w:cs="Times New Roman"/>
          <w:i/>
        </w:rPr>
        <w:t>World Wildlife Crime Report</w:t>
      </w:r>
      <w:r w:rsidRPr="003B35C4">
        <w:rPr>
          <w:rFonts w:ascii="Times New Roman" w:hAnsi="Times New Roman" w:cs="Times New Roman"/>
        </w:rPr>
        <w:t xml:space="preserve"> (2016); Christian-Florin Popescu, ‘Environmental Protection and Illegal Trafficking in Wild Fauna and Flora’ (2013) 2 </w:t>
      </w:r>
      <w:r w:rsidRPr="003B35C4">
        <w:rPr>
          <w:rFonts w:ascii="Times New Roman" w:hAnsi="Times New Roman" w:cs="Times New Roman"/>
          <w:i/>
        </w:rPr>
        <w:t>Public Security Studies</w:t>
      </w:r>
      <w:r w:rsidRPr="003B35C4">
        <w:rPr>
          <w:rFonts w:ascii="Times New Roman" w:hAnsi="Times New Roman" w:cs="Times New Roman"/>
        </w:rPr>
        <w:t xml:space="preserve"> 51; Marcus Asner, ‘To Catch a Wildlife Thief: Strategies and Suggestions for the Fight against Illegal Wildlife Trafficking’ (2016) 12 </w:t>
      </w:r>
      <w:r w:rsidRPr="003B35C4">
        <w:rPr>
          <w:rFonts w:ascii="Times New Roman" w:hAnsi="Times New Roman" w:cs="Times New Roman"/>
          <w:i/>
        </w:rPr>
        <w:t>University of Pennsylvania Asian Law Review</w:t>
      </w:r>
      <w:r w:rsidRPr="003B35C4">
        <w:rPr>
          <w:rFonts w:ascii="Times New Roman" w:hAnsi="Times New Roman" w:cs="Times New Roman"/>
        </w:rPr>
        <w:t xml:space="preserve"> 1; Anastasia </w:t>
      </w:r>
      <w:proofErr w:type="spellStart"/>
      <w:r w:rsidRPr="003B35C4">
        <w:rPr>
          <w:rFonts w:ascii="Times New Roman" w:hAnsi="Times New Roman" w:cs="Times New Roman"/>
        </w:rPr>
        <w:t>Telesetsky</w:t>
      </w:r>
      <w:proofErr w:type="spellEnd"/>
      <w:r w:rsidRPr="003B35C4">
        <w:rPr>
          <w:rFonts w:ascii="Times New Roman" w:hAnsi="Times New Roman" w:cs="Times New Roman"/>
        </w:rPr>
        <w:t xml:space="preserve">, ‘Laundering Fish in Global Undercurrents: Illegal, Unreported and Unregulated Fishing and Transnational Organized Crime’ (2014) 41 </w:t>
      </w:r>
      <w:r w:rsidRPr="003B35C4">
        <w:rPr>
          <w:rFonts w:ascii="Times New Roman" w:hAnsi="Times New Roman" w:cs="Times New Roman"/>
          <w:i/>
        </w:rPr>
        <w:t>Ecology Law Quarterly</w:t>
      </w:r>
      <w:r w:rsidRPr="003B35C4">
        <w:rPr>
          <w:rFonts w:ascii="Times New Roman" w:hAnsi="Times New Roman" w:cs="Times New Roman"/>
        </w:rPr>
        <w:t xml:space="preserve"> 939; David Barron, ‘How Illegal Wildlife Trade is Fuelling Armed Conflicts’ (2015) 16 </w:t>
      </w:r>
      <w:r w:rsidRPr="003B35C4">
        <w:rPr>
          <w:rFonts w:ascii="Times New Roman" w:hAnsi="Times New Roman" w:cs="Times New Roman"/>
          <w:i/>
        </w:rPr>
        <w:t>Georgetown Journal of International Affairs</w:t>
      </w:r>
      <w:r w:rsidRPr="003B35C4">
        <w:rPr>
          <w:rFonts w:ascii="Times New Roman" w:hAnsi="Times New Roman" w:cs="Times New Roman"/>
        </w:rPr>
        <w:t xml:space="preserve"> 217; and Julie </w:t>
      </w:r>
      <w:proofErr w:type="spellStart"/>
      <w:r w:rsidRPr="003B35C4">
        <w:rPr>
          <w:rFonts w:ascii="Times New Roman" w:hAnsi="Times New Roman" w:cs="Times New Roman"/>
        </w:rPr>
        <w:t>Ayling</w:t>
      </w:r>
      <w:proofErr w:type="spellEnd"/>
      <w:r w:rsidRPr="003B35C4">
        <w:rPr>
          <w:rFonts w:ascii="Times New Roman" w:hAnsi="Times New Roman" w:cs="Times New Roman"/>
        </w:rPr>
        <w:t xml:space="preserve">, ‘What Sustains Wildlife Crime? Rhino Horn Trading and the Resilience of Criminal Networks’ (2013) 15 </w:t>
      </w:r>
      <w:r w:rsidRPr="003B35C4">
        <w:rPr>
          <w:rFonts w:ascii="Times New Roman" w:hAnsi="Times New Roman" w:cs="Times New Roman"/>
          <w:i/>
        </w:rPr>
        <w:t>Journal of International Wildlife Law and Policy</w:t>
      </w:r>
      <w:r w:rsidRPr="003B35C4">
        <w:rPr>
          <w:rFonts w:ascii="Times New Roman" w:hAnsi="Times New Roman" w:cs="Times New Roman"/>
        </w:rPr>
        <w:t xml:space="preserve"> 57.    </w:t>
      </w:r>
    </w:p>
  </w:footnote>
  <w:footnote w:id="40">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 xml:space="preserve">Roy </w:t>
      </w:r>
      <w:proofErr w:type="spellStart"/>
      <w:r w:rsidRPr="003B35C4">
        <w:rPr>
          <w:rFonts w:ascii="Times New Roman" w:hAnsi="Times New Roman" w:cs="Times New Roman"/>
          <w:i/>
        </w:rPr>
        <w:t>Sesana</w:t>
      </w:r>
      <w:proofErr w:type="spellEnd"/>
      <w:r w:rsidRPr="003B35C4">
        <w:rPr>
          <w:rFonts w:ascii="Times New Roman" w:hAnsi="Times New Roman" w:cs="Times New Roman"/>
          <w:i/>
        </w:rPr>
        <w:t xml:space="preserve"> v Attorney General</w:t>
      </w:r>
      <w:r w:rsidRPr="003B35C4">
        <w:rPr>
          <w:rFonts w:ascii="Times New Roman" w:hAnsi="Times New Roman" w:cs="Times New Roman"/>
        </w:rPr>
        <w:t xml:space="preserve">, 2006 African Human Rights Report 183, para 55.  See also cases before the UN Human Rights Committee, </w:t>
      </w:r>
      <w:r w:rsidRPr="003B35C4">
        <w:rPr>
          <w:rStyle w:val="Emphasis"/>
          <w:rFonts w:ascii="Times New Roman" w:hAnsi="Times New Roman" w:cs="Times New Roman"/>
        </w:rPr>
        <w:t xml:space="preserve">Ivan </w:t>
      </w:r>
      <w:proofErr w:type="spellStart"/>
      <w:r w:rsidRPr="003B35C4">
        <w:rPr>
          <w:rStyle w:val="Emphasis"/>
          <w:rFonts w:ascii="Times New Roman" w:hAnsi="Times New Roman" w:cs="Times New Roman"/>
        </w:rPr>
        <w:t>Kitok</w:t>
      </w:r>
      <w:proofErr w:type="spellEnd"/>
      <w:r w:rsidRPr="003B35C4">
        <w:rPr>
          <w:rStyle w:val="Emphasis"/>
          <w:rFonts w:ascii="Times New Roman" w:hAnsi="Times New Roman" w:cs="Times New Roman"/>
        </w:rPr>
        <w:t xml:space="preserve"> v Sweden,</w:t>
      </w:r>
      <w:r w:rsidRPr="003B35C4">
        <w:rPr>
          <w:rFonts w:ascii="Times New Roman" w:hAnsi="Times New Roman" w:cs="Times New Roman"/>
        </w:rPr>
        <w:t xml:space="preserve"> Communication No. 197/1985, </w:t>
      </w:r>
      <w:r w:rsidRPr="003B35C4">
        <w:rPr>
          <w:rFonts w:ascii="Times New Roman" w:hAnsi="Times New Roman" w:cs="Times New Roman"/>
          <w:bCs/>
        </w:rPr>
        <w:t>CCPR/C/33/D/197/1985</w:t>
      </w:r>
      <w:r w:rsidRPr="003B35C4">
        <w:rPr>
          <w:rFonts w:ascii="Times New Roman" w:hAnsi="Times New Roman" w:cs="Times New Roman"/>
        </w:rPr>
        <w:t xml:space="preserve"> (1998); </w:t>
      </w:r>
      <w:r w:rsidRPr="003B35C4">
        <w:rPr>
          <w:rStyle w:val="Emphasis"/>
          <w:rFonts w:ascii="Times New Roman" w:hAnsi="Times New Roman" w:cs="Times New Roman"/>
        </w:rPr>
        <w:t>Lubicon Lake Band v Canada,</w:t>
      </w:r>
      <w:r w:rsidRPr="003B35C4">
        <w:rPr>
          <w:rFonts w:ascii="Times New Roman" w:hAnsi="Times New Roman" w:cs="Times New Roman"/>
        </w:rPr>
        <w:t xml:space="preserve"> Communication No.167/1984, CCPR/C/38/D/167/1984 (1990); and </w:t>
      </w:r>
      <w:proofErr w:type="spellStart"/>
      <w:r w:rsidRPr="003B35C4">
        <w:rPr>
          <w:rStyle w:val="Emphasis"/>
          <w:rFonts w:ascii="Times New Roman" w:hAnsi="Times New Roman" w:cs="Times New Roman"/>
        </w:rPr>
        <w:t>Hopu</w:t>
      </w:r>
      <w:proofErr w:type="spellEnd"/>
      <w:r w:rsidRPr="003B35C4">
        <w:rPr>
          <w:rStyle w:val="Emphasis"/>
          <w:rFonts w:ascii="Times New Roman" w:hAnsi="Times New Roman" w:cs="Times New Roman"/>
        </w:rPr>
        <w:t xml:space="preserve"> and </w:t>
      </w:r>
      <w:proofErr w:type="spellStart"/>
      <w:r w:rsidRPr="003B35C4">
        <w:rPr>
          <w:rStyle w:val="Emphasis"/>
          <w:rFonts w:ascii="Times New Roman" w:hAnsi="Times New Roman" w:cs="Times New Roman"/>
        </w:rPr>
        <w:t>Bessert</w:t>
      </w:r>
      <w:proofErr w:type="spellEnd"/>
      <w:r w:rsidRPr="003B35C4">
        <w:rPr>
          <w:rStyle w:val="Emphasis"/>
          <w:rFonts w:ascii="Times New Roman" w:hAnsi="Times New Roman" w:cs="Times New Roman"/>
        </w:rPr>
        <w:t xml:space="preserve"> v France,</w:t>
      </w:r>
      <w:r w:rsidRPr="003B35C4">
        <w:rPr>
          <w:rFonts w:ascii="Times New Roman" w:hAnsi="Times New Roman" w:cs="Times New Roman"/>
        </w:rPr>
        <w:t xml:space="preserve"> Communication No. 549/1993, </w:t>
      </w:r>
      <w:r w:rsidRPr="003B35C4">
        <w:rPr>
          <w:rStyle w:val="Strong"/>
          <w:rFonts w:ascii="Times New Roman" w:hAnsi="Times New Roman" w:cs="Times New Roman"/>
          <w:b w:val="0"/>
        </w:rPr>
        <w:t>CCPR/C/60/D/549/1993/Rev.1</w:t>
      </w:r>
      <w:r w:rsidRPr="003B35C4">
        <w:rPr>
          <w:rFonts w:ascii="Times New Roman" w:hAnsi="Times New Roman" w:cs="Times New Roman"/>
        </w:rPr>
        <w:t xml:space="preserve"> (1997).</w:t>
      </w:r>
    </w:p>
  </w:footnote>
  <w:footnote w:id="4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Special Rapporteur on the Rights of Indigenous Peoples</w:t>
      </w:r>
      <w:r w:rsidRPr="003B35C4">
        <w:rPr>
          <w:rFonts w:ascii="Times New Roman" w:hAnsi="Times New Roman" w:cs="Times New Roman"/>
        </w:rPr>
        <w:t xml:space="preserve">, A/71/229 (2016), para. 51; Amanda Barratt and </w:t>
      </w:r>
      <w:proofErr w:type="spellStart"/>
      <w:r w:rsidRPr="003B35C4">
        <w:rPr>
          <w:rFonts w:ascii="Times New Roman" w:hAnsi="Times New Roman" w:cs="Times New Roman"/>
        </w:rPr>
        <w:t>Ashimizo</w:t>
      </w:r>
      <w:proofErr w:type="spellEnd"/>
      <w:r w:rsidRPr="003B35C4">
        <w:rPr>
          <w:rFonts w:ascii="Times New Roman" w:hAnsi="Times New Roman" w:cs="Times New Roman"/>
        </w:rPr>
        <w:t xml:space="preserve"> </w:t>
      </w:r>
      <w:proofErr w:type="spellStart"/>
      <w:r w:rsidRPr="003B35C4">
        <w:rPr>
          <w:rFonts w:ascii="Times New Roman" w:hAnsi="Times New Roman" w:cs="Times New Roman"/>
        </w:rPr>
        <w:t>Afadameh</w:t>
      </w:r>
      <w:proofErr w:type="spellEnd"/>
      <w:r w:rsidRPr="003B35C4">
        <w:rPr>
          <w:rFonts w:ascii="Times New Roman" w:hAnsi="Times New Roman" w:cs="Times New Roman"/>
        </w:rPr>
        <w:t xml:space="preserve">-Adeyemi, ‘Indigenous Peoples and the Right to Culture: The Potential Significance for African Indigenous Communities of the Committee on Economic, Social and Cultural Rights’ General Comment No. 21’ (2011) 11 </w:t>
      </w:r>
      <w:r w:rsidRPr="003B35C4">
        <w:rPr>
          <w:rFonts w:ascii="Times New Roman" w:hAnsi="Times New Roman" w:cs="Times New Roman"/>
          <w:i/>
        </w:rPr>
        <w:t>African Human Rights Law Journal</w:t>
      </w:r>
      <w:r w:rsidRPr="003B35C4">
        <w:rPr>
          <w:rFonts w:ascii="Times New Roman" w:hAnsi="Times New Roman" w:cs="Times New Roman"/>
        </w:rPr>
        <w:t xml:space="preserve"> 560, 568-569.   </w:t>
      </w:r>
    </w:p>
  </w:footnote>
  <w:footnote w:id="42">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 xml:space="preserve">Report of the Special </w:t>
      </w:r>
      <w:proofErr w:type="spellStart"/>
      <w:r w:rsidRPr="003B35C4">
        <w:rPr>
          <w:rFonts w:ascii="Times New Roman" w:hAnsi="Times New Roman" w:cs="Times New Roman"/>
          <w:i/>
        </w:rPr>
        <w:t>Rapporterur</w:t>
      </w:r>
      <w:proofErr w:type="spellEnd"/>
      <w:r w:rsidRPr="003B35C4">
        <w:rPr>
          <w:rFonts w:ascii="Times New Roman" w:hAnsi="Times New Roman" w:cs="Times New Roman"/>
          <w:i/>
        </w:rPr>
        <w:t xml:space="preserve"> on the Issue of Human Rights Relating to the Enjoyment of Safe, Clean Healthy and Sustainable Environment, On His Visit to Madagascar</w:t>
      </w:r>
      <w:r w:rsidRPr="003B35C4">
        <w:rPr>
          <w:rFonts w:ascii="Times New Roman" w:hAnsi="Times New Roman" w:cs="Times New Roman"/>
        </w:rPr>
        <w:t>, A/HRC/34/49 (2017), para</w:t>
      </w:r>
      <w:r>
        <w:rPr>
          <w:rFonts w:ascii="Times New Roman" w:hAnsi="Times New Roman" w:cs="Times New Roman"/>
        </w:rPr>
        <w:t xml:space="preserve"> </w:t>
      </w:r>
      <w:r w:rsidRPr="003B35C4">
        <w:rPr>
          <w:rFonts w:ascii="Times New Roman" w:hAnsi="Times New Roman" w:cs="Times New Roman"/>
        </w:rPr>
        <w:t xml:space="preserve">65. </w:t>
      </w:r>
    </w:p>
  </w:footnote>
  <w:footnote w:id="43">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Final Report of the Human Rights Council Advisory Committee on the Issue of the Negative Impact of Corruption on the Enjoyment of Human Rights</w:t>
      </w:r>
      <w:r w:rsidRPr="003B35C4">
        <w:rPr>
          <w:rFonts w:ascii="Times New Roman" w:hAnsi="Times New Roman" w:cs="Times New Roman"/>
        </w:rPr>
        <w:t xml:space="preserve">, A/HRC/C/28/73 (2015), paras 11-23.   </w:t>
      </w:r>
    </w:p>
  </w:footnote>
  <w:footnote w:id="44">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611B27">
        <w:rPr>
          <w:rFonts w:ascii="Times New Roman" w:hAnsi="Times New Roman" w:cs="Times New Roman"/>
          <w:i/>
        </w:rPr>
        <w:t>Ibid</w:t>
      </w:r>
      <w:r w:rsidRPr="003B35C4">
        <w:rPr>
          <w:rFonts w:ascii="Times New Roman" w:hAnsi="Times New Roman" w:cs="Times New Roman"/>
        </w:rPr>
        <w:t>, para 19.</w:t>
      </w:r>
    </w:p>
  </w:footnote>
  <w:footnote w:id="45">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See for instance, Convention against Illicit Traffic in Narcotic Drugs and Psychotropic Substances 1988, 28 ILM 493; UNESCO Convention Concerning the Protection of the World Cultural and Natural Heritage 1972, 11 ILM 1358; Convention on the International Trade in Endangered Species of Wild Fauna and Flora 1973, 993 UNTS 243; UNESCO Convention on the Means of Prohibiting and Preventing the Illicit Import, Export and Transfer of Ownership of Cultural Property 1970, 823 UNTS 231; International Convention for the Suppression of Counterfeiting Currency 1925, 112 LNTS 371; Protocol to Prevent, Suppress and Punish Trafficking in Persons, Especially Women and Children 2000, 2237 UNTS 319; Protocol against Smuggling of Migrants by Land, Sea and Air, 2241 UNTS 507; Protocol against Illicit Manufacturing and Trafficking in Firearms, Their Parts and Components and Ammunition 2001, 2326 UNTS 208; and United Nations Convention against Corruption 2003,  2349 UNTS 41.  </w:t>
      </w:r>
    </w:p>
  </w:footnote>
  <w:footnote w:id="46">
    <w:p w:rsidR="003B5ED2" w:rsidRPr="003B35C4" w:rsidRDefault="003B5ED2" w:rsidP="00D35727">
      <w:pPr>
        <w:pStyle w:val="Heading2"/>
        <w:spacing w:before="0" w:beforeAutospacing="0" w:after="0" w:afterAutospacing="0"/>
        <w:rPr>
          <w:b w:val="0"/>
          <w:sz w:val="20"/>
          <w:szCs w:val="20"/>
        </w:rPr>
      </w:pPr>
      <w:r w:rsidRPr="003B35C4">
        <w:rPr>
          <w:rStyle w:val="FootnoteReference"/>
          <w:b w:val="0"/>
          <w:sz w:val="20"/>
          <w:szCs w:val="20"/>
        </w:rPr>
        <w:footnoteRef/>
      </w:r>
      <w:r w:rsidRPr="003B35C4">
        <w:rPr>
          <w:b w:val="0"/>
          <w:sz w:val="20"/>
          <w:szCs w:val="20"/>
        </w:rPr>
        <w:t xml:space="preserve"> See, for instance, </w:t>
      </w:r>
      <w:r w:rsidRPr="003B35C4">
        <w:rPr>
          <w:b w:val="0"/>
          <w:i/>
          <w:sz w:val="20"/>
          <w:szCs w:val="20"/>
        </w:rPr>
        <w:t>Velasquez Rodriguez v Honduras</w:t>
      </w:r>
      <w:r w:rsidRPr="003B35C4">
        <w:rPr>
          <w:b w:val="0"/>
          <w:sz w:val="20"/>
          <w:szCs w:val="20"/>
        </w:rPr>
        <w:t>,</w:t>
      </w:r>
      <w:r>
        <w:rPr>
          <w:b w:val="0"/>
          <w:sz w:val="20"/>
          <w:szCs w:val="20"/>
        </w:rPr>
        <w:t xml:space="preserve"> (</w:t>
      </w:r>
      <w:r w:rsidRPr="003B35C4">
        <w:rPr>
          <w:b w:val="0"/>
          <w:sz w:val="20"/>
          <w:szCs w:val="20"/>
        </w:rPr>
        <w:t>n</w:t>
      </w:r>
      <w:r>
        <w:rPr>
          <w:b w:val="0"/>
          <w:sz w:val="20"/>
          <w:szCs w:val="20"/>
        </w:rPr>
        <w:t xml:space="preserve"> </w:t>
      </w:r>
      <w:r w:rsidRPr="003B35C4">
        <w:rPr>
          <w:b w:val="0"/>
          <w:sz w:val="20"/>
          <w:szCs w:val="20"/>
        </w:rPr>
        <w:t>15</w:t>
      </w:r>
      <w:r>
        <w:rPr>
          <w:b w:val="0"/>
          <w:sz w:val="20"/>
          <w:szCs w:val="20"/>
        </w:rPr>
        <w:t>)</w:t>
      </w:r>
      <w:r w:rsidRPr="003B35C4">
        <w:rPr>
          <w:b w:val="0"/>
          <w:sz w:val="20"/>
          <w:szCs w:val="20"/>
        </w:rPr>
        <w:t>, para</w:t>
      </w:r>
      <w:r>
        <w:rPr>
          <w:b w:val="0"/>
          <w:sz w:val="20"/>
          <w:szCs w:val="20"/>
        </w:rPr>
        <w:t xml:space="preserve"> </w:t>
      </w:r>
      <w:r w:rsidRPr="003B35C4">
        <w:rPr>
          <w:b w:val="0"/>
          <w:sz w:val="20"/>
          <w:szCs w:val="20"/>
        </w:rPr>
        <w:t xml:space="preserve">176; </w:t>
      </w:r>
      <w:proofErr w:type="spellStart"/>
      <w:r w:rsidRPr="003B35C4">
        <w:rPr>
          <w:b w:val="0"/>
          <w:i/>
          <w:sz w:val="20"/>
          <w:szCs w:val="20"/>
        </w:rPr>
        <w:t>Ergi</w:t>
      </w:r>
      <w:proofErr w:type="spellEnd"/>
      <w:r w:rsidRPr="003B35C4">
        <w:rPr>
          <w:b w:val="0"/>
          <w:i/>
          <w:sz w:val="20"/>
          <w:szCs w:val="20"/>
        </w:rPr>
        <w:t xml:space="preserve"> v Turkey</w:t>
      </w:r>
      <w:r w:rsidRPr="003B35C4">
        <w:rPr>
          <w:b w:val="0"/>
          <w:sz w:val="20"/>
          <w:szCs w:val="20"/>
        </w:rPr>
        <w:t>, App no</w:t>
      </w:r>
      <w:r w:rsidRPr="003B35C4">
        <w:rPr>
          <w:sz w:val="20"/>
          <w:szCs w:val="20"/>
        </w:rPr>
        <w:t xml:space="preserve"> </w:t>
      </w:r>
      <w:r w:rsidRPr="003B35C4">
        <w:rPr>
          <w:b w:val="0"/>
          <w:sz w:val="20"/>
          <w:szCs w:val="20"/>
        </w:rPr>
        <w:t>40/1993/435/514 (1998), para 82; and General Comment No. 31,</w:t>
      </w:r>
      <w:r>
        <w:rPr>
          <w:b w:val="0"/>
          <w:sz w:val="20"/>
          <w:szCs w:val="20"/>
        </w:rPr>
        <w:t xml:space="preserve"> (</w:t>
      </w:r>
      <w:r w:rsidRPr="003B35C4">
        <w:rPr>
          <w:b w:val="0"/>
          <w:sz w:val="20"/>
          <w:szCs w:val="20"/>
        </w:rPr>
        <w:t>n</w:t>
      </w:r>
      <w:r>
        <w:rPr>
          <w:b w:val="0"/>
          <w:sz w:val="20"/>
          <w:szCs w:val="20"/>
        </w:rPr>
        <w:t xml:space="preserve"> </w:t>
      </w:r>
      <w:r w:rsidRPr="003B35C4">
        <w:rPr>
          <w:b w:val="0"/>
          <w:sz w:val="20"/>
          <w:szCs w:val="20"/>
        </w:rPr>
        <w:t>20</w:t>
      </w:r>
      <w:r>
        <w:rPr>
          <w:b w:val="0"/>
          <w:sz w:val="20"/>
          <w:szCs w:val="20"/>
        </w:rPr>
        <w:t>)</w:t>
      </w:r>
      <w:r w:rsidRPr="003B35C4">
        <w:rPr>
          <w:b w:val="0"/>
          <w:sz w:val="20"/>
          <w:szCs w:val="20"/>
        </w:rPr>
        <w:t>, para 8.</w:t>
      </w:r>
    </w:p>
  </w:footnote>
  <w:footnote w:id="47">
    <w:p w:rsidR="003B5ED2" w:rsidRPr="003B35C4" w:rsidRDefault="003B5ED2" w:rsidP="00417984">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i/>
        </w:rPr>
        <w:t>Siliadin</w:t>
      </w:r>
      <w:proofErr w:type="spellEnd"/>
      <w:r w:rsidRPr="003B35C4">
        <w:rPr>
          <w:rFonts w:ascii="Times New Roman" w:hAnsi="Times New Roman" w:cs="Times New Roman"/>
          <w:i/>
        </w:rPr>
        <w:t xml:space="preserve"> v France</w:t>
      </w:r>
      <w:r w:rsidRPr="003B35C4">
        <w:rPr>
          <w:rFonts w:ascii="Times New Roman" w:hAnsi="Times New Roman" w:cs="Times New Roman"/>
        </w:rPr>
        <w:t xml:space="preserve">, App no 73316/01 (2005), paras 89 and 112; </w:t>
      </w:r>
      <w:proofErr w:type="spellStart"/>
      <w:r w:rsidRPr="003B35C4">
        <w:rPr>
          <w:rFonts w:ascii="Times New Roman" w:hAnsi="Times New Roman" w:cs="Times New Roman"/>
          <w:i/>
        </w:rPr>
        <w:t>Rantsev</w:t>
      </w:r>
      <w:proofErr w:type="spellEnd"/>
      <w:r w:rsidRPr="003B35C4">
        <w:rPr>
          <w:rFonts w:ascii="Times New Roman" w:hAnsi="Times New Roman" w:cs="Times New Roman"/>
          <w:i/>
        </w:rPr>
        <w:t xml:space="preserve"> v Russia and Cyprus</w:t>
      </w:r>
      <w:r w:rsidRPr="003B35C4">
        <w:rPr>
          <w:rFonts w:ascii="Times New Roman" w:hAnsi="Times New Roman" w:cs="Times New Roman"/>
        </w:rPr>
        <w:t xml:space="preserve">, App no 25965/04 (2010), paras 285 and 288; and </w:t>
      </w:r>
      <w:r w:rsidRPr="003B35C4">
        <w:rPr>
          <w:rFonts w:ascii="Times New Roman" w:hAnsi="Times New Roman" w:cs="Times New Roman"/>
          <w:i/>
        </w:rPr>
        <w:t>J and Others v Austria</w:t>
      </w:r>
      <w:r w:rsidRPr="003B35C4">
        <w:rPr>
          <w:rFonts w:ascii="Times New Roman" w:hAnsi="Times New Roman" w:cs="Times New Roman"/>
        </w:rPr>
        <w:t>, App no 58216/12 (2017), para 107.</w:t>
      </w:r>
    </w:p>
  </w:footnote>
  <w:footnote w:id="48">
    <w:p w:rsidR="003B5ED2" w:rsidRPr="003B35C4" w:rsidRDefault="003B5ED2" w:rsidP="005B3468">
      <w:pPr>
        <w:spacing w:after="0"/>
        <w:rPr>
          <w:rFonts w:ascii="Times New Roman" w:eastAsia="Times New Roman" w:hAnsi="Times New Roman" w:cs="Times New Roman"/>
          <w:sz w:val="20"/>
          <w:szCs w:val="20"/>
        </w:rPr>
      </w:pPr>
      <w:r w:rsidRPr="003B35C4">
        <w:rPr>
          <w:rStyle w:val="FootnoteReference"/>
          <w:rFonts w:ascii="Times New Roman" w:hAnsi="Times New Roman" w:cs="Times New Roman"/>
          <w:sz w:val="20"/>
          <w:szCs w:val="20"/>
        </w:rPr>
        <w:footnoteRef/>
      </w:r>
      <w:r w:rsidRPr="003B35C4">
        <w:rPr>
          <w:rFonts w:ascii="Times New Roman" w:hAnsi="Times New Roman" w:cs="Times New Roman"/>
          <w:sz w:val="20"/>
          <w:szCs w:val="20"/>
        </w:rPr>
        <w:t xml:space="preserve"> </w:t>
      </w:r>
      <w:r w:rsidRPr="003B35C4">
        <w:rPr>
          <w:rFonts w:ascii="Times New Roman" w:eastAsia="Times New Roman" w:hAnsi="Times New Roman" w:cs="Times New Roman"/>
          <w:i/>
          <w:sz w:val="20"/>
          <w:szCs w:val="20"/>
        </w:rPr>
        <w:t xml:space="preserve">Hacienda </w:t>
      </w:r>
      <w:proofErr w:type="spellStart"/>
      <w:r w:rsidRPr="003B35C4">
        <w:rPr>
          <w:rFonts w:ascii="Times New Roman" w:eastAsia="Times New Roman" w:hAnsi="Times New Roman" w:cs="Times New Roman"/>
          <w:i/>
          <w:sz w:val="20"/>
          <w:szCs w:val="20"/>
        </w:rPr>
        <w:t>Brasil</w:t>
      </w:r>
      <w:proofErr w:type="spellEnd"/>
      <w:r w:rsidRPr="003B35C4">
        <w:rPr>
          <w:rFonts w:ascii="Times New Roman" w:eastAsia="Times New Roman" w:hAnsi="Times New Roman" w:cs="Times New Roman"/>
          <w:i/>
          <w:sz w:val="20"/>
          <w:szCs w:val="20"/>
        </w:rPr>
        <w:t xml:space="preserve"> Verde Workers v. </w:t>
      </w:r>
      <w:proofErr w:type="spellStart"/>
      <w:r w:rsidRPr="003B35C4">
        <w:rPr>
          <w:rFonts w:ascii="Times New Roman" w:eastAsia="Times New Roman" w:hAnsi="Times New Roman" w:cs="Times New Roman"/>
          <w:i/>
          <w:sz w:val="20"/>
          <w:szCs w:val="20"/>
        </w:rPr>
        <w:t>Brasil</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(2016)</w:t>
      </w:r>
      <w:r w:rsidRPr="003B35C4">
        <w:rPr>
          <w:rFonts w:ascii="Times New Roman" w:eastAsia="Times New Roman" w:hAnsi="Times New Roman" w:cs="Times New Roman"/>
          <w:sz w:val="20"/>
          <w:szCs w:val="20"/>
        </w:rPr>
        <w:t xml:space="preserve">, Ser. C, No. 318, para 319. </w:t>
      </w:r>
    </w:p>
  </w:footnote>
  <w:footnote w:id="49">
    <w:p w:rsidR="003B5ED2" w:rsidRPr="003B35C4" w:rsidRDefault="003B5ED2" w:rsidP="00417984">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Trafficking in Persons, Especially Women and Children: A Note by the Secretary General</w:t>
      </w:r>
      <w:r w:rsidRPr="003B35C4">
        <w:rPr>
          <w:rFonts w:ascii="Times New Roman" w:hAnsi="Times New Roman" w:cs="Times New Roman"/>
        </w:rPr>
        <w:t xml:space="preserve">, A/70/260 (2015), para 29; and </w:t>
      </w:r>
      <w:r w:rsidRPr="003B35C4">
        <w:rPr>
          <w:rFonts w:ascii="Times New Roman" w:hAnsi="Times New Roman" w:cs="Times New Roman"/>
          <w:i/>
        </w:rPr>
        <w:t>Report of the Special Rapporteur on Contemporary Forms of Slavery</w:t>
      </w:r>
      <w:r w:rsidRPr="003B35C4">
        <w:rPr>
          <w:rFonts w:ascii="Times New Roman" w:hAnsi="Times New Roman" w:cs="Times New Roman"/>
        </w:rPr>
        <w:t xml:space="preserve">, A/HRC/36/43 (2017), para 15. See also </w:t>
      </w:r>
      <w:r w:rsidRPr="003B35C4">
        <w:rPr>
          <w:rFonts w:ascii="Times New Roman" w:hAnsi="Times New Roman" w:cs="Times New Roman"/>
          <w:i/>
        </w:rPr>
        <w:t>Concluding Observations on the Sixth and Seventh Reports of Togo</w:t>
      </w:r>
      <w:r w:rsidRPr="003B35C4">
        <w:rPr>
          <w:rFonts w:ascii="Times New Roman" w:hAnsi="Times New Roman" w:cs="Times New Roman"/>
        </w:rPr>
        <w:t xml:space="preserve">, CEDAW/C/TGO/CO/6-7 (2012), para 25; </w:t>
      </w:r>
      <w:r w:rsidRPr="003B35C4">
        <w:rPr>
          <w:rFonts w:ascii="Times New Roman" w:hAnsi="Times New Roman" w:cs="Times New Roman"/>
          <w:i/>
        </w:rPr>
        <w:t>Concluding Observations on the Seventh Periodic Report of Colombia</w:t>
      </w:r>
      <w:r w:rsidRPr="003B35C4">
        <w:rPr>
          <w:rFonts w:ascii="Times New Roman" w:hAnsi="Times New Roman" w:cs="Times New Roman"/>
        </w:rPr>
        <w:t>, CCPR/C/COL/7 (2016), para</w:t>
      </w:r>
      <w:r>
        <w:rPr>
          <w:rFonts w:ascii="Times New Roman" w:hAnsi="Times New Roman" w:cs="Times New Roman"/>
        </w:rPr>
        <w:t xml:space="preserve"> </w:t>
      </w:r>
      <w:r w:rsidRPr="003B35C4">
        <w:rPr>
          <w:rFonts w:ascii="Times New Roman" w:hAnsi="Times New Roman" w:cs="Times New Roman"/>
        </w:rPr>
        <w:t xml:space="preserve">27; and </w:t>
      </w:r>
      <w:r w:rsidRPr="003B35C4">
        <w:rPr>
          <w:rFonts w:ascii="Times New Roman" w:hAnsi="Times New Roman" w:cs="Times New Roman"/>
          <w:i/>
        </w:rPr>
        <w:t>Concluding Observations of the Committee on the Protection of the Rights of Migrant Workers and Members of Their Families on Guatemala</w:t>
      </w:r>
      <w:r w:rsidRPr="003B35C4">
        <w:rPr>
          <w:rFonts w:ascii="Times New Roman" w:hAnsi="Times New Roman" w:cs="Times New Roman"/>
        </w:rPr>
        <w:t xml:space="preserve">, CMW/C/GTM/1 (2011), para 44.   </w:t>
      </w:r>
    </w:p>
  </w:footnote>
  <w:footnote w:id="50">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Special Rapporteur on the Sale of Children, Child Prostitution and Child Pornography</w:t>
      </w:r>
      <w:r w:rsidRPr="003B35C4">
        <w:rPr>
          <w:rFonts w:ascii="Times New Roman" w:hAnsi="Times New Roman" w:cs="Times New Roman"/>
        </w:rPr>
        <w:t xml:space="preserve">, A/HRC/31/58 (2015), para 15; </w:t>
      </w:r>
      <w:r w:rsidRPr="003B35C4">
        <w:rPr>
          <w:rFonts w:ascii="Times New Roman" w:hAnsi="Times New Roman" w:cs="Times New Roman"/>
          <w:i/>
        </w:rPr>
        <w:t xml:space="preserve">Concluding Observations on the Third Periodic Report of Bolivia, </w:t>
      </w:r>
      <w:r w:rsidRPr="003B35C4">
        <w:rPr>
          <w:rFonts w:ascii="Times New Roman" w:hAnsi="Times New Roman" w:cs="Times New Roman"/>
        </w:rPr>
        <w:t xml:space="preserve">CCPR/C/BOL/CO/3 (2013), para 23; and Concluding Observations Afghanistan, </w:t>
      </w:r>
      <w:r>
        <w:rPr>
          <w:rFonts w:ascii="Times New Roman" w:hAnsi="Times New Roman" w:cs="Times New Roman"/>
        </w:rPr>
        <w:t>(</w:t>
      </w:r>
      <w:r w:rsidRPr="003B35C4">
        <w:rPr>
          <w:rFonts w:ascii="Times New Roman" w:hAnsi="Times New Roman" w:cs="Times New Roman"/>
        </w:rPr>
        <w:t xml:space="preserve">n </w:t>
      </w:r>
      <w:r>
        <w:rPr>
          <w:rFonts w:ascii="Times New Roman" w:hAnsi="Times New Roman" w:cs="Times New Roman"/>
        </w:rPr>
        <w:t>30)</w:t>
      </w:r>
      <w:r w:rsidRPr="003B35C4">
        <w:rPr>
          <w:rFonts w:ascii="Times New Roman" w:hAnsi="Times New Roman" w:cs="Times New Roman"/>
        </w:rPr>
        <w:t xml:space="preserve">, para 29.   </w:t>
      </w:r>
    </w:p>
  </w:footnote>
  <w:footnote w:id="5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Combined Second and Third Periodic Reports of Tajikistan</w:t>
      </w:r>
      <w:r w:rsidRPr="003B35C4">
        <w:rPr>
          <w:rFonts w:ascii="Times New Roman" w:hAnsi="Times New Roman" w:cs="Times New Roman"/>
        </w:rPr>
        <w:t xml:space="preserve">, E/C.12/TJK/CO/2-3 (2015), para 33; and </w:t>
      </w:r>
      <w:r w:rsidRPr="003B35C4">
        <w:rPr>
          <w:rFonts w:ascii="Times New Roman" w:hAnsi="Times New Roman" w:cs="Times New Roman"/>
          <w:i/>
        </w:rPr>
        <w:t>Report of the Working Group on the Universal Periodic Review: Kyrgyzstan</w:t>
      </w:r>
      <w:r w:rsidRPr="003B35C4">
        <w:rPr>
          <w:rFonts w:ascii="Times New Roman" w:hAnsi="Times New Roman" w:cs="Times New Roman"/>
        </w:rPr>
        <w:t>, A/HRC/29/4 (2013), para 117.19.</w:t>
      </w:r>
    </w:p>
  </w:footnote>
  <w:footnote w:id="52">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Report of the Independent International Commission on Syria, </w:t>
      </w:r>
      <w:r>
        <w:rPr>
          <w:rFonts w:ascii="Times New Roman" w:hAnsi="Times New Roman" w:cs="Times New Roman"/>
        </w:rPr>
        <w:t>(</w:t>
      </w:r>
      <w:r w:rsidRPr="003B35C4">
        <w:rPr>
          <w:rFonts w:ascii="Times New Roman" w:hAnsi="Times New Roman" w:cs="Times New Roman"/>
        </w:rPr>
        <w:t>n 3</w:t>
      </w:r>
      <w:r>
        <w:rPr>
          <w:rFonts w:ascii="Times New Roman" w:hAnsi="Times New Roman" w:cs="Times New Roman"/>
        </w:rPr>
        <w:t>1)</w:t>
      </w:r>
      <w:r w:rsidRPr="003B35C4">
        <w:rPr>
          <w:rFonts w:ascii="Times New Roman" w:hAnsi="Times New Roman" w:cs="Times New Roman"/>
        </w:rPr>
        <w:t>, para 155; Report of the Special Rapporteur on Cultural Rights</w:t>
      </w:r>
      <w:r>
        <w:rPr>
          <w:rFonts w:ascii="Times New Roman" w:hAnsi="Times New Roman" w:cs="Times New Roman"/>
        </w:rPr>
        <w:t xml:space="preserve"> (2016)</w:t>
      </w:r>
      <w:r w:rsidRPr="003B35C4">
        <w:rPr>
          <w:rFonts w:ascii="Times New Roman" w:hAnsi="Times New Roman" w:cs="Times New Roman"/>
        </w:rPr>
        <w:t>,</w:t>
      </w:r>
      <w:r>
        <w:rPr>
          <w:rFonts w:ascii="Times New Roman" w:hAnsi="Times New Roman" w:cs="Times New Roman"/>
        </w:rPr>
        <w:t xml:space="preserve"> (</w:t>
      </w:r>
      <w:r w:rsidRPr="003B35C4">
        <w:rPr>
          <w:rFonts w:ascii="Times New Roman" w:hAnsi="Times New Roman" w:cs="Times New Roman"/>
        </w:rPr>
        <w:t>n 3</w:t>
      </w:r>
      <w:r>
        <w:rPr>
          <w:rFonts w:ascii="Times New Roman" w:hAnsi="Times New Roman" w:cs="Times New Roman"/>
        </w:rPr>
        <w:t>5)</w:t>
      </w:r>
      <w:r w:rsidRPr="003B35C4">
        <w:rPr>
          <w:rFonts w:ascii="Times New Roman" w:hAnsi="Times New Roman" w:cs="Times New Roman"/>
        </w:rPr>
        <w:t xml:space="preserve">, para 78; and </w:t>
      </w:r>
      <w:r w:rsidRPr="003B35C4">
        <w:rPr>
          <w:rFonts w:ascii="Times New Roman" w:hAnsi="Times New Roman" w:cs="Times New Roman"/>
          <w:i/>
        </w:rPr>
        <w:t>Concluding Observations on the Fourth Periodic Report of Iraq</w:t>
      </w:r>
      <w:r w:rsidRPr="003B35C4">
        <w:rPr>
          <w:rFonts w:ascii="Times New Roman" w:hAnsi="Times New Roman" w:cs="Times New Roman"/>
        </w:rPr>
        <w:t xml:space="preserve">, E/C.12/IRQ/4 (2015), para 58.  </w:t>
      </w:r>
    </w:p>
  </w:footnote>
  <w:footnote w:id="53">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C01317">
        <w:rPr>
          <w:rFonts w:ascii="Times New Roman" w:hAnsi="Times New Roman" w:cs="Times New Roman"/>
        </w:rPr>
        <w:t>Final Study on Illicit Financial Flows</w:t>
      </w:r>
      <w:r w:rsidRPr="003B35C4">
        <w:rPr>
          <w:rFonts w:ascii="Times New Roman" w:hAnsi="Times New Roman" w:cs="Times New Roman"/>
          <w:i/>
        </w:rPr>
        <w:t xml:space="preserve">, </w:t>
      </w:r>
      <w:r>
        <w:rPr>
          <w:rFonts w:ascii="Times New Roman" w:hAnsi="Times New Roman" w:cs="Times New Roman"/>
        </w:rPr>
        <w:t>(</w:t>
      </w:r>
      <w:r w:rsidRPr="003B35C4">
        <w:rPr>
          <w:rFonts w:ascii="Times New Roman" w:hAnsi="Times New Roman" w:cs="Times New Roman"/>
        </w:rPr>
        <w:t>n</w:t>
      </w:r>
      <w:r>
        <w:rPr>
          <w:rFonts w:ascii="Times New Roman" w:hAnsi="Times New Roman" w:cs="Times New Roman"/>
        </w:rPr>
        <w:t xml:space="preserve"> </w:t>
      </w:r>
      <w:r w:rsidRPr="003B35C4">
        <w:rPr>
          <w:rFonts w:ascii="Times New Roman" w:hAnsi="Times New Roman" w:cs="Times New Roman"/>
        </w:rPr>
        <w:t>2</w:t>
      </w:r>
      <w:r>
        <w:rPr>
          <w:rFonts w:ascii="Times New Roman" w:hAnsi="Times New Roman" w:cs="Times New Roman"/>
        </w:rPr>
        <w:t>9)</w:t>
      </w:r>
      <w:r w:rsidRPr="003B35C4">
        <w:rPr>
          <w:rFonts w:ascii="Times New Roman" w:hAnsi="Times New Roman" w:cs="Times New Roman"/>
        </w:rPr>
        <w:t xml:space="preserve">, para 57; </w:t>
      </w:r>
      <w:r w:rsidRPr="003B35C4">
        <w:rPr>
          <w:rFonts w:ascii="Times New Roman" w:hAnsi="Times New Roman" w:cs="Times New Roman"/>
          <w:i/>
        </w:rPr>
        <w:t>Report of the Special Rapporteur on Extreme Poverty and Human Rights</w:t>
      </w:r>
      <w:r w:rsidRPr="003B35C4">
        <w:rPr>
          <w:rFonts w:ascii="Times New Roman" w:hAnsi="Times New Roman" w:cs="Times New Roman"/>
        </w:rPr>
        <w:t xml:space="preserve">, A/HRC/26/28 (2014), para 60; and </w:t>
      </w:r>
      <w:r w:rsidRPr="003B35C4">
        <w:rPr>
          <w:rFonts w:ascii="Times New Roman" w:hAnsi="Times New Roman" w:cs="Times New Roman"/>
          <w:i/>
        </w:rPr>
        <w:t>Concluding Observations on the Sixth Periodic Report of the United Kingdom of Great Britain and Northern Ireland</w:t>
      </w:r>
      <w:r w:rsidRPr="003B35C4">
        <w:rPr>
          <w:rFonts w:ascii="Times New Roman" w:hAnsi="Times New Roman" w:cs="Times New Roman"/>
        </w:rPr>
        <w:t xml:space="preserve">, E/C.12/GBR/6 (2016), para 17. </w:t>
      </w:r>
    </w:p>
  </w:footnote>
  <w:footnote w:id="54">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Special Rapporteur on the Implications for Human Rights of the Environmentally Sound Management and Disposal of Hazardous Substances and Wastes: Mission to Hungary</w:t>
      </w:r>
      <w:r w:rsidRPr="003B35C4">
        <w:rPr>
          <w:rFonts w:ascii="Times New Roman" w:hAnsi="Times New Roman" w:cs="Times New Roman"/>
        </w:rPr>
        <w:t>, A/HRC/24/39/Add.1 (2013), para 58; and Special Rapporteur on Toxic and Dangerous Products and Wastes</w:t>
      </w:r>
      <w:r>
        <w:rPr>
          <w:rFonts w:ascii="Times New Roman" w:hAnsi="Times New Roman" w:cs="Times New Roman"/>
        </w:rPr>
        <w:t xml:space="preserve"> (2011)</w:t>
      </w:r>
      <w:r w:rsidRPr="003B35C4">
        <w:rPr>
          <w:rFonts w:ascii="Times New Roman" w:hAnsi="Times New Roman" w:cs="Times New Roman"/>
        </w:rPr>
        <w:t>,</w:t>
      </w:r>
      <w:r w:rsidRPr="003B35C4">
        <w:rPr>
          <w:rFonts w:ascii="Times New Roman" w:hAnsi="Times New Roman" w:cs="Times New Roman"/>
          <w:i/>
        </w:rPr>
        <w:t xml:space="preserve"> </w:t>
      </w:r>
      <w:r>
        <w:rPr>
          <w:rFonts w:ascii="Times New Roman" w:hAnsi="Times New Roman" w:cs="Times New Roman"/>
        </w:rPr>
        <w:t>(</w:t>
      </w:r>
      <w:r w:rsidRPr="003B35C4">
        <w:rPr>
          <w:rFonts w:ascii="Times New Roman" w:hAnsi="Times New Roman" w:cs="Times New Roman"/>
        </w:rPr>
        <w:t>n 24</w:t>
      </w:r>
      <w:r>
        <w:rPr>
          <w:rFonts w:ascii="Times New Roman" w:hAnsi="Times New Roman" w:cs="Times New Roman"/>
        </w:rPr>
        <w:t>)</w:t>
      </w:r>
      <w:r w:rsidRPr="003B35C4">
        <w:rPr>
          <w:rFonts w:ascii="Times New Roman" w:hAnsi="Times New Roman" w:cs="Times New Roman"/>
        </w:rPr>
        <w:t xml:space="preserve">, para 86.  </w:t>
      </w:r>
    </w:p>
  </w:footnote>
  <w:footnote w:id="55">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8606CD">
        <w:rPr>
          <w:rFonts w:ascii="Times New Roman" w:hAnsi="Times New Roman" w:cs="Times New Roman"/>
        </w:rPr>
        <w:t>Concluding Observations Bolivia,</w:t>
      </w:r>
      <w:r w:rsidRPr="003B35C4">
        <w:rPr>
          <w:rFonts w:ascii="Times New Roman" w:hAnsi="Times New Roman" w:cs="Times New Roman"/>
        </w:rPr>
        <w:t xml:space="preserve"> </w:t>
      </w:r>
      <w:r>
        <w:rPr>
          <w:rFonts w:ascii="Times New Roman" w:hAnsi="Times New Roman" w:cs="Times New Roman"/>
        </w:rPr>
        <w:t>(</w:t>
      </w:r>
      <w:r w:rsidRPr="003B35C4">
        <w:rPr>
          <w:rFonts w:ascii="Times New Roman" w:hAnsi="Times New Roman" w:cs="Times New Roman"/>
        </w:rPr>
        <w:t xml:space="preserve">n </w:t>
      </w:r>
      <w:r>
        <w:rPr>
          <w:rFonts w:ascii="Times New Roman" w:hAnsi="Times New Roman" w:cs="Times New Roman"/>
        </w:rPr>
        <w:t xml:space="preserve">50), </w:t>
      </w:r>
      <w:r w:rsidRPr="003B35C4">
        <w:rPr>
          <w:rFonts w:ascii="Times New Roman" w:hAnsi="Times New Roman" w:cs="Times New Roman"/>
        </w:rPr>
        <w:t xml:space="preserve">para 22; </w:t>
      </w:r>
      <w:r w:rsidRPr="003B35C4">
        <w:rPr>
          <w:rFonts w:ascii="Times New Roman" w:hAnsi="Times New Roman" w:cs="Times New Roman"/>
          <w:i/>
        </w:rPr>
        <w:t>Concluding Observations on the Sixth Periodic Report of Colombia</w:t>
      </w:r>
      <w:r w:rsidRPr="003B35C4">
        <w:rPr>
          <w:rFonts w:ascii="Times New Roman" w:hAnsi="Times New Roman" w:cs="Times New Roman"/>
        </w:rPr>
        <w:t>, E/C.12/COL/6 (2016), par</w:t>
      </w:r>
      <w:r>
        <w:rPr>
          <w:rFonts w:ascii="Times New Roman" w:hAnsi="Times New Roman" w:cs="Times New Roman"/>
        </w:rPr>
        <w:t xml:space="preserve">as </w:t>
      </w:r>
      <w:r w:rsidRPr="003B35C4">
        <w:rPr>
          <w:rFonts w:ascii="Times New Roman" w:hAnsi="Times New Roman" w:cs="Times New Roman"/>
        </w:rPr>
        <w:t>19</w:t>
      </w:r>
      <w:r>
        <w:rPr>
          <w:rFonts w:ascii="Times New Roman" w:hAnsi="Times New Roman" w:cs="Times New Roman"/>
        </w:rPr>
        <w:t xml:space="preserve"> and 22</w:t>
      </w:r>
      <w:r w:rsidRPr="003B35C4">
        <w:rPr>
          <w:rFonts w:ascii="Times New Roman" w:hAnsi="Times New Roman" w:cs="Times New Roman"/>
        </w:rPr>
        <w:t xml:space="preserve">; </w:t>
      </w:r>
      <w:r w:rsidRPr="003B35C4">
        <w:rPr>
          <w:rFonts w:ascii="Times New Roman" w:hAnsi="Times New Roman" w:cs="Times New Roman"/>
          <w:i/>
        </w:rPr>
        <w:t>Concluding Observations on the Third Periodic Report of Mexico</w:t>
      </w:r>
      <w:r w:rsidRPr="003B35C4">
        <w:rPr>
          <w:rFonts w:ascii="Times New Roman" w:hAnsi="Times New Roman" w:cs="Times New Roman"/>
        </w:rPr>
        <w:t xml:space="preserve">, CMW/C/MEX/CO/3 (2017), paras 24 and 34; and </w:t>
      </w:r>
      <w:r w:rsidRPr="003B35C4">
        <w:rPr>
          <w:rFonts w:ascii="Times New Roman" w:hAnsi="Times New Roman" w:cs="Times New Roman"/>
          <w:i/>
        </w:rPr>
        <w:t>Concluding Observations on the Seventh Periodic Report of Paraguay</w:t>
      </w:r>
      <w:r w:rsidRPr="003B35C4">
        <w:rPr>
          <w:rFonts w:ascii="Times New Roman" w:hAnsi="Times New Roman" w:cs="Times New Roman"/>
        </w:rPr>
        <w:t xml:space="preserve">, CEDAW/C/PRY/7 (2017), para 13. </w:t>
      </w:r>
    </w:p>
  </w:footnote>
  <w:footnote w:id="56">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FD0A31">
        <w:rPr>
          <w:rFonts w:ascii="Times New Roman" w:hAnsi="Times New Roman" w:cs="Times New Roman"/>
          <w:i/>
        </w:rPr>
        <w:t>Maastricht Guidelines on the Violations of Economic, Social and Cultural Rights 1997</w:t>
      </w:r>
      <w:r w:rsidRPr="003B35C4">
        <w:rPr>
          <w:rFonts w:ascii="Times New Roman" w:hAnsi="Times New Roman" w:cs="Times New Roman"/>
        </w:rPr>
        <w:t xml:space="preserve">, para 16.  </w:t>
      </w:r>
    </w:p>
  </w:footnote>
  <w:footnote w:id="57">
    <w:p w:rsidR="003B5ED2" w:rsidRPr="003B35C4" w:rsidRDefault="003B5ED2" w:rsidP="00C13439">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The only General Comments which mentions investigation are:  </w:t>
      </w:r>
      <w:r w:rsidRPr="00B45F6F">
        <w:rPr>
          <w:rFonts w:ascii="Times New Roman" w:hAnsi="Times New Roman" w:cs="Times New Roman"/>
          <w:i/>
        </w:rPr>
        <w:t>General Comment No. 16 (The Equal Rights of Men and Women)</w:t>
      </w:r>
      <w:r w:rsidRPr="003B35C4">
        <w:rPr>
          <w:rFonts w:ascii="Times New Roman" w:hAnsi="Times New Roman" w:cs="Times New Roman"/>
        </w:rPr>
        <w:t xml:space="preserve">, E/C.12/2005/4 (2005); </w:t>
      </w:r>
      <w:r w:rsidRPr="00B45F6F">
        <w:rPr>
          <w:rFonts w:ascii="Times New Roman" w:hAnsi="Times New Roman" w:cs="Times New Roman"/>
          <w:i/>
        </w:rPr>
        <w:t>General Comment No. 20 (Non-Discrimination)</w:t>
      </w:r>
      <w:r w:rsidRPr="003B35C4">
        <w:rPr>
          <w:rFonts w:ascii="Times New Roman" w:hAnsi="Times New Roman" w:cs="Times New Roman"/>
        </w:rPr>
        <w:t xml:space="preserve">, E/C.12/GC/20 (2009); General Comment No. 21, </w:t>
      </w:r>
      <w:r>
        <w:rPr>
          <w:rFonts w:ascii="Times New Roman" w:hAnsi="Times New Roman" w:cs="Times New Roman"/>
        </w:rPr>
        <w:t>(</w:t>
      </w:r>
      <w:r w:rsidRPr="003B35C4">
        <w:rPr>
          <w:rFonts w:ascii="Times New Roman" w:hAnsi="Times New Roman" w:cs="Times New Roman"/>
        </w:rPr>
        <w:t>n</w:t>
      </w:r>
      <w:r>
        <w:rPr>
          <w:rFonts w:ascii="Times New Roman" w:hAnsi="Times New Roman" w:cs="Times New Roman"/>
        </w:rPr>
        <w:t xml:space="preserve"> </w:t>
      </w:r>
      <w:r w:rsidRPr="003B35C4">
        <w:rPr>
          <w:rFonts w:ascii="Times New Roman" w:hAnsi="Times New Roman" w:cs="Times New Roman"/>
        </w:rPr>
        <w:t>3</w:t>
      </w:r>
      <w:r>
        <w:rPr>
          <w:rFonts w:ascii="Times New Roman" w:hAnsi="Times New Roman" w:cs="Times New Roman"/>
        </w:rPr>
        <w:t>7)</w:t>
      </w:r>
      <w:r w:rsidRPr="003B35C4">
        <w:rPr>
          <w:rFonts w:ascii="Times New Roman" w:hAnsi="Times New Roman" w:cs="Times New Roman"/>
        </w:rPr>
        <w:t xml:space="preserve">; </w:t>
      </w:r>
      <w:r w:rsidRPr="00B45F6F">
        <w:rPr>
          <w:rFonts w:ascii="Times New Roman" w:hAnsi="Times New Roman" w:cs="Times New Roman"/>
          <w:i/>
        </w:rPr>
        <w:t>General Comment No 22 (Right to Sexual and Reproductive Health)</w:t>
      </w:r>
      <w:r w:rsidRPr="003B35C4">
        <w:rPr>
          <w:rFonts w:ascii="Times New Roman" w:hAnsi="Times New Roman" w:cs="Times New Roman"/>
        </w:rPr>
        <w:t xml:space="preserve">, E/C.12/GC/22 (2016); </w:t>
      </w:r>
      <w:r w:rsidRPr="00B45F6F">
        <w:rPr>
          <w:rFonts w:ascii="Times New Roman" w:hAnsi="Times New Roman" w:cs="Times New Roman"/>
          <w:i/>
        </w:rPr>
        <w:t>General Comment No. 23 (</w:t>
      </w:r>
      <w:r w:rsidRPr="00B45F6F">
        <w:rPr>
          <w:rStyle w:val="Strong"/>
          <w:rFonts w:ascii="Times New Roman" w:hAnsi="Times New Roman" w:cs="Times New Roman"/>
          <w:b w:val="0"/>
          <w:i/>
        </w:rPr>
        <w:t>Right to Just and Favourable Conditions of Work)</w:t>
      </w:r>
      <w:r w:rsidRPr="003B35C4">
        <w:rPr>
          <w:rStyle w:val="Strong"/>
          <w:rFonts w:ascii="Times New Roman" w:hAnsi="Times New Roman" w:cs="Times New Roman"/>
          <w:b w:val="0"/>
        </w:rPr>
        <w:t xml:space="preserve">, </w:t>
      </w:r>
      <w:r w:rsidRPr="003B35C4">
        <w:rPr>
          <w:rStyle w:val="st"/>
          <w:rFonts w:ascii="Times New Roman" w:hAnsi="Times New Roman" w:cs="Times New Roman"/>
        </w:rPr>
        <w:t>E/C.12/GC/23 (2016)</w:t>
      </w:r>
      <w:r w:rsidRPr="003B35C4">
        <w:rPr>
          <w:rFonts w:ascii="Times New Roman" w:hAnsi="Times New Roman" w:cs="Times New Roman"/>
        </w:rPr>
        <w:t xml:space="preserve">; and </w:t>
      </w:r>
      <w:r w:rsidRPr="00B45F6F">
        <w:rPr>
          <w:rFonts w:ascii="Times New Roman" w:hAnsi="Times New Roman" w:cs="Times New Roman"/>
          <w:i/>
        </w:rPr>
        <w:t>General Comment No. 24 State Obligations in the Context of Business Activities)</w:t>
      </w:r>
      <w:r w:rsidRPr="003B35C4">
        <w:rPr>
          <w:rFonts w:ascii="Times New Roman" w:hAnsi="Times New Roman" w:cs="Times New Roman"/>
        </w:rPr>
        <w:t xml:space="preserve">, E/C.12/GC/24 (2017).    </w:t>
      </w:r>
    </w:p>
  </w:footnote>
  <w:footnote w:id="58">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Based on the author’s analysis of reports published by the Special Rapporteurs on the Rights to Culture, Development, Education, Environment, Extreme Poverty, Food, Foreign Debts, Hazardous Substances, Health, Housing, and Water &amp; Sanitation, as well as the Working Group/Special Representative on Transnational Corporations.     </w:t>
      </w:r>
    </w:p>
  </w:footnote>
  <w:footnote w:id="59">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Committee on Economic, Social and Cultural Rights, </w:t>
      </w:r>
      <w:r w:rsidRPr="00B45F6F">
        <w:rPr>
          <w:rFonts w:ascii="Times New Roman" w:hAnsi="Times New Roman" w:cs="Times New Roman"/>
          <w:i/>
        </w:rPr>
        <w:t>General Comment No. 3 (The Nature of State Party Obligations)</w:t>
      </w:r>
      <w:r w:rsidRPr="003B35C4">
        <w:rPr>
          <w:rFonts w:ascii="Times New Roman" w:hAnsi="Times New Roman" w:cs="Times New Roman"/>
        </w:rPr>
        <w:t>, E/1991/23 (1990), para</w:t>
      </w:r>
      <w:r>
        <w:rPr>
          <w:rFonts w:ascii="Times New Roman" w:hAnsi="Times New Roman" w:cs="Times New Roman"/>
        </w:rPr>
        <w:t xml:space="preserve"> </w:t>
      </w:r>
      <w:r w:rsidRPr="003B35C4">
        <w:rPr>
          <w:rFonts w:ascii="Times New Roman" w:hAnsi="Times New Roman" w:cs="Times New Roman"/>
        </w:rPr>
        <w:t xml:space="preserve">1.     </w:t>
      </w:r>
    </w:p>
  </w:footnote>
  <w:footnote w:id="60">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Art 20 UNTOC.  </w:t>
      </w:r>
    </w:p>
  </w:footnote>
  <w:footnote w:id="6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The same language is found in Art 11 ACHR.  </w:t>
      </w:r>
    </w:p>
  </w:footnote>
  <w:footnote w:id="62">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Malone v United Kingdom</w:t>
      </w:r>
      <w:r w:rsidRPr="003B35C4">
        <w:rPr>
          <w:rFonts w:ascii="Times New Roman" w:hAnsi="Times New Roman" w:cs="Times New Roman"/>
        </w:rPr>
        <w:t xml:space="preserve">, App no 8691/79 (1984), para 81; and </w:t>
      </w:r>
      <w:proofErr w:type="spellStart"/>
      <w:r w:rsidRPr="003B35C4">
        <w:rPr>
          <w:rFonts w:ascii="Times New Roman" w:hAnsi="Times New Roman" w:cs="Times New Roman"/>
          <w:i/>
        </w:rPr>
        <w:t>Bannikova</w:t>
      </w:r>
      <w:proofErr w:type="spellEnd"/>
      <w:r w:rsidRPr="003B35C4">
        <w:rPr>
          <w:rFonts w:ascii="Times New Roman" w:hAnsi="Times New Roman" w:cs="Times New Roman"/>
          <w:i/>
        </w:rPr>
        <w:t xml:space="preserve"> v Russia</w:t>
      </w:r>
      <w:r w:rsidRPr="003B35C4">
        <w:rPr>
          <w:rFonts w:ascii="Times New Roman" w:hAnsi="Times New Roman" w:cs="Times New Roman"/>
        </w:rPr>
        <w:t xml:space="preserve">, App no 18757/06 (2011), para 33.  </w:t>
      </w:r>
    </w:p>
  </w:footnote>
  <w:footnote w:id="63">
    <w:p w:rsidR="003B5ED2" w:rsidRPr="003B35C4" w:rsidRDefault="003B5ED2" w:rsidP="00D94B74">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Human Rights Committee, </w:t>
      </w:r>
      <w:r w:rsidRPr="003B35C4">
        <w:rPr>
          <w:rFonts w:ascii="Times New Roman" w:hAnsi="Times New Roman" w:cs="Times New Roman"/>
          <w:i/>
        </w:rPr>
        <w:t>General Comment No. 16 (Right to Privacy)</w:t>
      </w:r>
      <w:r w:rsidRPr="003B35C4">
        <w:rPr>
          <w:rFonts w:ascii="Times New Roman" w:hAnsi="Times New Roman" w:cs="Times New Roman"/>
        </w:rPr>
        <w:t xml:space="preserve">, </w:t>
      </w:r>
      <w:r w:rsidRPr="003B35C4">
        <w:rPr>
          <w:rStyle w:val="Strong"/>
          <w:rFonts w:ascii="Times New Roman" w:hAnsi="Times New Roman" w:cs="Times New Roman"/>
          <w:b w:val="0"/>
        </w:rPr>
        <w:t xml:space="preserve">HRI/GEN/1/Rev.1 (1988), para 8; and </w:t>
      </w:r>
      <w:r w:rsidRPr="003B35C4">
        <w:rPr>
          <w:rStyle w:val="Strong"/>
          <w:rFonts w:ascii="Times New Roman" w:hAnsi="Times New Roman" w:cs="Times New Roman"/>
          <w:b w:val="0"/>
          <w:i/>
        </w:rPr>
        <w:t>Concluding Observations on the Fourth Periodic Report of the United States of America</w:t>
      </w:r>
      <w:r w:rsidRPr="003B35C4">
        <w:rPr>
          <w:rStyle w:val="Strong"/>
          <w:rFonts w:ascii="Times New Roman" w:hAnsi="Times New Roman" w:cs="Times New Roman"/>
          <w:b w:val="0"/>
        </w:rPr>
        <w:t xml:space="preserve">, CCPR/C/USA/CO/4 (2014), para 22.  </w:t>
      </w:r>
    </w:p>
  </w:footnote>
  <w:footnote w:id="64">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i/>
        </w:rPr>
        <w:t>Rotaru</w:t>
      </w:r>
      <w:proofErr w:type="spellEnd"/>
      <w:r w:rsidRPr="003B35C4">
        <w:rPr>
          <w:rFonts w:ascii="Times New Roman" w:hAnsi="Times New Roman" w:cs="Times New Roman"/>
          <w:i/>
        </w:rPr>
        <w:t xml:space="preserve"> v Romania</w:t>
      </w:r>
      <w:r w:rsidRPr="003B35C4">
        <w:rPr>
          <w:rFonts w:ascii="Times New Roman" w:hAnsi="Times New Roman" w:cs="Times New Roman"/>
        </w:rPr>
        <w:t xml:space="preserve">, App no 28341/95 (2000), para 52; and </w:t>
      </w:r>
      <w:r w:rsidRPr="003B35C4">
        <w:rPr>
          <w:rFonts w:ascii="Times New Roman" w:hAnsi="Times New Roman" w:cs="Times New Roman"/>
          <w:i/>
        </w:rPr>
        <w:t>Kennedy v United Kingdom</w:t>
      </w:r>
      <w:r w:rsidRPr="003B35C4">
        <w:rPr>
          <w:rFonts w:ascii="Times New Roman" w:hAnsi="Times New Roman" w:cs="Times New Roman"/>
        </w:rPr>
        <w:t>, App no 26839/05 (2010), para 151.</w:t>
      </w:r>
    </w:p>
  </w:footnote>
  <w:footnote w:id="65">
    <w:p w:rsidR="003B5ED2" w:rsidRPr="003B35C4" w:rsidRDefault="003B5ED2" w:rsidP="00940DEF">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Malone</w:t>
      </w:r>
      <w:r w:rsidRPr="003B35C4">
        <w:rPr>
          <w:rFonts w:ascii="Times New Roman" w:hAnsi="Times New Roman" w:cs="Times New Roman"/>
        </w:rPr>
        <w:t xml:space="preserve">, </w:t>
      </w:r>
      <w:r>
        <w:rPr>
          <w:rFonts w:ascii="Times New Roman" w:hAnsi="Times New Roman" w:cs="Times New Roman"/>
        </w:rPr>
        <w:t>(</w:t>
      </w:r>
      <w:r w:rsidRPr="003B35C4">
        <w:rPr>
          <w:rFonts w:ascii="Times New Roman" w:hAnsi="Times New Roman" w:cs="Times New Roman"/>
        </w:rPr>
        <w:t>n</w:t>
      </w:r>
      <w:r>
        <w:rPr>
          <w:rFonts w:ascii="Times New Roman" w:hAnsi="Times New Roman" w:cs="Times New Roman"/>
        </w:rPr>
        <w:t xml:space="preserve"> </w:t>
      </w:r>
      <w:r w:rsidRPr="003B35C4">
        <w:rPr>
          <w:rFonts w:ascii="Times New Roman" w:hAnsi="Times New Roman" w:cs="Times New Roman"/>
        </w:rPr>
        <w:t>6</w:t>
      </w:r>
      <w:r>
        <w:rPr>
          <w:rFonts w:ascii="Times New Roman" w:hAnsi="Times New Roman" w:cs="Times New Roman"/>
        </w:rPr>
        <w:t>2)</w:t>
      </w:r>
      <w:r w:rsidRPr="003B35C4">
        <w:rPr>
          <w:rFonts w:ascii="Times New Roman" w:hAnsi="Times New Roman" w:cs="Times New Roman"/>
        </w:rPr>
        <w:t xml:space="preserve">, para 67; and </w:t>
      </w:r>
      <w:proofErr w:type="spellStart"/>
      <w:r w:rsidRPr="003B35C4">
        <w:rPr>
          <w:rFonts w:ascii="Times New Roman" w:hAnsi="Times New Roman" w:cs="Times New Roman"/>
          <w:i/>
        </w:rPr>
        <w:t>Zakharov</w:t>
      </w:r>
      <w:proofErr w:type="spellEnd"/>
      <w:r w:rsidRPr="003B35C4">
        <w:rPr>
          <w:rFonts w:ascii="Times New Roman" w:hAnsi="Times New Roman" w:cs="Times New Roman"/>
          <w:i/>
        </w:rPr>
        <w:t xml:space="preserve"> v Russia</w:t>
      </w:r>
      <w:r w:rsidRPr="003B35C4">
        <w:rPr>
          <w:rFonts w:ascii="Times New Roman" w:hAnsi="Times New Roman" w:cs="Times New Roman"/>
        </w:rPr>
        <w:t xml:space="preserve">, App no 47143/06 (2015), para 229.  </w:t>
      </w:r>
    </w:p>
  </w:footnote>
  <w:footnote w:id="66">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i/>
        </w:rPr>
        <w:t>Zakharov</w:t>
      </w:r>
      <w:proofErr w:type="spellEnd"/>
      <w:r w:rsidRPr="003B35C4">
        <w:rPr>
          <w:rFonts w:ascii="Times New Roman" w:hAnsi="Times New Roman" w:cs="Times New Roman"/>
        </w:rPr>
        <w:t xml:space="preserve">, </w:t>
      </w:r>
      <w:r w:rsidRPr="009B040A">
        <w:rPr>
          <w:rFonts w:ascii="Times New Roman" w:hAnsi="Times New Roman" w:cs="Times New Roman"/>
          <w:i/>
        </w:rPr>
        <w:t>ibid</w:t>
      </w:r>
      <w:r w:rsidRPr="003B35C4">
        <w:rPr>
          <w:rFonts w:ascii="Times New Roman" w:hAnsi="Times New Roman" w:cs="Times New Roman"/>
        </w:rPr>
        <w:t xml:space="preserve">.  </w:t>
      </w:r>
    </w:p>
  </w:footnote>
  <w:footnote w:id="67">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Kennedy</w:t>
      </w:r>
      <w:r w:rsidRPr="003B35C4">
        <w:rPr>
          <w:rFonts w:ascii="Times New Roman" w:hAnsi="Times New Roman" w:cs="Times New Roman"/>
        </w:rPr>
        <w:t xml:space="preserve">, </w:t>
      </w:r>
      <w:r>
        <w:rPr>
          <w:rFonts w:ascii="Times New Roman" w:hAnsi="Times New Roman" w:cs="Times New Roman"/>
        </w:rPr>
        <w:t>(</w:t>
      </w:r>
      <w:r w:rsidRPr="003B35C4">
        <w:rPr>
          <w:rFonts w:ascii="Times New Roman" w:hAnsi="Times New Roman" w:cs="Times New Roman"/>
        </w:rPr>
        <w:t>n 6</w:t>
      </w:r>
      <w:r>
        <w:rPr>
          <w:rFonts w:ascii="Times New Roman" w:hAnsi="Times New Roman" w:cs="Times New Roman"/>
        </w:rPr>
        <w:t>4)</w:t>
      </w:r>
      <w:r w:rsidRPr="003B35C4">
        <w:rPr>
          <w:rFonts w:ascii="Times New Roman" w:hAnsi="Times New Roman" w:cs="Times New Roman"/>
        </w:rPr>
        <w:t xml:space="preserve">, paras 162 and 163. </w:t>
      </w:r>
    </w:p>
  </w:footnote>
  <w:footnote w:id="68">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Leander v Sweden</w:t>
      </w:r>
      <w:r w:rsidRPr="003B35C4">
        <w:rPr>
          <w:rFonts w:ascii="Times New Roman" w:hAnsi="Times New Roman" w:cs="Times New Roman"/>
        </w:rPr>
        <w:t xml:space="preserve">, App no 9248/81 (1987), para 51.  </w:t>
      </w:r>
    </w:p>
  </w:footnote>
  <w:footnote w:id="69">
    <w:p w:rsidR="003B5ED2" w:rsidRPr="003B35C4" w:rsidRDefault="003B5ED2" w:rsidP="007019CD">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Style w:val="s6b621b36"/>
          <w:rFonts w:ascii="Times New Roman" w:hAnsi="Times New Roman" w:cs="Times New Roman"/>
          <w:i/>
        </w:rPr>
        <w:t>Weber and Saravia</w:t>
      </w:r>
      <w:r w:rsidRPr="003B35C4">
        <w:rPr>
          <w:rStyle w:val="sb8d990e2"/>
          <w:rFonts w:ascii="Times New Roman" w:hAnsi="Times New Roman" w:cs="Times New Roman"/>
          <w:i/>
        </w:rPr>
        <w:t xml:space="preserve"> v Germany</w:t>
      </w:r>
      <w:r w:rsidRPr="003B35C4">
        <w:rPr>
          <w:rStyle w:val="sb8d990e2"/>
          <w:rFonts w:ascii="Times New Roman" w:hAnsi="Times New Roman" w:cs="Times New Roman"/>
        </w:rPr>
        <w:t>, App no 54934/00 (2006), para 135.</w:t>
      </w:r>
    </w:p>
  </w:footnote>
  <w:footnote w:id="70">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i/>
        </w:rPr>
        <w:t>Klass</w:t>
      </w:r>
      <w:proofErr w:type="spellEnd"/>
      <w:r w:rsidRPr="003B35C4">
        <w:rPr>
          <w:rFonts w:ascii="Times New Roman" w:hAnsi="Times New Roman" w:cs="Times New Roman"/>
          <w:i/>
        </w:rPr>
        <w:t xml:space="preserve"> and Others v Germany</w:t>
      </w:r>
      <w:r w:rsidRPr="003B35C4">
        <w:rPr>
          <w:rFonts w:ascii="Times New Roman" w:hAnsi="Times New Roman" w:cs="Times New Roman"/>
        </w:rPr>
        <w:t xml:space="preserve">, App no 5029/71 (1978) paras 55-56; </w:t>
      </w:r>
      <w:proofErr w:type="spellStart"/>
      <w:r w:rsidRPr="003B35C4">
        <w:rPr>
          <w:rFonts w:ascii="Times New Roman" w:hAnsi="Times New Roman" w:cs="Times New Roman"/>
          <w:i/>
        </w:rPr>
        <w:t>Zakharov</w:t>
      </w:r>
      <w:proofErr w:type="spellEnd"/>
      <w:r w:rsidRPr="003B35C4">
        <w:rPr>
          <w:rFonts w:ascii="Times New Roman" w:hAnsi="Times New Roman" w:cs="Times New Roman"/>
        </w:rPr>
        <w:t xml:space="preserve">, </w:t>
      </w:r>
      <w:r>
        <w:rPr>
          <w:rFonts w:ascii="Times New Roman" w:hAnsi="Times New Roman" w:cs="Times New Roman"/>
        </w:rPr>
        <w:t>(</w:t>
      </w:r>
      <w:r w:rsidRPr="003B35C4">
        <w:rPr>
          <w:rFonts w:ascii="Times New Roman" w:hAnsi="Times New Roman" w:cs="Times New Roman"/>
        </w:rPr>
        <w:t>n 6</w:t>
      </w:r>
      <w:r>
        <w:rPr>
          <w:rFonts w:ascii="Times New Roman" w:hAnsi="Times New Roman" w:cs="Times New Roman"/>
        </w:rPr>
        <w:t>5)</w:t>
      </w:r>
      <w:r w:rsidRPr="003B35C4">
        <w:rPr>
          <w:rFonts w:ascii="Times New Roman" w:hAnsi="Times New Roman" w:cs="Times New Roman"/>
        </w:rPr>
        <w:t xml:space="preserve">, para 233; and </w:t>
      </w:r>
      <w:r w:rsidRPr="003B35C4">
        <w:rPr>
          <w:rFonts w:ascii="Times New Roman" w:hAnsi="Times New Roman" w:cs="Times New Roman"/>
          <w:i/>
        </w:rPr>
        <w:t xml:space="preserve">Szabo and </w:t>
      </w:r>
      <w:proofErr w:type="spellStart"/>
      <w:r w:rsidRPr="003B35C4">
        <w:rPr>
          <w:rFonts w:ascii="Times New Roman" w:hAnsi="Times New Roman" w:cs="Times New Roman"/>
          <w:i/>
        </w:rPr>
        <w:t>Vissy</w:t>
      </w:r>
      <w:proofErr w:type="spellEnd"/>
      <w:r w:rsidRPr="003B35C4">
        <w:rPr>
          <w:rFonts w:ascii="Times New Roman" w:hAnsi="Times New Roman" w:cs="Times New Roman"/>
          <w:i/>
        </w:rPr>
        <w:t xml:space="preserve"> v Hungary</w:t>
      </w:r>
      <w:r w:rsidRPr="003B35C4">
        <w:rPr>
          <w:rFonts w:ascii="Times New Roman" w:hAnsi="Times New Roman" w:cs="Times New Roman"/>
        </w:rPr>
        <w:t>, App no 37138/14 (2016), para 77.</w:t>
      </w:r>
    </w:p>
  </w:footnote>
  <w:footnote w:id="7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 xml:space="preserve">Szabo and </w:t>
      </w:r>
      <w:proofErr w:type="spellStart"/>
      <w:r w:rsidRPr="003B35C4">
        <w:rPr>
          <w:rFonts w:ascii="Times New Roman" w:hAnsi="Times New Roman" w:cs="Times New Roman"/>
          <w:i/>
        </w:rPr>
        <w:t>Vissy</w:t>
      </w:r>
      <w:proofErr w:type="spellEnd"/>
      <w:r w:rsidRPr="003B35C4">
        <w:rPr>
          <w:rFonts w:ascii="Times New Roman" w:hAnsi="Times New Roman" w:cs="Times New Roman"/>
        </w:rPr>
        <w:t xml:space="preserve">, </w:t>
      </w:r>
      <w:r w:rsidRPr="009B040A">
        <w:rPr>
          <w:rFonts w:ascii="Times New Roman" w:hAnsi="Times New Roman" w:cs="Times New Roman"/>
          <w:i/>
        </w:rPr>
        <w:t>ibid</w:t>
      </w:r>
      <w:r w:rsidRPr="003B35C4">
        <w:rPr>
          <w:rFonts w:ascii="Times New Roman" w:hAnsi="Times New Roman" w:cs="Times New Roman"/>
        </w:rPr>
        <w:t xml:space="preserve">. </w:t>
      </w:r>
    </w:p>
  </w:footnote>
  <w:footnote w:id="72">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Pr>
          <w:rFonts w:ascii="Times New Roman" w:hAnsi="Times New Roman" w:cs="Times New Roman"/>
        </w:rPr>
        <w:t xml:space="preserve">See for instance, </w:t>
      </w:r>
      <w:r w:rsidRPr="003B35C4">
        <w:rPr>
          <w:rFonts w:ascii="Times New Roman" w:hAnsi="Times New Roman" w:cs="Times New Roman"/>
          <w:i/>
        </w:rPr>
        <w:t>Concluding Observations on the Seventh Periodic Report of the United Kingdom of Great Britain and Northern Ireland</w:t>
      </w:r>
      <w:r w:rsidRPr="003B35C4">
        <w:rPr>
          <w:rFonts w:ascii="Times New Roman" w:hAnsi="Times New Roman" w:cs="Times New Roman"/>
        </w:rPr>
        <w:t xml:space="preserve">, CCPR/C/GBR/CO/7 (2015), para 24; </w:t>
      </w:r>
      <w:r w:rsidRPr="003B35C4">
        <w:rPr>
          <w:rFonts w:ascii="Times New Roman" w:hAnsi="Times New Roman" w:cs="Times New Roman"/>
          <w:i/>
        </w:rPr>
        <w:t>Concluding Observation on the Fifth Periodic Report of France</w:t>
      </w:r>
      <w:r w:rsidRPr="003B35C4">
        <w:rPr>
          <w:rFonts w:ascii="Times New Roman" w:hAnsi="Times New Roman" w:cs="Times New Roman"/>
        </w:rPr>
        <w:t xml:space="preserve">, CCPR/C/FRA/CO/5 (2016), para 12; </w:t>
      </w:r>
      <w:r w:rsidRPr="003B35C4">
        <w:rPr>
          <w:rFonts w:ascii="Times New Roman" w:hAnsi="Times New Roman" w:cs="Times New Roman"/>
          <w:i/>
        </w:rPr>
        <w:t>Concluding Observations on the Second Periodic Report of Honduras</w:t>
      </w:r>
      <w:r w:rsidRPr="003B35C4">
        <w:rPr>
          <w:rFonts w:ascii="Times New Roman" w:hAnsi="Times New Roman" w:cs="Times New Roman"/>
        </w:rPr>
        <w:t xml:space="preserve">, CCPR/C/HND/2 (2017), para 39; and </w:t>
      </w:r>
      <w:r w:rsidRPr="003B35C4">
        <w:rPr>
          <w:rFonts w:ascii="Times New Roman" w:hAnsi="Times New Roman" w:cs="Times New Roman"/>
          <w:i/>
        </w:rPr>
        <w:t>Concluding Observations on the Initial Report of Pakistan</w:t>
      </w:r>
      <w:r w:rsidRPr="003B35C4">
        <w:rPr>
          <w:rFonts w:ascii="Times New Roman" w:hAnsi="Times New Roman" w:cs="Times New Roman"/>
        </w:rPr>
        <w:t xml:space="preserve">, CCPR/C/PAK/1 (2017), para 36.  </w:t>
      </w:r>
    </w:p>
  </w:footnote>
  <w:footnote w:id="73">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Eliza Watt, ‘The Right to Privacy and the Future of Mass Surveillance’ (2017) 21 </w:t>
      </w:r>
      <w:r w:rsidRPr="003B35C4">
        <w:rPr>
          <w:rFonts w:ascii="Times New Roman" w:hAnsi="Times New Roman" w:cs="Times New Roman"/>
          <w:i/>
        </w:rPr>
        <w:t>International Journal of Human Rights</w:t>
      </w:r>
      <w:r w:rsidRPr="003B35C4">
        <w:rPr>
          <w:rFonts w:ascii="Times New Roman" w:hAnsi="Times New Roman" w:cs="Times New Roman"/>
        </w:rPr>
        <w:t xml:space="preserve"> 773, 789. </w:t>
      </w:r>
    </w:p>
  </w:footnote>
  <w:footnote w:id="74">
    <w:p w:rsidR="003B5ED2" w:rsidRPr="003B35C4" w:rsidRDefault="003B5ED2" w:rsidP="008D4910">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Style w:val="sb8d990e2"/>
          <w:rFonts w:ascii="Times New Roman" w:hAnsi="Times New Roman" w:cs="Times New Roman"/>
        </w:rPr>
        <w:t xml:space="preserve"> </w:t>
      </w:r>
      <w:r w:rsidRPr="003B35C4">
        <w:rPr>
          <w:rStyle w:val="s6b621b36"/>
          <w:rFonts w:ascii="Times New Roman" w:hAnsi="Times New Roman" w:cs="Times New Roman"/>
          <w:i/>
        </w:rPr>
        <w:t>Weber and Saravia</w:t>
      </w:r>
      <w:r w:rsidRPr="003B35C4">
        <w:rPr>
          <w:rStyle w:val="sb8d990e2"/>
          <w:rFonts w:ascii="Times New Roman" w:hAnsi="Times New Roman" w:cs="Times New Roman"/>
        </w:rPr>
        <w:t xml:space="preserve">, </w:t>
      </w:r>
      <w:r>
        <w:rPr>
          <w:rStyle w:val="sb8d990e2"/>
          <w:rFonts w:ascii="Times New Roman" w:hAnsi="Times New Roman" w:cs="Times New Roman"/>
        </w:rPr>
        <w:t>(</w:t>
      </w:r>
      <w:r w:rsidRPr="003B35C4">
        <w:rPr>
          <w:rStyle w:val="sb8d990e2"/>
          <w:rFonts w:ascii="Times New Roman" w:hAnsi="Times New Roman" w:cs="Times New Roman"/>
        </w:rPr>
        <w:t xml:space="preserve">n </w:t>
      </w:r>
      <w:r>
        <w:rPr>
          <w:rStyle w:val="sb8d990e2"/>
          <w:rFonts w:ascii="Times New Roman" w:hAnsi="Times New Roman" w:cs="Times New Roman"/>
        </w:rPr>
        <w:t>69)</w:t>
      </w:r>
      <w:r w:rsidRPr="003B35C4">
        <w:rPr>
          <w:rStyle w:val="sb8d990e2"/>
          <w:rFonts w:ascii="Times New Roman" w:hAnsi="Times New Roman" w:cs="Times New Roman"/>
        </w:rPr>
        <w:t xml:space="preserve">, para 115. </w:t>
      </w:r>
    </w:p>
  </w:footnote>
  <w:footnote w:id="75">
    <w:p w:rsidR="003B5ED2" w:rsidRPr="003B35C4" w:rsidRDefault="003B5ED2" w:rsidP="008D4910">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Style w:val="s6b621b36"/>
          <w:rFonts w:ascii="Times New Roman" w:hAnsi="Times New Roman" w:cs="Times New Roman"/>
          <w:i/>
        </w:rPr>
        <w:t>Dumitru Popescu v. Romania (No. 2)</w:t>
      </w:r>
      <w:r w:rsidRPr="003B35C4">
        <w:rPr>
          <w:rStyle w:val="sb8d990e2"/>
          <w:rFonts w:ascii="Times New Roman" w:hAnsi="Times New Roman" w:cs="Times New Roman"/>
        </w:rPr>
        <w:t xml:space="preserve">, App no 71525/01 (2007), para 71; </w:t>
      </w:r>
      <w:r w:rsidRPr="003B35C4">
        <w:rPr>
          <w:rStyle w:val="sb8d990e2"/>
          <w:rFonts w:ascii="Times New Roman" w:hAnsi="Times New Roman" w:cs="Times New Roman"/>
          <w:i/>
        </w:rPr>
        <w:t xml:space="preserve">Szabo and </w:t>
      </w:r>
      <w:proofErr w:type="spellStart"/>
      <w:r w:rsidRPr="003B35C4">
        <w:rPr>
          <w:rFonts w:ascii="Times New Roman" w:hAnsi="Times New Roman" w:cs="Times New Roman"/>
          <w:i/>
        </w:rPr>
        <w:t>Vissy</w:t>
      </w:r>
      <w:proofErr w:type="spellEnd"/>
      <w:r w:rsidRPr="003B35C4">
        <w:rPr>
          <w:rFonts w:ascii="Times New Roman" w:hAnsi="Times New Roman" w:cs="Times New Roman"/>
        </w:rPr>
        <w:t>,</w:t>
      </w:r>
      <w:r>
        <w:rPr>
          <w:rFonts w:ascii="Times New Roman" w:hAnsi="Times New Roman" w:cs="Times New Roman"/>
        </w:rPr>
        <w:t xml:space="preserve"> (</w:t>
      </w:r>
      <w:r w:rsidRPr="003B35C4">
        <w:rPr>
          <w:rFonts w:ascii="Times New Roman" w:hAnsi="Times New Roman" w:cs="Times New Roman"/>
        </w:rPr>
        <w:t>n 7</w:t>
      </w:r>
      <w:r>
        <w:rPr>
          <w:rFonts w:ascii="Times New Roman" w:hAnsi="Times New Roman" w:cs="Times New Roman"/>
        </w:rPr>
        <w:t>0)</w:t>
      </w:r>
      <w:r w:rsidRPr="003B35C4">
        <w:rPr>
          <w:rFonts w:ascii="Times New Roman" w:hAnsi="Times New Roman" w:cs="Times New Roman"/>
        </w:rPr>
        <w:t xml:space="preserve">, para 77; and </w:t>
      </w:r>
      <w:proofErr w:type="spellStart"/>
      <w:r w:rsidRPr="003B35C4">
        <w:rPr>
          <w:rStyle w:val="sb8d990e2"/>
          <w:rFonts w:ascii="Times New Roman" w:hAnsi="Times New Roman" w:cs="Times New Roman"/>
          <w:i/>
        </w:rPr>
        <w:t>Zakharov</w:t>
      </w:r>
      <w:proofErr w:type="spellEnd"/>
      <w:r w:rsidRPr="003B35C4">
        <w:rPr>
          <w:rStyle w:val="sb8d990e2"/>
          <w:rFonts w:ascii="Times New Roman" w:hAnsi="Times New Roman" w:cs="Times New Roman"/>
        </w:rPr>
        <w:t xml:space="preserve">, </w:t>
      </w:r>
      <w:r>
        <w:rPr>
          <w:rStyle w:val="sb8d990e2"/>
          <w:rFonts w:ascii="Times New Roman" w:hAnsi="Times New Roman" w:cs="Times New Roman"/>
        </w:rPr>
        <w:t>(</w:t>
      </w:r>
      <w:r w:rsidRPr="003B35C4">
        <w:rPr>
          <w:rStyle w:val="sb8d990e2"/>
          <w:rFonts w:ascii="Times New Roman" w:hAnsi="Times New Roman" w:cs="Times New Roman"/>
        </w:rPr>
        <w:t>n 6</w:t>
      </w:r>
      <w:r>
        <w:rPr>
          <w:rStyle w:val="sb8d990e2"/>
          <w:rFonts w:ascii="Times New Roman" w:hAnsi="Times New Roman" w:cs="Times New Roman"/>
        </w:rPr>
        <w:t>5)</w:t>
      </w:r>
      <w:r w:rsidRPr="003B35C4">
        <w:rPr>
          <w:rStyle w:val="sb8d990e2"/>
          <w:rFonts w:ascii="Times New Roman" w:hAnsi="Times New Roman" w:cs="Times New Roman"/>
        </w:rPr>
        <w:t xml:space="preserve">, paras 257 and 275.  </w:t>
      </w:r>
    </w:p>
  </w:footnote>
  <w:footnote w:id="76">
    <w:p w:rsidR="003B5ED2" w:rsidRPr="003B35C4" w:rsidRDefault="003B5ED2" w:rsidP="00141069">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Style w:val="s6b621b36"/>
          <w:rFonts w:ascii="Times New Roman" w:hAnsi="Times New Roman" w:cs="Times New Roman"/>
          <w:i/>
        </w:rPr>
        <w:t xml:space="preserve">Association for European Integration and Human Rights and </w:t>
      </w:r>
      <w:proofErr w:type="spellStart"/>
      <w:r w:rsidRPr="003B35C4">
        <w:rPr>
          <w:rStyle w:val="s6b621b36"/>
          <w:rFonts w:ascii="Times New Roman" w:hAnsi="Times New Roman" w:cs="Times New Roman"/>
          <w:i/>
        </w:rPr>
        <w:t>Ekimdzhiev</w:t>
      </w:r>
      <w:proofErr w:type="spellEnd"/>
      <w:r w:rsidRPr="003B35C4">
        <w:rPr>
          <w:rStyle w:val="s6b621b36"/>
          <w:rFonts w:ascii="Times New Roman" w:hAnsi="Times New Roman" w:cs="Times New Roman"/>
        </w:rPr>
        <w:t xml:space="preserve"> </w:t>
      </w:r>
      <w:r w:rsidRPr="003B35C4">
        <w:rPr>
          <w:rStyle w:val="s6b621b36"/>
          <w:rFonts w:ascii="Times New Roman" w:hAnsi="Times New Roman" w:cs="Times New Roman"/>
          <w:i/>
        </w:rPr>
        <w:t>v. Bulgaria</w:t>
      </w:r>
      <w:r w:rsidRPr="003B35C4">
        <w:rPr>
          <w:rStyle w:val="s6b621b36"/>
          <w:rFonts w:ascii="Times New Roman" w:hAnsi="Times New Roman" w:cs="Times New Roman"/>
        </w:rPr>
        <w:t xml:space="preserve">, App no 62540/00 (2008), </w:t>
      </w:r>
      <w:r w:rsidRPr="003B35C4">
        <w:rPr>
          <w:rStyle w:val="sb8d990e2"/>
          <w:rFonts w:ascii="Times New Roman" w:hAnsi="Times New Roman" w:cs="Times New Roman"/>
        </w:rPr>
        <w:t xml:space="preserve">paras 85 and 87. </w:t>
      </w:r>
    </w:p>
  </w:footnote>
  <w:footnote w:id="77">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Style w:val="s6b621b36"/>
          <w:rFonts w:ascii="Times New Roman" w:hAnsi="Times New Roman" w:cs="Times New Roman"/>
          <w:i/>
        </w:rPr>
        <w:t>Zakharov</w:t>
      </w:r>
      <w:proofErr w:type="spellEnd"/>
      <w:r w:rsidRPr="003B35C4">
        <w:rPr>
          <w:rStyle w:val="s6b621b36"/>
          <w:rFonts w:ascii="Times New Roman" w:hAnsi="Times New Roman" w:cs="Times New Roman"/>
        </w:rPr>
        <w:t>,</w:t>
      </w:r>
      <w:r>
        <w:rPr>
          <w:rStyle w:val="s6b621b36"/>
          <w:rFonts w:ascii="Times New Roman" w:hAnsi="Times New Roman" w:cs="Times New Roman"/>
        </w:rPr>
        <w:t xml:space="preserve"> (</w:t>
      </w:r>
      <w:r w:rsidRPr="003B35C4">
        <w:rPr>
          <w:rStyle w:val="s6b621b36"/>
          <w:rFonts w:ascii="Times New Roman" w:hAnsi="Times New Roman" w:cs="Times New Roman"/>
        </w:rPr>
        <w:t>n 6</w:t>
      </w:r>
      <w:r>
        <w:rPr>
          <w:rStyle w:val="s6b621b36"/>
          <w:rFonts w:ascii="Times New Roman" w:hAnsi="Times New Roman" w:cs="Times New Roman"/>
        </w:rPr>
        <w:t>5)</w:t>
      </w:r>
      <w:r w:rsidRPr="003B35C4">
        <w:rPr>
          <w:rStyle w:val="s6b621b36"/>
          <w:rFonts w:ascii="Times New Roman" w:hAnsi="Times New Roman" w:cs="Times New Roman"/>
        </w:rPr>
        <w:t>, para</w:t>
      </w:r>
      <w:r>
        <w:rPr>
          <w:rStyle w:val="s6b621b36"/>
          <w:rFonts w:ascii="Times New Roman" w:hAnsi="Times New Roman" w:cs="Times New Roman"/>
        </w:rPr>
        <w:t>s</w:t>
      </w:r>
      <w:r w:rsidRPr="003B35C4">
        <w:rPr>
          <w:rStyle w:val="s6b621b36"/>
          <w:rFonts w:ascii="Times New Roman" w:hAnsi="Times New Roman" w:cs="Times New Roman"/>
        </w:rPr>
        <w:t xml:space="preserve"> 278 and 279.</w:t>
      </w:r>
    </w:p>
  </w:footnote>
  <w:footnote w:id="78">
    <w:p w:rsidR="003B5ED2" w:rsidRPr="003B35C4" w:rsidRDefault="003B5ED2" w:rsidP="009668F7">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i/>
        </w:rPr>
        <w:t>K</w:t>
      </w:r>
      <w:r w:rsidRPr="003B35C4">
        <w:rPr>
          <w:rStyle w:val="s6b621b36"/>
          <w:rFonts w:ascii="Times New Roman" w:hAnsi="Times New Roman" w:cs="Times New Roman"/>
          <w:i/>
        </w:rPr>
        <w:t>lass</w:t>
      </w:r>
      <w:proofErr w:type="spellEnd"/>
      <w:r w:rsidRPr="003B35C4">
        <w:rPr>
          <w:rStyle w:val="s6b621b36"/>
          <w:rFonts w:ascii="Times New Roman" w:hAnsi="Times New Roman" w:cs="Times New Roman"/>
          <w:i/>
        </w:rPr>
        <w:t xml:space="preserve"> and Others</w:t>
      </w:r>
      <w:r w:rsidRPr="003B35C4">
        <w:rPr>
          <w:rStyle w:val="sb8d990e2"/>
          <w:rFonts w:ascii="Times New Roman" w:hAnsi="Times New Roman" w:cs="Times New Roman"/>
        </w:rPr>
        <w:t xml:space="preserve">, </w:t>
      </w:r>
      <w:r>
        <w:rPr>
          <w:rStyle w:val="sb8d990e2"/>
          <w:rFonts w:ascii="Times New Roman" w:hAnsi="Times New Roman" w:cs="Times New Roman"/>
        </w:rPr>
        <w:t>(</w:t>
      </w:r>
      <w:r w:rsidRPr="003B35C4">
        <w:rPr>
          <w:rStyle w:val="sb8d990e2"/>
          <w:rFonts w:ascii="Times New Roman" w:hAnsi="Times New Roman" w:cs="Times New Roman"/>
        </w:rPr>
        <w:t>n 7</w:t>
      </w:r>
      <w:r>
        <w:rPr>
          <w:rStyle w:val="sb8d990e2"/>
          <w:rFonts w:ascii="Times New Roman" w:hAnsi="Times New Roman" w:cs="Times New Roman"/>
        </w:rPr>
        <w:t>0)</w:t>
      </w:r>
      <w:r w:rsidRPr="003B35C4">
        <w:rPr>
          <w:rStyle w:val="sb8d990e2"/>
          <w:rFonts w:ascii="Times New Roman" w:hAnsi="Times New Roman" w:cs="Times New Roman"/>
        </w:rPr>
        <w:t xml:space="preserve">, paras 21 and 56; </w:t>
      </w:r>
      <w:r w:rsidRPr="003B35C4">
        <w:rPr>
          <w:rStyle w:val="s6b621b36"/>
          <w:rFonts w:ascii="Times New Roman" w:hAnsi="Times New Roman" w:cs="Times New Roman"/>
          <w:i/>
        </w:rPr>
        <w:t>Weber and Saravia</w:t>
      </w:r>
      <w:r w:rsidRPr="003B35C4">
        <w:rPr>
          <w:rStyle w:val="sb8d990e2"/>
          <w:rFonts w:ascii="Times New Roman" w:hAnsi="Times New Roman" w:cs="Times New Roman"/>
        </w:rPr>
        <w:t xml:space="preserve">, </w:t>
      </w:r>
      <w:r>
        <w:rPr>
          <w:rStyle w:val="sb8d990e2"/>
          <w:rFonts w:ascii="Times New Roman" w:hAnsi="Times New Roman" w:cs="Times New Roman"/>
        </w:rPr>
        <w:t>(</w:t>
      </w:r>
      <w:r w:rsidRPr="003B35C4">
        <w:rPr>
          <w:rStyle w:val="sb8d990e2"/>
          <w:rFonts w:ascii="Times New Roman" w:hAnsi="Times New Roman" w:cs="Times New Roman"/>
        </w:rPr>
        <w:t xml:space="preserve">n </w:t>
      </w:r>
      <w:r>
        <w:rPr>
          <w:rStyle w:val="sb8d990e2"/>
          <w:rFonts w:ascii="Times New Roman" w:hAnsi="Times New Roman" w:cs="Times New Roman"/>
        </w:rPr>
        <w:t>69)</w:t>
      </w:r>
      <w:r w:rsidRPr="003B35C4">
        <w:rPr>
          <w:rStyle w:val="sb8d990e2"/>
          <w:rFonts w:ascii="Times New Roman" w:hAnsi="Times New Roman" w:cs="Times New Roman"/>
        </w:rPr>
        <w:t xml:space="preserve">, paras 24, 25 and 117; and </w:t>
      </w:r>
      <w:r w:rsidRPr="003B35C4">
        <w:rPr>
          <w:rStyle w:val="s6b621b36"/>
          <w:rFonts w:ascii="Times New Roman" w:hAnsi="Times New Roman" w:cs="Times New Roman"/>
          <w:i/>
        </w:rPr>
        <w:t>Leander</w:t>
      </w:r>
      <w:r w:rsidRPr="003B35C4">
        <w:rPr>
          <w:rStyle w:val="sb8d990e2"/>
          <w:rFonts w:ascii="Times New Roman" w:hAnsi="Times New Roman" w:cs="Times New Roman"/>
        </w:rPr>
        <w:t xml:space="preserve">, </w:t>
      </w:r>
      <w:r>
        <w:rPr>
          <w:rStyle w:val="sb8d990e2"/>
          <w:rFonts w:ascii="Times New Roman" w:hAnsi="Times New Roman" w:cs="Times New Roman"/>
        </w:rPr>
        <w:t>(</w:t>
      </w:r>
      <w:r w:rsidRPr="003B35C4">
        <w:rPr>
          <w:rStyle w:val="sb8d990e2"/>
          <w:rFonts w:ascii="Times New Roman" w:hAnsi="Times New Roman" w:cs="Times New Roman"/>
        </w:rPr>
        <w:t>n 6</w:t>
      </w:r>
      <w:r>
        <w:rPr>
          <w:rStyle w:val="sb8d990e2"/>
          <w:rFonts w:ascii="Times New Roman" w:hAnsi="Times New Roman" w:cs="Times New Roman"/>
        </w:rPr>
        <w:t>8)</w:t>
      </w:r>
      <w:r w:rsidRPr="003B35C4">
        <w:rPr>
          <w:rStyle w:val="sb8d990e2"/>
          <w:rFonts w:ascii="Times New Roman" w:hAnsi="Times New Roman" w:cs="Times New Roman"/>
        </w:rPr>
        <w:t xml:space="preserve">, para 65.  </w:t>
      </w:r>
    </w:p>
  </w:footnote>
  <w:footnote w:id="79">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 xml:space="preserve">Szabo and </w:t>
      </w:r>
      <w:proofErr w:type="spellStart"/>
      <w:r w:rsidRPr="003B35C4">
        <w:rPr>
          <w:rFonts w:ascii="Times New Roman" w:hAnsi="Times New Roman" w:cs="Times New Roman"/>
          <w:i/>
        </w:rPr>
        <w:t>Vissy</w:t>
      </w:r>
      <w:proofErr w:type="spellEnd"/>
      <w:r w:rsidRPr="003B35C4">
        <w:rPr>
          <w:rFonts w:ascii="Times New Roman" w:hAnsi="Times New Roman" w:cs="Times New Roman"/>
        </w:rPr>
        <w:t xml:space="preserve">, </w:t>
      </w:r>
      <w:r>
        <w:rPr>
          <w:rFonts w:ascii="Times New Roman" w:hAnsi="Times New Roman" w:cs="Times New Roman"/>
        </w:rPr>
        <w:t>(</w:t>
      </w:r>
      <w:r w:rsidRPr="003B35C4">
        <w:rPr>
          <w:rFonts w:ascii="Times New Roman" w:hAnsi="Times New Roman" w:cs="Times New Roman"/>
        </w:rPr>
        <w:t>n 7</w:t>
      </w:r>
      <w:r>
        <w:rPr>
          <w:rFonts w:ascii="Times New Roman" w:hAnsi="Times New Roman" w:cs="Times New Roman"/>
        </w:rPr>
        <w:t>0)</w:t>
      </w:r>
      <w:r w:rsidRPr="003B35C4">
        <w:rPr>
          <w:rFonts w:ascii="Times New Roman" w:hAnsi="Times New Roman" w:cs="Times New Roman"/>
        </w:rPr>
        <w:t xml:space="preserve">, para 77. </w:t>
      </w:r>
    </w:p>
  </w:footnote>
  <w:footnote w:id="80">
    <w:p w:rsidR="003B5ED2" w:rsidRPr="003B35C4" w:rsidRDefault="003B5ED2" w:rsidP="0092005F">
      <w:pPr>
        <w:pStyle w:val="FootnoteText"/>
        <w:jc w:val="both"/>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Telecommunications (Interception and Access) Act 1979 as amended.  </w:t>
      </w:r>
    </w:p>
  </w:footnote>
  <w:footnote w:id="81">
    <w:p w:rsidR="003B5ED2" w:rsidRPr="003B35C4" w:rsidRDefault="003B5ED2" w:rsidP="0092005F">
      <w:pPr>
        <w:pStyle w:val="FootnoteText"/>
        <w:jc w:val="both"/>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Part VI of the Canadian Criminal Code. </w:t>
      </w:r>
    </w:p>
  </w:footnote>
  <w:footnote w:id="82">
    <w:p w:rsidR="003B5ED2" w:rsidRPr="003B35C4" w:rsidRDefault="003B5ED2" w:rsidP="0092005F">
      <w:pPr>
        <w:pStyle w:val="FootnoteText"/>
        <w:jc w:val="both"/>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Criminal Procedure Code 2009 as amended, s</w:t>
      </w:r>
      <w:r>
        <w:rPr>
          <w:rFonts w:ascii="Times New Roman" w:hAnsi="Times New Roman" w:cs="Times New Roman"/>
        </w:rPr>
        <w:t xml:space="preserve"> </w:t>
      </w:r>
      <w:r w:rsidRPr="003B35C4">
        <w:rPr>
          <w:rFonts w:ascii="Times New Roman" w:hAnsi="Times New Roman" w:cs="Times New Roman"/>
        </w:rPr>
        <w:t xml:space="preserve">100b. </w:t>
      </w:r>
    </w:p>
  </w:footnote>
  <w:footnote w:id="83">
    <w:p w:rsidR="003B5ED2" w:rsidRPr="003B35C4" w:rsidRDefault="003B5ED2" w:rsidP="0092005F">
      <w:pPr>
        <w:pStyle w:val="FootnoteText"/>
        <w:jc w:val="both"/>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Special Powers of Investigation Act 2000.</w:t>
      </w:r>
    </w:p>
  </w:footnote>
  <w:footnote w:id="84">
    <w:p w:rsidR="003B5ED2" w:rsidRPr="003B35C4" w:rsidRDefault="003B5ED2" w:rsidP="0092005F">
      <w:pPr>
        <w:pStyle w:val="FootnoteText"/>
        <w:jc w:val="both"/>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Criminal Procedure Code 1997,</w:t>
      </w:r>
      <w:r>
        <w:rPr>
          <w:rFonts w:ascii="Times New Roman" w:hAnsi="Times New Roman" w:cs="Times New Roman"/>
        </w:rPr>
        <w:t xml:space="preserve"> </w:t>
      </w:r>
      <w:r w:rsidRPr="003B35C4">
        <w:rPr>
          <w:rFonts w:ascii="Times New Roman" w:hAnsi="Times New Roman" w:cs="Times New Roman"/>
        </w:rPr>
        <w:t xml:space="preserve">as amended, </w:t>
      </w:r>
      <w:r>
        <w:rPr>
          <w:rFonts w:ascii="Times New Roman" w:hAnsi="Times New Roman" w:cs="Times New Roman"/>
        </w:rPr>
        <w:t>C</w:t>
      </w:r>
      <w:r w:rsidRPr="003B35C4">
        <w:rPr>
          <w:rFonts w:ascii="Times New Roman" w:hAnsi="Times New Roman" w:cs="Times New Roman"/>
        </w:rPr>
        <w:t>h</w:t>
      </w:r>
      <w:r>
        <w:rPr>
          <w:rFonts w:ascii="Times New Roman" w:hAnsi="Times New Roman" w:cs="Times New Roman"/>
        </w:rPr>
        <w:t>.</w:t>
      </w:r>
      <w:r w:rsidRPr="003B35C4">
        <w:rPr>
          <w:rFonts w:ascii="Times New Roman" w:hAnsi="Times New Roman" w:cs="Times New Roman"/>
        </w:rPr>
        <w:t xml:space="preserve"> 26.</w:t>
      </w:r>
    </w:p>
  </w:footnote>
  <w:footnote w:id="85">
    <w:p w:rsidR="003B5ED2" w:rsidRPr="003B35C4" w:rsidRDefault="003B5ED2" w:rsidP="0092005F">
      <w:pPr>
        <w:pStyle w:val="FootnoteText"/>
        <w:jc w:val="both"/>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Regulation of Interception of Communications and Provision of Communication Related Information Act 2002.  </w:t>
      </w:r>
    </w:p>
  </w:footnote>
  <w:footnote w:id="86">
    <w:p w:rsidR="003B5ED2" w:rsidRPr="003B35C4" w:rsidRDefault="003B5ED2" w:rsidP="0092005F">
      <w:pPr>
        <w:pStyle w:val="FootnoteText"/>
        <w:jc w:val="both"/>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Spanish Criminal Procedure Code, ss 197-199.  </w:t>
      </w:r>
    </w:p>
  </w:footnote>
  <w:footnote w:id="87">
    <w:p w:rsidR="003B5ED2" w:rsidRPr="003B35C4" w:rsidRDefault="003B5ED2" w:rsidP="0092005F">
      <w:pPr>
        <w:pStyle w:val="FootnoteText"/>
        <w:jc w:val="both"/>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Criminal Procedure Code 2007, </w:t>
      </w:r>
      <w:r>
        <w:rPr>
          <w:rFonts w:ascii="Times New Roman" w:hAnsi="Times New Roman" w:cs="Times New Roman"/>
        </w:rPr>
        <w:t>A</w:t>
      </w:r>
      <w:r w:rsidRPr="003B35C4">
        <w:rPr>
          <w:rFonts w:ascii="Times New Roman" w:hAnsi="Times New Roman" w:cs="Times New Roman"/>
        </w:rPr>
        <w:t xml:space="preserve">rt 272. </w:t>
      </w:r>
    </w:p>
  </w:footnote>
  <w:footnote w:id="88">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Regulation of Investigatory Powers Act 2000 and Investigatory Powers Act 2016. </w:t>
      </w:r>
    </w:p>
  </w:footnote>
  <w:footnote w:id="89">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Sixth Periodic Report of Italy</w:t>
      </w:r>
      <w:r w:rsidRPr="003B35C4">
        <w:rPr>
          <w:rFonts w:ascii="Times New Roman" w:hAnsi="Times New Roman" w:cs="Times New Roman"/>
        </w:rPr>
        <w:t xml:space="preserve">, CCPR/C/ITA/6 (2017), para 37; and Concluding Observations the UK, </w:t>
      </w:r>
      <w:r>
        <w:rPr>
          <w:rFonts w:ascii="Times New Roman" w:hAnsi="Times New Roman" w:cs="Times New Roman"/>
        </w:rPr>
        <w:t>(</w:t>
      </w:r>
      <w:r w:rsidRPr="003B35C4">
        <w:rPr>
          <w:rFonts w:ascii="Times New Roman" w:hAnsi="Times New Roman" w:cs="Times New Roman"/>
        </w:rPr>
        <w:t>n 7</w:t>
      </w:r>
      <w:r>
        <w:rPr>
          <w:rFonts w:ascii="Times New Roman" w:hAnsi="Times New Roman" w:cs="Times New Roman"/>
        </w:rPr>
        <w:t>2)</w:t>
      </w:r>
      <w:r w:rsidRPr="003B35C4">
        <w:rPr>
          <w:rFonts w:ascii="Times New Roman" w:hAnsi="Times New Roman" w:cs="Times New Roman"/>
        </w:rPr>
        <w:t xml:space="preserve">, para 24.  </w:t>
      </w:r>
    </w:p>
  </w:footnote>
  <w:footnote w:id="90">
    <w:p w:rsidR="003B5ED2" w:rsidRPr="003B35C4" w:rsidRDefault="003B5ED2" w:rsidP="0092005F">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See for instance, Neil Richards, ‘The Dangers of Surveillance’ (2013) 126 </w:t>
      </w:r>
      <w:r w:rsidRPr="003B35C4">
        <w:rPr>
          <w:rFonts w:ascii="Times New Roman" w:hAnsi="Times New Roman" w:cs="Times New Roman"/>
          <w:i/>
        </w:rPr>
        <w:t>Harvard Law Review</w:t>
      </w:r>
      <w:r w:rsidRPr="003B35C4">
        <w:rPr>
          <w:rFonts w:ascii="Times New Roman" w:hAnsi="Times New Roman" w:cs="Times New Roman"/>
        </w:rPr>
        <w:t xml:space="preserve"> 1934, 1961; Susan </w:t>
      </w:r>
      <w:proofErr w:type="spellStart"/>
      <w:r w:rsidRPr="003B35C4">
        <w:rPr>
          <w:rFonts w:ascii="Times New Roman" w:hAnsi="Times New Roman" w:cs="Times New Roman"/>
        </w:rPr>
        <w:t>Freinwalds</w:t>
      </w:r>
      <w:proofErr w:type="spellEnd"/>
      <w:r w:rsidRPr="003B35C4">
        <w:rPr>
          <w:rFonts w:ascii="Times New Roman" w:hAnsi="Times New Roman" w:cs="Times New Roman"/>
        </w:rPr>
        <w:t xml:space="preserve"> and Sylvain </w:t>
      </w:r>
      <w:proofErr w:type="spellStart"/>
      <w:r w:rsidRPr="003B35C4">
        <w:rPr>
          <w:rFonts w:ascii="Times New Roman" w:hAnsi="Times New Roman" w:cs="Times New Roman"/>
        </w:rPr>
        <w:t>Mettile</w:t>
      </w:r>
      <w:proofErr w:type="spellEnd"/>
      <w:r w:rsidRPr="003B35C4">
        <w:rPr>
          <w:rFonts w:ascii="Times New Roman" w:hAnsi="Times New Roman" w:cs="Times New Roman"/>
        </w:rPr>
        <w:t xml:space="preserve">, ‘Reforming the Surveillance Law: The Swiss Model’ (2013) 28 </w:t>
      </w:r>
      <w:r w:rsidRPr="003B35C4">
        <w:rPr>
          <w:rFonts w:ascii="Times New Roman" w:hAnsi="Times New Roman" w:cs="Times New Roman"/>
          <w:i/>
        </w:rPr>
        <w:t xml:space="preserve">Berkeley Technology Law Journal </w:t>
      </w:r>
      <w:r w:rsidRPr="003B35C4">
        <w:rPr>
          <w:rFonts w:ascii="Times New Roman" w:hAnsi="Times New Roman" w:cs="Times New Roman"/>
        </w:rPr>
        <w:t xml:space="preserve">1261; and Tyler C Anderson, ‘Towards Institutional Reform of Intelligence Surveillance: A Proposal to Amend the Foreign Intelligence Services Act’ (2014) 8 </w:t>
      </w:r>
      <w:r w:rsidRPr="003B35C4">
        <w:rPr>
          <w:rFonts w:ascii="Times New Roman" w:hAnsi="Times New Roman" w:cs="Times New Roman"/>
          <w:i/>
        </w:rPr>
        <w:t>Harvard Law and Policy Review</w:t>
      </w:r>
      <w:r w:rsidRPr="003B35C4">
        <w:rPr>
          <w:rFonts w:ascii="Times New Roman" w:hAnsi="Times New Roman" w:cs="Times New Roman"/>
        </w:rPr>
        <w:t xml:space="preserve"> 413. </w:t>
      </w:r>
    </w:p>
  </w:footnote>
  <w:footnote w:id="9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Combined Fourth and Fifth Reports of Jordan</w:t>
      </w:r>
      <w:r w:rsidRPr="003B35C4">
        <w:rPr>
          <w:rFonts w:ascii="Times New Roman" w:hAnsi="Times New Roman" w:cs="Times New Roman"/>
        </w:rPr>
        <w:t xml:space="preserve">, CRC/C/JOR/4-5 (2014), para 62; </w:t>
      </w:r>
      <w:r w:rsidRPr="003B35C4">
        <w:rPr>
          <w:rFonts w:ascii="Times New Roman" w:hAnsi="Times New Roman" w:cs="Times New Roman"/>
          <w:i/>
        </w:rPr>
        <w:t>Concluding Observations on the Fifth Periodic Report of Kuwait</w:t>
      </w:r>
      <w:r w:rsidRPr="003B35C4">
        <w:rPr>
          <w:rFonts w:ascii="Times New Roman" w:hAnsi="Times New Roman" w:cs="Times New Roman"/>
        </w:rPr>
        <w:t xml:space="preserve">, CEDAW/C/KWT/5 (2017), para 29; </w:t>
      </w:r>
      <w:r w:rsidRPr="003B35C4">
        <w:rPr>
          <w:rFonts w:ascii="Times New Roman" w:hAnsi="Times New Roman" w:cs="Times New Roman"/>
          <w:i/>
        </w:rPr>
        <w:t>Concluding Observations on the Initial Report of Burkina Faso</w:t>
      </w:r>
      <w:r w:rsidRPr="003B35C4">
        <w:rPr>
          <w:rFonts w:ascii="Times New Roman" w:hAnsi="Times New Roman" w:cs="Times New Roman"/>
        </w:rPr>
        <w:t xml:space="preserve">, CCPR/C/BFA/1 (2016), para 36; and </w:t>
      </w:r>
      <w:r w:rsidRPr="003B35C4">
        <w:rPr>
          <w:rFonts w:ascii="Times New Roman" w:hAnsi="Times New Roman" w:cs="Times New Roman"/>
          <w:i/>
        </w:rPr>
        <w:t>Concluding Observations on Swaziland in the Absence of a Report</w:t>
      </w:r>
      <w:r w:rsidRPr="003B35C4">
        <w:rPr>
          <w:rFonts w:ascii="Times New Roman" w:hAnsi="Times New Roman" w:cs="Times New Roman"/>
        </w:rPr>
        <w:t xml:space="preserve">, CCPR/C/SZW/CO/1 (2017), para 43.    </w:t>
      </w:r>
    </w:p>
  </w:footnote>
  <w:footnote w:id="92">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Art 6(2).  </w:t>
      </w:r>
    </w:p>
  </w:footnote>
  <w:footnote w:id="93">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1641 UNTS 141. See Status of Ratification at &lt;</w:t>
      </w:r>
      <w:hyperlink r:id="rId2" w:history="1">
        <w:r w:rsidRPr="003B35C4">
          <w:rPr>
            <w:rStyle w:val="Hyperlink"/>
            <w:rFonts w:ascii="Times New Roman" w:hAnsi="Times New Roman" w:cs="Times New Roman"/>
          </w:rPr>
          <w:t>www.indicators.ohchr.org</w:t>
        </w:r>
      </w:hyperlink>
      <w:r w:rsidRPr="003B35C4">
        <w:rPr>
          <w:rFonts w:ascii="Times New Roman" w:hAnsi="Times New Roman" w:cs="Times New Roman"/>
        </w:rPr>
        <w:t xml:space="preserve">&gt; </w:t>
      </w:r>
      <w:r w:rsidR="00C94AB3">
        <w:rPr>
          <w:rFonts w:ascii="Times New Roman" w:hAnsi="Times New Roman" w:cs="Times New Roman"/>
        </w:rPr>
        <w:t>accessed 1 April 2019</w:t>
      </w:r>
      <w:r w:rsidRPr="003B35C4">
        <w:rPr>
          <w:rFonts w:ascii="Times New Roman" w:hAnsi="Times New Roman" w:cs="Times New Roman"/>
        </w:rPr>
        <w:t>.</w:t>
      </w:r>
    </w:p>
  </w:footnote>
  <w:footnote w:id="94">
    <w:p w:rsidR="003B5ED2" w:rsidRPr="003B35C4" w:rsidRDefault="003B5ED2" w:rsidP="004308BA">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Third Periodic Report of Sudan</w:t>
      </w:r>
      <w:r w:rsidRPr="003B35C4">
        <w:rPr>
          <w:rFonts w:ascii="Times New Roman" w:hAnsi="Times New Roman" w:cs="Times New Roman"/>
        </w:rPr>
        <w:t xml:space="preserve">, </w:t>
      </w:r>
      <w:r w:rsidRPr="003B35C4">
        <w:rPr>
          <w:rStyle w:val="sessionsubtitle"/>
          <w:rFonts w:ascii="Times New Roman" w:hAnsi="Times New Roman" w:cs="Times New Roman"/>
        </w:rPr>
        <w:t xml:space="preserve">CCPR/C/SDN/CO/3 (2007), para 19; </w:t>
      </w:r>
      <w:r w:rsidRPr="003B35C4">
        <w:rPr>
          <w:rFonts w:ascii="Times New Roman" w:hAnsi="Times New Roman" w:cs="Times New Roman"/>
          <w:i/>
        </w:rPr>
        <w:t>Concluding Observations on the Initial Report of Indonesia</w:t>
      </w:r>
      <w:r w:rsidRPr="003B35C4">
        <w:rPr>
          <w:rFonts w:ascii="Times New Roman" w:hAnsi="Times New Roman" w:cs="Times New Roman"/>
        </w:rPr>
        <w:t xml:space="preserve">, CCPR/C/IDN/1 (2013), para 10;  </w:t>
      </w:r>
    </w:p>
    <w:p w:rsidR="003B5ED2" w:rsidRPr="003B35C4" w:rsidRDefault="003B5ED2">
      <w:pPr>
        <w:pStyle w:val="FootnoteText"/>
        <w:rPr>
          <w:rFonts w:ascii="Times New Roman" w:hAnsi="Times New Roman" w:cs="Times New Roman"/>
        </w:rPr>
      </w:pPr>
      <w:r w:rsidRPr="003B35C4">
        <w:rPr>
          <w:rFonts w:ascii="Times New Roman" w:hAnsi="Times New Roman" w:cs="Times New Roman"/>
          <w:i/>
        </w:rPr>
        <w:t>Concluding Observations on the Third Periodic Report of Kuwait</w:t>
      </w:r>
      <w:r w:rsidRPr="003B35C4">
        <w:rPr>
          <w:rFonts w:ascii="Times New Roman" w:hAnsi="Times New Roman" w:cs="Times New Roman"/>
        </w:rPr>
        <w:t>, CCPR/C/KWT/3 (2016), para 22; and Concluding Observations Pakistan</w:t>
      </w:r>
      <w:r w:rsidRPr="003B35C4">
        <w:rPr>
          <w:rFonts w:ascii="Times New Roman" w:hAnsi="Times New Roman" w:cs="Times New Roman"/>
          <w:i/>
        </w:rPr>
        <w:t>,</w:t>
      </w:r>
      <w:r w:rsidRPr="003B35C4">
        <w:rPr>
          <w:rFonts w:ascii="Times New Roman" w:hAnsi="Times New Roman" w:cs="Times New Roman"/>
        </w:rPr>
        <w:t xml:space="preserve"> </w:t>
      </w:r>
      <w:r w:rsidR="0094206C">
        <w:rPr>
          <w:rFonts w:ascii="Times New Roman" w:hAnsi="Times New Roman" w:cs="Times New Roman"/>
        </w:rPr>
        <w:t>(</w:t>
      </w:r>
      <w:r w:rsidRPr="003B35C4">
        <w:rPr>
          <w:rFonts w:ascii="Times New Roman" w:hAnsi="Times New Roman" w:cs="Times New Roman"/>
        </w:rPr>
        <w:t>n 7</w:t>
      </w:r>
      <w:r>
        <w:rPr>
          <w:rFonts w:ascii="Times New Roman" w:hAnsi="Times New Roman" w:cs="Times New Roman"/>
        </w:rPr>
        <w:t>2</w:t>
      </w:r>
      <w:r w:rsidR="0094206C">
        <w:rPr>
          <w:rFonts w:ascii="Times New Roman" w:hAnsi="Times New Roman" w:cs="Times New Roman"/>
        </w:rPr>
        <w:t>)</w:t>
      </w:r>
      <w:r w:rsidRPr="003B35C4">
        <w:rPr>
          <w:rFonts w:ascii="Times New Roman" w:hAnsi="Times New Roman" w:cs="Times New Roman"/>
        </w:rPr>
        <w:t xml:space="preserve">, para 17.  </w:t>
      </w:r>
    </w:p>
  </w:footnote>
  <w:footnote w:id="95">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Special Rapporteur on Torture and Other Cruel, Inhuman or Degrading Treatment or Punishment</w:t>
      </w:r>
      <w:r w:rsidRPr="003B35C4">
        <w:rPr>
          <w:rFonts w:ascii="Times New Roman" w:hAnsi="Times New Roman" w:cs="Times New Roman"/>
        </w:rPr>
        <w:t xml:space="preserve">, A/HRC/10/44 (2009), para 66. </w:t>
      </w:r>
    </w:p>
  </w:footnote>
  <w:footnote w:id="96">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Special Rapporteur on Extrajudicial, Summary or Arbitrary Executions</w:t>
      </w:r>
      <w:r w:rsidRPr="003B35C4">
        <w:rPr>
          <w:rFonts w:ascii="Times New Roman" w:hAnsi="Times New Roman" w:cs="Times New Roman"/>
        </w:rPr>
        <w:t>, A/HRC/4/20 (2007), para 53.</w:t>
      </w:r>
    </w:p>
  </w:footnote>
  <w:footnote w:id="97">
    <w:p w:rsidR="003B5ED2" w:rsidRPr="003B35C4" w:rsidRDefault="003B5ED2" w:rsidP="00084999">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Second Periodic Report of Thailand</w:t>
      </w:r>
      <w:r w:rsidRPr="003B35C4">
        <w:rPr>
          <w:rFonts w:ascii="Times New Roman" w:hAnsi="Times New Roman" w:cs="Times New Roman"/>
        </w:rPr>
        <w:t xml:space="preserve">, CCPR/C/THA/2 (2017), para 17. </w:t>
      </w:r>
    </w:p>
  </w:footnote>
  <w:footnote w:id="98">
    <w:p w:rsidR="003B5ED2" w:rsidRPr="003B35C4" w:rsidRDefault="003B5ED2" w:rsidP="00084999">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Special Rapporteur on Extrajudicial, Summary or Arbitrary Executions</w:t>
      </w:r>
      <w:r w:rsidRPr="003B35C4">
        <w:rPr>
          <w:rFonts w:ascii="Times New Roman" w:hAnsi="Times New Roman" w:cs="Times New Roman"/>
        </w:rPr>
        <w:t>, E/CN.4/2000/3/Add.1 (2000), para 110.</w:t>
      </w:r>
    </w:p>
  </w:footnote>
  <w:footnote w:id="99">
    <w:p w:rsidR="003B5ED2" w:rsidRPr="003B35C4" w:rsidRDefault="003B5ED2" w:rsidP="00084999">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Special Rapporteur on Extrajudicial, Summary or Arbitrary Executions</w:t>
      </w:r>
      <w:r w:rsidRPr="003B35C4">
        <w:rPr>
          <w:rFonts w:ascii="Times New Roman" w:hAnsi="Times New Roman" w:cs="Times New Roman"/>
        </w:rPr>
        <w:t xml:space="preserve">, E/CN.4/2002/74, para 114. </w:t>
      </w:r>
    </w:p>
  </w:footnote>
  <w:footnote w:id="100">
    <w:p w:rsidR="003B5ED2" w:rsidRPr="003B35C4" w:rsidRDefault="003B5ED2" w:rsidP="00084999">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Second Periodic Report of Guatemala</w:t>
      </w:r>
      <w:r w:rsidRPr="003B35C4">
        <w:rPr>
          <w:rFonts w:ascii="Times New Roman" w:hAnsi="Times New Roman" w:cs="Times New Roman"/>
        </w:rPr>
        <w:t>, CCPR/CO/72/GTM (2001), para 17.</w:t>
      </w:r>
    </w:p>
  </w:footnote>
  <w:footnote w:id="10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Question of the Death Penalty: Report of the Secretary-General</w:t>
      </w:r>
      <w:r w:rsidRPr="003B35C4">
        <w:rPr>
          <w:rFonts w:ascii="Times New Roman" w:hAnsi="Times New Roman" w:cs="Times New Roman"/>
        </w:rPr>
        <w:t xml:space="preserve">, A/HRC/24/18 (2013), para 24. </w:t>
      </w:r>
    </w:p>
  </w:footnote>
  <w:footnote w:id="102">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This has already been done for various crimes in </w:t>
      </w:r>
      <w:proofErr w:type="gramStart"/>
      <w:r w:rsidRPr="003B35C4">
        <w:rPr>
          <w:rFonts w:ascii="Times New Roman" w:hAnsi="Times New Roman" w:cs="Times New Roman"/>
        </w:rPr>
        <w:t>a number of</w:t>
      </w:r>
      <w:proofErr w:type="gramEnd"/>
      <w:r w:rsidRPr="003B35C4">
        <w:rPr>
          <w:rFonts w:ascii="Times New Roman" w:hAnsi="Times New Roman" w:cs="Times New Roman"/>
        </w:rPr>
        <w:t xml:space="preserve"> States.  See </w:t>
      </w:r>
      <w:r w:rsidRPr="003B35C4">
        <w:rPr>
          <w:rFonts w:ascii="Times New Roman" w:hAnsi="Times New Roman" w:cs="Times New Roman"/>
          <w:i/>
        </w:rPr>
        <w:t>Concluding Observations on the Fourth Periodic Report of Cameroon</w:t>
      </w:r>
      <w:r w:rsidRPr="003B35C4">
        <w:rPr>
          <w:rFonts w:ascii="Times New Roman" w:hAnsi="Times New Roman" w:cs="Times New Roman"/>
        </w:rPr>
        <w:t xml:space="preserve">, CCPR/C/CMR/4 (2010), para 14; </w:t>
      </w:r>
      <w:r w:rsidRPr="003B35C4">
        <w:rPr>
          <w:rFonts w:ascii="Times New Roman" w:hAnsi="Times New Roman" w:cs="Times New Roman"/>
          <w:i/>
        </w:rPr>
        <w:t>Concluding Observations on the Fourth Periodic Report of Jamaica</w:t>
      </w:r>
      <w:r w:rsidRPr="003B35C4">
        <w:rPr>
          <w:rFonts w:ascii="Times New Roman" w:hAnsi="Times New Roman" w:cs="Times New Roman"/>
        </w:rPr>
        <w:t>, CCPR/C/JAM/CO/4 (2016), para</w:t>
      </w:r>
      <w:r w:rsidR="0094206C">
        <w:rPr>
          <w:rFonts w:ascii="Times New Roman" w:hAnsi="Times New Roman" w:cs="Times New Roman"/>
        </w:rPr>
        <w:t xml:space="preserve"> </w:t>
      </w:r>
      <w:r w:rsidRPr="003B35C4">
        <w:rPr>
          <w:rFonts w:ascii="Times New Roman" w:hAnsi="Times New Roman" w:cs="Times New Roman"/>
        </w:rPr>
        <w:t xml:space="preserve">35; </w:t>
      </w:r>
      <w:r w:rsidRPr="003B35C4">
        <w:rPr>
          <w:rFonts w:ascii="Times New Roman" w:hAnsi="Times New Roman" w:cs="Times New Roman"/>
          <w:i/>
        </w:rPr>
        <w:t>Concluding Observations on the Initial Report of Ghana</w:t>
      </w:r>
      <w:r w:rsidRPr="003B35C4">
        <w:rPr>
          <w:rFonts w:ascii="Times New Roman" w:hAnsi="Times New Roman" w:cs="Times New Roman"/>
        </w:rPr>
        <w:t xml:space="preserve">, </w:t>
      </w:r>
      <w:r w:rsidRPr="003B35C4">
        <w:rPr>
          <w:rStyle w:val="sessionsubtitle"/>
          <w:rFonts w:ascii="Times New Roman" w:hAnsi="Times New Roman" w:cs="Times New Roman"/>
        </w:rPr>
        <w:t xml:space="preserve">CCPR/C/GHA/CO/1 (2016), para 19; </w:t>
      </w:r>
      <w:r w:rsidRPr="003B35C4">
        <w:rPr>
          <w:rFonts w:ascii="Times New Roman" w:hAnsi="Times New Roman" w:cs="Times New Roman"/>
          <w:i/>
        </w:rPr>
        <w:t>Concluding Observations on the Combined Fifth and Sixth Reports of Guatemala</w:t>
      </w:r>
      <w:r w:rsidRPr="003B35C4">
        <w:rPr>
          <w:rFonts w:ascii="Times New Roman" w:hAnsi="Times New Roman" w:cs="Times New Roman"/>
        </w:rPr>
        <w:t xml:space="preserve">, </w:t>
      </w:r>
      <w:r w:rsidRPr="003B35C4">
        <w:rPr>
          <w:rStyle w:val="sessionsubtitle"/>
          <w:rFonts w:ascii="Times New Roman" w:hAnsi="Times New Roman" w:cs="Times New Roman"/>
        </w:rPr>
        <w:t>CAT/C/GTM/CO/5-6 (2013), para</w:t>
      </w:r>
      <w:r w:rsidR="0094206C">
        <w:rPr>
          <w:rStyle w:val="sessionsubtitle"/>
          <w:rFonts w:ascii="Times New Roman" w:hAnsi="Times New Roman" w:cs="Times New Roman"/>
        </w:rPr>
        <w:t xml:space="preserve"> </w:t>
      </w:r>
      <w:r w:rsidRPr="003B35C4">
        <w:rPr>
          <w:rStyle w:val="sessionsubtitle"/>
          <w:rFonts w:ascii="Times New Roman" w:hAnsi="Times New Roman" w:cs="Times New Roman"/>
        </w:rPr>
        <w:t xml:space="preserve">25; </w:t>
      </w:r>
      <w:r w:rsidRPr="003B35C4">
        <w:rPr>
          <w:rFonts w:ascii="Times New Roman" w:hAnsi="Times New Roman" w:cs="Times New Roman"/>
          <w:i/>
        </w:rPr>
        <w:t>Concluding Observations on the Third Periodic Report of Kenya</w:t>
      </w:r>
      <w:r w:rsidRPr="003B35C4">
        <w:rPr>
          <w:rFonts w:ascii="Times New Roman" w:hAnsi="Times New Roman" w:cs="Times New Roman"/>
        </w:rPr>
        <w:t xml:space="preserve">, CCPR/C/KEN/3 (2012), para 10; </w:t>
      </w:r>
      <w:r w:rsidRPr="003B35C4">
        <w:rPr>
          <w:rFonts w:ascii="Times New Roman" w:hAnsi="Times New Roman" w:cs="Times New Roman"/>
          <w:i/>
        </w:rPr>
        <w:t>Concluding Observations on the Initial Report of Malawi</w:t>
      </w:r>
      <w:r w:rsidRPr="003B35C4">
        <w:rPr>
          <w:rFonts w:ascii="Times New Roman" w:hAnsi="Times New Roman" w:cs="Times New Roman"/>
        </w:rPr>
        <w:t>, CCPR/C/MWI/1 (2014), para</w:t>
      </w:r>
      <w:r w:rsidR="0094206C">
        <w:rPr>
          <w:rFonts w:ascii="Times New Roman" w:hAnsi="Times New Roman" w:cs="Times New Roman"/>
        </w:rPr>
        <w:t xml:space="preserve"> </w:t>
      </w:r>
      <w:r w:rsidRPr="003B35C4">
        <w:rPr>
          <w:rFonts w:ascii="Times New Roman" w:hAnsi="Times New Roman" w:cs="Times New Roman"/>
        </w:rPr>
        <w:t xml:space="preserve">11; </w:t>
      </w:r>
      <w:r w:rsidRPr="003B35C4">
        <w:rPr>
          <w:rFonts w:ascii="Times New Roman" w:hAnsi="Times New Roman" w:cs="Times New Roman"/>
          <w:i/>
        </w:rPr>
        <w:t>Concluding Observations on the Initial Report of Mauritania</w:t>
      </w:r>
      <w:r w:rsidRPr="003B35C4">
        <w:rPr>
          <w:rFonts w:ascii="Times New Roman" w:hAnsi="Times New Roman" w:cs="Times New Roman"/>
        </w:rPr>
        <w:t xml:space="preserve">, CCPR/C/MRT/1 (2013), para 12; </w:t>
      </w:r>
      <w:r w:rsidRPr="003B35C4">
        <w:rPr>
          <w:rFonts w:ascii="Times New Roman" w:hAnsi="Times New Roman" w:cs="Times New Roman"/>
          <w:i/>
        </w:rPr>
        <w:t>Concluding Observations on the Fifth Periodic Report of Russian Federation</w:t>
      </w:r>
      <w:r w:rsidRPr="003B35C4">
        <w:rPr>
          <w:rFonts w:ascii="Times New Roman" w:hAnsi="Times New Roman" w:cs="Times New Roman"/>
        </w:rPr>
        <w:t xml:space="preserve">, </w:t>
      </w:r>
      <w:r w:rsidRPr="003B35C4">
        <w:rPr>
          <w:rStyle w:val="sessionsubtitle"/>
          <w:rFonts w:ascii="Times New Roman" w:hAnsi="Times New Roman" w:cs="Times New Roman"/>
        </w:rPr>
        <w:t xml:space="preserve">CAT/C/RUS/CO/5 (2012), para 26; </w:t>
      </w:r>
      <w:r w:rsidRPr="003B35C4">
        <w:rPr>
          <w:rFonts w:ascii="Times New Roman" w:hAnsi="Times New Roman" w:cs="Times New Roman"/>
          <w:i/>
        </w:rPr>
        <w:t>Concluding Observations on the Initial Report of Sierra Leone</w:t>
      </w:r>
      <w:r w:rsidRPr="003B35C4">
        <w:rPr>
          <w:rFonts w:ascii="Times New Roman" w:hAnsi="Times New Roman" w:cs="Times New Roman"/>
        </w:rPr>
        <w:t xml:space="preserve">, </w:t>
      </w:r>
      <w:r w:rsidRPr="003B35C4">
        <w:rPr>
          <w:rStyle w:val="sessionsubtitle"/>
          <w:rFonts w:ascii="Times New Roman" w:hAnsi="Times New Roman" w:cs="Times New Roman"/>
        </w:rPr>
        <w:t xml:space="preserve">CCPR/C/SLE/CO/1 (2014), para 18; and </w:t>
      </w:r>
      <w:r w:rsidRPr="003B35C4">
        <w:rPr>
          <w:rFonts w:ascii="Times New Roman" w:hAnsi="Times New Roman" w:cs="Times New Roman"/>
          <w:i/>
        </w:rPr>
        <w:t>Concluding Observations on the Second Periodic Report of Tajikistan</w:t>
      </w:r>
      <w:r w:rsidRPr="003B35C4">
        <w:rPr>
          <w:rFonts w:ascii="Times New Roman" w:hAnsi="Times New Roman" w:cs="Times New Roman"/>
        </w:rPr>
        <w:t>, CCPR/C/TJK/2 (2013), para</w:t>
      </w:r>
      <w:r w:rsidR="0094206C">
        <w:rPr>
          <w:rFonts w:ascii="Times New Roman" w:hAnsi="Times New Roman" w:cs="Times New Roman"/>
        </w:rPr>
        <w:t xml:space="preserve"> </w:t>
      </w:r>
      <w:r w:rsidRPr="003B35C4">
        <w:rPr>
          <w:rFonts w:ascii="Times New Roman" w:hAnsi="Times New Roman" w:cs="Times New Roman"/>
        </w:rPr>
        <w:t xml:space="preserve">8.  </w:t>
      </w:r>
    </w:p>
  </w:footnote>
  <w:footnote w:id="103">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 xml:space="preserve">The Negative Impact of the Non-Repatriation of Funds of Illicit Origin on the Enjoyment of Human Rights: A Final Report by the Independent Expert </w:t>
      </w:r>
      <w:r w:rsidRPr="003B35C4">
        <w:rPr>
          <w:rStyle w:val="Emphasis"/>
          <w:rFonts w:ascii="Times New Roman" w:hAnsi="Times New Roman" w:cs="Times New Roman"/>
        </w:rPr>
        <w:t>on the Effects of Foreign Debt and Other Related International Financial Obligations of States on the Full Enjoyment of All Human Rights, Particularly Economic, Social and Cultural Rights</w:t>
      </w:r>
      <w:r w:rsidRPr="003B35C4">
        <w:rPr>
          <w:rFonts w:ascii="Times New Roman" w:hAnsi="Times New Roman" w:cs="Times New Roman"/>
        </w:rPr>
        <w:t xml:space="preserve">, A/HRC/25/52 (2014), para18.      </w:t>
      </w:r>
    </w:p>
  </w:footnote>
  <w:footnote w:id="104">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94206C">
        <w:rPr>
          <w:rFonts w:ascii="Times New Roman" w:hAnsi="Times New Roman" w:cs="Times New Roman"/>
          <w:i/>
        </w:rPr>
        <w:t>Ibid</w:t>
      </w:r>
      <w:r w:rsidRPr="003B35C4">
        <w:rPr>
          <w:rFonts w:ascii="Times New Roman" w:hAnsi="Times New Roman" w:cs="Times New Roman"/>
        </w:rPr>
        <w:t xml:space="preserve">, paras 24 and 25.  </w:t>
      </w:r>
    </w:p>
  </w:footnote>
  <w:footnote w:id="105">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94206C">
        <w:rPr>
          <w:rFonts w:ascii="Times New Roman" w:hAnsi="Times New Roman" w:cs="Times New Roman"/>
          <w:i/>
        </w:rPr>
        <w:t>Ibid</w:t>
      </w:r>
      <w:r w:rsidRPr="003B35C4">
        <w:rPr>
          <w:rFonts w:ascii="Times New Roman" w:hAnsi="Times New Roman" w:cs="Times New Roman"/>
        </w:rPr>
        <w:t xml:space="preserve">, paras 24 and 50; and </w:t>
      </w:r>
      <w:proofErr w:type="spellStart"/>
      <w:r w:rsidRPr="003B35C4">
        <w:rPr>
          <w:rFonts w:ascii="Times New Roman" w:hAnsi="Times New Roman" w:cs="Times New Roman"/>
        </w:rPr>
        <w:t>Sigrun</w:t>
      </w:r>
      <w:proofErr w:type="spellEnd"/>
      <w:r w:rsidRPr="003B35C4">
        <w:rPr>
          <w:rFonts w:ascii="Times New Roman" w:hAnsi="Times New Roman" w:cs="Times New Roman"/>
        </w:rPr>
        <w:t xml:space="preserve"> </w:t>
      </w:r>
      <w:proofErr w:type="spellStart"/>
      <w:r w:rsidRPr="003B35C4">
        <w:rPr>
          <w:rFonts w:ascii="Times New Roman" w:hAnsi="Times New Roman" w:cs="Times New Roman"/>
        </w:rPr>
        <w:t>Skogly</w:t>
      </w:r>
      <w:proofErr w:type="spellEnd"/>
      <w:r w:rsidRPr="003B35C4">
        <w:rPr>
          <w:rFonts w:ascii="Times New Roman" w:hAnsi="Times New Roman" w:cs="Times New Roman"/>
        </w:rPr>
        <w:t xml:space="preserve">, ‘The Requirement of Using the Maximum of Available Resources for Human Rights Realisation: A Question of Quality as well as Quantity’ (2012) 12 </w:t>
      </w:r>
      <w:r w:rsidRPr="003B35C4">
        <w:rPr>
          <w:rFonts w:ascii="Times New Roman" w:hAnsi="Times New Roman" w:cs="Times New Roman"/>
          <w:i/>
        </w:rPr>
        <w:t xml:space="preserve">Human Rights Law Review </w:t>
      </w:r>
      <w:r w:rsidRPr="003B35C4">
        <w:rPr>
          <w:rFonts w:ascii="Times New Roman" w:hAnsi="Times New Roman" w:cs="Times New Roman"/>
        </w:rPr>
        <w:t xml:space="preserve">393, 395-396.    </w:t>
      </w:r>
    </w:p>
  </w:footnote>
  <w:footnote w:id="106">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Special Rapporteur on Trafficking in Persons, Especially Women and Children</w:t>
      </w:r>
      <w:r w:rsidRPr="003B35C4">
        <w:rPr>
          <w:rFonts w:ascii="Times New Roman" w:hAnsi="Times New Roman" w:cs="Times New Roman"/>
        </w:rPr>
        <w:t>, A/HRC/20/18 (2012), paras 78 to 86.</w:t>
      </w:r>
    </w:p>
  </w:footnote>
  <w:footnote w:id="107">
    <w:p w:rsidR="003B5ED2" w:rsidRPr="003B35C4" w:rsidRDefault="003B5ED2" w:rsidP="00887813">
      <w:pPr>
        <w:autoSpaceDE w:val="0"/>
        <w:autoSpaceDN w:val="0"/>
        <w:adjustRightInd w:val="0"/>
        <w:spacing w:after="0" w:line="240" w:lineRule="auto"/>
        <w:rPr>
          <w:rFonts w:ascii="Times New Roman" w:hAnsi="Times New Roman" w:cs="Times New Roman"/>
          <w:i/>
          <w:iCs/>
          <w:sz w:val="20"/>
          <w:szCs w:val="20"/>
        </w:rPr>
      </w:pPr>
      <w:r w:rsidRPr="003B35C4">
        <w:rPr>
          <w:rStyle w:val="FootnoteReference"/>
          <w:rFonts w:ascii="Times New Roman" w:hAnsi="Times New Roman" w:cs="Times New Roman"/>
          <w:sz w:val="20"/>
          <w:szCs w:val="20"/>
        </w:rPr>
        <w:footnoteRef/>
      </w:r>
      <w:r w:rsidRPr="003B35C4">
        <w:rPr>
          <w:rFonts w:ascii="Times New Roman" w:hAnsi="Times New Roman" w:cs="Times New Roman"/>
          <w:sz w:val="20"/>
          <w:szCs w:val="20"/>
        </w:rPr>
        <w:t xml:space="preserve"> Angela Leong, </w:t>
      </w:r>
      <w:r w:rsidRPr="003B35C4">
        <w:rPr>
          <w:rFonts w:ascii="Times New Roman" w:hAnsi="Times New Roman" w:cs="Times New Roman"/>
          <w:i/>
          <w:sz w:val="20"/>
          <w:szCs w:val="20"/>
        </w:rPr>
        <w:t>The Disruption of International Organised Crime</w:t>
      </w:r>
      <w:r w:rsidRPr="003B35C4">
        <w:rPr>
          <w:rFonts w:ascii="Times New Roman" w:hAnsi="Times New Roman" w:cs="Times New Roman"/>
          <w:sz w:val="20"/>
          <w:szCs w:val="20"/>
        </w:rPr>
        <w:t xml:space="preserve"> (Ashgate 2007), 77; and Stefan Casella, ‘The Case for Civil Forfeiture: Why </w:t>
      </w:r>
      <w:proofErr w:type="gramStart"/>
      <w:r w:rsidRPr="003B35C4">
        <w:rPr>
          <w:rFonts w:ascii="Times New Roman" w:hAnsi="Times New Roman" w:cs="Times New Roman"/>
          <w:sz w:val="20"/>
          <w:szCs w:val="20"/>
        </w:rPr>
        <w:t>In</w:t>
      </w:r>
      <w:proofErr w:type="gramEnd"/>
      <w:r w:rsidRPr="003B35C4">
        <w:rPr>
          <w:rFonts w:ascii="Times New Roman" w:hAnsi="Times New Roman" w:cs="Times New Roman"/>
          <w:sz w:val="20"/>
          <w:szCs w:val="20"/>
        </w:rPr>
        <w:t xml:space="preserve"> Rem Proceedings are an Essential Tool for Recovering the Proceeds of Crime’ (2008) 11 </w:t>
      </w:r>
      <w:r w:rsidRPr="003B35C4">
        <w:rPr>
          <w:rFonts w:ascii="Times New Roman" w:hAnsi="Times New Roman" w:cs="Times New Roman"/>
          <w:i/>
          <w:sz w:val="20"/>
          <w:szCs w:val="20"/>
        </w:rPr>
        <w:t>Journal of Money Laundering Control</w:t>
      </w:r>
      <w:r w:rsidRPr="003B35C4">
        <w:rPr>
          <w:rFonts w:ascii="Times New Roman" w:hAnsi="Times New Roman" w:cs="Times New Roman"/>
          <w:sz w:val="20"/>
          <w:szCs w:val="20"/>
        </w:rPr>
        <w:t xml:space="preserve"> 8.</w:t>
      </w:r>
    </w:p>
  </w:footnote>
  <w:footnote w:id="108">
    <w:p w:rsidR="003B5ED2" w:rsidRPr="003B35C4" w:rsidRDefault="003B5ED2" w:rsidP="001941F8">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rPr>
        <w:t>Arvinder</w:t>
      </w:r>
      <w:proofErr w:type="spellEnd"/>
      <w:r w:rsidRPr="003B35C4">
        <w:rPr>
          <w:rFonts w:ascii="Times New Roman" w:hAnsi="Times New Roman" w:cs="Times New Roman"/>
        </w:rPr>
        <w:t xml:space="preserve"> </w:t>
      </w:r>
      <w:proofErr w:type="spellStart"/>
      <w:r w:rsidRPr="003B35C4">
        <w:rPr>
          <w:rFonts w:ascii="Times New Roman" w:hAnsi="Times New Roman" w:cs="Times New Roman"/>
        </w:rPr>
        <w:t>Sambei</w:t>
      </w:r>
      <w:proofErr w:type="spellEnd"/>
      <w:r w:rsidRPr="003B35C4">
        <w:rPr>
          <w:rFonts w:ascii="Times New Roman" w:hAnsi="Times New Roman" w:cs="Times New Roman"/>
        </w:rPr>
        <w:t xml:space="preserve">, </w:t>
      </w:r>
      <w:r w:rsidRPr="003B35C4">
        <w:rPr>
          <w:rFonts w:ascii="Times New Roman" w:hAnsi="Times New Roman" w:cs="Times New Roman"/>
          <w:i/>
        </w:rPr>
        <w:t>Civil Forfeiture (Confiscation in Rem): Explanatory and Impact Study</w:t>
      </w:r>
      <w:r w:rsidRPr="003B35C4">
        <w:rPr>
          <w:rFonts w:ascii="Times New Roman" w:hAnsi="Times New Roman" w:cs="Times New Roman"/>
        </w:rPr>
        <w:t xml:space="preserve"> (Council of Europe 2012), 9.  </w:t>
      </w:r>
    </w:p>
  </w:footnote>
  <w:footnote w:id="109">
    <w:p w:rsidR="003B5ED2" w:rsidRPr="003B35C4" w:rsidRDefault="003B5ED2" w:rsidP="001941F8">
      <w:pPr>
        <w:pStyle w:val="FootnoteText"/>
        <w:rPr>
          <w:rFonts w:ascii="Times New Roman" w:hAnsi="Times New Roman" w:cs="Times New Roman"/>
          <w:i/>
        </w:rPr>
      </w:pPr>
      <w:r w:rsidRPr="003B35C4">
        <w:rPr>
          <w:rStyle w:val="FootnoteReference"/>
          <w:rFonts w:ascii="Times New Roman" w:hAnsi="Times New Roman" w:cs="Times New Roman"/>
        </w:rPr>
        <w:footnoteRef/>
      </w:r>
      <w:r w:rsidRPr="003B35C4">
        <w:rPr>
          <w:rFonts w:ascii="Times New Roman" w:hAnsi="Times New Roman" w:cs="Times New Roman"/>
        </w:rPr>
        <w:t xml:space="preserve"> See for example, </w:t>
      </w:r>
      <w:r w:rsidRPr="003B35C4">
        <w:rPr>
          <w:rFonts w:ascii="Times New Roman" w:hAnsi="Times New Roman" w:cs="Times New Roman"/>
          <w:i/>
        </w:rPr>
        <w:t>Engel v the Netherlands</w:t>
      </w:r>
      <w:r w:rsidRPr="003B35C4">
        <w:rPr>
          <w:rFonts w:ascii="Times New Roman" w:hAnsi="Times New Roman" w:cs="Times New Roman"/>
        </w:rPr>
        <w:t xml:space="preserve">, App </w:t>
      </w:r>
      <w:proofErr w:type="spellStart"/>
      <w:r w:rsidRPr="003B35C4">
        <w:rPr>
          <w:rFonts w:ascii="Times New Roman" w:hAnsi="Times New Roman" w:cs="Times New Roman"/>
        </w:rPr>
        <w:t>nos</w:t>
      </w:r>
      <w:proofErr w:type="spellEnd"/>
      <w:r w:rsidRPr="003B35C4">
        <w:rPr>
          <w:rFonts w:ascii="Times New Roman" w:hAnsi="Times New Roman" w:cs="Times New Roman"/>
        </w:rPr>
        <w:t xml:space="preserve"> </w:t>
      </w:r>
      <w:r w:rsidRPr="003B35C4">
        <w:rPr>
          <w:rStyle w:val="s6b621b36"/>
          <w:rFonts w:ascii="Times New Roman" w:hAnsi="Times New Roman" w:cs="Times New Roman"/>
        </w:rPr>
        <w:t xml:space="preserve">5100/71, 5101/71, 5102/71, 5354/72 and 5370/72 (1976); </w:t>
      </w:r>
      <w:r w:rsidRPr="003B35C4">
        <w:rPr>
          <w:rFonts w:ascii="Times New Roman" w:hAnsi="Times New Roman" w:cs="Times New Roman"/>
          <w:i/>
        </w:rPr>
        <w:t>Air Canada v United Kingdom</w:t>
      </w:r>
      <w:r w:rsidRPr="003B35C4">
        <w:rPr>
          <w:rFonts w:ascii="Times New Roman" w:hAnsi="Times New Roman" w:cs="Times New Roman"/>
        </w:rPr>
        <w:t xml:space="preserve">, App no </w:t>
      </w:r>
      <w:r w:rsidRPr="003B35C4">
        <w:rPr>
          <w:rFonts w:ascii="Times New Roman" w:hAnsi="Times New Roman" w:cs="Times New Roman"/>
          <w:bCs/>
        </w:rPr>
        <w:t>9/1994/456/537 (1995);</w:t>
      </w:r>
      <w:r w:rsidRPr="003B35C4">
        <w:rPr>
          <w:rStyle w:val="s6b621b36"/>
          <w:rFonts w:ascii="Times New Roman" w:hAnsi="Times New Roman" w:cs="Times New Roman"/>
        </w:rPr>
        <w:t xml:space="preserve"> and </w:t>
      </w:r>
      <w:r w:rsidRPr="003B35C4">
        <w:rPr>
          <w:rFonts w:ascii="Times New Roman" w:hAnsi="Times New Roman" w:cs="Times New Roman"/>
          <w:i/>
        </w:rPr>
        <w:t>Walsh v United Kingdom</w:t>
      </w:r>
      <w:r w:rsidRPr="003B35C4">
        <w:rPr>
          <w:rFonts w:ascii="Times New Roman" w:hAnsi="Times New Roman" w:cs="Times New Roman"/>
        </w:rPr>
        <w:t>, App no 33744/96 (2000).</w:t>
      </w:r>
      <w:r w:rsidRPr="003B35C4">
        <w:rPr>
          <w:rFonts w:ascii="Times New Roman" w:hAnsi="Times New Roman" w:cs="Times New Roman"/>
          <w:bCs/>
        </w:rPr>
        <w:t xml:space="preserve"> </w:t>
      </w:r>
    </w:p>
  </w:footnote>
  <w:footnote w:id="110">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Butler v. United Kingdom</w:t>
      </w:r>
      <w:r w:rsidRPr="003B35C4">
        <w:rPr>
          <w:rFonts w:ascii="Times New Roman" w:hAnsi="Times New Roman" w:cs="Times New Roman"/>
        </w:rPr>
        <w:t xml:space="preserve">, App no </w:t>
      </w:r>
      <w:r w:rsidRPr="003B35C4">
        <w:rPr>
          <w:rFonts w:ascii="Times New Roman" w:hAnsi="Times New Roman" w:cs="Times New Roman"/>
          <w:bCs/>
        </w:rPr>
        <w:t>4161/98 (2002).</w:t>
      </w:r>
    </w:p>
  </w:footnote>
  <w:footnote w:id="11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Welch</w:t>
      </w:r>
      <w:r w:rsidRPr="003B35C4">
        <w:rPr>
          <w:rFonts w:ascii="Times New Roman" w:hAnsi="Times New Roman" w:cs="Times New Roman"/>
        </w:rPr>
        <w:t xml:space="preserve"> </w:t>
      </w:r>
      <w:r w:rsidRPr="003B35C4">
        <w:rPr>
          <w:rFonts w:ascii="Times New Roman" w:hAnsi="Times New Roman" w:cs="Times New Roman"/>
          <w:i/>
        </w:rPr>
        <w:t>v United Kingdom</w:t>
      </w:r>
      <w:r w:rsidRPr="003B35C4">
        <w:rPr>
          <w:rFonts w:ascii="Times New Roman" w:hAnsi="Times New Roman" w:cs="Times New Roman"/>
        </w:rPr>
        <w:t xml:space="preserve">, App no 17440/90 (1995), para 30.  </w:t>
      </w:r>
    </w:p>
  </w:footnote>
  <w:footnote w:id="112">
    <w:p w:rsidR="003B5ED2" w:rsidRPr="003B35C4" w:rsidRDefault="003B5ED2" w:rsidP="00051B9C">
      <w:pPr>
        <w:autoSpaceDE w:val="0"/>
        <w:autoSpaceDN w:val="0"/>
        <w:adjustRightInd w:val="0"/>
        <w:spacing w:after="0" w:line="240" w:lineRule="auto"/>
        <w:rPr>
          <w:rFonts w:ascii="Times New Roman" w:hAnsi="Times New Roman" w:cs="Times New Roman"/>
          <w:sz w:val="20"/>
          <w:szCs w:val="20"/>
        </w:rPr>
      </w:pPr>
      <w:r w:rsidRPr="003B35C4">
        <w:rPr>
          <w:rStyle w:val="FootnoteReference"/>
          <w:rFonts w:ascii="Times New Roman" w:hAnsi="Times New Roman" w:cs="Times New Roman"/>
          <w:sz w:val="20"/>
          <w:szCs w:val="20"/>
        </w:rPr>
        <w:footnoteRef/>
      </w:r>
      <w:r w:rsidRPr="003B35C4">
        <w:rPr>
          <w:rFonts w:ascii="Times New Roman" w:hAnsi="Times New Roman" w:cs="Times New Roman"/>
          <w:sz w:val="20"/>
          <w:szCs w:val="20"/>
        </w:rPr>
        <w:t xml:space="preserve"> See Michelle Gallant, ‘Civil Processes and Tainted Assets: Exploring Canadian Models of Forfeiture’, in Colin King and Clive Walker (eds), </w:t>
      </w:r>
      <w:r w:rsidRPr="003B35C4">
        <w:rPr>
          <w:rStyle w:val="Emphasis"/>
          <w:rFonts w:ascii="Times New Roman" w:hAnsi="Times New Roman" w:cs="Times New Roman"/>
          <w:sz w:val="20"/>
          <w:szCs w:val="20"/>
        </w:rPr>
        <w:t xml:space="preserve">Dirty Assets: Emerging Issues in the Regulation of Criminal and Terrorist Assets </w:t>
      </w:r>
      <w:r w:rsidRPr="003B35C4">
        <w:rPr>
          <w:rStyle w:val="Emphasis"/>
          <w:rFonts w:ascii="Times New Roman" w:hAnsi="Times New Roman" w:cs="Times New Roman"/>
          <w:i w:val="0"/>
          <w:sz w:val="20"/>
          <w:szCs w:val="20"/>
        </w:rPr>
        <w:t xml:space="preserve">(Ashgate 2014),165-181; </w:t>
      </w:r>
      <w:r w:rsidRPr="003B35C4">
        <w:rPr>
          <w:rFonts w:ascii="Times New Roman" w:hAnsi="Times New Roman" w:cs="Times New Roman"/>
          <w:sz w:val="20"/>
          <w:szCs w:val="20"/>
        </w:rPr>
        <w:t xml:space="preserve">Andrew Ashworth </w:t>
      </w:r>
      <w:r w:rsidRPr="003B35C4">
        <w:rPr>
          <w:rFonts w:ascii="Times New Roman" w:hAnsi="Times New Roman" w:cs="Times New Roman"/>
          <w:bCs/>
          <w:sz w:val="20"/>
          <w:szCs w:val="20"/>
        </w:rPr>
        <w:t xml:space="preserve">&amp; </w:t>
      </w:r>
      <w:r w:rsidRPr="003B35C4">
        <w:rPr>
          <w:rFonts w:ascii="Times New Roman" w:hAnsi="Times New Roman" w:cs="Times New Roman"/>
          <w:sz w:val="20"/>
          <w:szCs w:val="20"/>
        </w:rPr>
        <w:t xml:space="preserve">Lucia </w:t>
      </w:r>
      <w:proofErr w:type="spellStart"/>
      <w:r w:rsidRPr="003B35C4">
        <w:rPr>
          <w:rFonts w:ascii="Times New Roman" w:hAnsi="Times New Roman" w:cs="Times New Roman"/>
          <w:sz w:val="20"/>
          <w:szCs w:val="20"/>
        </w:rPr>
        <w:t>Zedner</w:t>
      </w:r>
      <w:proofErr w:type="spellEnd"/>
      <w:r w:rsidRPr="003B35C4">
        <w:rPr>
          <w:rFonts w:ascii="Times New Roman" w:hAnsi="Times New Roman" w:cs="Times New Roman"/>
          <w:sz w:val="20"/>
          <w:szCs w:val="20"/>
        </w:rPr>
        <w:t xml:space="preserve">, ‘Defending the Criminal Law: Reflections on the Changing Character of Crime, Procedure and Sanctions’ (2008)  2 </w:t>
      </w:r>
      <w:r w:rsidRPr="003B35C4">
        <w:rPr>
          <w:rFonts w:ascii="Times New Roman" w:hAnsi="Times New Roman" w:cs="Times New Roman"/>
          <w:i/>
          <w:sz w:val="20"/>
          <w:szCs w:val="20"/>
        </w:rPr>
        <w:t>Criminal Law and</w:t>
      </w:r>
      <w:r w:rsidRPr="003B35C4">
        <w:rPr>
          <w:rFonts w:ascii="Times New Roman" w:hAnsi="Times New Roman" w:cs="Times New Roman"/>
          <w:bCs/>
          <w:i/>
          <w:sz w:val="20"/>
          <w:szCs w:val="20"/>
        </w:rPr>
        <w:t xml:space="preserve"> </w:t>
      </w:r>
      <w:r w:rsidRPr="003B35C4">
        <w:rPr>
          <w:rFonts w:ascii="Times New Roman" w:hAnsi="Times New Roman" w:cs="Times New Roman"/>
          <w:i/>
          <w:sz w:val="20"/>
          <w:szCs w:val="20"/>
        </w:rPr>
        <w:t>Philosophy</w:t>
      </w:r>
      <w:r w:rsidRPr="003B35C4">
        <w:rPr>
          <w:rFonts w:ascii="Times New Roman" w:hAnsi="Times New Roman" w:cs="Times New Roman"/>
          <w:sz w:val="20"/>
          <w:szCs w:val="20"/>
        </w:rPr>
        <w:t xml:space="preserve"> 21, 45-48; </w:t>
      </w:r>
      <w:r w:rsidRPr="003B35C4">
        <w:rPr>
          <w:rFonts w:ascii="Times New Roman" w:hAnsi="Times New Roman" w:cs="Times New Roman"/>
          <w:bCs/>
          <w:sz w:val="20"/>
          <w:szCs w:val="20"/>
        </w:rPr>
        <w:t xml:space="preserve">and Anthony </w:t>
      </w:r>
      <w:proofErr w:type="spellStart"/>
      <w:r w:rsidRPr="003B35C4">
        <w:rPr>
          <w:rFonts w:ascii="Times New Roman" w:hAnsi="Times New Roman" w:cs="Times New Roman"/>
          <w:bCs/>
          <w:sz w:val="20"/>
          <w:szCs w:val="20"/>
        </w:rPr>
        <w:t>Gray</w:t>
      </w:r>
      <w:proofErr w:type="spellEnd"/>
      <w:r w:rsidRPr="003B35C4">
        <w:rPr>
          <w:rFonts w:ascii="Times New Roman" w:hAnsi="Times New Roman" w:cs="Times New Roman"/>
          <w:bCs/>
          <w:sz w:val="20"/>
          <w:szCs w:val="20"/>
        </w:rPr>
        <w:t xml:space="preserve">, ‘Forfeiture Provisions and the Civil/Criminal Divide’ (2012) 15 </w:t>
      </w:r>
      <w:r w:rsidRPr="003B35C4">
        <w:rPr>
          <w:rFonts w:ascii="Times New Roman" w:hAnsi="Times New Roman" w:cs="Times New Roman"/>
          <w:bCs/>
          <w:i/>
          <w:sz w:val="20"/>
          <w:szCs w:val="20"/>
        </w:rPr>
        <w:t>New Criminal Law Review</w:t>
      </w:r>
      <w:r w:rsidRPr="003B35C4">
        <w:rPr>
          <w:rFonts w:ascii="Times New Roman" w:hAnsi="Times New Roman" w:cs="Times New Roman"/>
          <w:bCs/>
          <w:sz w:val="20"/>
          <w:szCs w:val="20"/>
        </w:rPr>
        <w:t xml:space="preserve"> 32, 60. </w:t>
      </w:r>
    </w:p>
  </w:footnote>
  <w:footnote w:id="113">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Liz Campbell, ‘Criminal Label, the European Convention on Human Rights, and the Presumption of Innocence’ (2013) 76 </w:t>
      </w:r>
      <w:r w:rsidRPr="003B35C4">
        <w:rPr>
          <w:rFonts w:ascii="Times New Roman" w:hAnsi="Times New Roman" w:cs="Times New Roman"/>
          <w:i/>
        </w:rPr>
        <w:t>Modern Law Review</w:t>
      </w:r>
      <w:r w:rsidRPr="003B35C4">
        <w:rPr>
          <w:rFonts w:ascii="Times New Roman" w:hAnsi="Times New Roman" w:cs="Times New Roman"/>
        </w:rPr>
        <w:t xml:space="preserve"> 681, 705.</w:t>
      </w:r>
    </w:p>
  </w:footnote>
  <w:footnote w:id="114">
    <w:p w:rsidR="003B5ED2" w:rsidRPr="003B35C4" w:rsidRDefault="003B5ED2" w:rsidP="00683649">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rPr>
        <w:t>Gray</w:t>
      </w:r>
      <w:proofErr w:type="spellEnd"/>
      <w:r w:rsidRPr="003B35C4">
        <w:rPr>
          <w:rFonts w:ascii="Times New Roman" w:hAnsi="Times New Roman" w:cs="Times New Roman"/>
        </w:rPr>
        <w:t xml:space="preserve">, </w:t>
      </w:r>
      <w:r w:rsidR="0094206C">
        <w:rPr>
          <w:rFonts w:ascii="Times New Roman" w:hAnsi="Times New Roman" w:cs="Times New Roman"/>
        </w:rPr>
        <w:t>(</w:t>
      </w:r>
      <w:r w:rsidRPr="003B35C4">
        <w:rPr>
          <w:rFonts w:ascii="Times New Roman" w:hAnsi="Times New Roman" w:cs="Times New Roman"/>
        </w:rPr>
        <w:t>n 11</w:t>
      </w:r>
      <w:r>
        <w:rPr>
          <w:rFonts w:ascii="Times New Roman" w:hAnsi="Times New Roman" w:cs="Times New Roman"/>
        </w:rPr>
        <w:t>2</w:t>
      </w:r>
      <w:r w:rsidR="0094206C">
        <w:rPr>
          <w:rFonts w:ascii="Times New Roman" w:hAnsi="Times New Roman" w:cs="Times New Roman"/>
        </w:rPr>
        <w:t>)</w:t>
      </w:r>
      <w:r w:rsidRPr="003B35C4">
        <w:rPr>
          <w:rFonts w:ascii="Times New Roman" w:hAnsi="Times New Roman" w:cs="Times New Roman"/>
        </w:rPr>
        <w:t>,</w:t>
      </w:r>
      <w:r w:rsidR="0094206C">
        <w:rPr>
          <w:rFonts w:ascii="Times New Roman" w:hAnsi="Times New Roman" w:cs="Times New Roman"/>
        </w:rPr>
        <w:t xml:space="preserve"> </w:t>
      </w:r>
      <w:r w:rsidRPr="003B35C4">
        <w:rPr>
          <w:rFonts w:ascii="Times New Roman" w:hAnsi="Times New Roman" w:cs="Times New Roman"/>
        </w:rPr>
        <w:t xml:space="preserve">43, 63-65; and Johan </w:t>
      </w:r>
      <w:proofErr w:type="spellStart"/>
      <w:r w:rsidRPr="003B35C4">
        <w:rPr>
          <w:rFonts w:ascii="Times New Roman" w:hAnsi="Times New Roman" w:cs="Times New Roman"/>
        </w:rPr>
        <w:t>Boucht</w:t>
      </w:r>
      <w:proofErr w:type="spellEnd"/>
      <w:r w:rsidRPr="003B35C4">
        <w:rPr>
          <w:rFonts w:ascii="Times New Roman" w:hAnsi="Times New Roman" w:cs="Times New Roman"/>
        </w:rPr>
        <w:t xml:space="preserve">, ‘Civil Asset Forfeiture and the Presumption of Innocence’ under Article 6(2) ECHR’ (2014) 5 </w:t>
      </w:r>
      <w:r w:rsidRPr="003B35C4">
        <w:rPr>
          <w:rFonts w:ascii="Times New Roman" w:hAnsi="Times New Roman" w:cs="Times New Roman"/>
          <w:i/>
        </w:rPr>
        <w:t>New Journal of European Criminal Law</w:t>
      </w:r>
      <w:r w:rsidRPr="003B35C4">
        <w:rPr>
          <w:rFonts w:ascii="Times New Roman" w:hAnsi="Times New Roman" w:cs="Times New Roman"/>
        </w:rPr>
        <w:t xml:space="preserve"> 221, 242.</w:t>
      </w:r>
    </w:p>
  </w:footnote>
  <w:footnote w:id="115">
    <w:p w:rsidR="003B5ED2" w:rsidRPr="003B35C4" w:rsidRDefault="003B5ED2" w:rsidP="00D97CD7">
      <w:pPr>
        <w:pStyle w:val="FootnoteText"/>
        <w:jc w:val="both"/>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Style w:val="ju-005fpara--char"/>
          <w:rFonts w:ascii="Times New Roman" w:hAnsi="Times New Roman" w:cs="Times New Roman"/>
          <w:i/>
          <w:iCs/>
        </w:rPr>
        <w:t>Phillips v United Kingdom</w:t>
      </w:r>
      <w:r w:rsidRPr="003B35C4">
        <w:rPr>
          <w:rStyle w:val="ju-005fpara--char"/>
          <w:rFonts w:ascii="Times New Roman" w:hAnsi="Times New Roman" w:cs="Times New Roman"/>
          <w:iCs/>
        </w:rPr>
        <w:t xml:space="preserve">, App no 41087/98 (2001), </w:t>
      </w:r>
      <w:r w:rsidRPr="003B35C4">
        <w:rPr>
          <w:rFonts w:ascii="Times New Roman" w:hAnsi="Times New Roman" w:cs="Times New Roman"/>
        </w:rPr>
        <w:t>paras 43-47.</w:t>
      </w:r>
    </w:p>
  </w:footnote>
  <w:footnote w:id="116">
    <w:p w:rsidR="003B5ED2" w:rsidRPr="003B35C4" w:rsidRDefault="003B5ED2" w:rsidP="003B35C4">
      <w:pPr>
        <w:spacing w:after="0"/>
        <w:rPr>
          <w:rFonts w:ascii="Times New Roman" w:eastAsia="Times New Roman" w:hAnsi="Times New Roman" w:cs="Times New Roman"/>
          <w:sz w:val="20"/>
          <w:szCs w:val="20"/>
        </w:rPr>
      </w:pPr>
      <w:r w:rsidRPr="003B35C4">
        <w:rPr>
          <w:rStyle w:val="FootnoteReference"/>
          <w:rFonts w:ascii="Times New Roman" w:hAnsi="Times New Roman" w:cs="Times New Roman"/>
          <w:sz w:val="20"/>
          <w:szCs w:val="20"/>
        </w:rPr>
        <w:footnoteRef/>
      </w:r>
      <w:r w:rsidRPr="003B35C4">
        <w:rPr>
          <w:rFonts w:ascii="Times New Roman" w:hAnsi="Times New Roman" w:cs="Times New Roman"/>
          <w:sz w:val="20"/>
          <w:szCs w:val="20"/>
        </w:rPr>
        <w:t xml:space="preserve"> Human Rights Committee, </w:t>
      </w:r>
      <w:r w:rsidRPr="000062ED">
        <w:rPr>
          <w:rFonts w:ascii="Times New Roman" w:hAnsi="Times New Roman" w:cs="Times New Roman"/>
          <w:i/>
          <w:sz w:val="20"/>
          <w:szCs w:val="20"/>
        </w:rPr>
        <w:t>General Comment No. 32 (Right to Equality before Courts and Tribunals and to a Fair Trial)</w:t>
      </w:r>
      <w:r w:rsidRPr="003B35C4">
        <w:rPr>
          <w:rFonts w:ascii="Times New Roman" w:hAnsi="Times New Roman" w:cs="Times New Roman"/>
          <w:sz w:val="20"/>
          <w:szCs w:val="20"/>
        </w:rPr>
        <w:t xml:space="preserve">, CCPR/C/GC/32 (2007), para 3; </w:t>
      </w:r>
      <w:proofErr w:type="spellStart"/>
      <w:r w:rsidRPr="003B35C4">
        <w:rPr>
          <w:rFonts w:ascii="Times New Roman" w:hAnsi="Times New Roman" w:cs="Times New Roman"/>
          <w:i/>
          <w:sz w:val="20"/>
          <w:szCs w:val="20"/>
        </w:rPr>
        <w:t>Barberà</w:t>
      </w:r>
      <w:proofErr w:type="spellEnd"/>
      <w:r w:rsidRPr="003B35C4">
        <w:rPr>
          <w:rFonts w:ascii="Times New Roman" w:hAnsi="Times New Roman" w:cs="Times New Roman"/>
          <w:i/>
          <w:sz w:val="20"/>
          <w:szCs w:val="20"/>
        </w:rPr>
        <w:t xml:space="preserve">, </w:t>
      </w:r>
      <w:proofErr w:type="spellStart"/>
      <w:r w:rsidRPr="003B35C4">
        <w:rPr>
          <w:rFonts w:ascii="Times New Roman" w:hAnsi="Times New Roman" w:cs="Times New Roman"/>
          <w:i/>
          <w:sz w:val="20"/>
          <w:szCs w:val="20"/>
        </w:rPr>
        <w:t>Messegué</w:t>
      </w:r>
      <w:proofErr w:type="spellEnd"/>
      <w:r w:rsidRPr="003B35C4">
        <w:rPr>
          <w:rFonts w:ascii="Times New Roman" w:hAnsi="Times New Roman" w:cs="Times New Roman"/>
          <w:i/>
          <w:sz w:val="20"/>
          <w:szCs w:val="20"/>
        </w:rPr>
        <w:t xml:space="preserve"> and </w:t>
      </w:r>
      <w:proofErr w:type="spellStart"/>
      <w:r w:rsidRPr="003B35C4">
        <w:rPr>
          <w:rFonts w:ascii="Times New Roman" w:hAnsi="Times New Roman" w:cs="Times New Roman"/>
          <w:i/>
          <w:sz w:val="20"/>
          <w:szCs w:val="20"/>
        </w:rPr>
        <w:t>Jabardo</w:t>
      </w:r>
      <w:proofErr w:type="spellEnd"/>
      <w:r w:rsidRPr="003B35C4">
        <w:rPr>
          <w:rFonts w:ascii="Times New Roman" w:hAnsi="Times New Roman" w:cs="Times New Roman"/>
          <w:i/>
          <w:sz w:val="20"/>
          <w:szCs w:val="20"/>
        </w:rPr>
        <w:t xml:space="preserve"> v. Spain</w:t>
      </w:r>
      <w:r w:rsidRPr="003B35C4">
        <w:rPr>
          <w:rFonts w:ascii="Times New Roman" w:hAnsi="Times New Roman" w:cs="Times New Roman"/>
          <w:sz w:val="20"/>
          <w:szCs w:val="20"/>
        </w:rPr>
        <w:t xml:space="preserve">, App no 10590/83 (1988), para 77; </w:t>
      </w:r>
      <w:proofErr w:type="spellStart"/>
      <w:r w:rsidRPr="003B35C4">
        <w:rPr>
          <w:rFonts w:ascii="Times New Roman" w:hAnsi="Times New Roman" w:cs="Times New Roman"/>
          <w:i/>
          <w:sz w:val="20"/>
          <w:szCs w:val="20"/>
        </w:rPr>
        <w:t>Deweer</w:t>
      </w:r>
      <w:proofErr w:type="spellEnd"/>
      <w:r w:rsidRPr="003B35C4">
        <w:rPr>
          <w:rFonts w:ascii="Times New Roman" w:hAnsi="Times New Roman" w:cs="Times New Roman"/>
          <w:i/>
          <w:sz w:val="20"/>
          <w:szCs w:val="20"/>
        </w:rPr>
        <w:t xml:space="preserve"> v Belgium</w:t>
      </w:r>
      <w:r w:rsidRPr="003B35C4">
        <w:rPr>
          <w:rFonts w:ascii="Times New Roman" w:hAnsi="Times New Roman" w:cs="Times New Roman"/>
          <w:sz w:val="20"/>
          <w:szCs w:val="20"/>
        </w:rPr>
        <w:t xml:space="preserve">, App no 6903/75 (1980), para 56; </w:t>
      </w:r>
      <w:proofErr w:type="spellStart"/>
      <w:r w:rsidRPr="003B35C4">
        <w:rPr>
          <w:rFonts w:ascii="Times New Roman" w:hAnsi="Times New Roman" w:cs="Times New Roman"/>
          <w:i/>
          <w:sz w:val="20"/>
          <w:szCs w:val="20"/>
        </w:rPr>
        <w:t>Valentini</w:t>
      </w:r>
      <w:proofErr w:type="spellEnd"/>
      <w:r w:rsidRPr="003B35C4">
        <w:rPr>
          <w:rFonts w:ascii="Times New Roman" w:hAnsi="Times New Roman" w:cs="Times New Roman"/>
          <w:i/>
          <w:sz w:val="20"/>
          <w:szCs w:val="20"/>
        </w:rPr>
        <w:t xml:space="preserve"> de </w:t>
      </w:r>
      <w:proofErr w:type="spellStart"/>
      <w:r w:rsidRPr="003B35C4">
        <w:rPr>
          <w:rFonts w:ascii="Times New Roman" w:hAnsi="Times New Roman" w:cs="Times New Roman"/>
          <w:i/>
          <w:sz w:val="20"/>
          <w:szCs w:val="20"/>
        </w:rPr>
        <w:t>Bazzano</w:t>
      </w:r>
      <w:proofErr w:type="spellEnd"/>
      <w:r w:rsidRPr="003B35C4">
        <w:rPr>
          <w:rFonts w:ascii="Times New Roman" w:hAnsi="Times New Roman" w:cs="Times New Roman"/>
          <w:i/>
          <w:sz w:val="20"/>
          <w:szCs w:val="20"/>
        </w:rPr>
        <w:t xml:space="preserve"> et al v Uruguay</w:t>
      </w:r>
      <w:r w:rsidRPr="003B35C4">
        <w:rPr>
          <w:rFonts w:ascii="Times New Roman" w:hAnsi="Times New Roman" w:cs="Times New Roman"/>
          <w:sz w:val="20"/>
          <w:szCs w:val="20"/>
        </w:rPr>
        <w:t xml:space="preserve">, CCPR/C/7/D/5/1977 (1979); </w:t>
      </w:r>
      <w:r w:rsidRPr="003B35C4">
        <w:rPr>
          <w:rFonts w:ascii="Times New Roman" w:eastAsia="Times New Roman" w:hAnsi="Times New Roman" w:cs="Times New Roman"/>
          <w:sz w:val="20"/>
          <w:szCs w:val="20"/>
        </w:rPr>
        <w:t xml:space="preserve">Andrew Ashworth and Jeremy </w:t>
      </w:r>
      <w:proofErr w:type="spellStart"/>
      <w:r w:rsidRPr="003B35C4">
        <w:rPr>
          <w:rFonts w:ascii="Times New Roman" w:eastAsia="Times New Roman" w:hAnsi="Times New Roman" w:cs="Times New Roman"/>
          <w:sz w:val="20"/>
          <w:szCs w:val="20"/>
        </w:rPr>
        <w:t>Horder</w:t>
      </w:r>
      <w:proofErr w:type="spellEnd"/>
      <w:r w:rsidRPr="003B35C4">
        <w:rPr>
          <w:rFonts w:ascii="Times New Roman" w:eastAsia="Times New Roman" w:hAnsi="Times New Roman" w:cs="Times New Roman"/>
          <w:sz w:val="20"/>
          <w:szCs w:val="20"/>
        </w:rPr>
        <w:t xml:space="preserve">, </w:t>
      </w:r>
      <w:r w:rsidRPr="003B35C4">
        <w:rPr>
          <w:rFonts w:ascii="Times New Roman" w:eastAsia="Times New Roman" w:hAnsi="Times New Roman" w:cs="Times New Roman"/>
          <w:i/>
          <w:sz w:val="20"/>
          <w:szCs w:val="20"/>
        </w:rPr>
        <w:t>Principles of Criminal Law</w:t>
      </w:r>
      <w:r w:rsidRPr="003B35C4">
        <w:rPr>
          <w:rFonts w:ascii="Times New Roman" w:eastAsia="Times New Roman" w:hAnsi="Times New Roman" w:cs="Times New Roman"/>
          <w:sz w:val="20"/>
          <w:szCs w:val="20"/>
        </w:rPr>
        <w:t xml:space="preserve"> (Oxford University Press 2013), 71</w:t>
      </w:r>
      <w:r w:rsidRPr="003B35C4">
        <w:rPr>
          <w:rFonts w:ascii="Times New Roman" w:hAnsi="Times New Roman" w:cs="Times New Roman"/>
          <w:sz w:val="20"/>
          <w:szCs w:val="20"/>
        </w:rPr>
        <w:t xml:space="preserve">; Hock Lai Ho, ‘Presumption of Innocence as a Human Rights’ in Paul Roberts and Jill Hunter (eds), </w:t>
      </w:r>
      <w:r w:rsidRPr="003B35C4">
        <w:rPr>
          <w:rFonts w:ascii="Times New Roman" w:hAnsi="Times New Roman" w:cs="Times New Roman"/>
          <w:i/>
          <w:iCs/>
          <w:sz w:val="20"/>
          <w:szCs w:val="20"/>
        </w:rPr>
        <w:t>Criminal Evidence and Human Rights - Reimagining Common Law Procedural Traditions</w:t>
      </w:r>
      <w:r w:rsidRPr="003B35C4">
        <w:rPr>
          <w:rFonts w:ascii="Times New Roman" w:hAnsi="Times New Roman" w:cs="Times New Roman"/>
          <w:sz w:val="20"/>
          <w:szCs w:val="20"/>
        </w:rPr>
        <w:t xml:space="preserve"> (Hart Publishing 2012) 259, 268; </w:t>
      </w:r>
      <w:r>
        <w:rPr>
          <w:rFonts w:ascii="Times New Roman" w:hAnsi="Times New Roman" w:cs="Times New Roman"/>
          <w:sz w:val="20"/>
          <w:szCs w:val="20"/>
        </w:rPr>
        <w:t xml:space="preserve">and </w:t>
      </w:r>
      <w:r w:rsidRPr="003B35C4">
        <w:rPr>
          <w:rFonts w:ascii="Times New Roman" w:hAnsi="Times New Roman" w:cs="Times New Roman"/>
          <w:sz w:val="20"/>
          <w:szCs w:val="20"/>
        </w:rPr>
        <w:t xml:space="preserve">John Jackson and Sarah Summers, </w:t>
      </w:r>
      <w:r w:rsidRPr="003B35C4">
        <w:rPr>
          <w:rFonts w:ascii="Times New Roman" w:hAnsi="Times New Roman" w:cs="Times New Roman"/>
          <w:i/>
          <w:sz w:val="20"/>
          <w:szCs w:val="20"/>
        </w:rPr>
        <w:t xml:space="preserve">The Internationalisation of Criminal Evidence: Beyond the Common Law and Civil Law Traditions </w:t>
      </w:r>
      <w:r w:rsidRPr="003B35C4">
        <w:rPr>
          <w:rFonts w:ascii="Times New Roman" w:hAnsi="Times New Roman" w:cs="Times New Roman"/>
          <w:sz w:val="20"/>
          <w:szCs w:val="20"/>
        </w:rPr>
        <w:t xml:space="preserve">(Cambridge University Press 2012), 219.  </w:t>
      </w:r>
    </w:p>
  </w:footnote>
  <w:footnote w:id="117">
    <w:p w:rsidR="003B5ED2" w:rsidRPr="003B35C4" w:rsidRDefault="003B5ED2" w:rsidP="003B35C4">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Anthony </w:t>
      </w:r>
      <w:proofErr w:type="spellStart"/>
      <w:r w:rsidRPr="003B35C4">
        <w:rPr>
          <w:rFonts w:ascii="Times New Roman" w:hAnsi="Times New Roman" w:cs="Times New Roman"/>
        </w:rPr>
        <w:t>Gray</w:t>
      </w:r>
      <w:proofErr w:type="spellEnd"/>
      <w:r w:rsidRPr="003B35C4">
        <w:rPr>
          <w:rFonts w:ascii="Times New Roman" w:hAnsi="Times New Roman" w:cs="Times New Roman"/>
        </w:rPr>
        <w:t xml:space="preserve">, ‘The Presumption of Innocence under Attack) (2017) 20 </w:t>
      </w:r>
      <w:r w:rsidRPr="003B35C4">
        <w:rPr>
          <w:rFonts w:ascii="Times New Roman" w:hAnsi="Times New Roman" w:cs="Times New Roman"/>
          <w:i/>
        </w:rPr>
        <w:t>New Criminal Law Review</w:t>
      </w:r>
      <w:r w:rsidRPr="003B35C4">
        <w:rPr>
          <w:rFonts w:ascii="Times New Roman" w:hAnsi="Times New Roman" w:cs="Times New Roman"/>
        </w:rPr>
        <w:t xml:space="preserve"> 569, 591.</w:t>
      </w:r>
    </w:p>
  </w:footnote>
  <w:footnote w:id="118">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Art 2(3)(a) ICCPR; Arts 2 and 3 CRC; Arts 1 and 13 ECHR; Arts 1 and 2 ACHR; and Art 1 African Charter. See Jennifer Moore, ‘From Nation State to Failed State: International Protection from Human Rights Abuses by Non-State Actors’ (1999) 31 </w:t>
      </w:r>
      <w:r w:rsidRPr="003B35C4">
        <w:rPr>
          <w:rFonts w:ascii="Times New Roman" w:hAnsi="Times New Roman" w:cs="Times New Roman"/>
          <w:i/>
        </w:rPr>
        <w:t>Columbia Human Rights Law Review</w:t>
      </w:r>
      <w:r w:rsidRPr="003B35C4">
        <w:rPr>
          <w:rFonts w:ascii="Times New Roman" w:hAnsi="Times New Roman" w:cs="Times New Roman"/>
        </w:rPr>
        <w:t xml:space="preserve"> 81, 92, 93, and 96; and Dinah Shelton, </w:t>
      </w:r>
      <w:r w:rsidRPr="003B35C4">
        <w:rPr>
          <w:rFonts w:ascii="Times New Roman" w:hAnsi="Times New Roman" w:cs="Times New Roman"/>
          <w:i/>
        </w:rPr>
        <w:t>Remedies in International Human Rights Law</w:t>
      </w:r>
      <w:r w:rsidRPr="003B35C4">
        <w:rPr>
          <w:rFonts w:ascii="Times New Roman" w:hAnsi="Times New Roman" w:cs="Times New Roman"/>
        </w:rPr>
        <w:t xml:space="preserve"> (</w:t>
      </w:r>
      <w:r>
        <w:rPr>
          <w:rFonts w:ascii="Times New Roman" w:hAnsi="Times New Roman" w:cs="Times New Roman"/>
        </w:rPr>
        <w:t>Oxford University Press</w:t>
      </w:r>
      <w:r w:rsidRPr="003B35C4">
        <w:rPr>
          <w:rFonts w:ascii="Times New Roman" w:hAnsi="Times New Roman" w:cs="Times New Roman"/>
        </w:rPr>
        <w:t xml:space="preserve"> 1999).    </w:t>
      </w:r>
    </w:p>
  </w:footnote>
  <w:footnote w:id="119">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Judicial Conditions and Rights of the Undocumented Migrants</w:t>
      </w:r>
      <w:r w:rsidR="0094206C">
        <w:rPr>
          <w:rFonts w:ascii="Times New Roman" w:hAnsi="Times New Roman" w:cs="Times New Roman"/>
        </w:rPr>
        <w:t xml:space="preserve"> (2003)</w:t>
      </w:r>
      <w:r w:rsidRPr="003B35C4">
        <w:rPr>
          <w:rFonts w:ascii="Times New Roman" w:hAnsi="Times New Roman" w:cs="Times New Roman"/>
        </w:rPr>
        <w:t xml:space="preserve">, Advisory Opinion OC-18/03, Ser. A, No. 18, para 109.  </w:t>
      </w:r>
    </w:p>
  </w:footnote>
  <w:footnote w:id="120">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See, for instance, </w:t>
      </w:r>
      <w:proofErr w:type="spellStart"/>
      <w:r w:rsidRPr="003B35C4">
        <w:rPr>
          <w:rFonts w:ascii="Times New Roman" w:hAnsi="Times New Roman" w:cs="Times New Roman"/>
          <w:i/>
        </w:rPr>
        <w:t>Awas</w:t>
      </w:r>
      <w:proofErr w:type="spellEnd"/>
      <w:r w:rsidRPr="003B35C4">
        <w:rPr>
          <w:rFonts w:ascii="Times New Roman" w:hAnsi="Times New Roman" w:cs="Times New Roman"/>
          <w:i/>
        </w:rPr>
        <w:t xml:space="preserve"> </w:t>
      </w:r>
      <w:proofErr w:type="spellStart"/>
      <w:r w:rsidRPr="003B35C4">
        <w:rPr>
          <w:rFonts w:ascii="Times New Roman" w:hAnsi="Times New Roman" w:cs="Times New Roman"/>
          <w:i/>
        </w:rPr>
        <w:t>Tingani</w:t>
      </w:r>
      <w:proofErr w:type="spellEnd"/>
      <w:r w:rsidRPr="003B35C4">
        <w:rPr>
          <w:rFonts w:ascii="Times New Roman" w:hAnsi="Times New Roman" w:cs="Times New Roman"/>
        </w:rPr>
        <w:t xml:space="preserve">, </w:t>
      </w:r>
      <w:r>
        <w:rPr>
          <w:rFonts w:ascii="Times New Roman" w:hAnsi="Times New Roman" w:cs="Times New Roman"/>
        </w:rPr>
        <w:t>(</w:t>
      </w:r>
      <w:r w:rsidRPr="003B35C4">
        <w:rPr>
          <w:rFonts w:ascii="Times New Roman" w:hAnsi="Times New Roman" w:cs="Times New Roman"/>
        </w:rPr>
        <w:t>n 3</w:t>
      </w:r>
      <w:r>
        <w:rPr>
          <w:rFonts w:ascii="Times New Roman" w:hAnsi="Times New Roman" w:cs="Times New Roman"/>
        </w:rPr>
        <w:t>8),</w:t>
      </w:r>
      <w:r w:rsidRPr="003B35C4">
        <w:rPr>
          <w:rFonts w:ascii="Times New Roman" w:hAnsi="Times New Roman" w:cs="Times New Roman"/>
        </w:rPr>
        <w:t xml:space="preserve"> and </w:t>
      </w:r>
      <w:r w:rsidRPr="003B35C4">
        <w:rPr>
          <w:rFonts w:ascii="Times New Roman" w:hAnsi="Times New Roman" w:cs="Times New Roman"/>
          <w:i/>
          <w:iCs/>
        </w:rPr>
        <w:t xml:space="preserve">Massacres of </w:t>
      </w:r>
      <w:proofErr w:type="spellStart"/>
      <w:r w:rsidRPr="003B35C4">
        <w:rPr>
          <w:rFonts w:ascii="Times New Roman" w:hAnsi="Times New Roman" w:cs="Times New Roman"/>
          <w:i/>
          <w:iCs/>
        </w:rPr>
        <w:t>Ituango</w:t>
      </w:r>
      <w:proofErr w:type="spellEnd"/>
      <w:r w:rsidRPr="003B35C4">
        <w:rPr>
          <w:rFonts w:ascii="Times New Roman" w:hAnsi="Times New Roman" w:cs="Times New Roman"/>
          <w:i/>
          <w:iCs/>
        </w:rPr>
        <w:t xml:space="preserve"> v Colombia</w:t>
      </w:r>
      <w:r>
        <w:rPr>
          <w:rFonts w:ascii="Times New Roman" w:hAnsi="Times New Roman" w:cs="Times New Roman"/>
          <w:i/>
          <w:iCs/>
        </w:rPr>
        <w:t xml:space="preserve"> </w:t>
      </w:r>
      <w:r>
        <w:rPr>
          <w:rFonts w:ascii="Times New Roman" w:hAnsi="Times New Roman" w:cs="Times New Roman"/>
          <w:iCs/>
        </w:rPr>
        <w:t>(2006)</w:t>
      </w:r>
      <w:r w:rsidRPr="003B35C4">
        <w:rPr>
          <w:rFonts w:ascii="Times New Roman" w:hAnsi="Times New Roman" w:cs="Times New Roman"/>
          <w:iCs/>
        </w:rPr>
        <w:t>, Ser. C, No. 148</w:t>
      </w:r>
      <w:r>
        <w:rPr>
          <w:rFonts w:ascii="Times New Roman" w:hAnsi="Times New Roman" w:cs="Times New Roman"/>
          <w:iCs/>
        </w:rPr>
        <w:t>,</w:t>
      </w:r>
      <w:r w:rsidRPr="003B35C4">
        <w:rPr>
          <w:rFonts w:ascii="Times New Roman" w:hAnsi="Times New Roman" w:cs="Times New Roman"/>
          <w:iCs/>
        </w:rPr>
        <w:t xml:space="preserve"> both of which dealt with the right to property.  For a comparative analysis of regional jurisprudence on protecting economic, social and cultural rights, see Aoife Nolan, ‘Addressing Economic and Social Rights Violations by Non-State Actors through the Role of State: A Comparison of Regional Approaches to the Obligation to Protect’ (2009) 9 </w:t>
      </w:r>
      <w:r w:rsidRPr="003B35C4">
        <w:rPr>
          <w:rFonts w:ascii="Times New Roman" w:hAnsi="Times New Roman" w:cs="Times New Roman"/>
          <w:i/>
          <w:iCs/>
        </w:rPr>
        <w:t>Human Rights Law Review</w:t>
      </w:r>
      <w:r w:rsidRPr="003B35C4">
        <w:rPr>
          <w:rFonts w:ascii="Times New Roman" w:hAnsi="Times New Roman" w:cs="Times New Roman"/>
          <w:iCs/>
        </w:rPr>
        <w:t xml:space="preserve"> 225. </w:t>
      </w:r>
    </w:p>
  </w:footnote>
  <w:footnote w:id="121">
    <w:p w:rsidR="003B5ED2" w:rsidRPr="003B35C4" w:rsidRDefault="003B5ED2" w:rsidP="00695123">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Human Rights Committee, </w:t>
      </w:r>
      <w:r w:rsidRPr="003B35C4">
        <w:rPr>
          <w:rFonts w:ascii="Times New Roman" w:hAnsi="Times New Roman" w:cs="Times New Roman"/>
          <w:i/>
        </w:rPr>
        <w:t>General Comment No. 36 (Right to Life)</w:t>
      </w:r>
      <w:r w:rsidRPr="003B35C4">
        <w:rPr>
          <w:rFonts w:ascii="Times New Roman" w:hAnsi="Times New Roman" w:cs="Times New Roman"/>
        </w:rPr>
        <w:t xml:space="preserve">, </w:t>
      </w:r>
      <w:r>
        <w:rPr>
          <w:rFonts w:ascii="Times New Roman" w:hAnsi="Times New Roman" w:cs="Times New Roman"/>
        </w:rPr>
        <w:t xml:space="preserve">CCPR/C/G/36 (2018), </w:t>
      </w:r>
      <w:r w:rsidRPr="003B35C4">
        <w:rPr>
          <w:rFonts w:ascii="Times New Roman" w:hAnsi="Times New Roman" w:cs="Times New Roman"/>
        </w:rPr>
        <w:t xml:space="preserve">paras </w:t>
      </w:r>
      <w:r>
        <w:rPr>
          <w:rFonts w:ascii="Times New Roman" w:hAnsi="Times New Roman" w:cs="Times New Roman"/>
        </w:rPr>
        <w:t xml:space="preserve">18, </w:t>
      </w:r>
      <w:r w:rsidRPr="003B35C4">
        <w:rPr>
          <w:rFonts w:ascii="Times New Roman" w:hAnsi="Times New Roman" w:cs="Times New Roman"/>
        </w:rPr>
        <w:t xml:space="preserve">19 and </w:t>
      </w:r>
      <w:r>
        <w:rPr>
          <w:rFonts w:ascii="Times New Roman" w:hAnsi="Times New Roman" w:cs="Times New Roman"/>
        </w:rPr>
        <w:t>22</w:t>
      </w:r>
      <w:r w:rsidRPr="003B35C4">
        <w:rPr>
          <w:rFonts w:ascii="Times New Roman" w:hAnsi="Times New Roman" w:cs="Times New Roman"/>
        </w:rPr>
        <w:t xml:space="preserve">.  </w:t>
      </w:r>
    </w:p>
  </w:footnote>
  <w:footnote w:id="122">
    <w:p w:rsidR="003B5ED2" w:rsidRPr="003B35C4" w:rsidRDefault="003B5ED2" w:rsidP="00695123">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AA37BB">
        <w:rPr>
          <w:rFonts w:ascii="Times New Roman" w:hAnsi="Times New Roman" w:cs="Times New Roman"/>
          <w:i/>
        </w:rPr>
        <w:t>Ibid</w:t>
      </w:r>
      <w:r w:rsidRPr="003B35C4">
        <w:rPr>
          <w:rFonts w:ascii="Times New Roman" w:hAnsi="Times New Roman" w:cs="Times New Roman"/>
        </w:rPr>
        <w:t xml:space="preserve">, paras 24-25; </w:t>
      </w:r>
      <w:proofErr w:type="spellStart"/>
      <w:r w:rsidRPr="003B35C4">
        <w:rPr>
          <w:rFonts w:ascii="Times New Roman" w:hAnsi="Times New Roman" w:cs="Times New Roman"/>
          <w:i/>
        </w:rPr>
        <w:t>Siliadin</w:t>
      </w:r>
      <w:proofErr w:type="spellEnd"/>
      <w:r w:rsidRPr="003B35C4">
        <w:rPr>
          <w:rFonts w:ascii="Times New Roman" w:hAnsi="Times New Roman" w:cs="Times New Roman"/>
        </w:rPr>
        <w:t>,</w:t>
      </w:r>
      <w:r w:rsidR="00AA37BB">
        <w:rPr>
          <w:rFonts w:ascii="Times New Roman" w:hAnsi="Times New Roman" w:cs="Times New Roman"/>
        </w:rPr>
        <w:t xml:space="preserve"> (n</w:t>
      </w:r>
      <w:r w:rsidRPr="003B35C4">
        <w:rPr>
          <w:rFonts w:ascii="Times New Roman" w:hAnsi="Times New Roman" w:cs="Times New Roman"/>
        </w:rPr>
        <w:t xml:space="preserve"> 4</w:t>
      </w:r>
      <w:r>
        <w:rPr>
          <w:rFonts w:ascii="Times New Roman" w:hAnsi="Times New Roman" w:cs="Times New Roman"/>
        </w:rPr>
        <w:t>7</w:t>
      </w:r>
      <w:r w:rsidR="00AA37BB">
        <w:rPr>
          <w:rFonts w:ascii="Times New Roman" w:hAnsi="Times New Roman" w:cs="Times New Roman"/>
        </w:rPr>
        <w:t>)</w:t>
      </w:r>
      <w:r w:rsidRPr="003B35C4">
        <w:rPr>
          <w:rFonts w:ascii="Times New Roman" w:hAnsi="Times New Roman" w:cs="Times New Roman"/>
        </w:rPr>
        <w:t xml:space="preserve">, para 112.     </w:t>
      </w:r>
    </w:p>
  </w:footnote>
  <w:footnote w:id="123">
    <w:p w:rsidR="003B5ED2" w:rsidRPr="003B35C4" w:rsidRDefault="003B5ED2" w:rsidP="00CA2F80">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L.C.B. v United Kingdom</w:t>
      </w:r>
      <w:r w:rsidRPr="003B35C4">
        <w:rPr>
          <w:rFonts w:ascii="Times New Roman" w:hAnsi="Times New Roman" w:cs="Times New Roman"/>
        </w:rPr>
        <w:t xml:space="preserve">, App no </w:t>
      </w:r>
      <w:r w:rsidRPr="003B35C4">
        <w:rPr>
          <w:rStyle w:val="s7d2086b4"/>
          <w:rFonts w:ascii="Times New Roman" w:hAnsi="Times New Roman" w:cs="Times New Roman"/>
        </w:rPr>
        <w:t>14/1997/798/1001</w:t>
      </w:r>
      <w:r w:rsidRPr="003B35C4">
        <w:rPr>
          <w:rFonts w:ascii="Times New Roman" w:hAnsi="Times New Roman" w:cs="Times New Roman"/>
        </w:rPr>
        <w:t xml:space="preserve"> (1998), para 36.  </w:t>
      </w:r>
    </w:p>
  </w:footnote>
  <w:footnote w:id="124">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Style w:val="s6b621b36"/>
          <w:rFonts w:ascii="Times New Roman" w:hAnsi="Times New Roman" w:cs="Times New Roman"/>
          <w:i/>
        </w:rPr>
        <w:t>Osman v. the United Kingdom</w:t>
      </w:r>
      <w:r w:rsidRPr="003B35C4">
        <w:rPr>
          <w:rStyle w:val="sb8d990e2"/>
          <w:rFonts w:ascii="Times New Roman" w:hAnsi="Times New Roman" w:cs="Times New Roman"/>
        </w:rPr>
        <w:t xml:space="preserve">, App no </w:t>
      </w:r>
      <w:r w:rsidRPr="003B35C4">
        <w:rPr>
          <w:rStyle w:val="s7d2086b4"/>
          <w:rFonts w:ascii="Times New Roman" w:hAnsi="Times New Roman" w:cs="Times New Roman"/>
        </w:rPr>
        <w:t>87/1997/871/1083</w:t>
      </w:r>
      <w:r w:rsidRPr="003B35C4">
        <w:rPr>
          <w:rStyle w:val="sb8d990e2"/>
          <w:rFonts w:ascii="Times New Roman" w:hAnsi="Times New Roman" w:cs="Times New Roman"/>
        </w:rPr>
        <w:t xml:space="preserve"> (1998), para 115; and </w:t>
      </w:r>
      <w:proofErr w:type="spellStart"/>
      <w:r w:rsidRPr="003B35C4">
        <w:rPr>
          <w:rFonts w:ascii="Times New Roman" w:hAnsi="Times New Roman" w:cs="Times New Roman"/>
          <w:i/>
        </w:rPr>
        <w:t>Opuz</w:t>
      </w:r>
      <w:proofErr w:type="spellEnd"/>
      <w:r w:rsidRPr="003B35C4">
        <w:rPr>
          <w:rFonts w:ascii="Times New Roman" w:hAnsi="Times New Roman" w:cs="Times New Roman"/>
          <w:i/>
        </w:rPr>
        <w:t xml:space="preserve"> v Turkey</w:t>
      </w:r>
      <w:r w:rsidRPr="003B35C4">
        <w:rPr>
          <w:rFonts w:ascii="Times New Roman" w:hAnsi="Times New Roman" w:cs="Times New Roman"/>
        </w:rPr>
        <w:t>, App no 33401/02 (2009), para 128.</w:t>
      </w:r>
    </w:p>
  </w:footnote>
  <w:footnote w:id="125">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Style w:val="s6b621b36"/>
          <w:rFonts w:ascii="Times New Roman" w:hAnsi="Times New Roman" w:cs="Times New Roman"/>
          <w:i/>
        </w:rPr>
        <w:t>Mahmut</w:t>
      </w:r>
      <w:proofErr w:type="spellEnd"/>
      <w:r w:rsidRPr="003B35C4">
        <w:rPr>
          <w:rStyle w:val="s6b621b36"/>
          <w:rFonts w:ascii="Times New Roman" w:hAnsi="Times New Roman" w:cs="Times New Roman"/>
          <w:i/>
        </w:rPr>
        <w:t xml:space="preserve"> Kaya v. Turkey</w:t>
      </w:r>
      <w:r w:rsidRPr="003B35C4">
        <w:rPr>
          <w:rStyle w:val="s6b621b36"/>
          <w:rFonts w:ascii="Times New Roman" w:hAnsi="Times New Roman" w:cs="Times New Roman"/>
        </w:rPr>
        <w:t xml:space="preserve">, App no 22535/93 (2000), para 115; and </w:t>
      </w:r>
      <w:proofErr w:type="spellStart"/>
      <w:r w:rsidRPr="003B35C4">
        <w:rPr>
          <w:rFonts w:ascii="Times New Roman" w:hAnsi="Times New Roman" w:cs="Times New Roman"/>
          <w:i/>
        </w:rPr>
        <w:t>Rantsev</w:t>
      </w:r>
      <w:proofErr w:type="spellEnd"/>
      <w:r w:rsidRPr="003B35C4">
        <w:rPr>
          <w:rFonts w:ascii="Times New Roman" w:hAnsi="Times New Roman" w:cs="Times New Roman"/>
        </w:rPr>
        <w:t xml:space="preserve">, </w:t>
      </w:r>
      <w:r w:rsidR="00AA37BB">
        <w:rPr>
          <w:rFonts w:ascii="Times New Roman" w:hAnsi="Times New Roman" w:cs="Times New Roman"/>
        </w:rPr>
        <w:t>(</w:t>
      </w:r>
      <w:r w:rsidRPr="003B35C4">
        <w:rPr>
          <w:rFonts w:ascii="Times New Roman" w:hAnsi="Times New Roman" w:cs="Times New Roman"/>
        </w:rPr>
        <w:t>n 4</w:t>
      </w:r>
      <w:r>
        <w:rPr>
          <w:rFonts w:ascii="Times New Roman" w:hAnsi="Times New Roman" w:cs="Times New Roman"/>
        </w:rPr>
        <w:t>7</w:t>
      </w:r>
      <w:r w:rsidR="00AA37BB">
        <w:rPr>
          <w:rFonts w:ascii="Times New Roman" w:hAnsi="Times New Roman" w:cs="Times New Roman"/>
        </w:rPr>
        <w:t>)</w:t>
      </w:r>
      <w:r w:rsidRPr="003B35C4">
        <w:rPr>
          <w:rFonts w:ascii="Times New Roman" w:hAnsi="Times New Roman" w:cs="Times New Roman"/>
        </w:rPr>
        <w:t>, para 285.</w:t>
      </w:r>
    </w:p>
  </w:footnote>
  <w:footnote w:id="126">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i/>
        </w:rPr>
        <w:t>Opuz</w:t>
      </w:r>
      <w:proofErr w:type="spellEnd"/>
      <w:r w:rsidRPr="003B35C4">
        <w:rPr>
          <w:rFonts w:ascii="Times New Roman" w:hAnsi="Times New Roman" w:cs="Times New Roman"/>
        </w:rPr>
        <w:t xml:space="preserve">, </w:t>
      </w:r>
      <w:r w:rsidR="00AA37BB">
        <w:rPr>
          <w:rFonts w:ascii="Times New Roman" w:hAnsi="Times New Roman" w:cs="Times New Roman"/>
        </w:rPr>
        <w:t>(</w:t>
      </w:r>
      <w:r>
        <w:rPr>
          <w:rFonts w:ascii="Times New Roman" w:hAnsi="Times New Roman" w:cs="Times New Roman"/>
        </w:rPr>
        <w:t>n 124</w:t>
      </w:r>
      <w:r w:rsidR="00AA37BB">
        <w:rPr>
          <w:rFonts w:ascii="Times New Roman" w:hAnsi="Times New Roman" w:cs="Times New Roman"/>
        </w:rPr>
        <w:t>)</w:t>
      </w:r>
      <w:r w:rsidRPr="003B35C4">
        <w:rPr>
          <w:rFonts w:ascii="Times New Roman" w:hAnsi="Times New Roman" w:cs="Times New Roman"/>
        </w:rPr>
        <w:t xml:space="preserve">, para 129; and </w:t>
      </w:r>
      <w:proofErr w:type="spellStart"/>
      <w:r w:rsidRPr="003B35C4">
        <w:rPr>
          <w:rFonts w:ascii="Times New Roman" w:hAnsi="Times New Roman" w:cs="Times New Roman"/>
          <w:i/>
        </w:rPr>
        <w:t>Rantsev</w:t>
      </w:r>
      <w:proofErr w:type="spellEnd"/>
      <w:r w:rsidRPr="003B35C4">
        <w:rPr>
          <w:rFonts w:ascii="Times New Roman" w:hAnsi="Times New Roman" w:cs="Times New Roman"/>
        </w:rPr>
        <w:t xml:space="preserve">, </w:t>
      </w:r>
      <w:r w:rsidR="00AA37BB">
        <w:rPr>
          <w:rFonts w:ascii="Times New Roman" w:hAnsi="Times New Roman" w:cs="Times New Roman"/>
        </w:rPr>
        <w:t>(n 47)</w:t>
      </w:r>
      <w:r w:rsidRPr="003B35C4">
        <w:rPr>
          <w:rFonts w:ascii="Times New Roman" w:hAnsi="Times New Roman" w:cs="Times New Roman"/>
        </w:rPr>
        <w:t xml:space="preserve">, para 286.    </w:t>
      </w:r>
    </w:p>
  </w:footnote>
  <w:footnote w:id="127">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i/>
        </w:rPr>
        <w:t>Rantsev</w:t>
      </w:r>
      <w:proofErr w:type="spellEnd"/>
      <w:r w:rsidRPr="003B35C4">
        <w:rPr>
          <w:rFonts w:ascii="Times New Roman" w:hAnsi="Times New Roman" w:cs="Times New Roman"/>
        </w:rPr>
        <w:t>,</w:t>
      </w:r>
      <w:r w:rsidR="00AA37BB">
        <w:rPr>
          <w:rFonts w:ascii="Times New Roman" w:hAnsi="Times New Roman" w:cs="Times New Roman"/>
        </w:rPr>
        <w:t xml:space="preserve"> (n 47)</w:t>
      </w:r>
      <w:r w:rsidRPr="003B35C4">
        <w:rPr>
          <w:rFonts w:ascii="Times New Roman" w:hAnsi="Times New Roman" w:cs="Times New Roman"/>
        </w:rPr>
        <w:t xml:space="preserve">, para 287.  </w:t>
      </w:r>
    </w:p>
  </w:footnote>
  <w:footnote w:id="128">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Tom Obokata, </w:t>
      </w:r>
      <w:r w:rsidRPr="003B35C4">
        <w:rPr>
          <w:rFonts w:ascii="Times New Roman" w:hAnsi="Times New Roman" w:cs="Times New Roman"/>
          <w:i/>
        </w:rPr>
        <w:t xml:space="preserve">Trafficking of Human Beings from a Human Rights Perspective: Towards a Holistic Approach </w:t>
      </w:r>
      <w:r w:rsidRPr="003B35C4">
        <w:rPr>
          <w:rFonts w:ascii="Times New Roman" w:hAnsi="Times New Roman" w:cs="Times New Roman"/>
        </w:rPr>
        <w:t>(</w:t>
      </w:r>
      <w:proofErr w:type="spellStart"/>
      <w:r w:rsidRPr="003B35C4">
        <w:rPr>
          <w:rFonts w:ascii="Times New Roman" w:hAnsi="Times New Roman" w:cs="Times New Roman"/>
        </w:rPr>
        <w:t>Martinus</w:t>
      </w:r>
      <w:proofErr w:type="spellEnd"/>
      <w:r w:rsidRPr="003B35C4">
        <w:rPr>
          <w:rFonts w:ascii="Times New Roman" w:hAnsi="Times New Roman" w:cs="Times New Roman"/>
        </w:rPr>
        <w:t xml:space="preserve"> </w:t>
      </w:r>
      <w:proofErr w:type="spellStart"/>
      <w:r w:rsidRPr="003B35C4">
        <w:rPr>
          <w:rFonts w:ascii="Times New Roman" w:hAnsi="Times New Roman" w:cs="Times New Roman"/>
        </w:rPr>
        <w:t>Nijhoff</w:t>
      </w:r>
      <w:proofErr w:type="spellEnd"/>
      <w:r w:rsidRPr="003B35C4">
        <w:rPr>
          <w:rFonts w:ascii="Times New Roman" w:hAnsi="Times New Roman" w:cs="Times New Roman"/>
        </w:rPr>
        <w:t xml:space="preserve"> Publishers, 2004), 156. </w:t>
      </w:r>
    </w:p>
  </w:footnote>
  <w:footnote w:id="129">
    <w:p w:rsidR="003B5ED2" w:rsidRPr="003B35C4" w:rsidRDefault="003B5ED2" w:rsidP="00AE211C">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gramStart"/>
      <w:r w:rsidRPr="003B35C4">
        <w:rPr>
          <w:rFonts w:ascii="Times New Roman" w:hAnsi="Times New Roman" w:cs="Times New Roman"/>
          <w:i/>
        </w:rPr>
        <w:t>Recommended Principles and Guidelines on Human Rights and Human Trafficking</w:t>
      </w:r>
      <w:r w:rsidRPr="003B35C4">
        <w:rPr>
          <w:rFonts w:ascii="Times New Roman" w:hAnsi="Times New Roman" w:cs="Times New Roman"/>
        </w:rPr>
        <w:t>,</w:t>
      </w:r>
      <w:proofErr w:type="gramEnd"/>
      <w:r w:rsidRPr="003B35C4">
        <w:rPr>
          <w:rFonts w:ascii="Times New Roman" w:hAnsi="Times New Roman" w:cs="Times New Roman"/>
        </w:rPr>
        <w:t xml:space="preserve"> E/2002/68/Add. 1 (2002), Principle 6; </w:t>
      </w:r>
      <w:r w:rsidRPr="003B35C4">
        <w:rPr>
          <w:rFonts w:ascii="Times New Roman" w:hAnsi="Times New Roman" w:cs="Times New Roman"/>
          <w:i/>
        </w:rPr>
        <w:t>Report of the Special Rapporteur on Trafficking in Persons, Especially Women and Children</w:t>
      </w:r>
      <w:r w:rsidRPr="003B35C4">
        <w:rPr>
          <w:rFonts w:ascii="Times New Roman" w:hAnsi="Times New Roman" w:cs="Times New Roman"/>
        </w:rPr>
        <w:t>, A/64/290</w:t>
      </w:r>
      <w:r>
        <w:rPr>
          <w:rFonts w:ascii="Times New Roman" w:hAnsi="Times New Roman" w:cs="Times New Roman"/>
        </w:rPr>
        <w:t xml:space="preserve"> (2009)</w:t>
      </w:r>
      <w:r w:rsidRPr="003B35C4">
        <w:rPr>
          <w:rFonts w:ascii="Times New Roman" w:hAnsi="Times New Roman" w:cs="Times New Roman"/>
        </w:rPr>
        <w:t xml:space="preserve">; </w:t>
      </w:r>
      <w:r w:rsidRPr="003B35C4">
        <w:rPr>
          <w:rFonts w:ascii="Times New Roman" w:hAnsi="Times New Roman" w:cs="Times New Roman"/>
          <w:i/>
        </w:rPr>
        <w:t>Concluding Observations on the Fifth Periodic Report of Uruguay</w:t>
      </w:r>
      <w:r w:rsidRPr="003B35C4">
        <w:rPr>
          <w:rFonts w:ascii="Times New Roman" w:hAnsi="Times New Roman" w:cs="Times New Roman"/>
        </w:rPr>
        <w:t xml:space="preserve">, CCPR/C/URY/5 (2013), para. 16; and </w:t>
      </w:r>
      <w:r w:rsidRPr="003B35C4">
        <w:rPr>
          <w:rFonts w:ascii="Times New Roman" w:hAnsi="Times New Roman" w:cs="Times New Roman"/>
          <w:i/>
        </w:rPr>
        <w:t>Concluding Observations on the Initial Report of Indonesia</w:t>
      </w:r>
      <w:r w:rsidRPr="003B35C4">
        <w:rPr>
          <w:rFonts w:ascii="Times New Roman" w:hAnsi="Times New Roman" w:cs="Times New Roman"/>
        </w:rPr>
        <w:t>, CMW/C/IDN/1 (2017), para</w:t>
      </w:r>
      <w:r w:rsidR="00A871A1">
        <w:rPr>
          <w:rFonts w:ascii="Times New Roman" w:hAnsi="Times New Roman" w:cs="Times New Roman"/>
        </w:rPr>
        <w:t xml:space="preserve"> </w:t>
      </w:r>
      <w:r w:rsidRPr="003B35C4">
        <w:rPr>
          <w:rFonts w:ascii="Times New Roman" w:hAnsi="Times New Roman" w:cs="Times New Roman"/>
        </w:rPr>
        <w:t xml:space="preserve">37.   </w:t>
      </w:r>
    </w:p>
  </w:footnote>
  <w:footnote w:id="130">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Combined Second and Third Periodic Reports of Albania</w:t>
      </w:r>
      <w:r w:rsidRPr="003B35C4">
        <w:rPr>
          <w:rFonts w:ascii="Times New Roman" w:hAnsi="Times New Roman" w:cs="Times New Roman"/>
        </w:rPr>
        <w:t>, E/C.12/ALB/CO/2-3 (2013), para</w:t>
      </w:r>
      <w:r w:rsidR="00A871A1">
        <w:rPr>
          <w:rFonts w:ascii="Times New Roman" w:hAnsi="Times New Roman" w:cs="Times New Roman"/>
        </w:rPr>
        <w:t xml:space="preserve"> </w:t>
      </w:r>
      <w:r w:rsidRPr="003B35C4">
        <w:rPr>
          <w:rFonts w:ascii="Times New Roman" w:hAnsi="Times New Roman" w:cs="Times New Roman"/>
        </w:rPr>
        <w:t xml:space="preserve">22; and </w:t>
      </w:r>
      <w:r w:rsidRPr="003B35C4">
        <w:rPr>
          <w:rFonts w:ascii="Times New Roman" w:hAnsi="Times New Roman" w:cs="Times New Roman"/>
          <w:i/>
        </w:rPr>
        <w:t>Concluding Observations on the Initial Report of Gabon</w:t>
      </w:r>
      <w:r w:rsidRPr="003B35C4">
        <w:rPr>
          <w:rFonts w:ascii="Times New Roman" w:hAnsi="Times New Roman" w:cs="Times New Roman"/>
        </w:rPr>
        <w:t>, E/C.12/GAB/CO/1</w:t>
      </w:r>
      <w:r>
        <w:rPr>
          <w:rFonts w:ascii="Times New Roman" w:hAnsi="Times New Roman" w:cs="Times New Roman"/>
        </w:rPr>
        <w:t xml:space="preserve"> (2013)</w:t>
      </w:r>
      <w:r w:rsidRPr="003B35C4">
        <w:rPr>
          <w:rFonts w:ascii="Times New Roman" w:hAnsi="Times New Roman" w:cs="Times New Roman"/>
        </w:rPr>
        <w:t xml:space="preserve">, </w:t>
      </w:r>
      <w:proofErr w:type="gramStart"/>
      <w:r w:rsidRPr="003B35C4">
        <w:rPr>
          <w:rFonts w:ascii="Times New Roman" w:hAnsi="Times New Roman" w:cs="Times New Roman"/>
        </w:rPr>
        <w:t>para</w:t>
      </w:r>
      <w:r w:rsidR="00A871A1">
        <w:rPr>
          <w:rFonts w:ascii="Times New Roman" w:hAnsi="Times New Roman" w:cs="Times New Roman"/>
        </w:rPr>
        <w:t xml:space="preserve"> </w:t>
      </w:r>
      <w:r w:rsidRPr="003B35C4">
        <w:rPr>
          <w:rFonts w:ascii="Times New Roman" w:hAnsi="Times New Roman" w:cs="Times New Roman"/>
        </w:rPr>
        <w:t xml:space="preserve"> 23</w:t>
      </w:r>
      <w:proofErr w:type="gramEnd"/>
      <w:r w:rsidR="00A871A1">
        <w:rPr>
          <w:rFonts w:ascii="Times New Roman" w:hAnsi="Times New Roman" w:cs="Times New Roman"/>
        </w:rPr>
        <w:t>.</w:t>
      </w:r>
    </w:p>
  </w:footnote>
  <w:footnote w:id="13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Combined Second and Third Periodic Reports of Senegal</w:t>
      </w:r>
      <w:r w:rsidRPr="003B35C4">
        <w:rPr>
          <w:rFonts w:ascii="Times New Roman" w:hAnsi="Times New Roman" w:cs="Times New Roman"/>
        </w:rPr>
        <w:t xml:space="preserve">, CMW/C/SEN/CO/2-3 (2016), para 57; </w:t>
      </w:r>
      <w:r w:rsidRPr="003B35C4">
        <w:rPr>
          <w:rFonts w:ascii="Times New Roman" w:hAnsi="Times New Roman" w:cs="Times New Roman"/>
          <w:i/>
        </w:rPr>
        <w:t>Concluding Observations on the Initial Report of Uganda</w:t>
      </w:r>
      <w:r w:rsidRPr="003B35C4">
        <w:rPr>
          <w:rFonts w:ascii="Times New Roman" w:hAnsi="Times New Roman" w:cs="Times New Roman"/>
        </w:rPr>
        <w:t xml:space="preserve">, </w:t>
      </w:r>
      <w:r w:rsidRPr="003B35C4">
        <w:rPr>
          <w:rStyle w:val="sessionsubtitle"/>
          <w:rFonts w:ascii="Times New Roman" w:hAnsi="Times New Roman" w:cs="Times New Roman"/>
        </w:rPr>
        <w:t>CMW/C/UGA/CO/1</w:t>
      </w:r>
      <w:r>
        <w:rPr>
          <w:rStyle w:val="sessionsubtitle"/>
          <w:rFonts w:ascii="Times New Roman" w:hAnsi="Times New Roman" w:cs="Times New Roman"/>
        </w:rPr>
        <w:t xml:space="preserve"> (2017)</w:t>
      </w:r>
      <w:r w:rsidRPr="003B35C4">
        <w:rPr>
          <w:rStyle w:val="sessionsubtitle"/>
          <w:rFonts w:ascii="Times New Roman" w:hAnsi="Times New Roman" w:cs="Times New Roman"/>
        </w:rPr>
        <w:t xml:space="preserve">, para 31; and </w:t>
      </w:r>
      <w:r w:rsidRPr="003B35C4">
        <w:rPr>
          <w:rStyle w:val="sessionsubtitle"/>
          <w:rFonts w:ascii="Times New Roman" w:hAnsi="Times New Roman" w:cs="Times New Roman"/>
          <w:i/>
        </w:rPr>
        <w:t>Concluding Observations on the Initial Report of Bangladesh</w:t>
      </w:r>
      <w:r w:rsidRPr="003B35C4">
        <w:rPr>
          <w:rStyle w:val="sessionsubtitle"/>
          <w:rFonts w:ascii="Times New Roman" w:hAnsi="Times New Roman" w:cs="Times New Roman"/>
        </w:rPr>
        <w:t xml:space="preserve">, </w:t>
      </w:r>
      <w:r w:rsidRPr="003B35C4">
        <w:rPr>
          <w:rFonts w:ascii="Times New Roman" w:hAnsi="Times New Roman" w:cs="Times New Roman"/>
        </w:rPr>
        <w:t xml:space="preserve">CMW/C/BGD/1 (2017), para 56.  </w:t>
      </w:r>
    </w:p>
  </w:footnote>
  <w:footnote w:id="132">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Combined Initial to Fifth Reports of Seychelles</w:t>
      </w:r>
      <w:r w:rsidRPr="003B35C4">
        <w:rPr>
          <w:rFonts w:ascii="Times New Roman" w:hAnsi="Times New Roman" w:cs="Times New Roman"/>
        </w:rPr>
        <w:t>, CEDAW/C/SYC/1-5 (2013), para</w:t>
      </w:r>
      <w:r w:rsidR="00A871A1">
        <w:rPr>
          <w:rFonts w:ascii="Times New Roman" w:hAnsi="Times New Roman" w:cs="Times New Roman"/>
        </w:rPr>
        <w:t xml:space="preserve"> </w:t>
      </w:r>
      <w:r w:rsidRPr="003B35C4">
        <w:rPr>
          <w:rFonts w:ascii="Times New Roman" w:hAnsi="Times New Roman" w:cs="Times New Roman"/>
        </w:rPr>
        <w:t xml:space="preserve">25; </w:t>
      </w:r>
      <w:r w:rsidRPr="003B35C4">
        <w:rPr>
          <w:rFonts w:ascii="Times New Roman" w:hAnsi="Times New Roman" w:cs="Times New Roman"/>
          <w:i/>
        </w:rPr>
        <w:t>Concluding Observations on the Combined Initial and Second Reports of Swaziland</w:t>
      </w:r>
      <w:r w:rsidRPr="003B35C4">
        <w:rPr>
          <w:rFonts w:ascii="Times New Roman" w:hAnsi="Times New Roman" w:cs="Times New Roman"/>
        </w:rPr>
        <w:t xml:space="preserve">, CEDAW/C/SWZ/1-2 (2014), para 25; </w:t>
      </w:r>
      <w:r w:rsidRPr="003B35C4">
        <w:rPr>
          <w:rFonts w:ascii="Times New Roman" w:hAnsi="Times New Roman" w:cs="Times New Roman"/>
          <w:i/>
        </w:rPr>
        <w:t>Concluding Observations on the Seventh Periodic Report of Argentina</w:t>
      </w:r>
      <w:r w:rsidRPr="003B35C4">
        <w:rPr>
          <w:rFonts w:ascii="Times New Roman" w:hAnsi="Times New Roman" w:cs="Times New Roman"/>
        </w:rPr>
        <w:t xml:space="preserve">, CEDAW/C/ARG/CO/7 (2016), para 23; and </w:t>
      </w:r>
      <w:r w:rsidRPr="003B35C4">
        <w:rPr>
          <w:rFonts w:ascii="Times New Roman" w:hAnsi="Times New Roman" w:cs="Times New Roman"/>
          <w:i/>
        </w:rPr>
        <w:t>Concluding Observations on the Combined Fifth and Sixth Reports of Bolivia</w:t>
      </w:r>
      <w:r w:rsidRPr="003B35C4">
        <w:rPr>
          <w:rFonts w:ascii="Times New Roman" w:hAnsi="Times New Roman" w:cs="Times New Roman"/>
        </w:rPr>
        <w:t xml:space="preserve">, CEDAW/C/BOL/5-6 (2015), para 20. </w:t>
      </w:r>
    </w:p>
  </w:footnote>
  <w:footnote w:id="133">
    <w:p w:rsidR="003B5ED2" w:rsidRPr="003B35C4" w:rsidRDefault="003B5ED2" w:rsidP="00AE211C">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i/>
        </w:rPr>
        <w:t>Chowdury</w:t>
      </w:r>
      <w:proofErr w:type="spellEnd"/>
      <w:r w:rsidRPr="003B35C4">
        <w:rPr>
          <w:rFonts w:ascii="Times New Roman" w:hAnsi="Times New Roman" w:cs="Times New Roman"/>
          <w:i/>
        </w:rPr>
        <w:t xml:space="preserve"> and Others v Greece</w:t>
      </w:r>
      <w:r w:rsidRPr="003B35C4">
        <w:rPr>
          <w:rFonts w:ascii="Times New Roman" w:hAnsi="Times New Roman" w:cs="Times New Roman"/>
        </w:rPr>
        <w:t>, App no 21884/15 (2017), para</w:t>
      </w:r>
      <w:r w:rsidR="00A871A1">
        <w:rPr>
          <w:rFonts w:ascii="Times New Roman" w:hAnsi="Times New Roman" w:cs="Times New Roman"/>
        </w:rPr>
        <w:t xml:space="preserve"> </w:t>
      </w:r>
      <w:r w:rsidRPr="003B35C4">
        <w:rPr>
          <w:rFonts w:ascii="Times New Roman" w:hAnsi="Times New Roman" w:cs="Times New Roman"/>
        </w:rPr>
        <w:t xml:space="preserve">104.  </w:t>
      </w:r>
    </w:p>
  </w:footnote>
  <w:footnote w:id="134">
    <w:p w:rsidR="003B5ED2" w:rsidRPr="003B35C4" w:rsidRDefault="003B5ED2" w:rsidP="00AE211C">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Art 12 of the Council of Europe Convention.  </w:t>
      </w:r>
    </w:p>
  </w:footnote>
  <w:footnote w:id="135">
    <w:p w:rsidR="003B5ED2" w:rsidRPr="003B35C4" w:rsidRDefault="003B5ED2" w:rsidP="00AE211C">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AE3800">
        <w:rPr>
          <w:rFonts w:ascii="Times New Roman" w:hAnsi="Times New Roman" w:cs="Times New Roman"/>
          <w:i/>
        </w:rPr>
        <w:t>Ibid</w:t>
      </w:r>
      <w:r w:rsidRPr="003B35C4">
        <w:rPr>
          <w:rFonts w:ascii="Times New Roman" w:hAnsi="Times New Roman" w:cs="Times New Roman"/>
        </w:rPr>
        <w:t xml:space="preserve">. </w:t>
      </w:r>
    </w:p>
  </w:footnote>
  <w:footnote w:id="136">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Initial Report of Argentina</w:t>
      </w:r>
      <w:r w:rsidRPr="003B35C4">
        <w:rPr>
          <w:rFonts w:ascii="Times New Roman" w:hAnsi="Times New Roman" w:cs="Times New Roman"/>
        </w:rPr>
        <w:t xml:space="preserve">, CMW/C/ARG/CO/1 (2011), para 31; </w:t>
      </w:r>
      <w:r w:rsidRPr="003B35C4">
        <w:rPr>
          <w:rFonts w:ascii="Times New Roman" w:hAnsi="Times New Roman" w:cs="Times New Roman"/>
          <w:i/>
        </w:rPr>
        <w:t>Concluding Observations on the Seventh Periodic Report of Belgium</w:t>
      </w:r>
      <w:r w:rsidRPr="003B35C4">
        <w:rPr>
          <w:rFonts w:ascii="Times New Roman" w:hAnsi="Times New Roman" w:cs="Times New Roman"/>
        </w:rPr>
        <w:t xml:space="preserve">, CEDAW/C/BEL/7 (2014), para 25; </w:t>
      </w:r>
      <w:r w:rsidRPr="003B35C4">
        <w:rPr>
          <w:rFonts w:ascii="Times New Roman" w:hAnsi="Times New Roman" w:cs="Times New Roman"/>
          <w:i/>
        </w:rPr>
        <w:t>Concluding Observations on the Combined Seventh and Eighth Reports of Germany</w:t>
      </w:r>
      <w:r w:rsidRPr="003B35C4">
        <w:rPr>
          <w:rFonts w:ascii="Times New Roman" w:hAnsi="Times New Roman" w:cs="Times New Roman"/>
        </w:rPr>
        <w:t xml:space="preserve">, CEDAW/C/DEU/7-8 (2017), para 30; and </w:t>
      </w:r>
      <w:r w:rsidRPr="003B35C4">
        <w:rPr>
          <w:rFonts w:ascii="Times New Roman" w:hAnsi="Times New Roman" w:cs="Times New Roman"/>
          <w:i/>
        </w:rPr>
        <w:t>Concluding Observations on the Combined Third and Fourth Reports of Germany</w:t>
      </w:r>
      <w:r w:rsidRPr="003B35C4">
        <w:rPr>
          <w:rFonts w:ascii="Times New Roman" w:hAnsi="Times New Roman" w:cs="Times New Roman"/>
        </w:rPr>
        <w:t xml:space="preserve">, CRC/C/DEU/3-4 (2014), para 73. </w:t>
      </w:r>
    </w:p>
  </w:footnote>
  <w:footnote w:id="137">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Combined Second and Third Periodic Reports of Saint Vincent and Grenadines</w:t>
      </w:r>
      <w:r w:rsidRPr="003B35C4">
        <w:rPr>
          <w:rFonts w:ascii="Times New Roman" w:hAnsi="Times New Roman" w:cs="Times New Roman"/>
        </w:rPr>
        <w:t>, CRC/C/VCT/2-3 (2017), para</w:t>
      </w:r>
      <w:r w:rsidR="00E86800">
        <w:rPr>
          <w:rFonts w:ascii="Times New Roman" w:hAnsi="Times New Roman" w:cs="Times New Roman"/>
        </w:rPr>
        <w:t xml:space="preserve"> </w:t>
      </w:r>
      <w:r w:rsidRPr="003B35C4">
        <w:rPr>
          <w:rFonts w:ascii="Times New Roman" w:hAnsi="Times New Roman" w:cs="Times New Roman"/>
        </w:rPr>
        <w:t>63.</w:t>
      </w:r>
    </w:p>
  </w:footnote>
  <w:footnote w:id="138">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Fifth Periodic Report of Australia</w:t>
      </w:r>
      <w:r w:rsidRPr="003B35C4">
        <w:rPr>
          <w:rFonts w:ascii="Times New Roman" w:hAnsi="Times New Roman" w:cs="Times New Roman"/>
        </w:rPr>
        <w:t xml:space="preserve">, CCPR/C/AUS/5 (2009), para 22; </w:t>
      </w:r>
      <w:r w:rsidRPr="003B35C4">
        <w:rPr>
          <w:rFonts w:ascii="Times New Roman" w:hAnsi="Times New Roman" w:cs="Times New Roman"/>
          <w:i/>
        </w:rPr>
        <w:t>Concluding Observations on the Combined Fourth and Fifth Reports of India</w:t>
      </w:r>
      <w:r w:rsidRPr="003B35C4">
        <w:rPr>
          <w:rFonts w:ascii="Times New Roman" w:hAnsi="Times New Roman" w:cs="Times New Roman"/>
        </w:rPr>
        <w:t xml:space="preserve">, CEDAW/C/IND/4-5 (2014), para 23; and </w:t>
      </w:r>
      <w:r w:rsidRPr="003B35C4">
        <w:rPr>
          <w:rFonts w:ascii="Times New Roman" w:hAnsi="Times New Roman" w:cs="Times New Roman"/>
          <w:i/>
        </w:rPr>
        <w:t>Concluding Observations on the Combined Sixth and Seventh Reports of Thailand</w:t>
      </w:r>
      <w:r w:rsidRPr="003B35C4">
        <w:rPr>
          <w:rFonts w:ascii="Times New Roman" w:hAnsi="Times New Roman" w:cs="Times New Roman"/>
        </w:rPr>
        <w:t xml:space="preserve">, CEDAW/C/THA/6-7 (2017), para 25.    </w:t>
      </w:r>
    </w:p>
  </w:footnote>
  <w:footnote w:id="139">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Second Periodic Report of Sri Lanka</w:t>
      </w:r>
      <w:r w:rsidRPr="003B35C4">
        <w:rPr>
          <w:rFonts w:ascii="Times New Roman" w:hAnsi="Times New Roman" w:cs="Times New Roman"/>
        </w:rPr>
        <w:t xml:space="preserve">, CMW/C/LKA/2 (2016), para 59; </w:t>
      </w:r>
      <w:r w:rsidRPr="003B35C4">
        <w:rPr>
          <w:rFonts w:ascii="Times New Roman" w:hAnsi="Times New Roman" w:cs="Times New Roman"/>
          <w:i/>
        </w:rPr>
        <w:t>Concluding Observations on the Sixth Periodic Report of New Zealand</w:t>
      </w:r>
      <w:r w:rsidRPr="003B35C4">
        <w:rPr>
          <w:rFonts w:ascii="Times New Roman" w:hAnsi="Times New Roman" w:cs="Times New Roman"/>
        </w:rPr>
        <w:t xml:space="preserve">, CCPR/C/NZL/6 (2016), para 40; </w:t>
      </w:r>
      <w:r w:rsidRPr="003B35C4">
        <w:rPr>
          <w:rFonts w:ascii="Times New Roman" w:hAnsi="Times New Roman" w:cs="Times New Roman"/>
          <w:i/>
        </w:rPr>
        <w:t>Concluding Observations on the Fifth Periodic Report of Denmark</w:t>
      </w:r>
      <w:r w:rsidRPr="003B35C4">
        <w:rPr>
          <w:rFonts w:ascii="Times New Roman" w:hAnsi="Times New Roman" w:cs="Times New Roman"/>
        </w:rPr>
        <w:t xml:space="preserve">, CRC/C/DNK/5 (2017), para 43; and </w:t>
      </w:r>
      <w:r w:rsidRPr="003B35C4">
        <w:rPr>
          <w:rFonts w:ascii="Times New Roman" w:hAnsi="Times New Roman" w:cs="Times New Roman"/>
          <w:i/>
        </w:rPr>
        <w:t>Concluding Observations on the Combined Seventh and Eights Reports of Hungary</w:t>
      </w:r>
      <w:r w:rsidRPr="003B35C4">
        <w:rPr>
          <w:rFonts w:ascii="Times New Roman" w:hAnsi="Times New Roman" w:cs="Times New Roman"/>
        </w:rPr>
        <w:t xml:space="preserve">, CEDAW/C/HUN/7-8 </w:t>
      </w:r>
      <w:r>
        <w:rPr>
          <w:rFonts w:ascii="Times New Roman" w:hAnsi="Times New Roman" w:cs="Times New Roman"/>
        </w:rPr>
        <w:t>(</w:t>
      </w:r>
      <w:r w:rsidRPr="003B35C4">
        <w:rPr>
          <w:rFonts w:ascii="Times New Roman" w:hAnsi="Times New Roman" w:cs="Times New Roman"/>
        </w:rPr>
        <w:t>2013), para 23.</w:t>
      </w:r>
    </w:p>
  </w:footnote>
  <w:footnote w:id="140">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1577 UNTS 3.  </w:t>
      </w:r>
    </w:p>
  </w:footnote>
  <w:footnote w:id="14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General Comment No. 21 on Children in Street Situations</w:t>
      </w:r>
      <w:r w:rsidRPr="003B35C4">
        <w:rPr>
          <w:rFonts w:ascii="Times New Roman" w:hAnsi="Times New Roman" w:cs="Times New Roman"/>
        </w:rPr>
        <w:t>, CRC/C/GC/21 (2017), para 53; General Comment No.</w:t>
      </w:r>
      <w:r w:rsidRPr="003B35C4">
        <w:rPr>
          <w:rFonts w:ascii="Times New Roman" w:hAnsi="Times New Roman" w:cs="Times New Roman"/>
          <w:i/>
        </w:rPr>
        <w:t xml:space="preserve"> </w:t>
      </w:r>
      <w:r w:rsidRPr="003B35C4">
        <w:rPr>
          <w:rFonts w:ascii="Times New Roman" w:hAnsi="Times New Roman" w:cs="Times New Roman"/>
        </w:rPr>
        <w:t xml:space="preserve">20, </w:t>
      </w:r>
      <w:r w:rsidR="00E86800">
        <w:rPr>
          <w:rFonts w:ascii="Times New Roman" w:hAnsi="Times New Roman" w:cs="Times New Roman"/>
        </w:rPr>
        <w:t>(</w:t>
      </w:r>
      <w:r w:rsidRPr="003B35C4">
        <w:rPr>
          <w:rFonts w:ascii="Times New Roman" w:hAnsi="Times New Roman" w:cs="Times New Roman"/>
        </w:rPr>
        <w:t>n</w:t>
      </w:r>
      <w:r w:rsidR="00E86800">
        <w:rPr>
          <w:rFonts w:ascii="Times New Roman" w:hAnsi="Times New Roman" w:cs="Times New Roman"/>
        </w:rPr>
        <w:t xml:space="preserve"> </w:t>
      </w:r>
      <w:r w:rsidRPr="003B35C4">
        <w:rPr>
          <w:rFonts w:ascii="Times New Roman" w:hAnsi="Times New Roman" w:cs="Times New Roman"/>
        </w:rPr>
        <w:t>2</w:t>
      </w:r>
      <w:r>
        <w:rPr>
          <w:rFonts w:ascii="Times New Roman" w:hAnsi="Times New Roman" w:cs="Times New Roman"/>
        </w:rPr>
        <w:t>3</w:t>
      </w:r>
      <w:r w:rsidR="00E86800">
        <w:rPr>
          <w:rFonts w:ascii="Times New Roman" w:hAnsi="Times New Roman" w:cs="Times New Roman"/>
        </w:rPr>
        <w:t>)</w:t>
      </w:r>
      <w:r w:rsidRPr="003B35C4">
        <w:rPr>
          <w:rFonts w:ascii="Times New Roman" w:hAnsi="Times New Roman" w:cs="Times New Roman"/>
        </w:rPr>
        <w:t xml:space="preserve">, para 64; and </w:t>
      </w:r>
      <w:r w:rsidRPr="003B35C4">
        <w:rPr>
          <w:rFonts w:ascii="Times New Roman" w:hAnsi="Times New Roman" w:cs="Times New Roman"/>
          <w:i/>
        </w:rPr>
        <w:t xml:space="preserve">Concluding Observations on the Combined Second and Third Periodic Reports of Haiti, </w:t>
      </w:r>
      <w:r w:rsidRPr="003B35C4">
        <w:rPr>
          <w:rFonts w:ascii="Times New Roman" w:hAnsi="Times New Roman" w:cs="Times New Roman"/>
        </w:rPr>
        <w:t>CRC/C/HIT/CO/2-3</w:t>
      </w:r>
      <w:r w:rsidRPr="003B35C4">
        <w:rPr>
          <w:rFonts w:ascii="Times New Roman" w:hAnsi="Times New Roman" w:cs="Times New Roman"/>
          <w:i/>
        </w:rPr>
        <w:t xml:space="preserve"> </w:t>
      </w:r>
      <w:r w:rsidRPr="003B35C4">
        <w:rPr>
          <w:rFonts w:ascii="Times New Roman" w:hAnsi="Times New Roman" w:cs="Times New Roman"/>
        </w:rPr>
        <w:t xml:space="preserve">(2016), para 51. </w:t>
      </w:r>
    </w:p>
  </w:footnote>
  <w:footnote w:id="142">
    <w:p w:rsidR="003B5ED2" w:rsidRPr="003B35C4" w:rsidRDefault="003B5ED2" w:rsidP="005D12F9">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Initial Report of Kazakhstan</w:t>
      </w:r>
      <w:r w:rsidRPr="003B35C4">
        <w:rPr>
          <w:rFonts w:ascii="Times New Roman" w:hAnsi="Times New Roman" w:cs="Times New Roman"/>
        </w:rPr>
        <w:t xml:space="preserve">, E/C.12/KAZ/1 (2010), para 12; </w:t>
      </w:r>
      <w:r w:rsidRPr="003B35C4">
        <w:rPr>
          <w:rFonts w:ascii="Times New Roman" w:hAnsi="Times New Roman" w:cs="Times New Roman"/>
          <w:i/>
        </w:rPr>
        <w:t>Concluding Observations on the Combined Second and Third Reports of Kyrgyzstan</w:t>
      </w:r>
      <w:r w:rsidRPr="003B35C4">
        <w:rPr>
          <w:rFonts w:ascii="Times New Roman" w:hAnsi="Times New Roman" w:cs="Times New Roman"/>
        </w:rPr>
        <w:t xml:space="preserve">, E/C.12/KGZ/2-3 (2015), para 21; and </w:t>
      </w:r>
      <w:r w:rsidRPr="003B35C4">
        <w:rPr>
          <w:rFonts w:ascii="Times New Roman" w:eastAsia="Times New Roman" w:hAnsi="Times New Roman" w:cs="Times New Roman"/>
          <w:i/>
        </w:rPr>
        <w:t>Concluding Observations on the Sixth Periodic Report of Poland</w:t>
      </w:r>
      <w:r w:rsidRPr="003B35C4">
        <w:rPr>
          <w:rFonts w:ascii="Times New Roman" w:eastAsia="Times New Roman" w:hAnsi="Times New Roman" w:cs="Times New Roman"/>
        </w:rPr>
        <w:t xml:space="preserve">, </w:t>
      </w:r>
      <w:r w:rsidRPr="003B35C4">
        <w:rPr>
          <w:rFonts w:ascii="Times New Roman" w:hAnsi="Times New Roman" w:cs="Times New Roman"/>
        </w:rPr>
        <w:t>E/C.12/POL/6 (2016), para 54.</w:t>
      </w:r>
    </w:p>
  </w:footnote>
  <w:footnote w:id="143">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Sixth Periodic Report of Canada</w:t>
      </w:r>
      <w:r w:rsidRPr="003B35C4">
        <w:rPr>
          <w:rFonts w:ascii="Times New Roman" w:hAnsi="Times New Roman" w:cs="Times New Roman"/>
        </w:rPr>
        <w:t xml:space="preserve">, E/C.12/CAN/6 (2016), para 50; </w:t>
      </w:r>
      <w:r w:rsidRPr="003B35C4">
        <w:rPr>
          <w:rFonts w:ascii="Times New Roman" w:hAnsi="Times New Roman" w:cs="Times New Roman"/>
          <w:i/>
        </w:rPr>
        <w:t>Concluding Observations on the Initial Report of Indonesia</w:t>
      </w:r>
      <w:r w:rsidRPr="003B35C4">
        <w:rPr>
          <w:rFonts w:ascii="Times New Roman" w:hAnsi="Times New Roman" w:cs="Times New Roman"/>
        </w:rPr>
        <w:t xml:space="preserve">, E/C.12/IDN/1 (2014), para 35; and </w:t>
      </w:r>
      <w:r w:rsidRPr="003B35C4">
        <w:rPr>
          <w:rFonts w:ascii="Times New Roman" w:hAnsi="Times New Roman" w:cs="Times New Roman"/>
          <w:i/>
        </w:rPr>
        <w:t>Concluding Observations on the Combined Initial and Second Periodic Reports of Thailand</w:t>
      </w:r>
      <w:r w:rsidRPr="003B35C4">
        <w:rPr>
          <w:rFonts w:ascii="Times New Roman" w:hAnsi="Times New Roman" w:cs="Times New Roman"/>
        </w:rPr>
        <w:t xml:space="preserve">, E/C.12/THA/1-2 (2015), para 32.    </w:t>
      </w:r>
    </w:p>
  </w:footnote>
  <w:footnote w:id="144">
    <w:p w:rsidR="003B5ED2" w:rsidRPr="003B35C4" w:rsidRDefault="003B5ED2" w:rsidP="0003596C">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Committee on Economic, Social and Cultural Rights, </w:t>
      </w:r>
      <w:r w:rsidRPr="003B35C4">
        <w:rPr>
          <w:rFonts w:ascii="Times New Roman" w:hAnsi="Times New Roman" w:cs="Times New Roman"/>
          <w:i/>
        </w:rPr>
        <w:t>General Comment No. 15 (Right to Water),</w:t>
      </w:r>
      <w:r w:rsidRPr="003B35C4">
        <w:rPr>
          <w:rFonts w:ascii="Times New Roman" w:hAnsi="Times New Roman" w:cs="Times New Roman"/>
        </w:rPr>
        <w:t xml:space="preserve"> E/C.12/2002/11(2002), para 23. </w:t>
      </w:r>
    </w:p>
  </w:footnote>
  <w:footnote w:id="145">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Special Rapporteur on the Implications for Human Rights of the Environmentally Sound Management and Disposal of Hazardous Substances and Wastes</w:t>
      </w:r>
      <w:r w:rsidRPr="003B35C4">
        <w:rPr>
          <w:rFonts w:ascii="Times New Roman" w:hAnsi="Times New Roman" w:cs="Times New Roman"/>
        </w:rPr>
        <w:t xml:space="preserve">, A/HRC/36/41 (2017), para 4.  </w:t>
      </w:r>
    </w:p>
  </w:footnote>
  <w:footnote w:id="146">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E86800">
        <w:rPr>
          <w:rFonts w:ascii="Times New Roman" w:hAnsi="Times New Roman" w:cs="Times New Roman"/>
          <w:i/>
        </w:rPr>
        <w:t>Ibid</w:t>
      </w:r>
      <w:r w:rsidRPr="003B35C4">
        <w:rPr>
          <w:rFonts w:ascii="Times New Roman" w:hAnsi="Times New Roman" w:cs="Times New Roman"/>
        </w:rPr>
        <w:t xml:space="preserve">, para. 9.  </w:t>
      </w:r>
    </w:p>
  </w:footnote>
  <w:footnote w:id="147">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E86800">
        <w:rPr>
          <w:rFonts w:ascii="Times New Roman" w:hAnsi="Times New Roman" w:cs="Times New Roman"/>
          <w:i/>
        </w:rPr>
        <w:t>Ibid</w:t>
      </w:r>
      <w:r w:rsidRPr="003B35C4">
        <w:rPr>
          <w:rFonts w:ascii="Times New Roman" w:hAnsi="Times New Roman" w:cs="Times New Roman"/>
        </w:rPr>
        <w:t xml:space="preserve">, para. 13.  </w:t>
      </w:r>
    </w:p>
  </w:footnote>
  <w:footnote w:id="148">
    <w:p w:rsidR="003B5ED2" w:rsidRPr="003B35C4" w:rsidRDefault="003B5ED2" w:rsidP="0069183E">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Mapping Human Rights Obligations Relating to the Enjoyment of a Safe, Clean, Healthy and Sustainable Environment: Report No. 1 Prepared for the Independent Expert on the Issue of Human Rights Obligations Relating to the Enjoyment of a Safe, Clean, Healthy and Sustainable Environment</w:t>
      </w:r>
      <w:r w:rsidRPr="003B35C4">
        <w:rPr>
          <w:rFonts w:ascii="Times New Roman" w:hAnsi="Times New Roman" w:cs="Times New Roman"/>
        </w:rPr>
        <w:t xml:space="preserve"> (December 2013), 38.  </w:t>
      </w:r>
    </w:p>
  </w:footnote>
  <w:footnote w:id="149">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Concluding Observations Kyrgyzstan, </w:t>
      </w:r>
      <w:r w:rsidR="00E86800">
        <w:rPr>
          <w:rFonts w:ascii="Times New Roman" w:hAnsi="Times New Roman" w:cs="Times New Roman"/>
        </w:rPr>
        <w:t>(</w:t>
      </w:r>
      <w:r w:rsidRPr="003B35C4">
        <w:rPr>
          <w:rFonts w:ascii="Times New Roman" w:hAnsi="Times New Roman" w:cs="Times New Roman"/>
        </w:rPr>
        <w:t>n</w:t>
      </w:r>
      <w:r w:rsidR="00E86800">
        <w:rPr>
          <w:rFonts w:ascii="Times New Roman" w:hAnsi="Times New Roman" w:cs="Times New Roman"/>
        </w:rPr>
        <w:t xml:space="preserve"> </w:t>
      </w:r>
      <w:r w:rsidRPr="003B35C4">
        <w:rPr>
          <w:rFonts w:ascii="Times New Roman" w:hAnsi="Times New Roman" w:cs="Times New Roman"/>
        </w:rPr>
        <w:t>142</w:t>
      </w:r>
      <w:r w:rsidR="00E86800">
        <w:rPr>
          <w:rFonts w:ascii="Times New Roman" w:hAnsi="Times New Roman" w:cs="Times New Roman"/>
        </w:rPr>
        <w:t>)</w:t>
      </w:r>
      <w:r w:rsidRPr="003B35C4">
        <w:rPr>
          <w:rFonts w:ascii="Times New Roman" w:hAnsi="Times New Roman" w:cs="Times New Roman"/>
        </w:rPr>
        <w:t xml:space="preserve">, para 25; and </w:t>
      </w:r>
      <w:r w:rsidRPr="003B35C4">
        <w:rPr>
          <w:rFonts w:ascii="Times New Roman" w:hAnsi="Times New Roman" w:cs="Times New Roman"/>
          <w:i/>
        </w:rPr>
        <w:t>Report of the Special Rapporteur the Implications for Human Rights of the Environmentally Sound Management and Disposal of Hazardous Substances and Wastes</w:t>
      </w:r>
      <w:r w:rsidRPr="003B35C4">
        <w:rPr>
          <w:rFonts w:ascii="Times New Roman" w:hAnsi="Times New Roman" w:cs="Times New Roman"/>
        </w:rPr>
        <w:t xml:space="preserve">, A/HRC/30/40 (2015), para 48. </w:t>
      </w:r>
    </w:p>
  </w:footnote>
  <w:footnote w:id="150">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Special Rapporteur</w:t>
      </w:r>
      <w:r w:rsidR="00E86800">
        <w:rPr>
          <w:rFonts w:ascii="Times New Roman" w:hAnsi="Times New Roman" w:cs="Times New Roman"/>
        </w:rPr>
        <w:t xml:space="preserve"> on the Environment</w:t>
      </w:r>
      <w:r w:rsidRPr="003B35C4">
        <w:rPr>
          <w:rFonts w:ascii="Times New Roman" w:hAnsi="Times New Roman" w:cs="Times New Roman"/>
        </w:rPr>
        <w:t xml:space="preserve"> (2017), </w:t>
      </w:r>
      <w:r w:rsidR="00E86800">
        <w:rPr>
          <w:rFonts w:ascii="Times New Roman" w:hAnsi="Times New Roman" w:cs="Times New Roman"/>
        </w:rPr>
        <w:t>(</w:t>
      </w:r>
      <w:r w:rsidRPr="003B35C4">
        <w:rPr>
          <w:rFonts w:ascii="Times New Roman" w:hAnsi="Times New Roman" w:cs="Times New Roman"/>
        </w:rPr>
        <w:t>n</w:t>
      </w:r>
      <w:r w:rsidR="00E86800">
        <w:rPr>
          <w:rFonts w:ascii="Times New Roman" w:hAnsi="Times New Roman" w:cs="Times New Roman"/>
        </w:rPr>
        <w:t xml:space="preserve"> </w:t>
      </w:r>
      <w:r w:rsidRPr="003B35C4">
        <w:rPr>
          <w:rFonts w:ascii="Times New Roman" w:hAnsi="Times New Roman" w:cs="Times New Roman"/>
        </w:rPr>
        <w:t>4</w:t>
      </w:r>
      <w:r>
        <w:rPr>
          <w:rFonts w:ascii="Times New Roman" w:hAnsi="Times New Roman" w:cs="Times New Roman"/>
        </w:rPr>
        <w:t>2</w:t>
      </w:r>
      <w:r w:rsidR="00E86800">
        <w:rPr>
          <w:rFonts w:ascii="Times New Roman" w:hAnsi="Times New Roman" w:cs="Times New Roman"/>
        </w:rPr>
        <w:t>)</w:t>
      </w:r>
      <w:r w:rsidRPr="003B35C4">
        <w:rPr>
          <w:rFonts w:ascii="Times New Roman" w:hAnsi="Times New Roman" w:cs="Times New Roman"/>
        </w:rPr>
        <w:t xml:space="preserve">, para 17. </w:t>
      </w:r>
    </w:p>
  </w:footnote>
  <w:footnote w:id="15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General Comment No. 21, </w:t>
      </w:r>
      <w:r w:rsidR="00E86800">
        <w:rPr>
          <w:rFonts w:ascii="Times New Roman" w:hAnsi="Times New Roman" w:cs="Times New Roman"/>
        </w:rPr>
        <w:t>(</w:t>
      </w:r>
      <w:r w:rsidRPr="003B35C4">
        <w:rPr>
          <w:rFonts w:ascii="Times New Roman" w:hAnsi="Times New Roman" w:cs="Times New Roman"/>
        </w:rPr>
        <w:t>n 3</w:t>
      </w:r>
      <w:r>
        <w:rPr>
          <w:rFonts w:ascii="Times New Roman" w:hAnsi="Times New Roman" w:cs="Times New Roman"/>
        </w:rPr>
        <w:t>7</w:t>
      </w:r>
      <w:r w:rsidR="00E86800">
        <w:rPr>
          <w:rFonts w:ascii="Times New Roman" w:hAnsi="Times New Roman" w:cs="Times New Roman"/>
        </w:rPr>
        <w:t>)</w:t>
      </w:r>
      <w:r w:rsidRPr="003B35C4">
        <w:rPr>
          <w:rFonts w:ascii="Times New Roman" w:hAnsi="Times New Roman" w:cs="Times New Roman"/>
        </w:rPr>
        <w:t xml:space="preserve">, para 49. </w:t>
      </w:r>
    </w:p>
  </w:footnote>
  <w:footnote w:id="152">
    <w:p w:rsidR="003B5ED2" w:rsidRPr="003B35C4" w:rsidRDefault="003B5ED2" w:rsidP="00C03B19">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E86800">
        <w:rPr>
          <w:rFonts w:ascii="Times New Roman" w:hAnsi="Times New Roman" w:cs="Times New Roman"/>
          <w:i/>
        </w:rPr>
        <w:t>Ibid</w:t>
      </w:r>
      <w:r w:rsidRPr="003B35C4">
        <w:rPr>
          <w:rFonts w:ascii="Times New Roman" w:hAnsi="Times New Roman" w:cs="Times New Roman"/>
        </w:rPr>
        <w:t xml:space="preserve">, para 50; and </w:t>
      </w:r>
      <w:r w:rsidRPr="003B35C4">
        <w:rPr>
          <w:rFonts w:ascii="Times New Roman" w:hAnsi="Times New Roman" w:cs="Times New Roman"/>
          <w:i/>
        </w:rPr>
        <w:t>Concluding Observations on the Sixth Periodic Report of Cyprus</w:t>
      </w:r>
      <w:r w:rsidRPr="003B35C4">
        <w:rPr>
          <w:rFonts w:ascii="Times New Roman" w:hAnsi="Times New Roman" w:cs="Times New Roman"/>
        </w:rPr>
        <w:t>, E/C.12/CYP/6 (2016), para 44.</w:t>
      </w:r>
    </w:p>
  </w:footnote>
  <w:footnote w:id="153">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Concluding Observations Afghanistan, </w:t>
      </w:r>
      <w:r w:rsidR="00E86800">
        <w:rPr>
          <w:rFonts w:ascii="Times New Roman" w:hAnsi="Times New Roman" w:cs="Times New Roman"/>
        </w:rPr>
        <w:t>(</w:t>
      </w:r>
      <w:r w:rsidRPr="003B35C4">
        <w:rPr>
          <w:rFonts w:ascii="Times New Roman" w:hAnsi="Times New Roman" w:cs="Times New Roman"/>
        </w:rPr>
        <w:t>n</w:t>
      </w:r>
      <w:r w:rsidR="00E86800">
        <w:rPr>
          <w:rFonts w:ascii="Times New Roman" w:hAnsi="Times New Roman" w:cs="Times New Roman"/>
        </w:rPr>
        <w:t xml:space="preserve"> </w:t>
      </w:r>
      <w:r>
        <w:rPr>
          <w:rFonts w:ascii="Times New Roman" w:hAnsi="Times New Roman" w:cs="Times New Roman"/>
        </w:rPr>
        <w:t>30</w:t>
      </w:r>
      <w:r w:rsidR="00E86800">
        <w:rPr>
          <w:rFonts w:ascii="Times New Roman" w:hAnsi="Times New Roman" w:cs="Times New Roman"/>
        </w:rPr>
        <w:t>)</w:t>
      </w:r>
      <w:r w:rsidRPr="003B35C4">
        <w:rPr>
          <w:rFonts w:ascii="Times New Roman" w:hAnsi="Times New Roman" w:cs="Times New Roman"/>
        </w:rPr>
        <w:t xml:space="preserve">, para 44.  </w:t>
      </w:r>
    </w:p>
  </w:footnote>
  <w:footnote w:id="154">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General Comment No. 21, </w:t>
      </w:r>
      <w:r w:rsidR="005854D3">
        <w:rPr>
          <w:rFonts w:ascii="Times New Roman" w:hAnsi="Times New Roman" w:cs="Times New Roman"/>
        </w:rPr>
        <w:t>(</w:t>
      </w:r>
      <w:r w:rsidRPr="003B35C4">
        <w:rPr>
          <w:rFonts w:ascii="Times New Roman" w:hAnsi="Times New Roman" w:cs="Times New Roman"/>
        </w:rPr>
        <w:t>n 3</w:t>
      </w:r>
      <w:r>
        <w:rPr>
          <w:rFonts w:ascii="Times New Roman" w:hAnsi="Times New Roman" w:cs="Times New Roman"/>
        </w:rPr>
        <w:t>7</w:t>
      </w:r>
      <w:r w:rsidR="005854D3">
        <w:rPr>
          <w:rFonts w:ascii="Times New Roman" w:hAnsi="Times New Roman" w:cs="Times New Roman"/>
        </w:rPr>
        <w:t>)</w:t>
      </w:r>
      <w:r w:rsidRPr="003B35C4">
        <w:rPr>
          <w:rFonts w:ascii="Times New Roman" w:hAnsi="Times New Roman" w:cs="Times New Roman"/>
        </w:rPr>
        <w:t xml:space="preserve">, para 53.  </w:t>
      </w:r>
    </w:p>
  </w:footnote>
  <w:footnote w:id="155">
    <w:p w:rsidR="003B5ED2" w:rsidRPr="003B35C4" w:rsidRDefault="003B5ED2" w:rsidP="00DA5E6C">
      <w:pPr>
        <w:spacing w:after="0"/>
        <w:rPr>
          <w:rFonts w:ascii="Times New Roman" w:eastAsia="Times New Roman" w:hAnsi="Times New Roman" w:cs="Times New Roman"/>
          <w:sz w:val="20"/>
          <w:szCs w:val="20"/>
        </w:rPr>
      </w:pPr>
      <w:r w:rsidRPr="003B35C4">
        <w:rPr>
          <w:rStyle w:val="FootnoteReference"/>
          <w:rFonts w:ascii="Times New Roman" w:hAnsi="Times New Roman" w:cs="Times New Roman"/>
          <w:sz w:val="20"/>
          <w:szCs w:val="20"/>
        </w:rPr>
        <w:footnoteRef/>
      </w:r>
      <w:r w:rsidRPr="003B35C4">
        <w:rPr>
          <w:rFonts w:ascii="Times New Roman" w:hAnsi="Times New Roman" w:cs="Times New Roman"/>
          <w:sz w:val="20"/>
          <w:szCs w:val="20"/>
        </w:rPr>
        <w:t xml:space="preserve"> </w:t>
      </w:r>
      <w:proofErr w:type="spellStart"/>
      <w:r w:rsidRPr="003B35C4">
        <w:rPr>
          <w:rFonts w:ascii="Times New Roman" w:eastAsia="Times New Roman" w:hAnsi="Times New Roman" w:cs="Times New Roman"/>
          <w:i/>
          <w:sz w:val="20"/>
          <w:szCs w:val="20"/>
        </w:rPr>
        <w:t>Mayagna</w:t>
      </w:r>
      <w:proofErr w:type="spellEnd"/>
      <w:r w:rsidRPr="003B35C4">
        <w:rPr>
          <w:rFonts w:ascii="Times New Roman" w:eastAsia="Times New Roman" w:hAnsi="Times New Roman" w:cs="Times New Roman"/>
          <w:sz w:val="20"/>
          <w:szCs w:val="20"/>
        </w:rPr>
        <w:t xml:space="preserve">, </w:t>
      </w:r>
      <w:r w:rsidR="005854D3">
        <w:rPr>
          <w:rFonts w:ascii="Times New Roman" w:eastAsia="Times New Roman" w:hAnsi="Times New Roman" w:cs="Times New Roman"/>
          <w:sz w:val="20"/>
          <w:szCs w:val="20"/>
        </w:rPr>
        <w:t>(</w:t>
      </w:r>
      <w:r w:rsidRPr="003B35C4">
        <w:rPr>
          <w:rFonts w:ascii="Times New Roman" w:eastAsia="Times New Roman" w:hAnsi="Times New Roman" w:cs="Times New Roman"/>
          <w:sz w:val="20"/>
          <w:szCs w:val="20"/>
        </w:rPr>
        <w:t>n 3</w:t>
      </w:r>
      <w:r>
        <w:rPr>
          <w:rFonts w:ascii="Times New Roman" w:eastAsia="Times New Roman" w:hAnsi="Times New Roman" w:cs="Times New Roman"/>
          <w:sz w:val="20"/>
          <w:szCs w:val="20"/>
        </w:rPr>
        <w:t>8</w:t>
      </w:r>
      <w:r w:rsidR="005854D3">
        <w:rPr>
          <w:rFonts w:ascii="Times New Roman" w:eastAsia="Times New Roman" w:hAnsi="Times New Roman" w:cs="Times New Roman"/>
          <w:sz w:val="20"/>
          <w:szCs w:val="20"/>
        </w:rPr>
        <w:t>)</w:t>
      </w:r>
      <w:r w:rsidRPr="003B35C4">
        <w:rPr>
          <w:rFonts w:ascii="Times New Roman" w:eastAsia="Times New Roman" w:hAnsi="Times New Roman" w:cs="Times New Roman"/>
          <w:sz w:val="20"/>
          <w:szCs w:val="20"/>
        </w:rPr>
        <w:t xml:space="preserve">, paras 148-149, and 151. </w:t>
      </w:r>
    </w:p>
  </w:footnote>
  <w:footnote w:id="156">
    <w:p w:rsidR="003B5ED2" w:rsidRPr="003B35C4" w:rsidRDefault="003B5ED2" w:rsidP="00DA5E6C">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i/>
        </w:rPr>
        <w:t>Saramaka</w:t>
      </w:r>
      <w:proofErr w:type="spellEnd"/>
      <w:r w:rsidRPr="003B35C4">
        <w:rPr>
          <w:rFonts w:ascii="Times New Roman" w:hAnsi="Times New Roman" w:cs="Times New Roman"/>
          <w:i/>
        </w:rPr>
        <w:t xml:space="preserve"> People</w:t>
      </w:r>
      <w:r w:rsidRPr="003B35C4">
        <w:rPr>
          <w:rFonts w:ascii="Times New Roman" w:hAnsi="Times New Roman" w:cs="Times New Roman"/>
        </w:rPr>
        <w:t xml:space="preserve">, </w:t>
      </w:r>
      <w:r w:rsidR="005854D3">
        <w:rPr>
          <w:rFonts w:ascii="Times New Roman" w:hAnsi="Times New Roman" w:cs="Times New Roman"/>
        </w:rPr>
        <w:t>(</w:t>
      </w:r>
      <w:r w:rsidRPr="003B35C4">
        <w:rPr>
          <w:rFonts w:ascii="Times New Roman" w:hAnsi="Times New Roman" w:cs="Times New Roman"/>
        </w:rPr>
        <w:t>n</w:t>
      </w:r>
      <w:r w:rsidR="005854D3">
        <w:rPr>
          <w:rFonts w:ascii="Times New Roman" w:hAnsi="Times New Roman" w:cs="Times New Roman"/>
        </w:rPr>
        <w:t xml:space="preserve"> </w:t>
      </w:r>
      <w:r w:rsidRPr="003B35C4">
        <w:rPr>
          <w:rFonts w:ascii="Times New Roman" w:hAnsi="Times New Roman" w:cs="Times New Roman"/>
        </w:rPr>
        <w:t>3</w:t>
      </w:r>
      <w:r>
        <w:rPr>
          <w:rFonts w:ascii="Times New Roman" w:hAnsi="Times New Roman" w:cs="Times New Roman"/>
        </w:rPr>
        <w:t>8</w:t>
      </w:r>
      <w:r w:rsidR="005854D3">
        <w:rPr>
          <w:rFonts w:ascii="Times New Roman" w:hAnsi="Times New Roman" w:cs="Times New Roman"/>
        </w:rPr>
        <w:t>)</w:t>
      </w:r>
      <w:r w:rsidRPr="003B35C4">
        <w:rPr>
          <w:rFonts w:ascii="Times New Roman" w:hAnsi="Times New Roman" w:cs="Times New Roman"/>
        </w:rPr>
        <w:t xml:space="preserve">, paras 95, 118, and 126.  </w:t>
      </w:r>
    </w:p>
  </w:footnote>
  <w:footnote w:id="157">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005854D3">
        <w:rPr>
          <w:rFonts w:ascii="Times New Roman" w:hAnsi="Times New Roman" w:cs="Times New Roman"/>
        </w:rPr>
        <w:t>Expert Mechanism (2017), (</w:t>
      </w:r>
      <w:r w:rsidRPr="003B35C4">
        <w:rPr>
          <w:rFonts w:ascii="Times New Roman" w:hAnsi="Times New Roman" w:cs="Times New Roman"/>
        </w:rPr>
        <w:t>n 3</w:t>
      </w:r>
      <w:r>
        <w:rPr>
          <w:rFonts w:ascii="Times New Roman" w:hAnsi="Times New Roman" w:cs="Times New Roman"/>
        </w:rPr>
        <w:t>6</w:t>
      </w:r>
      <w:r w:rsidR="005854D3">
        <w:rPr>
          <w:rFonts w:ascii="Times New Roman" w:hAnsi="Times New Roman" w:cs="Times New Roman"/>
        </w:rPr>
        <w:t>)</w:t>
      </w:r>
      <w:r w:rsidRPr="003B35C4">
        <w:rPr>
          <w:rFonts w:ascii="Times New Roman" w:hAnsi="Times New Roman" w:cs="Times New Roman"/>
        </w:rPr>
        <w:t xml:space="preserve">, para 17.  </w:t>
      </w:r>
    </w:p>
  </w:footnote>
  <w:footnote w:id="158">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eastAsia="Times New Roman" w:hAnsi="Times New Roman" w:cs="Times New Roman"/>
          <w:i/>
        </w:rPr>
        <w:t xml:space="preserve">Social and Economic Rights Action </w:t>
      </w:r>
      <w:proofErr w:type="spellStart"/>
      <w:r w:rsidRPr="003B35C4">
        <w:rPr>
          <w:rFonts w:ascii="Times New Roman" w:eastAsia="Times New Roman" w:hAnsi="Times New Roman" w:cs="Times New Roman"/>
          <w:i/>
        </w:rPr>
        <w:t>Center</w:t>
      </w:r>
      <w:proofErr w:type="spellEnd"/>
      <w:r w:rsidRPr="003B35C4">
        <w:rPr>
          <w:rFonts w:ascii="Times New Roman" w:eastAsia="Times New Roman" w:hAnsi="Times New Roman" w:cs="Times New Roman"/>
          <w:i/>
        </w:rPr>
        <w:t xml:space="preserve"> (SERAC) and </w:t>
      </w:r>
      <w:proofErr w:type="spellStart"/>
      <w:r w:rsidRPr="003B35C4">
        <w:rPr>
          <w:rFonts w:ascii="Times New Roman" w:eastAsia="Times New Roman" w:hAnsi="Times New Roman" w:cs="Times New Roman"/>
          <w:i/>
        </w:rPr>
        <w:t>Center</w:t>
      </w:r>
      <w:proofErr w:type="spellEnd"/>
      <w:r w:rsidRPr="003B35C4">
        <w:rPr>
          <w:rFonts w:ascii="Times New Roman" w:eastAsia="Times New Roman" w:hAnsi="Times New Roman" w:cs="Times New Roman"/>
          <w:i/>
        </w:rPr>
        <w:t xml:space="preserve"> for Economic and Social Rights (CESR) v Nigeria</w:t>
      </w:r>
      <w:r w:rsidRPr="003B35C4">
        <w:rPr>
          <w:rFonts w:ascii="Times New Roman" w:eastAsia="Times New Roman" w:hAnsi="Times New Roman" w:cs="Times New Roman"/>
        </w:rPr>
        <w:t>, No. 55/96</w:t>
      </w:r>
      <w:r w:rsidR="005854D3">
        <w:rPr>
          <w:rFonts w:ascii="Times New Roman" w:eastAsia="Times New Roman" w:hAnsi="Times New Roman" w:cs="Times New Roman"/>
        </w:rPr>
        <w:t xml:space="preserve"> (2001)</w:t>
      </w:r>
      <w:r w:rsidRPr="003B35C4">
        <w:rPr>
          <w:rFonts w:ascii="Times New Roman" w:eastAsia="Times New Roman" w:hAnsi="Times New Roman" w:cs="Times New Roman"/>
        </w:rPr>
        <w:t>, para</w:t>
      </w:r>
      <w:r w:rsidRPr="003B35C4">
        <w:rPr>
          <w:rFonts w:ascii="Times New Roman" w:hAnsi="Times New Roman" w:cs="Times New Roman"/>
        </w:rPr>
        <w:t xml:space="preserve">s 57 and 58; </w:t>
      </w:r>
      <w:r w:rsidRPr="003B35C4">
        <w:rPr>
          <w:rFonts w:ascii="Times New Roman" w:hAnsi="Times New Roman" w:cs="Times New Roman"/>
          <w:i/>
        </w:rPr>
        <w:t xml:space="preserve">Lopez </w:t>
      </w:r>
      <w:proofErr w:type="spellStart"/>
      <w:r w:rsidRPr="003B35C4">
        <w:rPr>
          <w:rFonts w:ascii="Times New Roman" w:hAnsi="Times New Roman" w:cs="Times New Roman"/>
          <w:i/>
        </w:rPr>
        <w:t>Ostra</w:t>
      </w:r>
      <w:proofErr w:type="spellEnd"/>
      <w:r w:rsidRPr="003B35C4">
        <w:rPr>
          <w:rFonts w:ascii="Times New Roman" w:hAnsi="Times New Roman" w:cs="Times New Roman"/>
          <w:i/>
        </w:rPr>
        <w:t xml:space="preserve"> v. Spain</w:t>
      </w:r>
      <w:r w:rsidRPr="003B35C4">
        <w:rPr>
          <w:rFonts w:ascii="Times New Roman" w:hAnsi="Times New Roman" w:cs="Times New Roman"/>
        </w:rPr>
        <w:t>, App no 16798/90 (1994), para 51;</w:t>
      </w:r>
      <w:r w:rsidRPr="003B35C4">
        <w:rPr>
          <w:rFonts w:ascii="Times New Roman" w:hAnsi="Times New Roman" w:cs="Times New Roman"/>
          <w:i/>
        </w:rPr>
        <w:t xml:space="preserve"> Hatton v. United Kingdom, </w:t>
      </w:r>
      <w:r w:rsidRPr="003B35C4">
        <w:rPr>
          <w:rFonts w:ascii="Times New Roman" w:hAnsi="Times New Roman" w:cs="Times New Roman"/>
        </w:rPr>
        <w:t>App no 36022/97 (2003), para </w:t>
      </w:r>
      <w:r w:rsidRPr="003B35C4">
        <w:rPr>
          <w:rFonts w:ascii="Times New Roman" w:hAnsi="Times New Roman" w:cs="Times New Roman"/>
          <w:lang w:val="es-ES"/>
        </w:rPr>
        <w:t xml:space="preserve">98; Inter-American </w:t>
      </w:r>
      <w:proofErr w:type="spellStart"/>
      <w:r w:rsidRPr="003B35C4">
        <w:rPr>
          <w:rFonts w:ascii="Times New Roman" w:hAnsi="Times New Roman" w:cs="Times New Roman"/>
          <w:lang w:val="es-ES"/>
        </w:rPr>
        <w:t>Commission</w:t>
      </w:r>
      <w:proofErr w:type="spellEnd"/>
      <w:r w:rsidRPr="003B35C4">
        <w:rPr>
          <w:rFonts w:ascii="Times New Roman" w:hAnsi="Times New Roman" w:cs="Times New Roman"/>
          <w:lang w:val="es-ES"/>
        </w:rPr>
        <w:t xml:space="preserve"> </w:t>
      </w:r>
      <w:proofErr w:type="spellStart"/>
      <w:r w:rsidRPr="003B35C4">
        <w:rPr>
          <w:rFonts w:ascii="Times New Roman" w:hAnsi="Times New Roman" w:cs="Times New Roman"/>
          <w:lang w:val="es-ES"/>
        </w:rPr>
        <w:t>on</w:t>
      </w:r>
      <w:proofErr w:type="spellEnd"/>
      <w:r w:rsidRPr="003B35C4">
        <w:rPr>
          <w:rFonts w:ascii="Times New Roman" w:hAnsi="Times New Roman" w:cs="Times New Roman"/>
          <w:lang w:val="es-ES"/>
        </w:rPr>
        <w:t xml:space="preserve"> Human </w:t>
      </w:r>
      <w:proofErr w:type="spellStart"/>
      <w:r w:rsidRPr="003B35C4">
        <w:rPr>
          <w:rFonts w:ascii="Times New Roman" w:hAnsi="Times New Roman" w:cs="Times New Roman"/>
          <w:lang w:val="es-ES"/>
        </w:rPr>
        <w:t>Rights</w:t>
      </w:r>
      <w:proofErr w:type="spellEnd"/>
      <w:r w:rsidRPr="003B35C4">
        <w:rPr>
          <w:rFonts w:ascii="Times New Roman" w:hAnsi="Times New Roman" w:cs="Times New Roman"/>
          <w:lang w:val="es-ES"/>
        </w:rPr>
        <w:t>,</w:t>
      </w:r>
      <w:r w:rsidRPr="003B35C4">
        <w:rPr>
          <w:rFonts w:ascii="Times New Roman" w:hAnsi="Times New Roman" w:cs="Times New Roman"/>
          <w:i/>
          <w:lang w:val="es-ES"/>
        </w:rPr>
        <w:t xml:space="preserve"> </w:t>
      </w:r>
      <w:proofErr w:type="spellStart"/>
      <w:r w:rsidRPr="003B35C4">
        <w:rPr>
          <w:rFonts w:ascii="Times New Roman" w:hAnsi="Times New Roman" w:cs="Times New Roman"/>
          <w:i/>
          <w:lang w:val="es-ES"/>
        </w:rPr>
        <w:t>Second</w:t>
      </w:r>
      <w:proofErr w:type="spellEnd"/>
      <w:r w:rsidRPr="003B35C4">
        <w:rPr>
          <w:rFonts w:ascii="Times New Roman" w:hAnsi="Times New Roman" w:cs="Times New Roman"/>
          <w:i/>
          <w:lang w:val="es-ES"/>
        </w:rPr>
        <w:t xml:space="preserve"> </w:t>
      </w:r>
      <w:proofErr w:type="spellStart"/>
      <w:r w:rsidRPr="003B35C4">
        <w:rPr>
          <w:rFonts w:ascii="Times New Roman" w:hAnsi="Times New Roman" w:cs="Times New Roman"/>
          <w:i/>
          <w:lang w:val="es-ES"/>
        </w:rPr>
        <w:t>Report</w:t>
      </w:r>
      <w:proofErr w:type="spellEnd"/>
      <w:r w:rsidRPr="003B35C4">
        <w:rPr>
          <w:rFonts w:ascii="Times New Roman" w:hAnsi="Times New Roman" w:cs="Times New Roman"/>
          <w:i/>
          <w:lang w:val="es-ES"/>
        </w:rPr>
        <w:t xml:space="preserve"> </w:t>
      </w:r>
      <w:proofErr w:type="spellStart"/>
      <w:r w:rsidRPr="003B35C4">
        <w:rPr>
          <w:rFonts w:ascii="Times New Roman" w:hAnsi="Times New Roman" w:cs="Times New Roman"/>
          <w:i/>
          <w:lang w:val="es-ES"/>
        </w:rPr>
        <w:t>on</w:t>
      </w:r>
      <w:proofErr w:type="spellEnd"/>
      <w:r w:rsidRPr="003B35C4">
        <w:rPr>
          <w:rFonts w:ascii="Times New Roman" w:hAnsi="Times New Roman" w:cs="Times New Roman"/>
          <w:i/>
          <w:lang w:val="es-ES"/>
        </w:rPr>
        <w:t xml:space="preserve"> </w:t>
      </w:r>
      <w:proofErr w:type="spellStart"/>
      <w:r w:rsidRPr="003B35C4">
        <w:rPr>
          <w:rFonts w:ascii="Times New Roman" w:hAnsi="Times New Roman" w:cs="Times New Roman"/>
          <w:i/>
          <w:lang w:val="es-ES"/>
        </w:rPr>
        <w:t>the</w:t>
      </w:r>
      <w:proofErr w:type="spellEnd"/>
      <w:r w:rsidRPr="003B35C4">
        <w:rPr>
          <w:rFonts w:ascii="Times New Roman" w:hAnsi="Times New Roman" w:cs="Times New Roman"/>
          <w:i/>
          <w:lang w:val="es-ES"/>
        </w:rPr>
        <w:t xml:space="preserve"> </w:t>
      </w:r>
      <w:proofErr w:type="spellStart"/>
      <w:r w:rsidRPr="003B35C4">
        <w:rPr>
          <w:rFonts w:ascii="Times New Roman" w:hAnsi="Times New Roman" w:cs="Times New Roman"/>
          <w:i/>
          <w:lang w:val="es-ES"/>
        </w:rPr>
        <w:t>Situation</w:t>
      </w:r>
      <w:proofErr w:type="spellEnd"/>
      <w:r w:rsidRPr="003B35C4">
        <w:rPr>
          <w:rFonts w:ascii="Times New Roman" w:hAnsi="Times New Roman" w:cs="Times New Roman"/>
          <w:i/>
          <w:lang w:val="es-ES"/>
        </w:rPr>
        <w:t xml:space="preserve"> </w:t>
      </w:r>
      <w:proofErr w:type="spellStart"/>
      <w:r w:rsidRPr="003B35C4">
        <w:rPr>
          <w:rFonts w:ascii="Times New Roman" w:hAnsi="Times New Roman" w:cs="Times New Roman"/>
          <w:i/>
          <w:lang w:val="es-ES"/>
        </w:rPr>
        <w:t>of</w:t>
      </w:r>
      <w:proofErr w:type="spellEnd"/>
      <w:r w:rsidRPr="003B35C4">
        <w:rPr>
          <w:rFonts w:ascii="Times New Roman" w:hAnsi="Times New Roman" w:cs="Times New Roman"/>
          <w:i/>
          <w:lang w:val="es-ES"/>
        </w:rPr>
        <w:t xml:space="preserve"> Human </w:t>
      </w:r>
      <w:proofErr w:type="spellStart"/>
      <w:r w:rsidRPr="003B35C4">
        <w:rPr>
          <w:rFonts w:ascii="Times New Roman" w:hAnsi="Times New Roman" w:cs="Times New Roman"/>
          <w:i/>
          <w:lang w:val="es-ES"/>
        </w:rPr>
        <w:t>Rights</w:t>
      </w:r>
      <w:proofErr w:type="spellEnd"/>
      <w:r w:rsidRPr="003B35C4">
        <w:rPr>
          <w:rFonts w:ascii="Times New Roman" w:hAnsi="Times New Roman" w:cs="Times New Roman"/>
          <w:i/>
          <w:lang w:val="es-ES"/>
        </w:rPr>
        <w:t xml:space="preserve"> </w:t>
      </w:r>
      <w:proofErr w:type="spellStart"/>
      <w:r w:rsidRPr="003B35C4">
        <w:rPr>
          <w:rFonts w:ascii="Times New Roman" w:hAnsi="Times New Roman" w:cs="Times New Roman"/>
          <w:i/>
          <w:lang w:val="es-ES"/>
        </w:rPr>
        <w:t>Defenders</w:t>
      </w:r>
      <w:proofErr w:type="spellEnd"/>
      <w:r w:rsidRPr="003B35C4">
        <w:rPr>
          <w:rFonts w:ascii="Times New Roman" w:hAnsi="Times New Roman" w:cs="Times New Roman"/>
          <w:i/>
          <w:lang w:val="es-ES"/>
        </w:rPr>
        <w:t xml:space="preserve"> in </w:t>
      </w:r>
      <w:proofErr w:type="spellStart"/>
      <w:r w:rsidRPr="003B35C4">
        <w:rPr>
          <w:rFonts w:ascii="Times New Roman" w:hAnsi="Times New Roman" w:cs="Times New Roman"/>
          <w:i/>
          <w:lang w:val="es-ES"/>
        </w:rPr>
        <w:t>the</w:t>
      </w:r>
      <w:proofErr w:type="spellEnd"/>
      <w:r w:rsidRPr="003B35C4">
        <w:rPr>
          <w:rFonts w:ascii="Times New Roman" w:hAnsi="Times New Roman" w:cs="Times New Roman"/>
          <w:i/>
          <w:lang w:val="es-ES"/>
        </w:rPr>
        <w:t xml:space="preserve"> </w:t>
      </w:r>
      <w:proofErr w:type="spellStart"/>
      <w:r w:rsidRPr="003B35C4">
        <w:rPr>
          <w:rFonts w:ascii="Times New Roman" w:hAnsi="Times New Roman" w:cs="Times New Roman"/>
          <w:i/>
          <w:lang w:val="es-ES"/>
        </w:rPr>
        <w:t>Americas</w:t>
      </w:r>
      <w:proofErr w:type="spellEnd"/>
      <w:r w:rsidRPr="003B35C4">
        <w:rPr>
          <w:rFonts w:ascii="Times New Roman" w:hAnsi="Times New Roman" w:cs="Times New Roman"/>
          <w:lang w:val="es-ES"/>
        </w:rPr>
        <w:t xml:space="preserve"> (2013), para. 315; and </w:t>
      </w:r>
      <w:r w:rsidRPr="003B35C4">
        <w:rPr>
          <w:rFonts w:ascii="Times New Roman" w:hAnsi="Times New Roman" w:cs="Times New Roman"/>
          <w:i/>
        </w:rPr>
        <w:t>Report of the Independent Expert on the Issue of Human Rights Obligations Relating to the Enjoyment of a Safe, Clean, Healthy and Sustainable Environment</w:t>
      </w:r>
      <w:r w:rsidRPr="003B35C4">
        <w:rPr>
          <w:rFonts w:ascii="Times New Roman" w:hAnsi="Times New Roman" w:cs="Times New Roman"/>
        </w:rPr>
        <w:t>, A/HRC/25/53 (2013), paras 58-61.</w:t>
      </w:r>
    </w:p>
  </w:footnote>
  <w:footnote w:id="159">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General Comment No. 21, </w:t>
      </w:r>
      <w:r w:rsidR="005854D3">
        <w:rPr>
          <w:rFonts w:ascii="Times New Roman" w:hAnsi="Times New Roman" w:cs="Times New Roman"/>
        </w:rPr>
        <w:t>(</w:t>
      </w:r>
      <w:r w:rsidRPr="003B35C4">
        <w:rPr>
          <w:rFonts w:ascii="Times New Roman" w:hAnsi="Times New Roman" w:cs="Times New Roman"/>
        </w:rPr>
        <w:t>n</w:t>
      </w:r>
      <w:r w:rsidR="005854D3">
        <w:rPr>
          <w:rFonts w:ascii="Times New Roman" w:hAnsi="Times New Roman" w:cs="Times New Roman"/>
        </w:rPr>
        <w:t xml:space="preserve"> </w:t>
      </w:r>
      <w:r w:rsidRPr="003B35C4">
        <w:rPr>
          <w:rFonts w:ascii="Times New Roman" w:hAnsi="Times New Roman" w:cs="Times New Roman"/>
        </w:rPr>
        <w:t>3</w:t>
      </w:r>
      <w:r>
        <w:rPr>
          <w:rFonts w:ascii="Times New Roman" w:hAnsi="Times New Roman" w:cs="Times New Roman"/>
        </w:rPr>
        <w:t>7</w:t>
      </w:r>
      <w:r w:rsidR="005854D3">
        <w:rPr>
          <w:rFonts w:ascii="Times New Roman" w:hAnsi="Times New Roman" w:cs="Times New Roman"/>
        </w:rPr>
        <w:t>)</w:t>
      </w:r>
      <w:r w:rsidRPr="003B35C4">
        <w:rPr>
          <w:rFonts w:ascii="Times New Roman" w:hAnsi="Times New Roman" w:cs="Times New Roman"/>
        </w:rPr>
        <w:t xml:space="preserve">, para 48.  </w:t>
      </w:r>
    </w:p>
  </w:footnote>
  <w:footnote w:id="160">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Art 21 ACHR; Art 1, Protocol 1 to the ECHR; and Art. 14 African Charter. </w:t>
      </w:r>
    </w:p>
  </w:footnote>
  <w:footnote w:id="16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iCs/>
        </w:rPr>
        <w:t xml:space="preserve">Case of the Indigenous Community </w:t>
      </w:r>
      <w:proofErr w:type="spellStart"/>
      <w:r w:rsidRPr="003B35C4">
        <w:rPr>
          <w:rFonts w:ascii="Times New Roman" w:hAnsi="Times New Roman" w:cs="Times New Roman"/>
          <w:i/>
          <w:iCs/>
        </w:rPr>
        <w:t>Yakye</w:t>
      </w:r>
      <w:proofErr w:type="spellEnd"/>
      <w:r w:rsidRPr="003B35C4">
        <w:rPr>
          <w:rFonts w:ascii="Times New Roman" w:hAnsi="Times New Roman" w:cs="Times New Roman"/>
          <w:i/>
          <w:iCs/>
        </w:rPr>
        <w:t xml:space="preserve"> </w:t>
      </w:r>
      <w:proofErr w:type="spellStart"/>
      <w:r w:rsidRPr="003B35C4">
        <w:rPr>
          <w:rFonts w:ascii="Times New Roman" w:hAnsi="Times New Roman" w:cs="Times New Roman"/>
          <w:i/>
          <w:iCs/>
        </w:rPr>
        <w:t>Axa</w:t>
      </w:r>
      <w:proofErr w:type="spellEnd"/>
      <w:r w:rsidRPr="003B35C4">
        <w:rPr>
          <w:rFonts w:ascii="Times New Roman" w:hAnsi="Times New Roman" w:cs="Times New Roman"/>
          <w:i/>
          <w:iCs/>
        </w:rPr>
        <w:t xml:space="preserve"> v Paraguay </w:t>
      </w:r>
      <w:r w:rsidRPr="003B35C4">
        <w:rPr>
          <w:rFonts w:ascii="Times New Roman" w:hAnsi="Times New Roman" w:cs="Times New Roman"/>
          <w:iCs/>
        </w:rPr>
        <w:t>(2005), Ser. C, No. 125,</w:t>
      </w:r>
      <w:r w:rsidRPr="003B35C4">
        <w:rPr>
          <w:rFonts w:ascii="Times New Roman" w:hAnsi="Times New Roman" w:cs="Times New Roman"/>
        </w:rPr>
        <w:t xml:space="preserve"> paras 144-145.</w:t>
      </w:r>
    </w:p>
  </w:footnote>
  <w:footnote w:id="162">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 xml:space="preserve">Centre for Minority Rights Development (Kenya) and Minority Rights Group (on behalf of </w:t>
      </w:r>
      <w:proofErr w:type="spellStart"/>
      <w:r w:rsidRPr="003B35C4">
        <w:rPr>
          <w:rFonts w:ascii="Times New Roman" w:hAnsi="Times New Roman" w:cs="Times New Roman"/>
          <w:i/>
        </w:rPr>
        <w:t>Endorois</w:t>
      </w:r>
      <w:proofErr w:type="spellEnd"/>
      <w:r w:rsidRPr="003B35C4">
        <w:rPr>
          <w:rFonts w:ascii="Times New Roman" w:hAnsi="Times New Roman" w:cs="Times New Roman"/>
          <w:i/>
        </w:rPr>
        <w:t xml:space="preserve"> Welfare Council) v Kenya</w:t>
      </w:r>
      <w:r w:rsidRPr="003B35C4">
        <w:rPr>
          <w:rFonts w:ascii="Times New Roman" w:hAnsi="Times New Roman" w:cs="Times New Roman"/>
        </w:rPr>
        <w:t>, No. 276/03</w:t>
      </w:r>
      <w:r w:rsidR="005854D3">
        <w:rPr>
          <w:rFonts w:ascii="Times New Roman" w:hAnsi="Times New Roman" w:cs="Times New Roman"/>
        </w:rPr>
        <w:t xml:space="preserve"> (2009)</w:t>
      </w:r>
      <w:r w:rsidRPr="003B35C4">
        <w:rPr>
          <w:rFonts w:ascii="Times New Roman" w:hAnsi="Times New Roman" w:cs="Times New Roman"/>
        </w:rPr>
        <w:t xml:space="preserve">, para 249; and General Comment No. 21, </w:t>
      </w:r>
      <w:r w:rsidR="005854D3">
        <w:rPr>
          <w:rFonts w:ascii="Times New Roman" w:hAnsi="Times New Roman" w:cs="Times New Roman"/>
        </w:rPr>
        <w:t>(</w:t>
      </w:r>
      <w:r w:rsidRPr="003B35C4">
        <w:rPr>
          <w:rFonts w:ascii="Times New Roman" w:hAnsi="Times New Roman" w:cs="Times New Roman"/>
        </w:rPr>
        <w:t>n</w:t>
      </w:r>
      <w:r w:rsidR="005854D3">
        <w:rPr>
          <w:rFonts w:ascii="Times New Roman" w:hAnsi="Times New Roman" w:cs="Times New Roman"/>
        </w:rPr>
        <w:t xml:space="preserve"> </w:t>
      </w:r>
      <w:r w:rsidRPr="003B35C4">
        <w:rPr>
          <w:rFonts w:ascii="Times New Roman" w:hAnsi="Times New Roman" w:cs="Times New Roman"/>
        </w:rPr>
        <w:t>3</w:t>
      </w:r>
      <w:r>
        <w:rPr>
          <w:rFonts w:ascii="Times New Roman" w:hAnsi="Times New Roman" w:cs="Times New Roman"/>
        </w:rPr>
        <w:t>7</w:t>
      </w:r>
      <w:r w:rsidR="005854D3">
        <w:rPr>
          <w:rFonts w:ascii="Times New Roman" w:hAnsi="Times New Roman" w:cs="Times New Roman"/>
        </w:rPr>
        <w:t>)</w:t>
      </w:r>
      <w:r w:rsidRPr="003B35C4">
        <w:rPr>
          <w:rFonts w:ascii="Times New Roman" w:hAnsi="Times New Roman" w:cs="Times New Roman"/>
        </w:rPr>
        <w:t xml:space="preserve">, paras 17-20.  </w:t>
      </w:r>
    </w:p>
  </w:footnote>
  <w:footnote w:id="163">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FD3E92">
        <w:rPr>
          <w:rFonts w:ascii="Times New Roman" w:hAnsi="Times New Roman" w:cs="Times New Roman"/>
          <w:i/>
        </w:rPr>
        <w:t>Endorois</w:t>
      </w:r>
      <w:proofErr w:type="spellEnd"/>
      <w:r>
        <w:rPr>
          <w:rFonts w:ascii="Times New Roman" w:hAnsi="Times New Roman" w:cs="Times New Roman"/>
        </w:rPr>
        <w:t xml:space="preserve">, </w:t>
      </w:r>
      <w:r w:rsidRPr="005854D3">
        <w:rPr>
          <w:rFonts w:ascii="Times New Roman" w:hAnsi="Times New Roman" w:cs="Times New Roman"/>
          <w:i/>
        </w:rPr>
        <w:t>ibid</w:t>
      </w:r>
      <w:r w:rsidRPr="003B35C4">
        <w:rPr>
          <w:rFonts w:ascii="Times New Roman" w:hAnsi="Times New Roman" w:cs="Times New Roman"/>
        </w:rPr>
        <w:t xml:space="preserve">. </w:t>
      </w:r>
    </w:p>
  </w:footnote>
  <w:footnote w:id="164">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Special Rapporteur on the Environment (2017),</w:t>
      </w:r>
      <w:r w:rsidRPr="003B35C4">
        <w:rPr>
          <w:rFonts w:ascii="Times New Roman" w:hAnsi="Times New Roman" w:cs="Times New Roman"/>
          <w:i/>
        </w:rPr>
        <w:t xml:space="preserve"> </w:t>
      </w:r>
      <w:r w:rsidR="005854D3">
        <w:rPr>
          <w:rFonts w:ascii="Times New Roman" w:hAnsi="Times New Roman" w:cs="Times New Roman"/>
        </w:rPr>
        <w:t>(</w:t>
      </w:r>
      <w:r w:rsidRPr="003B35C4">
        <w:rPr>
          <w:rFonts w:ascii="Times New Roman" w:hAnsi="Times New Roman" w:cs="Times New Roman"/>
        </w:rPr>
        <w:t>n</w:t>
      </w:r>
      <w:r w:rsidR="005854D3">
        <w:rPr>
          <w:rFonts w:ascii="Times New Roman" w:hAnsi="Times New Roman" w:cs="Times New Roman"/>
        </w:rPr>
        <w:t xml:space="preserve"> </w:t>
      </w:r>
      <w:r w:rsidRPr="003B35C4">
        <w:rPr>
          <w:rFonts w:ascii="Times New Roman" w:hAnsi="Times New Roman" w:cs="Times New Roman"/>
        </w:rPr>
        <w:t>4</w:t>
      </w:r>
      <w:r>
        <w:rPr>
          <w:rFonts w:ascii="Times New Roman" w:hAnsi="Times New Roman" w:cs="Times New Roman"/>
        </w:rPr>
        <w:t>2</w:t>
      </w:r>
      <w:r w:rsidR="005854D3">
        <w:rPr>
          <w:rFonts w:ascii="Times New Roman" w:hAnsi="Times New Roman" w:cs="Times New Roman"/>
        </w:rPr>
        <w:t>)</w:t>
      </w:r>
      <w:r w:rsidRPr="003B35C4">
        <w:rPr>
          <w:rFonts w:ascii="Times New Roman" w:hAnsi="Times New Roman" w:cs="Times New Roman"/>
        </w:rPr>
        <w:t xml:space="preserve">, paras 33-35.  </w:t>
      </w:r>
    </w:p>
  </w:footnote>
  <w:footnote w:id="165">
    <w:p w:rsidR="003B5ED2" w:rsidRPr="003B35C4" w:rsidRDefault="003B5ED2" w:rsidP="0004637D">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i/>
        </w:rPr>
        <w:t>Saramaka</w:t>
      </w:r>
      <w:proofErr w:type="spellEnd"/>
      <w:r w:rsidRPr="003B35C4">
        <w:rPr>
          <w:rFonts w:ascii="Times New Roman" w:hAnsi="Times New Roman" w:cs="Times New Roman"/>
          <w:i/>
        </w:rPr>
        <w:t>,</w:t>
      </w:r>
      <w:r w:rsidRPr="003B35C4">
        <w:rPr>
          <w:rFonts w:ascii="Times New Roman" w:hAnsi="Times New Roman" w:cs="Times New Roman"/>
        </w:rPr>
        <w:t xml:space="preserve"> </w:t>
      </w:r>
      <w:r w:rsidR="005854D3">
        <w:rPr>
          <w:rFonts w:ascii="Times New Roman" w:hAnsi="Times New Roman" w:cs="Times New Roman"/>
        </w:rPr>
        <w:t>(</w:t>
      </w:r>
      <w:r w:rsidRPr="003B35C4">
        <w:rPr>
          <w:rFonts w:ascii="Times New Roman" w:hAnsi="Times New Roman" w:cs="Times New Roman"/>
        </w:rPr>
        <w:t>n 3</w:t>
      </w:r>
      <w:r>
        <w:rPr>
          <w:rFonts w:ascii="Times New Roman" w:hAnsi="Times New Roman" w:cs="Times New Roman"/>
        </w:rPr>
        <w:t>8</w:t>
      </w:r>
      <w:r w:rsidR="005854D3">
        <w:rPr>
          <w:rFonts w:ascii="Times New Roman" w:hAnsi="Times New Roman" w:cs="Times New Roman"/>
        </w:rPr>
        <w:t>)</w:t>
      </w:r>
      <w:r w:rsidRPr="003B35C4">
        <w:rPr>
          <w:rFonts w:ascii="Times New Roman" w:hAnsi="Times New Roman" w:cs="Times New Roman"/>
        </w:rPr>
        <w:t xml:space="preserve">, para 129; General Comment No. 23, </w:t>
      </w:r>
      <w:r w:rsidR="005854D3">
        <w:rPr>
          <w:rFonts w:ascii="Times New Roman" w:hAnsi="Times New Roman" w:cs="Times New Roman"/>
        </w:rPr>
        <w:t>(</w:t>
      </w:r>
      <w:r w:rsidRPr="003B35C4">
        <w:rPr>
          <w:rFonts w:ascii="Times New Roman" w:hAnsi="Times New Roman" w:cs="Times New Roman"/>
        </w:rPr>
        <w:t>n</w:t>
      </w:r>
      <w:r w:rsidR="005854D3">
        <w:rPr>
          <w:rFonts w:ascii="Times New Roman" w:hAnsi="Times New Roman" w:cs="Times New Roman"/>
        </w:rPr>
        <w:t xml:space="preserve"> </w:t>
      </w:r>
      <w:r w:rsidRPr="003B35C4">
        <w:rPr>
          <w:rFonts w:ascii="Times New Roman" w:hAnsi="Times New Roman" w:cs="Times New Roman"/>
        </w:rPr>
        <w:t>3</w:t>
      </w:r>
      <w:r>
        <w:rPr>
          <w:rFonts w:ascii="Times New Roman" w:hAnsi="Times New Roman" w:cs="Times New Roman"/>
        </w:rPr>
        <w:t>7</w:t>
      </w:r>
      <w:r w:rsidR="005854D3">
        <w:rPr>
          <w:rFonts w:ascii="Times New Roman" w:hAnsi="Times New Roman" w:cs="Times New Roman"/>
        </w:rPr>
        <w:t>)</w:t>
      </w:r>
      <w:r w:rsidRPr="003B35C4">
        <w:rPr>
          <w:rFonts w:ascii="Times New Roman" w:hAnsi="Times New Roman" w:cs="Times New Roman"/>
        </w:rPr>
        <w:t>, para 7; General Comment No. 21,</w:t>
      </w:r>
      <w:r w:rsidR="005854D3">
        <w:rPr>
          <w:rFonts w:ascii="Times New Roman" w:hAnsi="Times New Roman" w:cs="Times New Roman"/>
        </w:rPr>
        <w:t xml:space="preserve"> (</w:t>
      </w:r>
      <w:r w:rsidRPr="003B35C4">
        <w:rPr>
          <w:rFonts w:ascii="Times New Roman" w:hAnsi="Times New Roman" w:cs="Times New Roman"/>
        </w:rPr>
        <w:t>n 3</w:t>
      </w:r>
      <w:r>
        <w:rPr>
          <w:rFonts w:ascii="Times New Roman" w:hAnsi="Times New Roman" w:cs="Times New Roman"/>
        </w:rPr>
        <w:t>7</w:t>
      </w:r>
      <w:r w:rsidR="005854D3">
        <w:rPr>
          <w:rFonts w:ascii="Times New Roman" w:hAnsi="Times New Roman" w:cs="Times New Roman"/>
        </w:rPr>
        <w:t>)</w:t>
      </w:r>
      <w:r w:rsidRPr="003B35C4">
        <w:rPr>
          <w:rFonts w:ascii="Times New Roman" w:hAnsi="Times New Roman" w:cs="Times New Roman"/>
        </w:rPr>
        <w:t xml:space="preserve">, para 55; and </w:t>
      </w:r>
      <w:proofErr w:type="spellStart"/>
      <w:r w:rsidRPr="003B35C4">
        <w:rPr>
          <w:rFonts w:ascii="Times New Roman" w:hAnsi="Times New Roman" w:cs="Times New Roman"/>
          <w:i/>
          <w:iCs/>
        </w:rPr>
        <w:t>Apirana</w:t>
      </w:r>
      <w:proofErr w:type="spellEnd"/>
      <w:r w:rsidRPr="003B35C4">
        <w:rPr>
          <w:rFonts w:ascii="Times New Roman" w:hAnsi="Times New Roman" w:cs="Times New Roman"/>
          <w:i/>
          <w:iCs/>
        </w:rPr>
        <w:t xml:space="preserve"> </w:t>
      </w:r>
      <w:proofErr w:type="spellStart"/>
      <w:r w:rsidRPr="003B35C4">
        <w:rPr>
          <w:rFonts w:ascii="Times New Roman" w:hAnsi="Times New Roman" w:cs="Times New Roman"/>
          <w:i/>
          <w:iCs/>
        </w:rPr>
        <w:t>Mahuika</w:t>
      </w:r>
      <w:proofErr w:type="spellEnd"/>
      <w:r w:rsidRPr="003B35C4">
        <w:rPr>
          <w:rFonts w:ascii="Times New Roman" w:hAnsi="Times New Roman" w:cs="Times New Roman"/>
          <w:i/>
          <w:iCs/>
        </w:rPr>
        <w:t xml:space="preserve"> et al. v. New Zealand</w:t>
      </w:r>
      <w:r w:rsidRPr="003B35C4">
        <w:rPr>
          <w:rFonts w:ascii="Times New Roman" w:hAnsi="Times New Roman" w:cs="Times New Roman"/>
          <w:iCs/>
        </w:rPr>
        <w:t>, Communication No 547/1993,</w:t>
      </w:r>
      <w:r w:rsidRPr="003B35C4">
        <w:rPr>
          <w:rFonts w:ascii="Times New Roman" w:hAnsi="Times New Roman" w:cs="Times New Roman"/>
          <w:i/>
          <w:iCs/>
        </w:rPr>
        <w:t xml:space="preserve"> </w:t>
      </w:r>
      <w:r w:rsidRPr="003B35C4">
        <w:rPr>
          <w:rFonts w:ascii="Times New Roman" w:hAnsi="Times New Roman" w:cs="Times New Roman"/>
        </w:rPr>
        <w:t>CCPR/C/70/D/547/1993 (2000), para 9.</w:t>
      </w:r>
    </w:p>
  </w:footnote>
  <w:footnote w:id="166">
    <w:p w:rsidR="003B5ED2" w:rsidRPr="003B35C4" w:rsidRDefault="003B5ED2" w:rsidP="0004637D">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i/>
        </w:rPr>
        <w:t>Saramaka</w:t>
      </w:r>
      <w:proofErr w:type="spellEnd"/>
      <w:r w:rsidRPr="003B35C4">
        <w:rPr>
          <w:rFonts w:ascii="Times New Roman" w:hAnsi="Times New Roman" w:cs="Times New Roman"/>
        </w:rPr>
        <w:t xml:space="preserve">, </w:t>
      </w:r>
      <w:r w:rsidRPr="005854D3">
        <w:rPr>
          <w:rFonts w:ascii="Times New Roman" w:hAnsi="Times New Roman" w:cs="Times New Roman"/>
          <w:i/>
        </w:rPr>
        <w:t>ibid</w:t>
      </w:r>
      <w:r w:rsidR="005854D3">
        <w:rPr>
          <w:rFonts w:ascii="Times New Roman" w:hAnsi="Times New Roman" w:cs="Times New Roman"/>
        </w:rPr>
        <w:t>,</w:t>
      </w:r>
      <w:r w:rsidRPr="003B35C4">
        <w:rPr>
          <w:rFonts w:ascii="Times New Roman" w:hAnsi="Times New Roman" w:cs="Times New Roman"/>
        </w:rPr>
        <w:t xml:space="preserve"> para134.</w:t>
      </w:r>
    </w:p>
  </w:footnote>
  <w:footnote w:id="167">
    <w:p w:rsidR="003B5ED2" w:rsidRPr="003B35C4" w:rsidRDefault="003B5ED2" w:rsidP="0004637D">
      <w:pPr>
        <w:autoSpaceDE w:val="0"/>
        <w:autoSpaceDN w:val="0"/>
        <w:adjustRightInd w:val="0"/>
        <w:spacing w:after="0" w:line="240" w:lineRule="auto"/>
        <w:rPr>
          <w:rFonts w:ascii="Times New Roman" w:hAnsi="Times New Roman" w:cs="Times New Roman"/>
          <w:i/>
          <w:iCs/>
          <w:sz w:val="20"/>
          <w:szCs w:val="20"/>
        </w:rPr>
      </w:pPr>
      <w:r w:rsidRPr="003B35C4">
        <w:rPr>
          <w:rStyle w:val="FootnoteReference"/>
          <w:rFonts w:ascii="Times New Roman" w:hAnsi="Times New Roman" w:cs="Times New Roman"/>
          <w:sz w:val="20"/>
          <w:szCs w:val="20"/>
        </w:rPr>
        <w:footnoteRef/>
      </w:r>
      <w:r w:rsidRPr="003B35C4">
        <w:rPr>
          <w:rFonts w:ascii="Times New Roman" w:hAnsi="Times New Roman" w:cs="Times New Roman"/>
          <w:sz w:val="20"/>
          <w:szCs w:val="20"/>
        </w:rPr>
        <w:t xml:space="preserve"> </w:t>
      </w:r>
      <w:r w:rsidRPr="003B35C4">
        <w:rPr>
          <w:rFonts w:ascii="Times New Roman" w:hAnsi="Times New Roman" w:cs="Times New Roman"/>
          <w:i/>
          <w:iCs/>
          <w:sz w:val="20"/>
          <w:szCs w:val="20"/>
        </w:rPr>
        <w:t xml:space="preserve">Report of the Special Rapporteur </w:t>
      </w:r>
      <w:proofErr w:type="gramStart"/>
      <w:r w:rsidRPr="003B35C4">
        <w:rPr>
          <w:rFonts w:ascii="Times New Roman" w:hAnsi="Times New Roman" w:cs="Times New Roman"/>
          <w:i/>
          <w:iCs/>
          <w:sz w:val="20"/>
          <w:szCs w:val="20"/>
        </w:rPr>
        <w:t>on the Situation of</w:t>
      </w:r>
      <w:proofErr w:type="gramEnd"/>
      <w:r w:rsidRPr="003B35C4">
        <w:rPr>
          <w:rFonts w:ascii="Times New Roman" w:hAnsi="Times New Roman" w:cs="Times New Roman"/>
          <w:i/>
          <w:iCs/>
          <w:sz w:val="20"/>
          <w:szCs w:val="20"/>
        </w:rPr>
        <w:t xml:space="preserve"> Human Rights and Fundamental Freedoms of</w:t>
      </w:r>
    </w:p>
    <w:p w:rsidR="003B5ED2" w:rsidRPr="003B35C4" w:rsidRDefault="003B5ED2" w:rsidP="0004637D">
      <w:pPr>
        <w:pStyle w:val="FootnoteText"/>
        <w:rPr>
          <w:rFonts w:ascii="Times New Roman" w:hAnsi="Times New Roman" w:cs="Times New Roman"/>
        </w:rPr>
      </w:pPr>
      <w:r w:rsidRPr="003B35C4">
        <w:rPr>
          <w:rFonts w:ascii="Times New Roman" w:hAnsi="Times New Roman" w:cs="Times New Roman"/>
          <w:i/>
          <w:iCs/>
        </w:rPr>
        <w:t xml:space="preserve">Indigenous People, </w:t>
      </w:r>
      <w:r w:rsidRPr="003B35C4">
        <w:rPr>
          <w:rFonts w:ascii="Times New Roman" w:hAnsi="Times New Roman" w:cs="Times New Roman"/>
        </w:rPr>
        <w:t xml:space="preserve">E/CN.4/2003/90 (2003), para 2.  </w:t>
      </w:r>
    </w:p>
  </w:footnote>
  <w:footnote w:id="168">
    <w:p w:rsidR="003B5ED2" w:rsidRPr="003B35C4" w:rsidRDefault="003B5ED2" w:rsidP="007B76CB">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i/>
        </w:rPr>
        <w:t>Endorois</w:t>
      </w:r>
      <w:proofErr w:type="spellEnd"/>
      <w:r w:rsidRPr="003B35C4">
        <w:rPr>
          <w:rFonts w:ascii="Times New Roman" w:hAnsi="Times New Roman" w:cs="Times New Roman"/>
        </w:rPr>
        <w:t xml:space="preserve">, </w:t>
      </w:r>
      <w:r w:rsidR="005854D3">
        <w:rPr>
          <w:rFonts w:ascii="Times New Roman" w:hAnsi="Times New Roman" w:cs="Times New Roman"/>
        </w:rPr>
        <w:t>(</w:t>
      </w:r>
      <w:r w:rsidRPr="003B35C4">
        <w:rPr>
          <w:rFonts w:ascii="Times New Roman" w:hAnsi="Times New Roman" w:cs="Times New Roman"/>
        </w:rPr>
        <w:t>n</w:t>
      </w:r>
      <w:r w:rsidR="005854D3">
        <w:rPr>
          <w:rFonts w:ascii="Times New Roman" w:hAnsi="Times New Roman" w:cs="Times New Roman"/>
        </w:rPr>
        <w:t xml:space="preserve"> </w:t>
      </w:r>
      <w:r w:rsidRPr="003B35C4">
        <w:rPr>
          <w:rFonts w:ascii="Times New Roman" w:hAnsi="Times New Roman" w:cs="Times New Roman"/>
        </w:rPr>
        <w:t>162</w:t>
      </w:r>
      <w:r w:rsidR="005854D3">
        <w:rPr>
          <w:rFonts w:ascii="Times New Roman" w:hAnsi="Times New Roman" w:cs="Times New Roman"/>
        </w:rPr>
        <w:t>)</w:t>
      </w:r>
      <w:r w:rsidRPr="003B35C4">
        <w:rPr>
          <w:rFonts w:ascii="Times New Roman" w:hAnsi="Times New Roman" w:cs="Times New Roman"/>
        </w:rPr>
        <w:t xml:space="preserve">, para 249  </w:t>
      </w:r>
    </w:p>
  </w:footnote>
  <w:footnote w:id="169">
    <w:p w:rsidR="003B5ED2" w:rsidRPr="003B35C4" w:rsidRDefault="003B5ED2" w:rsidP="005A6D8F">
      <w:pPr>
        <w:spacing w:after="0"/>
        <w:rPr>
          <w:rFonts w:ascii="Times New Roman" w:eastAsia="Times New Roman" w:hAnsi="Times New Roman" w:cs="Times New Roman"/>
          <w:sz w:val="20"/>
          <w:szCs w:val="20"/>
        </w:rPr>
      </w:pPr>
      <w:r w:rsidRPr="003B35C4">
        <w:rPr>
          <w:rStyle w:val="FootnoteReference"/>
          <w:rFonts w:ascii="Times New Roman" w:hAnsi="Times New Roman" w:cs="Times New Roman"/>
          <w:sz w:val="20"/>
          <w:szCs w:val="20"/>
        </w:rPr>
        <w:footnoteRef/>
      </w:r>
      <w:r w:rsidRPr="003B35C4">
        <w:rPr>
          <w:rFonts w:ascii="Times New Roman" w:hAnsi="Times New Roman" w:cs="Times New Roman"/>
          <w:sz w:val="20"/>
          <w:szCs w:val="20"/>
        </w:rPr>
        <w:t xml:space="preserve"> </w:t>
      </w:r>
      <w:r w:rsidRPr="003B35C4">
        <w:rPr>
          <w:rFonts w:ascii="Times New Roman" w:eastAsia="Times New Roman" w:hAnsi="Times New Roman" w:cs="Times New Roman"/>
          <w:i/>
          <w:sz w:val="20"/>
          <w:szCs w:val="20"/>
        </w:rPr>
        <w:t>SERAC</w:t>
      </w:r>
      <w:r w:rsidRPr="003B35C4">
        <w:rPr>
          <w:rFonts w:ascii="Times New Roman" w:eastAsia="Times New Roman" w:hAnsi="Times New Roman" w:cs="Times New Roman"/>
          <w:sz w:val="20"/>
          <w:szCs w:val="20"/>
        </w:rPr>
        <w:t xml:space="preserve">, </w:t>
      </w:r>
      <w:r w:rsidR="005854D3">
        <w:rPr>
          <w:rFonts w:ascii="Times New Roman" w:eastAsia="Times New Roman" w:hAnsi="Times New Roman" w:cs="Times New Roman"/>
          <w:sz w:val="20"/>
          <w:szCs w:val="20"/>
        </w:rPr>
        <w:t>(</w:t>
      </w:r>
      <w:r w:rsidRPr="003B35C4">
        <w:rPr>
          <w:rFonts w:ascii="Times New Roman" w:eastAsia="Times New Roman" w:hAnsi="Times New Roman" w:cs="Times New Roman"/>
          <w:sz w:val="20"/>
          <w:szCs w:val="20"/>
        </w:rPr>
        <w:t>n 158</w:t>
      </w:r>
      <w:r w:rsidR="005854D3">
        <w:rPr>
          <w:rFonts w:ascii="Times New Roman" w:eastAsia="Times New Roman" w:hAnsi="Times New Roman" w:cs="Times New Roman"/>
          <w:sz w:val="20"/>
          <w:szCs w:val="20"/>
        </w:rPr>
        <w:t>)</w:t>
      </w:r>
      <w:r w:rsidRPr="003B35C4">
        <w:rPr>
          <w:rFonts w:ascii="Times New Roman" w:eastAsia="Times New Roman" w:hAnsi="Times New Roman" w:cs="Times New Roman"/>
          <w:sz w:val="20"/>
          <w:szCs w:val="20"/>
        </w:rPr>
        <w:t xml:space="preserve">, para 57.  </w:t>
      </w:r>
    </w:p>
  </w:footnote>
  <w:footnote w:id="170">
    <w:p w:rsidR="003B5ED2" w:rsidRPr="003B35C4" w:rsidRDefault="003B5ED2" w:rsidP="004C51ED">
      <w:pPr>
        <w:pStyle w:val="Default"/>
        <w:tabs>
          <w:tab w:val="right" w:pos="9026"/>
        </w:tabs>
        <w:rPr>
          <w:rFonts w:ascii="Times New Roman" w:hAnsi="Times New Roman" w:cs="Times New Roman"/>
          <w:sz w:val="20"/>
          <w:szCs w:val="20"/>
        </w:rPr>
      </w:pPr>
      <w:r w:rsidRPr="003B35C4">
        <w:rPr>
          <w:rStyle w:val="FootnoteReference"/>
          <w:rFonts w:ascii="Times New Roman" w:hAnsi="Times New Roman" w:cs="Times New Roman"/>
          <w:sz w:val="20"/>
          <w:szCs w:val="20"/>
        </w:rPr>
        <w:footnoteRef/>
      </w:r>
      <w:r w:rsidRPr="003B35C4">
        <w:rPr>
          <w:rFonts w:ascii="Times New Roman" w:hAnsi="Times New Roman" w:cs="Times New Roman"/>
          <w:sz w:val="20"/>
          <w:szCs w:val="20"/>
        </w:rPr>
        <w:t xml:space="preserve"> </w:t>
      </w:r>
      <w:proofErr w:type="spellStart"/>
      <w:r w:rsidRPr="003B35C4">
        <w:rPr>
          <w:rFonts w:ascii="Times New Roman" w:hAnsi="Times New Roman" w:cs="Times New Roman"/>
          <w:i/>
          <w:sz w:val="20"/>
          <w:szCs w:val="20"/>
        </w:rPr>
        <w:t>Endorois</w:t>
      </w:r>
      <w:proofErr w:type="spellEnd"/>
      <w:r w:rsidRPr="003B35C4">
        <w:rPr>
          <w:rFonts w:ascii="Times New Roman" w:hAnsi="Times New Roman" w:cs="Times New Roman"/>
          <w:sz w:val="20"/>
          <w:szCs w:val="20"/>
        </w:rPr>
        <w:t xml:space="preserve">, </w:t>
      </w:r>
      <w:r w:rsidR="005854D3">
        <w:rPr>
          <w:rFonts w:ascii="Times New Roman" w:hAnsi="Times New Roman" w:cs="Times New Roman"/>
          <w:sz w:val="20"/>
          <w:szCs w:val="20"/>
        </w:rPr>
        <w:t>(</w:t>
      </w:r>
      <w:r w:rsidRPr="003B35C4">
        <w:rPr>
          <w:rFonts w:ascii="Times New Roman" w:hAnsi="Times New Roman" w:cs="Times New Roman"/>
          <w:sz w:val="20"/>
          <w:szCs w:val="20"/>
        </w:rPr>
        <w:t>n 162</w:t>
      </w:r>
      <w:r w:rsidR="005854D3">
        <w:rPr>
          <w:rFonts w:ascii="Times New Roman" w:hAnsi="Times New Roman" w:cs="Times New Roman"/>
          <w:sz w:val="20"/>
          <w:szCs w:val="20"/>
        </w:rPr>
        <w:t>)</w:t>
      </w:r>
      <w:r w:rsidRPr="003B35C4">
        <w:rPr>
          <w:rFonts w:ascii="Times New Roman" w:hAnsi="Times New Roman" w:cs="Times New Roman"/>
          <w:sz w:val="20"/>
          <w:szCs w:val="20"/>
        </w:rPr>
        <w:t>, para 237.</w:t>
      </w:r>
      <w:r w:rsidRPr="003B35C4">
        <w:rPr>
          <w:rFonts w:ascii="Times New Roman" w:hAnsi="Times New Roman" w:cs="Times New Roman"/>
          <w:sz w:val="20"/>
          <w:szCs w:val="20"/>
        </w:rPr>
        <w:tab/>
      </w:r>
    </w:p>
  </w:footnote>
  <w:footnote w:id="171">
    <w:p w:rsidR="003B5ED2" w:rsidRPr="003B35C4" w:rsidRDefault="003B5ED2" w:rsidP="0029750C">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General Comment No. 23, </w:t>
      </w:r>
      <w:r w:rsidR="005854D3">
        <w:rPr>
          <w:rFonts w:ascii="Times New Roman" w:hAnsi="Times New Roman" w:cs="Times New Roman"/>
        </w:rPr>
        <w:t>(</w:t>
      </w:r>
      <w:r w:rsidRPr="003B35C4">
        <w:rPr>
          <w:rFonts w:ascii="Times New Roman" w:hAnsi="Times New Roman" w:cs="Times New Roman"/>
        </w:rPr>
        <w:t>n 3</w:t>
      </w:r>
      <w:r>
        <w:rPr>
          <w:rFonts w:ascii="Times New Roman" w:hAnsi="Times New Roman" w:cs="Times New Roman"/>
        </w:rPr>
        <w:t>7</w:t>
      </w:r>
      <w:r w:rsidR="005854D3">
        <w:rPr>
          <w:rFonts w:ascii="Times New Roman" w:hAnsi="Times New Roman" w:cs="Times New Roman"/>
        </w:rPr>
        <w:t>)</w:t>
      </w:r>
      <w:r w:rsidRPr="003B35C4">
        <w:rPr>
          <w:rFonts w:ascii="Times New Roman" w:hAnsi="Times New Roman" w:cs="Times New Roman"/>
        </w:rPr>
        <w:t xml:space="preserve">, para 7.  </w:t>
      </w:r>
    </w:p>
  </w:footnote>
  <w:footnote w:id="172">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General Comment No. 21, </w:t>
      </w:r>
      <w:r w:rsidR="005854D3">
        <w:rPr>
          <w:rFonts w:ascii="Times New Roman" w:hAnsi="Times New Roman" w:cs="Times New Roman"/>
        </w:rPr>
        <w:t>(</w:t>
      </w:r>
      <w:r w:rsidRPr="003B35C4">
        <w:rPr>
          <w:rFonts w:ascii="Times New Roman" w:hAnsi="Times New Roman" w:cs="Times New Roman"/>
        </w:rPr>
        <w:t>n 3</w:t>
      </w:r>
      <w:r>
        <w:rPr>
          <w:rFonts w:ascii="Times New Roman" w:hAnsi="Times New Roman" w:cs="Times New Roman"/>
        </w:rPr>
        <w:t>7</w:t>
      </w:r>
      <w:r w:rsidR="005854D3">
        <w:rPr>
          <w:rFonts w:ascii="Times New Roman" w:hAnsi="Times New Roman" w:cs="Times New Roman"/>
        </w:rPr>
        <w:t>)</w:t>
      </w:r>
      <w:r w:rsidRPr="003B35C4">
        <w:rPr>
          <w:rFonts w:ascii="Times New Roman" w:hAnsi="Times New Roman" w:cs="Times New Roman"/>
        </w:rPr>
        <w:t xml:space="preserve">, para 9.  </w:t>
      </w:r>
    </w:p>
  </w:footnote>
  <w:footnote w:id="173">
    <w:p w:rsidR="003B5ED2" w:rsidRPr="003B35C4" w:rsidRDefault="003B5ED2" w:rsidP="004C51ED">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Special Rapporteur on the Environment (2017), </w:t>
      </w:r>
      <w:r w:rsidR="00C42A49">
        <w:rPr>
          <w:rFonts w:ascii="Times New Roman" w:hAnsi="Times New Roman" w:cs="Times New Roman"/>
        </w:rPr>
        <w:t>(</w:t>
      </w:r>
      <w:r w:rsidRPr="003B35C4">
        <w:rPr>
          <w:rFonts w:ascii="Times New Roman" w:hAnsi="Times New Roman" w:cs="Times New Roman"/>
        </w:rPr>
        <w:t>n 4</w:t>
      </w:r>
      <w:r>
        <w:rPr>
          <w:rFonts w:ascii="Times New Roman" w:hAnsi="Times New Roman" w:cs="Times New Roman"/>
        </w:rPr>
        <w:t>2</w:t>
      </w:r>
      <w:r w:rsidR="00C42A49">
        <w:rPr>
          <w:rFonts w:ascii="Times New Roman" w:hAnsi="Times New Roman" w:cs="Times New Roman"/>
        </w:rPr>
        <w:t>)</w:t>
      </w:r>
      <w:r w:rsidRPr="003B35C4">
        <w:rPr>
          <w:rFonts w:ascii="Times New Roman" w:hAnsi="Times New Roman" w:cs="Times New Roman"/>
        </w:rPr>
        <w:t>, paras</w:t>
      </w:r>
      <w:r w:rsidR="00C42A49">
        <w:rPr>
          <w:rFonts w:ascii="Times New Roman" w:hAnsi="Times New Roman" w:cs="Times New Roman"/>
        </w:rPr>
        <w:t xml:space="preserve"> </w:t>
      </w:r>
      <w:r w:rsidRPr="003B35C4">
        <w:rPr>
          <w:rFonts w:ascii="Times New Roman" w:hAnsi="Times New Roman" w:cs="Times New Roman"/>
        </w:rPr>
        <w:t>52</w:t>
      </w:r>
      <w:r w:rsidR="00715ADD">
        <w:rPr>
          <w:rFonts w:ascii="Times New Roman" w:hAnsi="Times New Roman" w:cs="Times New Roman"/>
        </w:rPr>
        <w:t>,</w:t>
      </w:r>
      <w:r w:rsidRPr="003B35C4">
        <w:rPr>
          <w:rFonts w:ascii="Times New Roman" w:hAnsi="Times New Roman" w:cs="Times New Roman"/>
        </w:rPr>
        <w:t xml:space="preserve"> 53, and 55. </w:t>
      </w:r>
    </w:p>
  </w:footnote>
  <w:footnote w:id="174">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General Comment No. 3, </w:t>
      </w:r>
      <w:r w:rsidR="00C42A49">
        <w:rPr>
          <w:rFonts w:ascii="Times New Roman" w:hAnsi="Times New Roman" w:cs="Times New Roman"/>
        </w:rPr>
        <w:t>(</w:t>
      </w:r>
      <w:r w:rsidRPr="003B35C4">
        <w:rPr>
          <w:rFonts w:ascii="Times New Roman" w:hAnsi="Times New Roman" w:cs="Times New Roman"/>
        </w:rPr>
        <w:t>n</w:t>
      </w:r>
      <w:r w:rsidR="00C42A49">
        <w:rPr>
          <w:rFonts w:ascii="Times New Roman" w:hAnsi="Times New Roman" w:cs="Times New Roman"/>
        </w:rPr>
        <w:t xml:space="preserve"> </w:t>
      </w:r>
      <w:r w:rsidRPr="003B35C4">
        <w:rPr>
          <w:rFonts w:ascii="Times New Roman" w:hAnsi="Times New Roman" w:cs="Times New Roman"/>
        </w:rPr>
        <w:t>59</w:t>
      </w:r>
      <w:r w:rsidR="00C42A49">
        <w:rPr>
          <w:rFonts w:ascii="Times New Roman" w:hAnsi="Times New Roman" w:cs="Times New Roman"/>
        </w:rPr>
        <w:t>)</w:t>
      </w:r>
      <w:r w:rsidRPr="003B35C4">
        <w:rPr>
          <w:rFonts w:ascii="Times New Roman" w:hAnsi="Times New Roman" w:cs="Times New Roman"/>
        </w:rPr>
        <w:t xml:space="preserve">, para 1.      </w:t>
      </w:r>
    </w:p>
  </w:footnote>
  <w:footnote w:id="175">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Ida Elizabeth Koch, ‘Economic, Social and Cultural Rights as Components in Civil and Political Rights: A Hermeneutic Perspective’ (2006)10 </w:t>
      </w:r>
      <w:r w:rsidRPr="003B35C4">
        <w:rPr>
          <w:rFonts w:ascii="Times New Roman" w:hAnsi="Times New Roman" w:cs="Times New Roman"/>
          <w:i/>
        </w:rPr>
        <w:t>International Journal of Human Rights</w:t>
      </w:r>
      <w:r w:rsidRPr="003B35C4">
        <w:rPr>
          <w:rFonts w:ascii="Times New Roman" w:hAnsi="Times New Roman" w:cs="Times New Roman"/>
        </w:rPr>
        <w:t xml:space="preserve"> 405, 407; </w:t>
      </w:r>
      <w:r>
        <w:rPr>
          <w:rFonts w:ascii="Times New Roman" w:hAnsi="Times New Roman" w:cs="Times New Roman"/>
        </w:rPr>
        <w:t xml:space="preserve">and </w:t>
      </w:r>
      <w:r w:rsidRPr="003B35C4">
        <w:rPr>
          <w:rFonts w:ascii="Times New Roman" w:hAnsi="Times New Roman" w:cs="Times New Roman"/>
        </w:rPr>
        <w:t xml:space="preserve">Nolan, </w:t>
      </w:r>
      <w:r w:rsidR="00C42A49">
        <w:rPr>
          <w:rFonts w:ascii="Times New Roman" w:hAnsi="Times New Roman" w:cs="Times New Roman"/>
        </w:rPr>
        <w:t>(</w:t>
      </w:r>
      <w:r w:rsidRPr="003B35C4">
        <w:rPr>
          <w:rFonts w:ascii="Times New Roman" w:hAnsi="Times New Roman" w:cs="Times New Roman"/>
        </w:rPr>
        <w:t>n 120</w:t>
      </w:r>
      <w:r w:rsidR="00C42A49">
        <w:rPr>
          <w:rFonts w:ascii="Times New Roman" w:hAnsi="Times New Roman" w:cs="Times New Roman"/>
        </w:rPr>
        <w:t>)</w:t>
      </w:r>
      <w:r w:rsidRPr="003B35C4">
        <w:rPr>
          <w:rFonts w:ascii="Times New Roman" w:hAnsi="Times New Roman" w:cs="Times New Roman"/>
        </w:rPr>
        <w:t>, 243</w:t>
      </w:r>
      <w:r w:rsidR="00715ADD">
        <w:rPr>
          <w:rFonts w:ascii="Times New Roman" w:hAnsi="Times New Roman" w:cs="Times New Roman"/>
        </w:rPr>
        <w:t xml:space="preserve"> and </w:t>
      </w:r>
      <w:r w:rsidRPr="003B35C4">
        <w:rPr>
          <w:rFonts w:ascii="Times New Roman" w:hAnsi="Times New Roman" w:cs="Times New Roman"/>
        </w:rPr>
        <w:t xml:space="preserve">244.   </w:t>
      </w:r>
    </w:p>
  </w:footnote>
  <w:footnote w:id="176">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Airey v Ireland</w:t>
      </w:r>
      <w:r w:rsidRPr="003B35C4">
        <w:rPr>
          <w:rFonts w:ascii="Times New Roman" w:hAnsi="Times New Roman" w:cs="Times New Roman"/>
        </w:rPr>
        <w:t xml:space="preserve">, App no 6289/73 (1979), para 26. </w:t>
      </w:r>
    </w:p>
  </w:footnote>
  <w:footnote w:id="177">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While the Protocol to Prevent, Suppress and Punish Trafficking in Persons attached to </w:t>
      </w:r>
      <w:r>
        <w:rPr>
          <w:rFonts w:ascii="Times New Roman" w:hAnsi="Times New Roman" w:cs="Times New Roman"/>
        </w:rPr>
        <w:t xml:space="preserve">the </w:t>
      </w:r>
      <w:r w:rsidRPr="003B35C4">
        <w:rPr>
          <w:rFonts w:ascii="Times New Roman" w:hAnsi="Times New Roman" w:cs="Times New Roman"/>
        </w:rPr>
        <w:t xml:space="preserve">UNOTC touches upon the demand reduction under Art 9, this instrument is limited to the crime of human trafficking.  </w:t>
      </w:r>
    </w:p>
  </w:footnote>
  <w:footnote w:id="178">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Paola </w:t>
      </w:r>
      <w:proofErr w:type="spellStart"/>
      <w:r w:rsidRPr="003B35C4">
        <w:rPr>
          <w:rFonts w:ascii="Times New Roman" w:hAnsi="Times New Roman" w:cs="Times New Roman"/>
        </w:rPr>
        <w:t>Solano</w:t>
      </w:r>
      <w:proofErr w:type="spellEnd"/>
      <w:r w:rsidRPr="003B35C4">
        <w:rPr>
          <w:rFonts w:ascii="Times New Roman" w:hAnsi="Times New Roman" w:cs="Times New Roman"/>
        </w:rPr>
        <w:t xml:space="preserve">, ‘Colombia’s </w:t>
      </w:r>
      <w:proofErr w:type="spellStart"/>
      <w:r w:rsidRPr="003B35C4">
        <w:rPr>
          <w:rFonts w:ascii="Times New Roman" w:hAnsi="Times New Roman" w:cs="Times New Roman"/>
        </w:rPr>
        <w:t>Herbidice</w:t>
      </w:r>
      <w:proofErr w:type="spellEnd"/>
      <w:r w:rsidRPr="003B35C4">
        <w:rPr>
          <w:rFonts w:ascii="Times New Roman" w:hAnsi="Times New Roman" w:cs="Times New Roman"/>
        </w:rPr>
        <w:t xml:space="preserve"> Spraying in the Crucible between Indigenous Rights, Environmental Law and State Security’ (2014) 9 </w:t>
      </w:r>
      <w:r w:rsidRPr="003B35C4">
        <w:rPr>
          <w:rFonts w:ascii="Times New Roman" w:hAnsi="Times New Roman" w:cs="Times New Roman"/>
          <w:i/>
        </w:rPr>
        <w:t>Intercultural Human Rights Law Review</w:t>
      </w:r>
      <w:r w:rsidRPr="003B35C4">
        <w:rPr>
          <w:rFonts w:ascii="Times New Roman" w:hAnsi="Times New Roman" w:cs="Times New Roman"/>
        </w:rPr>
        <w:t xml:space="preserve"> 271, 279; and Daniel </w:t>
      </w:r>
      <w:proofErr w:type="spellStart"/>
      <w:r w:rsidRPr="003B35C4">
        <w:rPr>
          <w:rFonts w:ascii="Times New Roman" w:hAnsi="Times New Roman" w:cs="Times New Roman"/>
        </w:rPr>
        <w:t>Heilmann</w:t>
      </w:r>
      <w:proofErr w:type="spellEnd"/>
      <w:r w:rsidRPr="003B35C4">
        <w:rPr>
          <w:rFonts w:ascii="Times New Roman" w:hAnsi="Times New Roman" w:cs="Times New Roman"/>
        </w:rPr>
        <w:t xml:space="preserve">, ‘The International Control of Illegal Drugs and the UN Treaties Regime: Preventing or Causing Human Rights Violations?’ (2011) 19 </w:t>
      </w:r>
      <w:r w:rsidRPr="003B35C4">
        <w:rPr>
          <w:rFonts w:ascii="Times New Roman" w:hAnsi="Times New Roman" w:cs="Times New Roman"/>
          <w:i/>
        </w:rPr>
        <w:t>Cardozo Journal of International and Comparative Law</w:t>
      </w:r>
      <w:r w:rsidRPr="003B35C4">
        <w:rPr>
          <w:rFonts w:ascii="Times New Roman" w:hAnsi="Times New Roman" w:cs="Times New Roman"/>
        </w:rPr>
        <w:t xml:space="preserve"> 237, 275.  </w:t>
      </w:r>
    </w:p>
  </w:footnote>
  <w:footnote w:id="179">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J Michael Blackwell, ‘The Costs and Consequences of US Drug Prohibition for the Peoples of Developing Nations’ (2014) 24 </w:t>
      </w:r>
      <w:r w:rsidRPr="003B35C4">
        <w:rPr>
          <w:rFonts w:ascii="Times New Roman" w:hAnsi="Times New Roman" w:cs="Times New Roman"/>
          <w:i/>
        </w:rPr>
        <w:t>Indiana International and Comparative Law Review</w:t>
      </w:r>
      <w:r w:rsidRPr="003B35C4">
        <w:rPr>
          <w:rFonts w:ascii="Times New Roman" w:hAnsi="Times New Roman" w:cs="Times New Roman"/>
        </w:rPr>
        <w:t xml:space="preserve"> 665, 684.  </w:t>
      </w:r>
    </w:p>
  </w:footnote>
  <w:footnote w:id="180">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Marshall Lloyd, ‘Conflict, Intervention and Drug Trafficking: Unintended Consequences of United States Policy in Colombia’ (2011) 36 </w:t>
      </w:r>
      <w:r w:rsidRPr="003B35C4">
        <w:rPr>
          <w:rFonts w:ascii="Times New Roman" w:hAnsi="Times New Roman" w:cs="Times New Roman"/>
          <w:i/>
        </w:rPr>
        <w:t>Oklahoma City University Law Review</w:t>
      </w:r>
      <w:r w:rsidRPr="003B35C4">
        <w:rPr>
          <w:rFonts w:ascii="Times New Roman" w:hAnsi="Times New Roman" w:cs="Times New Roman"/>
        </w:rPr>
        <w:t xml:space="preserve"> 293, 332-336.  </w:t>
      </w:r>
    </w:p>
  </w:footnote>
  <w:footnote w:id="18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Matthew Jenner, ‘International Drug Trafficking: A Global Problem with a Domestic Solution’ (2011) </w:t>
      </w:r>
      <w:r w:rsidRPr="003B35C4">
        <w:rPr>
          <w:rFonts w:ascii="Times New Roman" w:hAnsi="Times New Roman" w:cs="Times New Roman"/>
          <w:i/>
        </w:rPr>
        <w:t>Indiana Journal of Global Legal Studies</w:t>
      </w:r>
      <w:r w:rsidRPr="003B35C4">
        <w:rPr>
          <w:rFonts w:ascii="Times New Roman" w:hAnsi="Times New Roman" w:cs="Times New Roman"/>
        </w:rPr>
        <w:t xml:space="preserve"> 901, 917; Daniel </w:t>
      </w:r>
      <w:proofErr w:type="spellStart"/>
      <w:r w:rsidRPr="003B35C4">
        <w:rPr>
          <w:rFonts w:ascii="Times New Roman" w:hAnsi="Times New Roman" w:cs="Times New Roman"/>
        </w:rPr>
        <w:t>Robelo</w:t>
      </w:r>
      <w:proofErr w:type="spellEnd"/>
      <w:r w:rsidRPr="003B35C4">
        <w:rPr>
          <w:rFonts w:ascii="Times New Roman" w:hAnsi="Times New Roman" w:cs="Times New Roman"/>
        </w:rPr>
        <w:t xml:space="preserve">, ‘Demand Reduction or Redirection: Channelling Illicit Drug Demand Towards a Regulated Supply to Diminish Violence in Latin America’ (2013) </w:t>
      </w:r>
      <w:r w:rsidRPr="003B35C4">
        <w:rPr>
          <w:rFonts w:ascii="Times New Roman" w:hAnsi="Times New Roman" w:cs="Times New Roman"/>
          <w:i/>
        </w:rPr>
        <w:t>Oregon Law Review</w:t>
      </w:r>
      <w:r w:rsidRPr="003B35C4">
        <w:rPr>
          <w:rFonts w:ascii="Times New Roman" w:hAnsi="Times New Roman" w:cs="Times New Roman"/>
        </w:rPr>
        <w:t xml:space="preserve"> 1227, 1229; and Terra Rivera, ‘Taking War on Drugs to the Field: The Importance of Agriculture in Reforming International Law on the Illegal Drug Markets  (2015-2016) 8 </w:t>
      </w:r>
      <w:r w:rsidRPr="003B35C4">
        <w:rPr>
          <w:rFonts w:ascii="Times New Roman" w:hAnsi="Times New Roman" w:cs="Times New Roman"/>
          <w:i/>
          <w:iCs/>
        </w:rPr>
        <w:t>Kentucky Journal of Equine, Agriculture, &amp; Natural Resources Law</w:t>
      </w:r>
      <w:r w:rsidRPr="003B35C4">
        <w:rPr>
          <w:rFonts w:ascii="Times New Roman" w:hAnsi="Times New Roman" w:cs="Times New Roman"/>
        </w:rPr>
        <w:t xml:space="preserve"> 447, 453. </w:t>
      </w:r>
    </w:p>
  </w:footnote>
  <w:footnote w:id="182">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Organisation of American States, </w:t>
      </w:r>
      <w:r w:rsidRPr="003B35C4">
        <w:rPr>
          <w:rFonts w:ascii="Times New Roman" w:hAnsi="Times New Roman" w:cs="Times New Roman"/>
          <w:i/>
        </w:rPr>
        <w:t>The Drugs Problems in the Americas: Studies</w:t>
      </w:r>
      <w:r w:rsidRPr="003B35C4">
        <w:rPr>
          <w:rFonts w:ascii="Times New Roman" w:hAnsi="Times New Roman" w:cs="Times New Roman"/>
        </w:rPr>
        <w:t xml:space="preserve"> (OAS 2013), 20</w:t>
      </w:r>
      <w:r w:rsidR="00715ADD">
        <w:rPr>
          <w:rFonts w:ascii="Times New Roman" w:hAnsi="Times New Roman" w:cs="Times New Roman"/>
        </w:rPr>
        <w:t xml:space="preserve"> and </w:t>
      </w:r>
      <w:r w:rsidRPr="003B35C4">
        <w:rPr>
          <w:rFonts w:ascii="Times New Roman" w:hAnsi="Times New Roman" w:cs="Times New Roman"/>
        </w:rPr>
        <w:t xml:space="preserve">21.  </w:t>
      </w:r>
    </w:p>
  </w:footnote>
  <w:footnote w:id="183">
    <w:p w:rsidR="003B5ED2" w:rsidRPr="003B35C4" w:rsidRDefault="003B5ED2" w:rsidP="00160597">
      <w:pPr>
        <w:spacing w:after="0"/>
        <w:rPr>
          <w:rFonts w:ascii="Times New Roman" w:eastAsia="Times New Roman" w:hAnsi="Times New Roman" w:cs="Times New Roman"/>
          <w:sz w:val="20"/>
          <w:szCs w:val="20"/>
        </w:rPr>
      </w:pPr>
      <w:r w:rsidRPr="003B35C4">
        <w:rPr>
          <w:rStyle w:val="FootnoteReference"/>
          <w:rFonts w:ascii="Times New Roman" w:hAnsi="Times New Roman" w:cs="Times New Roman"/>
          <w:sz w:val="20"/>
          <w:szCs w:val="20"/>
        </w:rPr>
        <w:footnoteRef/>
      </w:r>
      <w:r w:rsidRPr="003B35C4">
        <w:rPr>
          <w:rFonts w:ascii="Times New Roman" w:hAnsi="Times New Roman" w:cs="Times New Roman"/>
          <w:sz w:val="20"/>
          <w:szCs w:val="20"/>
        </w:rPr>
        <w:t xml:space="preserve"> </w:t>
      </w:r>
      <w:r w:rsidRPr="003B35C4">
        <w:rPr>
          <w:rFonts w:ascii="Times New Roman" w:hAnsi="Times New Roman" w:cs="Times New Roman"/>
          <w:i/>
          <w:sz w:val="20"/>
          <w:szCs w:val="20"/>
        </w:rPr>
        <w:t>Concluding Observations on the Eighth Periodic Report of Kenya</w:t>
      </w:r>
      <w:r w:rsidRPr="003B35C4">
        <w:rPr>
          <w:rFonts w:ascii="Times New Roman" w:hAnsi="Times New Roman" w:cs="Times New Roman"/>
          <w:sz w:val="20"/>
          <w:szCs w:val="20"/>
        </w:rPr>
        <w:t xml:space="preserve">, </w:t>
      </w:r>
      <w:r w:rsidRPr="003B35C4">
        <w:rPr>
          <w:rStyle w:val="sessionsubtitle"/>
          <w:rFonts w:ascii="Times New Roman" w:hAnsi="Times New Roman" w:cs="Times New Roman"/>
          <w:sz w:val="20"/>
          <w:szCs w:val="20"/>
        </w:rPr>
        <w:t xml:space="preserve">CEDAW/C/KEN/CO/8 (2017), para 29; </w:t>
      </w:r>
      <w:r w:rsidRPr="003B35C4">
        <w:rPr>
          <w:rFonts w:ascii="Times New Roman" w:hAnsi="Times New Roman" w:cs="Times New Roman"/>
          <w:i/>
          <w:sz w:val="20"/>
          <w:szCs w:val="20"/>
        </w:rPr>
        <w:t>Concluding Observations on the Second Periodic Report of Montenegro</w:t>
      </w:r>
      <w:r w:rsidRPr="003B35C4">
        <w:rPr>
          <w:rFonts w:ascii="Times New Roman" w:hAnsi="Times New Roman" w:cs="Times New Roman"/>
          <w:sz w:val="20"/>
          <w:szCs w:val="20"/>
        </w:rPr>
        <w:t>, CEDAW/C/MNE/2 (2017), para 1</w:t>
      </w:r>
      <w:r w:rsidRPr="003B35C4">
        <w:rPr>
          <w:rStyle w:val="sessionsubtitle"/>
          <w:rFonts w:ascii="Times New Roman" w:hAnsi="Times New Roman" w:cs="Times New Roman"/>
          <w:sz w:val="20"/>
          <w:szCs w:val="20"/>
        </w:rPr>
        <w:t xml:space="preserve">; </w:t>
      </w:r>
      <w:r w:rsidRPr="003B35C4">
        <w:rPr>
          <w:rStyle w:val="sessionsubtitle"/>
          <w:rFonts w:ascii="Times New Roman" w:hAnsi="Times New Roman" w:cs="Times New Roman"/>
          <w:i/>
          <w:sz w:val="20"/>
          <w:szCs w:val="20"/>
        </w:rPr>
        <w:t>Report of the Special Rapporteur on the Right of Everyone to the Enjoyment of the Highest Attainable Standard of Physical and Mental Health</w:t>
      </w:r>
      <w:r w:rsidRPr="003B35C4">
        <w:rPr>
          <w:rStyle w:val="sessionsubtitle"/>
          <w:rFonts w:ascii="Times New Roman" w:hAnsi="Times New Roman" w:cs="Times New Roman"/>
          <w:sz w:val="20"/>
          <w:szCs w:val="20"/>
        </w:rPr>
        <w:t xml:space="preserve">, A/HRC/14/20 (2010), para 46; </w:t>
      </w:r>
      <w:r w:rsidRPr="003B35C4">
        <w:rPr>
          <w:rStyle w:val="sessionsubtitle"/>
          <w:rFonts w:ascii="Times New Roman" w:hAnsi="Times New Roman" w:cs="Times New Roman"/>
          <w:i/>
          <w:sz w:val="20"/>
          <w:szCs w:val="20"/>
        </w:rPr>
        <w:t>Report of the Special Rapporteur on Trafficking in Persons, Especially Women and Children: Mission to the United States of America</w:t>
      </w:r>
      <w:r w:rsidRPr="003B35C4">
        <w:rPr>
          <w:rStyle w:val="sessionsubtitle"/>
          <w:rFonts w:ascii="Times New Roman" w:hAnsi="Times New Roman" w:cs="Times New Roman"/>
          <w:sz w:val="20"/>
          <w:szCs w:val="20"/>
        </w:rPr>
        <w:t xml:space="preserve">, A/HRC/35/37/Add.2 (2017), para 92; and </w:t>
      </w:r>
      <w:r w:rsidRPr="003B35C4">
        <w:rPr>
          <w:rStyle w:val="sessionsubtitle"/>
          <w:rFonts w:ascii="Times New Roman" w:hAnsi="Times New Roman" w:cs="Times New Roman"/>
          <w:i/>
          <w:sz w:val="20"/>
          <w:szCs w:val="20"/>
        </w:rPr>
        <w:t>Report of the Special Rapporteur on Sale of Children, Child Prostitution and Child Pornography</w:t>
      </w:r>
      <w:r w:rsidRPr="003B35C4">
        <w:rPr>
          <w:rStyle w:val="sessionsubtitle"/>
          <w:rFonts w:ascii="Times New Roman" w:hAnsi="Times New Roman" w:cs="Times New Roman"/>
          <w:sz w:val="20"/>
          <w:szCs w:val="20"/>
        </w:rPr>
        <w:t xml:space="preserve">, A/HRC/31/58 (2015), para 82.      </w:t>
      </w:r>
    </w:p>
  </w:footnote>
  <w:footnote w:id="184">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4135D7">
        <w:rPr>
          <w:rFonts w:ascii="Times New Roman" w:hAnsi="Times New Roman" w:cs="Times New Roman"/>
          <w:i/>
        </w:rPr>
        <w:t>Report of the Working Group on the Issue of Discrimination against Women in Law and Practice,</w:t>
      </w:r>
      <w:r w:rsidRPr="003B35C4">
        <w:rPr>
          <w:rFonts w:ascii="Times New Roman" w:hAnsi="Times New Roman" w:cs="Times New Roman"/>
        </w:rPr>
        <w:t xml:space="preserve"> A/HRC/32/44 (2016), para</w:t>
      </w:r>
      <w:r w:rsidR="00715ADD">
        <w:rPr>
          <w:rFonts w:ascii="Times New Roman" w:hAnsi="Times New Roman" w:cs="Times New Roman"/>
        </w:rPr>
        <w:t>s</w:t>
      </w:r>
      <w:r w:rsidRPr="003B35C4">
        <w:rPr>
          <w:rFonts w:ascii="Times New Roman" w:hAnsi="Times New Roman" w:cs="Times New Roman"/>
        </w:rPr>
        <w:t xml:space="preserve"> 76 and 84; </w:t>
      </w:r>
      <w:r>
        <w:rPr>
          <w:rFonts w:ascii="Times New Roman" w:hAnsi="Times New Roman" w:cs="Times New Roman"/>
        </w:rPr>
        <w:t xml:space="preserve">and </w:t>
      </w:r>
      <w:r w:rsidRPr="004135D7">
        <w:rPr>
          <w:rFonts w:ascii="Times New Roman" w:hAnsi="Times New Roman" w:cs="Times New Roman"/>
          <w:i/>
        </w:rPr>
        <w:t>Report of the Special Rapporteur on Violence against Women: Mission to South Africa</w:t>
      </w:r>
      <w:r w:rsidRPr="003B35C4">
        <w:rPr>
          <w:rFonts w:ascii="Times New Roman" w:hAnsi="Times New Roman" w:cs="Times New Roman"/>
        </w:rPr>
        <w:t xml:space="preserve">, A/HRC/32/42/Add.2 (2016), para 35  </w:t>
      </w:r>
    </w:p>
  </w:footnote>
  <w:footnote w:id="185">
    <w:p w:rsidR="003B5ED2" w:rsidRPr="003B35C4" w:rsidRDefault="003B5ED2" w:rsidP="00160597">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Ninth Periodic Report of Norway</w:t>
      </w:r>
      <w:r w:rsidRPr="003B35C4">
        <w:rPr>
          <w:rFonts w:ascii="Times New Roman" w:hAnsi="Times New Roman" w:cs="Times New Roman"/>
        </w:rPr>
        <w:t xml:space="preserve">, </w:t>
      </w:r>
      <w:r w:rsidRPr="003B35C4">
        <w:rPr>
          <w:rStyle w:val="sessionsubtitle"/>
          <w:rFonts w:ascii="Times New Roman" w:hAnsi="Times New Roman" w:cs="Times New Roman"/>
        </w:rPr>
        <w:t xml:space="preserve">CEDAW/C/NOR/CO/9 (2017), para 29; </w:t>
      </w:r>
      <w:r w:rsidRPr="003B35C4">
        <w:rPr>
          <w:rStyle w:val="sessionsubtitle"/>
          <w:rFonts w:ascii="Times New Roman" w:hAnsi="Times New Roman" w:cs="Times New Roman"/>
          <w:i/>
        </w:rPr>
        <w:t>Concluding Observations on the Combined Sixth and Seventh Reports of Thailand</w:t>
      </w:r>
      <w:r w:rsidRPr="003B35C4">
        <w:rPr>
          <w:rStyle w:val="sessionsubtitle"/>
          <w:rFonts w:ascii="Times New Roman" w:hAnsi="Times New Roman" w:cs="Times New Roman"/>
        </w:rPr>
        <w:t xml:space="preserve">, CEDAW/C/THA/CO/6-7 (2017), para 27; and </w:t>
      </w:r>
      <w:r w:rsidRPr="003B35C4">
        <w:rPr>
          <w:rStyle w:val="sessionsubtitle"/>
          <w:rFonts w:ascii="Times New Roman" w:hAnsi="Times New Roman" w:cs="Times New Roman"/>
          <w:i/>
        </w:rPr>
        <w:t>Concluding Observations on the Eighth Periodic Report of Belarus</w:t>
      </w:r>
      <w:r w:rsidRPr="003B35C4">
        <w:rPr>
          <w:rStyle w:val="sessionsubtitle"/>
          <w:rFonts w:ascii="Times New Roman" w:hAnsi="Times New Roman" w:cs="Times New Roman"/>
        </w:rPr>
        <w:t xml:space="preserve">, CEDAW/C/BLR/CO/8 (2006), para 27.   </w:t>
      </w:r>
      <w:r w:rsidRPr="003B35C4">
        <w:rPr>
          <w:rFonts w:ascii="Times New Roman" w:hAnsi="Times New Roman" w:cs="Times New Roman"/>
        </w:rPr>
        <w:t xml:space="preserve"> </w:t>
      </w:r>
    </w:p>
  </w:footnote>
  <w:footnote w:id="186">
    <w:p w:rsidR="003B5ED2" w:rsidRPr="003B35C4" w:rsidRDefault="003B5ED2" w:rsidP="00160597">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Rachel Marshall, ‘Sex Workers and Human Rights: A Critical Analysis of Laws Regarding Sex Work’ (2016) 23 </w:t>
      </w:r>
      <w:r w:rsidRPr="003B35C4">
        <w:rPr>
          <w:rFonts w:ascii="Times New Roman" w:hAnsi="Times New Roman" w:cs="Times New Roman"/>
          <w:i/>
        </w:rPr>
        <w:t>William &amp; Mary Journal of Women and the Law</w:t>
      </w:r>
      <w:r w:rsidRPr="003B35C4">
        <w:rPr>
          <w:rFonts w:ascii="Times New Roman" w:hAnsi="Times New Roman" w:cs="Times New Roman"/>
        </w:rPr>
        <w:t xml:space="preserve"> 47, 63.  </w:t>
      </w:r>
    </w:p>
  </w:footnote>
  <w:footnote w:id="187">
    <w:p w:rsidR="003B5ED2" w:rsidRPr="003B35C4" w:rsidRDefault="003B5ED2" w:rsidP="00160597">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Chi Adana </w:t>
      </w:r>
      <w:proofErr w:type="spellStart"/>
      <w:r w:rsidRPr="003B35C4">
        <w:rPr>
          <w:rFonts w:ascii="Times New Roman" w:hAnsi="Times New Roman" w:cs="Times New Roman"/>
        </w:rPr>
        <w:t>Mgbako</w:t>
      </w:r>
      <w:proofErr w:type="spellEnd"/>
      <w:r w:rsidRPr="003B35C4">
        <w:rPr>
          <w:rFonts w:ascii="Times New Roman" w:hAnsi="Times New Roman" w:cs="Times New Roman"/>
        </w:rPr>
        <w:t xml:space="preserve">, et.al, ‘The Case for Decriminalising Sex Work in South Africa’ (2013) </w:t>
      </w:r>
      <w:r w:rsidRPr="003B35C4">
        <w:rPr>
          <w:rFonts w:ascii="Times New Roman" w:hAnsi="Times New Roman" w:cs="Times New Roman"/>
          <w:i/>
        </w:rPr>
        <w:t xml:space="preserve">Georgetown Journal of International Law </w:t>
      </w:r>
      <w:r w:rsidRPr="003B35C4">
        <w:rPr>
          <w:rFonts w:ascii="Times New Roman" w:hAnsi="Times New Roman" w:cs="Times New Roman"/>
        </w:rPr>
        <w:t xml:space="preserve">1423. </w:t>
      </w:r>
    </w:p>
  </w:footnote>
  <w:footnote w:id="188">
    <w:p w:rsidR="003B5ED2" w:rsidRPr="003B35C4" w:rsidRDefault="003B5ED2" w:rsidP="00160597">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Catherine MacKinnon, ‘Trafficking, Prostitution and Inequality’ (2011) 46 </w:t>
      </w:r>
      <w:r w:rsidRPr="003B35C4">
        <w:rPr>
          <w:rFonts w:ascii="Times New Roman" w:hAnsi="Times New Roman" w:cs="Times New Roman"/>
          <w:i/>
        </w:rPr>
        <w:t>Harvard Civil Rights-Civil Liberties Law Review</w:t>
      </w:r>
      <w:r w:rsidRPr="003B35C4">
        <w:rPr>
          <w:rFonts w:ascii="Times New Roman" w:hAnsi="Times New Roman" w:cs="Times New Roman"/>
        </w:rPr>
        <w:t xml:space="preserve"> 271, 275. </w:t>
      </w:r>
    </w:p>
  </w:footnote>
  <w:footnote w:id="189">
    <w:p w:rsidR="003B5ED2" w:rsidRPr="003B35C4" w:rsidRDefault="003B5ED2" w:rsidP="002F3C09">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rPr>
        <w:t>Kinneri</w:t>
      </w:r>
      <w:proofErr w:type="spellEnd"/>
      <w:r w:rsidRPr="003B35C4">
        <w:rPr>
          <w:rFonts w:ascii="Times New Roman" w:hAnsi="Times New Roman" w:cs="Times New Roman"/>
        </w:rPr>
        <w:t xml:space="preserve"> Patel, ‘Towards a Policy of Regulated Prostitution: A Radical Feminist Defence’ (2007) 13 </w:t>
      </w:r>
      <w:r w:rsidRPr="004135D7">
        <w:rPr>
          <w:rFonts w:ascii="Times New Roman" w:hAnsi="Times New Roman" w:cs="Times New Roman"/>
          <w:i/>
        </w:rPr>
        <w:t>UCL Jurisprudence Review</w:t>
      </w:r>
      <w:r w:rsidRPr="003B35C4">
        <w:rPr>
          <w:rFonts w:ascii="Times New Roman" w:hAnsi="Times New Roman" w:cs="Times New Roman"/>
        </w:rPr>
        <w:t xml:space="preserve"> 1, 11.  </w:t>
      </w:r>
    </w:p>
  </w:footnote>
  <w:footnote w:id="190">
    <w:p w:rsidR="003B5ED2" w:rsidRPr="003B35C4" w:rsidRDefault="003B5ED2" w:rsidP="002F3C09">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Belin</w:t>
      </w:r>
      <w:r>
        <w:rPr>
          <w:rFonts w:ascii="Times New Roman" w:hAnsi="Times New Roman" w:cs="Times New Roman"/>
        </w:rPr>
        <w:t>d</w:t>
      </w:r>
      <w:r w:rsidRPr="003B35C4">
        <w:rPr>
          <w:rFonts w:ascii="Times New Roman" w:hAnsi="Times New Roman" w:cs="Times New Roman"/>
        </w:rPr>
        <w:t xml:space="preserve">a Cooper, ‘Prostitution: A Feminist Analysis’ (1989) 11 </w:t>
      </w:r>
      <w:r w:rsidRPr="004135D7">
        <w:rPr>
          <w:rFonts w:ascii="Times New Roman" w:hAnsi="Times New Roman" w:cs="Times New Roman"/>
        </w:rPr>
        <w:t>Women’s Rights Law Reporter</w:t>
      </w:r>
      <w:r w:rsidRPr="003B35C4">
        <w:rPr>
          <w:rFonts w:ascii="Times New Roman" w:hAnsi="Times New Roman" w:cs="Times New Roman"/>
        </w:rPr>
        <w:t xml:space="preserve"> 99, 114.  </w:t>
      </w:r>
    </w:p>
  </w:footnote>
  <w:footnote w:id="19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00585882">
        <w:rPr>
          <w:rFonts w:ascii="Times New Roman" w:hAnsi="Times New Roman" w:cs="Times New Roman"/>
        </w:rPr>
        <w:t xml:space="preserve"> </w:t>
      </w:r>
      <w:r w:rsidRPr="003B35C4">
        <w:rPr>
          <w:rFonts w:ascii="Times New Roman" w:hAnsi="Times New Roman" w:cs="Times New Roman"/>
        </w:rPr>
        <w:t>Special Rapporteur</w:t>
      </w:r>
      <w:r w:rsidR="00585882">
        <w:rPr>
          <w:rFonts w:ascii="Times New Roman" w:hAnsi="Times New Roman" w:cs="Times New Roman"/>
        </w:rPr>
        <w:t xml:space="preserve"> on Violence against Women (2016)</w:t>
      </w:r>
      <w:r w:rsidRPr="003B35C4">
        <w:rPr>
          <w:rFonts w:ascii="Times New Roman" w:hAnsi="Times New Roman" w:cs="Times New Roman"/>
        </w:rPr>
        <w:t xml:space="preserve">, </w:t>
      </w:r>
      <w:r w:rsidR="00585882">
        <w:rPr>
          <w:rFonts w:ascii="Times New Roman" w:hAnsi="Times New Roman" w:cs="Times New Roman"/>
        </w:rPr>
        <w:t>(</w:t>
      </w:r>
      <w:r w:rsidRPr="003B35C4">
        <w:rPr>
          <w:rFonts w:ascii="Times New Roman" w:hAnsi="Times New Roman" w:cs="Times New Roman"/>
        </w:rPr>
        <w:t>n 184</w:t>
      </w:r>
      <w:r w:rsidR="00585882">
        <w:rPr>
          <w:rFonts w:ascii="Times New Roman" w:hAnsi="Times New Roman" w:cs="Times New Roman"/>
        </w:rPr>
        <w:t>)</w:t>
      </w:r>
      <w:r w:rsidRPr="003B35C4">
        <w:rPr>
          <w:rFonts w:ascii="Times New Roman" w:hAnsi="Times New Roman" w:cs="Times New Roman"/>
        </w:rPr>
        <w:t>, para 82; Concluding Observations Thailand,</w:t>
      </w:r>
      <w:r w:rsidR="00A64D9B">
        <w:rPr>
          <w:rFonts w:ascii="Times New Roman" w:hAnsi="Times New Roman" w:cs="Times New Roman"/>
        </w:rPr>
        <w:t xml:space="preserve"> (</w:t>
      </w:r>
      <w:r w:rsidRPr="003B35C4">
        <w:rPr>
          <w:rFonts w:ascii="Times New Roman" w:hAnsi="Times New Roman" w:cs="Times New Roman"/>
        </w:rPr>
        <w:t>n 138</w:t>
      </w:r>
      <w:r w:rsidR="00A64D9B">
        <w:rPr>
          <w:rFonts w:ascii="Times New Roman" w:hAnsi="Times New Roman" w:cs="Times New Roman"/>
        </w:rPr>
        <w:t>)</w:t>
      </w:r>
      <w:r w:rsidRPr="003B35C4">
        <w:rPr>
          <w:rFonts w:ascii="Times New Roman" w:hAnsi="Times New Roman" w:cs="Times New Roman"/>
        </w:rPr>
        <w:t xml:space="preserve">, para 27; Concluding Observations Kenya, </w:t>
      </w:r>
      <w:r w:rsidR="00A64D9B">
        <w:rPr>
          <w:rFonts w:ascii="Times New Roman" w:hAnsi="Times New Roman" w:cs="Times New Roman"/>
        </w:rPr>
        <w:t>(</w:t>
      </w:r>
      <w:r w:rsidRPr="003B35C4">
        <w:rPr>
          <w:rFonts w:ascii="Times New Roman" w:hAnsi="Times New Roman" w:cs="Times New Roman"/>
        </w:rPr>
        <w:t>n 183</w:t>
      </w:r>
      <w:r w:rsidR="00A64D9B">
        <w:rPr>
          <w:rFonts w:ascii="Times New Roman" w:hAnsi="Times New Roman" w:cs="Times New Roman"/>
        </w:rPr>
        <w:t>)</w:t>
      </w:r>
      <w:r w:rsidRPr="003B35C4">
        <w:rPr>
          <w:rFonts w:ascii="Times New Roman" w:hAnsi="Times New Roman" w:cs="Times New Roman"/>
        </w:rPr>
        <w:t xml:space="preserve">, para 29; </w:t>
      </w:r>
      <w:r w:rsidRPr="004135D7">
        <w:rPr>
          <w:rFonts w:ascii="Times New Roman" w:hAnsi="Times New Roman" w:cs="Times New Roman"/>
          <w:i/>
        </w:rPr>
        <w:t>Concluding Observations on the Seventh Periodic Report of Burkina Faso,</w:t>
      </w:r>
      <w:r w:rsidRPr="003B35C4">
        <w:rPr>
          <w:rFonts w:ascii="Times New Roman" w:hAnsi="Times New Roman" w:cs="Times New Roman"/>
        </w:rPr>
        <w:t xml:space="preserve"> CEDAW/C/BFA/7 (2017), para 27; </w:t>
      </w:r>
      <w:r w:rsidRPr="003B35C4">
        <w:rPr>
          <w:rFonts w:ascii="Times New Roman" w:hAnsi="Times New Roman" w:cs="Times New Roman"/>
          <w:i/>
        </w:rPr>
        <w:t>Concluding Observations on the Combined Seventh and Eighth Periodic reports of Nigeria</w:t>
      </w:r>
      <w:r w:rsidRPr="003B35C4">
        <w:rPr>
          <w:rFonts w:ascii="Times New Roman" w:hAnsi="Times New Roman" w:cs="Times New Roman"/>
        </w:rPr>
        <w:t xml:space="preserve">, CEDAW/C/NGA/7-8 (2017), para 28; </w:t>
      </w:r>
      <w:r w:rsidRPr="004135D7">
        <w:rPr>
          <w:rFonts w:ascii="Times New Roman" w:hAnsi="Times New Roman" w:cs="Times New Roman"/>
          <w:i/>
        </w:rPr>
        <w:t>Concluding Observations on the Combined Seventh and Eighth Periodic Reports of the Philippines</w:t>
      </w:r>
      <w:r w:rsidRPr="003B35C4">
        <w:rPr>
          <w:rFonts w:ascii="Times New Roman" w:hAnsi="Times New Roman" w:cs="Times New Roman"/>
        </w:rPr>
        <w:t xml:space="preserve">, CEDAW/C/PHL/7-8 (2016), para 30; and </w:t>
      </w:r>
      <w:r w:rsidRPr="004135D7">
        <w:rPr>
          <w:rFonts w:ascii="Times New Roman" w:hAnsi="Times New Roman" w:cs="Times New Roman"/>
          <w:i/>
        </w:rPr>
        <w:t>Concluding Observations on the Combined Seventh and Eighth Periodic Reports of Liberia</w:t>
      </w:r>
      <w:r w:rsidRPr="003B35C4">
        <w:rPr>
          <w:rFonts w:ascii="Times New Roman" w:hAnsi="Times New Roman" w:cs="Times New Roman"/>
        </w:rPr>
        <w:t xml:space="preserve">, CEDAW/C/LBR/7-8 (2015), para 28.  </w:t>
      </w:r>
    </w:p>
  </w:footnote>
  <w:footnote w:id="192">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4135D7">
        <w:rPr>
          <w:rFonts w:ascii="Times New Roman" w:hAnsi="Times New Roman" w:cs="Times New Roman"/>
          <w:i/>
        </w:rPr>
        <w:t>Concluding Observations on the Third Periodic Report of Nepal</w:t>
      </w:r>
      <w:r w:rsidRPr="003B35C4">
        <w:rPr>
          <w:rFonts w:ascii="Times New Roman" w:hAnsi="Times New Roman" w:cs="Times New Roman"/>
        </w:rPr>
        <w:t xml:space="preserve">, E/C.12/NPL/3 (2014), para 14. </w:t>
      </w:r>
    </w:p>
  </w:footnote>
  <w:footnote w:id="193">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00527A3E">
        <w:rPr>
          <w:rFonts w:ascii="Times New Roman" w:hAnsi="Times New Roman" w:cs="Times New Roman"/>
        </w:rPr>
        <w:t>(</w:t>
      </w:r>
      <w:r w:rsidRPr="003B35C4">
        <w:rPr>
          <w:rFonts w:ascii="Times New Roman" w:hAnsi="Times New Roman" w:cs="Times New Roman"/>
        </w:rPr>
        <w:t>n 191</w:t>
      </w:r>
      <w:r w:rsidR="00527A3E">
        <w:rPr>
          <w:rFonts w:ascii="Times New Roman" w:hAnsi="Times New Roman" w:cs="Times New Roman"/>
        </w:rPr>
        <w:t>)</w:t>
      </w:r>
      <w:r w:rsidRPr="003B35C4">
        <w:rPr>
          <w:rFonts w:ascii="Times New Roman" w:hAnsi="Times New Roman" w:cs="Times New Roman"/>
        </w:rPr>
        <w:t xml:space="preserve">.  </w:t>
      </w:r>
    </w:p>
  </w:footnote>
  <w:footnote w:id="194">
    <w:p w:rsidR="003B5ED2" w:rsidRPr="003B35C4" w:rsidRDefault="003B5ED2" w:rsidP="00736878">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Patel, </w:t>
      </w:r>
      <w:r w:rsidR="00AA1187">
        <w:rPr>
          <w:rFonts w:ascii="Times New Roman" w:hAnsi="Times New Roman" w:cs="Times New Roman"/>
        </w:rPr>
        <w:t>(</w:t>
      </w:r>
      <w:r>
        <w:rPr>
          <w:rFonts w:ascii="Times New Roman" w:hAnsi="Times New Roman" w:cs="Times New Roman"/>
        </w:rPr>
        <w:t>n 189</w:t>
      </w:r>
      <w:r w:rsidR="00AA1187">
        <w:rPr>
          <w:rFonts w:ascii="Times New Roman" w:hAnsi="Times New Roman" w:cs="Times New Roman"/>
        </w:rPr>
        <w:t>)</w:t>
      </w:r>
      <w:r>
        <w:rPr>
          <w:rFonts w:ascii="Times New Roman" w:hAnsi="Times New Roman" w:cs="Times New Roman"/>
        </w:rPr>
        <w:t xml:space="preserve">, </w:t>
      </w:r>
      <w:r w:rsidRPr="003B35C4">
        <w:rPr>
          <w:rFonts w:ascii="Times New Roman" w:hAnsi="Times New Roman" w:cs="Times New Roman"/>
        </w:rPr>
        <w:t xml:space="preserve">3; Catherine MacKinnon, ‘Prostitution and Civil Rights’ (1993) 1 </w:t>
      </w:r>
      <w:r w:rsidRPr="004135D7">
        <w:rPr>
          <w:rFonts w:ascii="Times New Roman" w:hAnsi="Times New Roman" w:cs="Times New Roman"/>
          <w:i/>
        </w:rPr>
        <w:t>Michigan Journal of Gender and Law</w:t>
      </w:r>
      <w:r w:rsidRPr="003B35C4">
        <w:rPr>
          <w:rFonts w:ascii="Times New Roman" w:hAnsi="Times New Roman" w:cs="Times New Roman"/>
        </w:rPr>
        <w:t xml:space="preserve"> 13, 28; and </w:t>
      </w:r>
      <w:proofErr w:type="spellStart"/>
      <w:r w:rsidRPr="003B35C4">
        <w:rPr>
          <w:rFonts w:ascii="Times New Roman" w:hAnsi="Times New Roman" w:cs="Times New Roman"/>
        </w:rPr>
        <w:t>Dorchen</w:t>
      </w:r>
      <w:proofErr w:type="spellEnd"/>
      <w:r w:rsidRPr="003B35C4">
        <w:rPr>
          <w:rFonts w:ascii="Times New Roman" w:hAnsi="Times New Roman" w:cs="Times New Roman"/>
        </w:rPr>
        <w:t xml:space="preserve"> </w:t>
      </w:r>
      <w:proofErr w:type="spellStart"/>
      <w:r w:rsidRPr="003B35C4">
        <w:rPr>
          <w:rFonts w:ascii="Times New Roman" w:hAnsi="Times New Roman" w:cs="Times New Roman"/>
        </w:rPr>
        <w:t>Leidholdt</w:t>
      </w:r>
      <w:proofErr w:type="spellEnd"/>
      <w:r w:rsidRPr="003B35C4">
        <w:rPr>
          <w:rFonts w:ascii="Times New Roman" w:hAnsi="Times New Roman" w:cs="Times New Roman"/>
        </w:rPr>
        <w:t>, ‘Prostitution: A Violation of Women’s Human Rights’ (1993-1</w:t>
      </w:r>
      <w:r>
        <w:rPr>
          <w:rFonts w:ascii="Times New Roman" w:hAnsi="Times New Roman" w:cs="Times New Roman"/>
        </w:rPr>
        <w:t>99</w:t>
      </w:r>
      <w:r w:rsidRPr="003B35C4">
        <w:rPr>
          <w:rFonts w:ascii="Times New Roman" w:hAnsi="Times New Roman" w:cs="Times New Roman"/>
        </w:rPr>
        <w:t xml:space="preserve">4) </w:t>
      </w:r>
      <w:r w:rsidRPr="004135D7">
        <w:rPr>
          <w:rFonts w:ascii="Times New Roman" w:hAnsi="Times New Roman" w:cs="Times New Roman"/>
          <w:i/>
        </w:rPr>
        <w:t>Cardozo Women’s Law Journal</w:t>
      </w:r>
      <w:r w:rsidRPr="003B35C4">
        <w:rPr>
          <w:rFonts w:ascii="Times New Roman" w:hAnsi="Times New Roman" w:cs="Times New Roman"/>
        </w:rPr>
        <w:t xml:space="preserve"> 133, 136</w:t>
      </w:r>
      <w:r w:rsidR="00AA1187">
        <w:rPr>
          <w:rFonts w:ascii="Times New Roman" w:hAnsi="Times New Roman" w:cs="Times New Roman"/>
        </w:rPr>
        <w:t xml:space="preserve"> and</w:t>
      </w:r>
      <w:r w:rsidR="006A594A">
        <w:rPr>
          <w:rFonts w:ascii="Times New Roman" w:hAnsi="Times New Roman" w:cs="Times New Roman"/>
        </w:rPr>
        <w:t xml:space="preserve"> </w:t>
      </w:r>
      <w:r w:rsidRPr="003B35C4">
        <w:rPr>
          <w:rFonts w:ascii="Times New Roman" w:hAnsi="Times New Roman" w:cs="Times New Roman"/>
        </w:rPr>
        <w:t>137.</w:t>
      </w:r>
    </w:p>
  </w:footnote>
  <w:footnote w:id="195">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Art 6.  </w:t>
      </w:r>
    </w:p>
  </w:footnote>
  <w:footnote w:id="196">
    <w:p w:rsidR="003B5ED2" w:rsidRPr="003B35C4" w:rsidRDefault="003B5ED2" w:rsidP="00E8110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Tom Obokata ‘Illicit Cycle of Narcotics from a Human Rights Perspective’ (2006) 25 </w:t>
      </w:r>
      <w:r w:rsidRPr="003B35C4">
        <w:rPr>
          <w:rFonts w:ascii="Times New Roman" w:hAnsi="Times New Roman" w:cs="Times New Roman"/>
          <w:i/>
        </w:rPr>
        <w:t>Netherlands Quarterly of Human Rights</w:t>
      </w:r>
      <w:r w:rsidRPr="003B35C4">
        <w:rPr>
          <w:rFonts w:ascii="Times New Roman" w:hAnsi="Times New Roman" w:cs="Times New Roman"/>
        </w:rPr>
        <w:t xml:space="preserve"> 159.  </w:t>
      </w:r>
    </w:p>
  </w:footnote>
  <w:footnote w:id="197">
    <w:p w:rsidR="003B5ED2" w:rsidRPr="003B35C4" w:rsidRDefault="003B5ED2" w:rsidP="0046684B">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Concluding Observations Thailand, </w:t>
      </w:r>
      <w:r w:rsidR="00EF0877">
        <w:rPr>
          <w:rFonts w:ascii="Times New Roman" w:hAnsi="Times New Roman" w:cs="Times New Roman"/>
        </w:rPr>
        <w:t>(</w:t>
      </w:r>
      <w:r w:rsidRPr="003B35C4">
        <w:rPr>
          <w:rFonts w:ascii="Times New Roman" w:hAnsi="Times New Roman" w:cs="Times New Roman"/>
        </w:rPr>
        <w:t>n 9</w:t>
      </w:r>
      <w:r>
        <w:rPr>
          <w:rFonts w:ascii="Times New Roman" w:hAnsi="Times New Roman" w:cs="Times New Roman"/>
        </w:rPr>
        <w:t>7</w:t>
      </w:r>
      <w:r w:rsidR="00EF0877">
        <w:rPr>
          <w:rFonts w:ascii="Times New Roman" w:hAnsi="Times New Roman" w:cs="Times New Roman"/>
        </w:rPr>
        <w:t>)</w:t>
      </w:r>
      <w:r w:rsidRPr="003B35C4">
        <w:rPr>
          <w:rFonts w:ascii="Times New Roman" w:hAnsi="Times New Roman" w:cs="Times New Roman"/>
        </w:rPr>
        <w:t xml:space="preserve">, para 41; and </w:t>
      </w:r>
      <w:r w:rsidRPr="003B35C4">
        <w:rPr>
          <w:rFonts w:ascii="Times New Roman" w:hAnsi="Times New Roman" w:cs="Times New Roman"/>
          <w:i/>
        </w:rPr>
        <w:t>Concluding Observations on the Combined Fourth and Fifth Periodic Report of Mexico</w:t>
      </w:r>
      <w:r w:rsidRPr="003B35C4">
        <w:rPr>
          <w:rFonts w:ascii="Times New Roman" w:hAnsi="Times New Roman" w:cs="Times New Roman"/>
        </w:rPr>
        <w:t>, CRC/C/MEX/4-5 (2015), paras 21</w:t>
      </w:r>
      <w:r w:rsidR="00EF0877">
        <w:rPr>
          <w:rFonts w:ascii="Times New Roman" w:hAnsi="Times New Roman" w:cs="Times New Roman"/>
        </w:rPr>
        <w:t xml:space="preserve"> and </w:t>
      </w:r>
      <w:r w:rsidRPr="003B35C4">
        <w:rPr>
          <w:rFonts w:ascii="Times New Roman" w:hAnsi="Times New Roman" w:cs="Times New Roman"/>
        </w:rPr>
        <w:t>22.</w:t>
      </w:r>
    </w:p>
  </w:footnote>
  <w:footnote w:id="198">
    <w:p w:rsidR="003B5ED2" w:rsidRPr="003B35C4" w:rsidRDefault="003B5ED2" w:rsidP="00E81105">
      <w:pPr>
        <w:pStyle w:val="Heading2"/>
        <w:spacing w:before="0" w:beforeAutospacing="0" w:after="0" w:afterAutospacing="0"/>
        <w:rPr>
          <w:b w:val="0"/>
          <w:sz w:val="20"/>
          <w:szCs w:val="20"/>
        </w:rPr>
      </w:pPr>
      <w:r w:rsidRPr="003B35C4">
        <w:rPr>
          <w:rStyle w:val="FootnoteReference"/>
          <w:b w:val="0"/>
          <w:sz w:val="20"/>
          <w:szCs w:val="20"/>
        </w:rPr>
        <w:footnoteRef/>
      </w:r>
      <w:r w:rsidRPr="003B35C4">
        <w:rPr>
          <w:b w:val="0"/>
          <w:sz w:val="20"/>
          <w:szCs w:val="20"/>
        </w:rPr>
        <w:t xml:space="preserve"> </w:t>
      </w:r>
      <w:r w:rsidR="00B9072C">
        <w:rPr>
          <w:b w:val="0"/>
          <w:sz w:val="20"/>
          <w:szCs w:val="20"/>
        </w:rPr>
        <w:t>(</w:t>
      </w:r>
      <w:r w:rsidRPr="003B35C4">
        <w:rPr>
          <w:b w:val="0"/>
          <w:sz w:val="20"/>
          <w:szCs w:val="20"/>
        </w:rPr>
        <w:t>n 1</w:t>
      </w:r>
      <w:r>
        <w:rPr>
          <w:b w:val="0"/>
          <w:sz w:val="20"/>
          <w:szCs w:val="20"/>
        </w:rPr>
        <w:t>91</w:t>
      </w:r>
      <w:r w:rsidR="00B9072C">
        <w:rPr>
          <w:b w:val="0"/>
          <w:sz w:val="20"/>
          <w:szCs w:val="20"/>
        </w:rPr>
        <w:t>)</w:t>
      </w:r>
      <w:r w:rsidRPr="003B35C4">
        <w:rPr>
          <w:b w:val="0"/>
          <w:sz w:val="20"/>
          <w:szCs w:val="20"/>
        </w:rPr>
        <w:t>; and Concluding Observations of Colombia</w:t>
      </w:r>
      <w:r w:rsidRPr="003B35C4">
        <w:rPr>
          <w:b w:val="0"/>
          <w:i/>
          <w:sz w:val="20"/>
          <w:szCs w:val="20"/>
        </w:rPr>
        <w:t xml:space="preserve">, </w:t>
      </w:r>
      <w:r w:rsidR="00B9072C">
        <w:rPr>
          <w:b w:val="0"/>
          <w:sz w:val="20"/>
          <w:szCs w:val="20"/>
        </w:rPr>
        <w:t>(</w:t>
      </w:r>
      <w:r w:rsidRPr="003B35C4">
        <w:rPr>
          <w:b w:val="0"/>
          <w:sz w:val="20"/>
          <w:szCs w:val="20"/>
        </w:rPr>
        <w:t>n 5</w:t>
      </w:r>
      <w:r>
        <w:rPr>
          <w:b w:val="0"/>
          <w:sz w:val="20"/>
          <w:szCs w:val="20"/>
        </w:rPr>
        <w:t>5</w:t>
      </w:r>
      <w:r w:rsidR="00B9072C">
        <w:rPr>
          <w:b w:val="0"/>
          <w:sz w:val="20"/>
          <w:szCs w:val="20"/>
        </w:rPr>
        <w:t>)</w:t>
      </w:r>
      <w:r w:rsidRPr="003B35C4">
        <w:rPr>
          <w:b w:val="0"/>
          <w:sz w:val="20"/>
          <w:szCs w:val="20"/>
        </w:rPr>
        <w:t>, para 54.</w:t>
      </w:r>
    </w:p>
  </w:footnote>
  <w:footnote w:id="199">
    <w:p w:rsidR="003B5ED2" w:rsidRPr="003B35C4" w:rsidRDefault="003B5ED2" w:rsidP="00E8110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General Comment No. 20, </w:t>
      </w:r>
      <w:r w:rsidR="001A1C67">
        <w:rPr>
          <w:rFonts w:ascii="Times New Roman" w:hAnsi="Times New Roman" w:cs="Times New Roman"/>
        </w:rPr>
        <w:t>(</w:t>
      </w:r>
      <w:r w:rsidRPr="003B35C4">
        <w:rPr>
          <w:rFonts w:ascii="Times New Roman" w:hAnsi="Times New Roman" w:cs="Times New Roman"/>
        </w:rPr>
        <w:t>n</w:t>
      </w:r>
      <w:r w:rsidR="001A1C67">
        <w:rPr>
          <w:rFonts w:ascii="Times New Roman" w:hAnsi="Times New Roman" w:cs="Times New Roman"/>
        </w:rPr>
        <w:t xml:space="preserve"> </w:t>
      </w:r>
      <w:r w:rsidRPr="003B35C4">
        <w:rPr>
          <w:rFonts w:ascii="Times New Roman" w:hAnsi="Times New Roman" w:cs="Times New Roman"/>
        </w:rPr>
        <w:t>2</w:t>
      </w:r>
      <w:r>
        <w:rPr>
          <w:rFonts w:ascii="Times New Roman" w:hAnsi="Times New Roman" w:cs="Times New Roman"/>
        </w:rPr>
        <w:t>3</w:t>
      </w:r>
      <w:r w:rsidR="001A1C67">
        <w:rPr>
          <w:rFonts w:ascii="Times New Roman" w:hAnsi="Times New Roman" w:cs="Times New Roman"/>
        </w:rPr>
        <w:t>)</w:t>
      </w:r>
      <w:r w:rsidRPr="003B35C4">
        <w:rPr>
          <w:rFonts w:ascii="Times New Roman" w:hAnsi="Times New Roman" w:cs="Times New Roman"/>
        </w:rPr>
        <w:t xml:space="preserve">, paras 68-72, 85; General Comment No. 21, </w:t>
      </w:r>
      <w:r w:rsidR="001A1C67">
        <w:rPr>
          <w:rFonts w:ascii="Times New Roman" w:hAnsi="Times New Roman" w:cs="Times New Roman"/>
        </w:rPr>
        <w:t>(</w:t>
      </w:r>
      <w:r w:rsidRPr="003B35C4">
        <w:rPr>
          <w:rFonts w:ascii="Times New Roman" w:hAnsi="Times New Roman" w:cs="Times New Roman"/>
        </w:rPr>
        <w:t>n 141</w:t>
      </w:r>
      <w:r w:rsidR="001A1C67">
        <w:rPr>
          <w:rFonts w:ascii="Times New Roman" w:hAnsi="Times New Roman" w:cs="Times New Roman"/>
        </w:rPr>
        <w:t>)</w:t>
      </w:r>
      <w:r w:rsidRPr="003B35C4">
        <w:rPr>
          <w:rFonts w:ascii="Times New Roman" w:hAnsi="Times New Roman" w:cs="Times New Roman"/>
        </w:rPr>
        <w:t xml:space="preserve">, paras 55 and 59; </w:t>
      </w:r>
      <w:r w:rsidRPr="00797084">
        <w:rPr>
          <w:rFonts w:ascii="Times New Roman" w:hAnsi="Times New Roman" w:cs="Times New Roman"/>
          <w:i/>
        </w:rPr>
        <w:t>General Comment No. 13 (Right to Education)</w:t>
      </w:r>
      <w:r w:rsidRPr="003B35C4">
        <w:rPr>
          <w:rFonts w:ascii="Times New Roman" w:hAnsi="Times New Roman" w:cs="Times New Roman"/>
        </w:rPr>
        <w:t>, E/C.12/1999/10</w:t>
      </w:r>
      <w:r w:rsidR="001A1C67">
        <w:rPr>
          <w:rFonts w:ascii="Times New Roman" w:hAnsi="Times New Roman" w:cs="Times New Roman"/>
        </w:rPr>
        <w:t xml:space="preserve"> (1999), </w:t>
      </w:r>
      <w:r w:rsidRPr="003B35C4">
        <w:rPr>
          <w:rFonts w:ascii="Times New Roman" w:hAnsi="Times New Roman" w:cs="Times New Roman"/>
        </w:rPr>
        <w:t xml:space="preserve"> para 1; </w:t>
      </w:r>
      <w:r w:rsidRPr="003B35C4">
        <w:rPr>
          <w:rFonts w:ascii="Times New Roman" w:hAnsi="Times New Roman" w:cs="Times New Roman"/>
          <w:i/>
        </w:rPr>
        <w:t>Concluding Observations on the Second Periodic Report of Zimbabwe</w:t>
      </w:r>
      <w:r w:rsidRPr="003B35C4">
        <w:rPr>
          <w:rFonts w:ascii="Times New Roman" w:hAnsi="Times New Roman" w:cs="Times New Roman"/>
        </w:rPr>
        <w:t xml:space="preserve">, CRC/C/ZWE/CO/2 (2016), para 75; and </w:t>
      </w:r>
      <w:r w:rsidRPr="003B35C4">
        <w:rPr>
          <w:rFonts w:ascii="Times New Roman" w:hAnsi="Times New Roman" w:cs="Times New Roman"/>
          <w:i/>
        </w:rPr>
        <w:t>Concluding Observations on the Combined Fifth to Eighth Periodic Reports of Barbados</w:t>
      </w:r>
      <w:r w:rsidRPr="003B35C4">
        <w:rPr>
          <w:rFonts w:ascii="Times New Roman" w:hAnsi="Times New Roman" w:cs="Times New Roman"/>
        </w:rPr>
        <w:t xml:space="preserve">, </w:t>
      </w:r>
      <w:r w:rsidRPr="003B35C4">
        <w:rPr>
          <w:rStyle w:val="Heading2Char"/>
          <w:rFonts w:eastAsiaTheme="minorEastAsia"/>
          <w:b w:val="0"/>
          <w:sz w:val="20"/>
          <w:szCs w:val="20"/>
        </w:rPr>
        <w:t>CEDAW/C/BRB/CO/5-8</w:t>
      </w:r>
      <w:r w:rsidRPr="003B35C4">
        <w:rPr>
          <w:rFonts w:ascii="Times New Roman" w:hAnsi="Times New Roman" w:cs="Times New Roman"/>
        </w:rPr>
        <w:t xml:space="preserve"> (2017), para 26.</w:t>
      </w:r>
    </w:p>
  </w:footnote>
  <w:footnote w:id="200">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General Comment No. 3, </w:t>
      </w:r>
      <w:r w:rsidR="001A1C67">
        <w:rPr>
          <w:rFonts w:ascii="Times New Roman" w:hAnsi="Times New Roman" w:cs="Times New Roman"/>
        </w:rPr>
        <w:t>(</w:t>
      </w:r>
      <w:r w:rsidRPr="003B35C4">
        <w:rPr>
          <w:rFonts w:ascii="Times New Roman" w:hAnsi="Times New Roman" w:cs="Times New Roman"/>
        </w:rPr>
        <w:t>n 59</w:t>
      </w:r>
      <w:r w:rsidR="001A1C67">
        <w:rPr>
          <w:rFonts w:ascii="Times New Roman" w:hAnsi="Times New Roman" w:cs="Times New Roman"/>
        </w:rPr>
        <w:t>)</w:t>
      </w:r>
      <w:r w:rsidRPr="003B35C4">
        <w:rPr>
          <w:rFonts w:ascii="Times New Roman" w:hAnsi="Times New Roman" w:cs="Times New Roman"/>
        </w:rPr>
        <w:t xml:space="preserve">, paras 13 and 14.  The same obligation has been recognised by the Committee on the Rights of the Child in, among others, its </w:t>
      </w:r>
      <w:r w:rsidRPr="00C40947">
        <w:rPr>
          <w:rFonts w:ascii="Times New Roman" w:hAnsi="Times New Roman" w:cs="Times New Roman"/>
          <w:i/>
        </w:rPr>
        <w:t>General Comment No. 19 (Public Budgeting for the Realisation of Children’s Rights)</w:t>
      </w:r>
      <w:r w:rsidRPr="003B35C4">
        <w:rPr>
          <w:rFonts w:ascii="Times New Roman" w:hAnsi="Times New Roman" w:cs="Times New Roman"/>
        </w:rPr>
        <w:t>, CRC/C/GC/19 (2016), para</w:t>
      </w:r>
      <w:r w:rsidR="001A1C67">
        <w:rPr>
          <w:rFonts w:ascii="Times New Roman" w:hAnsi="Times New Roman" w:cs="Times New Roman"/>
        </w:rPr>
        <w:t xml:space="preserve"> </w:t>
      </w:r>
      <w:r w:rsidRPr="003B35C4">
        <w:rPr>
          <w:rFonts w:ascii="Times New Roman" w:hAnsi="Times New Roman" w:cs="Times New Roman"/>
        </w:rPr>
        <w:t xml:space="preserve">35.   </w:t>
      </w:r>
    </w:p>
  </w:footnote>
  <w:footnote w:id="20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Committee on Economic, Social and Cultural Rights, </w:t>
      </w:r>
      <w:r w:rsidRPr="003B35C4">
        <w:rPr>
          <w:rFonts w:ascii="Times New Roman" w:hAnsi="Times New Roman" w:cs="Times New Roman"/>
          <w:i/>
        </w:rPr>
        <w:t>General Comment No. 18 (Right to Work)</w:t>
      </w:r>
      <w:r w:rsidRPr="003B35C4">
        <w:rPr>
          <w:rFonts w:ascii="Times New Roman" w:hAnsi="Times New Roman" w:cs="Times New Roman"/>
        </w:rPr>
        <w:t>, E/C.12/GC/18 (2006), paras</w:t>
      </w:r>
      <w:r w:rsidR="001A1C67">
        <w:rPr>
          <w:rFonts w:ascii="Times New Roman" w:hAnsi="Times New Roman" w:cs="Times New Roman"/>
        </w:rPr>
        <w:t xml:space="preserve"> </w:t>
      </w:r>
      <w:r w:rsidRPr="003B35C4">
        <w:rPr>
          <w:rFonts w:ascii="Times New Roman" w:hAnsi="Times New Roman" w:cs="Times New Roman"/>
        </w:rPr>
        <w:t>29 and 30.</w:t>
      </w:r>
    </w:p>
  </w:footnote>
  <w:footnote w:id="202">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Committee on Economic, Social and Cultural Rights, </w:t>
      </w:r>
      <w:r w:rsidRPr="003B35C4">
        <w:rPr>
          <w:rFonts w:ascii="Times New Roman" w:hAnsi="Times New Roman" w:cs="Times New Roman"/>
          <w:i/>
        </w:rPr>
        <w:t>General Comment No. 11 (Plan of Action for Primary Education)</w:t>
      </w:r>
      <w:r w:rsidRPr="003B35C4">
        <w:rPr>
          <w:rFonts w:ascii="Times New Roman" w:hAnsi="Times New Roman" w:cs="Times New Roman"/>
        </w:rPr>
        <w:t>, E/C.12/1999/4 (1999), para</w:t>
      </w:r>
      <w:r w:rsidR="001A1C67">
        <w:rPr>
          <w:rFonts w:ascii="Times New Roman" w:hAnsi="Times New Roman" w:cs="Times New Roman"/>
        </w:rPr>
        <w:t xml:space="preserve"> </w:t>
      </w:r>
      <w:r w:rsidRPr="003B35C4">
        <w:rPr>
          <w:rFonts w:ascii="Times New Roman" w:hAnsi="Times New Roman" w:cs="Times New Roman"/>
        </w:rPr>
        <w:t xml:space="preserve"> 9; and Committee on the Rights of the Child, </w:t>
      </w:r>
      <w:r w:rsidRPr="003B35C4">
        <w:rPr>
          <w:rFonts w:ascii="Times New Roman" w:hAnsi="Times New Roman" w:cs="Times New Roman"/>
          <w:i/>
        </w:rPr>
        <w:t>General Comment No. 1 (The Aims of Education)</w:t>
      </w:r>
      <w:r w:rsidRPr="003B35C4">
        <w:rPr>
          <w:rFonts w:ascii="Times New Roman" w:hAnsi="Times New Roman" w:cs="Times New Roman"/>
        </w:rPr>
        <w:t xml:space="preserve">, CRC/GC/2001/1 (2001), para 28.    </w:t>
      </w:r>
    </w:p>
  </w:footnote>
  <w:footnote w:id="203">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Art 11 ICESCR.  </w:t>
      </w:r>
    </w:p>
  </w:footnote>
  <w:footnote w:id="204">
    <w:p w:rsidR="003B5ED2" w:rsidRPr="003B35C4" w:rsidRDefault="003B5ED2" w:rsidP="00964E8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Special Rapporteur on the Right of Everyone to the Enjoyment of the Highest Attainable Standard of Physical and Mental Health</w:t>
      </w:r>
      <w:r w:rsidRPr="003B35C4">
        <w:rPr>
          <w:rFonts w:ascii="Times New Roman" w:hAnsi="Times New Roman" w:cs="Times New Roman"/>
        </w:rPr>
        <w:t>, A/65/255 (2010), paras 25 and 26.</w:t>
      </w:r>
    </w:p>
  </w:footnote>
  <w:footnote w:id="205">
    <w:p w:rsidR="003B5ED2" w:rsidRPr="003B35C4" w:rsidRDefault="003B5ED2" w:rsidP="00964E8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956C42">
        <w:rPr>
          <w:rFonts w:ascii="Times New Roman" w:hAnsi="Times New Roman" w:cs="Times New Roman"/>
          <w:i/>
        </w:rPr>
        <w:t>Ibid</w:t>
      </w:r>
      <w:r w:rsidRPr="003B35C4">
        <w:rPr>
          <w:rFonts w:ascii="Times New Roman" w:hAnsi="Times New Roman" w:cs="Times New Roman"/>
        </w:rPr>
        <w:t xml:space="preserve">, para 62.  </w:t>
      </w:r>
    </w:p>
  </w:footnote>
  <w:footnote w:id="206">
    <w:p w:rsidR="003B5ED2" w:rsidRPr="003B35C4" w:rsidRDefault="003B5ED2" w:rsidP="00964E8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956C42">
        <w:rPr>
          <w:rFonts w:ascii="Times New Roman" w:hAnsi="Times New Roman" w:cs="Times New Roman"/>
          <w:i/>
        </w:rPr>
        <w:t>Ibid</w:t>
      </w:r>
      <w:r w:rsidR="00956C42">
        <w:rPr>
          <w:rFonts w:ascii="Times New Roman" w:hAnsi="Times New Roman" w:cs="Times New Roman"/>
        </w:rPr>
        <w:t>,</w:t>
      </w:r>
      <w:r w:rsidRPr="003B35C4">
        <w:rPr>
          <w:rFonts w:ascii="Times New Roman" w:hAnsi="Times New Roman" w:cs="Times New Roman"/>
        </w:rPr>
        <w:t xml:space="preserve"> para 66.</w:t>
      </w:r>
    </w:p>
  </w:footnote>
  <w:footnote w:id="207">
    <w:p w:rsidR="003B5ED2" w:rsidRPr="003B35C4" w:rsidRDefault="003B5ED2" w:rsidP="00964E8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WHO, </w:t>
      </w:r>
      <w:r w:rsidRPr="003B35C4">
        <w:rPr>
          <w:rFonts w:ascii="Times New Roman" w:hAnsi="Times New Roman" w:cs="Times New Roman"/>
          <w:i/>
          <w:iCs/>
        </w:rPr>
        <w:t>Consolidated Guidelines on HIV Prevention, Diagnosis, Treatment and Care for Key Populations</w:t>
      </w:r>
      <w:r w:rsidRPr="003B35C4">
        <w:rPr>
          <w:rFonts w:ascii="Times New Roman" w:hAnsi="Times New Roman" w:cs="Times New Roman"/>
        </w:rPr>
        <w:t xml:space="preserve"> (July 2014), 91. </w:t>
      </w:r>
    </w:p>
  </w:footnote>
  <w:footnote w:id="208">
    <w:p w:rsidR="003B5ED2" w:rsidRPr="003B35C4" w:rsidRDefault="003B5ED2" w:rsidP="00964E8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UNAIDS, </w:t>
      </w:r>
      <w:r w:rsidRPr="003B35C4">
        <w:rPr>
          <w:rFonts w:ascii="Times New Roman" w:hAnsi="Times New Roman" w:cs="Times New Roman"/>
          <w:i/>
          <w:iCs/>
        </w:rPr>
        <w:t>The Gap Report</w:t>
      </w:r>
      <w:r w:rsidRPr="003B35C4">
        <w:rPr>
          <w:rFonts w:ascii="Times New Roman" w:hAnsi="Times New Roman" w:cs="Times New Roman"/>
        </w:rPr>
        <w:t>, (Geneva, 2014), 183.</w:t>
      </w:r>
    </w:p>
  </w:footnote>
  <w:footnote w:id="209">
    <w:p w:rsidR="003B5ED2" w:rsidRPr="003B35C4" w:rsidRDefault="003B5ED2" w:rsidP="00964E85">
      <w:pPr>
        <w:pStyle w:val="NormalWeb"/>
        <w:spacing w:before="0" w:beforeAutospacing="0" w:after="0" w:afterAutospacing="0"/>
        <w:rPr>
          <w:color w:val="auto"/>
          <w:sz w:val="20"/>
          <w:szCs w:val="20"/>
        </w:rPr>
      </w:pPr>
      <w:r w:rsidRPr="003B35C4">
        <w:rPr>
          <w:rStyle w:val="FootnoteReference"/>
          <w:sz w:val="20"/>
          <w:szCs w:val="20"/>
        </w:rPr>
        <w:footnoteRef/>
      </w:r>
      <w:r w:rsidRPr="003B35C4">
        <w:rPr>
          <w:sz w:val="20"/>
          <w:szCs w:val="20"/>
        </w:rPr>
        <w:t xml:space="preserve"> </w:t>
      </w:r>
      <w:r w:rsidRPr="003B35C4">
        <w:rPr>
          <w:i/>
          <w:color w:val="auto"/>
          <w:sz w:val="20"/>
          <w:szCs w:val="20"/>
        </w:rPr>
        <w:t xml:space="preserve">Joint Open Letter by the UN Working Group on Arbitrary Detention; the Special Rapporteurs on extrajudicial, summary or arbitrary executions; torture and other cruel, inhuman or </w:t>
      </w:r>
      <w:r w:rsidRPr="003B35C4">
        <w:rPr>
          <w:i/>
          <w:sz w:val="20"/>
          <w:szCs w:val="20"/>
        </w:rPr>
        <w:t>degrading treatment or punishment; the right of everyone to the highest attainable standard of mental and physical health; and the Committee on the Rights of the Child, on the occasion of the United Nation General Assembly Special Session on Drugs (</w:t>
      </w:r>
      <w:r w:rsidRPr="003B35C4">
        <w:rPr>
          <w:sz w:val="20"/>
          <w:szCs w:val="20"/>
        </w:rPr>
        <w:t xml:space="preserve">15 April 2016).  </w:t>
      </w:r>
    </w:p>
  </w:footnote>
  <w:footnote w:id="210">
    <w:p w:rsidR="003B5ED2" w:rsidRPr="003B35C4" w:rsidRDefault="003B5ED2" w:rsidP="00964E8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of the Initial Report of Afghanistan</w:t>
      </w:r>
      <w:r w:rsidRPr="003B35C4">
        <w:rPr>
          <w:rFonts w:ascii="Times New Roman" w:hAnsi="Times New Roman" w:cs="Times New Roman"/>
        </w:rPr>
        <w:t xml:space="preserve">, CRC/C/AFG/1 (2013), para 52; </w:t>
      </w:r>
      <w:r w:rsidRPr="003B35C4">
        <w:rPr>
          <w:rFonts w:ascii="Times New Roman" w:hAnsi="Times New Roman" w:cs="Times New Roman"/>
          <w:i/>
        </w:rPr>
        <w:t>Concluding Observations on the Sixth Periodic Report of the Russian Federation</w:t>
      </w:r>
      <w:r w:rsidRPr="003B35C4">
        <w:rPr>
          <w:rFonts w:ascii="Times New Roman" w:hAnsi="Times New Roman" w:cs="Times New Roman"/>
        </w:rPr>
        <w:t xml:space="preserve">, E/C.12/RUS/6 (2017), para 5; and </w:t>
      </w:r>
      <w:r w:rsidRPr="003B35C4">
        <w:rPr>
          <w:rFonts w:ascii="Times New Roman" w:hAnsi="Times New Roman" w:cs="Times New Roman"/>
          <w:i/>
        </w:rPr>
        <w:t>Concluding Observations on the Fourth Periodic Report of Georgia</w:t>
      </w:r>
      <w:r w:rsidRPr="003B35C4">
        <w:rPr>
          <w:rFonts w:ascii="Times New Roman" w:hAnsi="Times New Roman" w:cs="Times New Roman"/>
        </w:rPr>
        <w:t xml:space="preserve">, CCPR/C/GEO/4 (2014), para 15.  </w:t>
      </w:r>
    </w:p>
  </w:footnote>
  <w:footnote w:id="211">
    <w:p w:rsidR="003B5ED2" w:rsidRPr="003B35C4" w:rsidRDefault="003B5ED2" w:rsidP="00964E8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Second Report of Cambodia</w:t>
      </w:r>
      <w:r w:rsidRPr="003B35C4">
        <w:rPr>
          <w:rFonts w:ascii="Times New Roman" w:hAnsi="Times New Roman" w:cs="Times New Roman"/>
        </w:rPr>
        <w:t xml:space="preserve">, CCPR/C/KHM/2 (2015), para 16; </w:t>
      </w:r>
    </w:p>
  </w:footnote>
  <w:footnote w:id="212">
    <w:p w:rsidR="003B5ED2" w:rsidRPr="003B35C4" w:rsidRDefault="003B5ED2" w:rsidP="00964E8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Combined Fifth and Sixth Periodic Reports of the Philippines,</w:t>
      </w:r>
      <w:r w:rsidRPr="003B35C4">
        <w:rPr>
          <w:rFonts w:ascii="Times New Roman" w:hAnsi="Times New Roman" w:cs="Times New Roman"/>
        </w:rPr>
        <w:t xml:space="preserve"> E/C.12/PHL/5-6 (2016), para 54.  </w:t>
      </w:r>
    </w:p>
  </w:footnote>
  <w:footnote w:id="213">
    <w:p w:rsidR="003B5ED2" w:rsidRPr="003B35C4" w:rsidRDefault="003B5ED2" w:rsidP="00964E8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Concluding Observations on the Combined Fourth to Sixth Reports of Belarus</w:t>
      </w:r>
      <w:r w:rsidRPr="003B35C4">
        <w:rPr>
          <w:rFonts w:ascii="Times New Roman" w:hAnsi="Times New Roman" w:cs="Times New Roman"/>
        </w:rPr>
        <w:t xml:space="preserve">, E/C.12/BLR/4-6 (2013), para 15. </w:t>
      </w:r>
    </w:p>
  </w:footnote>
  <w:footnote w:id="214">
    <w:p w:rsidR="003B5ED2" w:rsidRPr="003B35C4" w:rsidRDefault="003B5ED2" w:rsidP="00964E8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Special Rapporteur on the Right to Health (2010), </w:t>
      </w:r>
      <w:r w:rsidR="00956C42">
        <w:rPr>
          <w:rFonts w:ascii="Times New Roman" w:hAnsi="Times New Roman" w:cs="Times New Roman"/>
        </w:rPr>
        <w:t>(</w:t>
      </w:r>
      <w:r w:rsidRPr="003B35C4">
        <w:rPr>
          <w:rFonts w:ascii="Times New Roman" w:hAnsi="Times New Roman" w:cs="Times New Roman"/>
        </w:rPr>
        <w:t xml:space="preserve">n </w:t>
      </w:r>
      <w:r>
        <w:rPr>
          <w:rFonts w:ascii="Times New Roman" w:hAnsi="Times New Roman" w:cs="Times New Roman"/>
        </w:rPr>
        <w:t>204</w:t>
      </w:r>
      <w:r w:rsidR="00956C42">
        <w:rPr>
          <w:rFonts w:ascii="Times New Roman" w:hAnsi="Times New Roman" w:cs="Times New Roman"/>
        </w:rPr>
        <w:t>)</w:t>
      </w:r>
      <w:r w:rsidRPr="003B35C4">
        <w:rPr>
          <w:rFonts w:ascii="Times New Roman" w:hAnsi="Times New Roman" w:cs="Times New Roman"/>
        </w:rPr>
        <w:t xml:space="preserve">, paras 64-66.  </w:t>
      </w:r>
    </w:p>
  </w:footnote>
  <w:footnote w:id="215">
    <w:p w:rsidR="003B5ED2" w:rsidRPr="003B35C4" w:rsidRDefault="003B5ED2" w:rsidP="00964E8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The UK Parliamentary Home Affairs Committee, </w:t>
      </w:r>
      <w:r w:rsidRPr="003B35C4">
        <w:rPr>
          <w:rFonts w:ascii="Times New Roman" w:hAnsi="Times New Roman" w:cs="Times New Roman"/>
          <w:i/>
        </w:rPr>
        <w:t>Drugs: Breaking the Cycle, Ninth Report of the 2012-2013 Session</w:t>
      </w:r>
      <w:r w:rsidRPr="003B35C4">
        <w:rPr>
          <w:rFonts w:ascii="Times New Roman" w:hAnsi="Times New Roman" w:cs="Times New Roman"/>
        </w:rPr>
        <w:t xml:space="preserve"> (December 2012), 92.</w:t>
      </w:r>
    </w:p>
  </w:footnote>
  <w:footnote w:id="216">
    <w:p w:rsidR="003B5ED2" w:rsidRPr="003B35C4" w:rsidRDefault="003B5ED2" w:rsidP="00964E8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Ibid</w:t>
      </w:r>
      <w:r w:rsidRPr="003B35C4">
        <w:rPr>
          <w:rFonts w:ascii="Times New Roman" w:hAnsi="Times New Roman" w:cs="Times New Roman"/>
        </w:rPr>
        <w:t xml:space="preserve">, 96; and Caitlin E. Hughes and Alex Stevens, ‘What Can We Learn from the Portuguese Decriminalisation of Illicit Drugs?’ (2010) 50 </w:t>
      </w:r>
      <w:r w:rsidRPr="003B35C4">
        <w:rPr>
          <w:rFonts w:ascii="Times New Roman" w:hAnsi="Times New Roman" w:cs="Times New Roman"/>
          <w:i/>
        </w:rPr>
        <w:t>British Journal of Criminology</w:t>
      </w:r>
      <w:r w:rsidRPr="003B35C4">
        <w:rPr>
          <w:rFonts w:ascii="Times New Roman" w:hAnsi="Times New Roman" w:cs="Times New Roman"/>
        </w:rPr>
        <w:t xml:space="preserve"> 999.    </w:t>
      </w:r>
    </w:p>
  </w:footnote>
  <w:footnote w:id="217">
    <w:p w:rsidR="003B5ED2" w:rsidRPr="003B35C4" w:rsidRDefault="003B5ED2" w:rsidP="00964E8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Special Rapporteur on the Right to Health (2010), </w:t>
      </w:r>
      <w:r w:rsidR="00956C42">
        <w:rPr>
          <w:rFonts w:ascii="Times New Roman" w:hAnsi="Times New Roman" w:cs="Times New Roman"/>
        </w:rPr>
        <w:t>(</w:t>
      </w:r>
      <w:r w:rsidRPr="003B35C4">
        <w:rPr>
          <w:rFonts w:ascii="Times New Roman" w:hAnsi="Times New Roman" w:cs="Times New Roman"/>
        </w:rPr>
        <w:t>n</w:t>
      </w:r>
      <w:r w:rsidR="00956C42">
        <w:rPr>
          <w:rFonts w:ascii="Times New Roman" w:hAnsi="Times New Roman" w:cs="Times New Roman"/>
        </w:rPr>
        <w:t xml:space="preserve"> </w:t>
      </w:r>
      <w:r>
        <w:rPr>
          <w:rFonts w:ascii="Times New Roman" w:hAnsi="Times New Roman" w:cs="Times New Roman"/>
        </w:rPr>
        <w:t>204</w:t>
      </w:r>
      <w:r w:rsidR="00956C42">
        <w:rPr>
          <w:rFonts w:ascii="Times New Roman" w:hAnsi="Times New Roman" w:cs="Times New Roman"/>
        </w:rPr>
        <w:t>)</w:t>
      </w:r>
      <w:r w:rsidRPr="003B35C4">
        <w:rPr>
          <w:rFonts w:ascii="Times New Roman" w:hAnsi="Times New Roman" w:cs="Times New Roman"/>
        </w:rPr>
        <w:t xml:space="preserve">, para 66.  </w:t>
      </w:r>
    </w:p>
  </w:footnote>
  <w:footnote w:id="218">
    <w:p w:rsidR="003B5ED2" w:rsidRPr="003B35C4" w:rsidRDefault="003B5ED2" w:rsidP="00964E8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Lauren Gallagher, ‘Should the United States Move Towards Portugal’s Decriminalisation of Drugs?’ (2014) 22 </w:t>
      </w:r>
      <w:r w:rsidRPr="003B35C4">
        <w:rPr>
          <w:rFonts w:ascii="Times New Roman" w:hAnsi="Times New Roman" w:cs="Times New Roman"/>
          <w:i/>
        </w:rPr>
        <w:t>University of Miami International &amp; Comparative Law Review</w:t>
      </w:r>
      <w:r w:rsidRPr="003B35C4">
        <w:rPr>
          <w:rFonts w:ascii="Times New Roman" w:hAnsi="Times New Roman" w:cs="Times New Roman"/>
        </w:rPr>
        <w:t xml:space="preserve"> 207, 228.  </w:t>
      </w:r>
    </w:p>
  </w:footnote>
  <w:footnote w:id="219">
    <w:p w:rsidR="003B5ED2" w:rsidRPr="003B35C4" w:rsidRDefault="003B5ED2" w:rsidP="00964E85">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956C42">
        <w:rPr>
          <w:rFonts w:ascii="Times New Roman" w:hAnsi="Times New Roman" w:cs="Times New Roman"/>
          <w:i/>
        </w:rPr>
        <w:t>Ibid</w:t>
      </w:r>
      <w:r w:rsidRPr="003B35C4">
        <w:rPr>
          <w:rFonts w:ascii="Times New Roman" w:hAnsi="Times New Roman" w:cs="Times New Roman"/>
        </w:rPr>
        <w:t xml:space="preserve">.  </w:t>
      </w:r>
    </w:p>
  </w:footnote>
  <w:footnote w:id="220">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General Comment No. 14, </w:t>
      </w:r>
      <w:r w:rsidR="00956C42">
        <w:rPr>
          <w:rFonts w:ascii="Times New Roman" w:hAnsi="Times New Roman" w:cs="Times New Roman"/>
        </w:rPr>
        <w:t>(</w:t>
      </w:r>
      <w:r w:rsidRPr="003B35C4">
        <w:rPr>
          <w:rFonts w:ascii="Times New Roman" w:hAnsi="Times New Roman" w:cs="Times New Roman"/>
        </w:rPr>
        <w:t>n 2</w:t>
      </w:r>
      <w:r>
        <w:rPr>
          <w:rFonts w:ascii="Times New Roman" w:hAnsi="Times New Roman" w:cs="Times New Roman"/>
        </w:rPr>
        <w:t>3</w:t>
      </w:r>
      <w:r w:rsidR="00956C42">
        <w:rPr>
          <w:rFonts w:ascii="Times New Roman" w:hAnsi="Times New Roman" w:cs="Times New Roman"/>
        </w:rPr>
        <w:t>)</w:t>
      </w:r>
      <w:r w:rsidRPr="003B35C4">
        <w:rPr>
          <w:rFonts w:ascii="Times New Roman" w:hAnsi="Times New Roman" w:cs="Times New Roman"/>
        </w:rPr>
        <w:t xml:space="preserve">, para 36. </w:t>
      </w:r>
    </w:p>
  </w:footnote>
  <w:footnote w:id="22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General Comment No. 20,</w:t>
      </w:r>
      <w:r w:rsidR="00956C42">
        <w:rPr>
          <w:rFonts w:ascii="Times New Roman" w:hAnsi="Times New Roman" w:cs="Times New Roman"/>
        </w:rPr>
        <w:t xml:space="preserve"> (n 23)</w:t>
      </w:r>
      <w:r w:rsidRPr="003B35C4">
        <w:rPr>
          <w:rFonts w:ascii="Times New Roman" w:hAnsi="Times New Roman" w:cs="Times New Roman"/>
        </w:rPr>
        <w:t>, para</w:t>
      </w:r>
      <w:r w:rsidR="00956C42">
        <w:rPr>
          <w:rFonts w:ascii="Times New Roman" w:hAnsi="Times New Roman" w:cs="Times New Roman"/>
        </w:rPr>
        <w:t xml:space="preserve"> </w:t>
      </w:r>
      <w:r w:rsidRPr="003B35C4">
        <w:rPr>
          <w:rFonts w:ascii="Times New Roman" w:hAnsi="Times New Roman" w:cs="Times New Roman"/>
        </w:rPr>
        <w:t xml:space="preserve">64.  </w:t>
      </w:r>
    </w:p>
  </w:footnote>
  <w:footnote w:id="222">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Braden </w:t>
      </w:r>
      <w:proofErr w:type="spellStart"/>
      <w:r w:rsidRPr="003B35C4">
        <w:rPr>
          <w:rFonts w:ascii="Times New Roman" w:hAnsi="Times New Roman" w:cs="Times New Roman"/>
        </w:rPr>
        <w:t>Storer</w:t>
      </w:r>
      <w:proofErr w:type="spellEnd"/>
      <w:r w:rsidRPr="003B35C4">
        <w:rPr>
          <w:rFonts w:ascii="Times New Roman" w:hAnsi="Times New Roman" w:cs="Times New Roman"/>
        </w:rPr>
        <w:t xml:space="preserve">, ‘Slavery in the Name of Tolerance: Whether an International Legal Obligation Exists to Criminalize Prostitution’ (2016) 96 </w:t>
      </w:r>
      <w:r w:rsidRPr="003B35C4">
        <w:rPr>
          <w:rFonts w:ascii="Times New Roman" w:hAnsi="Times New Roman" w:cs="Times New Roman"/>
          <w:i/>
        </w:rPr>
        <w:t>Nebraska Law Review</w:t>
      </w:r>
      <w:r w:rsidRPr="003B35C4">
        <w:rPr>
          <w:rFonts w:ascii="Times New Roman" w:hAnsi="Times New Roman" w:cs="Times New Roman"/>
        </w:rPr>
        <w:t xml:space="preserve"> 574, 576.    </w:t>
      </w:r>
    </w:p>
  </w:footnote>
  <w:footnote w:id="223">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Rachel </w:t>
      </w:r>
      <w:proofErr w:type="spellStart"/>
      <w:r w:rsidRPr="003B35C4">
        <w:rPr>
          <w:rFonts w:ascii="Times New Roman" w:hAnsi="Times New Roman" w:cs="Times New Roman"/>
        </w:rPr>
        <w:t>Busik</w:t>
      </w:r>
      <w:proofErr w:type="spellEnd"/>
      <w:r w:rsidRPr="003B35C4">
        <w:rPr>
          <w:rFonts w:ascii="Times New Roman" w:hAnsi="Times New Roman" w:cs="Times New Roman"/>
        </w:rPr>
        <w:t xml:space="preserve">, ‘Blurred Lines or Bright Line – Addressing the Demand for Sex Trafficking under California Law’ (2015) 42 </w:t>
      </w:r>
      <w:r w:rsidRPr="003B35C4">
        <w:rPr>
          <w:rFonts w:ascii="Times New Roman" w:hAnsi="Times New Roman" w:cs="Times New Roman"/>
          <w:i/>
        </w:rPr>
        <w:t>Pepperdine Law Review</w:t>
      </w:r>
      <w:r w:rsidRPr="003B35C4">
        <w:rPr>
          <w:rFonts w:ascii="Times New Roman" w:hAnsi="Times New Roman" w:cs="Times New Roman"/>
        </w:rPr>
        <w:t xml:space="preserve"> 333, 369; Samantha Vardaman and Christine </w:t>
      </w:r>
      <w:proofErr w:type="spellStart"/>
      <w:r w:rsidRPr="003B35C4">
        <w:rPr>
          <w:rFonts w:ascii="Times New Roman" w:hAnsi="Times New Roman" w:cs="Times New Roman"/>
        </w:rPr>
        <w:t>Raino</w:t>
      </w:r>
      <w:proofErr w:type="spellEnd"/>
      <w:r w:rsidRPr="003B35C4">
        <w:rPr>
          <w:rFonts w:ascii="Times New Roman" w:hAnsi="Times New Roman" w:cs="Times New Roman"/>
        </w:rPr>
        <w:t xml:space="preserve">, ‘Prosecuting Demand as a Crime of Human Trafficking: The Eighth Circuit Decision in United States v. Jungers’ (2013) 43 </w:t>
      </w:r>
      <w:r w:rsidRPr="003B35C4">
        <w:rPr>
          <w:rFonts w:ascii="Times New Roman" w:hAnsi="Times New Roman" w:cs="Times New Roman"/>
          <w:i/>
        </w:rPr>
        <w:t>Memphis Law Review</w:t>
      </w:r>
      <w:r w:rsidRPr="003B35C4">
        <w:rPr>
          <w:rFonts w:ascii="Times New Roman" w:hAnsi="Times New Roman" w:cs="Times New Roman"/>
        </w:rPr>
        <w:t xml:space="preserve"> 917, 955; Max Waltman, ‘Prohibiting Sex Purchasing and Ending Trafficking: The Swedish Prostitution Law’ (2011) 33 </w:t>
      </w:r>
      <w:r w:rsidRPr="003B35C4">
        <w:rPr>
          <w:rFonts w:ascii="Times New Roman" w:hAnsi="Times New Roman" w:cs="Times New Roman"/>
          <w:i/>
        </w:rPr>
        <w:t>Michigan Journal of International Law</w:t>
      </w:r>
      <w:r w:rsidRPr="003B35C4">
        <w:rPr>
          <w:rFonts w:ascii="Times New Roman" w:hAnsi="Times New Roman" w:cs="Times New Roman"/>
        </w:rPr>
        <w:t xml:space="preserve"> 133, 149; and Kristina Day, ‘Addressing Sex Trafficking Crisis: How Prostitution Law Can Help’ (2012) 2 </w:t>
      </w:r>
      <w:r w:rsidRPr="003B35C4">
        <w:rPr>
          <w:rFonts w:ascii="Times New Roman" w:hAnsi="Times New Roman" w:cs="Times New Roman"/>
          <w:i/>
        </w:rPr>
        <w:t>Creighton International and Comparative Law Journal</w:t>
      </w:r>
      <w:r w:rsidRPr="003B35C4">
        <w:rPr>
          <w:rFonts w:ascii="Times New Roman" w:hAnsi="Times New Roman" w:cs="Times New Roman"/>
        </w:rPr>
        <w:t xml:space="preserve"> 149, 170.    </w:t>
      </w:r>
    </w:p>
  </w:footnote>
  <w:footnote w:id="224">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rPr>
        <w:t>Busik</w:t>
      </w:r>
      <w:proofErr w:type="spellEnd"/>
      <w:r w:rsidRPr="003B35C4">
        <w:rPr>
          <w:rFonts w:ascii="Times New Roman" w:hAnsi="Times New Roman" w:cs="Times New Roman"/>
        </w:rPr>
        <w:t xml:space="preserve">, </w:t>
      </w:r>
      <w:r w:rsidRPr="00956C42">
        <w:rPr>
          <w:rFonts w:ascii="Times New Roman" w:hAnsi="Times New Roman" w:cs="Times New Roman"/>
          <w:i/>
        </w:rPr>
        <w:t>ibid</w:t>
      </w:r>
      <w:r w:rsidRPr="003B35C4">
        <w:rPr>
          <w:rFonts w:ascii="Times New Roman" w:hAnsi="Times New Roman" w:cs="Times New Roman"/>
        </w:rPr>
        <w:t xml:space="preserve">; and Simon </w:t>
      </w:r>
      <w:proofErr w:type="spellStart"/>
      <w:r w:rsidRPr="003B35C4">
        <w:rPr>
          <w:rFonts w:ascii="Times New Roman" w:hAnsi="Times New Roman" w:cs="Times New Roman"/>
        </w:rPr>
        <w:t>Hedlin</w:t>
      </w:r>
      <w:proofErr w:type="spellEnd"/>
      <w:r w:rsidRPr="003B35C4">
        <w:rPr>
          <w:rFonts w:ascii="Times New Roman" w:hAnsi="Times New Roman" w:cs="Times New Roman"/>
        </w:rPr>
        <w:t xml:space="preserve">, ‘Can Prostitution Law Reform Curb Sex Trafficking: Theory and Evidence on Scale, Substitution and Replacement Effects’ (2017) 50 </w:t>
      </w:r>
      <w:r w:rsidRPr="003B35C4">
        <w:rPr>
          <w:rFonts w:ascii="Times New Roman" w:hAnsi="Times New Roman" w:cs="Times New Roman"/>
          <w:i/>
        </w:rPr>
        <w:t>University of Michigan Journal of Law Reform</w:t>
      </w:r>
      <w:r w:rsidRPr="003B35C4">
        <w:rPr>
          <w:rFonts w:ascii="Times New Roman" w:hAnsi="Times New Roman" w:cs="Times New Roman"/>
        </w:rPr>
        <w:t xml:space="preserve"> 329, 335.  </w:t>
      </w:r>
    </w:p>
  </w:footnote>
  <w:footnote w:id="225">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Stephanie Berger, ‘No End in Sight: Why the End Demand Movement is Wrong Focus for Efforts to Eliminate Human Trafficking’ (2012) 35 </w:t>
      </w:r>
      <w:r w:rsidRPr="003B35C4">
        <w:rPr>
          <w:rFonts w:ascii="Times New Roman" w:hAnsi="Times New Roman" w:cs="Times New Roman"/>
          <w:i/>
        </w:rPr>
        <w:t xml:space="preserve">Harvard Journal of Law &amp; Gender </w:t>
      </w:r>
      <w:r w:rsidRPr="003B35C4">
        <w:rPr>
          <w:rFonts w:ascii="Times New Roman" w:hAnsi="Times New Roman" w:cs="Times New Roman"/>
        </w:rPr>
        <w:t>523, 545</w:t>
      </w:r>
      <w:r w:rsidR="00956C42">
        <w:rPr>
          <w:rFonts w:ascii="Times New Roman" w:hAnsi="Times New Roman" w:cs="Times New Roman"/>
        </w:rPr>
        <w:t xml:space="preserve">, </w:t>
      </w:r>
      <w:r w:rsidRPr="003B35C4">
        <w:rPr>
          <w:rFonts w:ascii="Times New Roman" w:hAnsi="Times New Roman" w:cs="Times New Roman"/>
        </w:rPr>
        <w:t xml:space="preserve">546 and 550; and Marshall (2016), </w:t>
      </w:r>
      <w:r w:rsidR="00531AD8">
        <w:rPr>
          <w:rFonts w:ascii="Times New Roman" w:hAnsi="Times New Roman" w:cs="Times New Roman"/>
        </w:rPr>
        <w:t>(</w:t>
      </w:r>
      <w:r w:rsidRPr="003B35C4">
        <w:rPr>
          <w:rFonts w:ascii="Times New Roman" w:hAnsi="Times New Roman" w:cs="Times New Roman"/>
        </w:rPr>
        <w:t>n 18</w:t>
      </w:r>
      <w:r>
        <w:rPr>
          <w:rFonts w:ascii="Times New Roman" w:hAnsi="Times New Roman" w:cs="Times New Roman"/>
        </w:rPr>
        <w:t>6</w:t>
      </w:r>
      <w:r w:rsidR="00531AD8">
        <w:rPr>
          <w:rFonts w:ascii="Times New Roman" w:hAnsi="Times New Roman" w:cs="Times New Roman"/>
        </w:rPr>
        <w:t>)</w:t>
      </w:r>
      <w:r w:rsidRPr="003B35C4">
        <w:rPr>
          <w:rFonts w:ascii="Times New Roman" w:hAnsi="Times New Roman" w:cs="Times New Roman"/>
        </w:rPr>
        <w:t xml:space="preserve">, 61.  </w:t>
      </w:r>
    </w:p>
  </w:footnote>
  <w:footnote w:id="226">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00531AD8">
        <w:rPr>
          <w:rFonts w:ascii="Times New Roman" w:hAnsi="Times New Roman" w:cs="Times New Roman"/>
        </w:rPr>
        <w:t xml:space="preserve"> </w:t>
      </w:r>
      <w:r w:rsidRPr="003B35C4">
        <w:rPr>
          <w:rFonts w:ascii="Times New Roman" w:hAnsi="Times New Roman" w:cs="Times New Roman"/>
        </w:rPr>
        <w:t>Canadian Penal Code as amended in 2014</w:t>
      </w:r>
      <w:r w:rsidR="00531AD8">
        <w:rPr>
          <w:rFonts w:ascii="Times New Roman" w:hAnsi="Times New Roman" w:cs="Times New Roman"/>
        </w:rPr>
        <w:t>, s 286.</w:t>
      </w:r>
      <w:r w:rsidRPr="003B35C4">
        <w:rPr>
          <w:rFonts w:ascii="Times New Roman" w:hAnsi="Times New Roman" w:cs="Times New Roman"/>
        </w:rPr>
        <w:t xml:space="preserve"> </w:t>
      </w:r>
    </w:p>
  </w:footnote>
  <w:footnote w:id="227">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Sexual Purchase Act 1999. </w:t>
      </w:r>
    </w:p>
  </w:footnote>
  <w:footnote w:id="228">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Criminal Law (Sexual Offences) Act 1993 as amended in 2017</w:t>
      </w:r>
      <w:r w:rsidR="00531AD8">
        <w:rPr>
          <w:rFonts w:ascii="Times New Roman" w:hAnsi="Times New Roman" w:cs="Times New Roman"/>
        </w:rPr>
        <w:t>, s 7A</w:t>
      </w:r>
    </w:p>
  </w:footnote>
  <w:footnote w:id="229">
    <w:p w:rsidR="003B5ED2" w:rsidRPr="003B35C4" w:rsidRDefault="003B5ED2" w:rsidP="00302626">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Norwegian Penal Code</w:t>
      </w:r>
      <w:r w:rsidR="00531AD8">
        <w:rPr>
          <w:rFonts w:ascii="Times New Roman" w:hAnsi="Times New Roman" w:cs="Times New Roman"/>
        </w:rPr>
        <w:t>, s 202a</w:t>
      </w:r>
      <w:r w:rsidRPr="003B35C4">
        <w:rPr>
          <w:rFonts w:ascii="Times New Roman" w:hAnsi="Times New Roman" w:cs="Times New Roman"/>
        </w:rPr>
        <w:t xml:space="preserve">  </w:t>
      </w:r>
    </w:p>
  </w:footnote>
  <w:footnote w:id="230">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Criminal Law (Sexual Offences and Related Matters) Act 2007. </w:t>
      </w:r>
    </w:p>
  </w:footnote>
  <w:footnote w:id="231">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Violence against Women Act 1999.  </w:t>
      </w:r>
    </w:p>
  </w:footnote>
  <w:footnote w:id="232">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proofErr w:type="spellStart"/>
      <w:r w:rsidRPr="003B35C4">
        <w:rPr>
          <w:rFonts w:ascii="Times New Roman" w:hAnsi="Times New Roman" w:cs="Times New Roman"/>
        </w:rPr>
        <w:t>Swanee</w:t>
      </w:r>
      <w:proofErr w:type="spellEnd"/>
      <w:r w:rsidRPr="003B35C4">
        <w:rPr>
          <w:rFonts w:ascii="Times New Roman" w:hAnsi="Times New Roman" w:cs="Times New Roman"/>
        </w:rPr>
        <w:t xml:space="preserve"> Hunt, ‘Deconstructing Demand: The Driving Force of Sex Trafficking’ (2010) 19 </w:t>
      </w:r>
      <w:r w:rsidRPr="003B35C4">
        <w:rPr>
          <w:rFonts w:ascii="Times New Roman" w:hAnsi="Times New Roman" w:cs="Times New Roman"/>
          <w:i/>
        </w:rPr>
        <w:t>Brown Journal of World Affairs</w:t>
      </w:r>
      <w:r w:rsidRPr="003B35C4">
        <w:rPr>
          <w:rFonts w:ascii="Times New Roman" w:hAnsi="Times New Roman" w:cs="Times New Roman"/>
        </w:rPr>
        <w:t xml:space="preserve"> 225; </w:t>
      </w:r>
      <w:r w:rsidR="00BC5F27">
        <w:rPr>
          <w:rFonts w:ascii="Times New Roman" w:hAnsi="Times New Roman" w:cs="Times New Roman"/>
        </w:rPr>
        <w:t xml:space="preserve">and </w:t>
      </w:r>
      <w:proofErr w:type="spellStart"/>
      <w:r w:rsidRPr="003B35C4">
        <w:rPr>
          <w:rFonts w:ascii="Times New Roman" w:hAnsi="Times New Roman" w:cs="Times New Roman"/>
        </w:rPr>
        <w:t>Ane</w:t>
      </w:r>
      <w:proofErr w:type="spellEnd"/>
      <w:r w:rsidRPr="003B35C4">
        <w:rPr>
          <w:rFonts w:ascii="Times New Roman" w:hAnsi="Times New Roman" w:cs="Times New Roman"/>
        </w:rPr>
        <w:t xml:space="preserve"> Mathieson, Easton </w:t>
      </w:r>
      <w:proofErr w:type="spellStart"/>
      <w:r w:rsidRPr="003B35C4">
        <w:rPr>
          <w:rFonts w:ascii="Times New Roman" w:hAnsi="Times New Roman" w:cs="Times New Roman"/>
        </w:rPr>
        <w:t>Branam</w:t>
      </w:r>
      <w:proofErr w:type="spellEnd"/>
      <w:r w:rsidRPr="003B35C4">
        <w:rPr>
          <w:rFonts w:ascii="Times New Roman" w:hAnsi="Times New Roman" w:cs="Times New Roman"/>
        </w:rPr>
        <w:t xml:space="preserve">, and Anya Noble, ‘Prostitution Policy: Legalisation, Decriminalisation and the Nordic Model’ (2015) 14 </w:t>
      </w:r>
      <w:r w:rsidRPr="003B35C4">
        <w:rPr>
          <w:rFonts w:ascii="Times New Roman" w:hAnsi="Times New Roman" w:cs="Times New Roman"/>
          <w:i/>
        </w:rPr>
        <w:t>Seattle Journal for Social Justice</w:t>
      </w:r>
      <w:r w:rsidRPr="003B35C4">
        <w:rPr>
          <w:rFonts w:ascii="Times New Roman" w:hAnsi="Times New Roman" w:cs="Times New Roman"/>
        </w:rPr>
        <w:t xml:space="preserve"> 367, 378. </w:t>
      </w:r>
    </w:p>
  </w:footnote>
  <w:footnote w:id="233">
    <w:p w:rsidR="003B5ED2" w:rsidRPr="003B35C4" w:rsidRDefault="003B5ED2" w:rsidP="00B2041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Trafficking in Persons, Especially Women and Children: A Note by the Secretary General</w:t>
      </w:r>
      <w:r w:rsidRPr="003B35C4">
        <w:rPr>
          <w:rFonts w:ascii="Times New Roman" w:hAnsi="Times New Roman" w:cs="Times New Roman"/>
        </w:rPr>
        <w:t xml:space="preserve">, A/65/288 (2010), para 36; Berger, </w:t>
      </w:r>
      <w:r w:rsidR="00BC5F27">
        <w:rPr>
          <w:rFonts w:ascii="Times New Roman" w:hAnsi="Times New Roman" w:cs="Times New Roman"/>
        </w:rPr>
        <w:t>(</w:t>
      </w:r>
      <w:r w:rsidRPr="003B35C4">
        <w:rPr>
          <w:rFonts w:ascii="Times New Roman" w:hAnsi="Times New Roman" w:cs="Times New Roman"/>
        </w:rPr>
        <w:t>n</w:t>
      </w:r>
      <w:r w:rsidR="00BC5F27">
        <w:rPr>
          <w:rFonts w:ascii="Times New Roman" w:hAnsi="Times New Roman" w:cs="Times New Roman"/>
        </w:rPr>
        <w:t xml:space="preserve"> </w:t>
      </w:r>
      <w:r w:rsidRPr="003B35C4">
        <w:rPr>
          <w:rFonts w:ascii="Times New Roman" w:hAnsi="Times New Roman" w:cs="Times New Roman"/>
        </w:rPr>
        <w:t>2</w:t>
      </w:r>
      <w:r>
        <w:rPr>
          <w:rFonts w:ascii="Times New Roman" w:hAnsi="Times New Roman" w:cs="Times New Roman"/>
        </w:rPr>
        <w:t>24</w:t>
      </w:r>
      <w:r w:rsidR="00BC5F27">
        <w:rPr>
          <w:rFonts w:ascii="Times New Roman" w:hAnsi="Times New Roman" w:cs="Times New Roman"/>
        </w:rPr>
        <w:t>)</w:t>
      </w:r>
      <w:r w:rsidRPr="003B35C4">
        <w:rPr>
          <w:rFonts w:ascii="Times New Roman" w:hAnsi="Times New Roman" w:cs="Times New Roman"/>
        </w:rPr>
        <w:t xml:space="preserve">, 549; </w:t>
      </w:r>
      <w:proofErr w:type="spellStart"/>
      <w:r w:rsidRPr="003B35C4">
        <w:rPr>
          <w:rFonts w:ascii="Times New Roman" w:hAnsi="Times New Roman" w:cs="Times New Roman"/>
        </w:rPr>
        <w:t>Hedlin</w:t>
      </w:r>
      <w:proofErr w:type="spellEnd"/>
      <w:r w:rsidRPr="003B35C4">
        <w:rPr>
          <w:rFonts w:ascii="Times New Roman" w:hAnsi="Times New Roman" w:cs="Times New Roman"/>
        </w:rPr>
        <w:t xml:space="preserve">, </w:t>
      </w:r>
      <w:r w:rsidR="00BC5F27">
        <w:rPr>
          <w:rFonts w:ascii="Times New Roman" w:hAnsi="Times New Roman" w:cs="Times New Roman"/>
        </w:rPr>
        <w:t>(</w:t>
      </w:r>
      <w:r w:rsidRPr="003B35C4">
        <w:rPr>
          <w:rFonts w:ascii="Times New Roman" w:hAnsi="Times New Roman" w:cs="Times New Roman"/>
        </w:rPr>
        <w:t>n 2</w:t>
      </w:r>
      <w:r>
        <w:rPr>
          <w:rFonts w:ascii="Times New Roman" w:hAnsi="Times New Roman" w:cs="Times New Roman"/>
        </w:rPr>
        <w:t>24</w:t>
      </w:r>
      <w:r w:rsidR="00BC5F27">
        <w:rPr>
          <w:rFonts w:ascii="Times New Roman" w:hAnsi="Times New Roman" w:cs="Times New Roman"/>
        </w:rPr>
        <w:t>)</w:t>
      </w:r>
      <w:r w:rsidRPr="003B35C4">
        <w:rPr>
          <w:rFonts w:ascii="Times New Roman" w:hAnsi="Times New Roman" w:cs="Times New Roman"/>
        </w:rPr>
        <w:t xml:space="preserve">, 337; Jane Scoular, ‘Criminalising the Punters: Evaluating the Swedish Position on Prostitution’ (2004) 26 </w:t>
      </w:r>
      <w:r w:rsidRPr="003B35C4">
        <w:rPr>
          <w:rFonts w:ascii="Times New Roman" w:hAnsi="Times New Roman" w:cs="Times New Roman"/>
          <w:i/>
        </w:rPr>
        <w:t>Journal of Social Welfare and Family Law</w:t>
      </w:r>
      <w:r w:rsidRPr="003B35C4">
        <w:rPr>
          <w:rFonts w:ascii="Times New Roman" w:hAnsi="Times New Roman" w:cs="Times New Roman"/>
        </w:rPr>
        <w:t xml:space="preserve"> 195, 199; Nicolle </w:t>
      </w:r>
      <w:proofErr w:type="spellStart"/>
      <w:r w:rsidRPr="003B35C4">
        <w:rPr>
          <w:rFonts w:ascii="Times New Roman" w:hAnsi="Times New Roman" w:cs="Times New Roman"/>
        </w:rPr>
        <w:t>Zeegers</w:t>
      </w:r>
      <w:proofErr w:type="spellEnd"/>
      <w:r w:rsidRPr="003B35C4">
        <w:rPr>
          <w:rFonts w:ascii="Times New Roman" w:hAnsi="Times New Roman" w:cs="Times New Roman"/>
        </w:rPr>
        <w:t xml:space="preserve"> and Martina </w:t>
      </w:r>
      <w:proofErr w:type="spellStart"/>
      <w:r w:rsidRPr="003B35C4">
        <w:rPr>
          <w:rFonts w:ascii="Times New Roman" w:hAnsi="Times New Roman" w:cs="Times New Roman"/>
        </w:rPr>
        <w:t>Althoff</w:t>
      </w:r>
      <w:proofErr w:type="spellEnd"/>
      <w:r w:rsidRPr="003B35C4">
        <w:rPr>
          <w:rFonts w:ascii="Times New Roman" w:hAnsi="Times New Roman" w:cs="Times New Roman"/>
        </w:rPr>
        <w:t xml:space="preserve">, ‘Regulating Human Trafficking by Prostitution Policy: An Assessment of the Dutch and Swedish Prostitution Legislation and Its Effects on Women’s Self Determination’ (2015) 2 </w:t>
      </w:r>
      <w:r w:rsidRPr="003B35C4">
        <w:rPr>
          <w:rFonts w:ascii="Times New Roman" w:hAnsi="Times New Roman" w:cs="Times New Roman"/>
          <w:i/>
        </w:rPr>
        <w:t>European Journal of Comparative Law and Governance</w:t>
      </w:r>
      <w:r w:rsidRPr="003B35C4">
        <w:rPr>
          <w:rFonts w:ascii="Times New Roman" w:hAnsi="Times New Roman" w:cs="Times New Roman"/>
        </w:rPr>
        <w:t xml:space="preserve"> 351; and Margaret Malloch, Laura Robertson and Emma Forbes, </w:t>
      </w:r>
      <w:r w:rsidRPr="003B35C4">
        <w:rPr>
          <w:rFonts w:ascii="Times New Roman" w:hAnsi="Times New Roman" w:cs="Times New Roman"/>
          <w:i/>
        </w:rPr>
        <w:t>Evidence Assessment of the Impacts of Criminalisation of the Purchase of Sex: A Review</w:t>
      </w:r>
      <w:r w:rsidRPr="003B35C4">
        <w:rPr>
          <w:rFonts w:ascii="Times New Roman" w:hAnsi="Times New Roman" w:cs="Times New Roman"/>
        </w:rPr>
        <w:t xml:space="preserve"> (The Scottish Government 2017).  </w:t>
      </w:r>
    </w:p>
  </w:footnote>
  <w:footnote w:id="234">
    <w:p w:rsidR="003B5ED2" w:rsidRPr="003B35C4" w:rsidRDefault="003B5ED2" w:rsidP="006F59B8">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Special Rapporteur on Trafficking in Persons, Especially Women and Children</w:t>
      </w:r>
      <w:r w:rsidRPr="003B35C4">
        <w:rPr>
          <w:rFonts w:ascii="Times New Roman" w:hAnsi="Times New Roman" w:cs="Times New Roman"/>
        </w:rPr>
        <w:t>, A/HRC/23/48 (2013), para 84.</w:t>
      </w:r>
    </w:p>
  </w:footnote>
  <w:footnote w:id="235">
    <w:p w:rsidR="003B5ED2" w:rsidRPr="003B35C4" w:rsidRDefault="003B5ED2" w:rsidP="006F59B8">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 xml:space="preserve">Concluding </w:t>
      </w:r>
      <w:r>
        <w:rPr>
          <w:rFonts w:ascii="Times New Roman" w:hAnsi="Times New Roman" w:cs="Times New Roman"/>
          <w:i/>
        </w:rPr>
        <w:t>O</w:t>
      </w:r>
      <w:r w:rsidRPr="003B35C4">
        <w:rPr>
          <w:rFonts w:ascii="Times New Roman" w:hAnsi="Times New Roman" w:cs="Times New Roman"/>
          <w:i/>
        </w:rPr>
        <w:t xml:space="preserve">bservations on the </w:t>
      </w:r>
      <w:r>
        <w:rPr>
          <w:rFonts w:ascii="Times New Roman" w:hAnsi="Times New Roman" w:cs="Times New Roman"/>
          <w:i/>
        </w:rPr>
        <w:t>S</w:t>
      </w:r>
      <w:r w:rsidRPr="003B35C4">
        <w:rPr>
          <w:rFonts w:ascii="Times New Roman" w:hAnsi="Times New Roman" w:cs="Times New Roman"/>
          <w:i/>
        </w:rPr>
        <w:t xml:space="preserve">eventh </w:t>
      </w:r>
      <w:r>
        <w:rPr>
          <w:rFonts w:ascii="Times New Roman" w:hAnsi="Times New Roman" w:cs="Times New Roman"/>
          <w:i/>
        </w:rPr>
        <w:t>P</w:t>
      </w:r>
      <w:r w:rsidRPr="003B35C4">
        <w:rPr>
          <w:rFonts w:ascii="Times New Roman" w:hAnsi="Times New Roman" w:cs="Times New Roman"/>
          <w:i/>
        </w:rPr>
        <w:t xml:space="preserve">eriodic </w:t>
      </w:r>
      <w:r>
        <w:rPr>
          <w:rFonts w:ascii="Times New Roman" w:hAnsi="Times New Roman" w:cs="Times New Roman"/>
          <w:i/>
        </w:rPr>
        <w:t>R</w:t>
      </w:r>
      <w:r w:rsidRPr="003B35C4">
        <w:rPr>
          <w:rFonts w:ascii="Times New Roman" w:hAnsi="Times New Roman" w:cs="Times New Roman"/>
          <w:i/>
        </w:rPr>
        <w:t>eport of Italy</w:t>
      </w:r>
      <w:r w:rsidRPr="003B35C4">
        <w:rPr>
          <w:rFonts w:ascii="Times New Roman" w:hAnsi="Times New Roman" w:cs="Times New Roman"/>
        </w:rPr>
        <w:t xml:space="preserve">, CEDAW/C/ITA/7 (2017), para 29; and </w:t>
      </w:r>
      <w:r w:rsidRPr="003B35C4">
        <w:rPr>
          <w:rStyle w:val="sessionsubtitle"/>
          <w:rFonts w:ascii="Times New Roman" w:hAnsi="Times New Roman" w:cs="Times New Roman"/>
          <w:i/>
        </w:rPr>
        <w:t>Concluding Observations on the Combined Seventh to Ninth Reports of Rwanda</w:t>
      </w:r>
      <w:r w:rsidRPr="003B35C4">
        <w:rPr>
          <w:rStyle w:val="sessionsubtitle"/>
          <w:rFonts w:ascii="Times New Roman" w:hAnsi="Times New Roman" w:cs="Times New Roman"/>
        </w:rPr>
        <w:t xml:space="preserve">, </w:t>
      </w:r>
      <w:r w:rsidRPr="003B35C4">
        <w:rPr>
          <w:rFonts w:ascii="Times New Roman" w:eastAsia="Times New Roman" w:hAnsi="Times New Roman" w:cs="Times New Roman"/>
        </w:rPr>
        <w:t>CEDAW/C/RWA/CO/7-9 (2017), para 29</w:t>
      </w:r>
    </w:p>
  </w:footnote>
  <w:footnote w:id="236">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C80BF5">
        <w:rPr>
          <w:rFonts w:ascii="Times New Roman" w:hAnsi="Times New Roman" w:cs="Times New Roman"/>
        </w:rPr>
        <w:t>Note by the Secretary General,</w:t>
      </w:r>
      <w:r w:rsidRPr="003B35C4">
        <w:rPr>
          <w:rFonts w:ascii="Times New Roman" w:hAnsi="Times New Roman" w:cs="Times New Roman"/>
        </w:rPr>
        <w:t xml:space="preserve"> </w:t>
      </w:r>
      <w:r w:rsidR="00C80BF5">
        <w:rPr>
          <w:rFonts w:ascii="Times New Roman" w:hAnsi="Times New Roman" w:cs="Times New Roman"/>
        </w:rPr>
        <w:t>(</w:t>
      </w:r>
      <w:r w:rsidRPr="003B35C4">
        <w:rPr>
          <w:rFonts w:ascii="Times New Roman" w:hAnsi="Times New Roman" w:cs="Times New Roman"/>
        </w:rPr>
        <w:t>n 2</w:t>
      </w:r>
      <w:r>
        <w:rPr>
          <w:rFonts w:ascii="Times New Roman" w:hAnsi="Times New Roman" w:cs="Times New Roman"/>
        </w:rPr>
        <w:t>33</w:t>
      </w:r>
      <w:r w:rsidR="00C80BF5">
        <w:rPr>
          <w:rFonts w:ascii="Times New Roman" w:hAnsi="Times New Roman" w:cs="Times New Roman"/>
        </w:rPr>
        <w:t>)</w:t>
      </w:r>
      <w:r w:rsidRPr="003B35C4">
        <w:rPr>
          <w:rFonts w:ascii="Times New Roman" w:hAnsi="Times New Roman" w:cs="Times New Roman"/>
        </w:rPr>
        <w:t xml:space="preserve">, para 38; General Comment No. 23, </w:t>
      </w:r>
      <w:r w:rsidR="00C80BF5">
        <w:rPr>
          <w:rFonts w:ascii="Times New Roman" w:hAnsi="Times New Roman" w:cs="Times New Roman"/>
        </w:rPr>
        <w:t>(</w:t>
      </w:r>
      <w:r w:rsidRPr="003B35C4">
        <w:rPr>
          <w:rFonts w:ascii="Times New Roman" w:hAnsi="Times New Roman" w:cs="Times New Roman"/>
        </w:rPr>
        <w:t>n 5</w:t>
      </w:r>
      <w:r>
        <w:rPr>
          <w:rFonts w:ascii="Times New Roman" w:hAnsi="Times New Roman" w:cs="Times New Roman"/>
        </w:rPr>
        <w:t>7</w:t>
      </w:r>
      <w:r w:rsidR="00C80BF5">
        <w:rPr>
          <w:rFonts w:ascii="Times New Roman" w:hAnsi="Times New Roman" w:cs="Times New Roman"/>
        </w:rPr>
        <w:t>)</w:t>
      </w:r>
      <w:r w:rsidRPr="003B35C4">
        <w:rPr>
          <w:rFonts w:ascii="Times New Roman" w:hAnsi="Times New Roman" w:cs="Times New Roman"/>
        </w:rPr>
        <w:t xml:space="preserve">, </w:t>
      </w:r>
      <w:r w:rsidRPr="003B35C4">
        <w:rPr>
          <w:rStyle w:val="Strong"/>
          <w:rFonts w:ascii="Times New Roman" w:hAnsi="Times New Roman" w:cs="Times New Roman"/>
          <w:b w:val="0"/>
        </w:rPr>
        <w:t xml:space="preserve">para 59; Concluding Observations Pakistan, </w:t>
      </w:r>
      <w:r w:rsidR="00C80BF5">
        <w:rPr>
          <w:rFonts w:ascii="Times New Roman" w:hAnsi="Times New Roman" w:cs="Times New Roman"/>
        </w:rPr>
        <w:t>(</w:t>
      </w:r>
      <w:r w:rsidRPr="003B35C4">
        <w:rPr>
          <w:rFonts w:ascii="Times New Roman" w:hAnsi="Times New Roman" w:cs="Times New Roman"/>
        </w:rPr>
        <w:t>n 7</w:t>
      </w:r>
      <w:r>
        <w:rPr>
          <w:rFonts w:ascii="Times New Roman" w:hAnsi="Times New Roman" w:cs="Times New Roman"/>
        </w:rPr>
        <w:t>2</w:t>
      </w:r>
      <w:r w:rsidR="00C80BF5">
        <w:rPr>
          <w:rFonts w:ascii="Times New Roman" w:hAnsi="Times New Roman" w:cs="Times New Roman"/>
        </w:rPr>
        <w:t>)</w:t>
      </w:r>
      <w:r w:rsidRPr="003B35C4">
        <w:rPr>
          <w:rFonts w:ascii="Times New Roman" w:hAnsi="Times New Roman" w:cs="Times New Roman"/>
        </w:rPr>
        <w:t xml:space="preserve">, para 44; </w:t>
      </w:r>
      <w:r w:rsidRPr="003B35C4">
        <w:rPr>
          <w:rFonts w:ascii="Times New Roman" w:hAnsi="Times New Roman" w:cs="Times New Roman"/>
          <w:i/>
        </w:rPr>
        <w:t>Concluding Observations on the Sixth Periodic Report of Mongolia</w:t>
      </w:r>
      <w:r w:rsidRPr="003B35C4">
        <w:rPr>
          <w:rFonts w:ascii="Times New Roman" w:hAnsi="Times New Roman" w:cs="Times New Roman"/>
        </w:rPr>
        <w:t xml:space="preserve">, CCPR/C/MNG/6 (2017), para 28; </w:t>
      </w:r>
      <w:r w:rsidRPr="003B35C4">
        <w:rPr>
          <w:rFonts w:ascii="Times New Roman" w:hAnsi="Times New Roman" w:cs="Times New Roman"/>
          <w:i/>
        </w:rPr>
        <w:t>Concluding Observations on the Combined Fourth and Fifth Reports of Moldova</w:t>
      </w:r>
      <w:r w:rsidRPr="003B35C4">
        <w:rPr>
          <w:rFonts w:ascii="Times New Roman" w:hAnsi="Times New Roman" w:cs="Times New Roman"/>
        </w:rPr>
        <w:t>, CRC/C/MDA/4-5 (2017), para 38; and Concluding Observations</w:t>
      </w:r>
      <w:r w:rsidR="00C80BF5">
        <w:rPr>
          <w:rFonts w:ascii="Times New Roman" w:hAnsi="Times New Roman" w:cs="Times New Roman"/>
        </w:rPr>
        <w:t xml:space="preserve"> </w:t>
      </w:r>
      <w:r w:rsidRPr="003B35C4">
        <w:rPr>
          <w:rFonts w:ascii="Times New Roman" w:hAnsi="Times New Roman" w:cs="Times New Roman"/>
        </w:rPr>
        <w:t xml:space="preserve">Colombia, </w:t>
      </w:r>
      <w:r w:rsidR="00C80BF5">
        <w:rPr>
          <w:rFonts w:ascii="Times New Roman" w:hAnsi="Times New Roman" w:cs="Times New Roman"/>
        </w:rPr>
        <w:t>(</w:t>
      </w:r>
      <w:r w:rsidRPr="003B35C4">
        <w:rPr>
          <w:rFonts w:ascii="Times New Roman" w:hAnsi="Times New Roman" w:cs="Times New Roman"/>
        </w:rPr>
        <w:t>n 5</w:t>
      </w:r>
      <w:r>
        <w:rPr>
          <w:rFonts w:ascii="Times New Roman" w:hAnsi="Times New Roman" w:cs="Times New Roman"/>
        </w:rPr>
        <w:t>5</w:t>
      </w:r>
      <w:r w:rsidR="00C80BF5">
        <w:rPr>
          <w:rFonts w:ascii="Times New Roman" w:hAnsi="Times New Roman" w:cs="Times New Roman"/>
        </w:rPr>
        <w:t>)</w:t>
      </w:r>
      <w:r w:rsidRPr="003B35C4">
        <w:rPr>
          <w:rFonts w:ascii="Times New Roman" w:hAnsi="Times New Roman" w:cs="Times New Roman"/>
        </w:rPr>
        <w:t>, para 44.</w:t>
      </w:r>
    </w:p>
  </w:footnote>
  <w:footnote w:id="237">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United Nations Guiding Principles on Business and Human Rights: Implementing the United Nations “Protect, Respect and Remedy” Framework</w:t>
      </w:r>
      <w:r w:rsidRPr="003B35C4">
        <w:rPr>
          <w:rFonts w:ascii="Times New Roman" w:hAnsi="Times New Roman" w:cs="Times New Roman"/>
        </w:rPr>
        <w:t xml:space="preserve"> (2011).   </w:t>
      </w:r>
    </w:p>
  </w:footnote>
  <w:footnote w:id="238">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w:t>
      </w:r>
      <w:r w:rsidRPr="003B35C4">
        <w:rPr>
          <w:rFonts w:ascii="Times New Roman" w:hAnsi="Times New Roman" w:cs="Times New Roman"/>
          <w:i/>
        </w:rPr>
        <w:t>Report of the Special Rapporteur on Trafficking in Persons, Especially Women and Children</w:t>
      </w:r>
      <w:r w:rsidRPr="003B35C4">
        <w:rPr>
          <w:rFonts w:ascii="Times New Roman" w:hAnsi="Times New Roman" w:cs="Times New Roman"/>
        </w:rPr>
        <w:t>, A/HRC/35/37 (2017), paras</w:t>
      </w:r>
      <w:r w:rsidR="0092635A">
        <w:rPr>
          <w:rFonts w:ascii="Times New Roman" w:hAnsi="Times New Roman" w:cs="Times New Roman"/>
        </w:rPr>
        <w:t xml:space="preserve"> </w:t>
      </w:r>
      <w:r w:rsidRPr="003B35C4">
        <w:rPr>
          <w:rFonts w:ascii="Times New Roman" w:hAnsi="Times New Roman" w:cs="Times New Roman"/>
        </w:rPr>
        <w:t xml:space="preserve">18-21.  </w:t>
      </w:r>
    </w:p>
  </w:footnote>
  <w:footnote w:id="239">
    <w:p w:rsidR="003B5ED2" w:rsidRPr="003B35C4" w:rsidRDefault="003B5ED2">
      <w:pPr>
        <w:pStyle w:val="FootnoteText"/>
        <w:rPr>
          <w:rFonts w:ascii="Times New Roman" w:hAnsi="Times New Roman" w:cs="Times New Roman"/>
        </w:rPr>
      </w:pPr>
      <w:r w:rsidRPr="003B35C4">
        <w:rPr>
          <w:rStyle w:val="FootnoteReference"/>
          <w:rFonts w:ascii="Times New Roman" w:hAnsi="Times New Roman" w:cs="Times New Roman"/>
        </w:rPr>
        <w:footnoteRef/>
      </w:r>
      <w:r w:rsidRPr="003B35C4">
        <w:rPr>
          <w:rFonts w:ascii="Times New Roman" w:hAnsi="Times New Roman" w:cs="Times New Roman"/>
        </w:rPr>
        <w:t xml:space="preserve"> General Comment No. 24, </w:t>
      </w:r>
      <w:r w:rsidR="0092635A">
        <w:rPr>
          <w:rFonts w:ascii="Times New Roman" w:hAnsi="Times New Roman" w:cs="Times New Roman"/>
        </w:rPr>
        <w:t>(</w:t>
      </w:r>
      <w:r w:rsidRPr="003B35C4">
        <w:rPr>
          <w:rFonts w:ascii="Times New Roman" w:hAnsi="Times New Roman" w:cs="Times New Roman"/>
        </w:rPr>
        <w:t>n 5</w:t>
      </w:r>
      <w:r>
        <w:rPr>
          <w:rFonts w:ascii="Times New Roman" w:hAnsi="Times New Roman" w:cs="Times New Roman"/>
        </w:rPr>
        <w:t>7</w:t>
      </w:r>
      <w:r w:rsidR="0092635A">
        <w:rPr>
          <w:rFonts w:ascii="Times New Roman" w:hAnsi="Times New Roman" w:cs="Times New Roman"/>
        </w:rPr>
        <w:t>)</w:t>
      </w:r>
      <w:r w:rsidRPr="003B35C4">
        <w:rPr>
          <w:rFonts w:ascii="Times New Roman" w:hAnsi="Times New Roman" w:cs="Times New Roman"/>
        </w:rPr>
        <w:t>, para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D2" w:rsidRDefault="003B5ED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90C92"/>
    <w:multiLevelType w:val="hybridMultilevel"/>
    <w:tmpl w:val="ED487A64"/>
    <w:lvl w:ilvl="0" w:tplc="111EF210">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D2F22"/>
    <w:multiLevelType w:val="hybridMultilevel"/>
    <w:tmpl w:val="B008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F0ED0"/>
    <w:multiLevelType w:val="hybridMultilevel"/>
    <w:tmpl w:val="44F84188"/>
    <w:lvl w:ilvl="0" w:tplc="E342099E">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96244"/>
    <w:multiLevelType w:val="hybridMultilevel"/>
    <w:tmpl w:val="F8161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54C4A"/>
    <w:multiLevelType w:val="hybridMultilevel"/>
    <w:tmpl w:val="DBA84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520575"/>
    <w:multiLevelType w:val="hybridMultilevel"/>
    <w:tmpl w:val="7172A6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7B4B74"/>
    <w:multiLevelType w:val="hybridMultilevel"/>
    <w:tmpl w:val="C330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C64"/>
    <w:rsid w:val="000016B0"/>
    <w:rsid w:val="000018B9"/>
    <w:rsid w:val="00002024"/>
    <w:rsid w:val="000022F7"/>
    <w:rsid w:val="00002751"/>
    <w:rsid w:val="00003A90"/>
    <w:rsid w:val="00003FC2"/>
    <w:rsid w:val="0000496F"/>
    <w:rsid w:val="00004B75"/>
    <w:rsid w:val="000054A1"/>
    <w:rsid w:val="00005B1F"/>
    <w:rsid w:val="000062ED"/>
    <w:rsid w:val="0000748D"/>
    <w:rsid w:val="00011547"/>
    <w:rsid w:val="000119A7"/>
    <w:rsid w:val="00013CC5"/>
    <w:rsid w:val="00013F23"/>
    <w:rsid w:val="00014681"/>
    <w:rsid w:val="000148A0"/>
    <w:rsid w:val="0001608D"/>
    <w:rsid w:val="00017232"/>
    <w:rsid w:val="00017742"/>
    <w:rsid w:val="00017CF4"/>
    <w:rsid w:val="00023415"/>
    <w:rsid w:val="000238CD"/>
    <w:rsid w:val="0002444F"/>
    <w:rsid w:val="0002495E"/>
    <w:rsid w:val="00024C93"/>
    <w:rsid w:val="00024D07"/>
    <w:rsid w:val="0002532A"/>
    <w:rsid w:val="000259DB"/>
    <w:rsid w:val="00025B93"/>
    <w:rsid w:val="000263B9"/>
    <w:rsid w:val="00027A1B"/>
    <w:rsid w:val="0003045A"/>
    <w:rsid w:val="0003216A"/>
    <w:rsid w:val="000331B7"/>
    <w:rsid w:val="00033621"/>
    <w:rsid w:val="00035625"/>
    <w:rsid w:val="0003596C"/>
    <w:rsid w:val="00035C96"/>
    <w:rsid w:val="0003643D"/>
    <w:rsid w:val="000371D9"/>
    <w:rsid w:val="0003781B"/>
    <w:rsid w:val="0004132F"/>
    <w:rsid w:val="00042C5E"/>
    <w:rsid w:val="00042C6F"/>
    <w:rsid w:val="00042FE3"/>
    <w:rsid w:val="0004359A"/>
    <w:rsid w:val="00044400"/>
    <w:rsid w:val="00044853"/>
    <w:rsid w:val="00044E1F"/>
    <w:rsid w:val="000451F5"/>
    <w:rsid w:val="0004523F"/>
    <w:rsid w:val="000456B0"/>
    <w:rsid w:val="0004637D"/>
    <w:rsid w:val="000473B1"/>
    <w:rsid w:val="0005127D"/>
    <w:rsid w:val="00051667"/>
    <w:rsid w:val="00051B9C"/>
    <w:rsid w:val="000528F8"/>
    <w:rsid w:val="00055680"/>
    <w:rsid w:val="000569D2"/>
    <w:rsid w:val="0005740C"/>
    <w:rsid w:val="000574F7"/>
    <w:rsid w:val="0005769B"/>
    <w:rsid w:val="00057F46"/>
    <w:rsid w:val="00060343"/>
    <w:rsid w:val="00061615"/>
    <w:rsid w:val="000619FE"/>
    <w:rsid w:val="00061B35"/>
    <w:rsid w:val="00061C76"/>
    <w:rsid w:val="0006235D"/>
    <w:rsid w:val="00065E19"/>
    <w:rsid w:val="00065F26"/>
    <w:rsid w:val="00066195"/>
    <w:rsid w:val="00066285"/>
    <w:rsid w:val="000665B7"/>
    <w:rsid w:val="00066A0B"/>
    <w:rsid w:val="00066C3F"/>
    <w:rsid w:val="00070E56"/>
    <w:rsid w:val="0007300A"/>
    <w:rsid w:val="0007397B"/>
    <w:rsid w:val="000739EA"/>
    <w:rsid w:val="000748F6"/>
    <w:rsid w:val="00075723"/>
    <w:rsid w:val="000759EF"/>
    <w:rsid w:val="00076AB8"/>
    <w:rsid w:val="0007703A"/>
    <w:rsid w:val="00082F7A"/>
    <w:rsid w:val="00083A40"/>
    <w:rsid w:val="00083E7F"/>
    <w:rsid w:val="000846A4"/>
    <w:rsid w:val="00084999"/>
    <w:rsid w:val="00084DED"/>
    <w:rsid w:val="000853FC"/>
    <w:rsid w:val="00085E6E"/>
    <w:rsid w:val="0008634E"/>
    <w:rsid w:val="0009197C"/>
    <w:rsid w:val="00091CE5"/>
    <w:rsid w:val="000921AB"/>
    <w:rsid w:val="00092209"/>
    <w:rsid w:val="00092287"/>
    <w:rsid w:val="00094C68"/>
    <w:rsid w:val="00094D99"/>
    <w:rsid w:val="00095377"/>
    <w:rsid w:val="00095C91"/>
    <w:rsid w:val="000973CE"/>
    <w:rsid w:val="000A1496"/>
    <w:rsid w:val="000A1626"/>
    <w:rsid w:val="000A20AA"/>
    <w:rsid w:val="000A248B"/>
    <w:rsid w:val="000A40BA"/>
    <w:rsid w:val="000A4321"/>
    <w:rsid w:val="000A46DE"/>
    <w:rsid w:val="000A6056"/>
    <w:rsid w:val="000A63A2"/>
    <w:rsid w:val="000A6604"/>
    <w:rsid w:val="000B19C8"/>
    <w:rsid w:val="000B1E77"/>
    <w:rsid w:val="000B279D"/>
    <w:rsid w:val="000B3695"/>
    <w:rsid w:val="000B3836"/>
    <w:rsid w:val="000B7B24"/>
    <w:rsid w:val="000C0CB1"/>
    <w:rsid w:val="000C27F3"/>
    <w:rsid w:val="000C2BD4"/>
    <w:rsid w:val="000C4165"/>
    <w:rsid w:val="000C4396"/>
    <w:rsid w:val="000C57A0"/>
    <w:rsid w:val="000C598E"/>
    <w:rsid w:val="000C5C1E"/>
    <w:rsid w:val="000C7A9F"/>
    <w:rsid w:val="000C7D5B"/>
    <w:rsid w:val="000D0946"/>
    <w:rsid w:val="000D1454"/>
    <w:rsid w:val="000D2023"/>
    <w:rsid w:val="000D3191"/>
    <w:rsid w:val="000D4862"/>
    <w:rsid w:val="000D538A"/>
    <w:rsid w:val="000D5722"/>
    <w:rsid w:val="000E0C9C"/>
    <w:rsid w:val="000E0D44"/>
    <w:rsid w:val="000E1E2C"/>
    <w:rsid w:val="000E2E15"/>
    <w:rsid w:val="000E419A"/>
    <w:rsid w:val="000E5A21"/>
    <w:rsid w:val="000E6040"/>
    <w:rsid w:val="000E70DE"/>
    <w:rsid w:val="000E7DA9"/>
    <w:rsid w:val="000F01C5"/>
    <w:rsid w:val="000F430F"/>
    <w:rsid w:val="000F4962"/>
    <w:rsid w:val="000F5403"/>
    <w:rsid w:val="000F6645"/>
    <w:rsid w:val="000F6BBA"/>
    <w:rsid w:val="000F750A"/>
    <w:rsid w:val="00100C5D"/>
    <w:rsid w:val="001017BF"/>
    <w:rsid w:val="00102EDA"/>
    <w:rsid w:val="0010304C"/>
    <w:rsid w:val="00103437"/>
    <w:rsid w:val="00103C58"/>
    <w:rsid w:val="001049CD"/>
    <w:rsid w:val="00110BF2"/>
    <w:rsid w:val="001117D1"/>
    <w:rsid w:val="001117E7"/>
    <w:rsid w:val="00112A90"/>
    <w:rsid w:val="001137D3"/>
    <w:rsid w:val="0011444A"/>
    <w:rsid w:val="00120099"/>
    <w:rsid w:val="001205C8"/>
    <w:rsid w:val="00121ADC"/>
    <w:rsid w:val="00122195"/>
    <w:rsid w:val="00122930"/>
    <w:rsid w:val="00122A81"/>
    <w:rsid w:val="001236EE"/>
    <w:rsid w:val="001239FB"/>
    <w:rsid w:val="00123DBB"/>
    <w:rsid w:val="0012453B"/>
    <w:rsid w:val="0012456F"/>
    <w:rsid w:val="0012508A"/>
    <w:rsid w:val="0012560B"/>
    <w:rsid w:val="0012653F"/>
    <w:rsid w:val="001278E7"/>
    <w:rsid w:val="00133B55"/>
    <w:rsid w:val="00133E6B"/>
    <w:rsid w:val="00137255"/>
    <w:rsid w:val="00137B4A"/>
    <w:rsid w:val="00137C9E"/>
    <w:rsid w:val="00140A8F"/>
    <w:rsid w:val="00140BE8"/>
    <w:rsid w:val="00141069"/>
    <w:rsid w:val="00141AD6"/>
    <w:rsid w:val="00141BF3"/>
    <w:rsid w:val="00142325"/>
    <w:rsid w:val="001426DB"/>
    <w:rsid w:val="00143A51"/>
    <w:rsid w:val="00143D10"/>
    <w:rsid w:val="00145592"/>
    <w:rsid w:val="00146D99"/>
    <w:rsid w:val="0014791F"/>
    <w:rsid w:val="001505CA"/>
    <w:rsid w:val="001506B9"/>
    <w:rsid w:val="00150D76"/>
    <w:rsid w:val="00151E6D"/>
    <w:rsid w:val="0015203F"/>
    <w:rsid w:val="001527AA"/>
    <w:rsid w:val="00153868"/>
    <w:rsid w:val="00154D07"/>
    <w:rsid w:val="00154E6C"/>
    <w:rsid w:val="00154EFA"/>
    <w:rsid w:val="00155265"/>
    <w:rsid w:val="00155FA8"/>
    <w:rsid w:val="00160597"/>
    <w:rsid w:val="00161BA7"/>
    <w:rsid w:val="00161D30"/>
    <w:rsid w:val="00163299"/>
    <w:rsid w:val="00164284"/>
    <w:rsid w:val="00164EC4"/>
    <w:rsid w:val="00165991"/>
    <w:rsid w:val="0016601E"/>
    <w:rsid w:val="0016735F"/>
    <w:rsid w:val="0016771D"/>
    <w:rsid w:val="001705BA"/>
    <w:rsid w:val="001717F3"/>
    <w:rsid w:val="00173324"/>
    <w:rsid w:val="00173673"/>
    <w:rsid w:val="001748F4"/>
    <w:rsid w:val="0017600D"/>
    <w:rsid w:val="0017637A"/>
    <w:rsid w:val="00177056"/>
    <w:rsid w:val="00177BBE"/>
    <w:rsid w:val="00181514"/>
    <w:rsid w:val="00181BFC"/>
    <w:rsid w:val="00181FB3"/>
    <w:rsid w:val="0018224B"/>
    <w:rsid w:val="001839E7"/>
    <w:rsid w:val="00183C2C"/>
    <w:rsid w:val="001875D0"/>
    <w:rsid w:val="00190599"/>
    <w:rsid w:val="00190FCC"/>
    <w:rsid w:val="00191714"/>
    <w:rsid w:val="00192941"/>
    <w:rsid w:val="00192D9A"/>
    <w:rsid w:val="001941F8"/>
    <w:rsid w:val="00194C7F"/>
    <w:rsid w:val="001957EA"/>
    <w:rsid w:val="0019624F"/>
    <w:rsid w:val="001963AE"/>
    <w:rsid w:val="0019690F"/>
    <w:rsid w:val="00196EDA"/>
    <w:rsid w:val="001975C7"/>
    <w:rsid w:val="001A0135"/>
    <w:rsid w:val="001A01FE"/>
    <w:rsid w:val="001A1C67"/>
    <w:rsid w:val="001A388E"/>
    <w:rsid w:val="001A3A9E"/>
    <w:rsid w:val="001A3D97"/>
    <w:rsid w:val="001A3E91"/>
    <w:rsid w:val="001A5DDD"/>
    <w:rsid w:val="001A6487"/>
    <w:rsid w:val="001A6C23"/>
    <w:rsid w:val="001A6F48"/>
    <w:rsid w:val="001B1374"/>
    <w:rsid w:val="001B2043"/>
    <w:rsid w:val="001B3F3E"/>
    <w:rsid w:val="001B4D1A"/>
    <w:rsid w:val="001B56CD"/>
    <w:rsid w:val="001B5703"/>
    <w:rsid w:val="001B59BA"/>
    <w:rsid w:val="001B744E"/>
    <w:rsid w:val="001B7EB9"/>
    <w:rsid w:val="001C012D"/>
    <w:rsid w:val="001C1647"/>
    <w:rsid w:val="001C2919"/>
    <w:rsid w:val="001C31B1"/>
    <w:rsid w:val="001C3A67"/>
    <w:rsid w:val="001C6465"/>
    <w:rsid w:val="001C7B08"/>
    <w:rsid w:val="001D0AD1"/>
    <w:rsid w:val="001D1638"/>
    <w:rsid w:val="001D3B05"/>
    <w:rsid w:val="001D4016"/>
    <w:rsid w:val="001D6833"/>
    <w:rsid w:val="001D706A"/>
    <w:rsid w:val="001E0377"/>
    <w:rsid w:val="001E1065"/>
    <w:rsid w:val="001E11A9"/>
    <w:rsid w:val="001E3FFA"/>
    <w:rsid w:val="001E46BC"/>
    <w:rsid w:val="001E4F35"/>
    <w:rsid w:val="001E60EF"/>
    <w:rsid w:val="001F0643"/>
    <w:rsid w:val="001F0D3A"/>
    <w:rsid w:val="001F0DCC"/>
    <w:rsid w:val="001F12B4"/>
    <w:rsid w:val="001F1F38"/>
    <w:rsid w:val="001F4314"/>
    <w:rsid w:val="001F4870"/>
    <w:rsid w:val="001F52D9"/>
    <w:rsid w:val="001F552D"/>
    <w:rsid w:val="001F6467"/>
    <w:rsid w:val="001F76A1"/>
    <w:rsid w:val="00200046"/>
    <w:rsid w:val="002006F5"/>
    <w:rsid w:val="00201078"/>
    <w:rsid w:val="00201AB4"/>
    <w:rsid w:val="002038D9"/>
    <w:rsid w:val="00203B0B"/>
    <w:rsid w:val="00203F0A"/>
    <w:rsid w:val="002045C8"/>
    <w:rsid w:val="002046B2"/>
    <w:rsid w:val="002049AC"/>
    <w:rsid w:val="00205428"/>
    <w:rsid w:val="00205FB2"/>
    <w:rsid w:val="00206434"/>
    <w:rsid w:val="0020673D"/>
    <w:rsid w:val="00206E33"/>
    <w:rsid w:val="00210322"/>
    <w:rsid w:val="00210A44"/>
    <w:rsid w:val="00212109"/>
    <w:rsid w:val="00212696"/>
    <w:rsid w:val="00212B85"/>
    <w:rsid w:val="00214198"/>
    <w:rsid w:val="00214B25"/>
    <w:rsid w:val="0021743B"/>
    <w:rsid w:val="00217489"/>
    <w:rsid w:val="00217A56"/>
    <w:rsid w:val="00220382"/>
    <w:rsid w:val="00220512"/>
    <w:rsid w:val="0022086E"/>
    <w:rsid w:val="00220C32"/>
    <w:rsid w:val="00221111"/>
    <w:rsid w:val="00221B59"/>
    <w:rsid w:val="00222041"/>
    <w:rsid w:val="0022207C"/>
    <w:rsid w:val="00223005"/>
    <w:rsid w:val="002232C3"/>
    <w:rsid w:val="00223BEA"/>
    <w:rsid w:val="00223BF4"/>
    <w:rsid w:val="00224A1B"/>
    <w:rsid w:val="002257DA"/>
    <w:rsid w:val="00225E2E"/>
    <w:rsid w:val="00225FA9"/>
    <w:rsid w:val="00226082"/>
    <w:rsid w:val="00226128"/>
    <w:rsid w:val="00227DD9"/>
    <w:rsid w:val="0023012F"/>
    <w:rsid w:val="00230E2A"/>
    <w:rsid w:val="00232988"/>
    <w:rsid w:val="00232A9F"/>
    <w:rsid w:val="00233422"/>
    <w:rsid w:val="002342B4"/>
    <w:rsid w:val="00234D5F"/>
    <w:rsid w:val="00235A97"/>
    <w:rsid w:val="00235D92"/>
    <w:rsid w:val="0023676C"/>
    <w:rsid w:val="00236D7D"/>
    <w:rsid w:val="00237F12"/>
    <w:rsid w:val="002427A1"/>
    <w:rsid w:val="00244544"/>
    <w:rsid w:val="0024664C"/>
    <w:rsid w:val="00246BA0"/>
    <w:rsid w:val="0024702F"/>
    <w:rsid w:val="00247CE9"/>
    <w:rsid w:val="00250682"/>
    <w:rsid w:val="0025250D"/>
    <w:rsid w:val="0025356D"/>
    <w:rsid w:val="0025660E"/>
    <w:rsid w:val="00260010"/>
    <w:rsid w:val="0026043E"/>
    <w:rsid w:val="002604D9"/>
    <w:rsid w:val="00260541"/>
    <w:rsid w:val="00260793"/>
    <w:rsid w:val="00260F84"/>
    <w:rsid w:val="00263613"/>
    <w:rsid w:val="00263DDD"/>
    <w:rsid w:val="00264539"/>
    <w:rsid w:val="00265786"/>
    <w:rsid w:val="002658C8"/>
    <w:rsid w:val="00265CF9"/>
    <w:rsid w:val="0026685F"/>
    <w:rsid w:val="0026711D"/>
    <w:rsid w:val="002672D5"/>
    <w:rsid w:val="00267329"/>
    <w:rsid w:val="0027082A"/>
    <w:rsid w:val="00270A2B"/>
    <w:rsid w:val="00272331"/>
    <w:rsid w:val="00272B30"/>
    <w:rsid w:val="00273654"/>
    <w:rsid w:val="00280828"/>
    <w:rsid w:val="00283648"/>
    <w:rsid w:val="00283BE7"/>
    <w:rsid w:val="00283C1C"/>
    <w:rsid w:val="00284217"/>
    <w:rsid w:val="00285F85"/>
    <w:rsid w:val="002862B9"/>
    <w:rsid w:val="00287236"/>
    <w:rsid w:val="002877BD"/>
    <w:rsid w:val="002877E2"/>
    <w:rsid w:val="00287958"/>
    <w:rsid w:val="00287998"/>
    <w:rsid w:val="002916B8"/>
    <w:rsid w:val="00291874"/>
    <w:rsid w:val="00291A38"/>
    <w:rsid w:val="002935F4"/>
    <w:rsid w:val="00293C50"/>
    <w:rsid w:val="00293C7F"/>
    <w:rsid w:val="00294C39"/>
    <w:rsid w:val="00295CB1"/>
    <w:rsid w:val="002962F0"/>
    <w:rsid w:val="0029647A"/>
    <w:rsid w:val="0029750C"/>
    <w:rsid w:val="002A0896"/>
    <w:rsid w:val="002A1FBA"/>
    <w:rsid w:val="002A259E"/>
    <w:rsid w:val="002A323C"/>
    <w:rsid w:val="002A4322"/>
    <w:rsid w:val="002A58D1"/>
    <w:rsid w:val="002A5F0B"/>
    <w:rsid w:val="002A6CDE"/>
    <w:rsid w:val="002A75D4"/>
    <w:rsid w:val="002A7F0E"/>
    <w:rsid w:val="002B22D6"/>
    <w:rsid w:val="002B24D6"/>
    <w:rsid w:val="002B2D2E"/>
    <w:rsid w:val="002B39CA"/>
    <w:rsid w:val="002B4F02"/>
    <w:rsid w:val="002B54E5"/>
    <w:rsid w:val="002B686B"/>
    <w:rsid w:val="002C0038"/>
    <w:rsid w:val="002C031A"/>
    <w:rsid w:val="002C0A23"/>
    <w:rsid w:val="002C0B60"/>
    <w:rsid w:val="002C11BA"/>
    <w:rsid w:val="002C189A"/>
    <w:rsid w:val="002C1E58"/>
    <w:rsid w:val="002C3B93"/>
    <w:rsid w:val="002C55A8"/>
    <w:rsid w:val="002C5D50"/>
    <w:rsid w:val="002C6A63"/>
    <w:rsid w:val="002C7031"/>
    <w:rsid w:val="002C7283"/>
    <w:rsid w:val="002D063B"/>
    <w:rsid w:val="002D264B"/>
    <w:rsid w:val="002D3A4C"/>
    <w:rsid w:val="002D41C6"/>
    <w:rsid w:val="002D4496"/>
    <w:rsid w:val="002D5030"/>
    <w:rsid w:val="002E02B5"/>
    <w:rsid w:val="002E08A0"/>
    <w:rsid w:val="002E3000"/>
    <w:rsid w:val="002E3500"/>
    <w:rsid w:val="002E3926"/>
    <w:rsid w:val="002E5826"/>
    <w:rsid w:val="002E616E"/>
    <w:rsid w:val="002E661B"/>
    <w:rsid w:val="002E7422"/>
    <w:rsid w:val="002E74E6"/>
    <w:rsid w:val="002E7614"/>
    <w:rsid w:val="002E78BC"/>
    <w:rsid w:val="002E7B37"/>
    <w:rsid w:val="002F0BD1"/>
    <w:rsid w:val="002F256B"/>
    <w:rsid w:val="002F2B0E"/>
    <w:rsid w:val="002F3C09"/>
    <w:rsid w:val="002F43C6"/>
    <w:rsid w:val="002F4A13"/>
    <w:rsid w:val="002F4D08"/>
    <w:rsid w:val="002F6BFD"/>
    <w:rsid w:val="00301416"/>
    <w:rsid w:val="00301EAC"/>
    <w:rsid w:val="00302058"/>
    <w:rsid w:val="00302626"/>
    <w:rsid w:val="0030312C"/>
    <w:rsid w:val="003039FD"/>
    <w:rsid w:val="00303EEB"/>
    <w:rsid w:val="00305522"/>
    <w:rsid w:val="00305EF0"/>
    <w:rsid w:val="003067F3"/>
    <w:rsid w:val="00307748"/>
    <w:rsid w:val="00307FF2"/>
    <w:rsid w:val="00312EA8"/>
    <w:rsid w:val="00313B2A"/>
    <w:rsid w:val="00314026"/>
    <w:rsid w:val="00316942"/>
    <w:rsid w:val="00316F6C"/>
    <w:rsid w:val="00316FFD"/>
    <w:rsid w:val="003174DC"/>
    <w:rsid w:val="00317E12"/>
    <w:rsid w:val="003205B4"/>
    <w:rsid w:val="00320BE4"/>
    <w:rsid w:val="0032189A"/>
    <w:rsid w:val="003223E6"/>
    <w:rsid w:val="0032241C"/>
    <w:rsid w:val="003241D3"/>
    <w:rsid w:val="003242DD"/>
    <w:rsid w:val="0032435B"/>
    <w:rsid w:val="0032671C"/>
    <w:rsid w:val="00327460"/>
    <w:rsid w:val="00330C44"/>
    <w:rsid w:val="00330F2E"/>
    <w:rsid w:val="00331803"/>
    <w:rsid w:val="0033188A"/>
    <w:rsid w:val="003318B8"/>
    <w:rsid w:val="00331CCF"/>
    <w:rsid w:val="0033470C"/>
    <w:rsid w:val="00334B77"/>
    <w:rsid w:val="00334E45"/>
    <w:rsid w:val="00335AB6"/>
    <w:rsid w:val="00336851"/>
    <w:rsid w:val="003370D6"/>
    <w:rsid w:val="00340B79"/>
    <w:rsid w:val="00340FA8"/>
    <w:rsid w:val="003434D2"/>
    <w:rsid w:val="003459FA"/>
    <w:rsid w:val="003469F9"/>
    <w:rsid w:val="00346A43"/>
    <w:rsid w:val="00347E0A"/>
    <w:rsid w:val="00350672"/>
    <w:rsid w:val="00350A5C"/>
    <w:rsid w:val="00351850"/>
    <w:rsid w:val="00351EAE"/>
    <w:rsid w:val="00352E5F"/>
    <w:rsid w:val="00353196"/>
    <w:rsid w:val="00353BCC"/>
    <w:rsid w:val="003557C7"/>
    <w:rsid w:val="00356B40"/>
    <w:rsid w:val="003571D5"/>
    <w:rsid w:val="00357898"/>
    <w:rsid w:val="003605FB"/>
    <w:rsid w:val="0036063E"/>
    <w:rsid w:val="003606D1"/>
    <w:rsid w:val="0036147D"/>
    <w:rsid w:val="00362175"/>
    <w:rsid w:val="00362637"/>
    <w:rsid w:val="00364BD8"/>
    <w:rsid w:val="0036536D"/>
    <w:rsid w:val="00365CAD"/>
    <w:rsid w:val="00365F60"/>
    <w:rsid w:val="00366A7F"/>
    <w:rsid w:val="00366AD1"/>
    <w:rsid w:val="003704B2"/>
    <w:rsid w:val="00370EA8"/>
    <w:rsid w:val="003713A4"/>
    <w:rsid w:val="0037250B"/>
    <w:rsid w:val="0037286C"/>
    <w:rsid w:val="00374E3F"/>
    <w:rsid w:val="003759B9"/>
    <w:rsid w:val="00375EA1"/>
    <w:rsid w:val="00376465"/>
    <w:rsid w:val="00377823"/>
    <w:rsid w:val="0038002A"/>
    <w:rsid w:val="0038071D"/>
    <w:rsid w:val="00380960"/>
    <w:rsid w:val="0038215F"/>
    <w:rsid w:val="0038247B"/>
    <w:rsid w:val="00384350"/>
    <w:rsid w:val="00385537"/>
    <w:rsid w:val="00385658"/>
    <w:rsid w:val="00386429"/>
    <w:rsid w:val="003875E0"/>
    <w:rsid w:val="003910A4"/>
    <w:rsid w:val="003910B6"/>
    <w:rsid w:val="00391D8B"/>
    <w:rsid w:val="003A02BC"/>
    <w:rsid w:val="003A0474"/>
    <w:rsid w:val="003A1897"/>
    <w:rsid w:val="003A22F9"/>
    <w:rsid w:val="003A27E0"/>
    <w:rsid w:val="003A2E59"/>
    <w:rsid w:val="003A37E9"/>
    <w:rsid w:val="003A3B08"/>
    <w:rsid w:val="003A3C72"/>
    <w:rsid w:val="003A40AD"/>
    <w:rsid w:val="003A426A"/>
    <w:rsid w:val="003A54DE"/>
    <w:rsid w:val="003A5BBA"/>
    <w:rsid w:val="003A6B7A"/>
    <w:rsid w:val="003A7CBF"/>
    <w:rsid w:val="003B35C4"/>
    <w:rsid w:val="003B3670"/>
    <w:rsid w:val="003B3861"/>
    <w:rsid w:val="003B3F4F"/>
    <w:rsid w:val="003B53C1"/>
    <w:rsid w:val="003B5C59"/>
    <w:rsid w:val="003B5ED2"/>
    <w:rsid w:val="003C06FB"/>
    <w:rsid w:val="003C12FE"/>
    <w:rsid w:val="003C140A"/>
    <w:rsid w:val="003C14C2"/>
    <w:rsid w:val="003C1615"/>
    <w:rsid w:val="003C22C7"/>
    <w:rsid w:val="003C2676"/>
    <w:rsid w:val="003C3F26"/>
    <w:rsid w:val="003C49B3"/>
    <w:rsid w:val="003C50A7"/>
    <w:rsid w:val="003C5BC5"/>
    <w:rsid w:val="003C6293"/>
    <w:rsid w:val="003C6A54"/>
    <w:rsid w:val="003C7AA8"/>
    <w:rsid w:val="003C7EF5"/>
    <w:rsid w:val="003D0833"/>
    <w:rsid w:val="003D0FFE"/>
    <w:rsid w:val="003D1334"/>
    <w:rsid w:val="003D1FD2"/>
    <w:rsid w:val="003D2689"/>
    <w:rsid w:val="003D2A4B"/>
    <w:rsid w:val="003D4005"/>
    <w:rsid w:val="003D71D6"/>
    <w:rsid w:val="003E0907"/>
    <w:rsid w:val="003E0AAD"/>
    <w:rsid w:val="003E0BA2"/>
    <w:rsid w:val="003E0EEF"/>
    <w:rsid w:val="003E13B7"/>
    <w:rsid w:val="003E18EE"/>
    <w:rsid w:val="003E19FA"/>
    <w:rsid w:val="003E1EF1"/>
    <w:rsid w:val="003E2B69"/>
    <w:rsid w:val="003E3BF3"/>
    <w:rsid w:val="003E3FAB"/>
    <w:rsid w:val="003E494C"/>
    <w:rsid w:val="003E6EA9"/>
    <w:rsid w:val="003E7776"/>
    <w:rsid w:val="003F0CB1"/>
    <w:rsid w:val="003F0FFE"/>
    <w:rsid w:val="003F1A3D"/>
    <w:rsid w:val="003F2C92"/>
    <w:rsid w:val="003F32B7"/>
    <w:rsid w:val="003F345A"/>
    <w:rsid w:val="003F3469"/>
    <w:rsid w:val="003F4047"/>
    <w:rsid w:val="003F4A8D"/>
    <w:rsid w:val="003F4B8B"/>
    <w:rsid w:val="003F5203"/>
    <w:rsid w:val="003F54F4"/>
    <w:rsid w:val="003F6575"/>
    <w:rsid w:val="003F749F"/>
    <w:rsid w:val="003F7B15"/>
    <w:rsid w:val="004001B1"/>
    <w:rsid w:val="00401491"/>
    <w:rsid w:val="004030EA"/>
    <w:rsid w:val="004031EB"/>
    <w:rsid w:val="0040362B"/>
    <w:rsid w:val="00403C43"/>
    <w:rsid w:val="00403EE1"/>
    <w:rsid w:val="00403FE1"/>
    <w:rsid w:val="004043E8"/>
    <w:rsid w:val="004049C3"/>
    <w:rsid w:val="00405063"/>
    <w:rsid w:val="004055E4"/>
    <w:rsid w:val="004058CE"/>
    <w:rsid w:val="004075B3"/>
    <w:rsid w:val="00407685"/>
    <w:rsid w:val="00412847"/>
    <w:rsid w:val="00412A93"/>
    <w:rsid w:val="00412BA7"/>
    <w:rsid w:val="00412CDD"/>
    <w:rsid w:val="004135D7"/>
    <w:rsid w:val="004148AE"/>
    <w:rsid w:val="004159D3"/>
    <w:rsid w:val="004161E2"/>
    <w:rsid w:val="0041672C"/>
    <w:rsid w:val="00416C0B"/>
    <w:rsid w:val="00417984"/>
    <w:rsid w:val="00420A53"/>
    <w:rsid w:val="00420CEC"/>
    <w:rsid w:val="00420FF3"/>
    <w:rsid w:val="00421949"/>
    <w:rsid w:val="00421BC8"/>
    <w:rsid w:val="0042276B"/>
    <w:rsid w:val="00423167"/>
    <w:rsid w:val="004236FB"/>
    <w:rsid w:val="00424773"/>
    <w:rsid w:val="00425EC5"/>
    <w:rsid w:val="00426293"/>
    <w:rsid w:val="00426D30"/>
    <w:rsid w:val="004270A1"/>
    <w:rsid w:val="004308BA"/>
    <w:rsid w:val="004316AB"/>
    <w:rsid w:val="00431D44"/>
    <w:rsid w:val="00433E49"/>
    <w:rsid w:val="004351AE"/>
    <w:rsid w:val="004361FF"/>
    <w:rsid w:val="0043654D"/>
    <w:rsid w:val="00436610"/>
    <w:rsid w:val="004367F6"/>
    <w:rsid w:val="00436E6D"/>
    <w:rsid w:val="004400A6"/>
    <w:rsid w:val="00440470"/>
    <w:rsid w:val="00441748"/>
    <w:rsid w:val="00442013"/>
    <w:rsid w:val="00442D24"/>
    <w:rsid w:val="00443405"/>
    <w:rsid w:val="00444C4D"/>
    <w:rsid w:val="00444C94"/>
    <w:rsid w:val="00444CB0"/>
    <w:rsid w:val="004451B4"/>
    <w:rsid w:val="00445AEF"/>
    <w:rsid w:val="00445FBD"/>
    <w:rsid w:val="004460C8"/>
    <w:rsid w:val="0044695D"/>
    <w:rsid w:val="00446B3F"/>
    <w:rsid w:val="0044790D"/>
    <w:rsid w:val="00447D59"/>
    <w:rsid w:val="00452A69"/>
    <w:rsid w:val="004548EE"/>
    <w:rsid w:val="00456133"/>
    <w:rsid w:val="004567D0"/>
    <w:rsid w:val="00456CDE"/>
    <w:rsid w:val="00456D66"/>
    <w:rsid w:val="004611B3"/>
    <w:rsid w:val="00461AD1"/>
    <w:rsid w:val="00462404"/>
    <w:rsid w:val="00463D3E"/>
    <w:rsid w:val="00464D32"/>
    <w:rsid w:val="004657B6"/>
    <w:rsid w:val="0046684B"/>
    <w:rsid w:val="00470334"/>
    <w:rsid w:val="004709F1"/>
    <w:rsid w:val="0047146F"/>
    <w:rsid w:val="004726E6"/>
    <w:rsid w:val="00474BF6"/>
    <w:rsid w:val="00474EDA"/>
    <w:rsid w:val="0047556D"/>
    <w:rsid w:val="00477055"/>
    <w:rsid w:val="00477D07"/>
    <w:rsid w:val="00477F0C"/>
    <w:rsid w:val="004818F9"/>
    <w:rsid w:val="00482032"/>
    <w:rsid w:val="0048212C"/>
    <w:rsid w:val="00484596"/>
    <w:rsid w:val="00484904"/>
    <w:rsid w:val="00485BBB"/>
    <w:rsid w:val="00487333"/>
    <w:rsid w:val="004902AC"/>
    <w:rsid w:val="00491D15"/>
    <w:rsid w:val="00492C40"/>
    <w:rsid w:val="00494056"/>
    <w:rsid w:val="004944AC"/>
    <w:rsid w:val="004954C4"/>
    <w:rsid w:val="004970ED"/>
    <w:rsid w:val="00497500"/>
    <w:rsid w:val="004A0254"/>
    <w:rsid w:val="004A0572"/>
    <w:rsid w:val="004A09D7"/>
    <w:rsid w:val="004A1561"/>
    <w:rsid w:val="004A20CF"/>
    <w:rsid w:val="004A2A0C"/>
    <w:rsid w:val="004A3A43"/>
    <w:rsid w:val="004A3E4D"/>
    <w:rsid w:val="004A5200"/>
    <w:rsid w:val="004A55AC"/>
    <w:rsid w:val="004A57FD"/>
    <w:rsid w:val="004A5E1C"/>
    <w:rsid w:val="004A64C4"/>
    <w:rsid w:val="004A7DA3"/>
    <w:rsid w:val="004B058D"/>
    <w:rsid w:val="004B0836"/>
    <w:rsid w:val="004B0CDF"/>
    <w:rsid w:val="004B2480"/>
    <w:rsid w:val="004B2C4A"/>
    <w:rsid w:val="004B3050"/>
    <w:rsid w:val="004B534B"/>
    <w:rsid w:val="004B5944"/>
    <w:rsid w:val="004B63A0"/>
    <w:rsid w:val="004B6469"/>
    <w:rsid w:val="004B6C37"/>
    <w:rsid w:val="004B6E66"/>
    <w:rsid w:val="004B7B0B"/>
    <w:rsid w:val="004C0B55"/>
    <w:rsid w:val="004C0CAB"/>
    <w:rsid w:val="004C14C2"/>
    <w:rsid w:val="004C2858"/>
    <w:rsid w:val="004C431E"/>
    <w:rsid w:val="004C4B0C"/>
    <w:rsid w:val="004C51ED"/>
    <w:rsid w:val="004C5B06"/>
    <w:rsid w:val="004C792A"/>
    <w:rsid w:val="004D056A"/>
    <w:rsid w:val="004D1B5D"/>
    <w:rsid w:val="004D1E1E"/>
    <w:rsid w:val="004D1F6C"/>
    <w:rsid w:val="004D39B0"/>
    <w:rsid w:val="004D4AE1"/>
    <w:rsid w:val="004D5EDB"/>
    <w:rsid w:val="004D6284"/>
    <w:rsid w:val="004D67A7"/>
    <w:rsid w:val="004D6DFA"/>
    <w:rsid w:val="004D7216"/>
    <w:rsid w:val="004E02F5"/>
    <w:rsid w:val="004E0A48"/>
    <w:rsid w:val="004E0CAE"/>
    <w:rsid w:val="004E14F4"/>
    <w:rsid w:val="004E29B6"/>
    <w:rsid w:val="004E364A"/>
    <w:rsid w:val="004E5A5F"/>
    <w:rsid w:val="004E7146"/>
    <w:rsid w:val="004F044A"/>
    <w:rsid w:val="004F0729"/>
    <w:rsid w:val="004F13CA"/>
    <w:rsid w:val="004F1E54"/>
    <w:rsid w:val="004F2854"/>
    <w:rsid w:val="004F313A"/>
    <w:rsid w:val="004F34D7"/>
    <w:rsid w:val="004F3632"/>
    <w:rsid w:val="004F3A6D"/>
    <w:rsid w:val="004F42D3"/>
    <w:rsid w:val="004F69FB"/>
    <w:rsid w:val="004F6D3A"/>
    <w:rsid w:val="004F6D80"/>
    <w:rsid w:val="004F774D"/>
    <w:rsid w:val="004F7960"/>
    <w:rsid w:val="00500A39"/>
    <w:rsid w:val="0050117F"/>
    <w:rsid w:val="005029BD"/>
    <w:rsid w:val="00502E6B"/>
    <w:rsid w:val="005042FE"/>
    <w:rsid w:val="00505083"/>
    <w:rsid w:val="00505AF3"/>
    <w:rsid w:val="005072C5"/>
    <w:rsid w:val="0051047B"/>
    <w:rsid w:val="00510679"/>
    <w:rsid w:val="00510800"/>
    <w:rsid w:val="005116DD"/>
    <w:rsid w:val="005126C8"/>
    <w:rsid w:val="005139A4"/>
    <w:rsid w:val="00513D69"/>
    <w:rsid w:val="00514515"/>
    <w:rsid w:val="00515F29"/>
    <w:rsid w:val="005207F0"/>
    <w:rsid w:val="0052115B"/>
    <w:rsid w:val="00521947"/>
    <w:rsid w:val="00522260"/>
    <w:rsid w:val="005244FA"/>
    <w:rsid w:val="005251D1"/>
    <w:rsid w:val="00525E80"/>
    <w:rsid w:val="00526739"/>
    <w:rsid w:val="0052782F"/>
    <w:rsid w:val="00527A3E"/>
    <w:rsid w:val="00527D74"/>
    <w:rsid w:val="005307CE"/>
    <w:rsid w:val="00530FA4"/>
    <w:rsid w:val="005315E6"/>
    <w:rsid w:val="00531AD8"/>
    <w:rsid w:val="005339F8"/>
    <w:rsid w:val="005346FC"/>
    <w:rsid w:val="00534D4F"/>
    <w:rsid w:val="0053551F"/>
    <w:rsid w:val="005356C9"/>
    <w:rsid w:val="00536267"/>
    <w:rsid w:val="0053640D"/>
    <w:rsid w:val="00536E68"/>
    <w:rsid w:val="00537FC2"/>
    <w:rsid w:val="005408E5"/>
    <w:rsid w:val="005409A9"/>
    <w:rsid w:val="00541853"/>
    <w:rsid w:val="005419A2"/>
    <w:rsid w:val="00542054"/>
    <w:rsid w:val="00543EC1"/>
    <w:rsid w:val="00544BE8"/>
    <w:rsid w:val="005457EA"/>
    <w:rsid w:val="00545B22"/>
    <w:rsid w:val="005472E7"/>
    <w:rsid w:val="00551A43"/>
    <w:rsid w:val="005528A7"/>
    <w:rsid w:val="0055392A"/>
    <w:rsid w:val="00553BFB"/>
    <w:rsid w:val="00553C1E"/>
    <w:rsid w:val="00555AD8"/>
    <w:rsid w:val="00556F37"/>
    <w:rsid w:val="0055713B"/>
    <w:rsid w:val="00557726"/>
    <w:rsid w:val="00560A97"/>
    <w:rsid w:val="00561979"/>
    <w:rsid w:val="00561D0A"/>
    <w:rsid w:val="00561D30"/>
    <w:rsid w:val="00561D90"/>
    <w:rsid w:val="005629DC"/>
    <w:rsid w:val="00563959"/>
    <w:rsid w:val="00563F06"/>
    <w:rsid w:val="0056421A"/>
    <w:rsid w:val="00564950"/>
    <w:rsid w:val="0056730A"/>
    <w:rsid w:val="0057099D"/>
    <w:rsid w:val="0057120A"/>
    <w:rsid w:val="0057288B"/>
    <w:rsid w:val="0057361D"/>
    <w:rsid w:val="00573ECC"/>
    <w:rsid w:val="005751ED"/>
    <w:rsid w:val="00575E24"/>
    <w:rsid w:val="00575F7A"/>
    <w:rsid w:val="0057640C"/>
    <w:rsid w:val="0057769B"/>
    <w:rsid w:val="00577EE2"/>
    <w:rsid w:val="00580828"/>
    <w:rsid w:val="005810C6"/>
    <w:rsid w:val="00581310"/>
    <w:rsid w:val="005820D1"/>
    <w:rsid w:val="00582AF0"/>
    <w:rsid w:val="00582D1D"/>
    <w:rsid w:val="00583272"/>
    <w:rsid w:val="00583800"/>
    <w:rsid w:val="00584CF4"/>
    <w:rsid w:val="005854D3"/>
    <w:rsid w:val="00585882"/>
    <w:rsid w:val="00585B10"/>
    <w:rsid w:val="00585C30"/>
    <w:rsid w:val="00586611"/>
    <w:rsid w:val="00586AE9"/>
    <w:rsid w:val="00590F22"/>
    <w:rsid w:val="0059101B"/>
    <w:rsid w:val="00592939"/>
    <w:rsid w:val="0059295B"/>
    <w:rsid w:val="00593004"/>
    <w:rsid w:val="00593248"/>
    <w:rsid w:val="0059370B"/>
    <w:rsid w:val="00596A29"/>
    <w:rsid w:val="0059733A"/>
    <w:rsid w:val="00597416"/>
    <w:rsid w:val="00597727"/>
    <w:rsid w:val="00597B8D"/>
    <w:rsid w:val="00597F80"/>
    <w:rsid w:val="005A0B6B"/>
    <w:rsid w:val="005A0CBA"/>
    <w:rsid w:val="005A0D5E"/>
    <w:rsid w:val="005A122A"/>
    <w:rsid w:val="005A1966"/>
    <w:rsid w:val="005A19CF"/>
    <w:rsid w:val="005A1FFE"/>
    <w:rsid w:val="005A3DD8"/>
    <w:rsid w:val="005A5AA9"/>
    <w:rsid w:val="005A5D06"/>
    <w:rsid w:val="005A6292"/>
    <w:rsid w:val="005A6802"/>
    <w:rsid w:val="005A68F8"/>
    <w:rsid w:val="005A6D8F"/>
    <w:rsid w:val="005B12F3"/>
    <w:rsid w:val="005B197C"/>
    <w:rsid w:val="005B1C5B"/>
    <w:rsid w:val="005B23AB"/>
    <w:rsid w:val="005B2B85"/>
    <w:rsid w:val="005B2C1D"/>
    <w:rsid w:val="005B342F"/>
    <w:rsid w:val="005B3468"/>
    <w:rsid w:val="005B4FAA"/>
    <w:rsid w:val="005B53C9"/>
    <w:rsid w:val="005B5DE1"/>
    <w:rsid w:val="005B6053"/>
    <w:rsid w:val="005B6CC1"/>
    <w:rsid w:val="005B6D92"/>
    <w:rsid w:val="005B6FD0"/>
    <w:rsid w:val="005C046F"/>
    <w:rsid w:val="005C0AD7"/>
    <w:rsid w:val="005C2357"/>
    <w:rsid w:val="005C2BC5"/>
    <w:rsid w:val="005C3068"/>
    <w:rsid w:val="005C3297"/>
    <w:rsid w:val="005C4350"/>
    <w:rsid w:val="005C4D6C"/>
    <w:rsid w:val="005C5113"/>
    <w:rsid w:val="005C5D84"/>
    <w:rsid w:val="005D025F"/>
    <w:rsid w:val="005D0324"/>
    <w:rsid w:val="005D052C"/>
    <w:rsid w:val="005D10B7"/>
    <w:rsid w:val="005D12F9"/>
    <w:rsid w:val="005D1E5B"/>
    <w:rsid w:val="005D240A"/>
    <w:rsid w:val="005D3DF6"/>
    <w:rsid w:val="005D40B9"/>
    <w:rsid w:val="005D4139"/>
    <w:rsid w:val="005D41D0"/>
    <w:rsid w:val="005D48C4"/>
    <w:rsid w:val="005D4D5B"/>
    <w:rsid w:val="005D6172"/>
    <w:rsid w:val="005D63EA"/>
    <w:rsid w:val="005D6404"/>
    <w:rsid w:val="005D6B75"/>
    <w:rsid w:val="005D7115"/>
    <w:rsid w:val="005D7118"/>
    <w:rsid w:val="005D7458"/>
    <w:rsid w:val="005D79BE"/>
    <w:rsid w:val="005D7FBF"/>
    <w:rsid w:val="005E0AC4"/>
    <w:rsid w:val="005E0D92"/>
    <w:rsid w:val="005E1CDB"/>
    <w:rsid w:val="005E1F8F"/>
    <w:rsid w:val="005E2537"/>
    <w:rsid w:val="005E25BD"/>
    <w:rsid w:val="005E2E08"/>
    <w:rsid w:val="005E35AF"/>
    <w:rsid w:val="005E43F3"/>
    <w:rsid w:val="005E5306"/>
    <w:rsid w:val="005E5413"/>
    <w:rsid w:val="005E58CA"/>
    <w:rsid w:val="005E7047"/>
    <w:rsid w:val="005E732A"/>
    <w:rsid w:val="005F0F9B"/>
    <w:rsid w:val="005F27CD"/>
    <w:rsid w:val="005F2E2A"/>
    <w:rsid w:val="005F31B7"/>
    <w:rsid w:val="005F418F"/>
    <w:rsid w:val="005F4194"/>
    <w:rsid w:val="005F548D"/>
    <w:rsid w:val="005F5621"/>
    <w:rsid w:val="005F5676"/>
    <w:rsid w:val="005F7B30"/>
    <w:rsid w:val="005F7E9D"/>
    <w:rsid w:val="005F7F1C"/>
    <w:rsid w:val="00602BCA"/>
    <w:rsid w:val="00603FF1"/>
    <w:rsid w:val="00604C9C"/>
    <w:rsid w:val="00604D4E"/>
    <w:rsid w:val="00606D33"/>
    <w:rsid w:val="006076DB"/>
    <w:rsid w:val="00607B33"/>
    <w:rsid w:val="00607F79"/>
    <w:rsid w:val="006105B2"/>
    <w:rsid w:val="00610AFA"/>
    <w:rsid w:val="00611B27"/>
    <w:rsid w:val="00611FF6"/>
    <w:rsid w:val="00612628"/>
    <w:rsid w:val="00612A43"/>
    <w:rsid w:val="00612DDA"/>
    <w:rsid w:val="00613167"/>
    <w:rsid w:val="006141FC"/>
    <w:rsid w:val="006147FD"/>
    <w:rsid w:val="00615049"/>
    <w:rsid w:val="00615C33"/>
    <w:rsid w:val="006177D4"/>
    <w:rsid w:val="00620170"/>
    <w:rsid w:val="0062230A"/>
    <w:rsid w:val="0062254B"/>
    <w:rsid w:val="0062368A"/>
    <w:rsid w:val="00624289"/>
    <w:rsid w:val="0062454D"/>
    <w:rsid w:val="0062519C"/>
    <w:rsid w:val="00630417"/>
    <w:rsid w:val="0063172D"/>
    <w:rsid w:val="006320A7"/>
    <w:rsid w:val="006321E0"/>
    <w:rsid w:val="0063398F"/>
    <w:rsid w:val="0063412B"/>
    <w:rsid w:val="00634455"/>
    <w:rsid w:val="00635DB3"/>
    <w:rsid w:val="00640540"/>
    <w:rsid w:val="00640779"/>
    <w:rsid w:val="00641BE1"/>
    <w:rsid w:val="00642022"/>
    <w:rsid w:val="00643AD7"/>
    <w:rsid w:val="006446C0"/>
    <w:rsid w:val="006449BA"/>
    <w:rsid w:val="006460B2"/>
    <w:rsid w:val="006461B9"/>
    <w:rsid w:val="00647DFB"/>
    <w:rsid w:val="00650243"/>
    <w:rsid w:val="006503F7"/>
    <w:rsid w:val="0065051F"/>
    <w:rsid w:val="00652066"/>
    <w:rsid w:val="00654872"/>
    <w:rsid w:val="00655ADE"/>
    <w:rsid w:val="006563B6"/>
    <w:rsid w:val="0065668D"/>
    <w:rsid w:val="00657B57"/>
    <w:rsid w:val="0066135A"/>
    <w:rsid w:val="006617A0"/>
    <w:rsid w:val="006618B4"/>
    <w:rsid w:val="00661B1D"/>
    <w:rsid w:val="00662A8D"/>
    <w:rsid w:val="0066311B"/>
    <w:rsid w:val="006633D0"/>
    <w:rsid w:val="0066405F"/>
    <w:rsid w:val="00664C35"/>
    <w:rsid w:val="00665CED"/>
    <w:rsid w:val="00666D30"/>
    <w:rsid w:val="00670102"/>
    <w:rsid w:val="00670B61"/>
    <w:rsid w:val="006713EF"/>
    <w:rsid w:val="00671B8E"/>
    <w:rsid w:val="00672130"/>
    <w:rsid w:val="00672791"/>
    <w:rsid w:val="00672ADD"/>
    <w:rsid w:val="0067396D"/>
    <w:rsid w:val="00673D4A"/>
    <w:rsid w:val="00674001"/>
    <w:rsid w:val="00674BEB"/>
    <w:rsid w:val="00674E7E"/>
    <w:rsid w:val="00675469"/>
    <w:rsid w:val="0067567D"/>
    <w:rsid w:val="00677167"/>
    <w:rsid w:val="00677BD9"/>
    <w:rsid w:val="00680E66"/>
    <w:rsid w:val="00681568"/>
    <w:rsid w:val="00681F03"/>
    <w:rsid w:val="00682884"/>
    <w:rsid w:val="006829B0"/>
    <w:rsid w:val="00683649"/>
    <w:rsid w:val="0068432C"/>
    <w:rsid w:val="00685D17"/>
    <w:rsid w:val="00685F38"/>
    <w:rsid w:val="006864DC"/>
    <w:rsid w:val="00686550"/>
    <w:rsid w:val="00690093"/>
    <w:rsid w:val="006901C2"/>
    <w:rsid w:val="00690C52"/>
    <w:rsid w:val="00691722"/>
    <w:rsid w:val="0069183E"/>
    <w:rsid w:val="00691AF8"/>
    <w:rsid w:val="00693237"/>
    <w:rsid w:val="006938CD"/>
    <w:rsid w:val="00693A88"/>
    <w:rsid w:val="0069494E"/>
    <w:rsid w:val="006949C0"/>
    <w:rsid w:val="00695123"/>
    <w:rsid w:val="00695874"/>
    <w:rsid w:val="00695910"/>
    <w:rsid w:val="0069722A"/>
    <w:rsid w:val="00697C8D"/>
    <w:rsid w:val="006A1746"/>
    <w:rsid w:val="006A17C3"/>
    <w:rsid w:val="006A1D22"/>
    <w:rsid w:val="006A1ED9"/>
    <w:rsid w:val="006A30AC"/>
    <w:rsid w:val="006A3CE8"/>
    <w:rsid w:val="006A45D0"/>
    <w:rsid w:val="006A525F"/>
    <w:rsid w:val="006A594A"/>
    <w:rsid w:val="006A5F92"/>
    <w:rsid w:val="006A72D1"/>
    <w:rsid w:val="006B040E"/>
    <w:rsid w:val="006B0C52"/>
    <w:rsid w:val="006B1413"/>
    <w:rsid w:val="006B3632"/>
    <w:rsid w:val="006B5E89"/>
    <w:rsid w:val="006B5F34"/>
    <w:rsid w:val="006C0B6D"/>
    <w:rsid w:val="006C1C97"/>
    <w:rsid w:val="006C2243"/>
    <w:rsid w:val="006C2386"/>
    <w:rsid w:val="006C30FA"/>
    <w:rsid w:val="006C494D"/>
    <w:rsid w:val="006C5634"/>
    <w:rsid w:val="006C57AB"/>
    <w:rsid w:val="006C68AA"/>
    <w:rsid w:val="006C6993"/>
    <w:rsid w:val="006D1113"/>
    <w:rsid w:val="006D1B8C"/>
    <w:rsid w:val="006D62A1"/>
    <w:rsid w:val="006D6560"/>
    <w:rsid w:val="006D68DB"/>
    <w:rsid w:val="006D6E70"/>
    <w:rsid w:val="006E0471"/>
    <w:rsid w:val="006E0549"/>
    <w:rsid w:val="006E1041"/>
    <w:rsid w:val="006E104B"/>
    <w:rsid w:val="006E191F"/>
    <w:rsid w:val="006E1A52"/>
    <w:rsid w:val="006E5363"/>
    <w:rsid w:val="006E5488"/>
    <w:rsid w:val="006E5B27"/>
    <w:rsid w:val="006E7304"/>
    <w:rsid w:val="006E75BA"/>
    <w:rsid w:val="006E785E"/>
    <w:rsid w:val="006E7B93"/>
    <w:rsid w:val="006F122D"/>
    <w:rsid w:val="006F16E3"/>
    <w:rsid w:val="006F2457"/>
    <w:rsid w:val="006F41C5"/>
    <w:rsid w:val="006F463B"/>
    <w:rsid w:val="006F48D5"/>
    <w:rsid w:val="006F4A4E"/>
    <w:rsid w:val="006F52E0"/>
    <w:rsid w:val="006F59B8"/>
    <w:rsid w:val="006F6143"/>
    <w:rsid w:val="006F6512"/>
    <w:rsid w:val="006F6789"/>
    <w:rsid w:val="006F7BDF"/>
    <w:rsid w:val="006F7C25"/>
    <w:rsid w:val="007000B6"/>
    <w:rsid w:val="00700F40"/>
    <w:rsid w:val="007019CD"/>
    <w:rsid w:val="0070240E"/>
    <w:rsid w:val="00702728"/>
    <w:rsid w:val="00702BB2"/>
    <w:rsid w:val="007035ED"/>
    <w:rsid w:val="00703D5C"/>
    <w:rsid w:val="007042DB"/>
    <w:rsid w:val="007048AA"/>
    <w:rsid w:val="00704A01"/>
    <w:rsid w:val="007063CC"/>
    <w:rsid w:val="00707202"/>
    <w:rsid w:val="00707D69"/>
    <w:rsid w:val="00707DAD"/>
    <w:rsid w:val="007114FC"/>
    <w:rsid w:val="0071245B"/>
    <w:rsid w:val="007132C0"/>
    <w:rsid w:val="00714838"/>
    <w:rsid w:val="00714A6F"/>
    <w:rsid w:val="00715ADD"/>
    <w:rsid w:val="0071701A"/>
    <w:rsid w:val="00720EA5"/>
    <w:rsid w:val="00721D4F"/>
    <w:rsid w:val="0072293D"/>
    <w:rsid w:val="0072386C"/>
    <w:rsid w:val="00723A17"/>
    <w:rsid w:val="00724F08"/>
    <w:rsid w:val="00725751"/>
    <w:rsid w:val="0072591F"/>
    <w:rsid w:val="00726BF4"/>
    <w:rsid w:val="007277A8"/>
    <w:rsid w:val="00727C36"/>
    <w:rsid w:val="0073026D"/>
    <w:rsid w:val="0073172D"/>
    <w:rsid w:val="007322A1"/>
    <w:rsid w:val="00733316"/>
    <w:rsid w:val="00734D62"/>
    <w:rsid w:val="00736878"/>
    <w:rsid w:val="007372FE"/>
    <w:rsid w:val="00737449"/>
    <w:rsid w:val="00737800"/>
    <w:rsid w:val="00737D98"/>
    <w:rsid w:val="007419B9"/>
    <w:rsid w:val="0074267F"/>
    <w:rsid w:val="00743134"/>
    <w:rsid w:val="00743CF0"/>
    <w:rsid w:val="0074415E"/>
    <w:rsid w:val="0074484A"/>
    <w:rsid w:val="00744D67"/>
    <w:rsid w:val="007452FA"/>
    <w:rsid w:val="00745F32"/>
    <w:rsid w:val="007469DB"/>
    <w:rsid w:val="00747368"/>
    <w:rsid w:val="00747430"/>
    <w:rsid w:val="00750120"/>
    <w:rsid w:val="00750537"/>
    <w:rsid w:val="00750A14"/>
    <w:rsid w:val="00751DF3"/>
    <w:rsid w:val="007521A8"/>
    <w:rsid w:val="00752CA1"/>
    <w:rsid w:val="00753F15"/>
    <w:rsid w:val="0075474E"/>
    <w:rsid w:val="007552A6"/>
    <w:rsid w:val="007556C8"/>
    <w:rsid w:val="00760F55"/>
    <w:rsid w:val="007624BF"/>
    <w:rsid w:val="007631DC"/>
    <w:rsid w:val="0076422B"/>
    <w:rsid w:val="00764785"/>
    <w:rsid w:val="00765C00"/>
    <w:rsid w:val="007668A6"/>
    <w:rsid w:val="007677D9"/>
    <w:rsid w:val="007678A2"/>
    <w:rsid w:val="00771F0A"/>
    <w:rsid w:val="00772293"/>
    <w:rsid w:val="007729E5"/>
    <w:rsid w:val="0077321C"/>
    <w:rsid w:val="00774F0A"/>
    <w:rsid w:val="00775700"/>
    <w:rsid w:val="00776647"/>
    <w:rsid w:val="00783425"/>
    <w:rsid w:val="00783554"/>
    <w:rsid w:val="00786D04"/>
    <w:rsid w:val="00790476"/>
    <w:rsid w:val="00790A9E"/>
    <w:rsid w:val="007910C8"/>
    <w:rsid w:val="0079199E"/>
    <w:rsid w:val="00791FB7"/>
    <w:rsid w:val="00792864"/>
    <w:rsid w:val="007928EF"/>
    <w:rsid w:val="00792CB7"/>
    <w:rsid w:val="00794831"/>
    <w:rsid w:val="00797084"/>
    <w:rsid w:val="007973A3"/>
    <w:rsid w:val="007A01ED"/>
    <w:rsid w:val="007A0677"/>
    <w:rsid w:val="007A1F90"/>
    <w:rsid w:val="007A26C5"/>
    <w:rsid w:val="007A2E83"/>
    <w:rsid w:val="007A43A9"/>
    <w:rsid w:val="007A55D7"/>
    <w:rsid w:val="007A79BE"/>
    <w:rsid w:val="007A7B76"/>
    <w:rsid w:val="007B0B8E"/>
    <w:rsid w:val="007B32DB"/>
    <w:rsid w:val="007B4D09"/>
    <w:rsid w:val="007B5D15"/>
    <w:rsid w:val="007B67A5"/>
    <w:rsid w:val="007B76CB"/>
    <w:rsid w:val="007B7C82"/>
    <w:rsid w:val="007B7CB1"/>
    <w:rsid w:val="007C0A77"/>
    <w:rsid w:val="007C112C"/>
    <w:rsid w:val="007C1C61"/>
    <w:rsid w:val="007C328B"/>
    <w:rsid w:val="007C35B6"/>
    <w:rsid w:val="007C3E1C"/>
    <w:rsid w:val="007C40A0"/>
    <w:rsid w:val="007C4128"/>
    <w:rsid w:val="007C48C5"/>
    <w:rsid w:val="007C51AB"/>
    <w:rsid w:val="007C51E2"/>
    <w:rsid w:val="007C76FA"/>
    <w:rsid w:val="007D04DA"/>
    <w:rsid w:val="007D0E16"/>
    <w:rsid w:val="007D1128"/>
    <w:rsid w:val="007D238F"/>
    <w:rsid w:val="007D2E0C"/>
    <w:rsid w:val="007D4189"/>
    <w:rsid w:val="007D435D"/>
    <w:rsid w:val="007D449E"/>
    <w:rsid w:val="007D4967"/>
    <w:rsid w:val="007D66E5"/>
    <w:rsid w:val="007D7231"/>
    <w:rsid w:val="007E1AEA"/>
    <w:rsid w:val="007E2808"/>
    <w:rsid w:val="007E290A"/>
    <w:rsid w:val="007E36E8"/>
    <w:rsid w:val="007E422B"/>
    <w:rsid w:val="007E4A80"/>
    <w:rsid w:val="007E4B24"/>
    <w:rsid w:val="007E4CF5"/>
    <w:rsid w:val="007E5245"/>
    <w:rsid w:val="007E6A21"/>
    <w:rsid w:val="007F0D73"/>
    <w:rsid w:val="007F2563"/>
    <w:rsid w:val="007F3C2B"/>
    <w:rsid w:val="007F4245"/>
    <w:rsid w:val="007F4718"/>
    <w:rsid w:val="007F4755"/>
    <w:rsid w:val="007F6B82"/>
    <w:rsid w:val="00800162"/>
    <w:rsid w:val="0080028E"/>
    <w:rsid w:val="00800B7E"/>
    <w:rsid w:val="0080118F"/>
    <w:rsid w:val="008012DA"/>
    <w:rsid w:val="00801B1B"/>
    <w:rsid w:val="008024B9"/>
    <w:rsid w:val="008024D0"/>
    <w:rsid w:val="008037A4"/>
    <w:rsid w:val="00803C47"/>
    <w:rsid w:val="00804CDC"/>
    <w:rsid w:val="008051F5"/>
    <w:rsid w:val="008059E9"/>
    <w:rsid w:val="008060A6"/>
    <w:rsid w:val="008065B8"/>
    <w:rsid w:val="008066A8"/>
    <w:rsid w:val="00806DDB"/>
    <w:rsid w:val="008073C0"/>
    <w:rsid w:val="0080757D"/>
    <w:rsid w:val="00807B3C"/>
    <w:rsid w:val="00812A5D"/>
    <w:rsid w:val="00813DE7"/>
    <w:rsid w:val="00814586"/>
    <w:rsid w:val="008162DB"/>
    <w:rsid w:val="00816776"/>
    <w:rsid w:val="008200C5"/>
    <w:rsid w:val="008201B1"/>
    <w:rsid w:val="00821804"/>
    <w:rsid w:val="00821FE9"/>
    <w:rsid w:val="00821FEF"/>
    <w:rsid w:val="00822D0A"/>
    <w:rsid w:val="00822E79"/>
    <w:rsid w:val="00823137"/>
    <w:rsid w:val="008248FC"/>
    <w:rsid w:val="00825241"/>
    <w:rsid w:val="00825571"/>
    <w:rsid w:val="00825F01"/>
    <w:rsid w:val="00830D8D"/>
    <w:rsid w:val="00830DD1"/>
    <w:rsid w:val="00831722"/>
    <w:rsid w:val="00832EC9"/>
    <w:rsid w:val="00833382"/>
    <w:rsid w:val="0083490D"/>
    <w:rsid w:val="00835499"/>
    <w:rsid w:val="00841184"/>
    <w:rsid w:val="00841D4E"/>
    <w:rsid w:val="00842A22"/>
    <w:rsid w:val="00843273"/>
    <w:rsid w:val="008432A2"/>
    <w:rsid w:val="00843520"/>
    <w:rsid w:val="00844CAE"/>
    <w:rsid w:val="00846622"/>
    <w:rsid w:val="008469B4"/>
    <w:rsid w:val="00847783"/>
    <w:rsid w:val="00851298"/>
    <w:rsid w:val="008516EF"/>
    <w:rsid w:val="0085498B"/>
    <w:rsid w:val="00854C98"/>
    <w:rsid w:val="00855536"/>
    <w:rsid w:val="00855FEB"/>
    <w:rsid w:val="00856FBF"/>
    <w:rsid w:val="0085713E"/>
    <w:rsid w:val="00857B84"/>
    <w:rsid w:val="008606CD"/>
    <w:rsid w:val="0086122E"/>
    <w:rsid w:val="008616F4"/>
    <w:rsid w:val="00861E10"/>
    <w:rsid w:val="00861F32"/>
    <w:rsid w:val="00862DFF"/>
    <w:rsid w:val="008642D1"/>
    <w:rsid w:val="0086579F"/>
    <w:rsid w:val="00865919"/>
    <w:rsid w:val="00865AC3"/>
    <w:rsid w:val="008664D2"/>
    <w:rsid w:val="008665AF"/>
    <w:rsid w:val="0086710E"/>
    <w:rsid w:val="008679B6"/>
    <w:rsid w:val="0087039D"/>
    <w:rsid w:val="00871828"/>
    <w:rsid w:val="00872A30"/>
    <w:rsid w:val="00873468"/>
    <w:rsid w:val="00873D87"/>
    <w:rsid w:val="008761DB"/>
    <w:rsid w:val="00876299"/>
    <w:rsid w:val="008765BF"/>
    <w:rsid w:val="008768CB"/>
    <w:rsid w:val="0087756C"/>
    <w:rsid w:val="00880422"/>
    <w:rsid w:val="00881534"/>
    <w:rsid w:val="00882064"/>
    <w:rsid w:val="00883172"/>
    <w:rsid w:val="00883868"/>
    <w:rsid w:val="00883F08"/>
    <w:rsid w:val="008851D5"/>
    <w:rsid w:val="0088556E"/>
    <w:rsid w:val="00885616"/>
    <w:rsid w:val="00885853"/>
    <w:rsid w:val="00885D8A"/>
    <w:rsid w:val="008866F7"/>
    <w:rsid w:val="00887078"/>
    <w:rsid w:val="0088724C"/>
    <w:rsid w:val="00887813"/>
    <w:rsid w:val="0089051D"/>
    <w:rsid w:val="008924DD"/>
    <w:rsid w:val="00893FF0"/>
    <w:rsid w:val="00894DFF"/>
    <w:rsid w:val="008953E1"/>
    <w:rsid w:val="00896827"/>
    <w:rsid w:val="00896FE8"/>
    <w:rsid w:val="008971F9"/>
    <w:rsid w:val="00897227"/>
    <w:rsid w:val="008975E3"/>
    <w:rsid w:val="008A067A"/>
    <w:rsid w:val="008A132B"/>
    <w:rsid w:val="008A28E3"/>
    <w:rsid w:val="008A2E16"/>
    <w:rsid w:val="008A30AE"/>
    <w:rsid w:val="008A34D8"/>
    <w:rsid w:val="008A3B9A"/>
    <w:rsid w:val="008A45B3"/>
    <w:rsid w:val="008A4DF5"/>
    <w:rsid w:val="008A5BA5"/>
    <w:rsid w:val="008A5F7A"/>
    <w:rsid w:val="008B0A09"/>
    <w:rsid w:val="008B11C9"/>
    <w:rsid w:val="008B127E"/>
    <w:rsid w:val="008B2FE9"/>
    <w:rsid w:val="008B4C5B"/>
    <w:rsid w:val="008B515B"/>
    <w:rsid w:val="008B5CE3"/>
    <w:rsid w:val="008B5E9A"/>
    <w:rsid w:val="008B74ED"/>
    <w:rsid w:val="008C18D3"/>
    <w:rsid w:val="008C1B7E"/>
    <w:rsid w:val="008C3AC1"/>
    <w:rsid w:val="008C3F73"/>
    <w:rsid w:val="008C422C"/>
    <w:rsid w:val="008C45F4"/>
    <w:rsid w:val="008C4DE7"/>
    <w:rsid w:val="008C752F"/>
    <w:rsid w:val="008D04A4"/>
    <w:rsid w:val="008D0FC1"/>
    <w:rsid w:val="008D204A"/>
    <w:rsid w:val="008D3218"/>
    <w:rsid w:val="008D33CD"/>
    <w:rsid w:val="008D3862"/>
    <w:rsid w:val="008D4910"/>
    <w:rsid w:val="008D56BB"/>
    <w:rsid w:val="008D6ED3"/>
    <w:rsid w:val="008E0053"/>
    <w:rsid w:val="008E0AA3"/>
    <w:rsid w:val="008E159A"/>
    <w:rsid w:val="008E1A39"/>
    <w:rsid w:val="008E2707"/>
    <w:rsid w:val="008E3697"/>
    <w:rsid w:val="008E36A8"/>
    <w:rsid w:val="008E6375"/>
    <w:rsid w:val="008E67DD"/>
    <w:rsid w:val="008E6ED1"/>
    <w:rsid w:val="008E7380"/>
    <w:rsid w:val="008E7BBC"/>
    <w:rsid w:val="008F01E6"/>
    <w:rsid w:val="008F293A"/>
    <w:rsid w:val="008F2F27"/>
    <w:rsid w:val="008F4A52"/>
    <w:rsid w:val="008F4B69"/>
    <w:rsid w:val="008F50B2"/>
    <w:rsid w:val="008F537B"/>
    <w:rsid w:val="008F6227"/>
    <w:rsid w:val="008F6A13"/>
    <w:rsid w:val="008F77DD"/>
    <w:rsid w:val="008F7956"/>
    <w:rsid w:val="008F7F1B"/>
    <w:rsid w:val="0090012F"/>
    <w:rsid w:val="00900D0A"/>
    <w:rsid w:val="009029DC"/>
    <w:rsid w:val="00903AFD"/>
    <w:rsid w:val="00903C23"/>
    <w:rsid w:val="00903FFB"/>
    <w:rsid w:val="00904706"/>
    <w:rsid w:val="00906B3B"/>
    <w:rsid w:val="009076E2"/>
    <w:rsid w:val="009078E4"/>
    <w:rsid w:val="00913A30"/>
    <w:rsid w:val="009146CC"/>
    <w:rsid w:val="009147DF"/>
    <w:rsid w:val="00915B5D"/>
    <w:rsid w:val="00916A1B"/>
    <w:rsid w:val="00916BB4"/>
    <w:rsid w:val="00917E3F"/>
    <w:rsid w:val="0092005F"/>
    <w:rsid w:val="00920BE9"/>
    <w:rsid w:val="009215D0"/>
    <w:rsid w:val="009224B1"/>
    <w:rsid w:val="009236B3"/>
    <w:rsid w:val="00923E18"/>
    <w:rsid w:val="009245A8"/>
    <w:rsid w:val="009251B1"/>
    <w:rsid w:val="0092635A"/>
    <w:rsid w:val="0093023F"/>
    <w:rsid w:val="00932A6C"/>
    <w:rsid w:val="00932A7B"/>
    <w:rsid w:val="00932ABF"/>
    <w:rsid w:val="009337F7"/>
    <w:rsid w:val="00934057"/>
    <w:rsid w:val="00935597"/>
    <w:rsid w:val="00935774"/>
    <w:rsid w:val="00935C1A"/>
    <w:rsid w:val="00936755"/>
    <w:rsid w:val="00937893"/>
    <w:rsid w:val="00940A4B"/>
    <w:rsid w:val="00940C2D"/>
    <w:rsid w:val="00940C31"/>
    <w:rsid w:val="00940DEF"/>
    <w:rsid w:val="009410D8"/>
    <w:rsid w:val="00941EFD"/>
    <w:rsid w:val="0094206C"/>
    <w:rsid w:val="009423E7"/>
    <w:rsid w:val="00944E05"/>
    <w:rsid w:val="00944F36"/>
    <w:rsid w:val="009456D4"/>
    <w:rsid w:val="009509C0"/>
    <w:rsid w:val="009519C4"/>
    <w:rsid w:val="00951DBD"/>
    <w:rsid w:val="009520C1"/>
    <w:rsid w:val="00952FCF"/>
    <w:rsid w:val="00954269"/>
    <w:rsid w:val="00955F1D"/>
    <w:rsid w:val="009561F1"/>
    <w:rsid w:val="009564F1"/>
    <w:rsid w:val="00956748"/>
    <w:rsid w:val="00956C42"/>
    <w:rsid w:val="00957C6C"/>
    <w:rsid w:val="00957C6E"/>
    <w:rsid w:val="00961FA6"/>
    <w:rsid w:val="009620D4"/>
    <w:rsid w:val="00963113"/>
    <w:rsid w:val="00964701"/>
    <w:rsid w:val="009647A2"/>
    <w:rsid w:val="00964D93"/>
    <w:rsid w:val="00964E85"/>
    <w:rsid w:val="009668F7"/>
    <w:rsid w:val="00967288"/>
    <w:rsid w:val="00970535"/>
    <w:rsid w:val="009712E4"/>
    <w:rsid w:val="00971C58"/>
    <w:rsid w:val="00971DA0"/>
    <w:rsid w:val="009737D7"/>
    <w:rsid w:val="00974E9A"/>
    <w:rsid w:val="00975545"/>
    <w:rsid w:val="00976B33"/>
    <w:rsid w:val="00976EC0"/>
    <w:rsid w:val="00977880"/>
    <w:rsid w:val="00977AD5"/>
    <w:rsid w:val="00981A1F"/>
    <w:rsid w:val="00981BBB"/>
    <w:rsid w:val="00981BF2"/>
    <w:rsid w:val="00982444"/>
    <w:rsid w:val="00982D6C"/>
    <w:rsid w:val="00983EF4"/>
    <w:rsid w:val="00984625"/>
    <w:rsid w:val="00984C8C"/>
    <w:rsid w:val="00984E52"/>
    <w:rsid w:val="00985BE4"/>
    <w:rsid w:val="00985DC9"/>
    <w:rsid w:val="009868B2"/>
    <w:rsid w:val="009869D3"/>
    <w:rsid w:val="00987169"/>
    <w:rsid w:val="00987C11"/>
    <w:rsid w:val="00991BA6"/>
    <w:rsid w:val="0099264A"/>
    <w:rsid w:val="009950B3"/>
    <w:rsid w:val="009A0E01"/>
    <w:rsid w:val="009A21E4"/>
    <w:rsid w:val="009A245F"/>
    <w:rsid w:val="009A468B"/>
    <w:rsid w:val="009A76CD"/>
    <w:rsid w:val="009B040A"/>
    <w:rsid w:val="009B238D"/>
    <w:rsid w:val="009B2E65"/>
    <w:rsid w:val="009B2ED2"/>
    <w:rsid w:val="009B5C15"/>
    <w:rsid w:val="009B62C9"/>
    <w:rsid w:val="009B6ECE"/>
    <w:rsid w:val="009B6FDE"/>
    <w:rsid w:val="009B7D49"/>
    <w:rsid w:val="009C0CAF"/>
    <w:rsid w:val="009C2C0B"/>
    <w:rsid w:val="009C3D50"/>
    <w:rsid w:val="009C40E0"/>
    <w:rsid w:val="009C44D4"/>
    <w:rsid w:val="009C4729"/>
    <w:rsid w:val="009C5698"/>
    <w:rsid w:val="009C5832"/>
    <w:rsid w:val="009C6894"/>
    <w:rsid w:val="009C7380"/>
    <w:rsid w:val="009D1C7E"/>
    <w:rsid w:val="009D4982"/>
    <w:rsid w:val="009D64B3"/>
    <w:rsid w:val="009D70DB"/>
    <w:rsid w:val="009E08C9"/>
    <w:rsid w:val="009E18D9"/>
    <w:rsid w:val="009E362B"/>
    <w:rsid w:val="009E5DF3"/>
    <w:rsid w:val="009E6160"/>
    <w:rsid w:val="009E750F"/>
    <w:rsid w:val="009E7C8A"/>
    <w:rsid w:val="009E7E43"/>
    <w:rsid w:val="009F07DE"/>
    <w:rsid w:val="009F1B81"/>
    <w:rsid w:val="009F2C2A"/>
    <w:rsid w:val="009F2E44"/>
    <w:rsid w:val="009F311A"/>
    <w:rsid w:val="009F33E7"/>
    <w:rsid w:val="009F3AEC"/>
    <w:rsid w:val="009F45C9"/>
    <w:rsid w:val="009F49E8"/>
    <w:rsid w:val="009F616B"/>
    <w:rsid w:val="00A00D5E"/>
    <w:rsid w:val="00A0332A"/>
    <w:rsid w:val="00A0338A"/>
    <w:rsid w:val="00A063C9"/>
    <w:rsid w:val="00A06D77"/>
    <w:rsid w:val="00A0757C"/>
    <w:rsid w:val="00A075E7"/>
    <w:rsid w:val="00A0792A"/>
    <w:rsid w:val="00A10D47"/>
    <w:rsid w:val="00A11602"/>
    <w:rsid w:val="00A14796"/>
    <w:rsid w:val="00A14CF2"/>
    <w:rsid w:val="00A14EE6"/>
    <w:rsid w:val="00A1519C"/>
    <w:rsid w:val="00A1548B"/>
    <w:rsid w:val="00A169B5"/>
    <w:rsid w:val="00A17217"/>
    <w:rsid w:val="00A2144E"/>
    <w:rsid w:val="00A21CE1"/>
    <w:rsid w:val="00A228A5"/>
    <w:rsid w:val="00A23264"/>
    <w:rsid w:val="00A2343E"/>
    <w:rsid w:val="00A23C34"/>
    <w:rsid w:val="00A24099"/>
    <w:rsid w:val="00A24753"/>
    <w:rsid w:val="00A24AB0"/>
    <w:rsid w:val="00A24C33"/>
    <w:rsid w:val="00A24E0E"/>
    <w:rsid w:val="00A2554D"/>
    <w:rsid w:val="00A257C6"/>
    <w:rsid w:val="00A25859"/>
    <w:rsid w:val="00A30E50"/>
    <w:rsid w:val="00A31C12"/>
    <w:rsid w:val="00A32024"/>
    <w:rsid w:val="00A32F4B"/>
    <w:rsid w:val="00A33768"/>
    <w:rsid w:val="00A34897"/>
    <w:rsid w:val="00A364AD"/>
    <w:rsid w:val="00A3695B"/>
    <w:rsid w:val="00A3729E"/>
    <w:rsid w:val="00A374D9"/>
    <w:rsid w:val="00A377B4"/>
    <w:rsid w:val="00A37C5A"/>
    <w:rsid w:val="00A4054A"/>
    <w:rsid w:val="00A4156B"/>
    <w:rsid w:val="00A41FB5"/>
    <w:rsid w:val="00A42659"/>
    <w:rsid w:val="00A43214"/>
    <w:rsid w:val="00A43DC4"/>
    <w:rsid w:val="00A43FCE"/>
    <w:rsid w:val="00A474FE"/>
    <w:rsid w:val="00A503E1"/>
    <w:rsid w:val="00A51E11"/>
    <w:rsid w:val="00A52414"/>
    <w:rsid w:val="00A53323"/>
    <w:rsid w:val="00A536E9"/>
    <w:rsid w:val="00A5493B"/>
    <w:rsid w:val="00A563FB"/>
    <w:rsid w:val="00A5662C"/>
    <w:rsid w:val="00A56A89"/>
    <w:rsid w:val="00A5704C"/>
    <w:rsid w:val="00A578C7"/>
    <w:rsid w:val="00A61201"/>
    <w:rsid w:val="00A61585"/>
    <w:rsid w:val="00A620EC"/>
    <w:rsid w:val="00A63929"/>
    <w:rsid w:val="00A63B3D"/>
    <w:rsid w:val="00A642F6"/>
    <w:rsid w:val="00A64B92"/>
    <w:rsid w:val="00A64D9B"/>
    <w:rsid w:val="00A6558F"/>
    <w:rsid w:val="00A65BD8"/>
    <w:rsid w:val="00A66131"/>
    <w:rsid w:val="00A66760"/>
    <w:rsid w:val="00A678D7"/>
    <w:rsid w:val="00A70691"/>
    <w:rsid w:val="00A7186B"/>
    <w:rsid w:val="00A727C1"/>
    <w:rsid w:val="00A7354C"/>
    <w:rsid w:val="00A74A72"/>
    <w:rsid w:val="00A750F5"/>
    <w:rsid w:val="00A76577"/>
    <w:rsid w:val="00A76A4C"/>
    <w:rsid w:val="00A80309"/>
    <w:rsid w:val="00A80A38"/>
    <w:rsid w:val="00A81506"/>
    <w:rsid w:val="00A84DEA"/>
    <w:rsid w:val="00A86144"/>
    <w:rsid w:val="00A86637"/>
    <w:rsid w:val="00A8674F"/>
    <w:rsid w:val="00A87051"/>
    <w:rsid w:val="00A871A1"/>
    <w:rsid w:val="00A876AB"/>
    <w:rsid w:val="00A878D3"/>
    <w:rsid w:val="00A87DB0"/>
    <w:rsid w:val="00A90B7B"/>
    <w:rsid w:val="00A90CCB"/>
    <w:rsid w:val="00A90F7B"/>
    <w:rsid w:val="00A91675"/>
    <w:rsid w:val="00A919FB"/>
    <w:rsid w:val="00A92D10"/>
    <w:rsid w:val="00A93822"/>
    <w:rsid w:val="00A93D6C"/>
    <w:rsid w:val="00A93F52"/>
    <w:rsid w:val="00A941A3"/>
    <w:rsid w:val="00A94890"/>
    <w:rsid w:val="00A95B7E"/>
    <w:rsid w:val="00A970C0"/>
    <w:rsid w:val="00A97D61"/>
    <w:rsid w:val="00AA1187"/>
    <w:rsid w:val="00AA12E5"/>
    <w:rsid w:val="00AA23E4"/>
    <w:rsid w:val="00AA3300"/>
    <w:rsid w:val="00AA37BB"/>
    <w:rsid w:val="00AA413E"/>
    <w:rsid w:val="00AA45CF"/>
    <w:rsid w:val="00AA4B92"/>
    <w:rsid w:val="00AA5701"/>
    <w:rsid w:val="00AA61AC"/>
    <w:rsid w:val="00AB0107"/>
    <w:rsid w:val="00AB0C00"/>
    <w:rsid w:val="00AB23B9"/>
    <w:rsid w:val="00AB2640"/>
    <w:rsid w:val="00AB2949"/>
    <w:rsid w:val="00AB2970"/>
    <w:rsid w:val="00AB3364"/>
    <w:rsid w:val="00AB3652"/>
    <w:rsid w:val="00AB377E"/>
    <w:rsid w:val="00AB3868"/>
    <w:rsid w:val="00AB475C"/>
    <w:rsid w:val="00AB4A26"/>
    <w:rsid w:val="00AB4C99"/>
    <w:rsid w:val="00AB4D58"/>
    <w:rsid w:val="00AB5FC4"/>
    <w:rsid w:val="00AB7F45"/>
    <w:rsid w:val="00AC0D8F"/>
    <w:rsid w:val="00AC224E"/>
    <w:rsid w:val="00AC25C1"/>
    <w:rsid w:val="00AC3E05"/>
    <w:rsid w:val="00AC46E6"/>
    <w:rsid w:val="00AC67AC"/>
    <w:rsid w:val="00AC684E"/>
    <w:rsid w:val="00AC6E00"/>
    <w:rsid w:val="00AC7AA4"/>
    <w:rsid w:val="00AD1763"/>
    <w:rsid w:val="00AD1DE3"/>
    <w:rsid w:val="00AD22E4"/>
    <w:rsid w:val="00AD4659"/>
    <w:rsid w:val="00AD4D34"/>
    <w:rsid w:val="00AD5312"/>
    <w:rsid w:val="00AD5C02"/>
    <w:rsid w:val="00AD5EA6"/>
    <w:rsid w:val="00AD6A08"/>
    <w:rsid w:val="00AD6F0E"/>
    <w:rsid w:val="00AD7D4D"/>
    <w:rsid w:val="00AD7E3F"/>
    <w:rsid w:val="00AE0386"/>
    <w:rsid w:val="00AE106A"/>
    <w:rsid w:val="00AE211C"/>
    <w:rsid w:val="00AE2196"/>
    <w:rsid w:val="00AE2FFF"/>
    <w:rsid w:val="00AE36E0"/>
    <w:rsid w:val="00AE3800"/>
    <w:rsid w:val="00AE4B60"/>
    <w:rsid w:val="00AE538C"/>
    <w:rsid w:val="00AE655B"/>
    <w:rsid w:val="00AE6BF1"/>
    <w:rsid w:val="00AE77FB"/>
    <w:rsid w:val="00AE7B50"/>
    <w:rsid w:val="00AF04A2"/>
    <w:rsid w:val="00AF1921"/>
    <w:rsid w:val="00AF1C59"/>
    <w:rsid w:val="00AF2F78"/>
    <w:rsid w:val="00AF32B4"/>
    <w:rsid w:val="00B0048E"/>
    <w:rsid w:val="00B01504"/>
    <w:rsid w:val="00B01731"/>
    <w:rsid w:val="00B01743"/>
    <w:rsid w:val="00B0218F"/>
    <w:rsid w:val="00B02F5A"/>
    <w:rsid w:val="00B02FFE"/>
    <w:rsid w:val="00B03CCF"/>
    <w:rsid w:val="00B0471B"/>
    <w:rsid w:val="00B06861"/>
    <w:rsid w:val="00B10E54"/>
    <w:rsid w:val="00B110C1"/>
    <w:rsid w:val="00B12A40"/>
    <w:rsid w:val="00B130AE"/>
    <w:rsid w:val="00B13B22"/>
    <w:rsid w:val="00B15B68"/>
    <w:rsid w:val="00B161E2"/>
    <w:rsid w:val="00B16278"/>
    <w:rsid w:val="00B178FF"/>
    <w:rsid w:val="00B20412"/>
    <w:rsid w:val="00B2255B"/>
    <w:rsid w:val="00B236F2"/>
    <w:rsid w:val="00B23DC1"/>
    <w:rsid w:val="00B257B8"/>
    <w:rsid w:val="00B26464"/>
    <w:rsid w:val="00B265AC"/>
    <w:rsid w:val="00B26A38"/>
    <w:rsid w:val="00B27021"/>
    <w:rsid w:val="00B27A2C"/>
    <w:rsid w:val="00B3026E"/>
    <w:rsid w:val="00B306CD"/>
    <w:rsid w:val="00B30700"/>
    <w:rsid w:val="00B31036"/>
    <w:rsid w:val="00B31C93"/>
    <w:rsid w:val="00B335CE"/>
    <w:rsid w:val="00B34123"/>
    <w:rsid w:val="00B37B69"/>
    <w:rsid w:val="00B42710"/>
    <w:rsid w:val="00B4295E"/>
    <w:rsid w:val="00B43EFE"/>
    <w:rsid w:val="00B44E16"/>
    <w:rsid w:val="00B4565A"/>
    <w:rsid w:val="00B45F6F"/>
    <w:rsid w:val="00B4622D"/>
    <w:rsid w:val="00B46349"/>
    <w:rsid w:val="00B50BA8"/>
    <w:rsid w:val="00B52AC6"/>
    <w:rsid w:val="00B53283"/>
    <w:rsid w:val="00B5454D"/>
    <w:rsid w:val="00B54980"/>
    <w:rsid w:val="00B55101"/>
    <w:rsid w:val="00B561A7"/>
    <w:rsid w:val="00B56A3B"/>
    <w:rsid w:val="00B56B07"/>
    <w:rsid w:val="00B57041"/>
    <w:rsid w:val="00B57100"/>
    <w:rsid w:val="00B579F5"/>
    <w:rsid w:val="00B62C1C"/>
    <w:rsid w:val="00B62FAE"/>
    <w:rsid w:val="00B633EC"/>
    <w:rsid w:val="00B63C0C"/>
    <w:rsid w:val="00B66762"/>
    <w:rsid w:val="00B67DC1"/>
    <w:rsid w:val="00B70CF3"/>
    <w:rsid w:val="00B71164"/>
    <w:rsid w:val="00B7179C"/>
    <w:rsid w:val="00B7267C"/>
    <w:rsid w:val="00B73549"/>
    <w:rsid w:val="00B73A79"/>
    <w:rsid w:val="00B75488"/>
    <w:rsid w:val="00B802AA"/>
    <w:rsid w:val="00B80A40"/>
    <w:rsid w:val="00B80B69"/>
    <w:rsid w:val="00B80E8F"/>
    <w:rsid w:val="00B82234"/>
    <w:rsid w:val="00B82762"/>
    <w:rsid w:val="00B8370A"/>
    <w:rsid w:val="00B839A7"/>
    <w:rsid w:val="00B843BC"/>
    <w:rsid w:val="00B84C77"/>
    <w:rsid w:val="00B8655D"/>
    <w:rsid w:val="00B87E6D"/>
    <w:rsid w:val="00B87E94"/>
    <w:rsid w:val="00B906D2"/>
    <w:rsid w:val="00B9072C"/>
    <w:rsid w:val="00B90FCC"/>
    <w:rsid w:val="00B91D4E"/>
    <w:rsid w:val="00B92CF4"/>
    <w:rsid w:val="00B933A6"/>
    <w:rsid w:val="00B949DB"/>
    <w:rsid w:val="00B97364"/>
    <w:rsid w:val="00B9770C"/>
    <w:rsid w:val="00B97D5A"/>
    <w:rsid w:val="00BA0AD5"/>
    <w:rsid w:val="00BA0EFB"/>
    <w:rsid w:val="00BA19A4"/>
    <w:rsid w:val="00BA211C"/>
    <w:rsid w:val="00BA293C"/>
    <w:rsid w:val="00BA3ECF"/>
    <w:rsid w:val="00BA6D32"/>
    <w:rsid w:val="00BA7998"/>
    <w:rsid w:val="00BB02A0"/>
    <w:rsid w:val="00BB070A"/>
    <w:rsid w:val="00BB1AB5"/>
    <w:rsid w:val="00BB2354"/>
    <w:rsid w:val="00BB4958"/>
    <w:rsid w:val="00BB5032"/>
    <w:rsid w:val="00BB57A8"/>
    <w:rsid w:val="00BB6118"/>
    <w:rsid w:val="00BB70E7"/>
    <w:rsid w:val="00BB7639"/>
    <w:rsid w:val="00BB796A"/>
    <w:rsid w:val="00BB79B6"/>
    <w:rsid w:val="00BC1260"/>
    <w:rsid w:val="00BC2807"/>
    <w:rsid w:val="00BC3518"/>
    <w:rsid w:val="00BC4A96"/>
    <w:rsid w:val="00BC575C"/>
    <w:rsid w:val="00BC5F27"/>
    <w:rsid w:val="00BC671C"/>
    <w:rsid w:val="00BC67BC"/>
    <w:rsid w:val="00BC75D5"/>
    <w:rsid w:val="00BD0133"/>
    <w:rsid w:val="00BD0943"/>
    <w:rsid w:val="00BD1095"/>
    <w:rsid w:val="00BD1138"/>
    <w:rsid w:val="00BD3355"/>
    <w:rsid w:val="00BD35A0"/>
    <w:rsid w:val="00BD384F"/>
    <w:rsid w:val="00BD3E13"/>
    <w:rsid w:val="00BD55C0"/>
    <w:rsid w:val="00BD5DE7"/>
    <w:rsid w:val="00BD7B92"/>
    <w:rsid w:val="00BE0D39"/>
    <w:rsid w:val="00BE1247"/>
    <w:rsid w:val="00BE16C6"/>
    <w:rsid w:val="00BE22A5"/>
    <w:rsid w:val="00BE34C1"/>
    <w:rsid w:val="00BE3CBD"/>
    <w:rsid w:val="00BE4ECB"/>
    <w:rsid w:val="00BE4F0C"/>
    <w:rsid w:val="00BE5244"/>
    <w:rsid w:val="00BE6BDC"/>
    <w:rsid w:val="00BF0796"/>
    <w:rsid w:val="00BF0B1E"/>
    <w:rsid w:val="00BF0CD6"/>
    <w:rsid w:val="00BF130A"/>
    <w:rsid w:val="00BF1977"/>
    <w:rsid w:val="00BF24BD"/>
    <w:rsid w:val="00BF361B"/>
    <w:rsid w:val="00BF4E81"/>
    <w:rsid w:val="00BF523D"/>
    <w:rsid w:val="00BF5D50"/>
    <w:rsid w:val="00BF6022"/>
    <w:rsid w:val="00BF60CB"/>
    <w:rsid w:val="00BF61A8"/>
    <w:rsid w:val="00BF6270"/>
    <w:rsid w:val="00BF64F8"/>
    <w:rsid w:val="00BF6595"/>
    <w:rsid w:val="00BF7584"/>
    <w:rsid w:val="00C01317"/>
    <w:rsid w:val="00C01D7B"/>
    <w:rsid w:val="00C02C68"/>
    <w:rsid w:val="00C03B19"/>
    <w:rsid w:val="00C0412A"/>
    <w:rsid w:val="00C04BC1"/>
    <w:rsid w:val="00C0502F"/>
    <w:rsid w:val="00C05084"/>
    <w:rsid w:val="00C052EC"/>
    <w:rsid w:val="00C061EB"/>
    <w:rsid w:val="00C06773"/>
    <w:rsid w:val="00C07A74"/>
    <w:rsid w:val="00C10724"/>
    <w:rsid w:val="00C114A9"/>
    <w:rsid w:val="00C11C77"/>
    <w:rsid w:val="00C121B9"/>
    <w:rsid w:val="00C12D9A"/>
    <w:rsid w:val="00C12DD6"/>
    <w:rsid w:val="00C13439"/>
    <w:rsid w:val="00C173A4"/>
    <w:rsid w:val="00C2198F"/>
    <w:rsid w:val="00C22C34"/>
    <w:rsid w:val="00C24390"/>
    <w:rsid w:val="00C244E1"/>
    <w:rsid w:val="00C2472F"/>
    <w:rsid w:val="00C24D0B"/>
    <w:rsid w:val="00C250F5"/>
    <w:rsid w:val="00C25566"/>
    <w:rsid w:val="00C273A7"/>
    <w:rsid w:val="00C27706"/>
    <w:rsid w:val="00C30129"/>
    <w:rsid w:val="00C30455"/>
    <w:rsid w:val="00C306AA"/>
    <w:rsid w:val="00C30EA9"/>
    <w:rsid w:val="00C32258"/>
    <w:rsid w:val="00C32D30"/>
    <w:rsid w:val="00C32E5C"/>
    <w:rsid w:val="00C33A27"/>
    <w:rsid w:val="00C34FBF"/>
    <w:rsid w:val="00C362F4"/>
    <w:rsid w:val="00C3706C"/>
    <w:rsid w:val="00C370E0"/>
    <w:rsid w:val="00C37549"/>
    <w:rsid w:val="00C37AD1"/>
    <w:rsid w:val="00C37FDD"/>
    <w:rsid w:val="00C40947"/>
    <w:rsid w:val="00C40C79"/>
    <w:rsid w:val="00C40CBE"/>
    <w:rsid w:val="00C427EA"/>
    <w:rsid w:val="00C42A49"/>
    <w:rsid w:val="00C42BDC"/>
    <w:rsid w:val="00C448B0"/>
    <w:rsid w:val="00C46161"/>
    <w:rsid w:val="00C478E0"/>
    <w:rsid w:val="00C50797"/>
    <w:rsid w:val="00C510C0"/>
    <w:rsid w:val="00C534BC"/>
    <w:rsid w:val="00C549CF"/>
    <w:rsid w:val="00C553C6"/>
    <w:rsid w:val="00C566DF"/>
    <w:rsid w:val="00C56C62"/>
    <w:rsid w:val="00C6004A"/>
    <w:rsid w:val="00C61DA4"/>
    <w:rsid w:val="00C637C6"/>
    <w:rsid w:val="00C63FEB"/>
    <w:rsid w:val="00C6615F"/>
    <w:rsid w:val="00C70A11"/>
    <w:rsid w:val="00C715CA"/>
    <w:rsid w:val="00C71FEB"/>
    <w:rsid w:val="00C7314B"/>
    <w:rsid w:val="00C73294"/>
    <w:rsid w:val="00C7379F"/>
    <w:rsid w:val="00C739A9"/>
    <w:rsid w:val="00C75F1E"/>
    <w:rsid w:val="00C7604C"/>
    <w:rsid w:val="00C76151"/>
    <w:rsid w:val="00C763EB"/>
    <w:rsid w:val="00C76B2C"/>
    <w:rsid w:val="00C77002"/>
    <w:rsid w:val="00C77419"/>
    <w:rsid w:val="00C80BF5"/>
    <w:rsid w:val="00C81DDF"/>
    <w:rsid w:val="00C83B64"/>
    <w:rsid w:val="00C83D2A"/>
    <w:rsid w:val="00C84A88"/>
    <w:rsid w:val="00C85D01"/>
    <w:rsid w:val="00C85FF7"/>
    <w:rsid w:val="00C8716F"/>
    <w:rsid w:val="00C9077F"/>
    <w:rsid w:val="00C90E8F"/>
    <w:rsid w:val="00C9136B"/>
    <w:rsid w:val="00C91500"/>
    <w:rsid w:val="00C91A92"/>
    <w:rsid w:val="00C923CC"/>
    <w:rsid w:val="00C929E8"/>
    <w:rsid w:val="00C932B4"/>
    <w:rsid w:val="00C93937"/>
    <w:rsid w:val="00C93DE2"/>
    <w:rsid w:val="00C94AB3"/>
    <w:rsid w:val="00C94D5B"/>
    <w:rsid w:val="00C954D0"/>
    <w:rsid w:val="00C9692B"/>
    <w:rsid w:val="00C96B66"/>
    <w:rsid w:val="00C96B68"/>
    <w:rsid w:val="00C97109"/>
    <w:rsid w:val="00C97AA8"/>
    <w:rsid w:val="00C97B9A"/>
    <w:rsid w:val="00CA00F0"/>
    <w:rsid w:val="00CA0D7E"/>
    <w:rsid w:val="00CA0FB1"/>
    <w:rsid w:val="00CA2480"/>
    <w:rsid w:val="00CA2618"/>
    <w:rsid w:val="00CA2F80"/>
    <w:rsid w:val="00CA452D"/>
    <w:rsid w:val="00CA52F4"/>
    <w:rsid w:val="00CA63B1"/>
    <w:rsid w:val="00CB043D"/>
    <w:rsid w:val="00CB44E3"/>
    <w:rsid w:val="00CB48EF"/>
    <w:rsid w:val="00CB6983"/>
    <w:rsid w:val="00CB7AB9"/>
    <w:rsid w:val="00CB7BC4"/>
    <w:rsid w:val="00CC1662"/>
    <w:rsid w:val="00CC24DA"/>
    <w:rsid w:val="00CC25F2"/>
    <w:rsid w:val="00CC2DC1"/>
    <w:rsid w:val="00CC318B"/>
    <w:rsid w:val="00CC32C2"/>
    <w:rsid w:val="00CC3530"/>
    <w:rsid w:val="00CC399D"/>
    <w:rsid w:val="00CC6375"/>
    <w:rsid w:val="00CC67D2"/>
    <w:rsid w:val="00CC6A65"/>
    <w:rsid w:val="00CC7110"/>
    <w:rsid w:val="00CD0DDC"/>
    <w:rsid w:val="00CD1031"/>
    <w:rsid w:val="00CD1749"/>
    <w:rsid w:val="00CD2A48"/>
    <w:rsid w:val="00CD2EF9"/>
    <w:rsid w:val="00CD331D"/>
    <w:rsid w:val="00CD4E8C"/>
    <w:rsid w:val="00CD54E2"/>
    <w:rsid w:val="00CD59B1"/>
    <w:rsid w:val="00CD6646"/>
    <w:rsid w:val="00CD7541"/>
    <w:rsid w:val="00CD7A1C"/>
    <w:rsid w:val="00CE01A2"/>
    <w:rsid w:val="00CE1EB4"/>
    <w:rsid w:val="00CE2285"/>
    <w:rsid w:val="00CE22BE"/>
    <w:rsid w:val="00CE49C0"/>
    <w:rsid w:val="00CE5012"/>
    <w:rsid w:val="00CE6E63"/>
    <w:rsid w:val="00CE7B29"/>
    <w:rsid w:val="00CF0EE4"/>
    <w:rsid w:val="00CF2630"/>
    <w:rsid w:val="00CF30FA"/>
    <w:rsid w:val="00CF33AB"/>
    <w:rsid w:val="00CF4A07"/>
    <w:rsid w:val="00CF4C7A"/>
    <w:rsid w:val="00CF4E34"/>
    <w:rsid w:val="00CF7B05"/>
    <w:rsid w:val="00D013E5"/>
    <w:rsid w:val="00D014D6"/>
    <w:rsid w:val="00D0176A"/>
    <w:rsid w:val="00D01815"/>
    <w:rsid w:val="00D02FB5"/>
    <w:rsid w:val="00D0518D"/>
    <w:rsid w:val="00D053DF"/>
    <w:rsid w:val="00D05EC3"/>
    <w:rsid w:val="00D060B1"/>
    <w:rsid w:val="00D06A2E"/>
    <w:rsid w:val="00D07672"/>
    <w:rsid w:val="00D07E61"/>
    <w:rsid w:val="00D10140"/>
    <w:rsid w:val="00D10AC1"/>
    <w:rsid w:val="00D11341"/>
    <w:rsid w:val="00D113E9"/>
    <w:rsid w:val="00D114E0"/>
    <w:rsid w:val="00D13440"/>
    <w:rsid w:val="00D13690"/>
    <w:rsid w:val="00D141A4"/>
    <w:rsid w:val="00D145EF"/>
    <w:rsid w:val="00D14DEE"/>
    <w:rsid w:val="00D158F1"/>
    <w:rsid w:val="00D15998"/>
    <w:rsid w:val="00D164A0"/>
    <w:rsid w:val="00D173FE"/>
    <w:rsid w:val="00D17E1B"/>
    <w:rsid w:val="00D200FE"/>
    <w:rsid w:val="00D20E9B"/>
    <w:rsid w:val="00D22026"/>
    <w:rsid w:val="00D23B04"/>
    <w:rsid w:val="00D24773"/>
    <w:rsid w:val="00D249DD"/>
    <w:rsid w:val="00D24B12"/>
    <w:rsid w:val="00D25A9E"/>
    <w:rsid w:val="00D26C07"/>
    <w:rsid w:val="00D27533"/>
    <w:rsid w:val="00D27700"/>
    <w:rsid w:val="00D30633"/>
    <w:rsid w:val="00D319B1"/>
    <w:rsid w:val="00D31F96"/>
    <w:rsid w:val="00D33C99"/>
    <w:rsid w:val="00D351C9"/>
    <w:rsid w:val="00D35727"/>
    <w:rsid w:val="00D35750"/>
    <w:rsid w:val="00D3655D"/>
    <w:rsid w:val="00D36634"/>
    <w:rsid w:val="00D36ECE"/>
    <w:rsid w:val="00D40311"/>
    <w:rsid w:val="00D43D0A"/>
    <w:rsid w:val="00D46992"/>
    <w:rsid w:val="00D472A3"/>
    <w:rsid w:val="00D52883"/>
    <w:rsid w:val="00D52A12"/>
    <w:rsid w:val="00D52F12"/>
    <w:rsid w:val="00D54D90"/>
    <w:rsid w:val="00D5536F"/>
    <w:rsid w:val="00D56401"/>
    <w:rsid w:val="00D56C6D"/>
    <w:rsid w:val="00D577DB"/>
    <w:rsid w:val="00D60090"/>
    <w:rsid w:val="00D60312"/>
    <w:rsid w:val="00D60521"/>
    <w:rsid w:val="00D6066C"/>
    <w:rsid w:val="00D610F9"/>
    <w:rsid w:val="00D61921"/>
    <w:rsid w:val="00D61A83"/>
    <w:rsid w:val="00D61C85"/>
    <w:rsid w:val="00D65AF3"/>
    <w:rsid w:val="00D661E3"/>
    <w:rsid w:val="00D66AF4"/>
    <w:rsid w:val="00D6719D"/>
    <w:rsid w:val="00D67788"/>
    <w:rsid w:val="00D67BE8"/>
    <w:rsid w:val="00D705DC"/>
    <w:rsid w:val="00D7090B"/>
    <w:rsid w:val="00D709BB"/>
    <w:rsid w:val="00D71C85"/>
    <w:rsid w:val="00D72A3D"/>
    <w:rsid w:val="00D752FF"/>
    <w:rsid w:val="00D7649A"/>
    <w:rsid w:val="00D770E2"/>
    <w:rsid w:val="00D773BC"/>
    <w:rsid w:val="00D77709"/>
    <w:rsid w:val="00D802E1"/>
    <w:rsid w:val="00D811EE"/>
    <w:rsid w:val="00D83ACF"/>
    <w:rsid w:val="00D83AD4"/>
    <w:rsid w:val="00D84A8F"/>
    <w:rsid w:val="00D84FEB"/>
    <w:rsid w:val="00D86037"/>
    <w:rsid w:val="00D87AED"/>
    <w:rsid w:val="00D906DF"/>
    <w:rsid w:val="00D908CD"/>
    <w:rsid w:val="00D90BAD"/>
    <w:rsid w:val="00D90CF9"/>
    <w:rsid w:val="00D9206C"/>
    <w:rsid w:val="00D92458"/>
    <w:rsid w:val="00D92A80"/>
    <w:rsid w:val="00D93893"/>
    <w:rsid w:val="00D949D3"/>
    <w:rsid w:val="00D94B74"/>
    <w:rsid w:val="00D94E10"/>
    <w:rsid w:val="00D94FC7"/>
    <w:rsid w:val="00D95322"/>
    <w:rsid w:val="00D95560"/>
    <w:rsid w:val="00D95A2B"/>
    <w:rsid w:val="00D95A8A"/>
    <w:rsid w:val="00D95D5E"/>
    <w:rsid w:val="00D97025"/>
    <w:rsid w:val="00D97B76"/>
    <w:rsid w:val="00D97CD7"/>
    <w:rsid w:val="00DA2052"/>
    <w:rsid w:val="00DA3326"/>
    <w:rsid w:val="00DA3A48"/>
    <w:rsid w:val="00DA5706"/>
    <w:rsid w:val="00DA5E6C"/>
    <w:rsid w:val="00DA624E"/>
    <w:rsid w:val="00DB0299"/>
    <w:rsid w:val="00DB2B12"/>
    <w:rsid w:val="00DB349A"/>
    <w:rsid w:val="00DB36EB"/>
    <w:rsid w:val="00DB39D4"/>
    <w:rsid w:val="00DB5038"/>
    <w:rsid w:val="00DB52B9"/>
    <w:rsid w:val="00DB56D3"/>
    <w:rsid w:val="00DC014C"/>
    <w:rsid w:val="00DC08C1"/>
    <w:rsid w:val="00DC2149"/>
    <w:rsid w:val="00DC242B"/>
    <w:rsid w:val="00DC28B8"/>
    <w:rsid w:val="00DC36BF"/>
    <w:rsid w:val="00DC3D88"/>
    <w:rsid w:val="00DC4CFF"/>
    <w:rsid w:val="00DC5375"/>
    <w:rsid w:val="00DC5B0A"/>
    <w:rsid w:val="00DC7858"/>
    <w:rsid w:val="00DD0367"/>
    <w:rsid w:val="00DD0B75"/>
    <w:rsid w:val="00DD1C91"/>
    <w:rsid w:val="00DD2717"/>
    <w:rsid w:val="00DD3D3B"/>
    <w:rsid w:val="00DD50DB"/>
    <w:rsid w:val="00DD523B"/>
    <w:rsid w:val="00DD5643"/>
    <w:rsid w:val="00DD61B7"/>
    <w:rsid w:val="00DD78F2"/>
    <w:rsid w:val="00DE0115"/>
    <w:rsid w:val="00DE1E7D"/>
    <w:rsid w:val="00DE3534"/>
    <w:rsid w:val="00DE374B"/>
    <w:rsid w:val="00DE5797"/>
    <w:rsid w:val="00DE59FB"/>
    <w:rsid w:val="00DE5F25"/>
    <w:rsid w:val="00DE69E7"/>
    <w:rsid w:val="00DE75ED"/>
    <w:rsid w:val="00DE77E5"/>
    <w:rsid w:val="00DF052E"/>
    <w:rsid w:val="00DF1A65"/>
    <w:rsid w:val="00DF1CF7"/>
    <w:rsid w:val="00DF1E27"/>
    <w:rsid w:val="00DF28C4"/>
    <w:rsid w:val="00DF2FB1"/>
    <w:rsid w:val="00DF3256"/>
    <w:rsid w:val="00DF3958"/>
    <w:rsid w:val="00DF3A7B"/>
    <w:rsid w:val="00DF4C50"/>
    <w:rsid w:val="00DF50CB"/>
    <w:rsid w:val="00DF52E5"/>
    <w:rsid w:val="00DF538C"/>
    <w:rsid w:val="00DF634D"/>
    <w:rsid w:val="00DF6D2F"/>
    <w:rsid w:val="00DF7648"/>
    <w:rsid w:val="00E0012A"/>
    <w:rsid w:val="00E011D4"/>
    <w:rsid w:val="00E01A35"/>
    <w:rsid w:val="00E06D6B"/>
    <w:rsid w:val="00E07AED"/>
    <w:rsid w:val="00E07DF3"/>
    <w:rsid w:val="00E07FEA"/>
    <w:rsid w:val="00E1021A"/>
    <w:rsid w:val="00E11927"/>
    <w:rsid w:val="00E12439"/>
    <w:rsid w:val="00E133B6"/>
    <w:rsid w:val="00E135E4"/>
    <w:rsid w:val="00E137E7"/>
    <w:rsid w:val="00E13843"/>
    <w:rsid w:val="00E1436D"/>
    <w:rsid w:val="00E153F1"/>
    <w:rsid w:val="00E16136"/>
    <w:rsid w:val="00E21241"/>
    <w:rsid w:val="00E21382"/>
    <w:rsid w:val="00E21B91"/>
    <w:rsid w:val="00E222D6"/>
    <w:rsid w:val="00E23250"/>
    <w:rsid w:val="00E2359A"/>
    <w:rsid w:val="00E268F7"/>
    <w:rsid w:val="00E31EC5"/>
    <w:rsid w:val="00E3219B"/>
    <w:rsid w:val="00E3223B"/>
    <w:rsid w:val="00E32511"/>
    <w:rsid w:val="00E32C4F"/>
    <w:rsid w:val="00E32C75"/>
    <w:rsid w:val="00E335F4"/>
    <w:rsid w:val="00E33E48"/>
    <w:rsid w:val="00E34504"/>
    <w:rsid w:val="00E34F45"/>
    <w:rsid w:val="00E3524F"/>
    <w:rsid w:val="00E35A20"/>
    <w:rsid w:val="00E35EF8"/>
    <w:rsid w:val="00E401ED"/>
    <w:rsid w:val="00E407E9"/>
    <w:rsid w:val="00E40E8A"/>
    <w:rsid w:val="00E40F3A"/>
    <w:rsid w:val="00E41C8A"/>
    <w:rsid w:val="00E43567"/>
    <w:rsid w:val="00E44BC3"/>
    <w:rsid w:val="00E45F97"/>
    <w:rsid w:val="00E472FB"/>
    <w:rsid w:val="00E503B1"/>
    <w:rsid w:val="00E505DF"/>
    <w:rsid w:val="00E50B83"/>
    <w:rsid w:val="00E51157"/>
    <w:rsid w:val="00E520A0"/>
    <w:rsid w:val="00E524A1"/>
    <w:rsid w:val="00E533CC"/>
    <w:rsid w:val="00E53480"/>
    <w:rsid w:val="00E541D1"/>
    <w:rsid w:val="00E54A99"/>
    <w:rsid w:val="00E54B32"/>
    <w:rsid w:val="00E54B5C"/>
    <w:rsid w:val="00E55628"/>
    <w:rsid w:val="00E570DF"/>
    <w:rsid w:val="00E57F82"/>
    <w:rsid w:val="00E60C25"/>
    <w:rsid w:val="00E60D25"/>
    <w:rsid w:val="00E61755"/>
    <w:rsid w:val="00E62AF8"/>
    <w:rsid w:val="00E62B8C"/>
    <w:rsid w:val="00E6497A"/>
    <w:rsid w:val="00E65C47"/>
    <w:rsid w:val="00E669CC"/>
    <w:rsid w:val="00E723B5"/>
    <w:rsid w:val="00E72794"/>
    <w:rsid w:val="00E77456"/>
    <w:rsid w:val="00E77508"/>
    <w:rsid w:val="00E809E5"/>
    <w:rsid w:val="00E80EC3"/>
    <w:rsid w:val="00E81105"/>
    <w:rsid w:val="00E833FA"/>
    <w:rsid w:val="00E835D5"/>
    <w:rsid w:val="00E83921"/>
    <w:rsid w:val="00E83C4E"/>
    <w:rsid w:val="00E83F65"/>
    <w:rsid w:val="00E85131"/>
    <w:rsid w:val="00E8555B"/>
    <w:rsid w:val="00E860EC"/>
    <w:rsid w:val="00E867EE"/>
    <w:rsid w:val="00E86800"/>
    <w:rsid w:val="00E8759C"/>
    <w:rsid w:val="00E87710"/>
    <w:rsid w:val="00E9089F"/>
    <w:rsid w:val="00E90D62"/>
    <w:rsid w:val="00E90E22"/>
    <w:rsid w:val="00E93B3E"/>
    <w:rsid w:val="00E94327"/>
    <w:rsid w:val="00E94577"/>
    <w:rsid w:val="00E948DE"/>
    <w:rsid w:val="00E955DA"/>
    <w:rsid w:val="00E95E7F"/>
    <w:rsid w:val="00E96905"/>
    <w:rsid w:val="00EA01DF"/>
    <w:rsid w:val="00EA189F"/>
    <w:rsid w:val="00EA1FAA"/>
    <w:rsid w:val="00EA27FF"/>
    <w:rsid w:val="00EA4133"/>
    <w:rsid w:val="00EA429B"/>
    <w:rsid w:val="00EA45D6"/>
    <w:rsid w:val="00EA6016"/>
    <w:rsid w:val="00EA6448"/>
    <w:rsid w:val="00EA6BDE"/>
    <w:rsid w:val="00EA6CFC"/>
    <w:rsid w:val="00EA7D3B"/>
    <w:rsid w:val="00EB049F"/>
    <w:rsid w:val="00EB07E7"/>
    <w:rsid w:val="00EB1175"/>
    <w:rsid w:val="00EB14BA"/>
    <w:rsid w:val="00EB2D2A"/>
    <w:rsid w:val="00EB31E1"/>
    <w:rsid w:val="00EB3D2F"/>
    <w:rsid w:val="00EB4271"/>
    <w:rsid w:val="00EB43A1"/>
    <w:rsid w:val="00EB58C0"/>
    <w:rsid w:val="00EB668E"/>
    <w:rsid w:val="00EC0412"/>
    <w:rsid w:val="00EC0993"/>
    <w:rsid w:val="00EC13D8"/>
    <w:rsid w:val="00EC1499"/>
    <w:rsid w:val="00EC253C"/>
    <w:rsid w:val="00EC28DE"/>
    <w:rsid w:val="00EC2E15"/>
    <w:rsid w:val="00EC3BD1"/>
    <w:rsid w:val="00EC53F3"/>
    <w:rsid w:val="00EC57CE"/>
    <w:rsid w:val="00EC5CCE"/>
    <w:rsid w:val="00ED0872"/>
    <w:rsid w:val="00ED1C4A"/>
    <w:rsid w:val="00ED1FAB"/>
    <w:rsid w:val="00ED2B66"/>
    <w:rsid w:val="00ED4150"/>
    <w:rsid w:val="00ED4874"/>
    <w:rsid w:val="00ED5CBC"/>
    <w:rsid w:val="00ED5F3D"/>
    <w:rsid w:val="00ED64F6"/>
    <w:rsid w:val="00ED7D70"/>
    <w:rsid w:val="00EE0AF9"/>
    <w:rsid w:val="00EE14E6"/>
    <w:rsid w:val="00EE258B"/>
    <w:rsid w:val="00EE2B00"/>
    <w:rsid w:val="00EE2D0D"/>
    <w:rsid w:val="00EE3701"/>
    <w:rsid w:val="00EE3A10"/>
    <w:rsid w:val="00EE3BD9"/>
    <w:rsid w:val="00EE42AC"/>
    <w:rsid w:val="00EE525F"/>
    <w:rsid w:val="00EE5598"/>
    <w:rsid w:val="00EE5C4E"/>
    <w:rsid w:val="00EE657E"/>
    <w:rsid w:val="00EE6D22"/>
    <w:rsid w:val="00EE708A"/>
    <w:rsid w:val="00EE70C0"/>
    <w:rsid w:val="00EE7316"/>
    <w:rsid w:val="00EE7D07"/>
    <w:rsid w:val="00EF001F"/>
    <w:rsid w:val="00EF04C9"/>
    <w:rsid w:val="00EF0877"/>
    <w:rsid w:val="00EF103D"/>
    <w:rsid w:val="00EF128A"/>
    <w:rsid w:val="00EF1836"/>
    <w:rsid w:val="00EF1D85"/>
    <w:rsid w:val="00EF28AB"/>
    <w:rsid w:val="00EF30AD"/>
    <w:rsid w:val="00EF335E"/>
    <w:rsid w:val="00EF47FD"/>
    <w:rsid w:val="00EF4A4B"/>
    <w:rsid w:val="00EF4B50"/>
    <w:rsid w:val="00EF4B91"/>
    <w:rsid w:val="00EF5B16"/>
    <w:rsid w:val="00F00484"/>
    <w:rsid w:val="00F0205A"/>
    <w:rsid w:val="00F020BE"/>
    <w:rsid w:val="00F02ABA"/>
    <w:rsid w:val="00F03EBB"/>
    <w:rsid w:val="00F040BF"/>
    <w:rsid w:val="00F05A81"/>
    <w:rsid w:val="00F06DF2"/>
    <w:rsid w:val="00F0770F"/>
    <w:rsid w:val="00F07F3C"/>
    <w:rsid w:val="00F11661"/>
    <w:rsid w:val="00F12493"/>
    <w:rsid w:val="00F126BD"/>
    <w:rsid w:val="00F12C3C"/>
    <w:rsid w:val="00F12F36"/>
    <w:rsid w:val="00F20F7D"/>
    <w:rsid w:val="00F21237"/>
    <w:rsid w:val="00F25197"/>
    <w:rsid w:val="00F25B2B"/>
    <w:rsid w:val="00F26D74"/>
    <w:rsid w:val="00F275B7"/>
    <w:rsid w:val="00F27A43"/>
    <w:rsid w:val="00F27DA5"/>
    <w:rsid w:val="00F27EC5"/>
    <w:rsid w:val="00F3013E"/>
    <w:rsid w:val="00F31D1B"/>
    <w:rsid w:val="00F321E7"/>
    <w:rsid w:val="00F32C77"/>
    <w:rsid w:val="00F3339E"/>
    <w:rsid w:val="00F34B78"/>
    <w:rsid w:val="00F372BE"/>
    <w:rsid w:val="00F37345"/>
    <w:rsid w:val="00F37383"/>
    <w:rsid w:val="00F37BF7"/>
    <w:rsid w:val="00F37C25"/>
    <w:rsid w:val="00F37C5E"/>
    <w:rsid w:val="00F40C0E"/>
    <w:rsid w:val="00F41D42"/>
    <w:rsid w:val="00F42DC1"/>
    <w:rsid w:val="00F42FB8"/>
    <w:rsid w:val="00F43731"/>
    <w:rsid w:val="00F43ABA"/>
    <w:rsid w:val="00F44CEF"/>
    <w:rsid w:val="00F454A9"/>
    <w:rsid w:val="00F46339"/>
    <w:rsid w:val="00F478A0"/>
    <w:rsid w:val="00F47BC9"/>
    <w:rsid w:val="00F515FE"/>
    <w:rsid w:val="00F51847"/>
    <w:rsid w:val="00F52431"/>
    <w:rsid w:val="00F52458"/>
    <w:rsid w:val="00F52B23"/>
    <w:rsid w:val="00F52E10"/>
    <w:rsid w:val="00F5355B"/>
    <w:rsid w:val="00F5488E"/>
    <w:rsid w:val="00F54B2E"/>
    <w:rsid w:val="00F54B78"/>
    <w:rsid w:val="00F559FA"/>
    <w:rsid w:val="00F55D73"/>
    <w:rsid w:val="00F56BEE"/>
    <w:rsid w:val="00F56C59"/>
    <w:rsid w:val="00F56CB2"/>
    <w:rsid w:val="00F60C39"/>
    <w:rsid w:val="00F61709"/>
    <w:rsid w:val="00F63562"/>
    <w:rsid w:val="00F635BB"/>
    <w:rsid w:val="00F63A50"/>
    <w:rsid w:val="00F63AD3"/>
    <w:rsid w:val="00F64882"/>
    <w:rsid w:val="00F65101"/>
    <w:rsid w:val="00F65C31"/>
    <w:rsid w:val="00F662B0"/>
    <w:rsid w:val="00F6679A"/>
    <w:rsid w:val="00F70206"/>
    <w:rsid w:val="00F70B99"/>
    <w:rsid w:val="00F70DF1"/>
    <w:rsid w:val="00F71D2F"/>
    <w:rsid w:val="00F71E7C"/>
    <w:rsid w:val="00F728F6"/>
    <w:rsid w:val="00F736B6"/>
    <w:rsid w:val="00F73CCB"/>
    <w:rsid w:val="00F744F5"/>
    <w:rsid w:val="00F769F7"/>
    <w:rsid w:val="00F774F6"/>
    <w:rsid w:val="00F77854"/>
    <w:rsid w:val="00F8171C"/>
    <w:rsid w:val="00F81ABD"/>
    <w:rsid w:val="00F81B8A"/>
    <w:rsid w:val="00F821A3"/>
    <w:rsid w:val="00F831AA"/>
    <w:rsid w:val="00F84EB4"/>
    <w:rsid w:val="00F860CD"/>
    <w:rsid w:val="00F86680"/>
    <w:rsid w:val="00F87354"/>
    <w:rsid w:val="00F87403"/>
    <w:rsid w:val="00F92BF8"/>
    <w:rsid w:val="00F93495"/>
    <w:rsid w:val="00F93620"/>
    <w:rsid w:val="00F93CB4"/>
    <w:rsid w:val="00F95155"/>
    <w:rsid w:val="00F96F75"/>
    <w:rsid w:val="00FA133E"/>
    <w:rsid w:val="00FA1AE3"/>
    <w:rsid w:val="00FA2D7F"/>
    <w:rsid w:val="00FA31D9"/>
    <w:rsid w:val="00FA3295"/>
    <w:rsid w:val="00FA3D61"/>
    <w:rsid w:val="00FA3EDA"/>
    <w:rsid w:val="00FA3F85"/>
    <w:rsid w:val="00FA4C64"/>
    <w:rsid w:val="00FA4E30"/>
    <w:rsid w:val="00FA6804"/>
    <w:rsid w:val="00FA752C"/>
    <w:rsid w:val="00FA7BAD"/>
    <w:rsid w:val="00FA7FDD"/>
    <w:rsid w:val="00FB06E8"/>
    <w:rsid w:val="00FB1318"/>
    <w:rsid w:val="00FB1C82"/>
    <w:rsid w:val="00FB2711"/>
    <w:rsid w:val="00FB41E6"/>
    <w:rsid w:val="00FB420D"/>
    <w:rsid w:val="00FB426C"/>
    <w:rsid w:val="00FB42CA"/>
    <w:rsid w:val="00FB4361"/>
    <w:rsid w:val="00FB469B"/>
    <w:rsid w:val="00FB478A"/>
    <w:rsid w:val="00FB4963"/>
    <w:rsid w:val="00FB6941"/>
    <w:rsid w:val="00FB6B6D"/>
    <w:rsid w:val="00FB6BB6"/>
    <w:rsid w:val="00FC03C1"/>
    <w:rsid w:val="00FC1AD4"/>
    <w:rsid w:val="00FC3442"/>
    <w:rsid w:val="00FC3706"/>
    <w:rsid w:val="00FC4E7E"/>
    <w:rsid w:val="00FC5644"/>
    <w:rsid w:val="00FC5819"/>
    <w:rsid w:val="00FC5A47"/>
    <w:rsid w:val="00FC5CE9"/>
    <w:rsid w:val="00FC5D42"/>
    <w:rsid w:val="00FC7544"/>
    <w:rsid w:val="00FD0136"/>
    <w:rsid w:val="00FD0A31"/>
    <w:rsid w:val="00FD0B1A"/>
    <w:rsid w:val="00FD1CD6"/>
    <w:rsid w:val="00FD26CE"/>
    <w:rsid w:val="00FD2D4A"/>
    <w:rsid w:val="00FD3E92"/>
    <w:rsid w:val="00FD4184"/>
    <w:rsid w:val="00FD4828"/>
    <w:rsid w:val="00FD4937"/>
    <w:rsid w:val="00FD4A5B"/>
    <w:rsid w:val="00FD789B"/>
    <w:rsid w:val="00FE198F"/>
    <w:rsid w:val="00FE256D"/>
    <w:rsid w:val="00FE58B4"/>
    <w:rsid w:val="00FE6D9F"/>
    <w:rsid w:val="00FE7479"/>
    <w:rsid w:val="00FE7C58"/>
    <w:rsid w:val="00FF026B"/>
    <w:rsid w:val="00FF05BC"/>
    <w:rsid w:val="00FF1E86"/>
    <w:rsid w:val="00FF22BF"/>
    <w:rsid w:val="00FF2715"/>
    <w:rsid w:val="00FF2852"/>
    <w:rsid w:val="00FF321C"/>
    <w:rsid w:val="00FF42D2"/>
    <w:rsid w:val="00FF4571"/>
    <w:rsid w:val="00FF4A43"/>
    <w:rsid w:val="00FF5F09"/>
    <w:rsid w:val="00FF6574"/>
    <w:rsid w:val="00FF6E1C"/>
    <w:rsid w:val="00FF7047"/>
    <w:rsid w:val="00FF7C14"/>
    <w:rsid w:val="00FF7D57"/>
    <w:rsid w:val="00FF7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2FC7"/>
  <w15:docId w15:val="{136EAA39-5F93-4CBA-BA01-6AEDEA7E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C01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013E5"/>
    <w:pPr>
      <w:spacing w:after="0" w:line="240" w:lineRule="auto"/>
    </w:pPr>
    <w:rPr>
      <w:sz w:val="20"/>
      <w:szCs w:val="20"/>
    </w:rPr>
  </w:style>
  <w:style w:type="character" w:customStyle="1" w:styleId="FootnoteTextChar">
    <w:name w:val="Footnote Text Char"/>
    <w:basedOn w:val="DefaultParagraphFont"/>
    <w:link w:val="FootnoteText"/>
    <w:uiPriority w:val="99"/>
    <w:rsid w:val="00D013E5"/>
    <w:rPr>
      <w:sz w:val="20"/>
      <w:szCs w:val="20"/>
    </w:rPr>
  </w:style>
  <w:style w:type="character" w:styleId="FootnoteReference">
    <w:name w:val="footnote reference"/>
    <w:basedOn w:val="DefaultParagraphFont"/>
    <w:uiPriority w:val="99"/>
    <w:unhideWhenUsed/>
    <w:rsid w:val="00D013E5"/>
    <w:rPr>
      <w:vertAlign w:val="superscript"/>
    </w:rPr>
  </w:style>
  <w:style w:type="character" w:styleId="Hyperlink">
    <w:name w:val="Hyperlink"/>
    <w:basedOn w:val="DefaultParagraphFont"/>
    <w:uiPriority w:val="99"/>
    <w:unhideWhenUsed/>
    <w:rsid w:val="00D013E5"/>
    <w:rPr>
      <w:color w:val="0563C1" w:themeColor="hyperlink"/>
      <w:u w:val="single"/>
    </w:rPr>
  </w:style>
  <w:style w:type="character" w:customStyle="1" w:styleId="UnresolvedMention1">
    <w:name w:val="Unresolved Mention1"/>
    <w:basedOn w:val="DefaultParagraphFont"/>
    <w:uiPriority w:val="99"/>
    <w:semiHidden/>
    <w:unhideWhenUsed/>
    <w:rsid w:val="00D013E5"/>
    <w:rPr>
      <w:color w:val="808080"/>
      <w:shd w:val="clear" w:color="auto" w:fill="E6E6E6"/>
    </w:rPr>
  </w:style>
  <w:style w:type="paragraph" w:styleId="NormalWeb">
    <w:name w:val="Normal (Web)"/>
    <w:basedOn w:val="Normal"/>
    <w:uiPriority w:val="99"/>
    <w:unhideWhenUsed/>
    <w:rsid w:val="00E01A3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C012D"/>
    <w:pPr>
      <w:ind w:left="720"/>
      <w:contextualSpacing/>
    </w:pPr>
  </w:style>
  <w:style w:type="character" w:styleId="CommentReference">
    <w:name w:val="annotation reference"/>
    <w:basedOn w:val="DefaultParagraphFont"/>
    <w:uiPriority w:val="99"/>
    <w:semiHidden/>
    <w:unhideWhenUsed/>
    <w:rsid w:val="000D5722"/>
    <w:rPr>
      <w:sz w:val="16"/>
      <w:szCs w:val="16"/>
    </w:rPr>
  </w:style>
  <w:style w:type="paragraph" w:styleId="CommentText">
    <w:name w:val="annotation text"/>
    <w:basedOn w:val="Normal"/>
    <w:link w:val="CommentTextChar"/>
    <w:uiPriority w:val="99"/>
    <w:semiHidden/>
    <w:unhideWhenUsed/>
    <w:rsid w:val="000D5722"/>
    <w:pPr>
      <w:spacing w:line="240" w:lineRule="auto"/>
    </w:pPr>
    <w:rPr>
      <w:sz w:val="20"/>
      <w:szCs w:val="20"/>
    </w:rPr>
  </w:style>
  <w:style w:type="character" w:customStyle="1" w:styleId="CommentTextChar">
    <w:name w:val="Comment Text Char"/>
    <w:basedOn w:val="DefaultParagraphFont"/>
    <w:link w:val="CommentText"/>
    <w:uiPriority w:val="99"/>
    <w:semiHidden/>
    <w:rsid w:val="000D5722"/>
    <w:rPr>
      <w:sz w:val="20"/>
      <w:szCs w:val="20"/>
    </w:rPr>
  </w:style>
  <w:style w:type="paragraph" w:styleId="CommentSubject">
    <w:name w:val="annotation subject"/>
    <w:basedOn w:val="CommentText"/>
    <w:next w:val="CommentText"/>
    <w:link w:val="CommentSubjectChar"/>
    <w:uiPriority w:val="99"/>
    <w:semiHidden/>
    <w:unhideWhenUsed/>
    <w:rsid w:val="000D5722"/>
    <w:rPr>
      <w:b/>
      <w:bCs/>
    </w:rPr>
  </w:style>
  <w:style w:type="character" w:customStyle="1" w:styleId="CommentSubjectChar">
    <w:name w:val="Comment Subject Char"/>
    <w:basedOn w:val="CommentTextChar"/>
    <w:link w:val="CommentSubject"/>
    <w:uiPriority w:val="99"/>
    <w:semiHidden/>
    <w:rsid w:val="000D5722"/>
    <w:rPr>
      <w:b/>
      <w:bCs/>
      <w:sz w:val="20"/>
      <w:szCs w:val="20"/>
    </w:rPr>
  </w:style>
  <w:style w:type="paragraph" w:styleId="BalloonText">
    <w:name w:val="Balloon Text"/>
    <w:basedOn w:val="Normal"/>
    <w:link w:val="BalloonTextChar"/>
    <w:uiPriority w:val="99"/>
    <w:semiHidden/>
    <w:unhideWhenUsed/>
    <w:rsid w:val="000D5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722"/>
    <w:rPr>
      <w:rFonts w:ascii="Tahoma" w:hAnsi="Tahoma" w:cs="Tahoma"/>
      <w:sz w:val="16"/>
      <w:szCs w:val="16"/>
    </w:rPr>
  </w:style>
  <w:style w:type="character" w:styleId="Strong">
    <w:name w:val="Strong"/>
    <w:basedOn w:val="DefaultParagraphFont"/>
    <w:uiPriority w:val="22"/>
    <w:qFormat/>
    <w:rsid w:val="009F616B"/>
    <w:rPr>
      <w:b/>
      <w:bCs/>
    </w:rPr>
  </w:style>
  <w:style w:type="paragraph" w:styleId="NoSpacing">
    <w:name w:val="No Spacing"/>
    <w:uiPriority w:val="1"/>
    <w:qFormat/>
    <w:rsid w:val="00BE1247"/>
    <w:pPr>
      <w:spacing w:after="0" w:line="240" w:lineRule="auto"/>
    </w:pPr>
  </w:style>
  <w:style w:type="paragraph" w:styleId="Header">
    <w:name w:val="header"/>
    <w:basedOn w:val="Normal"/>
    <w:link w:val="HeaderChar"/>
    <w:uiPriority w:val="99"/>
    <w:unhideWhenUsed/>
    <w:rsid w:val="00B82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762"/>
  </w:style>
  <w:style w:type="paragraph" w:styleId="Footer">
    <w:name w:val="footer"/>
    <w:basedOn w:val="Normal"/>
    <w:link w:val="FooterChar"/>
    <w:uiPriority w:val="99"/>
    <w:unhideWhenUsed/>
    <w:rsid w:val="00B82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762"/>
  </w:style>
  <w:style w:type="character" w:customStyle="1" w:styleId="s6b621b36">
    <w:name w:val="s6b621b36"/>
    <w:basedOn w:val="DefaultParagraphFont"/>
    <w:rsid w:val="00BC75D5"/>
  </w:style>
  <w:style w:type="character" w:customStyle="1" w:styleId="sb8d990e2">
    <w:name w:val="sb8d990e2"/>
    <w:basedOn w:val="DefaultParagraphFont"/>
    <w:rsid w:val="00BC75D5"/>
  </w:style>
  <w:style w:type="character" w:styleId="Emphasis">
    <w:name w:val="Emphasis"/>
    <w:basedOn w:val="DefaultParagraphFont"/>
    <w:uiPriority w:val="20"/>
    <w:qFormat/>
    <w:rsid w:val="00695123"/>
    <w:rPr>
      <w:i/>
      <w:iCs/>
    </w:rPr>
  </w:style>
  <w:style w:type="character" w:customStyle="1" w:styleId="sessionsubtitle">
    <w:name w:val="sessionsubtitle"/>
    <w:basedOn w:val="DefaultParagraphFont"/>
    <w:rsid w:val="00C73294"/>
  </w:style>
  <w:style w:type="character" w:customStyle="1" w:styleId="UnresolvedMention2">
    <w:name w:val="Unresolved Mention2"/>
    <w:basedOn w:val="DefaultParagraphFont"/>
    <w:uiPriority w:val="99"/>
    <w:semiHidden/>
    <w:unhideWhenUsed/>
    <w:rsid w:val="000E1E2C"/>
    <w:rPr>
      <w:color w:val="808080"/>
      <w:shd w:val="clear" w:color="auto" w:fill="E6E6E6"/>
    </w:rPr>
  </w:style>
  <w:style w:type="character" w:customStyle="1" w:styleId="ju-005fpara--char">
    <w:name w:val="ju-005fpara--char"/>
    <w:rsid w:val="001941F8"/>
  </w:style>
  <w:style w:type="paragraph" w:customStyle="1" w:styleId="Default">
    <w:name w:val="Default"/>
    <w:rsid w:val="00961FA6"/>
    <w:pPr>
      <w:autoSpaceDE w:val="0"/>
      <w:autoSpaceDN w:val="0"/>
      <w:adjustRightInd w:val="0"/>
      <w:spacing w:after="0" w:line="240" w:lineRule="auto"/>
    </w:pPr>
    <w:rPr>
      <w:rFonts w:ascii="Arial" w:hAnsi="Arial" w:cs="Arial"/>
      <w:color w:val="000000"/>
      <w:sz w:val="24"/>
      <w:szCs w:val="24"/>
    </w:rPr>
  </w:style>
  <w:style w:type="character" w:customStyle="1" w:styleId="s7d2086b4">
    <w:name w:val="s7d2086b4"/>
    <w:basedOn w:val="DefaultParagraphFont"/>
    <w:rsid w:val="00CA2F80"/>
  </w:style>
  <w:style w:type="character" w:customStyle="1" w:styleId="Heading2Char">
    <w:name w:val="Heading 2 Char"/>
    <w:basedOn w:val="DefaultParagraphFont"/>
    <w:link w:val="Heading2"/>
    <w:uiPriority w:val="9"/>
    <w:rsid w:val="00DC014C"/>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F56CB2"/>
    <w:rPr>
      <w:color w:val="808080"/>
      <w:shd w:val="clear" w:color="auto" w:fill="E6E6E6"/>
    </w:rPr>
  </w:style>
  <w:style w:type="character" w:customStyle="1" w:styleId="st">
    <w:name w:val="st"/>
    <w:basedOn w:val="DefaultParagraphFont"/>
    <w:rsid w:val="00B9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3110">
      <w:bodyDiv w:val="1"/>
      <w:marLeft w:val="0"/>
      <w:marRight w:val="0"/>
      <w:marTop w:val="0"/>
      <w:marBottom w:val="0"/>
      <w:divBdr>
        <w:top w:val="none" w:sz="0" w:space="0" w:color="auto"/>
        <w:left w:val="none" w:sz="0" w:space="0" w:color="auto"/>
        <w:bottom w:val="none" w:sz="0" w:space="0" w:color="auto"/>
        <w:right w:val="none" w:sz="0" w:space="0" w:color="auto"/>
      </w:divBdr>
      <w:divsChild>
        <w:div w:id="846987808">
          <w:marLeft w:val="0"/>
          <w:marRight w:val="0"/>
          <w:marTop w:val="0"/>
          <w:marBottom w:val="0"/>
          <w:divBdr>
            <w:top w:val="none" w:sz="0" w:space="0" w:color="auto"/>
            <w:left w:val="none" w:sz="0" w:space="0" w:color="auto"/>
            <w:bottom w:val="none" w:sz="0" w:space="0" w:color="auto"/>
            <w:right w:val="none" w:sz="0" w:space="0" w:color="auto"/>
          </w:divBdr>
        </w:div>
      </w:divsChild>
    </w:div>
    <w:div w:id="254438166">
      <w:bodyDiv w:val="1"/>
      <w:marLeft w:val="0"/>
      <w:marRight w:val="0"/>
      <w:marTop w:val="0"/>
      <w:marBottom w:val="0"/>
      <w:divBdr>
        <w:top w:val="none" w:sz="0" w:space="0" w:color="auto"/>
        <w:left w:val="none" w:sz="0" w:space="0" w:color="auto"/>
        <w:bottom w:val="none" w:sz="0" w:space="0" w:color="auto"/>
        <w:right w:val="none" w:sz="0" w:space="0" w:color="auto"/>
      </w:divBdr>
      <w:divsChild>
        <w:div w:id="997879062">
          <w:marLeft w:val="0"/>
          <w:marRight w:val="0"/>
          <w:marTop w:val="0"/>
          <w:marBottom w:val="0"/>
          <w:divBdr>
            <w:top w:val="none" w:sz="0" w:space="0" w:color="auto"/>
            <w:left w:val="none" w:sz="0" w:space="0" w:color="auto"/>
            <w:bottom w:val="none" w:sz="0" w:space="0" w:color="auto"/>
            <w:right w:val="none" w:sz="0" w:space="0" w:color="auto"/>
          </w:divBdr>
        </w:div>
        <w:div w:id="328992069">
          <w:marLeft w:val="0"/>
          <w:marRight w:val="0"/>
          <w:marTop w:val="0"/>
          <w:marBottom w:val="0"/>
          <w:divBdr>
            <w:top w:val="none" w:sz="0" w:space="0" w:color="auto"/>
            <w:left w:val="none" w:sz="0" w:space="0" w:color="auto"/>
            <w:bottom w:val="none" w:sz="0" w:space="0" w:color="auto"/>
            <w:right w:val="none" w:sz="0" w:space="0" w:color="auto"/>
          </w:divBdr>
        </w:div>
        <w:div w:id="754744666">
          <w:marLeft w:val="0"/>
          <w:marRight w:val="0"/>
          <w:marTop w:val="0"/>
          <w:marBottom w:val="0"/>
          <w:divBdr>
            <w:top w:val="none" w:sz="0" w:space="0" w:color="auto"/>
            <w:left w:val="none" w:sz="0" w:space="0" w:color="auto"/>
            <w:bottom w:val="none" w:sz="0" w:space="0" w:color="auto"/>
            <w:right w:val="none" w:sz="0" w:space="0" w:color="auto"/>
          </w:divBdr>
        </w:div>
        <w:div w:id="117845698">
          <w:marLeft w:val="0"/>
          <w:marRight w:val="0"/>
          <w:marTop w:val="0"/>
          <w:marBottom w:val="0"/>
          <w:divBdr>
            <w:top w:val="none" w:sz="0" w:space="0" w:color="auto"/>
            <w:left w:val="none" w:sz="0" w:space="0" w:color="auto"/>
            <w:bottom w:val="none" w:sz="0" w:space="0" w:color="auto"/>
            <w:right w:val="none" w:sz="0" w:space="0" w:color="auto"/>
          </w:divBdr>
        </w:div>
        <w:div w:id="1515268166">
          <w:marLeft w:val="0"/>
          <w:marRight w:val="0"/>
          <w:marTop w:val="0"/>
          <w:marBottom w:val="0"/>
          <w:divBdr>
            <w:top w:val="none" w:sz="0" w:space="0" w:color="auto"/>
            <w:left w:val="none" w:sz="0" w:space="0" w:color="auto"/>
            <w:bottom w:val="none" w:sz="0" w:space="0" w:color="auto"/>
            <w:right w:val="none" w:sz="0" w:space="0" w:color="auto"/>
          </w:divBdr>
        </w:div>
        <w:div w:id="625040904">
          <w:marLeft w:val="0"/>
          <w:marRight w:val="0"/>
          <w:marTop w:val="0"/>
          <w:marBottom w:val="0"/>
          <w:divBdr>
            <w:top w:val="none" w:sz="0" w:space="0" w:color="auto"/>
            <w:left w:val="none" w:sz="0" w:space="0" w:color="auto"/>
            <w:bottom w:val="none" w:sz="0" w:space="0" w:color="auto"/>
            <w:right w:val="none" w:sz="0" w:space="0" w:color="auto"/>
          </w:divBdr>
        </w:div>
        <w:div w:id="58750609">
          <w:marLeft w:val="0"/>
          <w:marRight w:val="0"/>
          <w:marTop w:val="0"/>
          <w:marBottom w:val="0"/>
          <w:divBdr>
            <w:top w:val="none" w:sz="0" w:space="0" w:color="auto"/>
            <w:left w:val="none" w:sz="0" w:space="0" w:color="auto"/>
            <w:bottom w:val="none" w:sz="0" w:space="0" w:color="auto"/>
            <w:right w:val="none" w:sz="0" w:space="0" w:color="auto"/>
          </w:divBdr>
        </w:div>
        <w:div w:id="1197306717">
          <w:marLeft w:val="0"/>
          <w:marRight w:val="0"/>
          <w:marTop w:val="0"/>
          <w:marBottom w:val="0"/>
          <w:divBdr>
            <w:top w:val="none" w:sz="0" w:space="0" w:color="auto"/>
            <w:left w:val="none" w:sz="0" w:space="0" w:color="auto"/>
            <w:bottom w:val="none" w:sz="0" w:space="0" w:color="auto"/>
            <w:right w:val="none" w:sz="0" w:space="0" w:color="auto"/>
          </w:divBdr>
        </w:div>
        <w:div w:id="1425032012">
          <w:marLeft w:val="0"/>
          <w:marRight w:val="0"/>
          <w:marTop w:val="0"/>
          <w:marBottom w:val="0"/>
          <w:divBdr>
            <w:top w:val="none" w:sz="0" w:space="0" w:color="auto"/>
            <w:left w:val="none" w:sz="0" w:space="0" w:color="auto"/>
            <w:bottom w:val="none" w:sz="0" w:space="0" w:color="auto"/>
            <w:right w:val="none" w:sz="0" w:space="0" w:color="auto"/>
          </w:divBdr>
        </w:div>
        <w:div w:id="1611467790">
          <w:marLeft w:val="0"/>
          <w:marRight w:val="0"/>
          <w:marTop w:val="0"/>
          <w:marBottom w:val="0"/>
          <w:divBdr>
            <w:top w:val="none" w:sz="0" w:space="0" w:color="auto"/>
            <w:left w:val="none" w:sz="0" w:space="0" w:color="auto"/>
            <w:bottom w:val="none" w:sz="0" w:space="0" w:color="auto"/>
            <w:right w:val="none" w:sz="0" w:space="0" w:color="auto"/>
          </w:divBdr>
        </w:div>
        <w:div w:id="95642174">
          <w:marLeft w:val="0"/>
          <w:marRight w:val="0"/>
          <w:marTop w:val="0"/>
          <w:marBottom w:val="0"/>
          <w:divBdr>
            <w:top w:val="none" w:sz="0" w:space="0" w:color="auto"/>
            <w:left w:val="none" w:sz="0" w:space="0" w:color="auto"/>
            <w:bottom w:val="none" w:sz="0" w:space="0" w:color="auto"/>
            <w:right w:val="none" w:sz="0" w:space="0" w:color="auto"/>
          </w:divBdr>
        </w:div>
        <w:div w:id="163589941">
          <w:marLeft w:val="0"/>
          <w:marRight w:val="0"/>
          <w:marTop w:val="0"/>
          <w:marBottom w:val="0"/>
          <w:divBdr>
            <w:top w:val="none" w:sz="0" w:space="0" w:color="auto"/>
            <w:left w:val="none" w:sz="0" w:space="0" w:color="auto"/>
            <w:bottom w:val="none" w:sz="0" w:space="0" w:color="auto"/>
            <w:right w:val="none" w:sz="0" w:space="0" w:color="auto"/>
          </w:divBdr>
        </w:div>
        <w:div w:id="587539714">
          <w:marLeft w:val="0"/>
          <w:marRight w:val="0"/>
          <w:marTop w:val="0"/>
          <w:marBottom w:val="0"/>
          <w:divBdr>
            <w:top w:val="none" w:sz="0" w:space="0" w:color="auto"/>
            <w:left w:val="none" w:sz="0" w:space="0" w:color="auto"/>
            <w:bottom w:val="none" w:sz="0" w:space="0" w:color="auto"/>
            <w:right w:val="none" w:sz="0" w:space="0" w:color="auto"/>
          </w:divBdr>
        </w:div>
        <w:div w:id="1621448401">
          <w:marLeft w:val="0"/>
          <w:marRight w:val="0"/>
          <w:marTop w:val="0"/>
          <w:marBottom w:val="0"/>
          <w:divBdr>
            <w:top w:val="none" w:sz="0" w:space="0" w:color="auto"/>
            <w:left w:val="none" w:sz="0" w:space="0" w:color="auto"/>
            <w:bottom w:val="none" w:sz="0" w:space="0" w:color="auto"/>
            <w:right w:val="none" w:sz="0" w:space="0" w:color="auto"/>
          </w:divBdr>
        </w:div>
        <w:div w:id="1082336005">
          <w:marLeft w:val="0"/>
          <w:marRight w:val="0"/>
          <w:marTop w:val="0"/>
          <w:marBottom w:val="0"/>
          <w:divBdr>
            <w:top w:val="none" w:sz="0" w:space="0" w:color="auto"/>
            <w:left w:val="none" w:sz="0" w:space="0" w:color="auto"/>
            <w:bottom w:val="none" w:sz="0" w:space="0" w:color="auto"/>
            <w:right w:val="none" w:sz="0" w:space="0" w:color="auto"/>
          </w:divBdr>
        </w:div>
        <w:div w:id="202596854">
          <w:marLeft w:val="0"/>
          <w:marRight w:val="0"/>
          <w:marTop w:val="0"/>
          <w:marBottom w:val="0"/>
          <w:divBdr>
            <w:top w:val="none" w:sz="0" w:space="0" w:color="auto"/>
            <w:left w:val="none" w:sz="0" w:space="0" w:color="auto"/>
            <w:bottom w:val="none" w:sz="0" w:space="0" w:color="auto"/>
            <w:right w:val="none" w:sz="0" w:space="0" w:color="auto"/>
          </w:divBdr>
        </w:div>
        <w:div w:id="1268582512">
          <w:marLeft w:val="0"/>
          <w:marRight w:val="0"/>
          <w:marTop w:val="0"/>
          <w:marBottom w:val="0"/>
          <w:divBdr>
            <w:top w:val="none" w:sz="0" w:space="0" w:color="auto"/>
            <w:left w:val="none" w:sz="0" w:space="0" w:color="auto"/>
            <w:bottom w:val="none" w:sz="0" w:space="0" w:color="auto"/>
            <w:right w:val="none" w:sz="0" w:space="0" w:color="auto"/>
          </w:divBdr>
        </w:div>
        <w:div w:id="1021005783">
          <w:marLeft w:val="0"/>
          <w:marRight w:val="0"/>
          <w:marTop w:val="0"/>
          <w:marBottom w:val="0"/>
          <w:divBdr>
            <w:top w:val="none" w:sz="0" w:space="0" w:color="auto"/>
            <w:left w:val="none" w:sz="0" w:space="0" w:color="auto"/>
            <w:bottom w:val="none" w:sz="0" w:space="0" w:color="auto"/>
            <w:right w:val="none" w:sz="0" w:space="0" w:color="auto"/>
          </w:divBdr>
        </w:div>
      </w:divsChild>
    </w:div>
    <w:div w:id="416052485">
      <w:bodyDiv w:val="1"/>
      <w:marLeft w:val="0"/>
      <w:marRight w:val="0"/>
      <w:marTop w:val="0"/>
      <w:marBottom w:val="0"/>
      <w:divBdr>
        <w:top w:val="none" w:sz="0" w:space="0" w:color="auto"/>
        <w:left w:val="none" w:sz="0" w:space="0" w:color="auto"/>
        <w:bottom w:val="none" w:sz="0" w:space="0" w:color="auto"/>
        <w:right w:val="none" w:sz="0" w:space="0" w:color="auto"/>
      </w:divBdr>
      <w:divsChild>
        <w:div w:id="1872455542">
          <w:marLeft w:val="0"/>
          <w:marRight w:val="0"/>
          <w:marTop w:val="0"/>
          <w:marBottom w:val="0"/>
          <w:divBdr>
            <w:top w:val="none" w:sz="0" w:space="0" w:color="auto"/>
            <w:left w:val="none" w:sz="0" w:space="0" w:color="auto"/>
            <w:bottom w:val="none" w:sz="0" w:space="0" w:color="auto"/>
            <w:right w:val="none" w:sz="0" w:space="0" w:color="auto"/>
          </w:divBdr>
        </w:div>
        <w:div w:id="1184175454">
          <w:marLeft w:val="0"/>
          <w:marRight w:val="0"/>
          <w:marTop w:val="0"/>
          <w:marBottom w:val="0"/>
          <w:divBdr>
            <w:top w:val="none" w:sz="0" w:space="0" w:color="auto"/>
            <w:left w:val="none" w:sz="0" w:space="0" w:color="auto"/>
            <w:bottom w:val="none" w:sz="0" w:space="0" w:color="auto"/>
            <w:right w:val="none" w:sz="0" w:space="0" w:color="auto"/>
          </w:divBdr>
        </w:div>
        <w:div w:id="1143616344">
          <w:marLeft w:val="0"/>
          <w:marRight w:val="0"/>
          <w:marTop w:val="0"/>
          <w:marBottom w:val="0"/>
          <w:divBdr>
            <w:top w:val="none" w:sz="0" w:space="0" w:color="auto"/>
            <w:left w:val="none" w:sz="0" w:space="0" w:color="auto"/>
            <w:bottom w:val="none" w:sz="0" w:space="0" w:color="auto"/>
            <w:right w:val="none" w:sz="0" w:space="0" w:color="auto"/>
          </w:divBdr>
        </w:div>
        <w:div w:id="1528983405">
          <w:marLeft w:val="0"/>
          <w:marRight w:val="0"/>
          <w:marTop w:val="0"/>
          <w:marBottom w:val="0"/>
          <w:divBdr>
            <w:top w:val="none" w:sz="0" w:space="0" w:color="auto"/>
            <w:left w:val="none" w:sz="0" w:space="0" w:color="auto"/>
            <w:bottom w:val="none" w:sz="0" w:space="0" w:color="auto"/>
            <w:right w:val="none" w:sz="0" w:space="0" w:color="auto"/>
          </w:divBdr>
        </w:div>
        <w:div w:id="1675567647">
          <w:marLeft w:val="0"/>
          <w:marRight w:val="0"/>
          <w:marTop w:val="0"/>
          <w:marBottom w:val="0"/>
          <w:divBdr>
            <w:top w:val="none" w:sz="0" w:space="0" w:color="auto"/>
            <w:left w:val="none" w:sz="0" w:space="0" w:color="auto"/>
            <w:bottom w:val="none" w:sz="0" w:space="0" w:color="auto"/>
            <w:right w:val="none" w:sz="0" w:space="0" w:color="auto"/>
          </w:divBdr>
        </w:div>
      </w:divsChild>
    </w:div>
    <w:div w:id="451099149">
      <w:bodyDiv w:val="1"/>
      <w:marLeft w:val="0"/>
      <w:marRight w:val="0"/>
      <w:marTop w:val="0"/>
      <w:marBottom w:val="0"/>
      <w:divBdr>
        <w:top w:val="none" w:sz="0" w:space="0" w:color="auto"/>
        <w:left w:val="none" w:sz="0" w:space="0" w:color="auto"/>
        <w:bottom w:val="none" w:sz="0" w:space="0" w:color="auto"/>
        <w:right w:val="none" w:sz="0" w:space="0" w:color="auto"/>
      </w:divBdr>
      <w:divsChild>
        <w:div w:id="201213252">
          <w:marLeft w:val="0"/>
          <w:marRight w:val="0"/>
          <w:marTop w:val="0"/>
          <w:marBottom w:val="0"/>
          <w:divBdr>
            <w:top w:val="none" w:sz="0" w:space="0" w:color="auto"/>
            <w:left w:val="none" w:sz="0" w:space="0" w:color="auto"/>
            <w:bottom w:val="none" w:sz="0" w:space="0" w:color="auto"/>
            <w:right w:val="none" w:sz="0" w:space="0" w:color="auto"/>
          </w:divBdr>
        </w:div>
        <w:div w:id="1790784646">
          <w:marLeft w:val="0"/>
          <w:marRight w:val="0"/>
          <w:marTop w:val="0"/>
          <w:marBottom w:val="0"/>
          <w:divBdr>
            <w:top w:val="none" w:sz="0" w:space="0" w:color="auto"/>
            <w:left w:val="none" w:sz="0" w:space="0" w:color="auto"/>
            <w:bottom w:val="none" w:sz="0" w:space="0" w:color="auto"/>
            <w:right w:val="none" w:sz="0" w:space="0" w:color="auto"/>
          </w:divBdr>
        </w:div>
        <w:div w:id="381641315">
          <w:marLeft w:val="0"/>
          <w:marRight w:val="0"/>
          <w:marTop w:val="0"/>
          <w:marBottom w:val="0"/>
          <w:divBdr>
            <w:top w:val="none" w:sz="0" w:space="0" w:color="auto"/>
            <w:left w:val="none" w:sz="0" w:space="0" w:color="auto"/>
            <w:bottom w:val="none" w:sz="0" w:space="0" w:color="auto"/>
            <w:right w:val="none" w:sz="0" w:space="0" w:color="auto"/>
          </w:divBdr>
        </w:div>
        <w:div w:id="591622606">
          <w:marLeft w:val="0"/>
          <w:marRight w:val="0"/>
          <w:marTop w:val="0"/>
          <w:marBottom w:val="0"/>
          <w:divBdr>
            <w:top w:val="none" w:sz="0" w:space="0" w:color="auto"/>
            <w:left w:val="none" w:sz="0" w:space="0" w:color="auto"/>
            <w:bottom w:val="none" w:sz="0" w:space="0" w:color="auto"/>
            <w:right w:val="none" w:sz="0" w:space="0" w:color="auto"/>
          </w:divBdr>
        </w:div>
      </w:divsChild>
    </w:div>
    <w:div w:id="462314322">
      <w:bodyDiv w:val="1"/>
      <w:marLeft w:val="0"/>
      <w:marRight w:val="0"/>
      <w:marTop w:val="0"/>
      <w:marBottom w:val="0"/>
      <w:divBdr>
        <w:top w:val="none" w:sz="0" w:space="0" w:color="auto"/>
        <w:left w:val="none" w:sz="0" w:space="0" w:color="auto"/>
        <w:bottom w:val="none" w:sz="0" w:space="0" w:color="auto"/>
        <w:right w:val="none" w:sz="0" w:space="0" w:color="auto"/>
      </w:divBdr>
      <w:divsChild>
        <w:div w:id="446310832">
          <w:marLeft w:val="0"/>
          <w:marRight w:val="0"/>
          <w:marTop w:val="0"/>
          <w:marBottom w:val="0"/>
          <w:divBdr>
            <w:top w:val="none" w:sz="0" w:space="0" w:color="auto"/>
            <w:left w:val="none" w:sz="0" w:space="0" w:color="auto"/>
            <w:bottom w:val="none" w:sz="0" w:space="0" w:color="auto"/>
            <w:right w:val="none" w:sz="0" w:space="0" w:color="auto"/>
          </w:divBdr>
        </w:div>
        <w:div w:id="1227885456">
          <w:marLeft w:val="0"/>
          <w:marRight w:val="0"/>
          <w:marTop w:val="0"/>
          <w:marBottom w:val="0"/>
          <w:divBdr>
            <w:top w:val="none" w:sz="0" w:space="0" w:color="auto"/>
            <w:left w:val="none" w:sz="0" w:space="0" w:color="auto"/>
            <w:bottom w:val="none" w:sz="0" w:space="0" w:color="auto"/>
            <w:right w:val="none" w:sz="0" w:space="0" w:color="auto"/>
          </w:divBdr>
        </w:div>
      </w:divsChild>
    </w:div>
    <w:div w:id="521168960">
      <w:bodyDiv w:val="1"/>
      <w:marLeft w:val="0"/>
      <w:marRight w:val="0"/>
      <w:marTop w:val="0"/>
      <w:marBottom w:val="0"/>
      <w:divBdr>
        <w:top w:val="none" w:sz="0" w:space="0" w:color="auto"/>
        <w:left w:val="none" w:sz="0" w:space="0" w:color="auto"/>
        <w:bottom w:val="none" w:sz="0" w:space="0" w:color="auto"/>
        <w:right w:val="none" w:sz="0" w:space="0" w:color="auto"/>
      </w:divBdr>
      <w:divsChild>
        <w:div w:id="921909123">
          <w:marLeft w:val="0"/>
          <w:marRight w:val="0"/>
          <w:marTop w:val="0"/>
          <w:marBottom w:val="0"/>
          <w:divBdr>
            <w:top w:val="none" w:sz="0" w:space="0" w:color="auto"/>
            <w:left w:val="none" w:sz="0" w:space="0" w:color="auto"/>
            <w:bottom w:val="none" w:sz="0" w:space="0" w:color="auto"/>
            <w:right w:val="none" w:sz="0" w:space="0" w:color="auto"/>
          </w:divBdr>
        </w:div>
        <w:div w:id="752900235">
          <w:marLeft w:val="0"/>
          <w:marRight w:val="0"/>
          <w:marTop w:val="0"/>
          <w:marBottom w:val="0"/>
          <w:divBdr>
            <w:top w:val="none" w:sz="0" w:space="0" w:color="auto"/>
            <w:left w:val="none" w:sz="0" w:space="0" w:color="auto"/>
            <w:bottom w:val="none" w:sz="0" w:space="0" w:color="auto"/>
            <w:right w:val="none" w:sz="0" w:space="0" w:color="auto"/>
          </w:divBdr>
        </w:div>
        <w:div w:id="1602760927">
          <w:marLeft w:val="0"/>
          <w:marRight w:val="0"/>
          <w:marTop w:val="0"/>
          <w:marBottom w:val="0"/>
          <w:divBdr>
            <w:top w:val="none" w:sz="0" w:space="0" w:color="auto"/>
            <w:left w:val="none" w:sz="0" w:space="0" w:color="auto"/>
            <w:bottom w:val="none" w:sz="0" w:space="0" w:color="auto"/>
            <w:right w:val="none" w:sz="0" w:space="0" w:color="auto"/>
          </w:divBdr>
        </w:div>
        <w:div w:id="1583031768">
          <w:marLeft w:val="0"/>
          <w:marRight w:val="0"/>
          <w:marTop w:val="0"/>
          <w:marBottom w:val="0"/>
          <w:divBdr>
            <w:top w:val="none" w:sz="0" w:space="0" w:color="auto"/>
            <w:left w:val="none" w:sz="0" w:space="0" w:color="auto"/>
            <w:bottom w:val="none" w:sz="0" w:space="0" w:color="auto"/>
            <w:right w:val="none" w:sz="0" w:space="0" w:color="auto"/>
          </w:divBdr>
        </w:div>
        <w:div w:id="1607469488">
          <w:marLeft w:val="0"/>
          <w:marRight w:val="0"/>
          <w:marTop w:val="0"/>
          <w:marBottom w:val="0"/>
          <w:divBdr>
            <w:top w:val="none" w:sz="0" w:space="0" w:color="auto"/>
            <w:left w:val="none" w:sz="0" w:space="0" w:color="auto"/>
            <w:bottom w:val="none" w:sz="0" w:space="0" w:color="auto"/>
            <w:right w:val="none" w:sz="0" w:space="0" w:color="auto"/>
          </w:divBdr>
        </w:div>
        <w:div w:id="708838945">
          <w:marLeft w:val="0"/>
          <w:marRight w:val="0"/>
          <w:marTop w:val="0"/>
          <w:marBottom w:val="0"/>
          <w:divBdr>
            <w:top w:val="none" w:sz="0" w:space="0" w:color="auto"/>
            <w:left w:val="none" w:sz="0" w:space="0" w:color="auto"/>
            <w:bottom w:val="none" w:sz="0" w:space="0" w:color="auto"/>
            <w:right w:val="none" w:sz="0" w:space="0" w:color="auto"/>
          </w:divBdr>
        </w:div>
        <w:div w:id="652417950">
          <w:marLeft w:val="0"/>
          <w:marRight w:val="0"/>
          <w:marTop w:val="0"/>
          <w:marBottom w:val="0"/>
          <w:divBdr>
            <w:top w:val="none" w:sz="0" w:space="0" w:color="auto"/>
            <w:left w:val="none" w:sz="0" w:space="0" w:color="auto"/>
            <w:bottom w:val="none" w:sz="0" w:space="0" w:color="auto"/>
            <w:right w:val="none" w:sz="0" w:space="0" w:color="auto"/>
          </w:divBdr>
        </w:div>
      </w:divsChild>
    </w:div>
    <w:div w:id="633415194">
      <w:bodyDiv w:val="1"/>
      <w:marLeft w:val="0"/>
      <w:marRight w:val="0"/>
      <w:marTop w:val="0"/>
      <w:marBottom w:val="0"/>
      <w:divBdr>
        <w:top w:val="none" w:sz="0" w:space="0" w:color="auto"/>
        <w:left w:val="none" w:sz="0" w:space="0" w:color="auto"/>
        <w:bottom w:val="none" w:sz="0" w:space="0" w:color="auto"/>
        <w:right w:val="none" w:sz="0" w:space="0" w:color="auto"/>
      </w:divBdr>
      <w:divsChild>
        <w:div w:id="379017313">
          <w:marLeft w:val="0"/>
          <w:marRight w:val="0"/>
          <w:marTop w:val="0"/>
          <w:marBottom w:val="0"/>
          <w:divBdr>
            <w:top w:val="none" w:sz="0" w:space="0" w:color="auto"/>
            <w:left w:val="none" w:sz="0" w:space="0" w:color="auto"/>
            <w:bottom w:val="none" w:sz="0" w:space="0" w:color="auto"/>
            <w:right w:val="none" w:sz="0" w:space="0" w:color="auto"/>
          </w:divBdr>
        </w:div>
      </w:divsChild>
    </w:div>
    <w:div w:id="641229597">
      <w:bodyDiv w:val="1"/>
      <w:marLeft w:val="0"/>
      <w:marRight w:val="0"/>
      <w:marTop w:val="0"/>
      <w:marBottom w:val="0"/>
      <w:divBdr>
        <w:top w:val="none" w:sz="0" w:space="0" w:color="auto"/>
        <w:left w:val="none" w:sz="0" w:space="0" w:color="auto"/>
        <w:bottom w:val="none" w:sz="0" w:space="0" w:color="auto"/>
        <w:right w:val="none" w:sz="0" w:space="0" w:color="auto"/>
      </w:divBdr>
      <w:divsChild>
        <w:div w:id="1107390896">
          <w:marLeft w:val="0"/>
          <w:marRight w:val="0"/>
          <w:marTop w:val="0"/>
          <w:marBottom w:val="0"/>
          <w:divBdr>
            <w:top w:val="none" w:sz="0" w:space="0" w:color="auto"/>
            <w:left w:val="none" w:sz="0" w:space="0" w:color="auto"/>
            <w:bottom w:val="none" w:sz="0" w:space="0" w:color="auto"/>
            <w:right w:val="none" w:sz="0" w:space="0" w:color="auto"/>
          </w:divBdr>
        </w:div>
        <w:div w:id="700517718">
          <w:marLeft w:val="0"/>
          <w:marRight w:val="0"/>
          <w:marTop w:val="0"/>
          <w:marBottom w:val="0"/>
          <w:divBdr>
            <w:top w:val="none" w:sz="0" w:space="0" w:color="auto"/>
            <w:left w:val="none" w:sz="0" w:space="0" w:color="auto"/>
            <w:bottom w:val="none" w:sz="0" w:space="0" w:color="auto"/>
            <w:right w:val="none" w:sz="0" w:space="0" w:color="auto"/>
          </w:divBdr>
        </w:div>
        <w:div w:id="922450847">
          <w:marLeft w:val="0"/>
          <w:marRight w:val="0"/>
          <w:marTop w:val="0"/>
          <w:marBottom w:val="0"/>
          <w:divBdr>
            <w:top w:val="none" w:sz="0" w:space="0" w:color="auto"/>
            <w:left w:val="none" w:sz="0" w:space="0" w:color="auto"/>
            <w:bottom w:val="none" w:sz="0" w:space="0" w:color="auto"/>
            <w:right w:val="none" w:sz="0" w:space="0" w:color="auto"/>
          </w:divBdr>
        </w:div>
        <w:div w:id="587277232">
          <w:marLeft w:val="0"/>
          <w:marRight w:val="0"/>
          <w:marTop w:val="0"/>
          <w:marBottom w:val="0"/>
          <w:divBdr>
            <w:top w:val="none" w:sz="0" w:space="0" w:color="auto"/>
            <w:left w:val="none" w:sz="0" w:space="0" w:color="auto"/>
            <w:bottom w:val="none" w:sz="0" w:space="0" w:color="auto"/>
            <w:right w:val="none" w:sz="0" w:space="0" w:color="auto"/>
          </w:divBdr>
        </w:div>
      </w:divsChild>
    </w:div>
    <w:div w:id="753086706">
      <w:bodyDiv w:val="1"/>
      <w:marLeft w:val="0"/>
      <w:marRight w:val="0"/>
      <w:marTop w:val="0"/>
      <w:marBottom w:val="0"/>
      <w:divBdr>
        <w:top w:val="none" w:sz="0" w:space="0" w:color="auto"/>
        <w:left w:val="none" w:sz="0" w:space="0" w:color="auto"/>
        <w:bottom w:val="none" w:sz="0" w:space="0" w:color="auto"/>
        <w:right w:val="none" w:sz="0" w:space="0" w:color="auto"/>
      </w:divBdr>
    </w:div>
    <w:div w:id="775558238">
      <w:bodyDiv w:val="1"/>
      <w:marLeft w:val="0"/>
      <w:marRight w:val="0"/>
      <w:marTop w:val="0"/>
      <w:marBottom w:val="0"/>
      <w:divBdr>
        <w:top w:val="none" w:sz="0" w:space="0" w:color="auto"/>
        <w:left w:val="none" w:sz="0" w:space="0" w:color="auto"/>
        <w:bottom w:val="none" w:sz="0" w:space="0" w:color="auto"/>
        <w:right w:val="none" w:sz="0" w:space="0" w:color="auto"/>
      </w:divBdr>
      <w:divsChild>
        <w:div w:id="1249853876">
          <w:marLeft w:val="0"/>
          <w:marRight w:val="0"/>
          <w:marTop w:val="0"/>
          <w:marBottom w:val="0"/>
          <w:divBdr>
            <w:top w:val="none" w:sz="0" w:space="0" w:color="auto"/>
            <w:left w:val="none" w:sz="0" w:space="0" w:color="auto"/>
            <w:bottom w:val="none" w:sz="0" w:space="0" w:color="auto"/>
            <w:right w:val="none" w:sz="0" w:space="0" w:color="auto"/>
          </w:divBdr>
        </w:div>
        <w:div w:id="1091731280">
          <w:marLeft w:val="0"/>
          <w:marRight w:val="0"/>
          <w:marTop w:val="0"/>
          <w:marBottom w:val="0"/>
          <w:divBdr>
            <w:top w:val="none" w:sz="0" w:space="0" w:color="auto"/>
            <w:left w:val="none" w:sz="0" w:space="0" w:color="auto"/>
            <w:bottom w:val="none" w:sz="0" w:space="0" w:color="auto"/>
            <w:right w:val="none" w:sz="0" w:space="0" w:color="auto"/>
          </w:divBdr>
        </w:div>
        <w:div w:id="1215850777">
          <w:marLeft w:val="0"/>
          <w:marRight w:val="0"/>
          <w:marTop w:val="0"/>
          <w:marBottom w:val="0"/>
          <w:divBdr>
            <w:top w:val="none" w:sz="0" w:space="0" w:color="auto"/>
            <w:left w:val="none" w:sz="0" w:space="0" w:color="auto"/>
            <w:bottom w:val="none" w:sz="0" w:space="0" w:color="auto"/>
            <w:right w:val="none" w:sz="0" w:space="0" w:color="auto"/>
          </w:divBdr>
        </w:div>
        <w:div w:id="404031232">
          <w:marLeft w:val="0"/>
          <w:marRight w:val="0"/>
          <w:marTop w:val="0"/>
          <w:marBottom w:val="0"/>
          <w:divBdr>
            <w:top w:val="none" w:sz="0" w:space="0" w:color="auto"/>
            <w:left w:val="none" w:sz="0" w:space="0" w:color="auto"/>
            <w:bottom w:val="none" w:sz="0" w:space="0" w:color="auto"/>
            <w:right w:val="none" w:sz="0" w:space="0" w:color="auto"/>
          </w:divBdr>
        </w:div>
        <w:div w:id="420564331">
          <w:marLeft w:val="0"/>
          <w:marRight w:val="0"/>
          <w:marTop w:val="0"/>
          <w:marBottom w:val="0"/>
          <w:divBdr>
            <w:top w:val="none" w:sz="0" w:space="0" w:color="auto"/>
            <w:left w:val="none" w:sz="0" w:space="0" w:color="auto"/>
            <w:bottom w:val="none" w:sz="0" w:space="0" w:color="auto"/>
            <w:right w:val="none" w:sz="0" w:space="0" w:color="auto"/>
          </w:divBdr>
        </w:div>
        <w:div w:id="757294025">
          <w:marLeft w:val="0"/>
          <w:marRight w:val="0"/>
          <w:marTop w:val="0"/>
          <w:marBottom w:val="0"/>
          <w:divBdr>
            <w:top w:val="none" w:sz="0" w:space="0" w:color="auto"/>
            <w:left w:val="none" w:sz="0" w:space="0" w:color="auto"/>
            <w:bottom w:val="none" w:sz="0" w:space="0" w:color="auto"/>
            <w:right w:val="none" w:sz="0" w:space="0" w:color="auto"/>
          </w:divBdr>
        </w:div>
      </w:divsChild>
    </w:div>
    <w:div w:id="943998664">
      <w:bodyDiv w:val="1"/>
      <w:marLeft w:val="0"/>
      <w:marRight w:val="0"/>
      <w:marTop w:val="0"/>
      <w:marBottom w:val="0"/>
      <w:divBdr>
        <w:top w:val="none" w:sz="0" w:space="0" w:color="auto"/>
        <w:left w:val="none" w:sz="0" w:space="0" w:color="auto"/>
        <w:bottom w:val="none" w:sz="0" w:space="0" w:color="auto"/>
        <w:right w:val="none" w:sz="0" w:space="0" w:color="auto"/>
      </w:divBdr>
      <w:divsChild>
        <w:div w:id="1906063909">
          <w:marLeft w:val="0"/>
          <w:marRight w:val="0"/>
          <w:marTop w:val="0"/>
          <w:marBottom w:val="0"/>
          <w:divBdr>
            <w:top w:val="none" w:sz="0" w:space="0" w:color="auto"/>
            <w:left w:val="none" w:sz="0" w:space="0" w:color="auto"/>
            <w:bottom w:val="none" w:sz="0" w:space="0" w:color="auto"/>
            <w:right w:val="none" w:sz="0" w:space="0" w:color="auto"/>
          </w:divBdr>
        </w:div>
        <w:div w:id="769548177">
          <w:marLeft w:val="0"/>
          <w:marRight w:val="0"/>
          <w:marTop w:val="0"/>
          <w:marBottom w:val="0"/>
          <w:divBdr>
            <w:top w:val="none" w:sz="0" w:space="0" w:color="auto"/>
            <w:left w:val="none" w:sz="0" w:space="0" w:color="auto"/>
            <w:bottom w:val="none" w:sz="0" w:space="0" w:color="auto"/>
            <w:right w:val="none" w:sz="0" w:space="0" w:color="auto"/>
          </w:divBdr>
        </w:div>
        <w:div w:id="1695351565">
          <w:marLeft w:val="0"/>
          <w:marRight w:val="0"/>
          <w:marTop w:val="0"/>
          <w:marBottom w:val="0"/>
          <w:divBdr>
            <w:top w:val="none" w:sz="0" w:space="0" w:color="auto"/>
            <w:left w:val="none" w:sz="0" w:space="0" w:color="auto"/>
            <w:bottom w:val="none" w:sz="0" w:space="0" w:color="auto"/>
            <w:right w:val="none" w:sz="0" w:space="0" w:color="auto"/>
          </w:divBdr>
        </w:div>
        <w:div w:id="311761689">
          <w:marLeft w:val="0"/>
          <w:marRight w:val="0"/>
          <w:marTop w:val="0"/>
          <w:marBottom w:val="0"/>
          <w:divBdr>
            <w:top w:val="none" w:sz="0" w:space="0" w:color="auto"/>
            <w:left w:val="none" w:sz="0" w:space="0" w:color="auto"/>
            <w:bottom w:val="none" w:sz="0" w:space="0" w:color="auto"/>
            <w:right w:val="none" w:sz="0" w:space="0" w:color="auto"/>
          </w:divBdr>
        </w:div>
        <w:div w:id="237717508">
          <w:marLeft w:val="0"/>
          <w:marRight w:val="0"/>
          <w:marTop w:val="0"/>
          <w:marBottom w:val="0"/>
          <w:divBdr>
            <w:top w:val="none" w:sz="0" w:space="0" w:color="auto"/>
            <w:left w:val="none" w:sz="0" w:space="0" w:color="auto"/>
            <w:bottom w:val="none" w:sz="0" w:space="0" w:color="auto"/>
            <w:right w:val="none" w:sz="0" w:space="0" w:color="auto"/>
          </w:divBdr>
        </w:div>
        <w:div w:id="1618415697">
          <w:marLeft w:val="0"/>
          <w:marRight w:val="0"/>
          <w:marTop w:val="0"/>
          <w:marBottom w:val="0"/>
          <w:divBdr>
            <w:top w:val="none" w:sz="0" w:space="0" w:color="auto"/>
            <w:left w:val="none" w:sz="0" w:space="0" w:color="auto"/>
            <w:bottom w:val="none" w:sz="0" w:space="0" w:color="auto"/>
            <w:right w:val="none" w:sz="0" w:space="0" w:color="auto"/>
          </w:divBdr>
        </w:div>
        <w:div w:id="209154352">
          <w:marLeft w:val="0"/>
          <w:marRight w:val="0"/>
          <w:marTop w:val="0"/>
          <w:marBottom w:val="0"/>
          <w:divBdr>
            <w:top w:val="none" w:sz="0" w:space="0" w:color="auto"/>
            <w:left w:val="none" w:sz="0" w:space="0" w:color="auto"/>
            <w:bottom w:val="none" w:sz="0" w:space="0" w:color="auto"/>
            <w:right w:val="none" w:sz="0" w:space="0" w:color="auto"/>
          </w:divBdr>
        </w:div>
        <w:div w:id="1478834712">
          <w:marLeft w:val="0"/>
          <w:marRight w:val="0"/>
          <w:marTop w:val="0"/>
          <w:marBottom w:val="0"/>
          <w:divBdr>
            <w:top w:val="none" w:sz="0" w:space="0" w:color="auto"/>
            <w:left w:val="none" w:sz="0" w:space="0" w:color="auto"/>
            <w:bottom w:val="none" w:sz="0" w:space="0" w:color="auto"/>
            <w:right w:val="none" w:sz="0" w:space="0" w:color="auto"/>
          </w:divBdr>
        </w:div>
        <w:div w:id="1163081977">
          <w:marLeft w:val="0"/>
          <w:marRight w:val="0"/>
          <w:marTop w:val="0"/>
          <w:marBottom w:val="0"/>
          <w:divBdr>
            <w:top w:val="none" w:sz="0" w:space="0" w:color="auto"/>
            <w:left w:val="none" w:sz="0" w:space="0" w:color="auto"/>
            <w:bottom w:val="none" w:sz="0" w:space="0" w:color="auto"/>
            <w:right w:val="none" w:sz="0" w:space="0" w:color="auto"/>
          </w:divBdr>
        </w:div>
      </w:divsChild>
    </w:div>
    <w:div w:id="965547895">
      <w:bodyDiv w:val="1"/>
      <w:marLeft w:val="0"/>
      <w:marRight w:val="0"/>
      <w:marTop w:val="0"/>
      <w:marBottom w:val="0"/>
      <w:divBdr>
        <w:top w:val="none" w:sz="0" w:space="0" w:color="auto"/>
        <w:left w:val="none" w:sz="0" w:space="0" w:color="auto"/>
        <w:bottom w:val="none" w:sz="0" w:space="0" w:color="auto"/>
        <w:right w:val="none" w:sz="0" w:space="0" w:color="auto"/>
      </w:divBdr>
      <w:divsChild>
        <w:div w:id="1215392799">
          <w:marLeft w:val="0"/>
          <w:marRight w:val="0"/>
          <w:marTop w:val="0"/>
          <w:marBottom w:val="0"/>
          <w:divBdr>
            <w:top w:val="none" w:sz="0" w:space="0" w:color="auto"/>
            <w:left w:val="none" w:sz="0" w:space="0" w:color="auto"/>
            <w:bottom w:val="none" w:sz="0" w:space="0" w:color="auto"/>
            <w:right w:val="none" w:sz="0" w:space="0" w:color="auto"/>
          </w:divBdr>
        </w:div>
        <w:div w:id="331219896">
          <w:marLeft w:val="0"/>
          <w:marRight w:val="0"/>
          <w:marTop w:val="0"/>
          <w:marBottom w:val="0"/>
          <w:divBdr>
            <w:top w:val="none" w:sz="0" w:space="0" w:color="auto"/>
            <w:left w:val="none" w:sz="0" w:space="0" w:color="auto"/>
            <w:bottom w:val="none" w:sz="0" w:space="0" w:color="auto"/>
            <w:right w:val="none" w:sz="0" w:space="0" w:color="auto"/>
          </w:divBdr>
        </w:div>
      </w:divsChild>
    </w:div>
    <w:div w:id="991981054">
      <w:bodyDiv w:val="1"/>
      <w:marLeft w:val="0"/>
      <w:marRight w:val="0"/>
      <w:marTop w:val="0"/>
      <w:marBottom w:val="0"/>
      <w:divBdr>
        <w:top w:val="none" w:sz="0" w:space="0" w:color="auto"/>
        <w:left w:val="none" w:sz="0" w:space="0" w:color="auto"/>
        <w:bottom w:val="none" w:sz="0" w:space="0" w:color="auto"/>
        <w:right w:val="none" w:sz="0" w:space="0" w:color="auto"/>
      </w:divBdr>
      <w:divsChild>
        <w:div w:id="1305155892">
          <w:marLeft w:val="0"/>
          <w:marRight w:val="0"/>
          <w:marTop w:val="0"/>
          <w:marBottom w:val="0"/>
          <w:divBdr>
            <w:top w:val="none" w:sz="0" w:space="0" w:color="auto"/>
            <w:left w:val="none" w:sz="0" w:space="0" w:color="auto"/>
            <w:bottom w:val="none" w:sz="0" w:space="0" w:color="auto"/>
            <w:right w:val="none" w:sz="0" w:space="0" w:color="auto"/>
          </w:divBdr>
        </w:div>
        <w:div w:id="1551842950">
          <w:marLeft w:val="0"/>
          <w:marRight w:val="0"/>
          <w:marTop w:val="0"/>
          <w:marBottom w:val="0"/>
          <w:divBdr>
            <w:top w:val="none" w:sz="0" w:space="0" w:color="auto"/>
            <w:left w:val="none" w:sz="0" w:space="0" w:color="auto"/>
            <w:bottom w:val="none" w:sz="0" w:space="0" w:color="auto"/>
            <w:right w:val="none" w:sz="0" w:space="0" w:color="auto"/>
          </w:divBdr>
        </w:div>
      </w:divsChild>
    </w:div>
    <w:div w:id="1119177124">
      <w:bodyDiv w:val="1"/>
      <w:marLeft w:val="0"/>
      <w:marRight w:val="0"/>
      <w:marTop w:val="0"/>
      <w:marBottom w:val="0"/>
      <w:divBdr>
        <w:top w:val="none" w:sz="0" w:space="0" w:color="auto"/>
        <w:left w:val="none" w:sz="0" w:space="0" w:color="auto"/>
        <w:bottom w:val="none" w:sz="0" w:space="0" w:color="auto"/>
        <w:right w:val="none" w:sz="0" w:space="0" w:color="auto"/>
      </w:divBdr>
      <w:divsChild>
        <w:div w:id="1253078478">
          <w:marLeft w:val="0"/>
          <w:marRight w:val="0"/>
          <w:marTop w:val="0"/>
          <w:marBottom w:val="0"/>
          <w:divBdr>
            <w:top w:val="none" w:sz="0" w:space="0" w:color="auto"/>
            <w:left w:val="none" w:sz="0" w:space="0" w:color="auto"/>
            <w:bottom w:val="none" w:sz="0" w:space="0" w:color="auto"/>
            <w:right w:val="none" w:sz="0" w:space="0" w:color="auto"/>
          </w:divBdr>
        </w:div>
        <w:div w:id="170528540">
          <w:marLeft w:val="0"/>
          <w:marRight w:val="0"/>
          <w:marTop w:val="0"/>
          <w:marBottom w:val="0"/>
          <w:divBdr>
            <w:top w:val="none" w:sz="0" w:space="0" w:color="auto"/>
            <w:left w:val="none" w:sz="0" w:space="0" w:color="auto"/>
            <w:bottom w:val="none" w:sz="0" w:space="0" w:color="auto"/>
            <w:right w:val="none" w:sz="0" w:space="0" w:color="auto"/>
          </w:divBdr>
        </w:div>
      </w:divsChild>
    </w:div>
    <w:div w:id="1129472803">
      <w:bodyDiv w:val="1"/>
      <w:marLeft w:val="0"/>
      <w:marRight w:val="0"/>
      <w:marTop w:val="0"/>
      <w:marBottom w:val="0"/>
      <w:divBdr>
        <w:top w:val="none" w:sz="0" w:space="0" w:color="auto"/>
        <w:left w:val="none" w:sz="0" w:space="0" w:color="auto"/>
        <w:bottom w:val="none" w:sz="0" w:space="0" w:color="auto"/>
        <w:right w:val="none" w:sz="0" w:space="0" w:color="auto"/>
      </w:divBdr>
    </w:div>
    <w:div w:id="1147895169">
      <w:bodyDiv w:val="1"/>
      <w:marLeft w:val="0"/>
      <w:marRight w:val="0"/>
      <w:marTop w:val="0"/>
      <w:marBottom w:val="0"/>
      <w:divBdr>
        <w:top w:val="none" w:sz="0" w:space="0" w:color="auto"/>
        <w:left w:val="none" w:sz="0" w:space="0" w:color="auto"/>
        <w:bottom w:val="none" w:sz="0" w:space="0" w:color="auto"/>
        <w:right w:val="none" w:sz="0" w:space="0" w:color="auto"/>
      </w:divBdr>
      <w:divsChild>
        <w:div w:id="1815637918">
          <w:marLeft w:val="0"/>
          <w:marRight w:val="0"/>
          <w:marTop w:val="0"/>
          <w:marBottom w:val="0"/>
          <w:divBdr>
            <w:top w:val="none" w:sz="0" w:space="0" w:color="auto"/>
            <w:left w:val="none" w:sz="0" w:space="0" w:color="auto"/>
            <w:bottom w:val="none" w:sz="0" w:space="0" w:color="auto"/>
            <w:right w:val="none" w:sz="0" w:space="0" w:color="auto"/>
          </w:divBdr>
        </w:div>
        <w:div w:id="388652314">
          <w:marLeft w:val="0"/>
          <w:marRight w:val="0"/>
          <w:marTop w:val="0"/>
          <w:marBottom w:val="0"/>
          <w:divBdr>
            <w:top w:val="none" w:sz="0" w:space="0" w:color="auto"/>
            <w:left w:val="none" w:sz="0" w:space="0" w:color="auto"/>
            <w:bottom w:val="none" w:sz="0" w:space="0" w:color="auto"/>
            <w:right w:val="none" w:sz="0" w:space="0" w:color="auto"/>
          </w:divBdr>
        </w:div>
        <w:div w:id="1252081240">
          <w:marLeft w:val="0"/>
          <w:marRight w:val="0"/>
          <w:marTop w:val="0"/>
          <w:marBottom w:val="0"/>
          <w:divBdr>
            <w:top w:val="none" w:sz="0" w:space="0" w:color="auto"/>
            <w:left w:val="none" w:sz="0" w:space="0" w:color="auto"/>
            <w:bottom w:val="none" w:sz="0" w:space="0" w:color="auto"/>
            <w:right w:val="none" w:sz="0" w:space="0" w:color="auto"/>
          </w:divBdr>
        </w:div>
        <w:div w:id="1342049866">
          <w:marLeft w:val="0"/>
          <w:marRight w:val="0"/>
          <w:marTop w:val="0"/>
          <w:marBottom w:val="0"/>
          <w:divBdr>
            <w:top w:val="none" w:sz="0" w:space="0" w:color="auto"/>
            <w:left w:val="none" w:sz="0" w:space="0" w:color="auto"/>
            <w:bottom w:val="none" w:sz="0" w:space="0" w:color="auto"/>
            <w:right w:val="none" w:sz="0" w:space="0" w:color="auto"/>
          </w:divBdr>
        </w:div>
        <w:div w:id="895747695">
          <w:marLeft w:val="0"/>
          <w:marRight w:val="0"/>
          <w:marTop w:val="0"/>
          <w:marBottom w:val="0"/>
          <w:divBdr>
            <w:top w:val="none" w:sz="0" w:space="0" w:color="auto"/>
            <w:left w:val="none" w:sz="0" w:space="0" w:color="auto"/>
            <w:bottom w:val="none" w:sz="0" w:space="0" w:color="auto"/>
            <w:right w:val="none" w:sz="0" w:space="0" w:color="auto"/>
          </w:divBdr>
        </w:div>
        <w:div w:id="1618372614">
          <w:marLeft w:val="0"/>
          <w:marRight w:val="0"/>
          <w:marTop w:val="0"/>
          <w:marBottom w:val="0"/>
          <w:divBdr>
            <w:top w:val="none" w:sz="0" w:space="0" w:color="auto"/>
            <w:left w:val="none" w:sz="0" w:space="0" w:color="auto"/>
            <w:bottom w:val="none" w:sz="0" w:space="0" w:color="auto"/>
            <w:right w:val="none" w:sz="0" w:space="0" w:color="auto"/>
          </w:divBdr>
        </w:div>
      </w:divsChild>
    </w:div>
    <w:div w:id="1275791894">
      <w:bodyDiv w:val="1"/>
      <w:marLeft w:val="0"/>
      <w:marRight w:val="0"/>
      <w:marTop w:val="0"/>
      <w:marBottom w:val="0"/>
      <w:divBdr>
        <w:top w:val="none" w:sz="0" w:space="0" w:color="auto"/>
        <w:left w:val="none" w:sz="0" w:space="0" w:color="auto"/>
        <w:bottom w:val="none" w:sz="0" w:space="0" w:color="auto"/>
        <w:right w:val="none" w:sz="0" w:space="0" w:color="auto"/>
      </w:divBdr>
    </w:div>
    <w:div w:id="1332101820">
      <w:bodyDiv w:val="1"/>
      <w:marLeft w:val="0"/>
      <w:marRight w:val="0"/>
      <w:marTop w:val="0"/>
      <w:marBottom w:val="0"/>
      <w:divBdr>
        <w:top w:val="none" w:sz="0" w:space="0" w:color="auto"/>
        <w:left w:val="none" w:sz="0" w:space="0" w:color="auto"/>
        <w:bottom w:val="none" w:sz="0" w:space="0" w:color="auto"/>
        <w:right w:val="none" w:sz="0" w:space="0" w:color="auto"/>
      </w:divBdr>
      <w:divsChild>
        <w:div w:id="1545825176">
          <w:marLeft w:val="0"/>
          <w:marRight w:val="0"/>
          <w:marTop w:val="0"/>
          <w:marBottom w:val="0"/>
          <w:divBdr>
            <w:top w:val="none" w:sz="0" w:space="0" w:color="auto"/>
            <w:left w:val="none" w:sz="0" w:space="0" w:color="auto"/>
            <w:bottom w:val="none" w:sz="0" w:space="0" w:color="auto"/>
            <w:right w:val="none" w:sz="0" w:space="0" w:color="auto"/>
          </w:divBdr>
        </w:div>
        <w:div w:id="1545369403">
          <w:marLeft w:val="0"/>
          <w:marRight w:val="0"/>
          <w:marTop w:val="0"/>
          <w:marBottom w:val="0"/>
          <w:divBdr>
            <w:top w:val="none" w:sz="0" w:space="0" w:color="auto"/>
            <w:left w:val="none" w:sz="0" w:space="0" w:color="auto"/>
            <w:bottom w:val="none" w:sz="0" w:space="0" w:color="auto"/>
            <w:right w:val="none" w:sz="0" w:space="0" w:color="auto"/>
          </w:divBdr>
        </w:div>
      </w:divsChild>
    </w:div>
    <w:div w:id="1342775720">
      <w:bodyDiv w:val="1"/>
      <w:marLeft w:val="0"/>
      <w:marRight w:val="0"/>
      <w:marTop w:val="0"/>
      <w:marBottom w:val="0"/>
      <w:divBdr>
        <w:top w:val="none" w:sz="0" w:space="0" w:color="auto"/>
        <w:left w:val="none" w:sz="0" w:space="0" w:color="auto"/>
        <w:bottom w:val="none" w:sz="0" w:space="0" w:color="auto"/>
        <w:right w:val="none" w:sz="0" w:space="0" w:color="auto"/>
      </w:divBdr>
      <w:divsChild>
        <w:div w:id="607003978">
          <w:marLeft w:val="0"/>
          <w:marRight w:val="0"/>
          <w:marTop w:val="0"/>
          <w:marBottom w:val="0"/>
          <w:divBdr>
            <w:top w:val="none" w:sz="0" w:space="0" w:color="auto"/>
            <w:left w:val="none" w:sz="0" w:space="0" w:color="auto"/>
            <w:bottom w:val="none" w:sz="0" w:space="0" w:color="auto"/>
            <w:right w:val="none" w:sz="0" w:space="0" w:color="auto"/>
          </w:divBdr>
        </w:div>
        <w:div w:id="434787170">
          <w:marLeft w:val="0"/>
          <w:marRight w:val="0"/>
          <w:marTop w:val="0"/>
          <w:marBottom w:val="0"/>
          <w:divBdr>
            <w:top w:val="none" w:sz="0" w:space="0" w:color="auto"/>
            <w:left w:val="none" w:sz="0" w:space="0" w:color="auto"/>
            <w:bottom w:val="none" w:sz="0" w:space="0" w:color="auto"/>
            <w:right w:val="none" w:sz="0" w:space="0" w:color="auto"/>
          </w:divBdr>
        </w:div>
        <w:div w:id="1737240044">
          <w:marLeft w:val="0"/>
          <w:marRight w:val="0"/>
          <w:marTop w:val="0"/>
          <w:marBottom w:val="0"/>
          <w:divBdr>
            <w:top w:val="none" w:sz="0" w:space="0" w:color="auto"/>
            <w:left w:val="none" w:sz="0" w:space="0" w:color="auto"/>
            <w:bottom w:val="none" w:sz="0" w:space="0" w:color="auto"/>
            <w:right w:val="none" w:sz="0" w:space="0" w:color="auto"/>
          </w:divBdr>
        </w:div>
        <w:div w:id="1444573027">
          <w:marLeft w:val="0"/>
          <w:marRight w:val="0"/>
          <w:marTop w:val="0"/>
          <w:marBottom w:val="0"/>
          <w:divBdr>
            <w:top w:val="none" w:sz="0" w:space="0" w:color="auto"/>
            <w:left w:val="none" w:sz="0" w:space="0" w:color="auto"/>
            <w:bottom w:val="none" w:sz="0" w:space="0" w:color="auto"/>
            <w:right w:val="none" w:sz="0" w:space="0" w:color="auto"/>
          </w:divBdr>
        </w:div>
      </w:divsChild>
    </w:div>
    <w:div w:id="1411073762">
      <w:bodyDiv w:val="1"/>
      <w:marLeft w:val="0"/>
      <w:marRight w:val="0"/>
      <w:marTop w:val="0"/>
      <w:marBottom w:val="0"/>
      <w:divBdr>
        <w:top w:val="none" w:sz="0" w:space="0" w:color="auto"/>
        <w:left w:val="none" w:sz="0" w:space="0" w:color="auto"/>
        <w:bottom w:val="none" w:sz="0" w:space="0" w:color="auto"/>
        <w:right w:val="none" w:sz="0" w:space="0" w:color="auto"/>
      </w:divBdr>
    </w:div>
    <w:div w:id="1437019042">
      <w:bodyDiv w:val="1"/>
      <w:marLeft w:val="0"/>
      <w:marRight w:val="0"/>
      <w:marTop w:val="0"/>
      <w:marBottom w:val="0"/>
      <w:divBdr>
        <w:top w:val="none" w:sz="0" w:space="0" w:color="auto"/>
        <w:left w:val="none" w:sz="0" w:space="0" w:color="auto"/>
        <w:bottom w:val="none" w:sz="0" w:space="0" w:color="auto"/>
        <w:right w:val="none" w:sz="0" w:space="0" w:color="auto"/>
      </w:divBdr>
    </w:div>
    <w:div w:id="1445689536">
      <w:bodyDiv w:val="1"/>
      <w:marLeft w:val="0"/>
      <w:marRight w:val="0"/>
      <w:marTop w:val="0"/>
      <w:marBottom w:val="0"/>
      <w:divBdr>
        <w:top w:val="none" w:sz="0" w:space="0" w:color="auto"/>
        <w:left w:val="none" w:sz="0" w:space="0" w:color="auto"/>
        <w:bottom w:val="none" w:sz="0" w:space="0" w:color="auto"/>
        <w:right w:val="none" w:sz="0" w:space="0" w:color="auto"/>
      </w:divBdr>
      <w:divsChild>
        <w:div w:id="1594822908">
          <w:marLeft w:val="0"/>
          <w:marRight w:val="0"/>
          <w:marTop w:val="0"/>
          <w:marBottom w:val="0"/>
          <w:divBdr>
            <w:top w:val="none" w:sz="0" w:space="0" w:color="auto"/>
            <w:left w:val="none" w:sz="0" w:space="0" w:color="auto"/>
            <w:bottom w:val="none" w:sz="0" w:space="0" w:color="auto"/>
            <w:right w:val="none" w:sz="0" w:space="0" w:color="auto"/>
          </w:divBdr>
        </w:div>
        <w:div w:id="574709691">
          <w:marLeft w:val="0"/>
          <w:marRight w:val="0"/>
          <w:marTop w:val="0"/>
          <w:marBottom w:val="0"/>
          <w:divBdr>
            <w:top w:val="none" w:sz="0" w:space="0" w:color="auto"/>
            <w:left w:val="none" w:sz="0" w:space="0" w:color="auto"/>
            <w:bottom w:val="none" w:sz="0" w:space="0" w:color="auto"/>
            <w:right w:val="none" w:sz="0" w:space="0" w:color="auto"/>
          </w:divBdr>
        </w:div>
        <w:div w:id="912861443">
          <w:marLeft w:val="0"/>
          <w:marRight w:val="0"/>
          <w:marTop w:val="0"/>
          <w:marBottom w:val="0"/>
          <w:divBdr>
            <w:top w:val="none" w:sz="0" w:space="0" w:color="auto"/>
            <w:left w:val="none" w:sz="0" w:space="0" w:color="auto"/>
            <w:bottom w:val="none" w:sz="0" w:space="0" w:color="auto"/>
            <w:right w:val="none" w:sz="0" w:space="0" w:color="auto"/>
          </w:divBdr>
        </w:div>
        <w:div w:id="2100061994">
          <w:marLeft w:val="0"/>
          <w:marRight w:val="0"/>
          <w:marTop w:val="0"/>
          <w:marBottom w:val="0"/>
          <w:divBdr>
            <w:top w:val="none" w:sz="0" w:space="0" w:color="auto"/>
            <w:left w:val="none" w:sz="0" w:space="0" w:color="auto"/>
            <w:bottom w:val="none" w:sz="0" w:space="0" w:color="auto"/>
            <w:right w:val="none" w:sz="0" w:space="0" w:color="auto"/>
          </w:divBdr>
        </w:div>
      </w:divsChild>
    </w:div>
    <w:div w:id="1592935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2162">
          <w:marLeft w:val="0"/>
          <w:marRight w:val="0"/>
          <w:marTop w:val="0"/>
          <w:marBottom w:val="0"/>
          <w:divBdr>
            <w:top w:val="none" w:sz="0" w:space="0" w:color="auto"/>
            <w:left w:val="none" w:sz="0" w:space="0" w:color="auto"/>
            <w:bottom w:val="none" w:sz="0" w:space="0" w:color="auto"/>
            <w:right w:val="none" w:sz="0" w:space="0" w:color="auto"/>
          </w:divBdr>
        </w:div>
      </w:divsChild>
    </w:div>
    <w:div w:id="1593590313">
      <w:bodyDiv w:val="1"/>
      <w:marLeft w:val="0"/>
      <w:marRight w:val="0"/>
      <w:marTop w:val="0"/>
      <w:marBottom w:val="0"/>
      <w:divBdr>
        <w:top w:val="none" w:sz="0" w:space="0" w:color="auto"/>
        <w:left w:val="none" w:sz="0" w:space="0" w:color="auto"/>
        <w:bottom w:val="none" w:sz="0" w:space="0" w:color="auto"/>
        <w:right w:val="none" w:sz="0" w:space="0" w:color="auto"/>
      </w:divBdr>
    </w:div>
    <w:div w:id="1645160239">
      <w:bodyDiv w:val="1"/>
      <w:marLeft w:val="0"/>
      <w:marRight w:val="0"/>
      <w:marTop w:val="0"/>
      <w:marBottom w:val="0"/>
      <w:divBdr>
        <w:top w:val="none" w:sz="0" w:space="0" w:color="auto"/>
        <w:left w:val="none" w:sz="0" w:space="0" w:color="auto"/>
        <w:bottom w:val="none" w:sz="0" w:space="0" w:color="auto"/>
        <w:right w:val="none" w:sz="0" w:space="0" w:color="auto"/>
      </w:divBdr>
    </w:div>
    <w:div w:id="1733699673">
      <w:bodyDiv w:val="1"/>
      <w:marLeft w:val="0"/>
      <w:marRight w:val="0"/>
      <w:marTop w:val="0"/>
      <w:marBottom w:val="0"/>
      <w:divBdr>
        <w:top w:val="none" w:sz="0" w:space="0" w:color="auto"/>
        <w:left w:val="none" w:sz="0" w:space="0" w:color="auto"/>
        <w:bottom w:val="none" w:sz="0" w:space="0" w:color="auto"/>
        <w:right w:val="none" w:sz="0" w:space="0" w:color="auto"/>
      </w:divBdr>
    </w:div>
    <w:div w:id="1736538855">
      <w:bodyDiv w:val="1"/>
      <w:marLeft w:val="0"/>
      <w:marRight w:val="0"/>
      <w:marTop w:val="0"/>
      <w:marBottom w:val="0"/>
      <w:divBdr>
        <w:top w:val="none" w:sz="0" w:space="0" w:color="auto"/>
        <w:left w:val="none" w:sz="0" w:space="0" w:color="auto"/>
        <w:bottom w:val="none" w:sz="0" w:space="0" w:color="auto"/>
        <w:right w:val="none" w:sz="0" w:space="0" w:color="auto"/>
      </w:divBdr>
    </w:div>
    <w:div w:id="1751807802">
      <w:bodyDiv w:val="1"/>
      <w:marLeft w:val="0"/>
      <w:marRight w:val="0"/>
      <w:marTop w:val="0"/>
      <w:marBottom w:val="0"/>
      <w:divBdr>
        <w:top w:val="none" w:sz="0" w:space="0" w:color="auto"/>
        <w:left w:val="none" w:sz="0" w:space="0" w:color="auto"/>
        <w:bottom w:val="none" w:sz="0" w:space="0" w:color="auto"/>
        <w:right w:val="none" w:sz="0" w:space="0" w:color="auto"/>
      </w:divBdr>
      <w:divsChild>
        <w:div w:id="1973706611">
          <w:marLeft w:val="0"/>
          <w:marRight w:val="0"/>
          <w:marTop w:val="0"/>
          <w:marBottom w:val="0"/>
          <w:divBdr>
            <w:top w:val="none" w:sz="0" w:space="0" w:color="auto"/>
            <w:left w:val="none" w:sz="0" w:space="0" w:color="auto"/>
            <w:bottom w:val="none" w:sz="0" w:space="0" w:color="auto"/>
            <w:right w:val="none" w:sz="0" w:space="0" w:color="auto"/>
          </w:divBdr>
        </w:div>
        <w:div w:id="1715227174">
          <w:marLeft w:val="0"/>
          <w:marRight w:val="0"/>
          <w:marTop w:val="0"/>
          <w:marBottom w:val="0"/>
          <w:divBdr>
            <w:top w:val="none" w:sz="0" w:space="0" w:color="auto"/>
            <w:left w:val="none" w:sz="0" w:space="0" w:color="auto"/>
            <w:bottom w:val="none" w:sz="0" w:space="0" w:color="auto"/>
            <w:right w:val="none" w:sz="0" w:space="0" w:color="auto"/>
          </w:divBdr>
        </w:div>
        <w:div w:id="955676000">
          <w:marLeft w:val="0"/>
          <w:marRight w:val="0"/>
          <w:marTop w:val="0"/>
          <w:marBottom w:val="0"/>
          <w:divBdr>
            <w:top w:val="none" w:sz="0" w:space="0" w:color="auto"/>
            <w:left w:val="none" w:sz="0" w:space="0" w:color="auto"/>
            <w:bottom w:val="none" w:sz="0" w:space="0" w:color="auto"/>
            <w:right w:val="none" w:sz="0" w:space="0" w:color="auto"/>
          </w:divBdr>
        </w:div>
        <w:div w:id="336077100">
          <w:marLeft w:val="0"/>
          <w:marRight w:val="0"/>
          <w:marTop w:val="0"/>
          <w:marBottom w:val="0"/>
          <w:divBdr>
            <w:top w:val="none" w:sz="0" w:space="0" w:color="auto"/>
            <w:left w:val="none" w:sz="0" w:space="0" w:color="auto"/>
            <w:bottom w:val="none" w:sz="0" w:space="0" w:color="auto"/>
            <w:right w:val="none" w:sz="0" w:space="0" w:color="auto"/>
          </w:divBdr>
        </w:div>
        <w:div w:id="726032570">
          <w:marLeft w:val="0"/>
          <w:marRight w:val="0"/>
          <w:marTop w:val="0"/>
          <w:marBottom w:val="0"/>
          <w:divBdr>
            <w:top w:val="none" w:sz="0" w:space="0" w:color="auto"/>
            <w:left w:val="none" w:sz="0" w:space="0" w:color="auto"/>
            <w:bottom w:val="none" w:sz="0" w:space="0" w:color="auto"/>
            <w:right w:val="none" w:sz="0" w:space="0" w:color="auto"/>
          </w:divBdr>
        </w:div>
        <w:div w:id="1758743575">
          <w:marLeft w:val="0"/>
          <w:marRight w:val="0"/>
          <w:marTop w:val="0"/>
          <w:marBottom w:val="0"/>
          <w:divBdr>
            <w:top w:val="none" w:sz="0" w:space="0" w:color="auto"/>
            <w:left w:val="none" w:sz="0" w:space="0" w:color="auto"/>
            <w:bottom w:val="none" w:sz="0" w:space="0" w:color="auto"/>
            <w:right w:val="none" w:sz="0" w:space="0" w:color="auto"/>
          </w:divBdr>
        </w:div>
        <w:div w:id="644553939">
          <w:marLeft w:val="0"/>
          <w:marRight w:val="0"/>
          <w:marTop w:val="0"/>
          <w:marBottom w:val="0"/>
          <w:divBdr>
            <w:top w:val="none" w:sz="0" w:space="0" w:color="auto"/>
            <w:left w:val="none" w:sz="0" w:space="0" w:color="auto"/>
            <w:bottom w:val="none" w:sz="0" w:space="0" w:color="auto"/>
            <w:right w:val="none" w:sz="0" w:space="0" w:color="auto"/>
          </w:divBdr>
        </w:div>
        <w:div w:id="1831166679">
          <w:marLeft w:val="0"/>
          <w:marRight w:val="0"/>
          <w:marTop w:val="0"/>
          <w:marBottom w:val="0"/>
          <w:divBdr>
            <w:top w:val="none" w:sz="0" w:space="0" w:color="auto"/>
            <w:left w:val="none" w:sz="0" w:space="0" w:color="auto"/>
            <w:bottom w:val="none" w:sz="0" w:space="0" w:color="auto"/>
            <w:right w:val="none" w:sz="0" w:space="0" w:color="auto"/>
          </w:divBdr>
        </w:div>
      </w:divsChild>
    </w:div>
    <w:div w:id="1780445385">
      <w:bodyDiv w:val="1"/>
      <w:marLeft w:val="0"/>
      <w:marRight w:val="0"/>
      <w:marTop w:val="0"/>
      <w:marBottom w:val="0"/>
      <w:divBdr>
        <w:top w:val="none" w:sz="0" w:space="0" w:color="auto"/>
        <w:left w:val="none" w:sz="0" w:space="0" w:color="auto"/>
        <w:bottom w:val="none" w:sz="0" w:space="0" w:color="auto"/>
        <w:right w:val="none" w:sz="0" w:space="0" w:color="auto"/>
      </w:divBdr>
      <w:divsChild>
        <w:div w:id="27218515">
          <w:marLeft w:val="0"/>
          <w:marRight w:val="0"/>
          <w:marTop w:val="0"/>
          <w:marBottom w:val="0"/>
          <w:divBdr>
            <w:top w:val="none" w:sz="0" w:space="0" w:color="auto"/>
            <w:left w:val="none" w:sz="0" w:space="0" w:color="auto"/>
            <w:bottom w:val="none" w:sz="0" w:space="0" w:color="auto"/>
            <w:right w:val="none" w:sz="0" w:space="0" w:color="auto"/>
          </w:divBdr>
        </w:div>
        <w:div w:id="1350642106">
          <w:marLeft w:val="0"/>
          <w:marRight w:val="0"/>
          <w:marTop w:val="0"/>
          <w:marBottom w:val="0"/>
          <w:divBdr>
            <w:top w:val="none" w:sz="0" w:space="0" w:color="auto"/>
            <w:left w:val="none" w:sz="0" w:space="0" w:color="auto"/>
            <w:bottom w:val="none" w:sz="0" w:space="0" w:color="auto"/>
            <w:right w:val="none" w:sz="0" w:space="0" w:color="auto"/>
          </w:divBdr>
        </w:div>
      </w:divsChild>
    </w:div>
    <w:div w:id="1809206076">
      <w:bodyDiv w:val="1"/>
      <w:marLeft w:val="0"/>
      <w:marRight w:val="0"/>
      <w:marTop w:val="0"/>
      <w:marBottom w:val="0"/>
      <w:divBdr>
        <w:top w:val="none" w:sz="0" w:space="0" w:color="auto"/>
        <w:left w:val="none" w:sz="0" w:space="0" w:color="auto"/>
        <w:bottom w:val="none" w:sz="0" w:space="0" w:color="auto"/>
        <w:right w:val="none" w:sz="0" w:space="0" w:color="auto"/>
      </w:divBdr>
    </w:div>
    <w:div w:id="2091194232">
      <w:bodyDiv w:val="1"/>
      <w:marLeft w:val="0"/>
      <w:marRight w:val="0"/>
      <w:marTop w:val="0"/>
      <w:marBottom w:val="0"/>
      <w:divBdr>
        <w:top w:val="none" w:sz="0" w:space="0" w:color="auto"/>
        <w:left w:val="none" w:sz="0" w:space="0" w:color="auto"/>
        <w:bottom w:val="none" w:sz="0" w:space="0" w:color="auto"/>
        <w:right w:val="none" w:sz="0" w:space="0" w:color="auto"/>
      </w:divBdr>
    </w:div>
    <w:div w:id="21364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ndicators.ohchr.org" TargetMode="External"/><Relationship Id="rId1" Type="http://schemas.openxmlformats.org/officeDocument/2006/relationships/hyperlink" Target="http://www.ilo.org/global/topics/forced-labour/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9562D-D46C-46E9-A8E9-DCCD3AB9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40</Pages>
  <Words>9127</Words>
  <Characters>52026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61031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Obokata</dc:creator>
  <cp:lastModifiedBy>T. Obokata</cp:lastModifiedBy>
  <cp:revision>62</cp:revision>
  <dcterms:created xsi:type="dcterms:W3CDTF">2019-04-25T03:34:00Z</dcterms:created>
  <dcterms:modified xsi:type="dcterms:W3CDTF">2019-04-25T11:28:00Z</dcterms:modified>
</cp:coreProperties>
</file>