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7831B" w14:textId="57FD7E98" w:rsidR="00B36DED" w:rsidRDefault="00B36DED" w:rsidP="00B36DED">
      <w:pPr>
        <w:spacing w:line="360" w:lineRule="auto"/>
        <w:jc w:val="center"/>
        <w:rPr>
          <w:rFonts w:ascii="Times New Roman" w:hAnsi="Times New Roman" w:cs="Times New Roman"/>
          <w:b/>
        </w:rPr>
      </w:pPr>
      <w:r>
        <w:rPr>
          <w:rFonts w:ascii="Times New Roman" w:hAnsi="Times New Roman" w:cs="Times New Roman"/>
          <w:b/>
        </w:rPr>
        <w:t>Exploring the</w:t>
      </w:r>
      <w:r w:rsidR="00B7489C">
        <w:rPr>
          <w:rFonts w:ascii="Times New Roman" w:hAnsi="Times New Roman" w:cs="Times New Roman"/>
          <w:b/>
        </w:rPr>
        <w:t xml:space="preserve"> Potential and the Pitfalls of the</w:t>
      </w:r>
      <w:r>
        <w:rPr>
          <w:rFonts w:ascii="Times New Roman" w:hAnsi="Times New Roman" w:cs="Times New Roman"/>
          <w:b/>
        </w:rPr>
        <w:t xml:space="preserve"> United Nations Convention on the Rights of Persons with Disabilities</w:t>
      </w:r>
      <w:r w:rsidR="00B7489C">
        <w:rPr>
          <w:rFonts w:ascii="Times New Roman" w:hAnsi="Times New Roman" w:cs="Times New Roman"/>
          <w:b/>
        </w:rPr>
        <w:t xml:space="preserve"> and General Comment No.1</w:t>
      </w:r>
      <w:r>
        <w:rPr>
          <w:rFonts w:ascii="Times New Roman" w:hAnsi="Times New Roman" w:cs="Times New Roman"/>
          <w:b/>
        </w:rPr>
        <w:t xml:space="preserve"> for People with Dementia</w:t>
      </w:r>
    </w:p>
    <w:p w14:paraId="511B4E9F" w14:textId="77777777" w:rsidR="00B36DED" w:rsidRDefault="00B36DED" w:rsidP="00685CFE">
      <w:pPr>
        <w:spacing w:line="360" w:lineRule="auto"/>
        <w:rPr>
          <w:rFonts w:ascii="Times New Roman" w:hAnsi="Times New Roman" w:cs="Times New Roman"/>
          <w:b/>
        </w:rPr>
      </w:pPr>
    </w:p>
    <w:p w14:paraId="66FA2D3F" w14:textId="4AA3F14B" w:rsidR="004C6CA5" w:rsidRPr="00685CFE" w:rsidRDefault="004C6CA5" w:rsidP="00685CFE">
      <w:pPr>
        <w:spacing w:line="360" w:lineRule="auto"/>
        <w:rPr>
          <w:rFonts w:ascii="Times New Roman" w:hAnsi="Times New Roman" w:cs="Times New Roman"/>
          <w:b/>
        </w:rPr>
      </w:pPr>
      <w:r w:rsidRPr="00685CFE">
        <w:rPr>
          <w:rFonts w:ascii="Times New Roman" w:hAnsi="Times New Roman" w:cs="Times New Roman"/>
          <w:b/>
        </w:rPr>
        <w:t>1. Introduction</w:t>
      </w:r>
    </w:p>
    <w:p w14:paraId="476D88A8" w14:textId="4BBC78D9" w:rsidR="0066553D" w:rsidRPr="00D40345" w:rsidRDefault="004C6CA5" w:rsidP="000727CB">
      <w:pPr>
        <w:spacing w:line="360" w:lineRule="auto"/>
        <w:jc w:val="both"/>
        <w:rPr>
          <w:lang w:val="en-US"/>
        </w:rPr>
      </w:pPr>
      <w:r w:rsidRPr="00685CFE">
        <w:rPr>
          <w:rFonts w:ascii="Times New Roman" w:hAnsi="Times New Roman" w:cs="Times New Roman"/>
        </w:rPr>
        <w:t>T</w:t>
      </w:r>
      <w:r w:rsidR="00685CFE" w:rsidRPr="00685CFE">
        <w:rPr>
          <w:rFonts w:ascii="Times New Roman" w:hAnsi="Times New Roman" w:cs="Times New Roman"/>
        </w:rPr>
        <w:t>he United Nations Convention on the Rights of Persons with Disabilities (UNCRPD) has widely been heralded as</w:t>
      </w:r>
      <w:r w:rsidR="00A72077">
        <w:rPr>
          <w:rFonts w:ascii="Times New Roman" w:hAnsi="Times New Roman" w:cs="Times New Roman"/>
        </w:rPr>
        <w:t xml:space="preserve"> representing</w:t>
      </w:r>
      <w:r w:rsidR="00685CFE" w:rsidRPr="00685CFE">
        <w:rPr>
          <w:rFonts w:ascii="Times New Roman" w:hAnsi="Times New Roman" w:cs="Times New Roman"/>
        </w:rPr>
        <w:t xml:space="preserve"> </w:t>
      </w:r>
      <w:r w:rsidR="00A72077">
        <w:rPr>
          <w:rFonts w:ascii="Times New Roman" w:hAnsi="Times New Roman" w:cs="Times New Roman"/>
        </w:rPr>
        <w:t xml:space="preserve">a shift </w:t>
      </w:r>
      <w:r w:rsidR="00DC2546">
        <w:rPr>
          <w:rFonts w:ascii="Times New Roman" w:hAnsi="Times New Roman" w:cs="Times New Roman"/>
        </w:rPr>
        <w:t>in disability politics</w:t>
      </w:r>
      <w:r w:rsidR="00685CFE">
        <w:rPr>
          <w:rFonts w:ascii="Times New Roman" w:hAnsi="Times New Roman" w:cs="Times New Roman"/>
        </w:rPr>
        <w:t xml:space="preserve"> (Kayess and French, 2008</w:t>
      </w:r>
      <w:r w:rsidR="003B4FDE">
        <w:rPr>
          <w:rFonts w:ascii="Times New Roman" w:hAnsi="Times New Roman" w:cs="Times New Roman"/>
        </w:rPr>
        <w:t>; Quinn 2010</w:t>
      </w:r>
      <w:r w:rsidR="00685CFE">
        <w:rPr>
          <w:rFonts w:ascii="Times New Roman" w:hAnsi="Times New Roman" w:cs="Times New Roman"/>
        </w:rPr>
        <w:t>)</w:t>
      </w:r>
      <w:r w:rsidR="00A72077">
        <w:rPr>
          <w:rFonts w:ascii="Times New Roman" w:hAnsi="Times New Roman" w:cs="Times New Roman"/>
        </w:rPr>
        <w:t xml:space="preserve">; a </w:t>
      </w:r>
      <w:r w:rsidR="00685CFE" w:rsidRPr="00685CFE">
        <w:rPr>
          <w:rFonts w:ascii="Times New Roman" w:hAnsi="Times New Roman" w:cs="Times New Roman"/>
        </w:rPr>
        <w:t>‘new way of thinking about disability, centred on citizenship, equality, and inclusion’ (Donnelly, 2016, 320</w:t>
      </w:r>
      <w:r w:rsidR="00D87163">
        <w:rPr>
          <w:rFonts w:ascii="Times New Roman" w:hAnsi="Times New Roman" w:cs="Times New Roman"/>
        </w:rPr>
        <w:t>; Degener, 2016</w:t>
      </w:r>
      <w:r w:rsidR="00685CFE" w:rsidRPr="00685CFE">
        <w:rPr>
          <w:rFonts w:ascii="Times New Roman" w:hAnsi="Times New Roman" w:cs="Times New Roman"/>
        </w:rPr>
        <w:t>).</w:t>
      </w:r>
      <w:r w:rsidR="00685CFE">
        <w:rPr>
          <w:rFonts w:ascii="Times New Roman" w:hAnsi="Times New Roman" w:cs="Times New Roman"/>
        </w:rPr>
        <w:t xml:space="preserve"> </w:t>
      </w:r>
      <w:r w:rsidR="00E80E70">
        <w:rPr>
          <w:rFonts w:ascii="Times New Roman" w:hAnsi="Times New Roman" w:cs="Times New Roman"/>
        </w:rPr>
        <w:t>This is in part undoubtedly down to the fact that people with disabilities were heavily involved in its drafting</w:t>
      </w:r>
      <w:r w:rsidR="00DC2546">
        <w:rPr>
          <w:rFonts w:ascii="Times New Roman" w:hAnsi="Times New Roman" w:cs="Times New Roman"/>
        </w:rPr>
        <w:t xml:space="preserve"> </w:t>
      </w:r>
      <w:r w:rsidR="00E80E70">
        <w:rPr>
          <w:rFonts w:ascii="Times New Roman" w:hAnsi="Times New Roman" w:cs="Times New Roman"/>
        </w:rPr>
        <w:t>and remain involved through their membership on the Committee on the Rights of Persons</w:t>
      </w:r>
      <w:r w:rsidR="003B4FDE">
        <w:rPr>
          <w:rFonts w:ascii="Times New Roman" w:hAnsi="Times New Roman" w:cs="Times New Roman"/>
        </w:rPr>
        <w:t xml:space="preserve"> with Disabilities, and their role in monitoring its implementation under Article 33</w:t>
      </w:r>
      <w:r w:rsidR="000727CB">
        <w:rPr>
          <w:rFonts w:ascii="Times New Roman" w:hAnsi="Times New Roman" w:cs="Times New Roman"/>
        </w:rPr>
        <w:t>.</w:t>
      </w:r>
      <w:r w:rsidR="00E80E70">
        <w:rPr>
          <w:rFonts w:ascii="Times New Roman" w:hAnsi="Times New Roman" w:cs="Times New Roman"/>
        </w:rPr>
        <w:t xml:space="preserve"> </w:t>
      </w:r>
      <w:r w:rsidR="0066553D" w:rsidRPr="0066553D">
        <w:rPr>
          <w:rFonts w:ascii="Times New Roman" w:hAnsi="Times New Roman" w:cs="Times New Roman"/>
          <w:lang w:val="en-US"/>
        </w:rPr>
        <w:t>It</w:t>
      </w:r>
      <w:r w:rsidR="0066553D">
        <w:rPr>
          <w:rFonts w:ascii="Times New Roman" w:hAnsi="Times New Roman" w:cs="Times New Roman"/>
          <w:lang w:val="en-US"/>
        </w:rPr>
        <w:t>s creation</w:t>
      </w:r>
      <w:r w:rsidR="0066553D" w:rsidRPr="0066553D">
        <w:rPr>
          <w:rFonts w:ascii="Times New Roman" w:hAnsi="Times New Roman" w:cs="Times New Roman"/>
          <w:lang w:val="en-US"/>
        </w:rPr>
        <w:t xml:space="preserve"> </w:t>
      </w:r>
      <w:r w:rsidR="0066553D">
        <w:rPr>
          <w:rFonts w:ascii="Times New Roman" w:hAnsi="Times New Roman" w:cs="Times New Roman"/>
          <w:lang w:val="en-US"/>
        </w:rPr>
        <w:t xml:space="preserve">represents </w:t>
      </w:r>
      <w:r w:rsidR="0066553D" w:rsidRPr="0066553D">
        <w:rPr>
          <w:rFonts w:ascii="Times New Roman" w:hAnsi="Times New Roman" w:cs="Times New Roman"/>
          <w:lang w:val="en-US"/>
        </w:rPr>
        <w:t>a s</w:t>
      </w:r>
      <w:r w:rsidR="007A15CB" w:rsidRPr="0066553D">
        <w:rPr>
          <w:rFonts w:ascii="Times New Roman" w:hAnsi="Times New Roman" w:cs="Times New Roman"/>
          <w:lang w:val="en-US"/>
        </w:rPr>
        <w:t xml:space="preserve">hift in </w:t>
      </w:r>
      <w:r w:rsidR="0066553D" w:rsidRPr="0066553D">
        <w:rPr>
          <w:rFonts w:ascii="Times New Roman" w:hAnsi="Times New Roman" w:cs="Times New Roman"/>
          <w:bCs/>
          <w:lang w:val="en-US"/>
        </w:rPr>
        <w:t xml:space="preserve">not only </w:t>
      </w:r>
      <w:r w:rsidR="0066553D" w:rsidRPr="0066553D">
        <w:rPr>
          <w:rFonts w:ascii="Times New Roman" w:hAnsi="Times New Roman" w:cs="Times New Roman"/>
          <w:bCs/>
          <w:i/>
          <w:lang w:val="en-US"/>
        </w:rPr>
        <w:t>how</w:t>
      </w:r>
      <w:r w:rsidR="00D87163">
        <w:rPr>
          <w:rFonts w:ascii="Times New Roman" w:hAnsi="Times New Roman" w:cs="Times New Roman"/>
          <w:bCs/>
          <w:lang w:val="en-US"/>
        </w:rPr>
        <w:t xml:space="preserve"> we view disability, but </w:t>
      </w:r>
      <w:r w:rsidR="0066553D" w:rsidRPr="0066553D">
        <w:rPr>
          <w:rFonts w:ascii="Times New Roman" w:hAnsi="Times New Roman" w:cs="Times New Roman"/>
          <w:bCs/>
          <w:lang w:val="en-US"/>
        </w:rPr>
        <w:t xml:space="preserve">also </w:t>
      </w:r>
      <w:r w:rsidR="0066553D" w:rsidRPr="0066553D">
        <w:rPr>
          <w:rFonts w:ascii="Times New Roman" w:hAnsi="Times New Roman" w:cs="Times New Roman"/>
          <w:bCs/>
          <w:i/>
          <w:lang w:val="en-US"/>
        </w:rPr>
        <w:t>where</w:t>
      </w:r>
      <w:r w:rsidR="007A15CB" w:rsidRPr="0066553D">
        <w:rPr>
          <w:rFonts w:ascii="Times New Roman" w:hAnsi="Times New Roman" w:cs="Times New Roman"/>
          <w:lang w:val="en-US"/>
        </w:rPr>
        <w:t xml:space="preserve"> we view disability</w:t>
      </w:r>
      <w:r w:rsidR="00C05D8D">
        <w:rPr>
          <w:rFonts w:ascii="Times New Roman" w:hAnsi="Times New Roman" w:cs="Times New Roman"/>
          <w:lang w:val="en-US"/>
        </w:rPr>
        <w:t>; i</w:t>
      </w:r>
      <w:r w:rsidR="006514AF">
        <w:rPr>
          <w:rFonts w:ascii="Times New Roman" w:hAnsi="Times New Roman" w:cs="Times New Roman"/>
        </w:rPr>
        <w:t>t has brought the voices of many persons with disabilities to the forefront of international human rights law</w:t>
      </w:r>
      <w:r w:rsidR="00D87163">
        <w:rPr>
          <w:rFonts w:ascii="Times New Roman" w:hAnsi="Times New Roman" w:cs="Times New Roman"/>
        </w:rPr>
        <w:t>-making</w:t>
      </w:r>
      <w:r w:rsidR="006514AF">
        <w:rPr>
          <w:rFonts w:ascii="Times New Roman" w:hAnsi="Times New Roman" w:cs="Times New Roman"/>
        </w:rPr>
        <w:t>.</w:t>
      </w:r>
      <w:r w:rsidR="0066553D">
        <w:rPr>
          <w:rFonts w:ascii="Times New Roman" w:hAnsi="Times New Roman" w:cs="Times New Roman"/>
          <w:lang w:val="en-US"/>
        </w:rPr>
        <w:t xml:space="preserve"> </w:t>
      </w:r>
      <w:r w:rsidR="00C53B63">
        <w:rPr>
          <w:rFonts w:ascii="Times New Roman" w:hAnsi="Times New Roman" w:cs="Times New Roman"/>
        </w:rPr>
        <w:t>These are all features for which the UNCRPD, as a piece of law, has rightly been praised (Jones, 2005; Quinn, 2010).</w:t>
      </w:r>
    </w:p>
    <w:p w14:paraId="06F6D670" w14:textId="77777777" w:rsidR="0066553D" w:rsidRDefault="0066553D" w:rsidP="000727CB">
      <w:pPr>
        <w:spacing w:line="360" w:lineRule="auto"/>
        <w:jc w:val="both"/>
        <w:rPr>
          <w:rFonts w:ascii="Times New Roman" w:hAnsi="Times New Roman" w:cs="Times New Roman"/>
        </w:rPr>
      </w:pPr>
    </w:p>
    <w:p w14:paraId="50C2BC9E" w14:textId="55962583" w:rsidR="00B7489C" w:rsidRPr="00206979" w:rsidRDefault="001B050A" w:rsidP="000727CB">
      <w:pPr>
        <w:spacing w:line="360" w:lineRule="auto"/>
        <w:jc w:val="both"/>
        <w:rPr>
          <w:rFonts w:ascii="Times New Roman" w:hAnsi="Times New Roman" w:cs="Times New Roman"/>
          <w:highlight w:val="yellow"/>
          <w:lang w:val="en-US"/>
        </w:rPr>
      </w:pPr>
      <w:r>
        <w:rPr>
          <w:rFonts w:ascii="Times New Roman" w:hAnsi="Times New Roman" w:cs="Times New Roman"/>
        </w:rPr>
        <w:t>I</w:t>
      </w:r>
      <w:r w:rsidR="00E80E70">
        <w:rPr>
          <w:rFonts w:ascii="Times New Roman" w:hAnsi="Times New Roman" w:cs="Times New Roman"/>
        </w:rPr>
        <w:t xml:space="preserve">t is </w:t>
      </w:r>
      <w:r w:rsidR="003163EC">
        <w:rPr>
          <w:rFonts w:ascii="Times New Roman" w:hAnsi="Times New Roman" w:cs="Times New Roman"/>
        </w:rPr>
        <w:t xml:space="preserve">also </w:t>
      </w:r>
      <w:r w:rsidR="00E80E70">
        <w:rPr>
          <w:rFonts w:ascii="Times New Roman" w:hAnsi="Times New Roman" w:cs="Times New Roman"/>
        </w:rPr>
        <w:t xml:space="preserve">perhaps trite to say that </w:t>
      </w:r>
      <w:r w:rsidR="00D03D6B">
        <w:rPr>
          <w:rFonts w:ascii="Times New Roman" w:hAnsi="Times New Roman" w:cs="Times New Roman"/>
        </w:rPr>
        <w:t xml:space="preserve">some </w:t>
      </w:r>
      <w:r w:rsidR="00685CFE">
        <w:rPr>
          <w:rFonts w:ascii="Times New Roman" w:hAnsi="Times New Roman" w:cs="Times New Roman"/>
        </w:rPr>
        <w:t>aspects of the UNCRPD have generated significant levels of di</w:t>
      </w:r>
      <w:r w:rsidR="00A72077">
        <w:rPr>
          <w:rFonts w:ascii="Times New Roman" w:hAnsi="Times New Roman" w:cs="Times New Roman"/>
        </w:rPr>
        <w:t>scussion. One of the most prominent of</w:t>
      </w:r>
      <w:r w:rsidR="00E80E70">
        <w:rPr>
          <w:rFonts w:ascii="Times New Roman" w:hAnsi="Times New Roman" w:cs="Times New Roman"/>
        </w:rPr>
        <w:t xml:space="preserve"> these</w:t>
      </w:r>
      <w:r w:rsidR="00A72077">
        <w:rPr>
          <w:rFonts w:ascii="Times New Roman" w:hAnsi="Times New Roman" w:cs="Times New Roman"/>
        </w:rPr>
        <w:t xml:space="preserve"> aspects</w:t>
      </w:r>
      <w:r w:rsidR="00685CFE">
        <w:rPr>
          <w:rFonts w:ascii="Times New Roman" w:hAnsi="Times New Roman" w:cs="Times New Roman"/>
        </w:rPr>
        <w:t xml:space="preserve"> is Article 12</w:t>
      </w:r>
      <w:r w:rsidR="000727CB">
        <w:rPr>
          <w:rFonts w:ascii="Times New Roman" w:hAnsi="Times New Roman" w:cs="Times New Roman"/>
        </w:rPr>
        <w:t xml:space="preserve"> – the </w:t>
      </w:r>
      <w:r w:rsidR="00685CFE">
        <w:rPr>
          <w:rFonts w:ascii="Times New Roman" w:hAnsi="Times New Roman" w:cs="Times New Roman"/>
        </w:rPr>
        <w:t>right of pe</w:t>
      </w:r>
      <w:r w:rsidR="002D749F">
        <w:rPr>
          <w:rFonts w:ascii="Times New Roman" w:hAnsi="Times New Roman" w:cs="Times New Roman"/>
        </w:rPr>
        <w:t>rsons with disabilities to</w:t>
      </w:r>
      <w:r w:rsidR="0071134D">
        <w:rPr>
          <w:rFonts w:ascii="Times New Roman" w:hAnsi="Times New Roman" w:cs="Times New Roman"/>
        </w:rPr>
        <w:t xml:space="preserve"> equal</w:t>
      </w:r>
      <w:r w:rsidR="002D749F">
        <w:rPr>
          <w:rFonts w:ascii="Times New Roman" w:hAnsi="Times New Roman" w:cs="Times New Roman"/>
        </w:rPr>
        <w:t xml:space="preserve"> recognition as persons before the law </w:t>
      </w:r>
      <w:r w:rsidR="00685CFE">
        <w:rPr>
          <w:rFonts w:ascii="Times New Roman" w:hAnsi="Times New Roman" w:cs="Times New Roman"/>
        </w:rPr>
        <w:t>– and its accompanying General Comment 1 (GC1)</w:t>
      </w:r>
      <w:r w:rsidR="0071134D">
        <w:rPr>
          <w:rFonts w:ascii="Times New Roman" w:hAnsi="Times New Roman" w:cs="Times New Roman"/>
        </w:rPr>
        <w:t>,</w:t>
      </w:r>
      <w:r w:rsidR="00685CFE">
        <w:rPr>
          <w:rFonts w:ascii="Times New Roman" w:hAnsi="Times New Roman" w:cs="Times New Roman"/>
        </w:rPr>
        <w:t xml:space="preserve"> released in 2014. </w:t>
      </w:r>
      <w:r w:rsidR="00A72077">
        <w:rPr>
          <w:rFonts w:ascii="Times New Roman" w:hAnsi="Times New Roman" w:cs="Times New Roman"/>
        </w:rPr>
        <w:t>To date, analysis of</w:t>
      </w:r>
      <w:r w:rsidR="004C6CA5" w:rsidRPr="00685CFE">
        <w:rPr>
          <w:rFonts w:ascii="Times New Roman" w:hAnsi="Times New Roman" w:cs="Times New Roman"/>
        </w:rPr>
        <w:t xml:space="preserve"> </w:t>
      </w:r>
      <w:r w:rsidR="00685CFE">
        <w:rPr>
          <w:rFonts w:ascii="Times New Roman" w:hAnsi="Times New Roman" w:cs="Times New Roman"/>
        </w:rPr>
        <w:t xml:space="preserve">Article 12 and GC1 </w:t>
      </w:r>
      <w:r w:rsidR="004C6CA5" w:rsidRPr="00685CFE">
        <w:rPr>
          <w:rFonts w:ascii="Times New Roman" w:hAnsi="Times New Roman" w:cs="Times New Roman"/>
        </w:rPr>
        <w:t xml:space="preserve">has largely focussed on </w:t>
      </w:r>
      <w:r w:rsidR="0071134D">
        <w:rPr>
          <w:rFonts w:ascii="Times New Roman" w:hAnsi="Times New Roman" w:cs="Times New Roman"/>
        </w:rPr>
        <w:t>either</w:t>
      </w:r>
      <w:r w:rsidR="00DC2546">
        <w:rPr>
          <w:rFonts w:ascii="Times New Roman" w:hAnsi="Times New Roman" w:cs="Times New Roman"/>
        </w:rPr>
        <w:t xml:space="preserve"> </w:t>
      </w:r>
      <w:r w:rsidR="004C6CA5" w:rsidRPr="00685CFE">
        <w:rPr>
          <w:rFonts w:ascii="Times New Roman" w:hAnsi="Times New Roman" w:cs="Times New Roman"/>
        </w:rPr>
        <w:t xml:space="preserve">conceptual </w:t>
      </w:r>
      <w:r w:rsidR="00DC2546">
        <w:rPr>
          <w:rFonts w:ascii="Times New Roman" w:hAnsi="Times New Roman" w:cs="Times New Roman"/>
        </w:rPr>
        <w:t xml:space="preserve">discussions as to what </w:t>
      </w:r>
      <w:r w:rsidR="000727CB">
        <w:rPr>
          <w:rFonts w:ascii="Times New Roman" w:hAnsi="Times New Roman" w:cs="Times New Roman"/>
        </w:rPr>
        <w:t>may be</w:t>
      </w:r>
      <w:r w:rsidR="00DC2546">
        <w:rPr>
          <w:rFonts w:ascii="Times New Roman" w:hAnsi="Times New Roman" w:cs="Times New Roman"/>
        </w:rPr>
        <w:t xml:space="preserve"> required</w:t>
      </w:r>
      <w:r w:rsidR="00E80E70">
        <w:rPr>
          <w:rFonts w:ascii="Times New Roman" w:hAnsi="Times New Roman" w:cs="Times New Roman"/>
        </w:rPr>
        <w:t xml:space="preserve"> of domestic legal regimes </w:t>
      </w:r>
      <w:r w:rsidR="00196247">
        <w:rPr>
          <w:rFonts w:ascii="Times New Roman" w:hAnsi="Times New Roman" w:cs="Times New Roman"/>
        </w:rPr>
        <w:t>to be UNCRPD compliant</w:t>
      </w:r>
      <w:r w:rsidR="00DC2546">
        <w:rPr>
          <w:rFonts w:ascii="Times New Roman" w:hAnsi="Times New Roman" w:cs="Times New Roman"/>
        </w:rPr>
        <w:t xml:space="preserve"> </w:t>
      </w:r>
      <w:r w:rsidR="00E80E70">
        <w:rPr>
          <w:rFonts w:ascii="Times New Roman" w:hAnsi="Times New Roman" w:cs="Times New Roman"/>
        </w:rPr>
        <w:t>and the relative merits</w:t>
      </w:r>
      <w:r w:rsidR="00DC2546">
        <w:rPr>
          <w:rFonts w:ascii="Times New Roman" w:hAnsi="Times New Roman" w:cs="Times New Roman"/>
        </w:rPr>
        <w:t xml:space="preserve"> and practicalities</w:t>
      </w:r>
      <w:r w:rsidR="00E80E70">
        <w:rPr>
          <w:rFonts w:ascii="Times New Roman" w:hAnsi="Times New Roman" w:cs="Times New Roman"/>
        </w:rPr>
        <w:t xml:space="preserve"> of these requirements </w:t>
      </w:r>
      <w:r w:rsidR="004C6CA5" w:rsidRPr="00685CFE">
        <w:rPr>
          <w:rFonts w:ascii="Times New Roman" w:hAnsi="Times New Roman" w:cs="Times New Roman"/>
        </w:rPr>
        <w:t>(Dawson, 2015; Donnelly, 2016; Fl</w:t>
      </w:r>
      <w:r w:rsidR="00E80E70">
        <w:rPr>
          <w:rFonts w:ascii="Times New Roman" w:hAnsi="Times New Roman" w:cs="Times New Roman"/>
        </w:rPr>
        <w:t>ynn and Arstein-Kerslake, 2014), or</w:t>
      </w:r>
      <w:r w:rsidR="004C6CA5" w:rsidRPr="00685CFE">
        <w:rPr>
          <w:rFonts w:ascii="Times New Roman" w:hAnsi="Times New Roman" w:cs="Times New Roman"/>
        </w:rPr>
        <w:t xml:space="preserve"> </w:t>
      </w:r>
      <w:r w:rsidR="00E80E70">
        <w:rPr>
          <w:rFonts w:ascii="Times New Roman" w:hAnsi="Times New Roman" w:cs="Times New Roman"/>
        </w:rPr>
        <w:t xml:space="preserve">the extent to which domestic legal regimes </w:t>
      </w:r>
      <w:r w:rsidR="00DC2546">
        <w:rPr>
          <w:rFonts w:ascii="Times New Roman" w:hAnsi="Times New Roman" w:cs="Times New Roman"/>
        </w:rPr>
        <w:t>are</w:t>
      </w:r>
      <w:r w:rsidR="000727CB">
        <w:rPr>
          <w:rFonts w:ascii="Times New Roman" w:hAnsi="Times New Roman" w:cs="Times New Roman"/>
        </w:rPr>
        <w:t xml:space="preserve"> in fact</w:t>
      </w:r>
      <w:r w:rsidR="00DC2546">
        <w:rPr>
          <w:rFonts w:ascii="Times New Roman" w:hAnsi="Times New Roman" w:cs="Times New Roman"/>
        </w:rPr>
        <w:t xml:space="preserve"> – or have made progress towards being – UNCRPD compliant </w:t>
      </w:r>
      <w:r w:rsidR="004C6CA5" w:rsidRPr="00685CFE">
        <w:rPr>
          <w:rFonts w:ascii="Times New Roman" w:hAnsi="Times New Roman" w:cs="Times New Roman"/>
        </w:rPr>
        <w:t>(</w:t>
      </w:r>
      <w:r w:rsidR="009A252F">
        <w:rPr>
          <w:rFonts w:ascii="Times New Roman" w:hAnsi="Times New Roman" w:cs="Times New Roman"/>
        </w:rPr>
        <w:t>Essex Autonomy Project</w:t>
      </w:r>
      <w:r w:rsidR="00E80E70">
        <w:rPr>
          <w:rFonts w:ascii="Times New Roman" w:hAnsi="Times New Roman" w:cs="Times New Roman"/>
        </w:rPr>
        <w:t xml:space="preserve">, 2016; </w:t>
      </w:r>
      <w:r w:rsidR="004C6CA5" w:rsidRPr="00685CFE">
        <w:rPr>
          <w:rFonts w:ascii="Times New Roman" w:hAnsi="Times New Roman" w:cs="Times New Roman"/>
        </w:rPr>
        <w:t xml:space="preserve">Stavert, 2015). </w:t>
      </w:r>
      <w:r w:rsidR="00A72077">
        <w:rPr>
          <w:rFonts w:ascii="Times New Roman" w:hAnsi="Times New Roman" w:cs="Times New Roman"/>
        </w:rPr>
        <w:t xml:space="preserve">It is only relatively recently, however, that </w:t>
      </w:r>
      <w:r w:rsidR="003E2B4F">
        <w:rPr>
          <w:rFonts w:ascii="Times New Roman" w:hAnsi="Times New Roman" w:cs="Times New Roman"/>
        </w:rPr>
        <w:t>literature - empirical or otherwise -</w:t>
      </w:r>
      <w:r w:rsidR="004C6CA5" w:rsidRPr="00685CFE">
        <w:rPr>
          <w:rFonts w:ascii="Times New Roman" w:hAnsi="Times New Roman" w:cs="Times New Roman"/>
        </w:rPr>
        <w:t xml:space="preserve"> as to the</w:t>
      </w:r>
      <w:r w:rsidR="00685CFE">
        <w:rPr>
          <w:rFonts w:ascii="Times New Roman" w:hAnsi="Times New Roman" w:cs="Times New Roman"/>
        </w:rPr>
        <w:t xml:space="preserve"> relationship between Article 12</w:t>
      </w:r>
      <w:r w:rsidR="004C6CA5" w:rsidRPr="00685CFE">
        <w:rPr>
          <w:rFonts w:ascii="Times New Roman" w:hAnsi="Times New Roman" w:cs="Times New Roman"/>
        </w:rPr>
        <w:t xml:space="preserve"> </w:t>
      </w:r>
      <w:r w:rsidR="00E80E70">
        <w:rPr>
          <w:rFonts w:ascii="Times New Roman" w:hAnsi="Times New Roman" w:cs="Times New Roman"/>
        </w:rPr>
        <w:t xml:space="preserve">or </w:t>
      </w:r>
      <w:r w:rsidR="00685CFE">
        <w:rPr>
          <w:rFonts w:ascii="Times New Roman" w:hAnsi="Times New Roman" w:cs="Times New Roman"/>
        </w:rPr>
        <w:t>GC1</w:t>
      </w:r>
      <w:r w:rsidR="00E80E70">
        <w:rPr>
          <w:rFonts w:ascii="Times New Roman" w:hAnsi="Times New Roman" w:cs="Times New Roman"/>
        </w:rPr>
        <w:t>,</w:t>
      </w:r>
      <w:r w:rsidR="00685CFE">
        <w:rPr>
          <w:rFonts w:ascii="Times New Roman" w:hAnsi="Times New Roman" w:cs="Times New Roman"/>
        </w:rPr>
        <w:t xml:space="preserve"> </w:t>
      </w:r>
      <w:r w:rsidR="004C6CA5" w:rsidRPr="00685CFE">
        <w:rPr>
          <w:rFonts w:ascii="Times New Roman" w:hAnsi="Times New Roman" w:cs="Times New Roman"/>
        </w:rPr>
        <w:t xml:space="preserve">and </w:t>
      </w:r>
      <w:r w:rsidR="004C6CA5" w:rsidRPr="00E80E70">
        <w:rPr>
          <w:rFonts w:ascii="Times New Roman" w:hAnsi="Times New Roman" w:cs="Times New Roman"/>
          <w:i/>
        </w:rPr>
        <w:t>particular forms</w:t>
      </w:r>
      <w:r w:rsidR="004C6CA5" w:rsidRPr="00685CFE">
        <w:rPr>
          <w:rFonts w:ascii="Times New Roman" w:hAnsi="Times New Roman" w:cs="Times New Roman"/>
        </w:rPr>
        <w:t xml:space="preserve"> of disabilities or impairments </w:t>
      </w:r>
      <w:r w:rsidR="00DC2546">
        <w:rPr>
          <w:rFonts w:ascii="Times New Roman" w:hAnsi="Times New Roman" w:cs="Times New Roman"/>
        </w:rPr>
        <w:t>such as intellectual disabilities (</w:t>
      </w:r>
      <w:r w:rsidR="00DC2546" w:rsidRPr="00685CFE">
        <w:rPr>
          <w:rFonts w:ascii="Times New Roman" w:hAnsi="Times New Roman" w:cs="Times New Roman"/>
        </w:rPr>
        <w:t xml:space="preserve">Harding and </w:t>
      </w:r>
      <w:r w:rsidR="00206979" w:rsidRPr="00206979">
        <w:rPr>
          <w:rFonts w:ascii="Times New Roman" w:hAnsi="Times New Roman" w:cs="Times New Roman"/>
          <w:lang w:val="en-US"/>
        </w:rPr>
        <w:t>Taşcıoğlu</w:t>
      </w:r>
      <w:r w:rsidR="00B36DED">
        <w:rPr>
          <w:rFonts w:ascii="Times New Roman" w:hAnsi="Times New Roman" w:cs="Times New Roman"/>
        </w:rPr>
        <w:t>,</w:t>
      </w:r>
      <w:r w:rsidR="00DC2546" w:rsidRPr="00685CFE">
        <w:rPr>
          <w:rFonts w:ascii="Times New Roman" w:hAnsi="Times New Roman" w:cs="Times New Roman"/>
        </w:rPr>
        <w:t xml:space="preserve"> 2018</w:t>
      </w:r>
      <w:r w:rsidR="00DC2546">
        <w:rPr>
          <w:rFonts w:ascii="Times New Roman" w:hAnsi="Times New Roman" w:cs="Times New Roman"/>
        </w:rPr>
        <w:t xml:space="preserve">) or mental health conditions (Szmukler, 2017) has begun to emerge. </w:t>
      </w:r>
      <w:r w:rsidR="00B7489C">
        <w:rPr>
          <w:rFonts w:ascii="Times New Roman" w:hAnsi="Times New Roman" w:cs="Times New Roman"/>
        </w:rPr>
        <w:t>Such literature is important if</w:t>
      </w:r>
      <w:r w:rsidR="006514AF">
        <w:rPr>
          <w:rFonts w:ascii="Times New Roman" w:hAnsi="Times New Roman" w:cs="Times New Roman"/>
        </w:rPr>
        <w:t xml:space="preserve"> legal regimes and legal commentators are to avoid</w:t>
      </w:r>
      <w:r w:rsidR="00B7489C">
        <w:rPr>
          <w:rFonts w:ascii="Times New Roman" w:hAnsi="Times New Roman" w:cs="Times New Roman"/>
        </w:rPr>
        <w:t xml:space="preserve"> homogenizin</w:t>
      </w:r>
      <w:r w:rsidR="006514AF">
        <w:rPr>
          <w:rFonts w:ascii="Times New Roman" w:hAnsi="Times New Roman" w:cs="Times New Roman"/>
        </w:rPr>
        <w:t>g the experience of disability</w:t>
      </w:r>
      <w:r w:rsidR="00B7489C">
        <w:rPr>
          <w:rFonts w:ascii="Times New Roman" w:hAnsi="Times New Roman" w:cs="Times New Roman"/>
        </w:rPr>
        <w:t xml:space="preserve">. </w:t>
      </w:r>
    </w:p>
    <w:p w14:paraId="55EE3322" w14:textId="77777777" w:rsidR="00B7489C" w:rsidRDefault="00B7489C" w:rsidP="000727CB">
      <w:pPr>
        <w:spacing w:line="360" w:lineRule="auto"/>
        <w:jc w:val="both"/>
        <w:rPr>
          <w:rFonts w:ascii="Times New Roman" w:hAnsi="Times New Roman" w:cs="Times New Roman"/>
        </w:rPr>
      </w:pPr>
    </w:p>
    <w:p w14:paraId="11A52401" w14:textId="0A219C09" w:rsidR="004C6CA5" w:rsidRDefault="0066553D" w:rsidP="000727CB">
      <w:pPr>
        <w:spacing w:line="360" w:lineRule="auto"/>
        <w:jc w:val="both"/>
        <w:rPr>
          <w:rFonts w:ascii="Times New Roman" w:hAnsi="Times New Roman" w:cs="Times New Roman"/>
        </w:rPr>
      </w:pPr>
      <w:r>
        <w:rPr>
          <w:rFonts w:ascii="Times New Roman" w:hAnsi="Times New Roman" w:cs="Times New Roman"/>
        </w:rPr>
        <w:t>Given</w:t>
      </w:r>
      <w:r w:rsidR="001B050A">
        <w:rPr>
          <w:rFonts w:ascii="Times New Roman" w:hAnsi="Times New Roman" w:cs="Times New Roman"/>
        </w:rPr>
        <w:t xml:space="preserve"> all of</w:t>
      </w:r>
      <w:r>
        <w:rPr>
          <w:rFonts w:ascii="Times New Roman" w:hAnsi="Times New Roman" w:cs="Times New Roman"/>
        </w:rPr>
        <w:t xml:space="preserve"> the above, it is </w:t>
      </w:r>
      <w:r w:rsidR="00DD3541">
        <w:rPr>
          <w:rFonts w:ascii="Times New Roman" w:hAnsi="Times New Roman" w:cs="Times New Roman"/>
        </w:rPr>
        <w:t>interesting</w:t>
      </w:r>
      <w:r>
        <w:rPr>
          <w:rFonts w:ascii="Times New Roman" w:hAnsi="Times New Roman" w:cs="Times New Roman"/>
        </w:rPr>
        <w:t xml:space="preserve"> that notably</w:t>
      </w:r>
      <w:r w:rsidR="007326DE">
        <w:rPr>
          <w:rFonts w:ascii="Times New Roman" w:hAnsi="Times New Roman" w:cs="Times New Roman"/>
        </w:rPr>
        <w:t xml:space="preserve"> absent from </w:t>
      </w:r>
      <w:r w:rsidR="00DC2546">
        <w:rPr>
          <w:rFonts w:ascii="Times New Roman" w:hAnsi="Times New Roman" w:cs="Times New Roman"/>
        </w:rPr>
        <w:t xml:space="preserve">any </w:t>
      </w:r>
      <w:r w:rsidR="007326DE">
        <w:rPr>
          <w:rFonts w:ascii="Times New Roman" w:hAnsi="Times New Roman" w:cs="Times New Roman"/>
        </w:rPr>
        <w:t xml:space="preserve">discussion of the UNCRPD thus far has been its applicability to people who have dementia, which predominantly – </w:t>
      </w:r>
      <w:r w:rsidR="007326DE">
        <w:rPr>
          <w:rFonts w:ascii="Times New Roman" w:hAnsi="Times New Roman" w:cs="Times New Roman"/>
        </w:rPr>
        <w:lastRenderedPageBreak/>
        <w:t>although not exclusively – affects the older population.</w:t>
      </w:r>
      <w:r w:rsidR="007326DE">
        <w:rPr>
          <w:rStyle w:val="FootnoteReference"/>
          <w:rFonts w:ascii="Times New Roman" w:hAnsi="Times New Roman" w:cs="Times New Roman"/>
        </w:rPr>
        <w:footnoteReference w:id="1"/>
      </w:r>
      <w:r w:rsidR="00DD3541">
        <w:rPr>
          <w:rFonts w:ascii="Times New Roman" w:hAnsi="Times New Roman" w:cs="Times New Roman"/>
        </w:rPr>
        <w:t xml:space="preserve"> This is surprising</w:t>
      </w:r>
      <w:r w:rsidR="007326DE">
        <w:rPr>
          <w:rFonts w:ascii="Times New Roman" w:hAnsi="Times New Roman" w:cs="Times New Roman"/>
        </w:rPr>
        <w:t xml:space="preserve"> given that people with dementia </w:t>
      </w:r>
      <w:r w:rsidR="00DC2546">
        <w:rPr>
          <w:rFonts w:ascii="Times New Roman" w:hAnsi="Times New Roman" w:cs="Times New Roman"/>
        </w:rPr>
        <w:t xml:space="preserve">may in fact </w:t>
      </w:r>
      <w:r w:rsidR="007326DE">
        <w:rPr>
          <w:rFonts w:ascii="Times New Roman" w:hAnsi="Times New Roman" w:cs="Times New Roman"/>
        </w:rPr>
        <w:t>represent a large proportion of disabled people worldwide</w:t>
      </w:r>
      <w:r w:rsidR="00F878E7">
        <w:rPr>
          <w:rFonts w:ascii="Times New Roman" w:hAnsi="Times New Roman" w:cs="Times New Roman"/>
        </w:rPr>
        <w:t xml:space="preserve">; </w:t>
      </w:r>
      <w:r w:rsidR="00DB043C">
        <w:rPr>
          <w:rFonts w:ascii="Times New Roman" w:hAnsi="Times New Roman" w:cs="Times New Roman"/>
        </w:rPr>
        <w:t>t</w:t>
      </w:r>
      <w:r w:rsidR="00F878E7" w:rsidRPr="00F878E7">
        <w:rPr>
          <w:rFonts w:ascii="Times New Roman" w:hAnsi="Times New Roman" w:cs="Times New Roman"/>
        </w:rPr>
        <w:t xml:space="preserve">he World Health Organization estimate that around 50 million people worldwide have dementia, and there are approximately 10 million new </w:t>
      </w:r>
      <w:r w:rsidR="00F878E7">
        <w:rPr>
          <w:rFonts w:ascii="Times New Roman" w:hAnsi="Times New Roman" w:cs="Times New Roman"/>
        </w:rPr>
        <w:t>diagnoses of dementia each year</w:t>
      </w:r>
      <w:r w:rsidR="007326DE">
        <w:rPr>
          <w:rFonts w:ascii="Times New Roman" w:hAnsi="Times New Roman" w:cs="Times New Roman"/>
        </w:rPr>
        <w:t>.</w:t>
      </w:r>
      <w:r w:rsidR="003B4FDE">
        <w:rPr>
          <w:rStyle w:val="FootnoteReference"/>
          <w:rFonts w:ascii="Times New Roman" w:hAnsi="Times New Roman" w:cs="Times New Roman"/>
        </w:rPr>
        <w:footnoteReference w:id="2"/>
      </w:r>
      <w:r w:rsidR="000727CB">
        <w:rPr>
          <w:rFonts w:ascii="Times New Roman" w:hAnsi="Times New Roman" w:cs="Times New Roman"/>
        </w:rPr>
        <w:t xml:space="preserve"> E</w:t>
      </w:r>
      <w:r w:rsidR="007326DE">
        <w:rPr>
          <w:rFonts w:ascii="Times New Roman" w:hAnsi="Times New Roman" w:cs="Times New Roman"/>
        </w:rPr>
        <w:t>ven more surprising</w:t>
      </w:r>
      <w:r w:rsidR="00C97E74">
        <w:rPr>
          <w:rFonts w:ascii="Times New Roman" w:hAnsi="Times New Roman" w:cs="Times New Roman"/>
        </w:rPr>
        <w:t>,</w:t>
      </w:r>
      <w:r w:rsidR="007326DE">
        <w:rPr>
          <w:rFonts w:ascii="Times New Roman" w:hAnsi="Times New Roman" w:cs="Times New Roman"/>
        </w:rPr>
        <w:t xml:space="preserve"> then, </w:t>
      </w:r>
      <w:r w:rsidR="000727CB">
        <w:rPr>
          <w:rFonts w:ascii="Times New Roman" w:hAnsi="Times New Roman" w:cs="Times New Roman"/>
        </w:rPr>
        <w:t xml:space="preserve">is </w:t>
      </w:r>
      <w:r w:rsidR="007326DE">
        <w:rPr>
          <w:rFonts w:ascii="Times New Roman" w:hAnsi="Times New Roman" w:cs="Times New Roman"/>
        </w:rPr>
        <w:t xml:space="preserve">that a </w:t>
      </w:r>
      <w:r w:rsidR="00D87163">
        <w:rPr>
          <w:rFonts w:ascii="Times New Roman" w:hAnsi="Times New Roman" w:cs="Times New Roman"/>
        </w:rPr>
        <w:t>consideration of</w:t>
      </w:r>
      <w:r w:rsidR="007326DE">
        <w:rPr>
          <w:rFonts w:ascii="Times New Roman" w:hAnsi="Times New Roman" w:cs="Times New Roman"/>
        </w:rPr>
        <w:t xml:space="preserve"> the </w:t>
      </w:r>
      <w:r w:rsidR="000727CB">
        <w:rPr>
          <w:rFonts w:ascii="Times New Roman" w:hAnsi="Times New Roman" w:cs="Times New Roman"/>
        </w:rPr>
        <w:t xml:space="preserve">list of participants in the negotiations leading up to the UNCRPD </w:t>
      </w:r>
      <w:r w:rsidR="007326DE">
        <w:rPr>
          <w:rFonts w:ascii="Times New Roman" w:hAnsi="Times New Roman" w:cs="Times New Roman"/>
        </w:rPr>
        <w:t xml:space="preserve">demonstrates a relative lack of </w:t>
      </w:r>
      <w:r w:rsidR="000727CB">
        <w:rPr>
          <w:rFonts w:ascii="Times New Roman" w:hAnsi="Times New Roman" w:cs="Times New Roman"/>
        </w:rPr>
        <w:t xml:space="preserve">involvement by </w:t>
      </w:r>
      <w:r w:rsidR="007326DE">
        <w:rPr>
          <w:rFonts w:ascii="Times New Roman" w:hAnsi="Times New Roman" w:cs="Times New Roman"/>
        </w:rPr>
        <w:t xml:space="preserve">organisations advocating </w:t>
      </w:r>
      <w:r w:rsidR="0071134D">
        <w:rPr>
          <w:rFonts w:ascii="Times New Roman" w:hAnsi="Times New Roman" w:cs="Times New Roman"/>
        </w:rPr>
        <w:t xml:space="preserve">specifically </w:t>
      </w:r>
      <w:r w:rsidR="007326DE">
        <w:rPr>
          <w:rFonts w:ascii="Times New Roman" w:hAnsi="Times New Roman" w:cs="Times New Roman"/>
        </w:rPr>
        <w:t>on behalf of people with dementia</w:t>
      </w:r>
      <w:r w:rsidR="003B4FDE">
        <w:rPr>
          <w:rFonts w:ascii="Times New Roman" w:hAnsi="Times New Roman" w:cs="Times New Roman"/>
        </w:rPr>
        <w:t xml:space="preserve"> in the drafting process</w:t>
      </w:r>
      <w:r w:rsidR="007326DE">
        <w:rPr>
          <w:rFonts w:ascii="Times New Roman" w:hAnsi="Times New Roman" w:cs="Times New Roman"/>
        </w:rPr>
        <w:t>.</w:t>
      </w:r>
      <w:r w:rsidR="000727CB">
        <w:rPr>
          <w:rStyle w:val="FootnoteReference"/>
          <w:rFonts w:ascii="Times New Roman" w:hAnsi="Times New Roman" w:cs="Times New Roman"/>
        </w:rPr>
        <w:footnoteReference w:id="3"/>
      </w:r>
      <w:r w:rsidR="007326DE">
        <w:rPr>
          <w:rFonts w:ascii="Times New Roman" w:hAnsi="Times New Roman" w:cs="Times New Roman"/>
        </w:rPr>
        <w:t xml:space="preserve"> </w:t>
      </w:r>
      <w:r w:rsidR="000727CB">
        <w:rPr>
          <w:rFonts w:ascii="Times New Roman" w:hAnsi="Times New Roman" w:cs="Times New Roman"/>
        </w:rPr>
        <w:t xml:space="preserve"> As </w:t>
      </w:r>
      <w:r w:rsidR="002667B6">
        <w:rPr>
          <w:rFonts w:ascii="Times New Roman" w:hAnsi="Times New Roman" w:cs="Times New Roman"/>
        </w:rPr>
        <w:t>some commentators have noted</w:t>
      </w:r>
      <w:r w:rsidR="000727CB">
        <w:rPr>
          <w:rFonts w:ascii="Times New Roman" w:hAnsi="Times New Roman" w:cs="Times New Roman"/>
        </w:rPr>
        <w:t>,</w:t>
      </w:r>
      <w:r w:rsidR="00DD3541">
        <w:rPr>
          <w:rFonts w:ascii="Times New Roman" w:hAnsi="Times New Roman" w:cs="Times New Roman"/>
        </w:rPr>
        <w:t xml:space="preserve"> however,</w:t>
      </w:r>
      <w:r w:rsidR="000727CB">
        <w:rPr>
          <w:rFonts w:ascii="Times New Roman" w:hAnsi="Times New Roman" w:cs="Times New Roman"/>
        </w:rPr>
        <w:t xml:space="preserve"> ‘[t]</w:t>
      </w:r>
      <w:r w:rsidR="000727CB" w:rsidRPr="000727CB">
        <w:rPr>
          <w:rFonts w:ascii="Times New Roman" w:hAnsi="Times New Roman" w:cs="Times New Roman"/>
        </w:rPr>
        <w:t>he dementia community</w:t>
      </w:r>
      <w:r w:rsidR="000727CB">
        <w:rPr>
          <w:rFonts w:ascii="Times New Roman" w:hAnsi="Times New Roman" w:cs="Times New Roman"/>
        </w:rPr>
        <w:t xml:space="preserve"> </w:t>
      </w:r>
      <w:r w:rsidR="000727CB" w:rsidRPr="000727CB">
        <w:rPr>
          <w:rFonts w:ascii="Times New Roman" w:hAnsi="Times New Roman" w:cs="Times New Roman"/>
        </w:rPr>
        <w:t>has never been part of the disability movement, and did not join forces with the powerful</w:t>
      </w:r>
      <w:r w:rsidR="000727CB">
        <w:rPr>
          <w:rFonts w:ascii="Times New Roman" w:hAnsi="Times New Roman" w:cs="Times New Roman"/>
        </w:rPr>
        <w:t xml:space="preserve"> </w:t>
      </w:r>
      <w:r w:rsidR="000727CB" w:rsidRPr="000727CB">
        <w:rPr>
          <w:rFonts w:ascii="Times New Roman" w:hAnsi="Times New Roman" w:cs="Times New Roman"/>
        </w:rPr>
        <w:t>coalition of disabled people’s organisations which campaigned for the Convention</w:t>
      </w:r>
      <w:r w:rsidR="00C71D94">
        <w:rPr>
          <w:rFonts w:ascii="Times New Roman" w:hAnsi="Times New Roman" w:cs="Times New Roman"/>
        </w:rPr>
        <w:t xml:space="preserve">’ (Shakespeare, Zeilig, and </w:t>
      </w:r>
      <w:r w:rsidR="000727CB">
        <w:rPr>
          <w:rFonts w:ascii="Times New Roman" w:hAnsi="Times New Roman" w:cs="Times New Roman"/>
        </w:rPr>
        <w:t>Mittler, 2017, 3</w:t>
      </w:r>
      <w:r w:rsidR="00164700">
        <w:rPr>
          <w:rFonts w:ascii="Times New Roman" w:hAnsi="Times New Roman" w:cs="Times New Roman"/>
        </w:rPr>
        <w:t xml:space="preserve">; Gilliard </w:t>
      </w:r>
      <w:r w:rsidR="00164700">
        <w:rPr>
          <w:rFonts w:ascii="Times New Roman" w:hAnsi="Times New Roman" w:cs="Times New Roman"/>
          <w:i/>
        </w:rPr>
        <w:t xml:space="preserve">et al, </w:t>
      </w:r>
      <w:r w:rsidR="00164700">
        <w:rPr>
          <w:rFonts w:ascii="Times New Roman" w:hAnsi="Times New Roman" w:cs="Times New Roman"/>
        </w:rPr>
        <w:t>2005</w:t>
      </w:r>
      <w:r w:rsidR="000727CB">
        <w:rPr>
          <w:rFonts w:ascii="Times New Roman" w:hAnsi="Times New Roman" w:cs="Times New Roman"/>
        </w:rPr>
        <w:t>).</w:t>
      </w:r>
      <w:r w:rsidR="00BC0D01">
        <w:rPr>
          <w:rStyle w:val="FootnoteReference"/>
          <w:rFonts w:ascii="Times New Roman" w:hAnsi="Times New Roman" w:cs="Times New Roman"/>
        </w:rPr>
        <w:footnoteReference w:id="4"/>
      </w:r>
      <w:r w:rsidR="000727CB">
        <w:rPr>
          <w:rFonts w:ascii="Times New Roman" w:hAnsi="Times New Roman" w:cs="Times New Roman"/>
        </w:rPr>
        <w:t xml:space="preserve"> </w:t>
      </w:r>
      <w:r w:rsidR="007326DE">
        <w:rPr>
          <w:rFonts w:ascii="Times New Roman" w:hAnsi="Times New Roman" w:cs="Times New Roman"/>
        </w:rPr>
        <w:t>It is perhaps facts such as this that has led some commentators to suggest that the UNCRPD</w:t>
      </w:r>
      <w:r w:rsidR="003B4FDE">
        <w:rPr>
          <w:rFonts w:ascii="Times New Roman" w:hAnsi="Times New Roman" w:cs="Times New Roman"/>
        </w:rPr>
        <w:t xml:space="preserve"> – particularly Article 12</w:t>
      </w:r>
      <w:r w:rsidR="003E2B4F">
        <w:rPr>
          <w:rFonts w:ascii="Times New Roman" w:hAnsi="Times New Roman" w:cs="Times New Roman"/>
        </w:rPr>
        <w:t xml:space="preserve"> and</w:t>
      </w:r>
      <w:r w:rsidR="003B4FDE">
        <w:rPr>
          <w:rFonts w:ascii="Times New Roman" w:hAnsi="Times New Roman" w:cs="Times New Roman"/>
        </w:rPr>
        <w:t xml:space="preserve"> GC1 – has </w:t>
      </w:r>
      <w:r w:rsidR="003E2B4F">
        <w:rPr>
          <w:rFonts w:ascii="Times New Roman" w:hAnsi="Times New Roman" w:cs="Times New Roman"/>
        </w:rPr>
        <w:t xml:space="preserve">limited traction </w:t>
      </w:r>
      <w:r w:rsidR="003B4FDE">
        <w:rPr>
          <w:rFonts w:ascii="Times New Roman" w:hAnsi="Times New Roman" w:cs="Times New Roman"/>
        </w:rPr>
        <w:t>in relation to older people</w:t>
      </w:r>
      <w:r w:rsidR="003E2B4F">
        <w:rPr>
          <w:rFonts w:ascii="Times New Roman" w:hAnsi="Times New Roman" w:cs="Times New Roman"/>
        </w:rPr>
        <w:t xml:space="preserve"> with disabilities</w:t>
      </w:r>
      <w:r w:rsidR="003B4FDE">
        <w:rPr>
          <w:rFonts w:ascii="Times New Roman" w:hAnsi="Times New Roman" w:cs="Times New Roman"/>
        </w:rPr>
        <w:t>, and people with dementia</w:t>
      </w:r>
      <w:r w:rsidR="007326DE">
        <w:rPr>
          <w:rFonts w:ascii="Times New Roman" w:hAnsi="Times New Roman" w:cs="Times New Roman"/>
        </w:rPr>
        <w:t>. As Denzil Lush</w:t>
      </w:r>
      <w:r w:rsidR="003B4FDE">
        <w:rPr>
          <w:rFonts w:ascii="Times New Roman" w:hAnsi="Times New Roman" w:cs="Times New Roman"/>
        </w:rPr>
        <w:t xml:space="preserve">, </w:t>
      </w:r>
      <w:r w:rsidR="007326DE">
        <w:rPr>
          <w:rFonts w:ascii="Times New Roman" w:hAnsi="Times New Roman" w:cs="Times New Roman"/>
        </w:rPr>
        <w:t xml:space="preserve">a </w:t>
      </w:r>
      <w:r w:rsidR="00DB043C">
        <w:rPr>
          <w:rFonts w:ascii="Times New Roman" w:hAnsi="Times New Roman" w:cs="Times New Roman"/>
        </w:rPr>
        <w:t>former</w:t>
      </w:r>
      <w:r w:rsidR="007326DE">
        <w:rPr>
          <w:rFonts w:ascii="Times New Roman" w:hAnsi="Times New Roman" w:cs="Times New Roman"/>
        </w:rPr>
        <w:t xml:space="preserve"> </w:t>
      </w:r>
      <w:r w:rsidR="003B4FDE">
        <w:rPr>
          <w:rFonts w:ascii="Times New Roman" w:hAnsi="Times New Roman" w:cs="Times New Roman"/>
        </w:rPr>
        <w:t xml:space="preserve">England and Wales </w:t>
      </w:r>
      <w:r w:rsidR="007326DE">
        <w:rPr>
          <w:rFonts w:ascii="Times New Roman" w:hAnsi="Times New Roman" w:cs="Times New Roman"/>
        </w:rPr>
        <w:t>Co</w:t>
      </w:r>
      <w:r w:rsidR="003B4FDE">
        <w:rPr>
          <w:rFonts w:ascii="Times New Roman" w:hAnsi="Times New Roman" w:cs="Times New Roman"/>
        </w:rPr>
        <w:t>urt of Protection Judge noted in 2011:</w:t>
      </w:r>
    </w:p>
    <w:p w14:paraId="733A7613" w14:textId="4597F883" w:rsidR="003B4FDE" w:rsidRDefault="003B4FDE" w:rsidP="003B4FDE">
      <w:pPr>
        <w:spacing w:line="360" w:lineRule="auto"/>
        <w:ind w:left="720" w:right="830"/>
        <w:jc w:val="both"/>
        <w:rPr>
          <w:rFonts w:ascii="Times New Roman" w:hAnsi="Times New Roman" w:cs="Times New Roman"/>
        </w:rPr>
      </w:pPr>
      <w:r w:rsidRPr="003B4FDE">
        <w:rPr>
          <w:rFonts w:ascii="Times New Roman" w:hAnsi="Times New Roman" w:cs="Times New Roman"/>
        </w:rPr>
        <w:t>The webs</w:t>
      </w:r>
      <w:r>
        <w:rPr>
          <w:rFonts w:ascii="Times New Roman" w:hAnsi="Times New Roman" w:cs="Times New Roman"/>
        </w:rPr>
        <w:t xml:space="preserve">ites of the Alzheimer’s Society </w:t>
      </w:r>
      <w:r w:rsidRPr="003B4FDE">
        <w:rPr>
          <w:rFonts w:ascii="Times New Roman" w:hAnsi="Times New Roman" w:cs="Times New Roman"/>
        </w:rPr>
        <w:t>or Alzheimer’s Disease International</w:t>
      </w:r>
      <w:r>
        <w:rPr>
          <w:rFonts w:ascii="Times New Roman" w:hAnsi="Times New Roman" w:cs="Times New Roman"/>
        </w:rPr>
        <w:t xml:space="preserve"> </w:t>
      </w:r>
      <w:r w:rsidRPr="003B4FDE">
        <w:rPr>
          <w:rFonts w:ascii="Times New Roman" w:hAnsi="Times New Roman" w:cs="Times New Roman"/>
        </w:rPr>
        <w:t>contain very few references to the CRPD,</w:t>
      </w:r>
      <w:r>
        <w:rPr>
          <w:rFonts w:ascii="Times New Roman" w:hAnsi="Times New Roman" w:cs="Times New Roman"/>
        </w:rPr>
        <w:t xml:space="preserve"> </w:t>
      </w:r>
      <w:r w:rsidRPr="003B4FDE">
        <w:rPr>
          <w:rFonts w:ascii="Times New Roman" w:hAnsi="Times New Roman" w:cs="Times New Roman"/>
        </w:rPr>
        <w:t>and certainly no sense of ownership of it.</w:t>
      </w:r>
      <w:r>
        <w:rPr>
          <w:rFonts w:ascii="Times New Roman" w:hAnsi="Times New Roman" w:cs="Times New Roman"/>
        </w:rPr>
        <w:t xml:space="preserve"> </w:t>
      </w:r>
      <w:r w:rsidRPr="003B4FDE">
        <w:rPr>
          <w:rFonts w:ascii="Times New Roman" w:hAnsi="Times New Roman" w:cs="Times New Roman"/>
        </w:rPr>
        <w:t>Similarly, on the websites of organisations</w:t>
      </w:r>
      <w:r>
        <w:rPr>
          <w:rFonts w:ascii="Times New Roman" w:hAnsi="Times New Roman" w:cs="Times New Roman"/>
        </w:rPr>
        <w:t xml:space="preserve"> </w:t>
      </w:r>
      <w:r w:rsidRPr="003B4FDE">
        <w:rPr>
          <w:rFonts w:ascii="Times New Roman" w:hAnsi="Times New Roman" w:cs="Times New Roman"/>
        </w:rPr>
        <w:t>representing the broader, older population</w:t>
      </w:r>
      <w:r>
        <w:rPr>
          <w:rFonts w:ascii="Times New Roman" w:hAnsi="Times New Roman" w:cs="Times New Roman"/>
        </w:rPr>
        <w:t xml:space="preserve"> </w:t>
      </w:r>
      <w:r w:rsidRPr="003B4FDE">
        <w:rPr>
          <w:rFonts w:ascii="Times New Roman" w:hAnsi="Times New Roman" w:cs="Times New Roman"/>
        </w:rPr>
        <w:t>– organisations such as Age UK (formerly</w:t>
      </w:r>
      <w:r>
        <w:rPr>
          <w:rFonts w:ascii="Times New Roman" w:hAnsi="Times New Roman" w:cs="Times New Roman"/>
        </w:rPr>
        <w:t xml:space="preserve"> </w:t>
      </w:r>
      <w:r w:rsidRPr="003B4FDE">
        <w:rPr>
          <w:rFonts w:ascii="Times New Roman" w:hAnsi="Times New Roman" w:cs="Times New Roman"/>
        </w:rPr>
        <w:t>Age Concern and Help the Aged), HelpAge</w:t>
      </w:r>
      <w:r>
        <w:rPr>
          <w:rFonts w:ascii="Times New Roman" w:hAnsi="Times New Roman" w:cs="Times New Roman"/>
        </w:rPr>
        <w:t xml:space="preserve"> </w:t>
      </w:r>
      <w:r w:rsidRPr="003B4FDE">
        <w:rPr>
          <w:rFonts w:ascii="Times New Roman" w:hAnsi="Times New Roman" w:cs="Times New Roman"/>
        </w:rPr>
        <w:t>International, Global Action on Aging, and</w:t>
      </w:r>
      <w:r>
        <w:rPr>
          <w:rFonts w:ascii="Times New Roman" w:hAnsi="Times New Roman" w:cs="Times New Roman"/>
        </w:rPr>
        <w:t xml:space="preserve"> </w:t>
      </w:r>
      <w:r w:rsidRPr="003B4FDE">
        <w:rPr>
          <w:rFonts w:ascii="Times New Roman" w:hAnsi="Times New Roman" w:cs="Times New Roman"/>
        </w:rPr>
        <w:t>INPEA (International Network for the</w:t>
      </w:r>
      <w:r>
        <w:rPr>
          <w:rFonts w:ascii="Times New Roman" w:hAnsi="Times New Roman" w:cs="Times New Roman"/>
        </w:rPr>
        <w:t xml:space="preserve"> </w:t>
      </w:r>
      <w:r w:rsidRPr="003B4FDE">
        <w:rPr>
          <w:rFonts w:ascii="Times New Roman" w:hAnsi="Times New Roman" w:cs="Times New Roman"/>
        </w:rPr>
        <w:t>Prevention of Elder Abuse) – there is no</w:t>
      </w:r>
      <w:r>
        <w:rPr>
          <w:rFonts w:ascii="Times New Roman" w:hAnsi="Times New Roman" w:cs="Times New Roman"/>
        </w:rPr>
        <w:t xml:space="preserve"> </w:t>
      </w:r>
      <w:r w:rsidRPr="003B4FDE">
        <w:rPr>
          <w:rFonts w:ascii="Times New Roman" w:hAnsi="Times New Roman" w:cs="Times New Roman"/>
        </w:rPr>
        <w:t>discussion about this Convention, but a call</w:t>
      </w:r>
      <w:r>
        <w:rPr>
          <w:rFonts w:ascii="Times New Roman" w:hAnsi="Times New Roman" w:cs="Times New Roman"/>
        </w:rPr>
        <w:t xml:space="preserve"> </w:t>
      </w:r>
      <w:r w:rsidRPr="003B4FDE">
        <w:rPr>
          <w:rFonts w:ascii="Times New Roman" w:hAnsi="Times New Roman" w:cs="Times New Roman"/>
        </w:rPr>
        <w:t>for another convention, on the Rights of</w:t>
      </w:r>
      <w:r>
        <w:rPr>
          <w:rFonts w:ascii="Times New Roman" w:hAnsi="Times New Roman" w:cs="Times New Roman"/>
        </w:rPr>
        <w:t xml:space="preserve"> </w:t>
      </w:r>
      <w:r w:rsidRPr="003B4FDE">
        <w:rPr>
          <w:rFonts w:ascii="Times New Roman" w:hAnsi="Times New Roman" w:cs="Times New Roman"/>
        </w:rPr>
        <w:t>Older People, i</w:t>
      </w:r>
      <w:r>
        <w:rPr>
          <w:rFonts w:ascii="Times New Roman" w:hAnsi="Times New Roman" w:cs="Times New Roman"/>
        </w:rPr>
        <w:t>nstead. (Lush, 2011, 67)</w:t>
      </w:r>
    </w:p>
    <w:p w14:paraId="41A775CF" w14:textId="5831FDF7" w:rsidR="00DC2546" w:rsidRDefault="003B4FDE" w:rsidP="003B4FDE">
      <w:pPr>
        <w:spacing w:line="360" w:lineRule="auto"/>
        <w:jc w:val="both"/>
        <w:rPr>
          <w:rFonts w:ascii="Times New Roman" w:hAnsi="Times New Roman" w:cs="Times New Roman"/>
        </w:rPr>
      </w:pPr>
      <w:r>
        <w:rPr>
          <w:rFonts w:ascii="Times New Roman" w:hAnsi="Times New Roman" w:cs="Times New Roman"/>
        </w:rPr>
        <w:t>As a result,</w:t>
      </w:r>
      <w:r w:rsidR="000727CB">
        <w:rPr>
          <w:rFonts w:ascii="Times New Roman" w:hAnsi="Times New Roman" w:cs="Times New Roman"/>
        </w:rPr>
        <w:t xml:space="preserve"> Lush</w:t>
      </w:r>
      <w:r>
        <w:rPr>
          <w:rFonts w:ascii="Times New Roman" w:hAnsi="Times New Roman" w:cs="Times New Roman"/>
        </w:rPr>
        <w:t xml:space="preserve"> </w:t>
      </w:r>
      <w:r w:rsidR="00196247">
        <w:rPr>
          <w:rFonts w:ascii="Times New Roman" w:hAnsi="Times New Roman" w:cs="Times New Roman"/>
        </w:rPr>
        <w:t>suggests</w:t>
      </w:r>
      <w:r w:rsidR="00F302DA">
        <w:rPr>
          <w:rFonts w:ascii="Times New Roman" w:hAnsi="Times New Roman" w:cs="Times New Roman"/>
        </w:rPr>
        <w:t xml:space="preserve"> that</w:t>
      </w:r>
      <w:r>
        <w:rPr>
          <w:rFonts w:ascii="Times New Roman" w:hAnsi="Times New Roman" w:cs="Times New Roman"/>
        </w:rPr>
        <w:t xml:space="preserve"> </w:t>
      </w:r>
      <w:r w:rsidR="003E2B4F">
        <w:rPr>
          <w:rFonts w:ascii="Times New Roman" w:hAnsi="Times New Roman" w:cs="Times New Roman"/>
        </w:rPr>
        <w:t>Article 12 and GC1</w:t>
      </w:r>
      <w:r>
        <w:rPr>
          <w:rFonts w:ascii="Times New Roman" w:hAnsi="Times New Roman" w:cs="Times New Roman"/>
        </w:rPr>
        <w:t xml:space="preserve"> </w:t>
      </w:r>
      <w:r w:rsidR="003E2B4F">
        <w:rPr>
          <w:rFonts w:ascii="Times New Roman" w:hAnsi="Times New Roman" w:cs="Times New Roman"/>
        </w:rPr>
        <w:t>seem ‘to</w:t>
      </w:r>
      <w:r>
        <w:rPr>
          <w:rFonts w:ascii="Times New Roman" w:hAnsi="Times New Roman" w:cs="Times New Roman"/>
        </w:rPr>
        <w:t xml:space="preserve"> </w:t>
      </w:r>
      <w:r w:rsidRPr="003B4FDE">
        <w:rPr>
          <w:rFonts w:ascii="Times New Roman" w:hAnsi="Times New Roman" w:cs="Times New Roman"/>
        </w:rPr>
        <w:t>have been driven mainly by the intellectual</w:t>
      </w:r>
      <w:r>
        <w:rPr>
          <w:rFonts w:ascii="Times New Roman" w:hAnsi="Times New Roman" w:cs="Times New Roman"/>
        </w:rPr>
        <w:t xml:space="preserve"> </w:t>
      </w:r>
      <w:r w:rsidRPr="003B4FDE">
        <w:rPr>
          <w:rFonts w:ascii="Times New Roman" w:hAnsi="Times New Roman" w:cs="Times New Roman"/>
        </w:rPr>
        <w:t>disability lobby, and whilst their</w:t>
      </w:r>
      <w:r>
        <w:rPr>
          <w:rFonts w:ascii="Times New Roman" w:hAnsi="Times New Roman" w:cs="Times New Roman"/>
        </w:rPr>
        <w:t xml:space="preserve"> </w:t>
      </w:r>
      <w:r w:rsidRPr="003B4FDE">
        <w:rPr>
          <w:rFonts w:ascii="Times New Roman" w:hAnsi="Times New Roman" w:cs="Times New Roman"/>
        </w:rPr>
        <w:t>interpretation of the contents of the</w:t>
      </w:r>
      <w:r>
        <w:rPr>
          <w:rFonts w:ascii="Times New Roman" w:hAnsi="Times New Roman" w:cs="Times New Roman"/>
        </w:rPr>
        <w:t xml:space="preserve"> Convention </w:t>
      </w:r>
      <w:r w:rsidRPr="003B4FDE">
        <w:rPr>
          <w:rFonts w:ascii="Times New Roman" w:hAnsi="Times New Roman" w:cs="Times New Roman"/>
        </w:rPr>
        <w:t>may appeal to their own</w:t>
      </w:r>
      <w:r>
        <w:rPr>
          <w:rFonts w:ascii="Times New Roman" w:hAnsi="Times New Roman" w:cs="Times New Roman"/>
        </w:rPr>
        <w:t xml:space="preserve"> </w:t>
      </w:r>
      <w:r w:rsidRPr="003B4FDE">
        <w:rPr>
          <w:rFonts w:ascii="Times New Roman" w:hAnsi="Times New Roman" w:cs="Times New Roman"/>
        </w:rPr>
        <w:t>constituents, it is not entirely practical,</w:t>
      </w:r>
      <w:r>
        <w:rPr>
          <w:rFonts w:ascii="Times New Roman" w:hAnsi="Times New Roman" w:cs="Times New Roman"/>
        </w:rPr>
        <w:t xml:space="preserve"> </w:t>
      </w:r>
      <w:r w:rsidRPr="003B4FDE">
        <w:rPr>
          <w:rFonts w:ascii="Times New Roman" w:hAnsi="Times New Roman" w:cs="Times New Roman"/>
        </w:rPr>
        <w:t>realistic, or even appropriate for the vast</w:t>
      </w:r>
      <w:r>
        <w:rPr>
          <w:rFonts w:ascii="Times New Roman" w:hAnsi="Times New Roman" w:cs="Times New Roman"/>
        </w:rPr>
        <w:t xml:space="preserve"> </w:t>
      </w:r>
      <w:r w:rsidRPr="003B4FDE">
        <w:rPr>
          <w:rFonts w:ascii="Times New Roman" w:hAnsi="Times New Roman" w:cs="Times New Roman"/>
        </w:rPr>
        <w:t>number of people who lack capacity for</w:t>
      </w:r>
      <w:r>
        <w:rPr>
          <w:rFonts w:ascii="Times New Roman" w:hAnsi="Times New Roman" w:cs="Times New Roman"/>
        </w:rPr>
        <w:t xml:space="preserve"> other reasons’ (Lush, 2011, 67). </w:t>
      </w:r>
    </w:p>
    <w:p w14:paraId="7861155E" w14:textId="77777777" w:rsidR="00DC2546" w:rsidRDefault="00DC2546" w:rsidP="003B4FDE">
      <w:pPr>
        <w:spacing w:line="360" w:lineRule="auto"/>
        <w:jc w:val="both"/>
        <w:rPr>
          <w:rFonts w:ascii="Times New Roman" w:hAnsi="Times New Roman" w:cs="Times New Roman"/>
        </w:rPr>
      </w:pPr>
    </w:p>
    <w:p w14:paraId="6E6F6C84" w14:textId="7C7A9DC5" w:rsidR="00164700" w:rsidRDefault="003B4FDE" w:rsidP="003163EC">
      <w:pPr>
        <w:spacing w:line="360" w:lineRule="auto"/>
        <w:jc w:val="both"/>
        <w:rPr>
          <w:rFonts w:ascii="Times New Roman" w:hAnsi="Times New Roman" w:cs="Times New Roman"/>
        </w:rPr>
      </w:pPr>
      <w:r>
        <w:rPr>
          <w:rFonts w:ascii="Times New Roman" w:hAnsi="Times New Roman" w:cs="Times New Roman"/>
        </w:rPr>
        <w:t xml:space="preserve">The aim of this paper is not to </w:t>
      </w:r>
      <w:r w:rsidR="006F2EB8">
        <w:rPr>
          <w:rFonts w:ascii="Times New Roman" w:hAnsi="Times New Roman" w:cs="Times New Roman"/>
        </w:rPr>
        <w:t>examine the</w:t>
      </w:r>
      <w:r>
        <w:rPr>
          <w:rFonts w:ascii="Times New Roman" w:hAnsi="Times New Roman" w:cs="Times New Roman"/>
        </w:rPr>
        <w:t xml:space="preserve"> veracity of Lush’</w:t>
      </w:r>
      <w:r w:rsidR="00DC2546">
        <w:rPr>
          <w:rFonts w:ascii="Times New Roman" w:hAnsi="Times New Roman" w:cs="Times New Roman"/>
        </w:rPr>
        <w:t>s claims in the above</w:t>
      </w:r>
      <w:r>
        <w:rPr>
          <w:rFonts w:ascii="Times New Roman" w:hAnsi="Times New Roman" w:cs="Times New Roman"/>
        </w:rPr>
        <w:t xml:space="preserve"> quote</w:t>
      </w:r>
      <w:r w:rsidR="00DC2546">
        <w:rPr>
          <w:rFonts w:ascii="Times New Roman" w:hAnsi="Times New Roman" w:cs="Times New Roman"/>
        </w:rPr>
        <w:t>s</w:t>
      </w:r>
      <w:r w:rsidR="00D03D6B">
        <w:rPr>
          <w:rFonts w:ascii="Times New Roman" w:hAnsi="Times New Roman" w:cs="Times New Roman"/>
        </w:rPr>
        <w:t>,</w:t>
      </w:r>
      <w:r w:rsidR="00DF11E6">
        <w:rPr>
          <w:rStyle w:val="FootnoteReference"/>
          <w:rFonts w:ascii="Times New Roman" w:hAnsi="Times New Roman" w:cs="Times New Roman"/>
        </w:rPr>
        <w:footnoteReference w:id="5"/>
      </w:r>
      <w:r>
        <w:rPr>
          <w:rFonts w:ascii="Times New Roman" w:hAnsi="Times New Roman" w:cs="Times New Roman"/>
        </w:rPr>
        <w:t xml:space="preserve"> however it does seek to explore a little further </w:t>
      </w:r>
      <w:r w:rsidR="008D194C">
        <w:rPr>
          <w:rFonts w:ascii="Times New Roman" w:hAnsi="Times New Roman" w:cs="Times New Roman"/>
        </w:rPr>
        <w:t>one aspect that he touches on</w:t>
      </w:r>
      <w:r w:rsidR="00196247">
        <w:rPr>
          <w:rFonts w:ascii="Times New Roman" w:hAnsi="Times New Roman" w:cs="Times New Roman"/>
        </w:rPr>
        <w:t>;</w:t>
      </w:r>
      <w:r>
        <w:rPr>
          <w:rFonts w:ascii="Times New Roman" w:hAnsi="Times New Roman" w:cs="Times New Roman"/>
        </w:rPr>
        <w:t xml:space="preserve"> how can Article 12 and GC1 be understood </w:t>
      </w:r>
      <w:r w:rsidR="00196247">
        <w:rPr>
          <w:rFonts w:ascii="Times New Roman" w:hAnsi="Times New Roman" w:cs="Times New Roman"/>
        </w:rPr>
        <w:t>for</w:t>
      </w:r>
      <w:r>
        <w:rPr>
          <w:rFonts w:ascii="Times New Roman" w:hAnsi="Times New Roman" w:cs="Times New Roman"/>
        </w:rPr>
        <w:t xml:space="preserve"> </w:t>
      </w:r>
      <w:r w:rsidR="00DC2546">
        <w:rPr>
          <w:rFonts w:ascii="Times New Roman" w:hAnsi="Times New Roman" w:cs="Times New Roman"/>
        </w:rPr>
        <w:t xml:space="preserve">older </w:t>
      </w:r>
      <w:r>
        <w:rPr>
          <w:rFonts w:ascii="Times New Roman" w:hAnsi="Times New Roman" w:cs="Times New Roman"/>
        </w:rPr>
        <w:t>peopl</w:t>
      </w:r>
      <w:r w:rsidR="00DC2546">
        <w:rPr>
          <w:rFonts w:ascii="Times New Roman" w:hAnsi="Times New Roman" w:cs="Times New Roman"/>
        </w:rPr>
        <w:t xml:space="preserve">e who have dementia? </w:t>
      </w:r>
      <w:r w:rsidR="003163EC">
        <w:rPr>
          <w:rFonts w:ascii="Times New Roman" w:hAnsi="Times New Roman" w:cs="Times New Roman"/>
        </w:rPr>
        <w:t>The paper argues that while the focus on</w:t>
      </w:r>
      <w:r w:rsidR="00DD3541">
        <w:rPr>
          <w:rFonts w:ascii="Times New Roman" w:hAnsi="Times New Roman" w:cs="Times New Roman"/>
        </w:rPr>
        <w:t xml:space="preserve"> ‘supported decision-making’ is</w:t>
      </w:r>
      <w:r w:rsidR="003163EC">
        <w:rPr>
          <w:rFonts w:ascii="Times New Roman" w:hAnsi="Times New Roman" w:cs="Times New Roman"/>
        </w:rPr>
        <w:t xml:space="preserve"> largely</w:t>
      </w:r>
      <w:r w:rsidR="00DD3541">
        <w:rPr>
          <w:rFonts w:ascii="Times New Roman" w:hAnsi="Times New Roman" w:cs="Times New Roman"/>
        </w:rPr>
        <w:t xml:space="preserve"> to</w:t>
      </w:r>
      <w:r w:rsidR="003163EC">
        <w:rPr>
          <w:rFonts w:ascii="Times New Roman" w:hAnsi="Times New Roman" w:cs="Times New Roman"/>
        </w:rPr>
        <w:t xml:space="preserve"> be w</w:t>
      </w:r>
      <w:r w:rsidR="00DD3541">
        <w:rPr>
          <w:rFonts w:ascii="Times New Roman" w:hAnsi="Times New Roman" w:cs="Times New Roman"/>
        </w:rPr>
        <w:t>elcomed</w:t>
      </w:r>
      <w:r w:rsidR="003163EC">
        <w:rPr>
          <w:rFonts w:ascii="Times New Roman" w:hAnsi="Times New Roman" w:cs="Times New Roman"/>
        </w:rPr>
        <w:t xml:space="preserve">, </w:t>
      </w:r>
      <w:r w:rsidR="003E2B4F">
        <w:rPr>
          <w:rFonts w:ascii="Times New Roman" w:hAnsi="Times New Roman" w:cs="Times New Roman"/>
        </w:rPr>
        <w:t xml:space="preserve">conceptual and empirical </w:t>
      </w:r>
      <w:r w:rsidR="004E07BF">
        <w:rPr>
          <w:rFonts w:ascii="Times New Roman" w:hAnsi="Times New Roman" w:cs="Times New Roman"/>
        </w:rPr>
        <w:t>literature</w:t>
      </w:r>
      <w:r w:rsidR="003E2B4F">
        <w:rPr>
          <w:rFonts w:ascii="Times New Roman" w:hAnsi="Times New Roman" w:cs="Times New Roman"/>
        </w:rPr>
        <w:t xml:space="preserve"> involving </w:t>
      </w:r>
      <w:r w:rsidR="00B87B61">
        <w:rPr>
          <w:rFonts w:ascii="Times New Roman" w:hAnsi="Times New Roman" w:cs="Times New Roman"/>
        </w:rPr>
        <w:t>people with dementia</w:t>
      </w:r>
      <w:r w:rsidR="00C54FA3">
        <w:rPr>
          <w:rStyle w:val="FootnoteReference"/>
          <w:rFonts w:ascii="Times New Roman" w:hAnsi="Times New Roman" w:cs="Times New Roman"/>
        </w:rPr>
        <w:footnoteReference w:id="6"/>
      </w:r>
      <w:r w:rsidR="003E2B4F">
        <w:rPr>
          <w:rFonts w:ascii="Times New Roman" w:hAnsi="Times New Roman" w:cs="Times New Roman"/>
        </w:rPr>
        <w:t xml:space="preserve"> can problematize the more hard-line and radical approaches taken by GC1, and some commentators,</w:t>
      </w:r>
      <w:r w:rsidR="003163EC">
        <w:rPr>
          <w:rFonts w:ascii="Times New Roman" w:hAnsi="Times New Roman" w:cs="Times New Roman"/>
        </w:rPr>
        <w:t xml:space="preserve"> to</w:t>
      </w:r>
      <w:r w:rsidR="004E07BF">
        <w:rPr>
          <w:rFonts w:ascii="Times New Roman" w:hAnsi="Times New Roman" w:cs="Times New Roman"/>
        </w:rPr>
        <w:t xml:space="preserve"> two particular </w:t>
      </w:r>
      <w:r w:rsidR="003E2B4F">
        <w:rPr>
          <w:rFonts w:ascii="Times New Roman" w:hAnsi="Times New Roman" w:cs="Times New Roman"/>
        </w:rPr>
        <w:t>issues</w:t>
      </w:r>
      <w:r w:rsidR="004E07BF">
        <w:rPr>
          <w:rFonts w:ascii="Times New Roman" w:hAnsi="Times New Roman" w:cs="Times New Roman"/>
        </w:rPr>
        <w:t xml:space="preserve">. </w:t>
      </w:r>
      <w:r w:rsidR="00DC2546">
        <w:rPr>
          <w:rFonts w:ascii="Times New Roman" w:hAnsi="Times New Roman" w:cs="Times New Roman"/>
        </w:rPr>
        <w:t>The first</w:t>
      </w:r>
      <w:r w:rsidR="004E07BF">
        <w:rPr>
          <w:rFonts w:ascii="Times New Roman" w:hAnsi="Times New Roman" w:cs="Times New Roman"/>
        </w:rPr>
        <w:t xml:space="preserve"> issue</w:t>
      </w:r>
      <w:r w:rsidR="00DC2546">
        <w:rPr>
          <w:rFonts w:ascii="Times New Roman" w:hAnsi="Times New Roman" w:cs="Times New Roman"/>
        </w:rPr>
        <w:t xml:space="preserve"> is</w:t>
      </w:r>
      <w:r>
        <w:rPr>
          <w:rFonts w:ascii="Times New Roman" w:hAnsi="Times New Roman" w:cs="Times New Roman"/>
        </w:rPr>
        <w:t xml:space="preserve"> the </w:t>
      </w:r>
      <w:r w:rsidRPr="006514AF">
        <w:rPr>
          <w:rFonts w:ascii="Times New Roman" w:hAnsi="Times New Roman" w:cs="Times New Roman"/>
          <w:i/>
        </w:rPr>
        <w:t>role</w:t>
      </w:r>
      <w:r>
        <w:rPr>
          <w:rFonts w:ascii="Times New Roman" w:hAnsi="Times New Roman" w:cs="Times New Roman"/>
        </w:rPr>
        <w:t xml:space="preserve"> envisaged for </w:t>
      </w:r>
      <w:r w:rsidR="00F302DA">
        <w:rPr>
          <w:rFonts w:ascii="Times New Roman" w:hAnsi="Times New Roman" w:cs="Times New Roman"/>
        </w:rPr>
        <w:t>‘support’</w:t>
      </w:r>
      <w:r w:rsidR="00DC2546">
        <w:rPr>
          <w:rFonts w:ascii="Times New Roman" w:hAnsi="Times New Roman" w:cs="Times New Roman"/>
        </w:rPr>
        <w:t xml:space="preserve"> within the concept of </w:t>
      </w:r>
      <w:r>
        <w:rPr>
          <w:rFonts w:ascii="Times New Roman" w:hAnsi="Times New Roman" w:cs="Times New Roman"/>
        </w:rPr>
        <w:t>‘supported decision-making’</w:t>
      </w:r>
      <w:r w:rsidR="00DC2546">
        <w:rPr>
          <w:rFonts w:ascii="Times New Roman" w:hAnsi="Times New Roman" w:cs="Times New Roman"/>
        </w:rPr>
        <w:t xml:space="preserve">. </w:t>
      </w:r>
      <w:r w:rsidR="005B5BE5">
        <w:rPr>
          <w:rFonts w:ascii="Times New Roman" w:hAnsi="Times New Roman" w:cs="Times New Roman"/>
        </w:rPr>
        <w:t xml:space="preserve">Despite being </w:t>
      </w:r>
      <w:r w:rsidR="00164700">
        <w:rPr>
          <w:rFonts w:ascii="Times New Roman" w:hAnsi="Times New Roman" w:cs="Times New Roman"/>
        </w:rPr>
        <w:t xml:space="preserve">broadly </w:t>
      </w:r>
      <w:r w:rsidR="005B5BE5">
        <w:rPr>
          <w:rFonts w:ascii="Times New Roman" w:hAnsi="Times New Roman" w:cs="Times New Roman"/>
        </w:rPr>
        <w:t>welcomed</w:t>
      </w:r>
      <w:r w:rsidR="003E2B4F">
        <w:rPr>
          <w:rFonts w:ascii="Times New Roman" w:hAnsi="Times New Roman" w:cs="Times New Roman"/>
        </w:rPr>
        <w:t xml:space="preserve"> as ‘relational’ in its foc</w:t>
      </w:r>
      <w:r w:rsidR="00393017">
        <w:rPr>
          <w:rFonts w:ascii="Times New Roman" w:hAnsi="Times New Roman" w:cs="Times New Roman"/>
        </w:rPr>
        <w:t xml:space="preserve">us on supported decision-making, </w:t>
      </w:r>
      <w:r w:rsidR="003E2B4F">
        <w:rPr>
          <w:rFonts w:ascii="Times New Roman" w:hAnsi="Times New Roman" w:cs="Times New Roman"/>
        </w:rPr>
        <w:t>an analysis of literature outlining the realities of making decisions with dementia highlights how the role of support envisaged by GC1 and some commentators is, ironically, overly-individualistic</w:t>
      </w:r>
      <w:r w:rsidR="004E07BF">
        <w:rPr>
          <w:rFonts w:ascii="Times New Roman" w:hAnsi="Times New Roman" w:cs="Times New Roman"/>
        </w:rPr>
        <w:t>, interpreting support simply as a conduit to the enactment of a person’s already pre-defined ‘will and preferences’</w:t>
      </w:r>
      <w:r w:rsidR="00B87B61">
        <w:rPr>
          <w:rFonts w:ascii="Times New Roman" w:hAnsi="Times New Roman" w:cs="Times New Roman"/>
        </w:rPr>
        <w:t xml:space="preserve">. </w:t>
      </w:r>
      <w:r w:rsidR="004E07BF">
        <w:rPr>
          <w:rFonts w:ascii="Times New Roman" w:hAnsi="Times New Roman" w:cs="Times New Roman"/>
        </w:rPr>
        <w:t>This, it is contended, oversimplifies the reality of what it is like to be an older person with dementia who makes decisions</w:t>
      </w:r>
      <w:r w:rsidR="00B87B61">
        <w:rPr>
          <w:rFonts w:ascii="Times New Roman" w:hAnsi="Times New Roman" w:cs="Times New Roman"/>
        </w:rPr>
        <w:t>, and</w:t>
      </w:r>
      <w:r w:rsidR="00DD3541">
        <w:rPr>
          <w:rFonts w:ascii="Times New Roman" w:hAnsi="Times New Roman" w:cs="Times New Roman"/>
        </w:rPr>
        <w:t>, as Skowron (2016) has argued,</w:t>
      </w:r>
      <w:r w:rsidR="00B87B61">
        <w:rPr>
          <w:rFonts w:ascii="Times New Roman" w:hAnsi="Times New Roman" w:cs="Times New Roman"/>
        </w:rPr>
        <w:t xml:space="preserve"> fails to grapple with the subtle</w:t>
      </w:r>
      <w:r w:rsidR="00DC7415">
        <w:rPr>
          <w:rFonts w:ascii="Times New Roman" w:hAnsi="Times New Roman" w:cs="Times New Roman"/>
        </w:rPr>
        <w:t>r</w:t>
      </w:r>
      <w:r w:rsidR="00B87B61">
        <w:rPr>
          <w:rFonts w:ascii="Times New Roman" w:hAnsi="Times New Roman" w:cs="Times New Roman"/>
        </w:rPr>
        <w:t xml:space="preserve"> complexit</w:t>
      </w:r>
      <w:r w:rsidR="00DD3541">
        <w:rPr>
          <w:rFonts w:ascii="Times New Roman" w:hAnsi="Times New Roman" w:cs="Times New Roman"/>
        </w:rPr>
        <w:t>ies of ‘support’</w:t>
      </w:r>
      <w:r w:rsidR="00B87B61">
        <w:rPr>
          <w:rFonts w:ascii="Times New Roman" w:hAnsi="Times New Roman" w:cs="Times New Roman"/>
        </w:rPr>
        <w:t>.</w:t>
      </w:r>
      <w:r w:rsidR="003E2B4F">
        <w:rPr>
          <w:rFonts w:ascii="Times New Roman" w:hAnsi="Times New Roman" w:cs="Times New Roman"/>
        </w:rPr>
        <w:t xml:space="preserve"> </w:t>
      </w:r>
    </w:p>
    <w:p w14:paraId="5CB2E901" w14:textId="77777777" w:rsidR="00164700" w:rsidRDefault="00164700" w:rsidP="003B4FDE">
      <w:pPr>
        <w:spacing w:line="360" w:lineRule="auto"/>
        <w:jc w:val="both"/>
        <w:rPr>
          <w:rFonts w:ascii="Times New Roman" w:hAnsi="Times New Roman" w:cs="Times New Roman"/>
        </w:rPr>
      </w:pPr>
    </w:p>
    <w:p w14:paraId="6E9BCC38" w14:textId="31E2CC01" w:rsidR="003B4FDE" w:rsidRDefault="00DC2546" w:rsidP="003B4FDE">
      <w:pPr>
        <w:spacing w:line="360" w:lineRule="auto"/>
        <w:jc w:val="both"/>
        <w:rPr>
          <w:rFonts w:ascii="Times New Roman" w:hAnsi="Times New Roman" w:cs="Times New Roman"/>
        </w:rPr>
      </w:pPr>
      <w:r>
        <w:rPr>
          <w:rFonts w:ascii="Times New Roman" w:hAnsi="Times New Roman" w:cs="Times New Roman"/>
        </w:rPr>
        <w:t xml:space="preserve">The second </w:t>
      </w:r>
      <w:r w:rsidR="004E07BF">
        <w:rPr>
          <w:rFonts w:ascii="Times New Roman" w:hAnsi="Times New Roman" w:cs="Times New Roman"/>
        </w:rPr>
        <w:t xml:space="preserve">issue the paper </w:t>
      </w:r>
      <w:r w:rsidR="00B87B61">
        <w:rPr>
          <w:rFonts w:ascii="Times New Roman" w:hAnsi="Times New Roman" w:cs="Times New Roman"/>
        </w:rPr>
        <w:t>addresses</w:t>
      </w:r>
      <w:r w:rsidR="004E07BF">
        <w:rPr>
          <w:rFonts w:ascii="Times New Roman" w:hAnsi="Times New Roman" w:cs="Times New Roman"/>
        </w:rPr>
        <w:t xml:space="preserve"> </w:t>
      </w:r>
      <w:r>
        <w:rPr>
          <w:rFonts w:ascii="Times New Roman" w:hAnsi="Times New Roman" w:cs="Times New Roman"/>
        </w:rPr>
        <w:t>is</w:t>
      </w:r>
      <w:r w:rsidR="003B4FDE">
        <w:rPr>
          <w:rFonts w:ascii="Times New Roman" w:hAnsi="Times New Roman" w:cs="Times New Roman"/>
        </w:rPr>
        <w:t xml:space="preserve"> </w:t>
      </w:r>
      <w:r>
        <w:rPr>
          <w:rFonts w:ascii="Times New Roman" w:hAnsi="Times New Roman" w:cs="Times New Roman"/>
        </w:rPr>
        <w:t xml:space="preserve">whether or not there should be </w:t>
      </w:r>
      <w:r w:rsidRPr="00DC2546">
        <w:rPr>
          <w:rFonts w:ascii="Times New Roman" w:hAnsi="Times New Roman" w:cs="Times New Roman"/>
          <w:i/>
        </w:rPr>
        <w:t>any</w:t>
      </w:r>
      <w:r>
        <w:rPr>
          <w:rFonts w:ascii="Times New Roman" w:hAnsi="Times New Roman" w:cs="Times New Roman"/>
        </w:rPr>
        <w:t xml:space="preserve"> scope at all for acknowledging a person’s</w:t>
      </w:r>
      <w:r w:rsidR="003B4FDE">
        <w:rPr>
          <w:rFonts w:ascii="Times New Roman" w:hAnsi="Times New Roman" w:cs="Times New Roman"/>
        </w:rPr>
        <w:t xml:space="preserve"> </w:t>
      </w:r>
      <w:r>
        <w:rPr>
          <w:rFonts w:ascii="Times New Roman" w:hAnsi="Times New Roman" w:cs="Times New Roman"/>
        </w:rPr>
        <w:t>disability</w:t>
      </w:r>
      <w:r w:rsidR="00F302DA">
        <w:rPr>
          <w:rFonts w:ascii="Times New Roman" w:hAnsi="Times New Roman" w:cs="Times New Roman"/>
        </w:rPr>
        <w:t xml:space="preserve"> (or impairment)</w:t>
      </w:r>
      <w:r>
        <w:rPr>
          <w:rFonts w:ascii="Times New Roman" w:hAnsi="Times New Roman" w:cs="Times New Roman"/>
        </w:rPr>
        <w:t xml:space="preserve"> in implementing legal measures to safeguard the rights contained within Article 12.</w:t>
      </w:r>
      <w:r w:rsidR="003B4FDE">
        <w:rPr>
          <w:rFonts w:ascii="Times New Roman" w:hAnsi="Times New Roman" w:cs="Times New Roman"/>
        </w:rPr>
        <w:t xml:space="preserve"> </w:t>
      </w:r>
      <w:r w:rsidR="0071134D">
        <w:rPr>
          <w:rFonts w:ascii="Times New Roman" w:hAnsi="Times New Roman" w:cs="Times New Roman"/>
        </w:rPr>
        <w:t>Perhaps somewhat controversially, t</w:t>
      </w:r>
      <w:r w:rsidR="004E07BF">
        <w:rPr>
          <w:rFonts w:ascii="Times New Roman" w:hAnsi="Times New Roman" w:cs="Times New Roman"/>
        </w:rPr>
        <w:t xml:space="preserve">he </w:t>
      </w:r>
      <w:r w:rsidR="00F302DA">
        <w:rPr>
          <w:rFonts w:ascii="Times New Roman" w:hAnsi="Times New Roman" w:cs="Times New Roman"/>
        </w:rPr>
        <w:t>paper suggests</w:t>
      </w:r>
      <w:r w:rsidR="0071134D">
        <w:rPr>
          <w:rFonts w:ascii="Times New Roman" w:hAnsi="Times New Roman" w:cs="Times New Roman"/>
        </w:rPr>
        <w:t xml:space="preserve"> </w:t>
      </w:r>
      <w:r w:rsidR="00F67B70">
        <w:rPr>
          <w:rFonts w:ascii="Times New Roman" w:hAnsi="Times New Roman" w:cs="Times New Roman"/>
        </w:rPr>
        <w:t>that</w:t>
      </w:r>
      <w:r>
        <w:rPr>
          <w:rFonts w:ascii="Times New Roman" w:hAnsi="Times New Roman" w:cs="Times New Roman"/>
        </w:rPr>
        <w:t xml:space="preserve"> </w:t>
      </w:r>
      <w:r w:rsidR="001B050A">
        <w:rPr>
          <w:rFonts w:ascii="Times New Roman" w:hAnsi="Times New Roman" w:cs="Times New Roman"/>
        </w:rPr>
        <w:t>in many</w:t>
      </w:r>
      <w:r w:rsidR="00B87B61">
        <w:rPr>
          <w:rFonts w:ascii="Times New Roman" w:hAnsi="Times New Roman" w:cs="Times New Roman"/>
        </w:rPr>
        <w:t xml:space="preserve"> circumstances </w:t>
      </w:r>
      <w:r w:rsidR="00F67B70">
        <w:rPr>
          <w:rFonts w:ascii="Times New Roman" w:hAnsi="Times New Roman" w:cs="Times New Roman"/>
        </w:rPr>
        <w:t xml:space="preserve">for people with dementia </w:t>
      </w:r>
      <w:r>
        <w:rPr>
          <w:rFonts w:ascii="Times New Roman" w:hAnsi="Times New Roman" w:cs="Times New Roman"/>
        </w:rPr>
        <w:t xml:space="preserve">it would be </w:t>
      </w:r>
      <w:r w:rsidR="00F67B70">
        <w:rPr>
          <w:rFonts w:ascii="Times New Roman" w:hAnsi="Times New Roman" w:cs="Times New Roman"/>
        </w:rPr>
        <w:t>unrealistic</w:t>
      </w:r>
      <w:r w:rsidR="0071134D">
        <w:rPr>
          <w:rFonts w:ascii="Times New Roman" w:hAnsi="Times New Roman" w:cs="Times New Roman"/>
        </w:rPr>
        <w:t xml:space="preserve"> and improper</w:t>
      </w:r>
      <w:r>
        <w:rPr>
          <w:rFonts w:ascii="Times New Roman" w:hAnsi="Times New Roman" w:cs="Times New Roman"/>
        </w:rPr>
        <w:t xml:space="preserve"> </w:t>
      </w:r>
      <w:r w:rsidRPr="00F67B70">
        <w:rPr>
          <w:rFonts w:ascii="Times New Roman" w:hAnsi="Times New Roman" w:cs="Times New Roman"/>
          <w:i/>
        </w:rPr>
        <w:t>not</w:t>
      </w:r>
      <w:r w:rsidR="00F67B70">
        <w:rPr>
          <w:rFonts w:ascii="Times New Roman" w:hAnsi="Times New Roman" w:cs="Times New Roman"/>
        </w:rPr>
        <w:t xml:space="preserve"> to take the fact </w:t>
      </w:r>
      <w:r w:rsidR="00164700">
        <w:rPr>
          <w:rFonts w:ascii="Times New Roman" w:hAnsi="Times New Roman" w:cs="Times New Roman"/>
        </w:rPr>
        <w:t xml:space="preserve">that they have </w:t>
      </w:r>
      <w:r w:rsidR="00F67B70">
        <w:rPr>
          <w:rFonts w:ascii="Times New Roman" w:hAnsi="Times New Roman" w:cs="Times New Roman"/>
        </w:rPr>
        <w:t>dementia</w:t>
      </w:r>
      <w:r w:rsidR="00164700">
        <w:rPr>
          <w:rFonts w:ascii="Times New Roman" w:hAnsi="Times New Roman" w:cs="Times New Roman"/>
        </w:rPr>
        <w:t xml:space="preserve"> – and the resultant impact on their cognitive functioning – in </w:t>
      </w:r>
      <w:r>
        <w:rPr>
          <w:rFonts w:ascii="Times New Roman" w:hAnsi="Times New Roman" w:cs="Times New Roman"/>
        </w:rPr>
        <w:t>to consideration</w:t>
      </w:r>
      <w:r w:rsidR="00F67B70">
        <w:rPr>
          <w:rFonts w:ascii="Times New Roman" w:hAnsi="Times New Roman" w:cs="Times New Roman"/>
        </w:rPr>
        <w:t>.</w:t>
      </w:r>
      <w:r w:rsidR="00F67B70">
        <w:rPr>
          <w:rStyle w:val="FootnoteReference"/>
          <w:rFonts w:ascii="Times New Roman" w:hAnsi="Times New Roman" w:cs="Times New Roman"/>
        </w:rPr>
        <w:footnoteReference w:id="7"/>
      </w:r>
      <w:r w:rsidR="00F67B70">
        <w:rPr>
          <w:rFonts w:ascii="Times New Roman" w:hAnsi="Times New Roman" w:cs="Times New Roman"/>
        </w:rPr>
        <w:t xml:space="preserve"> While </w:t>
      </w:r>
      <w:r>
        <w:rPr>
          <w:rFonts w:ascii="Times New Roman" w:hAnsi="Times New Roman" w:cs="Times New Roman"/>
        </w:rPr>
        <w:t>GC1</w:t>
      </w:r>
      <w:r w:rsidR="00B87B61">
        <w:rPr>
          <w:rFonts w:ascii="Times New Roman" w:hAnsi="Times New Roman" w:cs="Times New Roman"/>
        </w:rPr>
        <w:t xml:space="preserve"> and some </w:t>
      </w:r>
      <w:r w:rsidR="00D03D6B">
        <w:rPr>
          <w:rFonts w:ascii="Times New Roman" w:hAnsi="Times New Roman" w:cs="Times New Roman"/>
        </w:rPr>
        <w:t xml:space="preserve">of the </w:t>
      </w:r>
      <w:r w:rsidR="00B87B61">
        <w:rPr>
          <w:rFonts w:ascii="Times New Roman" w:hAnsi="Times New Roman" w:cs="Times New Roman"/>
        </w:rPr>
        <w:t xml:space="preserve">academic debate </w:t>
      </w:r>
      <w:r w:rsidR="00F67B70">
        <w:rPr>
          <w:rFonts w:ascii="Times New Roman" w:hAnsi="Times New Roman" w:cs="Times New Roman"/>
        </w:rPr>
        <w:t>offers a hard line interpretation of Article 12 against this</w:t>
      </w:r>
      <w:r w:rsidR="00B87B61">
        <w:rPr>
          <w:rFonts w:ascii="Times New Roman" w:hAnsi="Times New Roman" w:cs="Times New Roman"/>
        </w:rPr>
        <w:t xml:space="preserve">, such discussions </w:t>
      </w:r>
      <w:r>
        <w:rPr>
          <w:rFonts w:ascii="Times New Roman" w:hAnsi="Times New Roman" w:cs="Times New Roman"/>
        </w:rPr>
        <w:t xml:space="preserve">fail to </w:t>
      </w:r>
      <w:r w:rsidR="00F67B70">
        <w:rPr>
          <w:rFonts w:ascii="Times New Roman" w:hAnsi="Times New Roman" w:cs="Times New Roman"/>
        </w:rPr>
        <w:t>identify</w:t>
      </w:r>
      <w:r>
        <w:rPr>
          <w:rFonts w:ascii="Times New Roman" w:hAnsi="Times New Roman" w:cs="Times New Roman"/>
        </w:rPr>
        <w:t xml:space="preserve"> </w:t>
      </w:r>
      <w:r w:rsidR="00B87B61">
        <w:rPr>
          <w:rFonts w:ascii="Times New Roman" w:hAnsi="Times New Roman" w:cs="Times New Roman"/>
        </w:rPr>
        <w:t>a important</w:t>
      </w:r>
      <w:r>
        <w:rPr>
          <w:rFonts w:ascii="Times New Roman" w:hAnsi="Times New Roman" w:cs="Times New Roman"/>
        </w:rPr>
        <w:t xml:space="preserve"> ethica</w:t>
      </w:r>
      <w:r w:rsidR="00B87B61">
        <w:rPr>
          <w:rFonts w:ascii="Times New Roman" w:hAnsi="Times New Roman" w:cs="Times New Roman"/>
        </w:rPr>
        <w:t xml:space="preserve">l distinction between identifying impairment on the one hand, and </w:t>
      </w:r>
      <w:r w:rsidR="00B87B61">
        <w:rPr>
          <w:rFonts w:ascii="Times New Roman" w:hAnsi="Times New Roman" w:cs="Times New Roman"/>
          <w:i/>
        </w:rPr>
        <w:t xml:space="preserve">how </w:t>
      </w:r>
      <w:r w:rsidR="00B87B61">
        <w:rPr>
          <w:rFonts w:ascii="Times New Roman" w:hAnsi="Times New Roman" w:cs="Times New Roman"/>
        </w:rPr>
        <w:t>that information is used on the other</w:t>
      </w:r>
      <w:r w:rsidR="00F67B70">
        <w:rPr>
          <w:rFonts w:ascii="Times New Roman" w:hAnsi="Times New Roman" w:cs="Times New Roman"/>
        </w:rPr>
        <w:t xml:space="preserve">. </w:t>
      </w:r>
      <w:r w:rsidR="00DD3541">
        <w:rPr>
          <w:rFonts w:ascii="Times New Roman" w:hAnsi="Times New Roman" w:cs="Times New Roman"/>
        </w:rPr>
        <w:t xml:space="preserve">As Kitwood (1997) argues, recognising that a person has dementia means recognising that they will have declining cognitive functions, which is not problematic or negative discrimination </w:t>
      </w:r>
      <w:r w:rsidR="00DD3541">
        <w:rPr>
          <w:rFonts w:ascii="Times New Roman" w:hAnsi="Times New Roman" w:cs="Times New Roman"/>
          <w:i/>
        </w:rPr>
        <w:t xml:space="preserve">per se. </w:t>
      </w:r>
      <w:r w:rsidR="00F67B70">
        <w:rPr>
          <w:rFonts w:ascii="Times New Roman" w:hAnsi="Times New Roman" w:cs="Times New Roman"/>
        </w:rPr>
        <w:t xml:space="preserve">But </w:t>
      </w:r>
      <w:r w:rsidR="00F67B70" w:rsidRPr="00F67B70">
        <w:rPr>
          <w:rFonts w:ascii="Times New Roman" w:hAnsi="Times New Roman" w:cs="Times New Roman"/>
          <w:i/>
        </w:rPr>
        <w:t>h</w:t>
      </w:r>
      <w:r w:rsidR="00F67B70">
        <w:rPr>
          <w:rFonts w:ascii="Times New Roman" w:hAnsi="Times New Roman" w:cs="Times New Roman"/>
          <w:i/>
        </w:rPr>
        <w:t xml:space="preserve">ow </w:t>
      </w:r>
      <w:r w:rsidR="00F67B70">
        <w:rPr>
          <w:rFonts w:ascii="Times New Roman" w:hAnsi="Times New Roman" w:cs="Times New Roman"/>
        </w:rPr>
        <w:t xml:space="preserve">the information about their impairment is used </w:t>
      </w:r>
      <w:r w:rsidR="00F67B70">
        <w:rPr>
          <w:rFonts w:ascii="Times New Roman" w:hAnsi="Times New Roman" w:cs="Times New Roman"/>
          <w:i/>
        </w:rPr>
        <w:t>sometimes</w:t>
      </w:r>
      <w:r w:rsidR="00F67B70">
        <w:rPr>
          <w:rFonts w:ascii="Times New Roman" w:hAnsi="Times New Roman" w:cs="Times New Roman"/>
        </w:rPr>
        <w:t xml:space="preserve"> makes it negative discrimination.</w:t>
      </w:r>
      <w:r>
        <w:rPr>
          <w:rFonts w:ascii="Times New Roman" w:hAnsi="Times New Roman" w:cs="Times New Roman"/>
        </w:rPr>
        <w:t xml:space="preserve"> </w:t>
      </w:r>
      <w:r w:rsidR="001B050A">
        <w:rPr>
          <w:rFonts w:ascii="Times New Roman" w:hAnsi="Times New Roman" w:cs="Times New Roman"/>
        </w:rPr>
        <w:t>In turn, t</w:t>
      </w:r>
      <w:r w:rsidR="00B87B61">
        <w:rPr>
          <w:rFonts w:ascii="Times New Roman" w:hAnsi="Times New Roman" w:cs="Times New Roman"/>
        </w:rPr>
        <w:t xml:space="preserve">he paper </w:t>
      </w:r>
      <w:r w:rsidR="001B050A">
        <w:rPr>
          <w:rFonts w:ascii="Times New Roman" w:hAnsi="Times New Roman" w:cs="Times New Roman"/>
        </w:rPr>
        <w:t>argues that</w:t>
      </w:r>
      <w:r w:rsidR="00B87B61">
        <w:rPr>
          <w:rFonts w:ascii="Times New Roman" w:hAnsi="Times New Roman" w:cs="Times New Roman"/>
        </w:rPr>
        <w:t xml:space="preserve"> it is these more crucial questions that debate around the UNCRPD should </w:t>
      </w:r>
      <w:r w:rsidR="001B050A">
        <w:rPr>
          <w:rFonts w:ascii="Times New Roman" w:hAnsi="Times New Roman" w:cs="Times New Roman"/>
        </w:rPr>
        <w:t xml:space="preserve">now </w:t>
      </w:r>
      <w:r w:rsidR="00B87B61">
        <w:rPr>
          <w:rFonts w:ascii="Times New Roman" w:hAnsi="Times New Roman" w:cs="Times New Roman"/>
        </w:rPr>
        <w:t>be confronting.</w:t>
      </w:r>
    </w:p>
    <w:p w14:paraId="740A172B" w14:textId="77777777" w:rsidR="00196247" w:rsidRDefault="00196247" w:rsidP="003B4FDE">
      <w:pPr>
        <w:spacing w:line="360" w:lineRule="auto"/>
        <w:jc w:val="both"/>
        <w:rPr>
          <w:rFonts w:ascii="Times New Roman" w:hAnsi="Times New Roman" w:cs="Times New Roman"/>
        </w:rPr>
      </w:pPr>
    </w:p>
    <w:p w14:paraId="00D6DD38" w14:textId="68CDEF4C" w:rsidR="009D65C2" w:rsidRDefault="00DD48B9" w:rsidP="003B4FDE">
      <w:pPr>
        <w:spacing w:line="360" w:lineRule="auto"/>
        <w:jc w:val="both"/>
        <w:rPr>
          <w:rFonts w:ascii="Times New Roman" w:hAnsi="Times New Roman" w:cs="Times New Roman"/>
          <w:b/>
        </w:rPr>
      </w:pPr>
      <w:r>
        <w:rPr>
          <w:rFonts w:ascii="Times New Roman" w:hAnsi="Times New Roman" w:cs="Times New Roman"/>
          <w:b/>
        </w:rPr>
        <w:t>2. Support</w:t>
      </w:r>
    </w:p>
    <w:p w14:paraId="641A3531" w14:textId="43C035CF" w:rsidR="00DE7B4C" w:rsidRDefault="00DE7B4C" w:rsidP="002D749F">
      <w:pPr>
        <w:spacing w:line="360" w:lineRule="auto"/>
        <w:jc w:val="both"/>
        <w:rPr>
          <w:rFonts w:ascii="Times New Roman" w:hAnsi="Times New Roman" w:cs="Times New Roman"/>
          <w:lang w:val="en-US"/>
        </w:rPr>
      </w:pPr>
      <w:r>
        <w:rPr>
          <w:rFonts w:ascii="Times New Roman" w:hAnsi="Times New Roman" w:cs="Times New Roman"/>
        </w:rPr>
        <w:t>In</w:t>
      </w:r>
      <w:r w:rsidR="009D65C2">
        <w:rPr>
          <w:rFonts w:ascii="Times New Roman" w:hAnsi="Times New Roman" w:cs="Times New Roman"/>
        </w:rPr>
        <w:t xml:space="preserve"> ord</w:t>
      </w:r>
      <w:r w:rsidR="00416800">
        <w:rPr>
          <w:rFonts w:ascii="Times New Roman" w:hAnsi="Times New Roman" w:cs="Times New Roman"/>
        </w:rPr>
        <w:t>er to be able to analyse the</w:t>
      </w:r>
      <w:r w:rsidR="009D65C2">
        <w:rPr>
          <w:rFonts w:ascii="Times New Roman" w:hAnsi="Times New Roman" w:cs="Times New Roman"/>
        </w:rPr>
        <w:t xml:space="preserve"> issues </w:t>
      </w:r>
      <w:r w:rsidR="00196247">
        <w:rPr>
          <w:rFonts w:ascii="Times New Roman" w:hAnsi="Times New Roman" w:cs="Times New Roman"/>
        </w:rPr>
        <w:t xml:space="preserve">outlined </w:t>
      </w:r>
      <w:r w:rsidR="009D65C2">
        <w:rPr>
          <w:rFonts w:ascii="Times New Roman" w:hAnsi="Times New Roman" w:cs="Times New Roman"/>
        </w:rPr>
        <w:t>in this paper, it is important</w:t>
      </w:r>
      <w:r>
        <w:rPr>
          <w:rFonts w:ascii="Times New Roman" w:hAnsi="Times New Roman" w:cs="Times New Roman"/>
        </w:rPr>
        <w:t xml:space="preserve"> to try and identify three things: </w:t>
      </w:r>
      <w:r w:rsidR="009D65C2">
        <w:rPr>
          <w:rFonts w:ascii="Times New Roman" w:hAnsi="Times New Roman" w:cs="Times New Roman"/>
        </w:rPr>
        <w:t>what Article 12</w:t>
      </w:r>
      <w:r>
        <w:rPr>
          <w:rFonts w:ascii="Times New Roman" w:hAnsi="Times New Roman" w:cs="Times New Roman"/>
        </w:rPr>
        <w:t xml:space="preserve"> states, </w:t>
      </w:r>
      <w:r w:rsidR="009D65C2">
        <w:rPr>
          <w:rFonts w:ascii="Times New Roman" w:hAnsi="Times New Roman" w:cs="Times New Roman"/>
        </w:rPr>
        <w:t>what GC1 claims Article 12 requires</w:t>
      </w:r>
      <w:r>
        <w:rPr>
          <w:rFonts w:ascii="Times New Roman" w:hAnsi="Times New Roman" w:cs="Times New Roman"/>
        </w:rPr>
        <w:t>,</w:t>
      </w:r>
      <w:r w:rsidR="002D749F">
        <w:rPr>
          <w:rFonts w:ascii="Times New Roman" w:hAnsi="Times New Roman" w:cs="Times New Roman"/>
        </w:rPr>
        <w:t xml:space="preserve"> and what subsequent debate has claimed that both Article 12 and GC1 demand</w:t>
      </w:r>
      <w:r w:rsidR="00123FF6">
        <w:rPr>
          <w:rFonts w:ascii="Times New Roman" w:hAnsi="Times New Roman" w:cs="Times New Roman"/>
        </w:rPr>
        <w:t>.</w:t>
      </w:r>
      <w:r w:rsidR="00DB043C">
        <w:rPr>
          <w:rStyle w:val="FootnoteReference"/>
          <w:rFonts w:ascii="Times New Roman" w:hAnsi="Times New Roman" w:cs="Times New Roman"/>
        </w:rPr>
        <w:footnoteReference w:id="8"/>
      </w:r>
      <w:r w:rsidR="00123FF6">
        <w:rPr>
          <w:rFonts w:ascii="Times New Roman" w:hAnsi="Times New Roman" w:cs="Times New Roman"/>
        </w:rPr>
        <w:t xml:space="preserve"> </w:t>
      </w:r>
      <w:r w:rsidR="00196247">
        <w:rPr>
          <w:rFonts w:ascii="Times New Roman" w:hAnsi="Times New Roman" w:cs="Times New Roman"/>
        </w:rPr>
        <w:t xml:space="preserve">First and foremost, </w:t>
      </w:r>
      <w:r w:rsidR="00123FF6">
        <w:rPr>
          <w:rFonts w:ascii="Times New Roman" w:hAnsi="Times New Roman" w:cs="Times New Roman"/>
        </w:rPr>
        <w:t>Article 12 requires</w:t>
      </w:r>
      <w:r w:rsidR="009D65C2">
        <w:rPr>
          <w:rFonts w:ascii="Times New Roman" w:hAnsi="Times New Roman" w:cs="Times New Roman"/>
        </w:rPr>
        <w:t xml:space="preserve"> that </w:t>
      </w:r>
      <w:r w:rsidR="002D749F">
        <w:rPr>
          <w:rFonts w:ascii="Times New Roman" w:hAnsi="Times New Roman" w:cs="Times New Roman"/>
        </w:rPr>
        <w:t xml:space="preserve">all persons with disabilities have a right to equal recognition before the law (Art </w:t>
      </w:r>
      <w:r>
        <w:rPr>
          <w:rFonts w:ascii="Times New Roman" w:hAnsi="Times New Roman" w:cs="Times New Roman"/>
        </w:rPr>
        <w:t xml:space="preserve">12(1)), </w:t>
      </w:r>
      <w:r w:rsidR="002D749F">
        <w:rPr>
          <w:rFonts w:ascii="Times New Roman" w:hAnsi="Times New Roman" w:cs="Times New Roman"/>
        </w:rPr>
        <w:t>a right to enjoy legal capacity on an equal basis with all o</w:t>
      </w:r>
      <w:r w:rsidR="00123FF6">
        <w:rPr>
          <w:rFonts w:ascii="Times New Roman" w:hAnsi="Times New Roman" w:cs="Times New Roman"/>
        </w:rPr>
        <w:t>thers (Art 12(2)), and that state parties must</w:t>
      </w:r>
      <w:r w:rsidR="002D749F">
        <w:rPr>
          <w:rFonts w:ascii="Times New Roman" w:hAnsi="Times New Roman" w:cs="Times New Roman"/>
        </w:rPr>
        <w:t xml:space="preserve"> provide the support necessary to exercise that legal capacity (Art 12(3)). Furthermore, Article 12(4) states, </w:t>
      </w:r>
      <w:r w:rsidR="002D749F">
        <w:rPr>
          <w:rFonts w:ascii="Times New Roman" w:hAnsi="Times New Roman" w:cs="Times New Roman"/>
          <w:i/>
        </w:rPr>
        <w:t>inter alia,</w:t>
      </w:r>
      <w:r w:rsidR="002D749F">
        <w:rPr>
          <w:rFonts w:ascii="Times New Roman" w:hAnsi="Times New Roman" w:cs="Times New Roman"/>
        </w:rPr>
        <w:t xml:space="preserve"> that any measures that relate to the exercise of legal capacity </w:t>
      </w:r>
      <w:r w:rsidR="002D749F">
        <w:rPr>
          <w:rFonts w:ascii="Times New Roman" w:hAnsi="Times New Roman" w:cs="Times New Roman"/>
          <w:lang w:val="en-US"/>
        </w:rPr>
        <w:t>must provide</w:t>
      </w:r>
      <w:r w:rsidR="002D749F" w:rsidRPr="002D749F">
        <w:rPr>
          <w:rFonts w:ascii="Times New Roman" w:hAnsi="Times New Roman" w:cs="Times New Roman"/>
          <w:lang w:val="en-US"/>
        </w:rPr>
        <w:t xml:space="preserve"> </w:t>
      </w:r>
    </w:p>
    <w:p w14:paraId="552D48CE" w14:textId="77777777" w:rsidR="00DE7B4C" w:rsidRDefault="002D749F" w:rsidP="00DE7B4C">
      <w:pPr>
        <w:spacing w:line="360" w:lineRule="auto"/>
        <w:ind w:left="720" w:right="740"/>
        <w:jc w:val="both"/>
        <w:rPr>
          <w:rFonts w:ascii="Times New Roman" w:hAnsi="Times New Roman" w:cs="Times New Roman"/>
          <w:lang w:val="en-US"/>
        </w:rPr>
      </w:pPr>
      <w:r w:rsidRPr="002D749F">
        <w:rPr>
          <w:rFonts w:ascii="Times New Roman" w:hAnsi="Times New Roman" w:cs="Times New Roman"/>
          <w:lang w:val="en-US"/>
        </w:rPr>
        <w:t>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w:t>
      </w:r>
      <w:r w:rsidR="0071720A">
        <w:rPr>
          <w:rFonts w:ascii="Times New Roman" w:hAnsi="Times New Roman" w:cs="Times New Roman"/>
          <w:lang w:val="en-US"/>
        </w:rPr>
        <w:t xml:space="preserve"> </w:t>
      </w:r>
    </w:p>
    <w:p w14:paraId="75FDDE8D" w14:textId="77777777" w:rsidR="00DE7B4C" w:rsidRDefault="00DE7B4C" w:rsidP="002D749F">
      <w:pPr>
        <w:spacing w:line="360" w:lineRule="auto"/>
        <w:jc w:val="both"/>
        <w:rPr>
          <w:rFonts w:ascii="Times New Roman" w:hAnsi="Times New Roman" w:cs="Times New Roman"/>
          <w:lang w:val="en-US"/>
        </w:rPr>
      </w:pPr>
    </w:p>
    <w:p w14:paraId="716EC827" w14:textId="77777777" w:rsidR="00B36DED" w:rsidRDefault="0071720A" w:rsidP="00CC1910">
      <w:pPr>
        <w:spacing w:line="360" w:lineRule="auto"/>
        <w:jc w:val="both"/>
        <w:rPr>
          <w:rFonts w:ascii="Times New Roman" w:hAnsi="Times New Roman" w:cs="Times New Roman"/>
          <w:lang w:val="en-US"/>
        </w:rPr>
      </w:pPr>
      <w:r>
        <w:rPr>
          <w:rFonts w:ascii="Times New Roman" w:hAnsi="Times New Roman" w:cs="Times New Roman"/>
          <w:lang w:val="en-US"/>
        </w:rPr>
        <w:t xml:space="preserve">On the face of it, </w:t>
      </w:r>
      <w:r w:rsidR="002A58D5">
        <w:rPr>
          <w:rFonts w:ascii="Times New Roman" w:hAnsi="Times New Roman" w:cs="Times New Roman"/>
          <w:lang w:val="en-US"/>
        </w:rPr>
        <w:t xml:space="preserve">then, </w:t>
      </w:r>
      <w:r>
        <w:rPr>
          <w:rFonts w:ascii="Times New Roman" w:hAnsi="Times New Roman" w:cs="Times New Roman"/>
          <w:lang w:val="en-US"/>
        </w:rPr>
        <w:t xml:space="preserve">Article 12 is not </w:t>
      </w:r>
      <w:r w:rsidR="00D03D6B">
        <w:rPr>
          <w:rFonts w:ascii="Times New Roman" w:hAnsi="Times New Roman" w:cs="Times New Roman"/>
          <w:lang w:val="en-US"/>
        </w:rPr>
        <w:t>necessarily</w:t>
      </w:r>
      <w:r w:rsidR="00DE7B4C">
        <w:rPr>
          <w:rFonts w:ascii="Times New Roman" w:hAnsi="Times New Roman" w:cs="Times New Roman"/>
          <w:lang w:val="en-US"/>
        </w:rPr>
        <w:t xml:space="preserve"> </w:t>
      </w:r>
      <w:r>
        <w:rPr>
          <w:rFonts w:ascii="Times New Roman" w:hAnsi="Times New Roman" w:cs="Times New Roman"/>
          <w:lang w:val="en-US"/>
        </w:rPr>
        <w:t>about ‘</w:t>
      </w:r>
      <w:r w:rsidR="00196247">
        <w:rPr>
          <w:rFonts w:ascii="Times New Roman" w:hAnsi="Times New Roman" w:cs="Times New Roman"/>
          <w:lang w:val="en-US"/>
        </w:rPr>
        <w:t>making decisions’; i</w:t>
      </w:r>
      <w:r>
        <w:rPr>
          <w:rFonts w:ascii="Times New Roman" w:hAnsi="Times New Roman" w:cs="Times New Roman"/>
          <w:lang w:val="en-US"/>
        </w:rPr>
        <w:t>t is about legal capacity</w:t>
      </w:r>
      <w:r w:rsidR="00DF11E6">
        <w:rPr>
          <w:rFonts w:ascii="Times New Roman" w:hAnsi="Times New Roman" w:cs="Times New Roman"/>
          <w:lang w:val="en-US"/>
        </w:rPr>
        <w:t xml:space="preserve"> and e</w:t>
      </w:r>
      <w:r w:rsidR="00DE7B4C">
        <w:rPr>
          <w:rFonts w:ascii="Times New Roman" w:hAnsi="Times New Roman" w:cs="Times New Roman"/>
          <w:lang w:val="en-US"/>
        </w:rPr>
        <w:t>qual recogn</w:t>
      </w:r>
      <w:r w:rsidR="00196247">
        <w:rPr>
          <w:rFonts w:ascii="Times New Roman" w:hAnsi="Times New Roman" w:cs="Times New Roman"/>
          <w:lang w:val="en-US"/>
        </w:rPr>
        <w:t>ition before the law.</w:t>
      </w:r>
      <w:r w:rsidR="00196247">
        <w:rPr>
          <w:rStyle w:val="FootnoteReference"/>
          <w:rFonts w:ascii="Times New Roman" w:hAnsi="Times New Roman" w:cs="Times New Roman"/>
          <w:lang w:val="en-US"/>
        </w:rPr>
        <w:footnoteReference w:id="9"/>
      </w:r>
      <w:r w:rsidR="00DF11E6">
        <w:rPr>
          <w:rFonts w:ascii="Times New Roman" w:hAnsi="Times New Roman" w:cs="Times New Roman"/>
          <w:lang w:val="en-US"/>
        </w:rPr>
        <w:t xml:space="preserve"> </w:t>
      </w:r>
      <w:r w:rsidR="00196247">
        <w:rPr>
          <w:rFonts w:ascii="Times New Roman" w:hAnsi="Times New Roman" w:cs="Times New Roman"/>
          <w:lang w:val="en-US"/>
        </w:rPr>
        <w:t xml:space="preserve">GC1 states that legal capacity </w:t>
      </w:r>
    </w:p>
    <w:p w14:paraId="4B1FF6DE" w14:textId="2BCA57DA" w:rsidR="00B36DED" w:rsidRDefault="00196247" w:rsidP="00B36DED">
      <w:pPr>
        <w:spacing w:line="360" w:lineRule="auto"/>
        <w:ind w:left="720" w:right="740"/>
        <w:jc w:val="both"/>
        <w:rPr>
          <w:rFonts w:ascii="Times New Roman" w:hAnsi="Times New Roman" w:cs="Times New Roman"/>
          <w:lang w:val="en-US"/>
        </w:rPr>
      </w:pPr>
      <w:r w:rsidRPr="00196247">
        <w:rPr>
          <w:rFonts w:ascii="Times New Roman" w:hAnsi="Times New Roman" w:cs="Times New Roman"/>
          <w:lang w:val="en-US"/>
        </w:rPr>
        <w:t>includes the capacity to be both a holder of rights and an actor under the law. Legal capacity to be a holder of rights entitles a person to full protection of his or her rights by the legal system. Legal capacity to act under the law recognizes that person as an agent with the power to engage in transactions and create, modify or end legal relationships</w:t>
      </w:r>
      <w:r>
        <w:rPr>
          <w:rFonts w:ascii="Times New Roman" w:hAnsi="Times New Roman" w:cs="Times New Roman"/>
          <w:lang w:val="en-US"/>
        </w:rPr>
        <w:t xml:space="preserve"> (para.12) </w:t>
      </w:r>
    </w:p>
    <w:p w14:paraId="34BE4A6E" w14:textId="389FBFCA" w:rsidR="00DC7415" w:rsidRDefault="002667B6" w:rsidP="00CC1910">
      <w:pPr>
        <w:spacing w:line="360" w:lineRule="auto"/>
        <w:jc w:val="both"/>
        <w:rPr>
          <w:rFonts w:ascii="Times New Roman" w:hAnsi="Times New Roman" w:cs="Times New Roman"/>
          <w:lang w:val="en-US"/>
        </w:rPr>
      </w:pPr>
      <w:r>
        <w:rPr>
          <w:rFonts w:ascii="Times New Roman" w:hAnsi="Times New Roman" w:cs="Times New Roman"/>
          <w:lang w:val="en-US"/>
        </w:rPr>
        <w:t>F</w:t>
      </w:r>
      <w:r w:rsidR="00196247">
        <w:rPr>
          <w:rFonts w:ascii="Times New Roman" w:hAnsi="Times New Roman" w:cs="Times New Roman"/>
          <w:lang w:val="en-US"/>
        </w:rPr>
        <w:t xml:space="preserve">or this, it states that ‘legal personhood’ is a prerequisite (para.11). So neither Article 12 itself, nor the interpretation of legal capacity proffered in GC1, suggests that legal capacity is solely about making decisions. </w:t>
      </w:r>
      <w:r w:rsidR="0087080C">
        <w:rPr>
          <w:rFonts w:ascii="Times New Roman" w:hAnsi="Times New Roman" w:cs="Times New Roman"/>
          <w:lang w:val="en-US"/>
        </w:rPr>
        <w:t xml:space="preserve">Arstein-Kerslake’s </w:t>
      </w:r>
      <w:r w:rsidR="00D03D6B">
        <w:rPr>
          <w:rFonts w:ascii="Times New Roman" w:hAnsi="Times New Roman" w:cs="Times New Roman"/>
          <w:lang w:val="en-US"/>
        </w:rPr>
        <w:t>interpretation acknowledge</w:t>
      </w:r>
      <w:r w:rsidR="0071134D">
        <w:rPr>
          <w:rFonts w:ascii="Times New Roman" w:hAnsi="Times New Roman" w:cs="Times New Roman"/>
          <w:lang w:val="en-US"/>
        </w:rPr>
        <w:t>s</w:t>
      </w:r>
      <w:r w:rsidR="00D03D6B">
        <w:rPr>
          <w:rFonts w:ascii="Times New Roman" w:hAnsi="Times New Roman" w:cs="Times New Roman"/>
          <w:lang w:val="en-US"/>
        </w:rPr>
        <w:t xml:space="preserve"> this: ‘</w:t>
      </w:r>
      <w:r w:rsidR="00D03D6B" w:rsidRPr="00CC1910">
        <w:rPr>
          <w:rFonts w:ascii="Times New Roman" w:hAnsi="Times New Roman" w:cs="Times New Roman"/>
          <w:lang w:val="en-US"/>
        </w:rPr>
        <w:t>some people, due to impairment, environmental causes or other</w:t>
      </w:r>
      <w:r w:rsidR="00D03D6B">
        <w:rPr>
          <w:rFonts w:ascii="Times New Roman" w:hAnsi="Times New Roman" w:cs="Times New Roman"/>
          <w:lang w:val="en-US"/>
        </w:rPr>
        <w:t xml:space="preserve"> </w:t>
      </w:r>
      <w:r w:rsidR="00D03D6B" w:rsidRPr="00CC1910">
        <w:rPr>
          <w:rFonts w:ascii="Times New Roman" w:hAnsi="Times New Roman" w:cs="Times New Roman"/>
          <w:lang w:val="en-US"/>
        </w:rPr>
        <w:t xml:space="preserve">factors, require </w:t>
      </w:r>
      <w:r w:rsidR="00D03D6B" w:rsidRPr="00CC1910">
        <w:rPr>
          <w:rFonts w:ascii="Times New Roman" w:hAnsi="Times New Roman" w:cs="Times New Roman"/>
          <w:i/>
          <w:lang w:val="en-US"/>
        </w:rPr>
        <w:t>support for decision-making</w:t>
      </w:r>
      <w:r w:rsidR="00D03D6B" w:rsidRPr="00CC1910">
        <w:rPr>
          <w:rFonts w:ascii="Times New Roman" w:hAnsi="Times New Roman" w:cs="Times New Roman"/>
          <w:lang w:val="en-US"/>
        </w:rPr>
        <w:t xml:space="preserve"> in the </w:t>
      </w:r>
      <w:r w:rsidR="00D03D6B" w:rsidRPr="00CC1910">
        <w:rPr>
          <w:rFonts w:ascii="Times New Roman" w:hAnsi="Times New Roman" w:cs="Times New Roman"/>
          <w:i/>
          <w:lang w:val="en-US"/>
        </w:rPr>
        <w:t>exercise of legal capacity</w:t>
      </w:r>
      <w:r w:rsidR="00D03D6B">
        <w:rPr>
          <w:rFonts w:ascii="Times New Roman" w:hAnsi="Times New Roman" w:cs="Times New Roman"/>
          <w:lang w:val="en-US"/>
        </w:rPr>
        <w:t>’ (</w:t>
      </w:r>
      <w:r>
        <w:rPr>
          <w:rFonts w:ascii="Times New Roman" w:hAnsi="Times New Roman" w:cs="Times New Roman"/>
          <w:lang w:val="en-US"/>
        </w:rPr>
        <w:t xml:space="preserve">Arstein-Kerslake, 2016, 78, </w:t>
      </w:r>
      <w:r w:rsidR="00D03D6B">
        <w:rPr>
          <w:rFonts w:ascii="Times New Roman" w:hAnsi="Times New Roman" w:cs="Times New Roman"/>
          <w:lang w:val="en-US"/>
        </w:rPr>
        <w:t xml:space="preserve">emphasis added). In this analysis, legal capacity is clearly distinct from decision-making, because in order to exercise legal capacity, an individual might require support with making decisions. </w:t>
      </w:r>
      <w:r w:rsidR="00DF11E6">
        <w:rPr>
          <w:rFonts w:ascii="Times New Roman" w:hAnsi="Times New Roman" w:cs="Times New Roman"/>
          <w:lang w:val="en-US"/>
        </w:rPr>
        <w:t>Making</w:t>
      </w:r>
      <w:r w:rsidR="00B36DED">
        <w:rPr>
          <w:rFonts w:ascii="Times New Roman" w:hAnsi="Times New Roman" w:cs="Times New Roman"/>
          <w:lang w:val="en-US"/>
        </w:rPr>
        <w:t xml:space="preserve"> and executing</w:t>
      </w:r>
      <w:r w:rsidR="00DF11E6">
        <w:rPr>
          <w:rFonts w:ascii="Times New Roman" w:hAnsi="Times New Roman" w:cs="Times New Roman"/>
          <w:lang w:val="en-US"/>
        </w:rPr>
        <w:t xml:space="preserve"> </w:t>
      </w:r>
      <w:r w:rsidR="00DF11E6">
        <w:rPr>
          <w:rFonts w:ascii="Times New Roman" w:hAnsi="Times New Roman" w:cs="Times New Roman"/>
          <w:i/>
          <w:lang w:val="en-US"/>
        </w:rPr>
        <w:t xml:space="preserve">certain </w:t>
      </w:r>
      <w:r w:rsidR="00B7489C">
        <w:rPr>
          <w:rFonts w:ascii="Times New Roman" w:hAnsi="Times New Roman" w:cs="Times New Roman"/>
          <w:lang w:val="en-US"/>
        </w:rPr>
        <w:t xml:space="preserve">decisions – such </w:t>
      </w:r>
      <w:r w:rsidR="00DE7B4C">
        <w:rPr>
          <w:rFonts w:ascii="Times New Roman" w:hAnsi="Times New Roman" w:cs="Times New Roman"/>
          <w:lang w:val="en-US"/>
        </w:rPr>
        <w:t>as deciding to marry,</w:t>
      </w:r>
      <w:r w:rsidR="00DF11E6">
        <w:rPr>
          <w:rFonts w:ascii="Times New Roman" w:hAnsi="Times New Roman" w:cs="Times New Roman"/>
          <w:lang w:val="en-US"/>
        </w:rPr>
        <w:t xml:space="preserve"> </w:t>
      </w:r>
      <w:r w:rsidR="00DE7B4C">
        <w:rPr>
          <w:rFonts w:ascii="Times New Roman" w:hAnsi="Times New Roman" w:cs="Times New Roman"/>
          <w:lang w:val="en-US"/>
        </w:rPr>
        <w:t xml:space="preserve">deciding to divorce, </w:t>
      </w:r>
      <w:r w:rsidR="00DF11E6">
        <w:rPr>
          <w:rFonts w:ascii="Times New Roman" w:hAnsi="Times New Roman" w:cs="Times New Roman"/>
          <w:lang w:val="en-US"/>
        </w:rPr>
        <w:t>sign</w:t>
      </w:r>
      <w:r w:rsidR="00DE7B4C">
        <w:rPr>
          <w:rFonts w:ascii="Times New Roman" w:hAnsi="Times New Roman" w:cs="Times New Roman"/>
          <w:lang w:val="en-US"/>
        </w:rPr>
        <w:t xml:space="preserve">ing a housing contract, for example </w:t>
      </w:r>
      <w:r w:rsidR="00DF11E6">
        <w:rPr>
          <w:rFonts w:ascii="Times New Roman" w:hAnsi="Times New Roman" w:cs="Times New Roman"/>
          <w:lang w:val="en-US"/>
        </w:rPr>
        <w:t xml:space="preserve">– is, of course, one core feature </w:t>
      </w:r>
      <w:r w:rsidR="00416800">
        <w:rPr>
          <w:rFonts w:ascii="Times New Roman" w:hAnsi="Times New Roman" w:cs="Times New Roman"/>
          <w:lang w:val="en-US"/>
        </w:rPr>
        <w:t xml:space="preserve">or example </w:t>
      </w:r>
      <w:r w:rsidR="00DF11E6">
        <w:rPr>
          <w:rFonts w:ascii="Times New Roman" w:hAnsi="Times New Roman" w:cs="Times New Roman"/>
          <w:lang w:val="en-US"/>
        </w:rPr>
        <w:t>of exercising legal capacity.</w:t>
      </w:r>
      <w:r w:rsidR="00196247">
        <w:rPr>
          <w:rFonts w:ascii="Times New Roman" w:hAnsi="Times New Roman" w:cs="Times New Roman"/>
          <w:lang w:val="en-US"/>
        </w:rPr>
        <w:t xml:space="preserve"> But l</w:t>
      </w:r>
      <w:r w:rsidR="00DE7B4C">
        <w:rPr>
          <w:rFonts w:ascii="Times New Roman" w:hAnsi="Times New Roman" w:cs="Times New Roman"/>
          <w:lang w:val="en-US"/>
        </w:rPr>
        <w:t xml:space="preserve">ikewise, some decisions – such as deciding what to wear, what to eat for dinner, or whether to </w:t>
      </w:r>
      <w:r w:rsidR="00D03D6B">
        <w:rPr>
          <w:rFonts w:ascii="Times New Roman" w:hAnsi="Times New Roman" w:cs="Times New Roman"/>
          <w:lang w:val="en-US"/>
        </w:rPr>
        <w:t>walk the dog</w:t>
      </w:r>
      <w:r w:rsidR="00B7489C">
        <w:rPr>
          <w:rFonts w:ascii="Times New Roman" w:hAnsi="Times New Roman" w:cs="Times New Roman"/>
          <w:lang w:val="en-US"/>
        </w:rPr>
        <w:t xml:space="preserve"> – </w:t>
      </w:r>
      <w:r w:rsidR="00DE7B4C">
        <w:rPr>
          <w:rFonts w:ascii="Times New Roman" w:hAnsi="Times New Roman" w:cs="Times New Roman"/>
          <w:lang w:val="en-US"/>
        </w:rPr>
        <w:t xml:space="preserve">do not, on the face of it, demonstrate any exercise of </w:t>
      </w:r>
      <w:r w:rsidR="00DE7B4C" w:rsidRPr="00164700">
        <w:rPr>
          <w:rFonts w:ascii="Times New Roman" w:hAnsi="Times New Roman" w:cs="Times New Roman"/>
          <w:i/>
          <w:lang w:val="en-US"/>
        </w:rPr>
        <w:t>legal</w:t>
      </w:r>
      <w:r w:rsidR="00DE7B4C">
        <w:rPr>
          <w:rFonts w:ascii="Times New Roman" w:hAnsi="Times New Roman" w:cs="Times New Roman"/>
          <w:lang w:val="en-US"/>
        </w:rPr>
        <w:t xml:space="preserve"> capacity.</w:t>
      </w:r>
      <w:r w:rsidR="00DF11E6">
        <w:rPr>
          <w:rFonts w:ascii="Times New Roman" w:hAnsi="Times New Roman" w:cs="Times New Roman"/>
          <w:lang w:val="en-US"/>
        </w:rPr>
        <w:t xml:space="preserve"> </w:t>
      </w:r>
      <w:r w:rsidR="00DE7B4C">
        <w:rPr>
          <w:rFonts w:ascii="Times New Roman" w:hAnsi="Times New Roman" w:cs="Times New Roman"/>
          <w:lang w:val="en-US"/>
        </w:rPr>
        <w:t>So</w:t>
      </w:r>
      <w:r w:rsidR="00DF11E6">
        <w:rPr>
          <w:rFonts w:ascii="Times New Roman" w:hAnsi="Times New Roman" w:cs="Times New Roman"/>
          <w:lang w:val="en-US"/>
        </w:rPr>
        <w:t xml:space="preserve"> Article 12</w:t>
      </w:r>
      <w:r w:rsidR="00DE7B4C">
        <w:rPr>
          <w:rFonts w:ascii="Times New Roman" w:hAnsi="Times New Roman" w:cs="Times New Roman"/>
          <w:lang w:val="en-US"/>
        </w:rPr>
        <w:t xml:space="preserve"> in</w:t>
      </w:r>
      <w:r w:rsidR="00DF11E6">
        <w:rPr>
          <w:rFonts w:ascii="Times New Roman" w:hAnsi="Times New Roman" w:cs="Times New Roman"/>
          <w:lang w:val="en-US"/>
        </w:rPr>
        <w:t xml:space="preserve"> itself, is </w:t>
      </w:r>
      <w:r w:rsidR="00DF11E6" w:rsidRPr="00196247">
        <w:rPr>
          <w:rFonts w:ascii="Times New Roman" w:hAnsi="Times New Roman" w:cs="Times New Roman"/>
          <w:lang w:val="en-US"/>
        </w:rPr>
        <w:t xml:space="preserve">not </w:t>
      </w:r>
      <w:r w:rsidR="00416800">
        <w:rPr>
          <w:rFonts w:ascii="Times New Roman" w:hAnsi="Times New Roman" w:cs="Times New Roman"/>
          <w:lang w:val="en-US"/>
        </w:rPr>
        <w:t xml:space="preserve">necessarily </w:t>
      </w:r>
      <w:r w:rsidR="00DF11E6">
        <w:rPr>
          <w:rFonts w:ascii="Times New Roman" w:hAnsi="Times New Roman" w:cs="Times New Roman"/>
          <w:lang w:val="en-US"/>
        </w:rPr>
        <w:t xml:space="preserve">about </w:t>
      </w:r>
      <w:r w:rsidR="00DE7B4C">
        <w:rPr>
          <w:rFonts w:ascii="Times New Roman" w:hAnsi="Times New Roman" w:cs="Times New Roman"/>
          <w:lang w:val="en-US"/>
        </w:rPr>
        <w:t>making decisions</w:t>
      </w:r>
      <w:r w:rsidR="00196247">
        <w:rPr>
          <w:rFonts w:ascii="Times New Roman" w:hAnsi="Times New Roman" w:cs="Times New Roman"/>
          <w:lang w:val="en-US"/>
        </w:rPr>
        <w:t xml:space="preserve"> generally, but it is about making </w:t>
      </w:r>
      <w:r w:rsidR="00196247">
        <w:rPr>
          <w:rFonts w:ascii="Times New Roman" w:hAnsi="Times New Roman" w:cs="Times New Roman"/>
          <w:i/>
          <w:lang w:val="en-US"/>
        </w:rPr>
        <w:t>some</w:t>
      </w:r>
      <w:r w:rsidR="00196247">
        <w:rPr>
          <w:rFonts w:ascii="Times New Roman" w:hAnsi="Times New Roman" w:cs="Times New Roman"/>
          <w:lang w:val="en-US"/>
        </w:rPr>
        <w:t xml:space="preserve"> decisions</w:t>
      </w:r>
      <w:r w:rsidR="00BB6BA5">
        <w:rPr>
          <w:rFonts w:ascii="Times New Roman" w:hAnsi="Times New Roman" w:cs="Times New Roman"/>
          <w:lang w:val="en-US"/>
        </w:rPr>
        <w:t>, and ensuring those decisions are legally respected</w:t>
      </w:r>
      <w:r w:rsidR="00DE7B4C">
        <w:rPr>
          <w:rFonts w:ascii="Times New Roman" w:hAnsi="Times New Roman" w:cs="Times New Roman"/>
          <w:lang w:val="en-US"/>
        </w:rPr>
        <w:t>.</w:t>
      </w:r>
      <w:r w:rsidR="002706FD">
        <w:rPr>
          <w:rStyle w:val="FootnoteReference"/>
          <w:rFonts w:ascii="Times New Roman" w:hAnsi="Times New Roman" w:cs="Times New Roman"/>
          <w:lang w:val="en-US"/>
        </w:rPr>
        <w:footnoteReference w:id="10"/>
      </w:r>
      <w:r w:rsidR="00CC1910">
        <w:rPr>
          <w:rFonts w:ascii="Times New Roman" w:hAnsi="Times New Roman" w:cs="Times New Roman"/>
          <w:lang w:val="en-US"/>
        </w:rPr>
        <w:t xml:space="preserve"> </w:t>
      </w:r>
      <w:r w:rsidR="00553C68">
        <w:rPr>
          <w:rFonts w:ascii="Times New Roman" w:hAnsi="Times New Roman" w:cs="Times New Roman"/>
          <w:lang w:val="en-US"/>
        </w:rPr>
        <w:t>Even less</w:t>
      </w:r>
      <w:r w:rsidR="0020072E">
        <w:rPr>
          <w:rFonts w:ascii="Times New Roman" w:hAnsi="Times New Roman" w:cs="Times New Roman"/>
          <w:lang w:val="en-US"/>
        </w:rPr>
        <w:t xml:space="preserve"> is</w:t>
      </w:r>
      <w:r w:rsidR="00CC1910">
        <w:rPr>
          <w:rFonts w:ascii="Times New Roman" w:hAnsi="Times New Roman" w:cs="Times New Roman"/>
          <w:lang w:val="en-US"/>
        </w:rPr>
        <w:t xml:space="preserve"> Article 12</w:t>
      </w:r>
      <w:r w:rsidR="0020072E">
        <w:rPr>
          <w:rFonts w:ascii="Times New Roman" w:hAnsi="Times New Roman" w:cs="Times New Roman"/>
          <w:lang w:val="en-US"/>
        </w:rPr>
        <w:t xml:space="preserve"> about supported decision-</w:t>
      </w:r>
      <w:r w:rsidR="00DE7B4C">
        <w:rPr>
          <w:rFonts w:ascii="Times New Roman" w:hAnsi="Times New Roman" w:cs="Times New Roman"/>
          <w:lang w:val="en-US"/>
        </w:rPr>
        <w:t>making, which does not appear in the wording of Article 12 at all.</w:t>
      </w:r>
      <w:r w:rsidR="00F23D15">
        <w:rPr>
          <w:rFonts w:ascii="Times New Roman" w:hAnsi="Times New Roman" w:cs="Times New Roman"/>
          <w:lang w:val="en-US"/>
        </w:rPr>
        <w:t xml:space="preserve"> All Article 12(3) requires is support to exercise legal capacity, which, if the foregoing argument is correct, doe</w:t>
      </w:r>
      <w:r w:rsidR="00DC7415">
        <w:rPr>
          <w:rFonts w:ascii="Times New Roman" w:hAnsi="Times New Roman" w:cs="Times New Roman"/>
          <w:lang w:val="en-US"/>
        </w:rPr>
        <w:t xml:space="preserve">s not </w:t>
      </w:r>
      <w:r w:rsidR="003163EC">
        <w:rPr>
          <w:rFonts w:ascii="Times New Roman" w:hAnsi="Times New Roman" w:cs="Times New Roman"/>
          <w:lang w:val="en-US"/>
        </w:rPr>
        <w:t xml:space="preserve">necessarily </w:t>
      </w:r>
      <w:r w:rsidR="00DC7415">
        <w:rPr>
          <w:rFonts w:ascii="Times New Roman" w:hAnsi="Times New Roman" w:cs="Times New Roman"/>
          <w:lang w:val="en-US"/>
        </w:rPr>
        <w:t xml:space="preserve">equate to support to make decisions, least of all support to make </w:t>
      </w:r>
      <w:r w:rsidR="00DC7415">
        <w:rPr>
          <w:rFonts w:ascii="Times New Roman" w:hAnsi="Times New Roman" w:cs="Times New Roman"/>
          <w:i/>
          <w:lang w:val="en-US"/>
        </w:rPr>
        <w:t xml:space="preserve">all </w:t>
      </w:r>
      <w:r w:rsidR="00F23D15">
        <w:rPr>
          <w:rFonts w:ascii="Times New Roman" w:hAnsi="Times New Roman" w:cs="Times New Roman"/>
          <w:lang w:val="en-US"/>
        </w:rPr>
        <w:t>decisions.</w:t>
      </w:r>
      <w:r w:rsidR="00DE7B4C">
        <w:rPr>
          <w:rFonts w:ascii="Times New Roman" w:hAnsi="Times New Roman" w:cs="Times New Roman"/>
          <w:lang w:val="en-US"/>
        </w:rPr>
        <w:t xml:space="preserve"> </w:t>
      </w:r>
    </w:p>
    <w:p w14:paraId="689306A3" w14:textId="77777777" w:rsidR="00DC7415" w:rsidRDefault="00DC7415" w:rsidP="00CC1910">
      <w:pPr>
        <w:spacing w:line="360" w:lineRule="auto"/>
        <w:jc w:val="both"/>
        <w:rPr>
          <w:rFonts w:ascii="Times New Roman" w:hAnsi="Times New Roman" w:cs="Times New Roman"/>
          <w:lang w:val="en-US"/>
        </w:rPr>
      </w:pPr>
    </w:p>
    <w:p w14:paraId="57769B78" w14:textId="39BE5FD4" w:rsidR="002D749F" w:rsidRDefault="00B36DED" w:rsidP="00CC1910">
      <w:pPr>
        <w:spacing w:line="360" w:lineRule="auto"/>
        <w:jc w:val="both"/>
        <w:rPr>
          <w:rFonts w:ascii="Times New Roman" w:hAnsi="Times New Roman" w:cs="Times New Roman"/>
          <w:lang w:val="en-US"/>
        </w:rPr>
      </w:pPr>
      <w:r>
        <w:rPr>
          <w:rFonts w:ascii="Times New Roman" w:hAnsi="Times New Roman" w:cs="Times New Roman"/>
          <w:lang w:val="en-US"/>
        </w:rPr>
        <w:t>Leaving this conceptual problem to one side, i</w:t>
      </w:r>
      <w:r w:rsidR="0071720A">
        <w:rPr>
          <w:rFonts w:ascii="Times New Roman" w:hAnsi="Times New Roman" w:cs="Times New Roman"/>
          <w:lang w:val="en-US"/>
        </w:rPr>
        <w:t>n GC1 paragraph 7</w:t>
      </w:r>
      <w:r w:rsidR="00DC7415">
        <w:rPr>
          <w:rFonts w:ascii="Times New Roman" w:hAnsi="Times New Roman" w:cs="Times New Roman"/>
          <w:lang w:val="en-US"/>
        </w:rPr>
        <w:t>, however,</w:t>
      </w:r>
      <w:r w:rsidR="0071720A">
        <w:rPr>
          <w:rFonts w:ascii="Times New Roman" w:hAnsi="Times New Roman" w:cs="Times New Roman"/>
          <w:lang w:val="en-US"/>
        </w:rPr>
        <w:t xml:space="preserve"> </w:t>
      </w:r>
      <w:r w:rsidR="002A58D5">
        <w:rPr>
          <w:rFonts w:ascii="Times New Roman" w:hAnsi="Times New Roman" w:cs="Times New Roman"/>
          <w:lang w:val="en-US"/>
        </w:rPr>
        <w:t>we see the first conflation</w:t>
      </w:r>
      <w:r w:rsidR="001B050A">
        <w:rPr>
          <w:rFonts w:ascii="Times New Roman" w:hAnsi="Times New Roman" w:cs="Times New Roman"/>
          <w:lang w:val="en-US"/>
        </w:rPr>
        <w:t xml:space="preserve"> between Article 12</w:t>
      </w:r>
      <w:r w:rsidR="0071720A">
        <w:rPr>
          <w:rFonts w:ascii="Times New Roman" w:hAnsi="Times New Roman" w:cs="Times New Roman"/>
          <w:lang w:val="en-US"/>
        </w:rPr>
        <w:t xml:space="preserve"> and </w:t>
      </w:r>
      <w:r w:rsidR="00DE7B4C">
        <w:rPr>
          <w:rFonts w:ascii="Times New Roman" w:hAnsi="Times New Roman" w:cs="Times New Roman"/>
          <w:lang w:val="en-US"/>
        </w:rPr>
        <w:t>making decisions</w:t>
      </w:r>
      <w:r w:rsidR="0071720A">
        <w:rPr>
          <w:rFonts w:ascii="Times New Roman" w:hAnsi="Times New Roman" w:cs="Times New Roman"/>
          <w:lang w:val="en-US"/>
        </w:rPr>
        <w:t>:</w:t>
      </w:r>
    </w:p>
    <w:p w14:paraId="061CD121" w14:textId="212B7EDC" w:rsidR="0071720A" w:rsidRPr="0071720A" w:rsidRDefault="0071720A" w:rsidP="0071720A">
      <w:pPr>
        <w:spacing w:line="360" w:lineRule="auto"/>
        <w:ind w:left="720" w:right="740"/>
        <w:jc w:val="both"/>
        <w:rPr>
          <w:rFonts w:ascii="Times New Roman" w:hAnsi="Times New Roman" w:cs="Times New Roman"/>
          <w:lang w:val="en-US"/>
        </w:rPr>
      </w:pPr>
      <w:r w:rsidRPr="0071720A">
        <w:rPr>
          <w:rFonts w:ascii="Times New Roman" w:hAnsi="Times New Roman" w:cs="Times New Roman"/>
          <w:lang w:val="en-US"/>
        </w:rPr>
        <w:t xml:space="preserve">Historically, persons with disabilities have been denied their right to legal capacity in many areas in a discriminatory manner </w:t>
      </w:r>
      <w:r w:rsidRPr="00DF11E6">
        <w:rPr>
          <w:rFonts w:ascii="Times New Roman" w:hAnsi="Times New Roman" w:cs="Times New Roman"/>
          <w:i/>
          <w:lang w:val="en-US"/>
        </w:rPr>
        <w:t>under substitute decision-making regimes</w:t>
      </w:r>
      <w:r w:rsidRPr="0071720A">
        <w:rPr>
          <w:rFonts w:ascii="Times New Roman" w:hAnsi="Times New Roman" w:cs="Times New Roman"/>
          <w:lang w:val="en-US"/>
        </w:rPr>
        <w:t xml:space="preserve"> such as guardianship, conservatorship and mental health laws that permit forced treatment. These practices must be abolished in order to ensure that full legal capacity is restored to persons with disabilities</w:t>
      </w:r>
      <w:r w:rsidR="003163EC">
        <w:rPr>
          <w:rFonts w:ascii="Times New Roman" w:hAnsi="Times New Roman" w:cs="Times New Roman"/>
          <w:lang w:val="en-US"/>
        </w:rPr>
        <w:t xml:space="preserve"> on an equal basis with others.</w:t>
      </w:r>
      <w:r w:rsidR="00DF11E6">
        <w:rPr>
          <w:rFonts w:ascii="Times New Roman" w:hAnsi="Times New Roman" w:cs="Times New Roman"/>
          <w:lang w:val="en-US"/>
        </w:rPr>
        <w:t xml:space="preserve"> (Emphasis added)</w:t>
      </w:r>
    </w:p>
    <w:p w14:paraId="2FB55334" w14:textId="319BED73" w:rsidR="00DE7B4C" w:rsidRDefault="00DF11E6" w:rsidP="00FC0F00">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Later, in paragraph 50, GC1 states that Article 12 ‘</w:t>
      </w:r>
      <w:r w:rsidRPr="00DF11E6">
        <w:rPr>
          <w:rFonts w:ascii="Times New Roman" w:eastAsia="Times New Roman" w:hAnsi="Times New Roman" w:cs="Times New Roman"/>
          <w:i/>
          <w:lang w:val="en-US"/>
        </w:rPr>
        <w:t>requires the abolition of substitute decision-making regimes</w:t>
      </w:r>
      <w:r w:rsidRPr="00DD48B9">
        <w:rPr>
          <w:rFonts w:ascii="Times New Roman" w:eastAsia="Times New Roman" w:hAnsi="Times New Roman" w:cs="Times New Roman"/>
          <w:lang w:val="en-US"/>
        </w:rPr>
        <w:t xml:space="preserve"> </w:t>
      </w:r>
      <w:r w:rsidRPr="00DE7B4C">
        <w:rPr>
          <w:rFonts w:ascii="Times New Roman" w:eastAsia="Times New Roman" w:hAnsi="Times New Roman" w:cs="Times New Roman"/>
          <w:i/>
          <w:lang w:val="en-US"/>
        </w:rPr>
        <w:t>and mechanisms that deny legal capacity</w:t>
      </w:r>
      <w:r w:rsidRPr="00DD48B9">
        <w:rPr>
          <w:rFonts w:ascii="Times New Roman" w:eastAsia="Times New Roman" w:hAnsi="Times New Roman" w:cs="Times New Roman"/>
          <w:lang w:val="en-US"/>
        </w:rPr>
        <w:t xml:space="preserve"> and which discriminate in purpose or effect ag</w:t>
      </w:r>
      <w:r>
        <w:rPr>
          <w:rFonts w:ascii="Times New Roman" w:eastAsia="Times New Roman" w:hAnsi="Times New Roman" w:cs="Times New Roman"/>
          <w:lang w:val="en-US"/>
        </w:rPr>
        <w:t>ainst persons with disabilities’ (emphasis added).</w:t>
      </w:r>
      <w:r w:rsidRPr="00DD48B9">
        <w:rPr>
          <w:rFonts w:ascii="Times New Roman" w:eastAsia="Times New Roman" w:hAnsi="Times New Roman" w:cs="Times New Roman"/>
          <w:lang w:val="en-US"/>
        </w:rPr>
        <w:t xml:space="preserve"> </w:t>
      </w:r>
      <w:r w:rsidR="00DE7B4C">
        <w:rPr>
          <w:rFonts w:ascii="Times New Roman" w:eastAsia="Times New Roman" w:hAnsi="Times New Roman" w:cs="Times New Roman"/>
          <w:lang w:val="en-US"/>
        </w:rPr>
        <w:t>GC1 stipulates that any legal system which purports to take any decision-making power away from disabled people denies their legal capacity, and violates Article 12.</w:t>
      </w:r>
      <w:r w:rsidR="00DE7B4C">
        <w:rPr>
          <w:rStyle w:val="FootnoteReference"/>
          <w:rFonts w:ascii="Times New Roman" w:eastAsia="Times New Roman" w:hAnsi="Times New Roman" w:cs="Times New Roman"/>
          <w:lang w:val="en-US"/>
        </w:rPr>
        <w:footnoteReference w:id="11"/>
      </w:r>
      <w:r w:rsidR="00DE7B4C">
        <w:rPr>
          <w:rFonts w:ascii="Times New Roman" w:eastAsia="Times New Roman" w:hAnsi="Times New Roman" w:cs="Times New Roman"/>
          <w:lang w:val="en-US"/>
        </w:rPr>
        <w:t xml:space="preserve">  S</w:t>
      </w:r>
      <w:r w:rsidR="00377BC2">
        <w:rPr>
          <w:rFonts w:ascii="Times New Roman" w:eastAsia="Times New Roman" w:hAnsi="Times New Roman" w:cs="Times New Roman"/>
          <w:lang w:val="en-US"/>
        </w:rPr>
        <w:t>tates must</w:t>
      </w:r>
      <w:r w:rsidR="00DE7B4C">
        <w:rPr>
          <w:rFonts w:ascii="Times New Roman" w:eastAsia="Times New Roman" w:hAnsi="Times New Roman" w:cs="Times New Roman"/>
          <w:lang w:val="en-US"/>
        </w:rPr>
        <w:t xml:space="preserve"> therefore</w:t>
      </w:r>
      <w:r w:rsidR="00377BC2" w:rsidRPr="00FC0F00">
        <w:rPr>
          <w:rFonts w:ascii="Times New Roman" w:eastAsia="Times New Roman" w:hAnsi="Times New Roman" w:cs="Times New Roman"/>
          <w:lang w:val="en-US"/>
        </w:rPr>
        <w:t xml:space="preserve"> </w:t>
      </w:r>
      <w:r w:rsidR="00377BC2">
        <w:rPr>
          <w:rFonts w:ascii="Times New Roman" w:eastAsia="Times New Roman" w:hAnsi="Times New Roman" w:cs="Times New Roman"/>
          <w:lang w:val="en-US"/>
        </w:rPr>
        <w:t>‘</w:t>
      </w:r>
      <w:r w:rsidR="00377BC2" w:rsidRPr="00FC0F00">
        <w:rPr>
          <w:rFonts w:ascii="Times New Roman" w:eastAsia="Times New Roman" w:hAnsi="Times New Roman" w:cs="Times New Roman"/>
          <w:lang w:val="en-US"/>
        </w:rPr>
        <w:t xml:space="preserve">take action to develop laws and policies to replace regimes of substitute decision-making </w:t>
      </w:r>
      <w:r w:rsidR="00377BC2" w:rsidRPr="00377BC2">
        <w:rPr>
          <w:rFonts w:ascii="Times New Roman" w:eastAsia="Times New Roman" w:hAnsi="Times New Roman" w:cs="Times New Roman"/>
          <w:i/>
          <w:lang w:val="en-US"/>
        </w:rPr>
        <w:t>by supported decision-making</w:t>
      </w:r>
      <w:r w:rsidR="00377BC2" w:rsidRPr="00FC0F00">
        <w:rPr>
          <w:rFonts w:ascii="Times New Roman" w:eastAsia="Times New Roman" w:hAnsi="Times New Roman" w:cs="Times New Roman"/>
          <w:lang w:val="en-US"/>
        </w:rPr>
        <w:t>, which respects the person’s</w:t>
      </w:r>
      <w:r w:rsidR="00377BC2">
        <w:rPr>
          <w:rFonts w:ascii="Times New Roman" w:eastAsia="Times New Roman" w:hAnsi="Times New Roman" w:cs="Times New Roman"/>
          <w:lang w:val="en-US"/>
        </w:rPr>
        <w:t xml:space="preserve"> autonomy, will and preferences’ (emphasis added)</w:t>
      </w:r>
      <w:r w:rsidR="00377BC2" w:rsidRPr="00FC0F00">
        <w:rPr>
          <w:rFonts w:ascii="Times New Roman" w:eastAsia="Times New Roman" w:hAnsi="Times New Roman" w:cs="Times New Roman"/>
          <w:lang w:val="en-US"/>
        </w:rPr>
        <w:t xml:space="preserve">. </w:t>
      </w:r>
      <w:r w:rsidR="00377BC2">
        <w:rPr>
          <w:rFonts w:ascii="Times New Roman" w:eastAsia="Times New Roman" w:hAnsi="Times New Roman" w:cs="Times New Roman"/>
          <w:lang w:val="en-US"/>
        </w:rPr>
        <w:t>In summary then, GC1 states that Article 12 requires only supported decision-making regimes</w:t>
      </w:r>
      <w:r w:rsidR="00DE7B4C">
        <w:rPr>
          <w:rFonts w:ascii="Times New Roman" w:eastAsia="Times New Roman" w:hAnsi="Times New Roman" w:cs="Times New Roman"/>
          <w:lang w:val="en-US"/>
        </w:rPr>
        <w:t xml:space="preserve"> – i.e. </w:t>
      </w:r>
      <w:r w:rsidR="00377BC2">
        <w:rPr>
          <w:rFonts w:ascii="Times New Roman" w:eastAsia="Times New Roman" w:hAnsi="Times New Roman" w:cs="Times New Roman"/>
          <w:lang w:val="en-US"/>
        </w:rPr>
        <w:t>support t</w:t>
      </w:r>
      <w:r w:rsidR="002667B6">
        <w:rPr>
          <w:rFonts w:ascii="Times New Roman" w:eastAsia="Times New Roman" w:hAnsi="Times New Roman" w:cs="Times New Roman"/>
          <w:lang w:val="en-US"/>
        </w:rPr>
        <w:t xml:space="preserve">o exercise legal capacity – and </w:t>
      </w:r>
      <w:r w:rsidR="00377BC2">
        <w:rPr>
          <w:rFonts w:ascii="Times New Roman" w:eastAsia="Times New Roman" w:hAnsi="Times New Roman" w:cs="Times New Roman"/>
          <w:lang w:val="en-US"/>
        </w:rPr>
        <w:t>that all substitute decision-making regimes be dismantled. Moreover,</w:t>
      </w:r>
      <w:r w:rsidR="00EC361A">
        <w:rPr>
          <w:rFonts w:ascii="Times New Roman" w:eastAsia="Times New Roman" w:hAnsi="Times New Roman" w:cs="Times New Roman"/>
          <w:lang w:val="en-US"/>
        </w:rPr>
        <w:t xml:space="preserve"> while support ‘is a broad term that encompasses both informal and formal support arrangements, of varying types and intensity’ (para. 16),</w:t>
      </w:r>
      <w:r w:rsidR="00377BC2">
        <w:rPr>
          <w:rFonts w:ascii="Times New Roman" w:eastAsia="Times New Roman" w:hAnsi="Times New Roman" w:cs="Times New Roman"/>
          <w:lang w:val="en-US"/>
        </w:rPr>
        <w:t xml:space="preserve"> ‘[s]</w:t>
      </w:r>
      <w:r w:rsidR="00377BC2" w:rsidRPr="00FC0F00">
        <w:rPr>
          <w:rFonts w:ascii="Times New Roman" w:eastAsia="Times New Roman" w:hAnsi="Times New Roman" w:cs="Times New Roman"/>
          <w:lang w:val="en-US"/>
        </w:rPr>
        <w:t>upport in the exercise of legal capacity must respect the rights, will and preferences of persons with disabilities</w:t>
      </w:r>
      <w:r w:rsidR="00377BC2">
        <w:rPr>
          <w:rFonts w:ascii="Times New Roman" w:eastAsia="Times New Roman" w:hAnsi="Times New Roman" w:cs="Times New Roman"/>
          <w:lang w:val="en-US"/>
        </w:rPr>
        <w:t>’ (para. 16).</w:t>
      </w:r>
      <w:r w:rsidR="00377BC2">
        <w:rPr>
          <w:rStyle w:val="FootnoteReference"/>
          <w:rFonts w:ascii="Times New Roman" w:eastAsia="Times New Roman" w:hAnsi="Times New Roman" w:cs="Times New Roman"/>
          <w:lang w:val="en-US"/>
        </w:rPr>
        <w:footnoteReference w:id="12"/>
      </w:r>
      <w:r w:rsidR="00377BC2" w:rsidRPr="00FC0F00">
        <w:rPr>
          <w:rFonts w:ascii="Times New Roman" w:eastAsia="Times New Roman" w:hAnsi="Times New Roman" w:cs="Times New Roman"/>
          <w:lang w:val="en-US"/>
        </w:rPr>
        <w:t xml:space="preserve"> </w:t>
      </w:r>
      <w:r w:rsidR="00377BC2">
        <w:rPr>
          <w:rFonts w:ascii="Times New Roman" w:eastAsia="Times New Roman" w:hAnsi="Times New Roman" w:cs="Times New Roman"/>
          <w:lang w:val="en-US"/>
        </w:rPr>
        <w:t xml:space="preserve"> </w:t>
      </w:r>
    </w:p>
    <w:p w14:paraId="40CB4BF2" w14:textId="77777777" w:rsidR="00DE7B4C" w:rsidRDefault="00DE7B4C" w:rsidP="00FC0F00">
      <w:pPr>
        <w:spacing w:line="360" w:lineRule="auto"/>
        <w:jc w:val="both"/>
        <w:rPr>
          <w:rFonts w:ascii="Times New Roman" w:eastAsia="Times New Roman" w:hAnsi="Times New Roman" w:cs="Times New Roman"/>
          <w:lang w:val="en-US"/>
        </w:rPr>
      </w:pPr>
    </w:p>
    <w:p w14:paraId="69C618C9" w14:textId="5C19AFC0" w:rsidR="005D6138" w:rsidRDefault="00B36DED" w:rsidP="00290E09">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There is considerable debate as to</w:t>
      </w:r>
      <w:r w:rsidR="00DE7B4C">
        <w:rPr>
          <w:rFonts w:ascii="Times New Roman" w:eastAsia="Times New Roman" w:hAnsi="Times New Roman" w:cs="Times New Roman"/>
          <w:lang w:val="en-US"/>
        </w:rPr>
        <w:t xml:space="preserve"> whether or not GC1 is correct in it</w:t>
      </w:r>
      <w:r>
        <w:rPr>
          <w:rFonts w:ascii="Times New Roman" w:eastAsia="Times New Roman" w:hAnsi="Times New Roman" w:cs="Times New Roman"/>
          <w:lang w:val="en-US"/>
        </w:rPr>
        <w:t xml:space="preserve">s interpretation of Article 12 </w:t>
      </w:r>
      <w:r w:rsidR="00DE7B4C">
        <w:rPr>
          <w:rFonts w:ascii="Times New Roman" w:eastAsia="Times New Roman" w:hAnsi="Times New Roman" w:cs="Times New Roman"/>
          <w:lang w:val="en-US"/>
        </w:rPr>
        <w:t xml:space="preserve">(Lush, 2011; </w:t>
      </w:r>
      <w:r w:rsidR="009A252F">
        <w:rPr>
          <w:rFonts w:ascii="Times New Roman" w:eastAsia="Times New Roman" w:hAnsi="Times New Roman" w:cs="Times New Roman"/>
          <w:lang w:val="en-US"/>
        </w:rPr>
        <w:t>Essex Autonomy Project</w:t>
      </w:r>
      <w:r w:rsidR="00196247">
        <w:rPr>
          <w:rFonts w:ascii="Times New Roman" w:eastAsia="Times New Roman" w:hAnsi="Times New Roman" w:cs="Times New Roman"/>
          <w:lang w:val="en-US"/>
        </w:rPr>
        <w:t xml:space="preserve">, 2016, </w:t>
      </w:r>
      <w:r w:rsidR="00DE7B4C">
        <w:rPr>
          <w:rFonts w:ascii="Times New Roman" w:eastAsia="Times New Roman" w:hAnsi="Times New Roman" w:cs="Times New Roman"/>
          <w:lang w:val="en-US"/>
        </w:rPr>
        <w:t xml:space="preserve">9-14), </w:t>
      </w:r>
      <w:r>
        <w:rPr>
          <w:rFonts w:ascii="Times New Roman" w:eastAsia="Times New Roman" w:hAnsi="Times New Roman" w:cs="Times New Roman"/>
          <w:lang w:val="en-US"/>
        </w:rPr>
        <w:t xml:space="preserve">yet </w:t>
      </w:r>
      <w:r w:rsidR="00DE7B4C">
        <w:rPr>
          <w:rFonts w:ascii="Times New Roman" w:eastAsia="Times New Roman" w:hAnsi="Times New Roman" w:cs="Times New Roman"/>
          <w:lang w:val="en-US"/>
        </w:rPr>
        <w:t xml:space="preserve">what is clear is that </w:t>
      </w:r>
      <w:r>
        <w:rPr>
          <w:rFonts w:ascii="Times New Roman" w:eastAsia="Times New Roman" w:hAnsi="Times New Roman" w:cs="Times New Roman"/>
          <w:lang w:val="en-US"/>
        </w:rPr>
        <w:t xml:space="preserve">the drafters of the Convention - </w:t>
      </w:r>
      <w:r w:rsidR="00DE7B4C">
        <w:rPr>
          <w:rFonts w:ascii="Times New Roman" w:eastAsia="Times New Roman" w:hAnsi="Times New Roman" w:cs="Times New Roman"/>
          <w:lang w:val="en-US"/>
        </w:rPr>
        <w:t>and GC1</w:t>
      </w:r>
      <w:r>
        <w:rPr>
          <w:rFonts w:ascii="Times New Roman" w:eastAsia="Times New Roman" w:hAnsi="Times New Roman" w:cs="Times New Roman"/>
          <w:lang w:val="en-US"/>
        </w:rPr>
        <w:t xml:space="preserve"> -</w:t>
      </w:r>
      <w:r w:rsidR="00DE7B4C">
        <w:rPr>
          <w:rFonts w:ascii="Times New Roman" w:eastAsia="Times New Roman" w:hAnsi="Times New Roman" w:cs="Times New Roman"/>
          <w:lang w:val="en-US"/>
        </w:rPr>
        <w:t xml:space="preserve"> were motivated by an ethical concern. This concern is that</w:t>
      </w:r>
      <w:r w:rsidR="00064753">
        <w:rPr>
          <w:rFonts w:ascii="Times New Roman" w:eastAsia="Times New Roman" w:hAnsi="Times New Roman" w:cs="Times New Roman"/>
          <w:lang w:val="en-US"/>
        </w:rPr>
        <w:t>,</w:t>
      </w:r>
      <w:r w:rsidR="00DE7B4C">
        <w:rPr>
          <w:rFonts w:ascii="Times New Roman" w:eastAsia="Times New Roman" w:hAnsi="Times New Roman" w:cs="Times New Roman"/>
          <w:lang w:val="en-US"/>
        </w:rPr>
        <w:t xml:space="preserve"> for many years, people with </w:t>
      </w:r>
      <w:r w:rsidR="001B050A">
        <w:rPr>
          <w:rFonts w:ascii="Times New Roman" w:eastAsia="Times New Roman" w:hAnsi="Times New Roman" w:cs="Times New Roman"/>
          <w:lang w:val="en-US"/>
        </w:rPr>
        <w:t>cognitive or mental</w:t>
      </w:r>
      <w:r w:rsidR="00DE7B4C">
        <w:rPr>
          <w:rFonts w:ascii="Times New Roman" w:eastAsia="Times New Roman" w:hAnsi="Times New Roman" w:cs="Times New Roman"/>
          <w:lang w:val="en-US"/>
        </w:rPr>
        <w:t xml:space="preserve"> </w:t>
      </w:r>
      <w:r w:rsidR="005D6138">
        <w:rPr>
          <w:rFonts w:ascii="Times New Roman" w:eastAsia="Times New Roman" w:hAnsi="Times New Roman" w:cs="Times New Roman"/>
          <w:lang w:val="en-US"/>
        </w:rPr>
        <w:t>disabilities</w:t>
      </w:r>
      <w:r w:rsidR="00DE7B4C">
        <w:rPr>
          <w:rFonts w:ascii="Times New Roman" w:eastAsia="Times New Roman" w:hAnsi="Times New Roman" w:cs="Times New Roman"/>
          <w:lang w:val="en-US"/>
        </w:rPr>
        <w:t xml:space="preserve"> have been denied the right to make</w:t>
      </w:r>
      <w:r w:rsidR="000A1CB7">
        <w:rPr>
          <w:rFonts w:ascii="Times New Roman" w:eastAsia="Times New Roman" w:hAnsi="Times New Roman" w:cs="Times New Roman"/>
          <w:lang w:val="en-US"/>
        </w:rPr>
        <w:t xml:space="preserve"> many </w:t>
      </w:r>
      <w:r w:rsidR="005D6138">
        <w:rPr>
          <w:rFonts w:ascii="Times New Roman" w:eastAsia="Times New Roman" w:hAnsi="Times New Roman" w:cs="Times New Roman"/>
          <w:lang w:val="en-US"/>
        </w:rPr>
        <w:t xml:space="preserve">or all </w:t>
      </w:r>
      <w:r w:rsidR="00DE7B4C">
        <w:rPr>
          <w:rFonts w:ascii="Times New Roman" w:eastAsia="Times New Roman" w:hAnsi="Times New Roman" w:cs="Times New Roman"/>
          <w:lang w:val="en-US"/>
        </w:rPr>
        <w:t xml:space="preserve">decisions about their lives </w:t>
      </w:r>
      <w:r w:rsidR="005D6138">
        <w:rPr>
          <w:rFonts w:ascii="Times New Roman" w:eastAsia="Times New Roman" w:hAnsi="Times New Roman" w:cs="Times New Roman"/>
          <w:lang w:val="en-US"/>
        </w:rPr>
        <w:t xml:space="preserve">and therefore denied opportunities that are not denied to others in society </w:t>
      </w:r>
      <w:r w:rsidR="00DE7B4C">
        <w:rPr>
          <w:rFonts w:ascii="Times New Roman" w:eastAsia="Times New Roman" w:hAnsi="Times New Roman" w:cs="Times New Roman"/>
          <w:lang w:val="en-US"/>
        </w:rPr>
        <w:t>(Burch, 2017</w:t>
      </w:r>
      <w:r w:rsidR="007E61C3">
        <w:rPr>
          <w:rFonts w:ascii="Times New Roman" w:eastAsia="Times New Roman" w:hAnsi="Times New Roman" w:cs="Times New Roman"/>
          <w:lang w:val="en-US"/>
        </w:rPr>
        <w:t>, 390</w:t>
      </w:r>
      <w:r w:rsidR="00DE7B4C">
        <w:rPr>
          <w:rFonts w:ascii="Times New Roman" w:eastAsia="Times New Roman" w:hAnsi="Times New Roman" w:cs="Times New Roman"/>
          <w:lang w:val="en-US"/>
        </w:rPr>
        <w:t xml:space="preserve">). GC1’s response to this is </w:t>
      </w:r>
      <w:r w:rsidR="00DE7B4C" w:rsidRPr="00DE7B4C">
        <w:rPr>
          <w:rFonts w:ascii="Times New Roman" w:eastAsia="Times New Roman" w:hAnsi="Times New Roman" w:cs="Times New Roman"/>
          <w:lang w:val="en-US"/>
        </w:rPr>
        <w:t>supported</w:t>
      </w:r>
      <w:r w:rsidR="00DE7B4C">
        <w:rPr>
          <w:rFonts w:ascii="Times New Roman" w:eastAsia="Times New Roman" w:hAnsi="Times New Roman" w:cs="Times New Roman"/>
          <w:lang w:val="en-US"/>
        </w:rPr>
        <w:t xml:space="preserve"> decision-making which respects the rights, will, and preferences of the individual, rather than allowing a legal system to take decision-making power out of those individuals’ hands. </w:t>
      </w:r>
      <w:r w:rsidR="005D6138" w:rsidRPr="005D6138">
        <w:rPr>
          <w:rFonts w:ascii="Times New Roman" w:eastAsia="Times New Roman" w:hAnsi="Times New Roman" w:cs="Times New Roman"/>
          <w:lang w:val="en-US"/>
        </w:rPr>
        <w:t>This is</w:t>
      </w:r>
      <w:r w:rsidR="005D6138">
        <w:rPr>
          <w:rFonts w:ascii="Times New Roman" w:eastAsia="Times New Roman" w:hAnsi="Times New Roman" w:cs="Times New Roman"/>
          <w:lang w:val="en-US"/>
        </w:rPr>
        <w:t xml:space="preserve"> clearly </w:t>
      </w:r>
      <w:r w:rsidR="00DE7B4C" w:rsidRPr="005D6138">
        <w:rPr>
          <w:rFonts w:ascii="Times New Roman" w:eastAsia="Times New Roman" w:hAnsi="Times New Roman" w:cs="Times New Roman"/>
          <w:lang w:val="en-US"/>
        </w:rPr>
        <w:t xml:space="preserve">a welcome </w:t>
      </w:r>
      <w:r w:rsidR="005D6138">
        <w:rPr>
          <w:rFonts w:ascii="Times New Roman" w:eastAsia="Times New Roman" w:hAnsi="Times New Roman" w:cs="Times New Roman"/>
          <w:lang w:val="en-US"/>
        </w:rPr>
        <w:t>focus</w:t>
      </w:r>
      <w:r w:rsidR="00064753" w:rsidRPr="005D6138">
        <w:rPr>
          <w:rFonts w:ascii="Times New Roman" w:eastAsia="Times New Roman" w:hAnsi="Times New Roman" w:cs="Times New Roman"/>
          <w:lang w:val="en-US"/>
        </w:rPr>
        <w:t xml:space="preserve">, </w:t>
      </w:r>
      <w:r w:rsidR="005D6138" w:rsidRPr="005D6138">
        <w:rPr>
          <w:rFonts w:ascii="Times New Roman" w:eastAsia="Times New Roman" w:hAnsi="Times New Roman" w:cs="Times New Roman"/>
          <w:lang w:val="en-US"/>
        </w:rPr>
        <w:t>particularly for people living with</w:t>
      </w:r>
      <w:r w:rsidR="00064753" w:rsidRPr="005D6138">
        <w:rPr>
          <w:rFonts w:ascii="Times New Roman" w:eastAsia="Times New Roman" w:hAnsi="Times New Roman" w:cs="Times New Roman"/>
          <w:lang w:val="en-US"/>
        </w:rPr>
        <w:t xml:space="preserve"> dementia</w:t>
      </w:r>
      <w:r w:rsidR="00A061DF">
        <w:rPr>
          <w:rFonts w:ascii="Times New Roman" w:eastAsia="Times New Roman" w:hAnsi="Times New Roman" w:cs="Times New Roman"/>
          <w:lang w:val="en-US"/>
        </w:rPr>
        <w:t>,</w:t>
      </w:r>
      <w:r w:rsidR="005D6138">
        <w:rPr>
          <w:rFonts w:ascii="Times New Roman" w:eastAsia="Times New Roman" w:hAnsi="Times New Roman" w:cs="Times New Roman"/>
          <w:lang w:val="en-US"/>
        </w:rPr>
        <w:t xml:space="preserve"> who may face the ‘double whammy’ of both disability discrimination and ageism</w:t>
      </w:r>
      <w:r w:rsidR="005D6138" w:rsidRPr="005D6138">
        <w:rPr>
          <w:rFonts w:ascii="Times New Roman" w:eastAsia="Times New Roman" w:hAnsi="Times New Roman" w:cs="Times New Roman"/>
          <w:lang w:val="en-US"/>
        </w:rPr>
        <w:t>.</w:t>
      </w:r>
      <w:r w:rsidR="005D6138">
        <w:rPr>
          <w:rFonts w:ascii="Times New Roman" w:eastAsia="Times New Roman" w:hAnsi="Times New Roman" w:cs="Times New Roman"/>
          <w:lang w:val="en-US"/>
        </w:rPr>
        <w:t xml:space="preserve"> As Carney and Gray argue:</w:t>
      </w:r>
    </w:p>
    <w:p w14:paraId="11251F37" w14:textId="71E5C733" w:rsidR="005D6138" w:rsidRDefault="005D6138" w:rsidP="005D6138">
      <w:pPr>
        <w:spacing w:line="360" w:lineRule="auto"/>
        <w:ind w:left="720" w:right="740"/>
        <w:jc w:val="both"/>
        <w:rPr>
          <w:rFonts w:ascii="Times New Roman" w:eastAsia="Times New Roman" w:hAnsi="Times New Roman" w:cs="Times New Roman"/>
          <w:lang w:val="en-US"/>
        </w:rPr>
      </w:pPr>
      <w:r w:rsidRPr="005D6138">
        <w:rPr>
          <w:rFonts w:ascii="Times New Roman" w:eastAsia="Times New Roman" w:hAnsi="Times New Roman" w:cs="Times New Roman"/>
          <w:lang w:val="en-US"/>
        </w:rPr>
        <w:t>Biological ageing, particularly physical signs of biological ageing, are</w:t>
      </w:r>
      <w:r>
        <w:rPr>
          <w:rFonts w:ascii="Times New Roman" w:eastAsia="Times New Roman" w:hAnsi="Times New Roman" w:cs="Times New Roman"/>
          <w:lang w:val="en-US"/>
        </w:rPr>
        <w:t xml:space="preserve"> </w:t>
      </w:r>
      <w:r w:rsidRPr="005D6138">
        <w:rPr>
          <w:rFonts w:ascii="Times New Roman" w:eastAsia="Times New Roman" w:hAnsi="Times New Roman" w:cs="Times New Roman"/>
          <w:lang w:val="en-US"/>
        </w:rPr>
        <w:t>used to socially impose an inferior status on people as they age. The</w:t>
      </w:r>
      <w:r>
        <w:rPr>
          <w:rFonts w:ascii="Times New Roman" w:eastAsia="Times New Roman" w:hAnsi="Times New Roman" w:cs="Times New Roman"/>
          <w:lang w:val="en-US"/>
        </w:rPr>
        <w:t xml:space="preserve"> </w:t>
      </w:r>
      <w:r w:rsidRPr="005D6138">
        <w:rPr>
          <w:rFonts w:ascii="Times New Roman" w:eastAsia="Times New Roman" w:hAnsi="Times New Roman" w:cs="Times New Roman"/>
          <w:lang w:val="en-US"/>
        </w:rPr>
        <w:t>impact and severity of this inferior status is cumulative; older people</w:t>
      </w:r>
      <w:r>
        <w:rPr>
          <w:rFonts w:ascii="Times New Roman" w:eastAsia="Times New Roman" w:hAnsi="Times New Roman" w:cs="Times New Roman"/>
          <w:lang w:val="en-US"/>
        </w:rPr>
        <w:t xml:space="preserve"> </w:t>
      </w:r>
      <w:r w:rsidRPr="005D6138">
        <w:rPr>
          <w:rFonts w:ascii="Times New Roman" w:eastAsia="Times New Roman" w:hAnsi="Times New Roman" w:cs="Times New Roman"/>
          <w:lang w:val="en-US"/>
        </w:rPr>
        <w:t>with impairments, dementia, disability, or few economic resources are</w:t>
      </w:r>
      <w:r>
        <w:rPr>
          <w:rFonts w:ascii="Times New Roman" w:eastAsia="Times New Roman" w:hAnsi="Times New Roman" w:cs="Times New Roman"/>
          <w:lang w:val="en-US"/>
        </w:rPr>
        <w:t xml:space="preserve"> </w:t>
      </w:r>
      <w:r w:rsidRPr="005D6138">
        <w:rPr>
          <w:rFonts w:ascii="Times New Roman" w:eastAsia="Times New Roman" w:hAnsi="Times New Roman" w:cs="Times New Roman"/>
          <w:lang w:val="en-US"/>
        </w:rPr>
        <w:t>among the lowest status in society. Ageism contributes to the</w:t>
      </w:r>
      <w:r>
        <w:rPr>
          <w:rFonts w:ascii="Times New Roman" w:eastAsia="Times New Roman" w:hAnsi="Times New Roman" w:cs="Times New Roman"/>
          <w:lang w:val="en-US"/>
        </w:rPr>
        <w:t xml:space="preserve"> </w:t>
      </w:r>
      <w:r w:rsidRPr="005D6138">
        <w:rPr>
          <w:rFonts w:ascii="Times New Roman" w:eastAsia="Times New Roman" w:hAnsi="Times New Roman" w:cs="Times New Roman"/>
          <w:lang w:val="en-US"/>
        </w:rPr>
        <w:t>oppression of older people as it is internalised, eventually impacting</w:t>
      </w:r>
      <w:r>
        <w:rPr>
          <w:rFonts w:ascii="Times New Roman" w:eastAsia="Times New Roman" w:hAnsi="Times New Roman" w:cs="Times New Roman"/>
          <w:lang w:val="en-US"/>
        </w:rPr>
        <w:t xml:space="preserve"> </w:t>
      </w:r>
      <w:r w:rsidRPr="005D6138">
        <w:rPr>
          <w:rFonts w:ascii="Times New Roman" w:eastAsia="Times New Roman" w:hAnsi="Times New Roman" w:cs="Times New Roman"/>
          <w:lang w:val="en-US"/>
        </w:rPr>
        <w:t>on the capacity of older people to speak for themselves</w:t>
      </w:r>
      <w:r>
        <w:rPr>
          <w:rFonts w:ascii="Times New Roman" w:eastAsia="Times New Roman" w:hAnsi="Times New Roman" w:cs="Times New Roman"/>
          <w:lang w:val="en-US"/>
        </w:rPr>
        <w:t>. (Carney and Gray, 2015, 127).</w:t>
      </w:r>
    </w:p>
    <w:p w14:paraId="17A63556" w14:textId="77777777" w:rsidR="00A63E6F" w:rsidRDefault="00A63E6F" w:rsidP="00290E09">
      <w:pPr>
        <w:spacing w:line="360" w:lineRule="auto"/>
        <w:jc w:val="both"/>
        <w:rPr>
          <w:rFonts w:ascii="Times New Roman" w:eastAsia="Times New Roman" w:hAnsi="Times New Roman" w:cs="Times New Roman"/>
          <w:lang w:val="en-US"/>
        </w:rPr>
      </w:pPr>
    </w:p>
    <w:p w14:paraId="27656AAD" w14:textId="53E460E5" w:rsidR="00A061DF" w:rsidRDefault="00A061DF" w:rsidP="00290E09">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Historically, such </w:t>
      </w:r>
      <w:r w:rsidR="00D40345">
        <w:rPr>
          <w:rFonts w:ascii="Times New Roman" w:eastAsia="Times New Roman" w:hAnsi="Times New Roman" w:cs="Times New Roman"/>
          <w:lang w:val="en-US"/>
        </w:rPr>
        <w:t xml:space="preserve">negative </w:t>
      </w:r>
      <w:r>
        <w:rPr>
          <w:rFonts w:ascii="Times New Roman" w:eastAsia="Times New Roman" w:hAnsi="Times New Roman" w:cs="Times New Roman"/>
          <w:lang w:val="en-US"/>
        </w:rPr>
        <w:t xml:space="preserve">discrimination for </w:t>
      </w:r>
      <w:r w:rsidR="00266003">
        <w:rPr>
          <w:rFonts w:ascii="Times New Roman" w:eastAsia="Times New Roman" w:hAnsi="Times New Roman" w:cs="Times New Roman"/>
          <w:lang w:val="en-US"/>
        </w:rPr>
        <w:t xml:space="preserve">older </w:t>
      </w:r>
      <w:r>
        <w:rPr>
          <w:rFonts w:ascii="Times New Roman" w:eastAsia="Times New Roman" w:hAnsi="Times New Roman" w:cs="Times New Roman"/>
          <w:lang w:val="en-US"/>
        </w:rPr>
        <w:t>people with dementia has been widespread</w:t>
      </w:r>
      <w:r w:rsidR="00A63E6F">
        <w:rPr>
          <w:rFonts w:ascii="Times New Roman" w:eastAsia="Times New Roman" w:hAnsi="Times New Roman" w:cs="Times New Roman"/>
          <w:lang w:val="en-US"/>
        </w:rPr>
        <w:t>, and taken many different forms</w:t>
      </w:r>
      <w:r>
        <w:rPr>
          <w:rFonts w:ascii="Times New Roman" w:eastAsia="Times New Roman" w:hAnsi="Times New Roman" w:cs="Times New Roman"/>
          <w:lang w:val="en-US"/>
        </w:rPr>
        <w:t>. Marzanski (2000)</w:t>
      </w:r>
      <w:r w:rsidR="00F46940">
        <w:rPr>
          <w:rFonts w:ascii="Times New Roman" w:eastAsia="Times New Roman" w:hAnsi="Times New Roman" w:cs="Times New Roman"/>
          <w:lang w:val="en-US"/>
        </w:rPr>
        <w:t>, for example,</w:t>
      </w:r>
      <w:r>
        <w:rPr>
          <w:rFonts w:ascii="Times New Roman" w:eastAsia="Times New Roman" w:hAnsi="Times New Roman" w:cs="Times New Roman"/>
          <w:lang w:val="en-US"/>
        </w:rPr>
        <w:t xml:space="preserve"> found that out of 30 participants with dementia, two thirds </w:t>
      </w:r>
      <w:r w:rsidR="00416800">
        <w:rPr>
          <w:rFonts w:ascii="Times New Roman" w:eastAsia="Times New Roman" w:hAnsi="Times New Roman" w:cs="Times New Roman"/>
          <w:lang w:val="en-US"/>
        </w:rPr>
        <w:t>claimed never to have</w:t>
      </w:r>
      <w:r>
        <w:rPr>
          <w:rFonts w:ascii="Times New Roman" w:eastAsia="Times New Roman" w:hAnsi="Times New Roman" w:cs="Times New Roman"/>
          <w:lang w:val="en-US"/>
        </w:rPr>
        <w:t xml:space="preserve"> had the opportunity to discuss their demen</w:t>
      </w:r>
      <w:r w:rsidR="00F46940">
        <w:rPr>
          <w:rFonts w:ascii="Times New Roman" w:eastAsia="Times New Roman" w:hAnsi="Times New Roman" w:cs="Times New Roman"/>
          <w:lang w:val="en-US"/>
        </w:rPr>
        <w:t>tia with a medical professional,</w:t>
      </w:r>
      <w:r>
        <w:rPr>
          <w:rFonts w:ascii="Times New Roman" w:eastAsia="Times New Roman" w:hAnsi="Times New Roman" w:cs="Times New Roman"/>
          <w:lang w:val="en-US"/>
        </w:rPr>
        <w:t xml:space="preserve"> only 5 had discussed t</w:t>
      </w:r>
      <w:r w:rsidR="00F46940">
        <w:rPr>
          <w:rFonts w:ascii="Times New Roman" w:eastAsia="Times New Roman" w:hAnsi="Times New Roman" w:cs="Times New Roman"/>
          <w:lang w:val="en-US"/>
        </w:rPr>
        <w:t>heir dementia with their doctor,</w:t>
      </w:r>
      <w:r>
        <w:rPr>
          <w:rFonts w:ascii="Times New Roman" w:eastAsia="Times New Roman" w:hAnsi="Times New Roman" w:cs="Times New Roman"/>
          <w:lang w:val="en-US"/>
        </w:rPr>
        <w:t xml:space="preserve"> and only 1 participant had been told of their diagnosis. Moreover, a number of participants reported being given untrue information, or being treated in a disrespectful way by their clinicians (Marzanski, 2000, 109). Research indicates that while </w:t>
      </w:r>
      <w:r w:rsidR="00731821">
        <w:rPr>
          <w:rFonts w:ascii="Times New Roman" w:eastAsia="Times New Roman" w:hAnsi="Times New Roman" w:cs="Times New Roman"/>
          <w:lang w:val="en-US"/>
        </w:rPr>
        <w:t xml:space="preserve">not all people with dementia want to know, and </w:t>
      </w:r>
      <w:r>
        <w:rPr>
          <w:rFonts w:ascii="Times New Roman" w:eastAsia="Times New Roman" w:hAnsi="Times New Roman" w:cs="Times New Roman"/>
          <w:lang w:val="en-US"/>
        </w:rPr>
        <w:t>telling someone of their diagnosis of dementia may be fraught with its own ethica</w:t>
      </w:r>
      <w:r w:rsidR="009C2DEE">
        <w:rPr>
          <w:rFonts w:ascii="Times New Roman" w:eastAsia="Times New Roman" w:hAnsi="Times New Roman" w:cs="Times New Roman"/>
          <w:lang w:val="en-US"/>
        </w:rPr>
        <w:t>l tensions</w:t>
      </w:r>
      <w:r>
        <w:rPr>
          <w:rFonts w:ascii="Times New Roman" w:eastAsia="Times New Roman" w:hAnsi="Times New Roman" w:cs="Times New Roman"/>
          <w:lang w:val="en-US"/>
        </w:rPr>
        <w:t xml:space="preserve"> (Carpenter and Dave, 2004), failing to share the diagnosis of dementia with the person, even in the earlier stages, remains commonplace</w:t>
      </w:r>
      <w:r w:rsidR="009C2DEE">
        <w:rPr>
          <w:rFonts w:ascii="Times New Roman" w:eastAsia="Times New Roman" w:hAnsi="Times New Roman" w:cs="Times New Roman"/>
          <w:lang w:val="en-US"/>
        </w:rPr>
        <w:t>. This is</w:t>
      </w:r>
      <w:r w:rsidR="00731821">
        <w:rPr>
          <w:rFonts w:ascii="Times New Roman" w:eastAsia="Times New Roman" w:hAnsi="Times New Roman" w:cs="Times New Roman"/>
          <w:lang w:val="en-US"/>
        </w:rPr>
        <w:t xml:space="preserve"> even where the individual </w:t>
      </w:r>
      <w:r w:rsidR="00416800">
        <w:rPr>
          <w:rFonts w:ascii="Times New Roman" w:eastAsia="Times New Roman" w:hAnsi="Times New Roman" w:cs="Times New Roman"/>
          <w:i/>
          <w:lang w:val="en-US"/>
        </w:rPr>
        <w:t>does</w:t>
      </w:r>
      <w:r w:rsidR="00731821">
        <w:rPr>
          <w:rFonts w:ascii="Times New Roman" w:eastAsia="Times New Roman" w:hAnsi="Times New Roman" w:cs="Times New Roman"/>
          <w:lang w:val="en-US"/>
        </w:rPr>
        <w:t xml:space="preserve"> want to know</w:t>
      </w:r>
      <w:r w:rsidR="009C2DEE">
        <w:rPr>
          <w:rFonts w:ascii="Times New Roman" w:eastAsia="Times New Roman" w:hAnsi="Times New Roman" w:cs="Times New Roman"/>
          <w:lang w:val="en-US"/>
        </w:rPr>
        <w:t xml:space="preserve"> more about their condition or diagnosis</w:t>
      </w:r>
      <w:r>
        <w:rPr>
          <w:rFonts w:ascii="Times New Roman" w:eastAsia="Times New Roman" w:hAnsi="Times New Roman" w:cs="Times New Roman"/>
          <w:lang w:val="en-US"/>
        </w:rPr>
        <w:t xml:space="preserve"> (Downs, 1997; Holroy, Turnbull, and Wolf, 2002).</w:t>
      </w:r>
      <w:r w:rsidR="00731821">
        <w:rPr>
          <w:rFonts w:ascii="Times New Roman" w:eastAsia="Times New Roman" w:hAnsi="Times New Roman" w:cs="Times New Roman"/>
          <w:lang w:val="en-US"/>
        </w:rPr>
        <w:t xml:space="preserve"> When an individual does have dementia, much research</w:t>
      </w:r>
      <w:r w:rsidR="001B050A">
        <w:rPr>
          <w:rFonts w:ascii="Times New Roman" w:eastAsia="Times New Roman" w:hAnsi="Times New Roman" w:cs="Times New Roman"/>
          <w:lang w:val="en-US"/>
        </w:rPr>
        <w:t xml:space="preserve"> also</w:t>
      </w:r>
      <w:r w:rsidR="00731821">
        <w:rPr>
          <w:rFonts w:ascii="Times New Roman" w:eastAsia="Times New Roman" w:hAnsi="Times New Roman" w:cs="Times New Roman"/>
          <w:lang w:val="en-US"/>
        </w:rPr>
        <w:t xml:space="preserve"> indicates that even basic decision-making is frequently and routinely denied, regardless of their actual </w:t>
      </w:r>
      <w:r w:rsidR="00266003">
        <w:rPr>
          <w:rFonts w:ascii="Times New Roman" w:eastAsia="Times New Roman" w:hAnsi="Times New Roman" w:cs="Times New Roman"/>
          <w:lang w:val="en-US"/>
        </w:rPr>
        <w:t>ability</w:t>
      </w:r>
      <w:r w:rsidR="00731821">
        <w:rPr>
          <w:rFonts w:ascii="Times New Roman" w:eastAsia="Times New Roman" w:hAnsi="Times New Roman" w:cs="Times New Roman"/>
          <w:lang w:val="en-US"/>
        </w:rPr>
        <w:t xml:space="preserve"> to make decisions. Often the very fact that the person has dementia leads to the assumption that they lack </w:t>
      </w:r>
      <w:r w:rsidR="00266003">
        <w:rPr>
          <w:rFonts w:ascii="Times New Roman" w:eastAsia="Times New Roman" w:hAnsi="Times New Roman" w:cs="Times New Roman"/>
          <w:lang w:val="en-US"/>
        </w:rPr>
        <w:t>decision-making ability</w:t>
      </w:r>
      <w:r w:rsidR="00731821">
        <w:rPr>
          <w:rFonts w:ascii="Times New Roman" w:eastAsia="Times New Roman" w:hAnsi="Times New Roman" w:cs="Times New Roman"/>
          <w:lang w:val="en-US"/>
        </w:rPr>
        <w:t xml:space="preserve"> in all areas (Gilliard </w:t>
      </w:r>
      <w:r w:rsidR="00731821">
        <w:rPr>
          <w:rFonts w:ascii="Times New Roman" w:eastAsia="Times New Roman" w:hAnsi="Times New Roman" w:cs="Times New Roman"/>
          <w:i/>
          <w:lang w:val="en-US"/>
        </w:rPr>
        <w:t xml:space="preserve">et al, </w:t>
      </w:r>
      <w:r w:rsidR="00731821">
        <w:rPr>
          <w:rFonts w:ascii="Times New Roman" w:eastAsia="Times New Roman" w:hAnsi="Times New Roman" w:cs="Times New Roman"/>
          <w:lang w:val="en-US"/>
        </w:rPr>
        <w:t>2005</w:t>
      </w:r>
      <w:r w:rsidR="00D40345">
        <w:rPr>
          <w:rFonts w:ascii="Times New Roman" w:eastAsia="Times New Roman" w:hAnsi="Times New Roman" w:cs="Times New Roman"/>
          <w:lang w:val="en-US"/>
        </w:rPr>
        <w:t xml:space="preserve">; Steeman </w:t>
      </w:r>
      <w:r w:rsidR="00D40345">
        <w:rPr>
          <w:rFonts w:ascii="Times New Roman" w:eastAsia="Times New Roman" w:hAnsi="Times New Roman" w:cs="Times New Roman"/>
          <w:i/>
          <w:lang w:val="en-US"/>
        </w:rPr>
        <w:t xml:space="preserve">et al, </w:t>
      </w:r>
      <w:r w:rsidR="00D40345">
        <w:rPr>
          <w:rFonts w:ascii="Times New Roman" w:eastAsia="Times New Roman" w:hAnsi="Times New Roman" w:cs="Times New Roman"/>
          <w:lang w:val="en-US"/>
        </w:rPr>
        <w:t>2007</w:t>
      </w:r>
      <w:r w:rsidR="009C2DEE">
        <w:rPr>
          <w:rFonts w:ascii="Times New Roman" w:eastAsia="Times New Roman" w:hAnsi="Times New Roman" w:cs="Times New Roman"/>
          <w:lang w:val="en-US"/>
        </w:rPr>
        <w:t>), and there is frequently</w:t>
      </w:r>
      <w:r w:rsidR="00731821">
        <w:rPr>
          <w:rFonts w:ascii="Times New Roman" w:eastAsia="Times New Roman" w:hAnsi="Times New Roman" w:cs="Times New Roman"/>
          <w:lang w:val="en-US"/>
        </w:rPr>
        <w:t xml:space="preserve"> a failure to understand their remaining abilities and how they </w:t>
      </w:r>
      <w:r w:rsidR="00731821">
        <w:rPr>
          <w:rFonts w:ascii="Times New Roman" w:eastAsia="Times New Roman" w:hAnsi="Times New Roman" w:cs="Times New Roman"/>
          <w:i/>
          <w:lang w:val="en-US"/>
        </w:rPr>
        <w:t xml:space="preserve">are </w:t>
      </w:r>
      <w:r w:rsidR="009C2DEE">
        <w:rPr>
          <w:rFonts w:ascii="Times New Roman" w:eastAsia="Times New Roman" w:hAnsi="Times New Roman" w:cs="Times New Roman"/>
          <w:lang w:val="en-US"/>
        </w:rPr>
        <w:t>able to assert agency. E</w:t>
      </w:r>
      <w:r w:rsidR="00731821">
        <w:rPr>
          <w:rFonts w:ascii="Times New Roman" w:eastAsia="Times New Roman" w:hAnsi="Times New Roman" w:cs="Times New Roman"/>
          <w:lang w:val="en-US"/>
        </w:rPr>
        <w:t>ven</w:t>
      </w:r>
      <w:r w:rsidR="009C2DEE">
        <w:rPr>
          <w:rFonts w:ascii="Times New Roman" w:eastAsia="Times New Roman" w:hAnsi="Times New Roman" w:cs="Times New Roman"/>
          <w:lang w:val="en-US"/>
        </w:rPr>
        <w:t xml:space="preserve"> people with</w:t>
      </w:r>
      <w:r w:rsidR="00731821">
        <w:rPr>
          <w:rFonts w:ascii="Times New Roman" w:eastAsia="Times New Roman" w:hAnsi="Times New Roman" w:cs="Times New Roman"/>
          <w:lang w:val="en-US"/>
        </w:rPr>
        <w:t xml:space="preserve"> an </w:t>
      </w:r>
      <w:r w:rsidR="009C2DEE">
        <w:rPr>
          <w:rFonts w:ascii="Times New Roman" w:eastAsia="Times New Roman" w:hAnsi="Times New Roman" w:cs="Times New Roman"/>
          <w:lang w:val="en-US"/>
        </w:rPr>
        <w:t>advanced stage of dementia are</w:t>
      </w:r>
      <w:r w:rsidR="00731821">
        <w:rPr>
          <w:rFonts w:ascii="Times New Roman" w:eastAsia="Times New Roman" w:hAnsi="Times New Roman" w:cs="Times New Roman"/>
          <w:lang w:val="en-US"/>
        </w:rPr>
        <w:t xml:space="preserve"> able to demonstrate some level of agency, often in a creative manner (Boyle, 2014). As Boyle notes, the ‘extant cognitive abilities of people with dementia are under-recognised and their emotions and behaviour are often viewed as symptomatic of the illness’ (Boyle, 2014, 1131). </w:t>
      </w:r>
      <w:r w:rsidR="003163EC">
        <w:rPr>
          <w:rFonts w:ascii="Times New Roman" w:eastAsia="Times New Roman" w:hAnsi="Times New Roman" w:cs="Times New Roman"/>
          <w:lang w:val="en-US"/>
        </w:rPr>
        <w:t>In England and Wales under the Mental Capacity Act 2005,</w:t>
      </w:r>
      <w:r w:rsidR="003163EC">
        <w:rPr>
          <w:rStyle w:val="FootnoteReference"/>
          <w:rFonts w:ascii="Times New Roman" w:eastAsia="Times New Roman" w:hAnsi="Times New Roman" w:cs="Times New Roman"/>
          <w:lang w:val="en-US"/>
        </w:rPr>
        <w:footnoteReference w:id="13"/>
      </w:r>
      <w:r w:rsidR="00731821">
        <w:rPr>
          <w:rFonts w:ascii="Times New Roman" w:eastAsia="Times New Roman" w:hAnsi="Times New Roman" w:cs="Times New Roman"/>
          <w:lang w:val="en-US"/>
        </w:rPr>
        <w:t xml:space="preserve"> research has </w:t>
      </w:r>
      <w:r w:rsidR="00266003">
        <w:rPr>
          <w:rFonts w:ascii="Times New Roman" w:eastAsia="Times New Roman" w:hAnsi="Times New Roman" w:cs="Times New Roman"/>
          <w:lang w:val="en-US"/>
        </w:rPr>
        <w:t xml:space="preserve">also </w:t>
      </w:r>
      <w:r w:rsidR="00731821">
        <w:rPr>
          <w:rFonts w:ascii="Times New Roman" w:eastAsia="Times New Roman" w:hAnsi="Times New Roman" w:cs="Times New Roman"/>
          <w:lang w:val="en-US"/>
        </w:rPr>
        <w:t>demonstrated that people with dementia are marginalized from decision-making processes. Studies have shown that they are frequently denied decision-making capacity because they appear to have made an unwise decision or disagree with professional opinion,</w:t>
      </w:r>
      <w:r w:rsidR="00731821">
        <w:rPr>
          <w:rStyle w:val="FootnoteReference"/>
          <w:rFonts w:ascii="Times New Roman" w:eastAsia="Times New Roman" w:hAnsi="Times New Roman" w:cs="Times New Roman"/>
          <w:lang w:val="en-US"/>
        </w:rPr>
        <w:footnoteReference w:id="14"/>
      </w:r>
      <w:r w:rsidR="003163EC">
        <w:rPr>
          <w:rFonts w:ascii="Times New Roman" w:eastAsia="Times New Roman" w:hAnsi="Times New Roman" w:cs="Times New Roman"/>
          <w:lang w:val="en-US"/>
        </w:rPr>
        <w:t xml:space="preserve"> </w:t>
      </w:r>
      <w:r w:rsidR="00731821">
        <w:rPr>
          <w:rFonts w:ascii="Times New Roman" w:eastAsia="Times New Roman" w:hAnsi="Times New Roman" w:cs="Times New Roman"/>
          <w:lang w:val="en-US"/>
        </w:rPr>
        <w:t>do not have th</w:t>
      </w:r>
      <w:r w:rsidR="003163EC">
        <w:rPr>
          <w:rFonts w:ascii="Times New Roman" w:eastAsia="Times New Roman" w:hAnsi="Times New Roman" w:cs="Times New Roman"/>
          <w:lang w:val="en-US"/>
        </w:rPr>
        <w:t>eir views</w:t>
      </w:r>
      <w:r w:rsidR="00731821">
        <w:rPr>
          <w:rFonts w:ascii="Times New Roman" w:eastAsia="Times New Roman" w:hAnsi="Times New Roman" w:cs="Times New Roman"/>
          <w:lang w:val="en-US"/>
        </w:rPr>
        <w:t xml:space="preserve"> listened to during best interests decisions</w:t>
      </w:r>
      <w:r w:rsidR="003163EC">
        <w:rPr>
          <w:rFonts w:ascii="Times New Roman" w:eastAsia="Times New Roman" w:hAnsi="Times New Roman" w:cs="Times New Roman"/>
          <w:lang w:val="en-US"/>
        </w:rPr>
        <w:t>,</w:t>
      </w:r>
      <w:r w:rsidR="003163EC">
        <w:rPr>
          <w:rStyle w:val="FootnoteReference"/>
          <w:rFonts w:ascii="Times New Roman" w:eastAsia="Times New Roman" w:hAnsi="Times New Roman" w:cs="Times New Roman"/>
          <w:lang w:val="en-US"/>
        </w:rPr>
        <w:footnoteReference w:id="15"/>
      </w:r>
      <w:r w:rsidR="00D40345">
        <w:rPr>
          <w:rFonts w:ascii="Times New Roman" w:eastAsia="Times New Roman" w:hAnsi="Times New Roman" w:cs="Times New Roman"/>
          <w:lang w:val="en-US"/>
        </w:rPr>
        <w:t xml:space="preserve"> or even have best interests decisions made for them when th</w:t>
      </w:r>
      <w:r w:rsidR="001B050A">
        <w:rPr>
          <w:rFonts w:ascii="Times New Roman" w:eastAsia="Times New Roman" w:hAnsi="Times New Roman" w:cs="Times New Roman"/>
          <w:lang w:val="en-US"/>
        </w:rPr>
        <w:t xml:space="preserve">e presumption of </w:t>
      </w:r>
      <w:r w:rsidR="00D40345">
        <w:rPr>
          <w:rFonts w:ascii="Times New Roman" w:eastAsia="Times New Roman" w:hAnsi="Times New Roman" w:cs="Times New Roman"/>
          <w:lang w:val="en-US"/>
        </w:rPr>
        <w:t>mental capacity</w:t>
      </w:r>
      <w:r w:rsidR="001B050A">
        <w:rPr>
          <w:rFonts w:ascii="Times New Roman" w:eastAsia="Times New Roman" w:hAnsi="Times New Roman" w:cs="Times New Roman"/>
          <w:lang w:val="en-US"/>
        </w:rPr>
        <w:t xml:space="preserve"> has not been displaced</w:t>
      </w:r>
      <w:r w:rsidR="00731821">
        <w:rPr>
          <w:rFonts w:ascii="Times New Roman" w:eastAsia="Times New Roman" w:hAnsi="Times New Roman" w:cs="Times New Roman"/>
          <w:lang w:val="en-US"/>
        </w:rPr>
        <w:t xml:space="preserve"> (Emmett </w:t>
      </w:r>
      <w:r w:rsidR="00731821">
        <w:rPr>
          <w:rFonts w:ascii="Times New Roman" w:eastAsia="Times New Roman" w:hAnsi="Times New Roman" w:cs="Times New Roman"/>
          <w:i/>
          <w:lang w:val="en-US"/>
        </w:rPr>
        <w:t xml:space="preserve">et al, </w:t>
      </w:r>
      <w:r w:rsidR="00731821">
        <w:rPr>
          <w:rFonts w:ascii="Times New Roman" w:eastAsia="Times New Roman" w:hAnsi="Times New Roman" w:cs="Times New Roman"/>
          <w:lang w:val="en-US"/>
        </w:rPr>
        <w:t xml:space="preserve">2013; </w:t>
      </w:r>
      <w:r w:rsidR="00D40345">
        <w:rPr>
          <w:rFonts w:ascii="Times New Roman" w:eastAsia="Times New Roman" w:hAnsi="Times New Roman" w:cs="Times New Roman"/>
          <w:lang w:val="en-US"/>
        </w:rPr>
        <w:t xml:space="preserve">Williamson </w:t>
      </w:r>
      <w:r w:rsidR="00D40345">
        <w:rPr>
          <w:rFonts w:ascii="Times New Roman" w:eastAsia="Times New Roman" w:hAnsi="Times New Roman" w:cs="Times New Roman"/>
          <w:i/>
          <w:lang w:val="en-US"/>
        </w:rPr>
        <w:t xml:space="preserve">et al, </w:t>
      </w:r>
      <w:r w:rsidR="00D40345">
        <w:rPr>
          <w:rFonts w:ascii="Times New Roman" w:eastAsia="Times New Roman" w:hAnsi="Times New Roman" w:cs="Times New Roman"/>
          <w:lang w:val="en-US"/>
        </w:rPr>
        <w:t xml:space="preserve">2012; Williams </w:t>
      </w:r>
      <w:r w:rsidR="00D40345">
        <w:rPr>
          <w:rFonts w:ascii="Times New Roman" w:eastAsia="Times New Roman" w:hAnsi="Times New Roman" w:cs="Times New Roman"/>
          <w:i/>
          <w:lang w:val="en-US"/>
        </w:rPr>
        <w:t xml:space="preserve">et al, </w:t>
      </w:r>
      <w:r w:rsidR="00D40345">
        <w:rPr>
          <w:rFonts w:ascii="Times New Roman" w:eastAsia="Times New Roman" w:hAnsi="Times New Roman" w:cs="Times New Roman"/>
          <w:lang w:val="en-US"/>
        </w:rPr>
        <w:t>2012)</w:t>
      </w:r>
      <w:r w:rsidR="00731821">
        <w:rPr>
          <w:rFonts w:ascii="Times New Roman" w:eastAsia="Times New Roman" w:hAnsi="Times New Roman" w:cs="Times New Roman"/>
          <w:lang w:val="en-US"/>
        </w:rPr>
        <w:t>.</w:t>
      </w:r>
    </w:p>
    <w:p w14:paraId="33B8AC0D" w14:textId="77777777" w:rsidR="005D6138" w:rsidRDefault="005D6138" w:rsidP="00290E09">
      <w:pPr>
        <w:spacing w:line="360" w:lineRule="auto"/>
        <w:jc w:val="both"/>
        <w:rPr>
          <w:rFonts w:ascii="Times New Roman" w:eastAsia="Times New Roman" w:hAnsi="Times New Roman" w:cs="Times New Roman"/>
          <w:lang w:val="en-US"/>
        </w:rPr>
      </w:pPr>
    </w:p>
    <w:p w14:paraId="14E6FE83" w14:textId="7B660F26" w:rsidR="00DD48B9" w:rsidRPr="00D40345" w:rsidRDefault="00D40345" w:rsidP="00D40345">
      <w:pPr>
        <w:widowControl w:val="0"/>
        <w:autoSpaceDE w:val="0"/>
        <w:autoSpaceDN w:val="0"/>
        <w:adjustRightInd w:val="0"/>
        <w:spacing w:line="360" w:lineRule="auto"/>
        <w:jc w:val="both"/>
        <w:rPr>
          <w:rFonts w:ascii="Times New Roman" w:hAnsi="Times New Roman" w:cs="Times New Roman"/>
          <w:lang w:val="en-US"/>
        </w:rPr>
      </w:pPr>
      <w:r>
        <w:rPr>
          <w:rFonts w:ascii="Times New Roman" w:eastAsia="Times New Roman" w:hAnsi="Times New Roman" w:cs="Times New Roman"/>
          <w:lang w:val="en-US"/>
        </w:rPr>
        <w:t>So in requiring state parties to consider the ways in which legislation can contribute to overcoming such discrimination for people with dementia</w:t>
      </w:r>
      <w:r w:rsidR="001B050A">
        <w:rPr>
          <w:rFonts w:ascii="Times New Roman" w:eastAsia="Times New Roman" w:hAnsi="Times New Roman" w:cs="Times New Roman"/>
          <w:lang w:val="en-US"/>
        </w:rPr>
        <w:t>, Article 12 and GC1 are certainly welcome developments</w:t>
      </w:r>
      <w:r>
        <w:rPr>
          <w:rFonts w:ascii="Times New Roman" w:eastAsia="Times New Roman" w:hAnsi="Times New Roman" w:cs="Times New Roman"/>
          <w:lang w:val="en-US"/>
        </w:rPr>
        <w:t>. But a</w:t>
      </w:r>
      <w:r w:rsidR="005D6138">
        <w:rPr>
          <w:rFonts w:ascii="Times New Roman" w:eastAsia="Times New Roman" w:hAnsi="Times New Roman" w:cs="Times New Roman"/>
          <w:lang w:val="en-US"/>
        </w:rPr>
        <w:t xml:space="preserve">side from </w:t>
      </w:r>
      <w:r w:rsidR="009C2DEE">
        <w:rPr>
          <w:rFonts w:ascii="Times New Roman" w:eastAsia="Times New Roman" w:hAnsi="Times New Roman" w:cs="Times New Roman"/>
          <w:lang w:val="en-US"/>
        </w:rPr>
        <w:t xml:space="preserve">this, </w:t>
      </w:r>
      <w:r w:rsidR="005D6138">
        <w:rPr>
          <w:rFonts w:ascii="Times New Roman" w:eastAsia="Times New Roman" w:hAnsi="Times New Roman" w:cs="Times New Roman"/>
          <w:lang w:val="en-US"/>
        </w:rPr>
        <w:t xml:space="preserve">the notion </w:t>
      </w:r>
      <w:r>
        <w:rPr>
          <w:rFonts w:ascii="Times New Roman" w:eastAsia="Times New Roman" w:hAnsi="Times New Roman" w:cs="Times New Roman"/>
          <w:lang w:val="en-US"/>
        </w:rPr>
        <w:t xml:space="preserve">of ‘support’ within that decision-making </w:t>
      </w:r>
      <w:r w:rsidR="005D6138">
        <w:rPr>
          <w:rFonts w:ascii="Times New Roman" w:eastAsia="Times New Roman" w:hAnsi="Times New Roman" w:cs="Times New Roman"/>
          <w:lang w:val="en-US"/>
        </w:rPr>
        <w:t xml:space="preserve">that the UNCRPD </w:t>
      </w:r>
      <w:r w:rsidR="009C2DEE">
        <w:rPr>
          <w:rFonts w:ascii="Times New Roman" w:eastAsia="Times New Roman" w:hAnsi="Times New Roman" w:cs="Times New Roman"/>
          <w:lang w:val="en-US"/>
        </w:rPr>
        <w:t>and GC1 has brought to the fore</w:t>
      </w:r>
      <w:r w:rsidR="005D6138">
        <w:rPr>
          <w:rFonts w:ascii="Times New Roman" w:eastAsia="Times New Roman" w:hAnsi="Times New Roman" w:cs="Times New Roman"/>
          <w:lang w:val="en-US"/>
        </w:rPr>
        <w:t xml:space="preserve"> is also </w:t>
      </w:r>
      <w:r>
        <w:rPr>
          <w:rFonts w:ascii="Times New Roman" w:eastAsia="Times New Roman" w:hAnsi="Times New Roman" w:cs="Times New Roman"/>
          <w:lang w:val="en-US"/>
        </w:rPr>
        <w:t xml:space="preserve">to be </w:t>
      </w:r>
      <w:r w:rsidR="005D6138">
        <w:rPr>
          <w:rFonts w:ascii="Times New Roman" w:eastAsia="Times New Roman" w:hAnsi="Times New Roman" w:cs="Times New Roman"/>
          <w:lang w:val="en-US"/>
        </w:rPr>
        <w:t>welcomed.</w:t>
      </w:r>
      <w:r>
        <w:rPr>
          <w:rFonts w:ascii="Times New Roman" w:eastAsia="Times New Roman" w:hAnsi="Times New Roman" w:cs="Times New Roman"/>
          <w:lang w:val="en-US"/>
        </w:rPr>
        <w:t xml:space="preserve"> Much empirical evidence involving people with dementia demonstrates how crucial the notion of support is. Not only is support to make decisions important for people who have dementia precisely because their diagnosis means they will, at various points, experience difficulties making decisions, but support is also crucial for people with dementia in a wider sense. As a number of studies have shown, </w:t>
      </w:r>
      <w:r w:rsidRPr="00D40345">
        <w:rPr>
          <w:rFonts w:ascii="Times New Roman" w:eastAsia="Times New Roman" w:hAnsi="Times New Roman" w:cs="Times New Roman"/>
          <w:i/>
          <w:lang w:val="en-US"/>
        </w:rPr>
        <w:t>good</w:t>
      </w:r>
      <w:r>
        <w:rPr>
          <w:rFonts w:ascii="Times New Roman" w:eastAsia="Times New Roman" w:hAnsi="Times New Roman" w:cs="Times New Roman"/>
          <w:lang w:val="en-US"/>
        </w:rPr>
        <w:t xml:space="preserve"> support</w:t>
      </w:r>
      <w:r w:rsidR="00F85D57">
        <w:rPr>
          <w:rFonts w:ascii="Times New Roman" w:eastAsia="Times New Roman" w:hAnsi="Times New Roman" w:cs="Times New Roman"/>
          <w:lang w:val="en-US"/>
        </w:rPr>
        <w:t xml:space="preserve"> interactions with others</w:t>
      </w:r>
      <w:r>
        <w:rPr>
          <w:rFonts w:ascii="Times New Roman" w:eastAsia="Times New Roman" w:hAnsi="Times New Roman" w:cs="Times New Roman"/>
          <w:lang w:val="en-US"/>
        </w:rPr>
        <w:t xml:space="preserve"> can enable many people with dementia to retain a sense of their own identity and their own personhood. </w:t>
      </w:r>
      <w:r w:rsidRPr="00D40345">
        <w:rPr>
          <w:rFonts w:ascii="Times New Roman" w:eastAsia="Times New Roman" w:hAnsi="Times New Roman" w:cs="Times New Roman"/>
          <w:lang w:val="en-US"/>
        </w:rPr>
        <w:t>That is, individuals with dementia are able to retain a sense of identity – even in the face of a declining memory – precisely because of support from</w:t>
      </w:r>
      <w:r>
        <w:rPr>
          <w:rFonts w:ascii="Times New Roman" w:eastAsia="Times New Roman" w:hAnsi="Times New Roman" w:cs="Times New Roman"/>
          <w:lang w:val="en-US"/>
        </w:rPr>
        <w:t xml:space="preserve"> and their interactions and engagement with</w:t>
      </w:r>
      <w:r w:rsidRPr="00D40345">
        <w:rPr>
          <w:rFonts w:ascii="Times New Roman" w:eastAsia="Times New Roman" w:hAnsi="Times New Roman" w:cs="Times New Roman"/>
          <w:lang w:val="en-US"/>
        </w:rPr>
        <w:t xml:space="preserve"> individuals and organisations around them </w:t>
      </w:r>
      <w:r w:rsidR="00C71D94">
        <w:rPr>
          <w:rFonts w:ascii="Times New Roman" w:eastAsia="Times New Roman" w:hAnsi="Times New Roman" w:cs="Times New Roman"/>
          <w:lang w:val="en-US"/>
        </w:rPr>
        <w:t>(Pearce, Clare, and</w:t>
      </w:r>
      <w:r w:rsidR="00F85D57" w:rsidRPr="00F85D57">
        <w:rPr>
          <w:rFonts w:ascii="Times New Roman" w:eastAsia="Times New Roman" w:hAnsi="Times New Roman" w:cs="Times New Roman"/>
          <w:lang w:val="en-US"/>
        </w:rPr>
        <w:t xml:space="preserve"> Pistrang, 2002; B</w:t>
      </w:r>
      <w:r w:rsidR="00C71D94">
        <w:rPr>
          <w:rFonts w:ascii="Times New Roman" w:eastAsia="Times New Roman" w:hAnsi="Times New Roman" w:cs="Times New Roman"/>
          <w:lang w:val="en-US"/>
        </w:rPr>
        <w:t>eard, 2004; Preston, Marshall, and</w:t>
      </w:r>
      <w:r w:rsidR="00F85D57" w:rsidRPr="00F85D57">
        <w:rPr>
          <w:rFonts w:ascii="Times New Roman" w:eastAsia="Times New Roman" w:hAnsi="Times New Roman" w:cs="Times New Roman"/>
          <w:lang w:val="en-US"/>
        </w:rPr>
        <w:t xml:space="preserve"> Bucks, 2007</w:t>
      </w:r>
      <w:r w:rsidR="003163EC">
        <w:rPr>
          <w:rFonts w:ascii="Times New Roman" w:eastAsia="Times New Roman" w:hAnsi="Times New Roman" w:cs="Times New Roman"/>
          <w:lang w:val="en-US"/>
        </w:rPr>
        <w:t>; Wolverson, Clarke,</w:t>
      </w:r>
      <w:r w:rsidR="00C71D94">
        <w:rPr>
          <w:rFonts w:ascii="Times New Roman" w:eastAsia="Times New Roman" w:hAnsi="Times New Roman" w:cs="Times New Roman"/>
          <w:lang w:val="en-US"/>
        </w:rPr>
        <w:t xml:space="preserve"> and</w:t>
      </w:r>
      <w:r w:rsidR="003163EC">
        <w:rPr>
          <w:rFonts w:ascii="Times New Roman" w:eastAsia="Times New Roman" w:hAnsi="Times New Roman" w:cs="Times New Roman"/>
          <w:lang w:val="en-US"/>
        </w:rPr>
        <w:t xml:space="preserve"> Moniz-Cook, 2016</w:t>
      </w:r>
      <w:r w:rsidRPr="00F85D57">
        <w:rPr>
          <w:rFonts w:ascii="Times New Roman" w:eastAsia="Times New Roman" w:hAnsi="Times New Roman" w:cs="Times New Roman"/>
          <w:lang w:val="en-US"/>
        </w:rPr>
        <w:t>).</w:t>
      </w:r>
      <w:r w:rsidRPr="00D40345">
        <w:rPr>
          <w:rFonts w:ascii="Times New Roman" w:eastAsia="Times New Roman" w:hAnsi="Times New Roman" w:cs="Times New Roman"/>
          <w:lang w:val="en-US"/>
        </w:rPr>
        <w:t xml:space="preserve">  Likewise, </w:t>
      </w:r>
      <w:r w:rsidRPr="00D40345">
        <w:rPr>
          <w:rFonts w:ascii="Times New Roman" w:eastAsia="Times New Roman" w:hAnsi="Times New Roman" w:cs="Times New Roman"/>
          <w:i/>
          <w:lang w:val="en-US"/>
        </w:rPr>
        <w:t xml:space="preserve">bad </w:t>
      </w:r>
      <w:r w:rsidRPr="00D40345">
        <w:rPr>
          <w:rFonts w:ascii="Times New Roman" w:eastAsia="Times New Roman" w:hAnsi="Times New Roman" w:cs="Times New Roman"/>
          <w:lang w:val="en-US"/>
        </w:rPr>
        <w:t xml:space="preserve">support </w:t>
      </w:r>
      <w:r>
        <w:rPr>
          <w:rFonts w:ascii="Times New Roman" w:eastAsia="Times New Roman" w:hAnsi="Times New Roman" w:cs="Times New Roman"/>
          <w:lang w:val="en-US"/>
        </w:rPr>
        <w:t xml:space="preserve">or bad interactions </w:t>
      </w:r>
      <w:r w:rsidRPr="00D40345">
        <w:rPr>
          <w:rFonts w:ascii="Times New Roman" w:eastAsia="Times New Roman" w:hAnsi="Times New Roman" w:cs="Times New Roman"/>
          <w:lang w:val="en-US"/>
        </w:rPr>
        <w:t>can contribute to the destruction of a person’</w:t>
      </w:r>
      <w:r>
        <w:rPr>
          <w:rFonts w:ascii="Times New Roman" w:eastAsia="Times New Roman" w:hAnsi="Times New Roman" w:cs="Times New Roman"/>
          <w:lang w:val="en-US"/>
        </w:rPr>
        <w:t>s sense of self (Kitwood and Bredin, 1992).</w:t>
      </w:r>
      <w:r w:rsidRPr="00D40345">
        <w:rPr>
          <w:rFonts w:ascii="Times New Roman" w:eastAsia="Times New Roman" w:hAnsi="Times New Roman" w:cs="Times New Roman"/>
          <w:lang w:val="en-US"/>
        </w:rPr>
        <w:t xml:space="preserve"> As Sabat and Harré note, this distinction between good and bad support frequently turns on how the information about an individual’s dementia is received by others around them</w:t>
      </w:r>
      <w:r w:rsidR="00393017">
        <w:rPr>
          <w:rFonts w:ascii="Times New Roman" w:eastAsia="Times New Roman" w:hAnsi="Times New Roman" w:cs="Times New Roman"/>
          <w:lang w:val="en-US"/>
        </w:rPr>
        <w:t xml:space="preserve"> – a point that this paper will return to in section 3</w:t>
      </w:r>
      <w:r w:rsidRPr="00D40345">
        <w:rPr>
          <w:rFonts w:ascii="Times New Roman" w:eastAsia="Times New Roman" w:hAnsi="Times New Roman" w:cs="Times New Roman"/>
          <w:lang w:val="en-US"/>
        </w:rPr>
        <w:t>. If the person’s behaviour ‘</w:t>
      </w:r>
      <w:r w:rsidRPr="00D40345">
        <w:rPr>
          <w:rFonts w:ascii="Times New Roman" w:hAnsi="Times New Roman" w:cs="Times New Roman"/>
          <w:lang w:val="en-US"/>
        </w:rPr>
        <w:t>is founded on story lines that paint the sufferer as inadequate, confused, helpless…then that person will be so positioned and will have his…behaviour interpreted by others in such a way as to confirm the initial storyline’ (</w:t>
      </w:r>
      <w:r w:rsidRPr="00D40345">
        <w:rPr>
          <w:rFonts w:ascii="Times New Roman" w:eastAsia="Times New Roman" w:hAnsi="Times New Roman" w:cs="Times New Roman"/>
          <w:lang w:val="en-US"/>
        </w:rPr>
        <w:t xml:space="preserve">Sabat and Harré, 1992, 460). </w:t>
      </w:r>
    </w:p>
    <w:p w14:paraId="527C096D" w14:textId="77777777" w:rsidR="00064753" w:rsidRDefault="00064753" w:rsidP="00FC0F00">
      <w:pPr>
        <w:spacing w:line="360" w:lineRule="auto"/>
        <w:jc w:val="both"/>
        <w:rPr>
          <w:rFonts w:ascii="Times New Roman" w:eastAsia="Times New Roman" w:hAnsi="Times New Roman" w:cs="Times New Roman"/>
          <w:lang w:val="en-US"/>
        </w:rPr>
      </w:pPr>
    </w:p>
    <w:p w14:paraId="2B350FEF" w14:textId="4FFB1F7C" w:rsidR="002706FD" w:rsidRDefault="00393017" w:rsidP="00FC0F00">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71134D">
        <w:rPr>
          <w:rFonts w:ascii="Times New Roman" w:eastAsia="Times New Roman" w:hAnsi="Times New Roman" w:cs="Times New Roman"/>
          <w:lang w:val="en-US"/>
        </w:rPr>
        <w:t>otwithstanding the</w:t>
      </w:r>
      <w:r w:rsidR="009C2DEE">
        <w:rPr>
          <w:rFonts w:ascii="Times New Roman" w:eastAsia="Times New Roman" w:hAnsi="Times New Roman" w:cs="Times New Roman"/>
          <w:lang w:val="en-US"/>
        </w:rPr>
        <w:t xml:space="preserve">se points, </w:t>
      </w:r>
      <w:r w:rsidR="00064753">
        <w:rPr>
          <w:rFonts w:ascii="Times New Roman" w:eastAsia="Times New Roman" w:hAnsi="Times New Roman" w:cs="Times New Roman"/>
          <w:lang w:val="en-US"/>
        </w:rPr>
        <w:t xml:space="preserve">subsequent interpretations of both GC1 and the Convention </w:t>
      </w:r>
      <w:r w:rsidR="0071134D">
        <w:rPr>
          <w:rFonts w:ascii="Times New Roman" w:eastAsia="Times New Roman" w:hAnsi="Times New Roman" w:cs="Times New Roman"/>
          <w:lang w:val="en-US"/>
        </w:rPr>
        <w:t>ostensibly</w:t>
      </w:r>
      <w:r w:rsidR="00D03D6B">
        <w:rPr>
          <w:rFonts w:ascii="Times New Roman" w:eastAsia="Times New Roman" w:hAnsi="Times New Roman" w:cs="Times New Roman"/>
          <w:lang w:val="en-US"/>
        </w:rPr>
        <w:t xml:space="preserve"> </w:t>
      </w:r>
      <w:r w:rsidR="001B050A">
        <w:rPr>
          <w:rFonts w:ascii="Times New Roman" w:eastAsia="Times New Roman" w:hAnsi="Times New Roman" w:cs="Times New Roman"/>
          <w:lang w:val="en-US"/>
        </w:rPr>
        <w:t>present a one-dimensional view of</w:t>
      </w:r>
      <w:r w:rsidR="002667B6">
        <w:rPr>
          <w:rFonts w:ascii="Times New Roman" w:eastAsia="Times New Roman" w:hAnsi="Times New Roman" w:cs="Times New Roman"/>
          <w:lang w:val="en-US"/>
        </w:rPr>
        <w:t xml:space="preserve"> supported decision-making</w:t>
      </w:r>
      <w:r w:rsidR="0020072E">
        <w:rPr>
          <w:rFonts w:ascii="Times New Roman" w:eastAsia="Times New Roman" w:hAnsi="Times New Roman" w:cs="Times New Roman"/>
          <w:lang w:val="en-US"/>
        </w:rPr>
        <w:t xml:space="preserve">. </w:t>
      </w:r>
      <w:r w:rsidR="002706FD">
        <w:rPr>
          <w:rFonts w:ascii="Times New Roman" w:eastAsia="Times New Roman" w:hAnsi="Times New Roman" w:cs="Times New Roman"/>
          <w:lang w:val="en-US"/>
        </w:rPr>
        <w:t xml:space="preserve"> An ex</w:t>
      </w:r>
      <w:r w:rsidR="00196247">
        <w:rPr>
          <w:rFonts w:ascii="Times New Roman" w:eastAsia="Times New Roman" w:hAnsi="Times New Roman" w:cs="Times New Roman"/>
          <w:lang w:val="en-US"/>
        </w:rPr>
        <w:t>a</w:t>
      </w:r>
      <w:r w:rsidR="002706FD">
        <w:rPr>
          <w:rFonts w:ascii="Times New Roman" w:eastAsia="Times New Roman" w:hAnsi="Times New Roman" w:cs="Times New Roman"/>
          <w:lang w:val="en-US"/>
        </w:rPr>
        <w:t>mple of this can be found in the following analysis of the role of support within the UNCRPD and GC1:</w:t>
      </w:r>
    </w:p>
    <w:p w14:paraId="7B425D2A" w14:textId="2179AAC3" w:rsidR="002706FD" w:rsidRDefault="002706FD" w:rsidP="002667B6">
      <w:pPr>
        <w:spacing w:line="360" w:lineRule="auto"/>
        <w:ind w:left="720" w:right="740"/>
        <w:jc w:val="both"/>
        <w:rPr>
          <w:rFonts w:ascii="Times New Roman" w:eastAsia="Times New Roman" w:hAnsi="Times New Roman" w:cs="Times New Roman"/>
          <w:lang w:val="en-US"/>
        </w:rPr>
      </w:pPr>
      <w:r w:rsidRPr="002706FD">
        <w:rPr>
          <w:rFonts w:ascii="Times New Roman" w:eastAsia="Times New Roman" w:hAnsi="Times New Roman" w:cs="Times New Roman"/>
          <w:lang w:val="en-US"/>
        </w:rPr>
        <w:t>Article 12 requires a support model of legal capacity to include a permanent presumption in favour of</w:t>
      </w:r>
      <w:r>
        <w:rPr>
          <w:rFonts w:ascii="Times New Roman" w:eastAsia="Times New Roman" w:hAnsi="Times New Roman" w:cs="Times New Roman"/>
          <w:lang w:val="en-US"/>
        </w:rPr>
        <w:t xml:space="preserve"> </w:t>
      </w:r>
      <w:r w:rsidRPr="002706FD">
        <w:rPr>
          <w:rFonts w:ascii="Times New Roman" w:eastAsia="Times New Roman" w:hAnsi="Times New Roman" w:cs="Times New Roman"/>
          <w:lang w:val="en-US"/>
        </w:rPr>
        <w:t>the will and preferences of the individual</w:t>
      </w:r>
      <w:r>
        <w:rPr>
          <w:rFonts w:ascii="Times New Roman" w:eastAsia="Times New Roman" w:hAnsi="Times New Roman" w:cs="Times New Roman"/>
          <w:lang w:val="en-US"/>
        </w:rPr>
        <w:t>...</w:t>
      </w:r>
      <w:r w:rsidRPr="002706FD">
        <w:rPr>
          <w:rFonts w:ascii="Times New Roman" w:eastAsia="Times New Roman" w:hAnsi="Times New Roman" w:cs="Times New Roman"/>
          <w:lang w:val="en-US"/>
        </w:rPr>
        <w:t>The individual is the</w:t>
      </w:r>
      <w:r>
        <w:rPr>
          <w:rFonts w:ascii="Times New Roman" w:eastAsia="Times New Roman" w:hAnsi="Times New Roman" w:cs="Times New Roman"/>
          <w:lang w:val="en-US"/>
        </w:rPr>
        <w:t xml:space="preserve"> decision-maker...</w:t>
      </w:r>
      <w:r w:rsidRPr="002706FD">
        <w:rPr>
          <w:rFonts w:ascii="Times New Roman" w:eastAsia="Times New Roman" w:hAnsi="Times New Roman" w:cs="Times New Roman"/>
          <w:lang w:val="en-US"/>
        </w:rPr>
        <w:t>and the role of supporters is confined to explaining details of</w:t>
      </w:r>
      <w:r>
        <w:rPr>
          <w:rFonts w:ascii="Times New Roman" w:eastAsia="Times New Roman" w:hAnsi="Times New Roman" w:cs="Times New Roman"/>
          <w:lang w:val="en-US"/>
        </w:rPr>
        <w:t xml:space="preserve"> </w:t>
      </w:r>
      <w:r w:rsidRPr="002706FD">
        <w:rPr>
          <w:rFonts w:ascii="Times New Roman" w:eastAsia="Times New Roman" w:hAnsi="Times New Roman" w:cs="Times New Roman"/>
          <w:lang w:val="en-US"/>
        </w:rPr>
        <w:t>the decision to be made and interpreting the wishes of the individual where necessary</w:t>
      </w:r>
      <w:r>
        <w:rPr>
          <w:rFonts w:ascii="Times New Roman" w:eastAsia="Times New Roman" w:hAnsi="Times New Roman" w:cs="Times New Roman"/>
          <w:lang w:val="en-US"/>
        </w:rPr>
        <w:t>...(Flyn</w:t>
      </w:r>
      <w:r w:rsidR="001B050A">
        <w:rPr>
          <w:rFonts w:ascii="Times New Roman" w:eastAsia="Times New Roman" w:hAnsi="Times New Roman" w:cs="Times New Roman"/>
          <w:lang w:val="en-US"/>
        </w:rPr>
        <w:t xml:space="preserve">n and Arstein-Kerslake, 2014, </w:t>
      </w:r>
      <w:r>
        <w:rPr>
          <w:rFonts w:ascii="Times New Roman" w:eastAsia="Times New Roman" w:hAnsi="Times New Roman" w:cs="Times New Roman"/>
          <w:lang w:val="en-US"/>
        </w:rPr>
        <w:t>85, citations omitted).</w:t>
      </w:r>
      <w:r>
        <w:rPr>
          <w:rStyle w:val="FootnoteReference"/>
          <w:rFonts w:ascii="Times New Roman" w:eastAsia="Times New Roman" w:hAnsi="Times New Roman" w:cs="Times New Roman"/>
          <w:lang w:val="en-US"/>
        </w:rPr>
        <w:footnoteReference w:id="16"/>
      </w:r>
    </w:p>
    <w:p w14:paraId="182E2FF6" w14:textId="77777777" w:rsidR="00D87163" w:rsidRDefault="002706FD" w:rsidP="001B050A">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Similarly, Arstein-Kerslake envisages that ‘the goal of the supported decision-maker is to do everything in her power to not impose her own will and preferences on the individual whom she is support</w:t>
      </w:r>
      <w:r w:rsidR="00D87163">
        <w:rPr>
          <w:rFonts w:ascii="Times New Roman" w:eastAsia="Times New Roman" w:hAnsi="Times New Roman" w:cs="Times New Roman"/>
          <w:lang w:val="en-US"/>
        </w:rPr>
        <w:t xml:space="preserve">ing’ (Arstein-Kerslake, 2016, </w:t>
      </w:r>
      <w:r>
        <w:rPr>
          <w:rFonts w:ascii="Times New Roman" w:eastAsia="Times New Roman" w:hAnsi="Times New Roman" w:cs="Times New Roman"/>
          <w:lang w:val="en-US"/>
        </w:rPr>
        <w:t>85).</w:t>
      </w:r>
      <w:r w:rsidR="003B67F5">
        <w:rPr>
          <w:rFonts w:ascii="Times New Roman" w:eastAsia="Times New Roman" w:hAnsi="Times New Roman" w:cs="Times New Roman"/>
          <w:lang w:val="en-US"/>
        </w:rPr>
        <w:t xml:space="preserve"> Moreover, </w:t>
      </w:r>
      <w:r w:rsidR="00196247">
        <w:rPr>
          <w:rFonts w:ascii="Times New Roman" w:eastAsia="Times New Roman" w:hAnsi="Times New Roman" w:cs="Times New Roman"/>
          <w:lang w:val="en-US"/>
        </w:rPr>
        <w:t xml:space="preserve">while </w:t>
      </w:r>
      <w:r w:rsidR="003B67F5">
        <w:rPr>
          <w:rFonts w:ascii="Times New Roman" w:eastAsia="Times New Roman" w:hAnsi="Times New Roman" w:cs="Times New Roman"/>
          <w:lang w:val="en-US"/>
        </w:rPr>
        <w:t xml:space="preserve">GC1 itself acknowledges that in some circumstances it may not be possible to ascertain an individual’s </w:t>
      </w:r>
      <w:r w:rsidR="00196247">
        <w:rPr>
          <w:rFonts w:ascii="Times New Roman" w:eastAsia="Times New Roman" w:hAnsi="Times New Roman" w:cs="Times New Roman"/>
          <w:lang w:val="en-US"/>
        </w:rPr>
        <w:t>actual will and preferences,</w:t>
      </w:r>
      <w:r w:rsidR="003B67F5">
        <w:rPr>
          <w:rFonts w:ascii="Times New Roman" w:eastAsia="Times New Roman" w:hAnsi="Times New Roman" w:cs="Times New Roman"/>
          <w:lang w:val="en-US"/>
        </w:rPr>
        <w:t xml:space="preserve"> in such circumstances </w:t>
      </w:r>
      <w:r w:rsidR="00196247">
        <w:rPr>
          <w:rFonts w:ascii="Times New Roman" w:eastAsia="Times New Roman" w:hAnsi="Times New Roman" w:cs="Times New Roman"/>
          <w:lang w:val="en-US"/>
        </w:rPr>
        <w:t xml:space="preserve">it states that </w:t>
      </w:r>
      <w:r w:rsidR="003B67F5">
        <w:rPr>
          <w:rFonts w:ascii="Times New Roman" w:eastAsia="Times New Roman" w:hAnsi="Times New Roman" w:cs="Times New Roman"/>
          <w:lang w:val="en-US"/>
        </w:rPr>
        <w:t>action must be taken on the ‘best interpretation’ of their will and preferences (para. 21).</w:t>
      </w:r>
      <w:r w:rsidR="00D87163">
        <w:rPr>
          <w:rFonts w:ascii="Times New Roman" w:eastAsia="Times New Roman" w:hAnsi="Times New Roman" w:cs="Times New Roman"/>
          <w:lang w:val="en-US"/>
        </w:rPr>
        <w:t xml:space="preserve"> In effect, according to Flynn and Arstein-Kerslake’s interpretation, the individual remains solely in charge of the decision to be made, and any support is simply there to enable them to discover their own will and preferences or to execute their decision. Their supporter’s will and preferences should never be a factor in the decision to be made.</w:t>
      </w:r>
      <w:r w:rsidR="00D87163" w:rsidRPr="00D87163">
        <w:rPr>
          <w:rFonts w:ascii="Times New Roman" w:eastAsia="Times New Roman" w:hAnsi="Times New Roman" w:cs="Times New Roman"/>
          <w:lang w:val="en-US"/>
        </w:rPr>
        <w:t xml:space="preserve"> </w:t>
      </w:r>
    </w:p>
    <w:p w14:paraId="01EE1452" w14:textId="77777777" w:rsidR="00D87163" w:rsidRDefault="00D87163" w:rsidP="001B050A">
      <w:pPr>
        <w:spacing w:line="360" w:lineRule="auto"/>
        <w:jc w:val="both"/>
        <w:rPr>
          <w:rFonts w:ascii="Times New Roman" w:eastAsia="Times New Roman" w:hAnsi="Times New Roman" w:cs="Times New Roman"/>
          <w:lang w:val="en-US"/>
        </w:rPr>
      </w:pPr>
    </w:p>
    <w:p w14:paraId="15196B1D" w14:textId="24E81625" w:rsidR="00DB043C" w:rsidRPr="00D87163" w:rsidRDefault="00D87163" w:rsidP="001B050A">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This interpretation</w:t>
      </w:r>
      <w:r w:rsidR="00196247">
        <w:rPr>
          <w:rFonts w:ascii="Times New Roman" w:eastAsia="Times New Roman" w:hAnsi="Times New Roman" w:cs="Times New Roman"/>
          <w:lang w:val="en-US"/>
        </w:rPr>
        <w:t xml:space="preserve"> </w:t>
      </w:r>
      <w:r>
        <w:rPr>
          <w:rFonts w:ascii="Times New Roman" w:eastAsia="Times New Roman" w:hAnsi="Times New Roman" w:cs="Times New Roman"/>
          <w:lang w:val="en-US"/>
        </w:rPr>
        <w:t>of supported decision-making is</w:t>
      </w:r>
      <w:r w:rsidR="00C1601E">
        <w:rPr>
          <w:rFonts w:ascii="Times New Roman" w:eastAsia="Times New Roman" w:hAnsi="Times New Roman" w:cs="Times New Roman"/>
          <w:lang w:val="en-US"/>
        </w:rPr>
        <w:t xml:space="preserve"> problematic on at least two fronts. First, it assumes that a person’s will and preferences converge, which, as </w:t>
      </w:r>
      <w:r w:rsidR="00196247">
        <w:rPr>
          <w:rFonts w:ascii="Times New Roman" w:eastAsia="Times New Roman" w:hAnsi="Times New Roman" w:cs="Times New Roman"/>
          <w:lang w:val="en-US"/>
        </w:rPr>
        <w:t xml:space="preserve">Szmukler (2017, </w:t>
      </w:r>
      <w:r w:rsidR="00C1601E">
        <w:rPr>
          <w:rFonts w:ascii="Times New Roman" w:eastAsia="Times New Roman" w:hAnsi="Times New Roman" w:cs="Times New Roman"/>
          <w:lang w:val="en-US"/>
        </w:rPr>
        <w:t>93) points out, may not be the case.</w:t>
      </w:r>
      <w:r w:rsidR="00DB043C">
        <w:rPr>
          <w:rFonts w:ascii="Times New Roman" w:eastAsia="Times New Roman" w:hAnsi="Times New Roman" w:cs="Times New Roman"/>
          <w:lang w:val="en-US"/>
        </w:rPr>
        <w:t xml:space="preserve"> </w:t>
      </w:r>
      <w:r w:rsidR="007B1151">
        <w:rPr>
          <w:rFonts w:ascii="Times New Roman" w:eastAsia="Times New Roman" w:hAnsi="Times New Roman" w:cs="Times New Roman"/>
          <w:lang w:val="en-US"/>
        </w:rPr>
        <w:t xml:space="preserve">In </w:t>
      </w:r>
      <w:r w:rsidR="00B36DED">
        <w:rPr>
          <w:rFonts w:ascii="Times New Roman" w:eastAsia="Times New Roman" w:hAnsi="Times New Roman" w:cs="Times New Roman"/>
          <w:lang w:val="en-US"/>
        </w:rPr>
        <w:t>situations</w:t>
      </w:r>
      <w:r w:rsidR="007B1151">
        <w:rPr>
          <w:rFonts w:ascii="Times New Roman" w:eastAsia="Times New Roman" w:hAnsi="Times New Roman" w:cs="Times New Roman"/>
          <w:lang w:val="en-US"/>
        </w:rPr>
        <w:t xml:space="preserve"> where the person has dementia this incongruence may be particularly pronounced where current ‘will and preferences’, which may result from the changes brought about by the dementia, may diverge completely from previous ‘will and preferences’ from a time before the person had dementia. Consider, for example, someone who was, in their earlier life, a devout vega</w:t>
      </w:r>
      <w:r w:rsidR="00D36AE4">
        <w:rPr>
          <w:rFonts w:ascii="Times New Roman" w:eastAsia="Times New Roman" w:hAnsi="Times New Roman" w:cs="Times New Roman"/>
          <w:lang w:val="en-US"/>
        </w:rPr>
        <w:t>n. Yet as their dementia advances, they demonstrate a liking</w:t>
      </w:r>
      <w:r w:rsidR="007B1151">
        <w:rPr>
          <w:rFonts w:ascii="Times New Roman" w:eastAsia="Times New Roman" w:hAnsi="Times New Roman" w:cs="Times New Roman"/>
          <w:lang w:val="en-US"/>
        </w:rPr>
        <w:t xml:space="preserve"> for meat and their ‘will and preferences’ clearly indicate that they would like to eat meat. </w:t>
      </w:r>
      <w:r>
        <w:rPr>
          <w:rFonts w:ascii="Times New Roman" w:eastAsia="Times New Roman" w:hAnsi="Times New Roman" w:cs="Times New Roman"/>
          <w:lang w:val="en-US"/>
        </w:rPr>
        <w:t>On</w:t>
      </w:r>
      <w:r w:rsidR="007B1151">
        <w:rPr>
          <w:rFonts w:ascii="Times New Roman" w:eastAsia="Times New Roman" w:hAnsi="Times New Roman" w:cs="Times New Roman"/>
          <w:lang w:val="en-US"/>
        </w:rPr>
        <w:t xml:space="preserve"> the face of it, GC1 offers no guidance as to which ‘will and preferences’ are to be preferred in cases such as these</w:t>
      </w:r>
      <w:r>
        <w:rPr>
          <w:rFonts w:ascii="Times New Roman" w:eastAsia="Times New Roman" w:hAnsi="Times New Roman" w:cs="Times New Roman"/>
          <w:lang w:val="en-US"/>
        </w:rPr>
        <w:t xml:space="preserve"> where a person’s will and preferences undergo an apparent U-turn</w:t>
      </w:r>
      <w:r w:rsidR="007B1151">
        <w:rPr>
          <w:rFonts w:ascii="Times New Roman" w:eastAsia="Times New Roman" w:hAnsi="Times New Roman" w:cs="Times New Roman"/>
          <w:lang w:val="en-US"/>
        </w:rPr>
        <w:t>.</w:t>
      </w:r>
      <w:r w:rsidR="007B1151">
        <w:rPr>
          <w:rStyle w:val="FootnoteReference"/>
          <w:rFonts w:ascii="Times New Roman" w:eastAsia="Times New Roman" w:hAnsi="Times New Roman" w:cs="Times New Roman"/>
          <w:lang w:val="en-US"/>
        </w:rPr>
        <w:footnoteReference w:id="17"/>
      </w:r>
      <w:r w:rsidR="00D36AE4">
        <w:rPr>
          <w:rFonts w:ascii="Times New Roman" w:eastAsia="Times New Roman" w:hAnsi="Times New Roman" w:cs="Times New Roman"/>
          <w:lang w:val="en-US"/>
        </w:rPr>
        <w:t xml:space="preserve"> </w:t>
      </w:r>
      <w:r w:rsidR="001B050A">
        <w:rPr>
          <w:rFonts w:ascii="Times New Roman" w:eastAsia="Times New Roman" w:hAnsi="Times New Roman" w:cs="Times New Roman"/>
          <w:lang w:val="en-US"/>
        </w:rPr>
        <w:t xml:space="preserve">As such, the UNCRPD, GC1, nor </w:t>
      </w:r>
      <w:r>
        <w:rPr>
          <w:rFonts w:ascii="Times New Roman" w:eastAsia="Times New Roman" w:hAnsi="Times New Roman" w:cs="Times New Roman"/>
          <w:lang w:val="en-US"/>
        </w:rPr>
        <w:t xml:space="preserve">some </w:t>
      </w:r>
      <w:r w:rsidR="001B050A">
        <w:rPr>
          <w:rFonts w:ascii="Times New Roman" w:eastAsia="Times New Roman" w:hAnsi="Times New Roman" w:cs="Times New Roman"/>
          <w:lang w:val="en-US"/>
        </w:rPr>
        <w:t>academic debate on the matter, confronts</w:t>
      </w:r>
      <w:r w:rsidR="00D36AE4">
        <w:rPr>
          <w:rFonts w:ascii="Times New Roman" w:eastAsia="Times New Roman" w:hAnsi="Times New Roman" w:cs="Times New Roman"/>
          <w:lang w:val="en-US"/>
        </w:rPr>
        <w:t xml:space="preserve"> the ‘personhood problem’ – whether </w:t>
      </w:r>
      <w:r w:rsidR="001B050A" w:rsidRPr="001B050A">
        <w:rPr>
          <w:rFonts w:ascii="Times New Roman" w:eastAsia="Times New Roman" w:hAnsi="Times New Roman" w:cs="Times New Roman"/>
          <w:lang w:val="en-US"/>
        </w:rPr>
        <w:t>the person with dementia is the same ‘person’</w:t>
      </w:r>
      <w:r w:rsidR="00D36AE4">
        <w:rPr>
          <w:rFonts w:ascii="Times New Roman" w:eastAsia="Times New Roman" w:hAnsi="Times New Roman" w:cs="Times New Roman"/>
          <w:lang w:val="en-US"/>
        </w:rPr>
        <w:t xml:space="preserve"> as they were before they had dementia – and therefore which wishes should prevail (Dworkin, 1986; Dworkin, 1993; Degrazia, 1999).</w:t>
      </w:r>
      <w:r w:rsidR="001B050A" w:rsidRPr="001B050A">
        <w:rPr>
          <w:rFonts w:ascii="Times New Roman" w:eastAsia="Times New Roman" w:hAnsi="Times New Roman" w:cs="Times New Roman"/>
          <w:lang w:val="en-US"/>
        </w:rPr>
        <w:t xml:space="preserve"> If they are not the same person, as Dresser</w:t>
      </w:r>
      <w:r w:rsidR="00D36AE4">
        <w:rPr>
          <w:rFonts w:ascii="Times New Roman" w:eastAsia="Times New Roman" w:hAnsi="Times New Roman" w:cs="Times New Roman"/>
          <w:lang w:val="en-US"/>
        </w:rPr>
        <w:t xml:space="preserve"> (1994; 1995) argues, </w:t>
      </w:r>
      <w:r w:rsidR="001B050A" w:rsidRPr="001B050A">
        <w:rPr>
          <w:rFonts w:ascii="Times New Roman" w:eastAsia="Times New Roman" w:hAnsi="Times New Roman" w:cs="Times New Roman"/>
          <w:lang w:val="en-US"/>
        </w:rPr>
        <w:t>then previously stated wishes should have</w:t>
      </w:r>
      <w:r w:rsidR="00D36AE4">
        <w:rPr>
          <w:rFonts w:ascii="Times New Roman" w:eastAsia="Times New Roman" w:hAnsi="Times New Roman" w:cs="Times New Roman"/>
          <w:lang w:val="en-US"/>
        </w:rPr>
        <w:t xml:space="preserve"> </w:t>
      </w:r>
      <w:r w:rsidR="001B050A" w:rsidRPr="001B050A">
        <w:rPr>
          <w:rFonts w:ascii="Times New Roman" w:eastAsia="Times New Roman" w:hAnsi="Times New Roman" w:cs="Times New Roman"/>
          <w:lang w:val="en-US"/>
        </w:rPr>
        <w:t xml:space="preserve">minimal impact </w:t>
      </w:r>
      <w:r w:rsidR="00D36AE4">
        <w:rPr>
          <w:rFonts w:ascii="Times New Roman" w:eastAsia="Times New Roman" w:hAnsi="Times New Roman" w:cs="Times New Roman"/>
          <w:lang w:val="en-US"/>
        </w:rPr>
        <w:t>and it is contemporaneous wishes that should carry the greatest weight</w:t>
      </w:r>
      <w:r w:rsidR="001B050A" w:rsidRPr="001B050A">
        <w:rPr>
          <w:rFonts w:ascii="Times New Roman" w:eastAsia="Times New Roman" w:hAnsi="Times New Roman" w:cs="Times New Roman"/>
          <w:lang w:val="en-US"/>
        </w:rPr>
        <w:t>.</w:t>
      </w:r>
      <w:r w:rsidR="001B050A">
        <w:rPr>
          <w:rFonts w:ascii="Times New Roman" w:eastAsia="Times New Roman" w:hAnsi="Times New Roman" w:cs="Times New Roman"/>
          <w:lang w:val="en-US"/>
        </w:rPr>
        <w:t xml:space="preserve"> </w:t>
      </w:r>
      <w:r w:rsidR="002667B6">
        <w:rPr>
          <w:rFonts w:ascii="Times New Roman" w:eastAsia="Times New Roman" w:hAnsi="Times New Roman" w:cs="Times New Roman"/>
          <w:lang w:val="en-US"/>
        </w:rPr>
        <w:t>Neither does recourse to</w:t>
      </w:r>
      <w:r w:rsidR="00393017">
        <w:rPr>
          <w:rFonts w:ascii="Times New Roman" w:eastAsia="Times New Roman" w:hAnsi="Times New Roman" w:cs="Times New Roman"/>
          <w:lang w:val="en-US"/>
        </w:rPr>
        <w:t xml:space="preserve"> acting in accordance with the ‘best interpretation of will and preferences’ as required</w:t>
      </w:r>
      <w:r w:rsidR="002667B6">
        <w:rPr>
          <w:rFonts w:ascii="Times New Roman" w:eastAsia="Times New Roman" w:hAnsi="Times New Roman" w:cs="Times New Roman"/>
          <w:lang w:val="en-US"/>
        </w:rPr>
        <w:t xml:space="preserve"> by paragraph 21 of GC1 help in these situations</w:t>
      </w:r>
      <w:r w:rsidR="00393017">
        <w:rPr>
          <w:rFonts w:ascii="Times New Roman" w:eastAsia="Times New Roman" w:hAnsi="Times New Roman" w:cs="Times New Roman"/>
          <w:lang w:val="en-US"/>
        </w:rPr>
        <w:t>. According to GC1, this obligation only arises where a person’s will and preferences are not ascertainable. It seemingly does not apply where there are two sets of diametrically opposed will and preferences.</w:t>
      </w:r>
      <w:r>
        <w:rPr>
          <w:rStyle w:val="FootnoteReference"/>
          <w:rFonts w:ascii="Times New Roman" w:eastAsia="Times New Roman" w:hAnsi="Times New Roman" w:cs="Times New Roman"/>
          <w:lang w:val="en-US"/>
        </w:rPr>
        <w:footnoteReference w:id="18"/>
      </w:r>
      <w:r w:rsidR="00393017">
        <w:rPr>
          <w:rFonts w:ascii="Times New Roman" w:eastAsia="Times New Roman" w:hAnsi="Times New Roman" w:cs="Times New Roman"/>
          <w:lang w:val="en-US"/>
        </w:rPr>
        <w:t xml:space="preserve"> </w:t>
      </w:r>
    </w:p>
    <w:p w14:paraId="2430EA49" w14:textId="77777777" w:rsidR="00DB043C" w:rsidRDefault="00DB043C" w:rsidP="00012648">
      <w:pPr>
        <w:spacing w:line="360" w:lineRule="auto"/>
        <w:jc w:val="both"/>
        <w:rPr>
          <w:rFonts w:ascii="Times New Roman" w:eastAsia="Times New Roman" w:hAnsi="Times New Roman" w:cs="Times New Roman"/>
          <w:lang w:val="en-US"/>
        </w:rPr>
      </w:pPr>
    </w:p>
    <w:p w14:paraId="59AB2B98" w14:textId="72AF6DCA" w:rsidR="00012648" w:rsidRPr="00012648" w:rsidRDefault="00C1601E" w:rsidP="00012648">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Mor</w:t>
      </w:r>
      <w:r w:rsidR="00D36AE4">
        <w:rPr>
          <w:rFonts w:ascii="Times New Roman" w:eastAsia="Times New Roman" w:hAnsi="Times New Roman" w:cs="Times New Roman"/>
          <w:lang w:val="en-US"/>
        </w:rPr>
        <w:t>e c</w:t>
      </w:r>
      <w:r w:rsidR="00D87163">
        <w:rPr>
          <w:rFonts w:ascii="Times New Roman" w:eastAsia="Times New Roman" w:hAnsi="Times New Roman" w:cs="Times New Roman"/>
          <w:lang w:val="en-US"/>
        </w:rPr>
        <w:t>rucially for this paper, these</w:t>
      </w:r>
      <w:r>
        <w:rPr>
          <w:rFonts w:ascii="Times New Roman" w:eastAsia="Times New Roman" w:hAnsi="Times New Roman" w:cs="Times New Roman"/>
          <w:lang w:val="en-US"/>
        </w:rPr>
        <w:t xml:space="preserve"> interpretations</w:t>
      </w:r>
      <w:r w:rsidR="00D36AE4">
        <w:rPr>
          <w:rFonts w:ascii="Times New Roman" w:eastAsia="Times New Roman" w:hAnsi="Times New Roman" w:cs="Times New Roman"/>
          <w:lang w:val="en-US"/>
        </w:rPr>
        <w:t xml:space="preserve"> of GC1</w:t>
      </w:r>
      <w:r>
        <w:rPr>
          <w:rFonts w:ascii="Times New Roman" w:eastAsia="Times New Roman" w:hAnsi="Times New Roman" w:cs="Times New Roman"/>
          <w:lang w:val="en-US"/>
        </w:rPr>
        <w:t xml:space="preserve"> </w:t>
      </w:r>
      <w:r w:rsidR="00D87163">
        <w:rPr>
          <w:rFonts w:ascii="Times New Roman" w:eastAsia="Times New Roman" w:hAnsi="Times New Roman" w:cs="Times New Roman"/>
          <w:lang w:val="en-US"/>
        </w:rPr>
        <w:t xml:space="preserve">and the UNCRPD </w:t>
      </w:r>
      <w:r>
        <w:rPr>
          <w:rFonts w:ascii="Times New Roman" w:eastAsia="Times New Roman" w:hAnsi="Times New Roman" w:cs="Times New Roman"/>
          <w:lang w:val="en-US"/>
        </w:rPr>
        <w:t>indicate that the role of support is simply a conduit</w:t>
      </w:r>
      <w:r w:rsidR="00196247">
        <w:rPr>
          <w:rFonts w:ascii="Times New Roman" w:eastAsia="Times New Roman" w:hAnsi="Times New Roman" w:cs="Times New Roman"/>
          <w:lang w:val="en-US"/>
        </w:rPr>
        <w:t xml:space="preserve"> for a person’s will and preferences</w:t>
      </w:r>
      <w:r>
        <w:rPr>
          <w:rFonts w:ascii="Times New Roman" w:eastAsia="Times New Roman" w:hAnsi="Times New Roman" w:cs="Times New Roman"/>
          <w:lang w:val="en-US"/>
        </w:rPr>
        <w:t xml:space="preserve">. They rest on the assumption that a person already has will and preferences in relation to a particular matter, and the role of the support in decision-making is simply to ensure that these will and preferences </w:t>
      </w:r>
      <w:r w:rsidR="00D0110C">
        <w:rPr>
          <w:rFonts w:ascii="Times New Roman" w:eastAsia="Times New Roman" w:hAnsi="Times New Roman" w:cs="Times New Roman"/>
          <w:lang w:val="en-US"/>
        </w:rPr>
        <w:t>are given effect to. T</w:t>
      </w:r>
      <w:r>
        <w:rPr>
          <w:rFonts w:ascii="Times New Roman" w:eastAsia="Times New Roman" w:hAnsi="Times New Roman" w:cs="Times New Roman"/>
          <w:lang w:val="en-US"/>
        </w:rPr>
        <w:t>hey imply that the existence of will and preferences are ontologically prior to the notion of support, and that support merely exists to execute those will and preferences.</w:t>
      </w:r>
      <w:r w:rsidR="00196247">
        <w:rPr>
          <w:rStyle w:val="FootnoteReference"/>
          <w:rFonts w:ascii="Times New Roman" w:eastAsia="Times New Roman" w:hAnsi="Times New Roman" w:cs="Times New Roman"/>
          <w:lang w:val="en-US"/>
        </w:rPr>
        <w:footnoteReference w:id="19"/>
      </w:r>
      <w:r>
        <w:rPr>
          <w:rFonts w:ascii="Times New Roman" w:eastAsia="Times New Roman" w:hAnsi="Times New Roman" w:cs="Times New Roman"/>
          <w:lang w:val="en-US"/>
        </w:rPr>
        <w:t xml:space="preserve"> </w:t>
      </w:r>
      <w:r w:rsidR="00D87163">
        <w:rPr>
          <w:rFonts w:ascii="Times New Roman" w:eastAsia="Times New Roman" w:hAnsi="Times New Roman" w:cs="Times New Roman"/>
          <w:lang w:val="en-US"/>
        </w:rPr>
        <w:t>As Skowron (forthcoming) notes, t</w:t>
      </w:r>
      <w:r w:rsidR="00B36DED">
        <w:rPr>
          <w:rFonts w:ascii="Times New Roman" w:eastAsia="Times New Roman" w:hAnsi="Times New Roman" w:cs="Times New Roman"/>
          <w:lang w:val="en-US"/>
        </w:rPr>
        <w:t>he</w:t>
      </w:r>
      <w:r w:rsidR="00D87163">
        <w:rPr>
          <w:rFonts w:ascii="Times New Roman" w:eastAsia="Times New Roman" w:hAnsi="Times New Roman" w:cs="Times New Roman"/>
          <w:lang w:val="en-US"/>
        </w:rPr>
        <w:t xml:space="preserve"> concern with this interpretation is that the</w:t>
      </w:r>
      <w:r w:rsidR="00B36DED">
        <w:rPr>
          <w:rFonts w:ascii="Times New Roman" w:eastAsia="Times New Roman" w:hAnsi="Times New Roman" w:cs="Times New Roman"/>
          <w:lang w:val="en-US"/>
        </w:rPr>
        <w:t xml:space="preserve"> supporter is</w:t>
      </w:r>
      <w:r w:rsidR="00D87163">
        <w:rPr>
          <w:rFonts w:ascii="Times New Roman" w:eastAsia="Times New Roman" w:hAnsi="Times New Roman" w:cs="Times New Roman"/>
          <w:lang w:val="en-US"/>
        </w:rPr>
        <w:t xml:space="preserve"> seen as</w:t>
      </w:r>
      <w:r w:rsidR="00B36DED">
        <w:rPr>
          <w:rFonts w:ascii="Times New Roman" w:eastAsia="Times New Roman" w:hAnsi="Times New Roman" w:cs="Times New Roman"/>
          <w:lang w:val="en-US"/>
        </w:rPr>
        <w:t xml:space="preserve"> simply there to ‘discover’ the person’s will and preferences, and assist </w:t>
      </w:r>
      <w:r w:rsidR="00F85D57">
        <w:rPr>
          <w:rFonts w:ascii="Times New Roman" w:eastAsia="Times New Roman" w:hAnsi="Times New Roman" w:cs="Times New Roman"/>
          <w:lang w:val="en-US"/>
        </w:rPr>
        <w:t>in giving</w:t>
      </w:r>
      <w:r w:rsidR="00B36DED">
        <w:rPr>
          <w:rFonts w:ascii="Times New Roman" w:eastAsia="Times New Roman" w:hAnsi="Times New Roman" w:cs="Times New Roman"/>
          <w:lang w:val="en-US"/>
        </w:rPr>
        <w:t xml:space="preserve"> effe</w:t>
      </w:r>
      <w:r w:rsidR="00D87163">
        <w:rPr>
          <w:rFonts w:ascii="Times New Roman" w:eastAsia="Times New Roman" w:hAnsi="Times New Roman" w:cs="Times New Roman"/>
          <w:lang w:val="en-US"/>
        </w:rPr>
        <w:t>ct to them, and as Craigie summarises,</w:t>
      </w:r>
      <w:r w:rsidR="009E3EC4">
        <w:rPr>
          <w:rFonts w:ascii="Times New Roman" w:eastAsia="Times New Roman" w:hAnsi="Times New Roman" w:cs="Times New Roman"/>
          <w:lang w:val="en-US"/>
        </w:rPr>
        <w:t xml:space="preserve"> ‘[g]</w:t>
      </w:r>
      <w:r w:rsidR="009E3EC4" w:rsidRPr="00DB043C">
        <w:rPr>
          <w:rFonts w:ascii="Times New Roman" w:eastAsia="Times New Roman" w:hAnsi="Times New Roman" w:cs="Times New Roman"/>
          <w:lang w:val="en-US"/>
        </w:rPr>
        <w:t>iven the value placed on decision-making liberty in the Convention, ‘support’ might be interpreted merely as giving the person’s expressed wishes effect, however unwise or irrational they may be</w:t>
      </w:r>
      <w:r w:rsidR="009E3EC4">
        <w:rPr>
          <w:rFonts w:ascii="Times New Roman" w:eastAsia="Times New Roman" w:hAnsi="Times New Roman" w:cs="Times New Roman"/>
          <w:lang w:val="en-US"/>
        </w:rPr>
        <w:t>’ (Craigie, 2015, 403)</w:t>
      </w:r>
      <w:r w:rsidR="009E3EC4">
        <w:rPr>
          <w:rStyle w:val="FootnoteReference"/>
          <w:rFonts w:ascii="Times New Roman" w:eastAsia="Times New Roman" w:hAnsi="Times New Roman" w:cs="Times New Roman"/>
          <w:lang w:val="en-US"/>
        </w:rPr>
        <w:footnoteReference w:id="20"/>
      </w:r>
      <w:r w:rsidR="009E3EC4" w:rsidRPr="00DB043C">
        <w:rPr>
          <w:rFonts w:ascii="Times New Roman" w:eastAsia="Times New Roman" w:hAnsi="Times New Roman" w:cs="Times New Roman"/>
          <w:lang w:val="en-US"/>
        </w:rPr>
        <w:t xml:space="preserve">. </w:t>
      </w:r>
      <w:r w:rsidR="00B36DED">
        <w:rPr>
          <w:rFonts w:ascii="Times New Roman" w:eastAsia="Times New Roman" w:hAnsi="Times New Roman" w:cs="Times New Roman"/>
          <w:lang w:val="en-US"/>
        </w:rPr>
        <w:t xml:space="preserve"> </w:t>
      </w:r>
      <w:r w:rsidR="00FC5BDD">
        <w:rPr>
          <w:rFonts w:ascii="Times New Roman" w:eastAsia="Times New Roman" w:hAnsi="Times New Roman" w:cs="Times New Roman"/>
          <w:lang w:val="en-US"/>
        </w:rPr>
        <w:t>Such an interpretation of support</w:t>
      </w:r>
      <w:r>
        <w:rPr>
          <w:rFonts w:ascii="Times New Roman" w:eastAsia="Times New Roman" w:hAnsi="Times New Roman" w:cs="Times New Roman"/>
          <w:lang w:val="en-US"/>
        </w:rPr>
        <w:t xml:space="preserve"> does not envisage that the very </w:t>
      </w:r>
      <w:r>
        <w:rPr>
          <w:rFonts w:ascii="Times New Roman" w:eastAsia="Times New Roman" w:hAnsi="Times New Roman" w:cs="Times New Roman"/>
          <w:i/>
          <w:lang w:val="en-US"/>
        </w:rPr>
        <w:t>act</w:t>
      </w:r>
      <w:r w:rsidRPr="00D0110C">
        <w:rPr>
          <w:rFonts w:ascii="Times New Roman" w:eastAsia="Times New Roman" w:hAnsi="Times New Roman" w:cs="Times New Roman"/>
          <w:lang w:val="en-US"/>
        </w:rPr>
        <w:t xml:space="preserve"> or</w:t>
      </w:r>
      <w:r>
        <w:rPr>
          <w:rFonts w:ascii="Times New Roman" w:eastAsia="Times New Roman" w:hAnsi="Times New Roman" w:cs="Times New Roman"/>
          <w:i/>
          <w:lang w:val="en-US"/>
        </w:rPr>
        <w:t xml:space="preserve"> process </w:t>
      </w:r>
      <w:r w:rsidR="00393017">
        <w:rPr>
          <w:rFonts w:ascii="Times New Roman" w:eastAsia="Times New Roman" w:hAnsi="Times New Roman" w:cs="Times New Roman"/>
          <w:lang w:val="en-US"/>
        </w:rPr>
        <w:t>of making decisions</w:t>
      </w:r>
      <w:r>
        <w:rPr>
          <w:rFonts w:ascii="Times New Roman" w:eastAsia="Times New Roman" w:hAnsi="Times New Roman" w:cs="Times New Roman"/>
          <w:lang w:val="en-US"/>
        </w:rPr>
        <w:t>, or the process of formulating will and preferences on a particular dec</w:t>
      </w:r>
      <w:r w:rsidR="00606925">
        <w:rPr>
          <w:rFonts w:ascii="Times New Roman" w:eastAsia="Times New Roman" w:hAnsi="Times New Roman" w:cs="Times New Roman"/>
          <w:lang w:val="en-US"/>
        </w:rPr>
        <w:t>ision, are inherently brought about by interactions with others</w:t>
      </w:r>
      <w:r w:rsidR="001343A6">
        <w:rPr>
          <w:rFonts w:ascii="Times New Roman" w:eastAsia="Times New Roman" w:hAnsi="Times New Roman" w:cs="Times New Roman"/>
          <w:lang w:val="en-US"/>
        </w:rPr>
        <w:t xml:space="preserve"> (Ho, 2008</w:t>
      </w:r>
      <w:r w:rsidR="00CB33CD">
        <w:rPr>
          <w:rFonts w:ascii="Times New Roman" w:eastAsia="Times New Roman" w:hAnsi="Times New Roman" w:cs="Times New Roman"/>
          <w:lang w:val="en-US"/>
        </w:rPr>
        <w:t>; Verkerk, 1999</w:t>
      </w:r>
      <w:r w:rsidR="001343A6">
        <w:rPr>
          <w:rFonts w:ascii="Times New Roman" w:eastAsia="Times New Roman" w:hAnsi="Times New Roman" w:cs="Times New Roman"/>
          <w:lang w:val="en-US"/>
        </w:rPr>
        <w:t>)</w:t>
      </w:r>
      <w:r>
        <w:rPr>
          <w:rFonts w:ascii="Times New Roman" w:eastAsia="Times New Roman" w:hAnsi="Times New Roman" w:cs="Times New Roman"/>
          <w:lang w:val="en-US"/>
        </w:rPr>
        <w:t>.</w:t>
      </w:r>
      <w:r w:rsidR="001343A6">
        <w:rPr>
          <w:rFonts w:ascii="Times New Roman" w:eastAsia="Times New Roman" w:hAnsi="Times New Roman" w:cs="Times New Roman"/>
          <w:lang w:val="en-US"/>
        </w:rPr>
        <w:t xml:space="preserve">  </w:t>
      </w:r>
      <w:r w:rsidR="00D03D6B">
        <w:rPr>
          <w:rFonts w:ascii="Times New Roman" w:eastAsia="Times New Roman" w:hAnsi="Times New Roman" w:cs="Times New Roman"/>
          <w:lang w:val="en-US"/>
        </w:rPr>
        <w:t>It does not leave scope for recognizing</w:t>
      </w:r>
      <w:r>
        <w:rPr>
          <w:rFonts w:ascii="Times New Roman" w:eastAsia="Times New Roman" w:hAnsi="Times New Roman" w:cs="Times New Roman"/>
          <w:lang w:val="en-US"/>
        </w:rPr>
        <w:t xml:space="preserve"> that decisions are made and arrived at through a dialogical process with supporters, or that a person may not have a will </w:t>
      </w:r>
      <w:r>
        <w:rPr>
          <w:rFonts w:ascii="Times New Roman" w:eastAsia="Times New Roman" w:hAnsi="Times New Roman" w:cs="Times New Roman"/>
          <w:i/>
          <w:lang w:val="en-US"/>
        </w:rPr>
        <w:t xml:space="preserve">or </w:t>
      </w:r>
      <w:r>
        <w:rPr>
          <w:rFonts w:ascii="Times New Roman" w:eastAsia="Times New Roman" w:hAnsi="Times New Roman" w:cs="Times New Roman"/>
          <w:lang w:val="en-US"/>
        </w:rPr>
        <w:t>a preference as to what decision to make until they have received support, or the input of their supporter, especially where their supporter’s interests are inhe</w:t>
      </w:r>
      <w:r w:rsidR="00D0110C">
        <w:rPr>
          <w:rFonts w:ascii="Times New Roman" w:eastAsia="Times New Roman" w:hAnsi="Times New Roman" w:cs="Times New Roman"/>
          <w:lang w:val="en-US"/>
        </w:rPr>
        <w:t>rently woven up with their own</w:t>
      </w:r>
      <w:r w:rsidR="00B7489C">
        <w:rPr>
          <w:rFonts w:ascii="Times New Roman" w:eastAsia="Times New Roman" w:hAnsi="Times New Roman" w:cs="Times New Roman"/>
          <w:lang w:val="en-US"/>
        </w:rPr>
        <w:t xml:space="preserve">. Although </w:t>
      </w:r>
      <w:r>
        <w:rPr>
          <w:rFonts w:ascii="Times New Roman" w:eastAsia="Times New Roman" w:hAnsi="Times New Roman" w:cs="Times New Roman"/>
          <w:lang w:val="en-US"/>
        </w:rPr>
        <w:t>the UNCRPD and GC1 have been widely welcomed as being ‘relational’</w:t>
      </w:r>
      <w:r w:rsidR="00393017">
        <w:rPr>
          <w:rFonts w:ascii="Times New Roman" w:eastAsia="Times New Roman" w:hAnsi="Times New Roman" w:cs="Times New Roman"/>
          <w:lang w:val="en-US"/>
        </w:rPr>
        <w:t xml:space="preserve"> </w:t>
      </w:r>
      <w:r w:rsidR="00D0110C">
        <w:rPr>
          <w:rFonts w:ascii="Times New Roman" w:hAnsi="Times New Roman" w:cs="Times New Roman"/>
        </w:rPr>
        <w:t>(Gooding, 2013; Series, 2015) -</w:t>
      </w:r>
      <w:r>
        <w:rPr>
          <w:rFonts w:ascii="Times New Roman" w:eastAsia="Times New Roman" w:hAnsi="Times New Roman" w:cs="Times New Roman"/>
          <w:lang w:val="en-US"/>
        </w:rPr>
        <w:t xml:space="preserve"> and therefore better reflecting the reality of lived experiences for </w:t>
      </w:r>
      <w:r w:rsidRPr="00C1601E">
        <w:rPr>
          <w:rFonts w:ascii="Times New Roman" w:eastAsia="Times New Roman" w:hAnsi="Times New Roman" w:cs="Times New Roman"/>
          <w:lang w:val="en-US"/>
        </w:rPr>
        <w:t>all</w:t>
      </w:r>
      <w:r>
        <w:rPr>
          <w:rFonts w:ascii="Times New Roman" w:eastAsia="Times New Roman" w:hAnsi="Times New Roman" w:cs="Times New Roman"/>
          <w:lang w:val="en-US"/>
        </w:rPr>
        <w:t xml:space="preserve"> people, not jus</w:t>
      </w:r>
      <w:r w:rsidR="00D0110C">
        <w:rPr>
          <w:rFonts w:ascii="Times New Roman" w:eastAsia="Times New Roman" w:hAnsi="Times New Roman" w:cs="Times New Roman"/>
          <w:lang w:val="en-US"/>
        </w:rPr>
        <w:t>t people with disabilities -</w:t>
      </w:r>
      <w:r w:rsidR="00D03D6B">
        <w:rPr>
          <w:rFonts w:ascii="Times New Roman" w:eastAsia="Times New Roman" w:hAnsi="Times New Roman" w:cs="Times New Roman"/>
          <w:lang w:val="en-US"/>
        </w:rPr>
        <w:t xml:space="preserve"> the</w:t>
      </w:r>
      <w:r>
        <w:rPr>
          <w:rFonts w:ascii="Times New Roman" w:eastAsia="Times New Roman" w:hAnsi="Times New Roman" w:cs="Times New Roman"/>
          <w:lang w:val="en-US"/>
        </w:rPr>
        <w:t xml:space="preserve"> interpretation of support</w:t>
      </w:r>
      <w:r w:rsidR="00D03D6B">
        <w:rPr>
          <w:rFonts w:ascii="Times New Roman" w:eastAsia="Times New Roman" w:hAnsi="Times New Roman" w:cs="Times New Roman"/>
          <w:lang w:val="en-US"/>
        </w:rPr>
        <w:t xml:space="preserve"> present in some analyses of the UNCRPD and GC1</w:t>
      </w:r>
      <w:r>
        <w:rPr>
          <w:rFonts w:ascii="Times New Roman" w:eastAsia="Times New Roman" w:hAnsi="Times New Roman" w:cs="Times New Roman"/>
          <w:lang w:val="en-US"/>
        </w:rPr>
        <w:t xml:space="preserve"> is in fact highly individualistic</w:t>
      </w:r>
      <w:r w:rsidR="00393017">
        <w:rPr>
          <w:rFonts w:ascii="Times New Roman" w:eastAsia="Times New Roman" w:hAnsi="Times New Roman" w:cs="Times New Roman"/>
          <w:lang w:val="en-US"/>
        </w:rPr>
        <w:t xml:space="preserve"> and rely on a superficial characterization of relationships</w:t>
      </w:r>
      <w:r w:rsidR="00D87163">
        <w:rPr>
          <w:rFonts w:ascii="Times New Roman" w:eastAsia="Times New Roman" w:hAnsi="Times New Roman" w:cs="Times New Roman"/>
          <w:lang w:val="en-US"/>
        </w:rPr>
        <w:t xml:space="preserve"> (Kong, 2015)</w:t>
      </w:r>
      <w:r>
        <w:rPr>
          <w:rFonts w:ascii="Times New Roman" w:eastAsia="Times New Roman" w:hAnsi="Times New Roman" w:cs="Times New Roman"/>
          <w:lang w:val="en-US"/>
        </w:rPr>
        <w:t xml:space="preserve">. </w:t>
      </w:r>
      <w:r w:rsidR="007E61C3">
        <w:rPr>
          <w:rFonts w:ascii="Times New Roman" w:eastAsia="Times New Roman" w:hAnsi="Times New Roman" w:cs="Times New Roman"/>
          <w:lang w:val="en-US"/>
        </w:rPr>
        <w:t>As Burch notes, decision-making is a ‘</w:t>
      </w:r>
      <w:r w:rsidR="00012648" w:rsidRPr="00012648">
        <w:rPr>
          <w:rFonts w:ascii="Times New Roman" w:eastAsia="Times New Roman" w:hAnsi="Times New Roman" w:cs="Times New Roman"/>
          <w:lang w:val="en-US"/>
        </w:rPr>
        <w:t>fundamentally collaborative enterprise – we make up our minds with our significant others, and these relationships can enhance (or impair) our decision-making ability</w:t>
      </w:r>
      <w:r w:rsidR="007E61C3">
        <w:rPr>
          <w:rFonts w:ascii="Times New Roman" w:eastAsia="Times New Roman" w:hAnsi="Times New Roman" w:cs="Times New Roman"/>
          <w:lang w:val="en-US"/>
        </w:rPr>
        <w:t>’ (Burch, 2017, 394).</w:t>
      </w:r>
    </w:p>
    <w:p w14:paraId="78D9C582" w14:textId="4556DE08" w:rsidR="00C1601E" w:rsidRDefault="00C1601E" w:rsidP="002706FD">
      <w:pPr>
        <w:spacing w:line="360" w:lineRule="auto"/>
        <w:jc w:val="both"/>
        <w:rPr>
          <w:rFonts w:ascii="Times New Roman" w:eastAsia="Times New Roman" w:hAnsi="Times New Roman" w:cs="Times New Roman"/>
          <w:lang w:val="en-US"/>
        </w:rPr>
      </w:pPr>
    </w:p>
    <w:p w14:paraId="68BFA718" w14:textId="017BD1B9" w:rsidR="00FA0B2F" w:rsidRDefault="00064753" w:rsidP="00FA0B2F">
      <w:pPr>
        <w:spacing w:line="360" w:lineRule="auto"/>
        <w:jc w:val="both"/>
        <w:rPr>
          <w:rFonts w:ascii="Times New Roman" w:eastAsia="Times New Roman" w:hAnsi="Times New Roman" w:cs="Times New Roman"/>
          <w:lang w:val="en-US"/>
        </w:rPr>
      </w:pPr>
      <w:r w:rsidRPr="00393017">
        <w:rPr>
          <w:rFonts w:ascii="Times New Roman" w:eastAsia="Times New Roman" w:hAnsi="Times New Roman" w:cs="Times New Roman"/>
          <w:lang w:val="en-US"/>
        </w:rPr>
        <w:t xml:space="preserve">An exploration of </w:t>
      </w:r>
      <w:r w:rsidR="00433FCD">
        <w:rPr>
          <w:rFonts w:ascii="Times New Roman" w:eastAsia="Times New Roman" w:hAnsi="Times New Roman" w:cs="Times New Roman"/>
          <w:lang w:val="en-US"/>
        </w:rPr>
        <w:t xml:space="preserve">some of the </w:t>
      </w:r>
      <w:r w:rsidR="00393017">
        <w:rPr>
          <w:rFonts w:ascii="Times New Roman" w:eastAsia="Times New Roman" w:hAnsi="Times New Roman" w:cs="Times New Roman"/>
          <w:lang w:val="en-US"/>
        </w:rPr>
        <w:t xml:space="preserve">literature detailing the </w:t>
      </w:r>
      <w:r w:rsidRPr="00393017">
        <w:rPr>
          <w:rFonts w:ascii="Times New Roman" w:eastAsia="Times New Roman" w:hAnsi="Times New Roman" w:cs="Times New Roman"/>
          <w:lang w:val="en-US"/>
        </w:rPr>
        <w:t>reality of making decisions with dementia</w:t>
      </w:r>
      <w:r w:rsidR="00FA0B2F">
        <w:rPr>
          <w:rFonts w:ascii="Times New Roman" w:eastAsia="Times New Roman" w:hAnsi="Times New Roman" w:cs="Times New Roman"/>
          <w:lang w:val="en-US"/>
        </w:rPr>
        <w:t xml:space="preserve"> – especially those who are </w:t>
      </w:r>
      <w:r w:rsidR="00433FCD">
        <w:rPr>
          <w:rFonts w:ascii="Times New Roman" w:eastAsia="Times New Roman" w:hAnsi="Times New Roman" w:cs="Times New Roman"/>
          <w:lang w:val="en-US"/>
        </w:rPr>
        <w:t xml:space="preserve">married or cared for by close family members </w:t>
      </w:r>
      <w:r w:rsidR="00FA0B2F">
        <w:rPr>
          <w:rFonts w:ascii="Times New Roman" w:eastAsia="Times New Roman" w:hAnsi="Times New Roman" w:cs="Times New Roman"/>
          <w:lang w:val="en-US"/>
        </w:rPr>
        <w:t xml:space="preserve">– betrays </w:t>
      </w:r>
      <w:r w:rsidRPr="00393017">
        <w:rPr>
          <w:rFonts w:ascii="Times New Roman" w:eastAsia="Times New Roman" w:hAnsi="Times New Roman" w:cs="Times New Roman"/>
          <w:lang w:val="en-US"/>
        </w:rPr>
        <w:t xml:space="preserve">how </w:t>
      </w:r>
      <w:r w:rsidR="00393017" w:rsidRPr="00393017">
        <w:rPr>
          <w:rFonts w:ascii="Times New Roman" w:eastAsia="Times New Roman" w:hAnsi="Times New Roman" w:cs="Times New Roman"/>
          <w:lang w:val="en-US"/>
        </w:rPr>
        <w:t>superficial the</w:t>
      </w:r>
      <w:r w:rsidRPr="00393017">
        <w:rPr>
          <w:rFonts w:ascii="Times New Roman" w:eastAsia="Times New Roman" w:hAnsi="Times New Roman" w:cs="Times New Roman"/>
          <w:lang w:val="en-US"/>
        </w:rPr>
        <w:t xml:space="preserve"> conceptualization of support </w:t>
      </w:r>
      <w:r w:rsidR="00393017" w:rsidRPr="00393017">
        <w:rPr>
          <w:rFonts w:ascii="Times New Roman" w:eastAsia="Times New Roman" w:hAnsi="Times New Roman" w:cs="Times New Roman"/>
          <w:lang w:val="en-US"/>
        </w:rPr>
        <w:t xml:space="preserve">simply as a conduit to enacting a person’s will and preferences </w:t>
      </w:r>
      <w:r w:rsidRPr="00393017">
        <w:rPr>
          <w:rFonts w:ascii="Times New Roman" w:eastAsia="Times New Roman" w:hAnsi="Times New Roman" w:cs="Times New Roman"/>
          <w:lang w:val="en-US"/>
        </w:rPr>
        <w:t>is.</w:t>
      </w:r>
      <w:r>
        <w:rPr>
          <w:rFonts w:ascii="Times New Roman" w:eastAsia="Times New Roman" w:hAnsi="Times New Roman" w:cs="Times New Roman"/>
          <w:lang w:val="en-US"/>
        </w:rPr>
        <w:t xml:space="preserve"> </w:t>
      </w:r>
      <w:r w:rsidR="00C53B63">
        <w:rPr>
          <w:rFonts w:ascii="Times New Roman" w:eastAsia="Times New Roman" w:hAnsi="Times New Roman" w:cs="Times New Roman"/>
          <w:lang w:val="en-US"/>
        </w:rPr>
        <w:t>Research by Boyle (2013</w:t>
      </w:r>
      <w:r w:rsidR="00FA0B2F">
        <w:rPr>
          <w:rFonts w:ascii="Times New Roman" w:eastAsia="Times New Roman" w:hAnsi="Times New Roman" w:cs="Times New Roman"/>
          <w:lang w:val="en-US"/>
        </w:rPr>
        <w:t>a</w:t>
      </w:r>
      <w:r w:rsidR="00C53B63">
        <w:rPr>
          <w:rFonts w:ascii="Times New Roman" w:eastAsia="Times New Roman" w:hAnsi="Times New Roman" w:cs="Times New Roman"/>
          <w:lang w:val="en-US"/>
        </w:rPr>
        <w:t>)</w:t>
      </w:r>
      <w:r w:rsidR="00FA0B2F">
        <w:rPr>
          <w:rFonts w:ascii="Times New Roman" w:eastAsia="Times New Roman" w:hAnsi="Times New Roman" w:cs="Times New Roman"/>
          <w:lang w:val="en-US"/>
        </w:rPr>
        <w:t xml:space="preserve"> in</w:t>
      </w:r>
      <w:r w:rsidR="00C53B63">
        <w:rPr>
          <w:rFonts w:ascii="Times New Roman" w:eastAsia="Times New Roman" w:hAnsi="Times New Roman" w:cs="Times New Roman"/>
          <w:lang w:val="en-US"/>
        </w:rPr>
        <w:t>to d</w:t>
      </w:r>
      <w:r w:rsidR="00433FCD">
        <w:rPr>
          <w:rFonts w:ascii="Times New Roman" w:eastAsia="Times New Roman" w:hAnsi="Times New Roman" w:cs="Times New Roman"/>
          <w:lang w:val="en-US"/>
        </w:rPr>
        <w:t>ecision-making by older couples of whom one has dementia</w:t>
      </w:r>
      <w:r w:rsidR="00C53B63">
        <w:rPr>
          <w:rFonts w:ascii="Times New Roman" w:eastAsia="Times New Roman" w:hAnsi="Times New Roman" w:cs="Times New Roman"/>
          <w:lang w:val="en-US"/>
        </w:rPr>
        <w:t>, for example, demonstrates that when faced with financial</w:t>
      </w:r>
      <w:r w:rsidR="00433FCD">
        <w:rPr>
          <w:rFonts w:ascii="Times New Roman" w:eastAsia="Times New Roman" w:hAnsi="Times New Roman" w:cs="Times New Roman"/>
          <w:lang w:val="en-US"/>
        </w:rPr>
        <w:t xml:space="preserve"> decision-making, ‘wills and preferences’ are rarely formed in isolation, and nor are such decisions made individualistically</w:t>
      </w:r>
      <w:r w:rsidR="00416800">
        <w:rPr>
          <w:rFonts w:ascii="Times New Roman" w:eastAsia="Times New Roman" w:hAnsi="Times New Roman" w:cs="Times New Roman"/>
          <w:lang w:val="en-US"/>
        </w:rPr>
        <w:t>. Such decisions</w:t>
      </w:r>
      <w:r w:rsidR="00FA0B2F">
        <w:rPr>
          <w:rFonts w:ascii="Times New Roman" w:eastAsia="Times New Roman" w:hAnsi="Times New Roman" w:cs="Times New Roman"/>
          <w:lang w:val="en-US"/>
        </w:rPr>
        <w:t xml:space="preserve"> </w:t>
      </w:r>
      <w:r w:rsidR="00C53B63">
        <w:rPr>
          <w:rFonts w:ascii="Times New Roman" w:eastAsia="Times New Roman" w:hAnsi="Times New Roman" w:cs="Times New Roman"/>
          <w:lang w:val="en-US"/>
        </w:rPr>
        <w:t xml:space="preserve">usually rely on a complex array of social factors, </w:t>
      </w:r>
      <w:r w:rsidR="00FA0B2F">
        <w:rPr>
          <w:rFonts w:ascii="Times New Roman" w:eastAsia="Times New Roman" w:hAnsi="Times New Roman" w:cs="Times New Roman"/>
          <w:lang w:val="en-US"/>
        </w:rPr>
        <w:t xml:space="preserve">including traditional and previous roles within the relationship, </w:t>
      </w:r>
      <w:r w:rsidR="00C53B63">
        <w:rPr>
          <w:rFonts w:ascii="Times New Roman" w:eastAsia="Times New Roman" w:hAnsi="Times New Roman" w:cs="Times New Roman"/>
          <w:lang w:val="en-US"/>
        </w:rPr>
        <w:t xml:space="preserve">and are </w:t>
      </w:r>
      <w:r w:rsidR="00FA0B2F">
        <w:rPr>
          <w:rFonts w:ascii="Times New Roman" w:eastAsia="Times New Roman" w:hAnsi="Times New Roman" w:cs="Times New Roman"/>
          <w:lang w:val="en-US"/>
        </w:rPr>
        <w:t xml:space="preserve">often </w:t>
      </w:r>
      <w:r w:rsidR="00C53B63">
        <w:rPr>
          <w:rFonts w:ascii="Times New Roman" w:eastAsia="Times New Roman" w:hAnsi="Times New Roman" w:cs="Times New Roman"/>
          <w:lang w:val="en-US"/>
        </w:rPr>
        <w:t xml:space="preserve">made jointly between the person with dementia and their </w:t>
      </w:r>
      <w:r w:rsidR="00FA0B2F">
        <w:rPr>
          <w:rFonts w:ascii="Times New Roman" w:eastAsia="Times New Roman" w:hAnsi="Times New Roman" w:cs="Times New Roman"/>
          <w:lang w:val="en-US"/>
        </w:rPr>
        <w:t>partner</w:t>
      </w:r>
      <w:r w:rsidR="00C53B63">
        <w:rPr>
          <w:rFonts w:ascii="Times New Roman" w:eastAsia="Times New Roman" w:hAnsi="Times New Roman" w:cs="Times New Roman"/>
          <w:lang w:val="en-US"/>
        </w:rPr>
        <w:t xml:space="preserve">. </w:t>
      </w:r>
      <w:r w:rsidR="00FA0B2F">
        <w:rPr>
          <w:rFonts w:ascii="Times New Roman" w:eastAsia="Times New Roman" w:hAnsi="Times New Roman" w:cs="Times New Roman"/>
          <w:lang w:val="en-US"/>
        </w:rPr>
        <w:t xml:space="preserve">Sinclair </w:t>
      </w:r>
      <w:r w:rsidR="00FA0B2F">
        <w:rPr>
          <w:rFonts w:ascii="Times New Roman" w:eastAsia="Times New Roman" w:hAnsi="Times New Roman" w:cs="Times New Roman"/>
          <w:i/>
          <w:lang w:val="en-US"/>
        </w:rPr>
        <w:t xml:space="preserve">et al </w:t>
      </w:r>
      <w:r w:rsidR="00FA0B2F">
        <w:rPr>
          <w:rFonts w:ascii="Times New Roman" w:eastAsia="Times New Roman" w:hAnsi="Times New Roman" w:cs="Times New Roman"/>
          <w:lang w:val="en-US"/>
        </w:rPr>
        <w:t>(2018) similarly found that couple</w:t>
      </w:r>
      <w:r w:rsidR="00433FCD">
        <w:rPr>
          <w:rFonts w:ascii="Times New Roman" w:eastAsia="Times New Roman" w:hAnsi="Times New Roman" w:cs="Times New Roman"/>
          <w:lang w:val="en-US"/>
        </w:rPr>
        <w:t>s</w:t>
      </w:r>
      <w:r w:rsidR="00FA0B2F">
        <w:rPr>
          <w:rFonts w:ascii="Times New Roman" w:eastAsia="Times New Roman" w:hAnsi="Times New Roman" w:cs="Times New Roman"/>
          <w:lang w:val="en-US"/>
        </w:rPr>
        <w:t xml:space="preserve"> employed a range of techniques</w:t>
      </w:r>
      <w:r w:rsidR="00433FCD">
        <w:rPr>
          <w:rFonts w:ascii="Times New Roman" w:eastAsia="Times New Roman" w:hAnsi="Times New Roman" w:cs="Times New Roman"/>
          <w:lang w:val="en-US"/>
        </w:rPr>
        <w:t xml:space="preserve"> in making healthcare decisions following a diagnosis of dementia</w:t>
      </w:r>
      <w:r w:rsidR="00FA0B2F">
        <w:rPr>
          <w:rFonts w:ascii="Times New Roman" w:eastAsia="Times New Roman" w:hAnsi="Times New Roman" w:cs="Times New Roman"/>
          <w:lang w:val="en-US"/>
        </w:rPr>
        <w:t xml:space="preserve">, which were based heavily on ‘historical patterns of joint decision-making’ (Sinclair </w:t>
      </w:r>
      <w:r w:rsidR="00FA0B2F">
        <w:rPr>
          <w:rFonts w:ascii="Times New Roman" w:eastAsia="Times New Roman" w:hAnsi="Times New Roman" w:cs="Times New Roman"/>
          <w:i/>
          <w:lang w:val="en-US"/>
        </w:rPr>
        <w:t xml:space="preserve">et al, </w:t>
      </w:r>
      <w:r w:rsidR="00433FCD">
        <w:rPr>
          <w:rFonts w:ascii="Times New Roman" w:eastAsia="Times New Roman" w:hAnsi="Times New Roman" w:cs="Times New Roman"/>
          <w:lang w:val="en-US"/>
        </w:rPr>
        <w:t>2018, 6)</w:t>
      </w:r>
      <w:r w:rsidR="00FA0B2F">
        <w:rPr>
          <w:rFonts w:ascii="Times New Roman" w:eastAsia="Times New Roman" w:hAnsi="Times New Roman" w:cs="Times New Roman"/>
          <w:lang w:val="en-US"/>
        </w:rPr>
        <w:t xml:space="preserve">. Moreover, Sinclair </w:t>
      </w:r>
      <w:r w:rsidR="00FA0B2F">
        <w:rPr>
          <w:rFonts w:ascii="Times New Roman" w:eastAsia="Times New Roman" w:hAnsi="Times New Roman" w:cs="Times New Roman"/>
          <w:i/>
          <w:lang w:val="en-US"/>
        </w:rPr>
        <w:t>et al’s</w:t>
      </w:r>
      <w:r w:rsidR="00FA0B2F">
        <w:rPr>
          <w:rFonts w:ascii="Times New Roman" w:eastAsia="Times New Roman" w:hAnsi="Times New Roman" w:cs="Times New Roman"/>
          <w:lang w:val="en-US"/>
        </w:rPr>
        <w:t xml:space="preserve"> study also found that many participants with dementia also demonstrated trust in delegating decisions to other people, especially a close family member or partner, and some couples considered ‘informal, family-based substitute decision-making by the partner as an ideal scenario’ (2018, 6). Likewise, Dening </w:t>
      </w:r>
      <w:r w:rsidR="00FA0B2F">
        <w:rPr>
          <w:rFonts w:ascii="Times New Roman" w:eastAsia="Times New Roman" w:hAnsi="Times New Roman" w:cs="Times New Roman"/>
          <w:i/>
          <w:lang w:val="en-US"/>
        </w:rPr>
        <w:t xml:space="preserve">et al </w:t>
      </w:r>
      <w:r w:rsidR="00FA0B2F">
        <w:rPr>
          <w:rFonts w:ascii="Times New Roman" w:eastAsia="Times New Roman" w:hAnsi="Times New Roman" w:cs="Times New Roman"/>
          <w:lang w:val="en-US"/>
        </w:rPr>
        <w:t xml:space="preserve">(2016) also found that joint decision-making was common particularly among older couples where one person had dementia. </w:t>
      </w:r>
      <w:r w:rsidR="00433FCD">
        <w:rPr>
          <w:rFonts w:ascii="Times New Roman" w:eastAsia="Times New Roman" w:hAnsi="Times New Roman" w:cs="Times New Roman"/>
          <w:lang w:val="en-US"/>
        </w:rPr>
        <w:t xml:space="preserve">One participant summarized their approach to </w:t>
      </w:r>
      <w:r w:rsidR="00FA0B2F">
        <w:rPr>
          <w:rFonts w:ascii="Times New Roman" w:eastAsia="Times New Roman" w:hAnsi="Times New Roman" w:cs="Times New Roman"/>
          <w:lang w:val="en-US"/>
        </w:rPr>
        <w:t>joint or shared deci</w:t>
      </w:r>
      <w:r w:rsidR="00433FCD">
        <w:rPr>
          <w:rFonts w:ascii="Times New Roman" w:eastAsia="Times New Roman" w:hAnsi="Times New Roman" w:cs="Times New Roman"/>
          <w:lang w:val="en-US"/>
        </w:rPr>
        <w:t>sion-making</w:t>
      </w:r>
      <w:r w:rsidR="00FA0B2F">
        <w:rPr>
          <w:rFonts w:ascii="Times New Roman" w:eastAsia="Times New Roman" w:hAnsi="Times New Roman" w:cs="Times New Roman"/>
          <w:lang w:val="en-US"/>
        </w:rPr>
        <w:t>:</w:t>
      </w:r>
    </w:p>
    <w:p w14:paraId="0CB26F66" w14:textId="7AA1A07D" w:rsidR="00FA0B2F" w:rsidRPr="00FA0B2F" w:rsidRDefault="00FA0B2F" w:rsidP="00FA0B2F">
      <w:pPr>
        <w:spacing w:line="360" w:lineRule="auto"/>
        <w:ind w:left="720" w:right="740"/>
        <w:jc w:val="both"/>
        <w:rPr>
          <w:rFonts w:ascii="Times New Roman" w:eastAsia="Times New Roman" w:hAnsi="Times New Roman" w:cs="Times New Roman"/>
          <w:lang w:val="en-US"/>
        </w:rPr>
      </w:pPr>
      <w:r w:rsidRPr="00FA0B2F">
        <w:rPr>
          <w:rFonts w:ascii="Times New Roman" w:eastAsia="Times New Roman" w:hAnsi="Times New Roman" w:cs="Times New Roman"/>
          <w:lang w:val="en-US"/>
        </w:rPr>
        <w:t>Well, we discuss it for a start and see what each one would say and then decide to come to a decision ... I would never do anything without asking [name] about it or getting his opinion and he would do the same</w:t>
      </w:r>
      <w:r>
        <w:rPr>
          <w:rFonts w:ascii="Times New Roman" w:eastAsia="Times New Roman" w:hAnsi="Times New Roman" w:cs="Times New Roman"/>
          <w:lang w:val="en-US"/>
        </w:rPr>
        <w:t xml:space="preserve"> (Dening </w:t>
      </w:r>
      <w:r>
        <w:rPr>
          <w:rFonts w:ascii="Times New Roman" w:eastAsia="Times New Roman" w:hAnsi="Times New Roman" w:cs="Times New Roman"/>
          <w:i/>
          <w:lang w:val="en-US"/>
        </w:rPr>
        <w:t xml:space="preserve">et al, </w:t>
      </w:r>
      <w:r>
        <w:rPr>
          <w:rFonts w:ascii="Times New Roman" w:eastAsia="Times New Roman" w:hAnsi="Times New Roman" w:cs="Times New Roman"/>
          <w:lang w:val="en-US"/>
        </w:rPr>
        <w:t>2016, 7).</w:t>
      </w:r>
    </w:p>
    <w:p w14:paraId="16356DB6" w14:textId="7FFE3142" w:rsidR="00A713B8" w:rsidRDefault="00A713B8" w:rsidP="00A713B8">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Such an approach by people with dementia and their carers may be in part down to the fact that decisions are seen as rarely affecting only the person with dementia in isolation. People with dementia often seemed cognizant of the fact that decisions made as a couple affected both people within the spousal or caregiving relationship.</w:t>
      </w:r>
      <w:r w:rsidR="00266003">
        <w:rPr>
          <w:rStyle w:val="FootnoteReference"/>
          <w:rFonts w:ascii="Times New Roman" w:eastAsia="Times New Roman" w:hAnsi="Times New Roman" w:cs="Times New Roman"/>
          <w:lang w:val="en-US"/>
        </w:rPr>
        <w:footnoteReference w:id="21"/>
      </w:r>
      <w:r>
        <w:rPr>
          <w:rFonts w:ascii="Times New Roman" w:eastAsia="Times New Roman" w:hAnsi="Times New Roman" w:cs="Times New Roman"/>
          <w:lang w:val="en-US"/>
        </w:rPr>
        <w:t xml:space="preserve"> As another participant in Sinclair </w:t>
      </w:r>
      <w:r>
        <w:rPr>
          <w:rFonts w:ascii="Times New Roman" w:eastAsia="Times New Roman" w:hAnsi="Times New Roman" w:cs="Times New Roman"/>
          <w:i/>
          <w:lang w:val="en-US"/>
        </w:rPr>
        <w:t>et al</w:t>
      </w:r>
      <w:r>
        <w:rPr>
          <w:rFonts w:ascii="Times New Roman" w:eastAsia="Times New Roman" w:hAnsi="Times New Roman" w:cs="Times New Roman"/>
          <w:lang w:val="en-US"/>
        </w:rPr>
        <w:t>’s study noted:</w:t>
      </w:r>
    </w:p>
    <w:p w14:paraId="2A30D065" w14:textId="102840FD" w:rsidR="00A713B8" w:rsidRPr="00A713B8" w:rsidRDefault="00A713B8" w:rsidP="00A713B8">
      <w:pPr>
        <w:spacing w:line="360" w:lineRule="auto"/>
        <w:ind w:left="720" w:right="740"/>
        <w:jc w:val="both"/>
        <w:rPr>
          <w:rFonts w:ascii="Times New Roman" w:eastAsia="Times New Roman" w:hAnsi="Times New Roman" w:cs="Times New Roman"/>
          <w:lang w:val="en-US"/>
        </w:rPr>
      </w:pPr>
      <w:r w:rsidRPr="00A713B8">
        <w:rPr>
          <w:rFonts w:ascii="Times New Roman" w:eastAsia="Times New Roman" w:hAnsi="Times New Roman" w:cs="Times New Roman"/>
          <w:lang w:val="en-US"/>
        </w:rPr>
        <w:t>While I can talk about [admission to residential care]</w:t>
      </w:r>
      <w:r>
        <w:rPr>
          <w:rFonts w:ascii="Times New Roman" w:eastAsia="Times New Roman" w:hAnsi="Times New Roman" w:cs="Times New Roman"/>
          <w:lang w:val="en-US"/>
        </w:rPr>
        <w:t xml:space="preserve"> </w:t>
      </w:r>
      <w:r w:rsidRPr="00A713B8">
        <w:rPr>
          <w:rFonts w:ascii="Times New Roman" w:eastAsia="Times New Roman" w:hAnsi="Times New Roman" w:cs="Times New Roman"/>
          <w:lang w:val="en-US"/>
        </w:rPr>
        <w:t>now, it’s not fair if I get really bad and Doug can’t</w:t>
      </w:r>
      <w:r>
        <w:rPr>
          <w:rFonts w:ascii="Times New Roman" w:eastAsia="Times New Roman" w:hAnsi="Times New Roman" w:cs="Times New Roman"/>
          <w:lang w:val="en-US"/>
        </w:rPr>
        <w:t xml:space="preserve"> </w:t>
      </w:r>
      <w:r w:rsidRPr="00A713B8">
        <w:rPr>
          <w:rFonts w:ascii="Times New Roman" w:eastAsia="Times New Roman" w:hAnsi="Times New Roman" w:cs="Times New Roman"/>
          <w:lang w:val="en-US"/>
        </w:rPr>
        <w:t>manage, that he feels guilty that he has to try to look</w:t>
      </w:r>
      <w:r>
        <w:rPr>
          <w:rFonts w:ascii="Times New Roman" w:eastAsia="Times New Roman" w:hAnsi="Times New Roman" w:cs="Times New Roman"/>
          <w:lang w:val="en-US"/>
        </w:rPr>
        <w:t xml:space="preserve"> </w:t>
      </w:r>
      <w:r w:rsidRPr="00A713B8">
        <w:rPr>
          <w:rFonts w:ascii="Times New Roman" w:eastAsia="Times New Roman" w:hAnsi="Times New Roman" w:cs="Times New Roman"/>
          <w:lang w:val="en-US"/>
        </w:rPr>
        <w:t>after me...[aside to Doug] everybody fights about it,</w:t>
      </w:r>
      <w:r>
        <w:rPr>
          <w:rFonts w:ascii="Times New Roman" w:eastAsia="Times New Roman" w:hAnsi="Times New Roman" w:cs="Times New Roman"/>
          <w:lang w:val="en-US"/>
        </w:rPr>
        <w:t xml:space="preserve"> </w:t>
      </w:r>
      <w:r w:rsidRPr="00A713B8">
        <w:rPr>
          <w:rFonts w:ascii="Times New Roman" w:eastAsia="Times New Roman" w:hAnsi="Times New Roman" w:cs="Times New Roman"/>
          <w:lang w:val="en-US"/>
        </w:rPr>
        <w:t>but I’m telling you that that’s what you’ve got to do.</w:t>
      </w:r>
      <w:r>
        <w:rPr>
          <w:rFonts w:ascii="Times New Roman" w:eastAsia="Times New Roman" w:hAnsi="Times New Roman" w:cs="Times New Roman"/>
          <w:lang w:val="en-US"/>
        </w:rPr>
        <w:t xml:space="preserve"> </w:t>
      </w:r>
      <w:r w:rsidRPr="00A713B8">
        <w:rPr>
          <w:rFonts w:ascii="Times New Roman" w:eastAsia="Times New Roman" w:hAnsi="Times New Roman" w:cs="Times New Roman"/>
          <w:lang w:val="en-US"/>
        </w:rPr>
        <w:t>Is put me in a home whether I tell you I don’t want to</w:t>
      </w:r>
      <w:r>
        <w:rPr>
          <w:rFonts w:ascii="Times New Roman" w:eastAsia="Times New Roman" w:hAnsi="Times New Roman" w:cs="Times New Roman"/>
          <w:lang w:val="en-US"/>
        </w:rPr>
        <w:t xml:space="preserve"> then or not (Sinclair </w:t>
      </w:r>
      <w:r>
        <w:rPr>
          <w:rFonts w:ascii="Times New Roman" w:eastAsia="Times New Roman" w:hAnsi="Times New Roman" w:cs="Times New Roman"/>
          <w:i/>
          <w:lang w:val="en-US"/>
        </w:rPr>
        <w:t xml:space="preserve">et al, </w:t>
      </w:r>
      <w:r>
        <w:rPr>
          <w:rFonts w:ascii="Times New Roman" w:eastAsia="Times New Roman" w:hAnsi="Times New Roman" w:cs="Times New Roman"/>
          <w:lang w:val="en-US"/>
        </w:rPr>
        <w:t>2018, 4).</w:t>
      </w:r>
    </w:p>
    <w:p w14:paraId="7301ECD2" w14:textId="77777777" w:rsidR="00A713B8" w:rsidRPr="00A713B8" w:rsidRDefault="00A713B8" w:rsidP="00433FCD">
      <w:pPr>
        <w:spacing w:line="360" w:lineRule="auto"/>
        <w:jc w:val="both"/>
        <w:rPr>
          <w:rFonts w:ascii="Times New Roman" w:eastAsia="Times New Roman" w:hAnsi="Times New Roman" w:cs="Times New Roman"/>
          <w:lang w:val="en-US"/>
        </w:rPr>
      </w:pPr>
    </w:p>
    <w:p w14:paraId="3431D376" w14:textId="538BBCC4" w:rsidR="00D40345" w:rsidRDefault="00FA0B2F" w:rsidP="00FC0F00">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their analysis of everyday decisions by people with dementia, Samsi and Mathorpe (2013) also found that decision-making techniques were also more complicated than </w:t>
      </w:r>
      <w:r w:rsidR="00433FCD">
        <w:rPr>
          <w:rFonts w:ascii="Times New Roman" w:eastAsia="Times New Roman" w:hAnsi="Times New Roman" w:cs="Times New Roman"/>
          <w:lang w:val="en-US"/>
        </w:rPr>
        <w:t>simply supporting the person with dementia to discover and implement their will and preferences</w:t>
      </w:r>
      <w:r>
        <w:rPr>
          <w:rFonts w:ascii="Times New Roman" w:eastAsia="Times New Roman" w:hAnsi="Times New Roman" w:cs="Times New Roman"/>
          <w:lang w:val="en-US"/>
        </w:rPr>
        <w:t xml:space="preserve">. In their longitudinal study involving both people </w:t>
      </w:r>
      <w:r w:rsidR="00433FCD">
        <w:rPr>
          <w:rFonts w:ascii="Times New Roman" w:eastAsia="Times New Roman" w:hAnsi="Times New Roman" w:cs="Times New Roman"/>
          <w:lang w:val="en-US"/>
        </w:rPr>
        <w:t>with dementia and their familial caregivers</w:t>
      </w:r>
      <w:r>
        <w:rPr>
          <w:rFonts w:ascii="Times New Roman" w:eastAsia="Times New Roman" w:hAnsi="Times New Roman" w:cs="Times New Roman"/>
          <w:lang w:val="en-US"/>
        </w:rPr>
        <w:t xml:space="preserve">, they found that decision-making in fact occupied something akin to a spectrum from mutual decision-making as the norm at one end, </w:t>
      </w:r>
      <w:r w:rsidR="00433FCD">
        <w:rPr>
          <w:rFonts w:ascii="Times New Roman" w:eastAsia="Times New Roman" w:hAnsi="Times New Roman" w:cs="Times New Roman"/>
          <w:lang w:val="en-US"/>
        </w:rPr>
        <w:t>moving</w:t>
      </w:r>
      <w:r>
        <w:rPr>
          <w:rFonts w:ascii="Times New Roman" w:eastAsia="Times New Roman" w:hAnsi="Times New Roman" w:cs="Times New Roman"/>
          <w:lang w:val="en-US"/>
        </w:rPr>
        <w:t xml:space="preserve"> towards substituted decisions at the other as the dementia progressed. Interestingly, research participants who had dementia</w:t>
      </w:r>
      <w:r w:rsidRPr="00FA0B2F">
        <w:rPr>
          <w:rFonts w:ascii="Times New Roman" w:eastAsia="Times New Roman" w:hAnsi="Times New Roman" w:cs="Times New Roman"/>
          <w:lang w:val="en-US"/>
        </w:rPr>
        <w:t xml:space="preserve"> </w:t>
      </w:r>
      <w:r>
        <w:rPr>
          <w:rFonts w:ascii="Times New Roman" w:eastAsia="Times New Roman" w:hAnsi="Times New Roman" w:cs="Times New Roman"/>
          <w:lang w:val="en-US"/>
        </w:rPr>
        <w:t>‘</w:t>
      </w:r>
      <w:r w:rsidRPr="00FA0B2F">
        <w:rPr>
          <w:rFonts w:ascii="Times New Roman" w:eastAsia="Times New Roman" w:hAnsi="Times New Roman" w:cs="Times New Roman"/>
          <w:lang w:val="en-US"/>
        </w:rPr>
        <w:t>seemed particularly</w:t>
      </w:r>
      <w:r>
        <w:rPr>
          <w:rFonts w:ascii="Times New Roman" w:eastAsia="Times New Roman" w:hAnsi="Times New Roman" w:cs="Times New Roman"/>
          <w:lang w:val="en-US"/>
        </w:rPr>
        <w:t xml:space="preserve"> </w:t>
      </w:r>
      <w:r w:rsidRPr="00FA0B2F">
        <w:rPr>
          <w:rFonts w:ascii="Times New Roman" w:eastAsia="Times New Roman" w:hAnsi="Times New Roman" w:cs="Times New Roman"/>
          <w:lang w:val="en-US"/>
        </w:rPr>
        <w:t>surprised at being asked about individual decision-making, indicating they felt that joint decision-making was an inherent part of living with a partner,</w:t>
      </w:r>
      <w:r>
        <w:rPr>
          <w:rFonts w:ascii="Times New Roman" w:eastAsia="Times New Roman" w:hAnsi="Times New Roman" w:cs="Times New Roman"/>
          <w:lang w:val="en-US"/>
        </w:rPr>
        <w:t xml:space="preserve"> </w:t>
      </w:r>
      <w:r w:rsidRPr="00FA0B2F">
        <w:rPr>
          <w:rFonts w:ascii="Times New Roman" w:eastAsia="Times New Roman" w:hAnsi="Times New Roman" w:cs="Times New Roman"/>
          <w:lang w:val="en-US"/>
        </w:rPr>
        <w:t>many</w:t>
      </w:r>
      <w:r>
        <w:rPr>
          <w:rFonts w:ascii="Times New Roman" w:eastAsia="Times New Roman" w:hAnsi="Times New Roman" w:cs="Times New Roman"/>
          <w:lang w:val="en-US"/>
        </w:rPr>
        <w:t xml:space="preserve"> had been married over 50 years’ (Samsi and Manthorpe, 2013, 955).</w:t>
      </w:r>
      <w:r w:rsidR="00433FCD">
        <w:rPr>
          <w:rFonts w:ascii="Times New Roman" w:eastAsia="Times New Roman" w:hAnsi="Times New Roman" w:cs="Times New Roman"/>
          <w:lang w:val="en-US"/>
        </w:rPr>
        <w:t xml:space="preserve"> Moreover, in Samsi and Mathorpe’s research there appeared to be a divergence between the views of people with dementia towards decision-making, and their carers. Carers frequently wanted to preserve their relatives’ autonomy through varying methods, while the person with dementia often wanted the decisions to be made on their behalf, and trusted their caregivers to make these decisions for them (Samsi and Manthorpe, 2013, 959). This latter finding is not unique, and are represented in studies involving people with dementia, especially in relation to end of life care (Bollig, Gjengdal, &amp; Rosland, 2016). </w:t>
      </w:r>
      <w:r w:rsidR="00A713B8">
        <w:rPr>
          <w:rFonts w:ascii="Times New Roman" w:eastAsia="Times New Roman" w:hAnsi="Times New Roman" w:cs="Times New Roman"/>
          <w:lang w:val="en-US"/>
        </w:rPr>
        <w:t xml:space="preserve">While such findings do not necessarily answer hard questions about what form the law should take, they do serve to illustrate the true complexity of support, and what decision-making means for older people with dementia. </w:t>
      </w:r>
    </w:p>
    <w:p w14:paraId="21962696" w14:textId="77777777" w:rsidR="00B36DED" w:rsidRDefault="00B36DED" w:rsidP="00FC0F00">
      <w:pPr>
        <w:spacing w:line="360" w:lineRule="auto"/>
        <w:jc w:val="both"/>
        <w:rPr>
          <w:rFonts w:ascii="Times New Roman" w:eastAsia="Times New Roman" w:hAnsi="Times New Roman" w:cs="Times New Roman"/>
          <w:lang w:val="en-US"/>
        </w:rPr>
      </w:pPr>
    </w:p>
    <w:p w14:paraId="44915D28" w14:textId="08049E05" w:rsidR="009156EC" w:rsidRDefault="00266003" w:rsidP="00FC0F00">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f</w:t>
      </w:r>
      <w:r w:rsidR="00083B58">
        <w:rPr>
          <w:rFonts w:ascii="Times New Roman" w:eastAsia="Times New Roman" w:hAnsi="Times New Roman" w:cs="Times New Roman"/>
          <w:lang w:val="en-US"/>
        </w:rPr>
        <w:t>ocus on</w:t>
      </w:r>
      <w:r w:rsidR="00B36DED">
        <w:rPr>
          <w:rFonts w:ascii="Times New Roman" w:eastAsia="Times New Roman" w:hAnsi="Times New Roman" w:cs="Times New Roman"/>
          <w:lang w:val="en-US"/>
        </w:rPr>
        <w:t xml:space="preserve"> ‘supported decision-making’ that the UNCRPD and GC1 has engendered is undoubtedly to be welcomed, especially in light of the long history of silencing the voice of many people with disabilities, </w:t>
      </w:r>
      <w:r w:rsidR="00B7489C">
        <w:rPr>
          <w:rFonts w:ascii="Times New Roman" w:eastAsia="Times New Roman" w:hAnsi="Times New Roman" w:cs="Times New Roman"/>
          <w:lang w:val="en-US"/>
        </w:rPr>
        <w:t>including</w:t>
      </w:r>
      <w:r w:rsidR="00B36DED">
        <w:rPr>
          <w:rFonts w:ascii="Times New Roman" w:eastAsia="Times New Roman" w:hAnsi="Times New Roman" w:cs="Times New Roman"/>
          <w:lang w:val="en-US"/>
        </w:rPr>
        <w:t xml:space="preserve"> dementia.</w:t>
      </w:r>
      <w:r w:rsidR="00083B58">
        <w:rPr>
          <w:rFonts w:ascii="Times New Roman" w:eastAsia="Times New Roman" w:hAnsi="Times New Roman" w:cs="Times New Roman"/>
          <w:lang w:val="en-US"/>
        </w:rPr>
        <w:t xml:space="preserve"> On the other hand, the focus is equally important given that support is clearly important in a plethora of ways for people with dementia. However, </w:t>
      </w:r>
      <w:r w:rsidR="00B36DED">
        <w:rPr>
          <w:rFonts w:ascii="Times New Roman" w:eastAsia="Times New Roman" w:hAnsi="Times New Roman" w:cs="Times New Roman"/>
          <w:lang w:val="en-US"/>
        </w:rPr>
        <w:t xml:space="preserve">this section has sought to explore a number of the </w:t>
      </w:r>
      <w:r>
        <w:rPr>
          <w:rFonts w:ascii="Times New Roman" w:eastAsia="Times New Roman" w:hAnsi="Times New Roman" w:cs="Times New Roman"/>
          <w:lang w:val="en-US"/>
        </w:rPr>
        <w:t xml:space="preserve">critical </w:t>
      </w:r>
      <w:r w:rsidR="00B36DED">
        <w:rPr>
          <w:rFonts w:ascii="Times New Roman" w:eastAsia="Times New Roman" w:hAnsi="Times New Roman" w:cs="Times New Roman"/>
          <w:lang w:val="en-US"/>
        </w:rPr>
        <w:t>limitations of the focus on support offered by GC1 and some academic commentary. In doing so it is argued that the role envisaged for support</w:t>
      </w:r>
      <w:r>
        <w:rPr>
          <w:rFonts w:ascii="Times New Roman" w:eastAsia="Times New Roman" w:hAnsi="Times New Roman" w:cs="Times New Roman"/>
          <w:lang w:val="en-US"/>
        </w:rPr>
        <w:t xml:space="preserve"> by such commentators</w:t>
      </w:r>
      <w:r w:rsidR="00B36DED">
        <w:rPr>
          <w:rFonts w:ascii="Times New Roman" w:eastAsia="Times New Roman" w:hAnsi="Times New Roman" w:cs="Times New Roman"/>
          <w:lang w:val="en-US"/>
        </w:rPr>
        <w:t xml:space="preserve"> is </w:t>
      </w:r>
      <w:r>
        <w:rPr>
          <w:rFonts w:ascii="Times New Roman" w:eastAsia="Times New Roman" w:hAnsi="Times New Roman" w:cs="Times New Roman"/>
          <w:lang w:val="en-US"/>
        </w:rPr>
        <w:t xml:space="preserve">both internally and externally inconsistent. It is internally inconsistent because even </w:t>
      </w:r>
      <w:r w:rsidRPr="00266003">
        <w:rPr>
          <w:rFonts w:ascii="Times New Roman" w:eastAsia="Times New Roman" w:hAnsi="Times New Roman" w:cs="Times New Roman"/>
          <w:i/>
          <w:lang w:val="en-US"/>
        </w:rPr>
        <w:t>within</w:t>
      </w:r>
      <w:r>
        <w:rPr>
          <w:rFonts w:ascii="Times New Roman" w:eastAsia="Times New Roman" w:hAnsi="Times New Roman" w:cs="Times New Roman"/>
          <w:lang w:val="en-US"/>
        </w:rPr>
        <w:t xml:space="preserve"> some academic literature on GC1 itself, it is unclear as to whether the role of support should be to help a person decide, or whether the role should just be to assist in enacting a person’s decisions and giving effect to their preferences. But those that interpret support according to this latter conceptualization are also inconsistent with external literature detailing the realities of making decisions, especially with dementia.  As this section has demonstrated, such an interpretation of support is </w:t>
      </w:r>
      <w:r w:rsidR="00B36DED">
        <w:rPr>
          <w:rFonts w:ascii="Times New Roman" w:eastAsia="Times New Roman" w:hAnsi="Times New Roman" w:cs="Times New Roman"/>
          <w:lang w:val="en-US"/>
        </w:rPr>
        <w:t xml:space="preserve">one dimensional, overly individualistic, </w:t>
      </w:r>
      <w:r>
        <w:rPr>
          <w:rFonts w:ascii="Times New Roman" w:eastAsia="Times New Roman" w:hAnsi="Times New Roman" w:cs="Times New Roman"/>
          <w:lang w:val="en-US"/>
        </w:rPr>
        <w:t xml:space="preserve">risks marginalizing the interests of carers, </w:t>
      </w:r>
      <w:r w:rsidR="00B36DED">
        <w:rPr>
          <w:rFonts w:ascii="Times New Roman" w:eastAsia="Times New Roman" w:hAnsi="Times New Roman" w:cs="Times New Roman"/>
          <w:lang w:val="en-US"/>
        </w:rPr>
        <w:t xml:space="preserve">and does not always fully grapple with the </w:t>
      </w:r>
      <w:r>
        <w:rPr>
          <w:rFonts w:ascii="Times New Roman" w:eastAsia="Times New Roman" w:hAnsi="Times New Roman" w:cs="Times New Roman"/>
          <w:lang w:val="en-US"/>
        </w:rPr>
        <w:t>complexities of support for people with dementia</w:t>
      </w:r>
      <w:r w:rsidR="00B36DED">
        <w:rPr>
          <w:rFonts w:ascii="Times New Roman" w:eastAsia="Times New Roman" w:hAnsi="Times New Roman" w:cs="Times New Roman"/>
          <w:lang w:val="en-US"/>
        </w:rPr>
        <w:t>.</w:t>
      </w:r>
    </w:p>
    <w:p w14:paraId="547B0B0D" w14:textId="77777777" w:rsidR="00B36DED" w:rsidRDefault="00B36DED" w:rsidP="00FC0F00">
      <w:pPr>
        <w:spacing w:line="360" w:lineRule="auto"/>
        <w:jc w:val="both"/>
        <w:rPr>
          <w:rFonts w:ascii="Times New Roman" w:eastAsia="Times New Roman" w:hAnsi="Times New Roman" w:cs="Times New Roman"/>
          <w:lang w:val="en-US"/>
        </w:rPr>
      </w:pPr>
    </w:p>
    <w:p w14:paraId="3F00BD2C" w14:textId="0EA4D476" w:rsidR="00DF11E6" w:rsidRPr="00DF11E6" w:rsidRDefault="00DF11E6" w:rsidP="00FC0F00">
      <w:pPr>
        <w:spacing w:line="360" w:lineRule="auto"/>
        <w:jc w:val="both"/>
        <w:rPr>
          <w:rFonts w:ascii="Times New Roman" w:eastAsia="Times New Roman" w:hAnsi="Times New Roman" w:cs="Times New Roman"/>
          <w:b/>
          <w:lang w:val="en-US"/>
        </w:rPr>
      </w:pPr>
      <w:r w:rsidRPr="00DF11E6">
        <w:rPr>
          <w:rFonts w:ascii="Times New Roman" w:eastAsia="Times New Roman" w:hAnsi="Times New Roman" w:cs="Times New Roman"/>
          <w:b/>
          <w:lang w:val="en-US"/>
        </w:rPr>
        <w:t>3. Disability (or Impairment?)</w:t>
      </w:r>
    </w:p>
    <w:p w14:paraId="0D84886A" w14:textId="7F0FCB73" w:rsidR="00946339" w:rsidRDefault="00542AB7" w:rsidP="00946339">
      <w:pPr>
        <w:spacing w:line="360" w:lineRule="auto"/>
        <w:jc w:val="both"/>
        <w:rPr>
          <w:rFonts w:ascii="Times New Roman" w:hAnsi="Times New Roman" w:cs="Times New Roman"/>
          <w:lang w:val="en-US"/>
        </w:rPr>
      </w:pPr>
      <w:r>
        <w:rPr>
          <w:rFonts w:ascii="Times New Roman" w:hAnsi="Times New Roman" w:cs="Times New Roman"/>
          <w:lang w:val="en-US"/>
        </w:rPr>
        <w:t>The second issue this paper</w:t>
      </w:r>
      <w:r w:rsidR="0054676C">
        <w:rPr>
          <w:rFonts w:ascii="Times New Roman" w:hAnsi="Times New Roman" w:cs="Times New Roman"/>
          <w:lang w:val="en-US"/>
        </w:rPr>
        <w:t xml:space="preserve"> seeks to address is the role that</w:t>
      </w:r>
      <w:r>
        <w:rPr>
          <w:rFonts w:ascii="Times New Roman" w:hAnsi="Times New Roman" w:cs="Times New Roman"/>
          <w:lang w:val="en-US"/>
        </w:rPr>
        <w:t xml:space="preserve"> disability (or impairment)</w:t>
      </w:r>
      <w:r w:rsidR="00083B58">
        <w:rPr>
          <w:rStyle w:val="FootnoteReference"/>
          <w:rFonts w:ascii="Times New Roman" w:hAnsi="Times New Roman" w:cs="Times New Roman"/>
          <w:lang w:val="en-US"/>
        </w:rPr>
        <w:footnoteReference w:id="22"/>
      </w:r>
      <w:r w:rsidR="0054676C">
        <w:rPr>
          <w:rFonts w:ascii="Times New Roman" w:hAnsi="Times New Roman" w:cs="Times New Roman"/>
          <w:lang w:val="en-US"/>
        </w:rPr>
        <w:t xml:space="preserve"> plays in the exercise of legal capacity and supported decision-making</w:t>
      </w:r>
      <w:r>
        <w:rPr>
          <w:rFonts w:ascii="Times New Roman" w:hAnsi="Times New Roman" w:cs="Times New Roman"/>
          <w:lang w:val="en-US"/>
        </w:rPr>
        <w:t xml:space="preserve"> </w:t>
      </w:r>
      <w:r w:rsidR="0054676C">
        <w:rPr>
          <w:rFonts w:ascii="Times New Roman" w:hAnsi="Times New Roman" w:cs="Times New Roman"/>
          <w:lang w:val="en-US"/>
        </w:rPr>
        <w:t xml:space="preserve">as </w:t>
      </w:r>
      <w:r>
        <w:rPr>
          <w:rFonts w:ascii="Times New Roman" w:hAnsi="Times New Roman" w:cs="Times New Roman"/>
          <w:lang w:val="en-US"/>
        </w:rPr>
        <w:t xml:space="preserve">envisaged by the Convention itself, GC1, and </w:t>
      </w:r>
      <w:r w:rsidR="00BB6BA5">
        <w:rPr>
          <w:rFonts w:ascii="Times New Roman" w:hAnsi="Times New Roman" w:cs="Times New Roman"/>
          <w:lang w:val="en-US"/>
        </w:rPr>
        <w:t>academic debate</w:t>
      </w:r>
      <w:r>
        <w:rPr>
          <w:rFonts w:ascii="Times New Roman" w:hAnsi="Times New Roman" w:cs="Times New Roman"/>
          <w:lang w:val="en-US"/>
        </w:rPr>
        <w:t>.</w:t>
      </w:r>
      <w:r w:rsidR="00946339">
        <w:rPr>
          <w:rFonts w:ascii="Times New Roman" w:hAnsi="Times New Roman" w:cs="Times New Roman"/>
          <w:lang w:val="en-US"/>
        </w:rPr>
        <w:t xml:space="preserve"> In order to do this, it is important to note briefly the difference between disability and impairment. Paragraph 5 of the preamble to the Convention e</w:t>
      </w:r>
      <w:r w:rsidR="00BB6BA5">
        <w:rPr>
          <w:rFonts w:ascii="Times New Roman" w:hAnsi="Times New Roman" w:cs="Times New Roman"/>
          <w:lang w:val="en-US"/>
        </w:rPr>
        <w:t>stablishes</w:t>
      </w:r>
      <w:r w:rsidR="00946339">
        <w:rPr>
          <w:rFonts w:ascii="Times New Roman" w:hAnsi="Times New Roman" w:cs="Times New Roman"/>
          <w:lang w:val="en-US"/>
        </w:rPr>
        <w:t xml:space="preserve"> this distinction: ‘</w:t>
      </w:r>
      <w:r w:rsidR="00946339" w:rsidRPr="00946339">
        <w:rPr>
          <w:rFonts w:ascii="Times New Roman" w:hAnsi="Times New Roman" w:cs="Times New Roman"/>
          <w:lang w:val="en-US"/>
        </w:rPr>
        <w:t>disability is an evolving concept and that disability results from the interaction between persons with impairments and attitudinal and environmental barriers that hinders their full and effective participation in societ</w:t>
      </w:r>
      <w:r w:rsidR="00946339">
        <w:rPr>
          <w:rFonts w:ascii="Times New Roman" w:hAnsi="Times New Roman" w:cs="Times New Roman"/>
          <w:lang w:val="en-US"/>
        </w:rPr>
        <w:t>y on an equal basis with others.’ So there are two elements to disability: an impairment, and social barriers.  Interaction between the two leads to disability. Oliver summarises this interaction thus:</w:t>
      </w:r>
    </w:p>
    <w:p w14:paraId="744F4A14" w14:textId="4845BA29" w:rsidR="00946339" w:rsidRPr="00946339" w:rsidRDefault="00946339" w:rsidP="00946339">
      <w:pPr>
        <w:spacing w:line="360" w:lineRule="auto"/>
        <w:ind w:left="720" w:right="920"/>
        <w:jc w:val="both"/>
        <w:rPr>
          <w:rFonts w:ascii="Times New Roman" w:hAnsi="Times New Roman" w:cs="Times New Roman"/>
          <w:lang w:val="en-US"/>
        </w:rPr>
      </w:pPr>
      <w:r>
        <w:rPr>
          <w:rFonts w:ascii="Times New Roman" w:hAnsi="Times New Roman" w:cs="Times New Roman"/>
          <w:lang w:val="en-US"/>
        </w:rPr>
        <w:t>...impairment is defined as ‘lacking all or part of a limb, or having a defective limb, organism or mechanism of the body...disability is defined as the ‘disadvantage or restriction of activity caused by a contemporary social organisation which takes little or no account of people who have physical impairments and thus excludes them from participation in the mainstream of social activities.’ (Oliver, 1996, 22)</w:t>
      </w:r>
      <w:r w:rsidR="00E77C87">
        <w:rPr>
          <w:rStyle w:val="FootnoteReference"/>
          <w:rFonts w:ascii="Times New Roman" w:hAnsi="Times New Roman" w:cs="Times New Roman"/>
          <w:lang w:val="en-US"/>
        </w:rPr>
        <w:footnoteReference w:id="23"/>
      </w:r>
    </w:p>
    <w:p w14:paraId="25A1467B" w14:textId="37012F24" w:rsidR="00EA4234" w:rsidRPr="00946339" w:rsidRDefault="00EC14D2" w:rsidP="00EA4234">
      <w:pPr>
        <w:spacing w:line="360" w:lineRule="auto"/>
        <w:jc w:val="both"/>
        <w:rPr>
          <w:rFonts w:ascii="Times New Roman" w:hAnsi="Times New Roman" w:cs="Times New Roman"/>
          <w:lang w:val="en-US"/>
        </w:rPr>
      </w:pPr>
      <w:r>
        <w:rPr>
          <w:rFonts w:ascii="Times New Roman" w:hAnsi="Times New Roman" w:cs="Times New Roman"/>
          <w:lang w:val="en-US"/>
        </w:rPr>
        <w:t xml:space="preserve">In light of the above, disability is not a status, but a </w:t>
      </w:r>
      <w:r w:rsidR="005E22EE">
        <w:rPr>
          <w:rFonts w:ascii="Times New Roman" w:hAnsi="Times New Roman" w:cs="Times New Roman"/>
          <w:lang w:val="en-US"/>
        </w:rPr>
        <w:t xml:space="preserve">negative </w:t>
      </w:r>
      <w:r>
        <w:rPr>
          <w:rFonts w:ascii="Times New Roman" w:hAnsi="Times New Roman" w:cs="Times New Roman"/>
          <w:lang w:val="en-US"/>
        </w:rPr>
        <w:t>process of interaction between impairment and society.</w:t>
      </w:r>
      <w:r w:rsidR="00B7489C">
        <w:rPr>
          <w:rFonts w:ascii="Times New Roman" w:hAnsi="Times New Roman" w:cs="Times New Roman"/>
          <w:lang w:val="en-US"/>
        </w:rPr>
        <w:t xml:space="preserve"> </w:t>
      </w:r>
      <w:r w:rsidR="005E22EE">
        <w:rPr>
          <w:rFonts w:ascii="Times New Roman" w:hAnsi="Times New Roman" w:cs="Times New Roman"/>
          <w:lang w:val="en-US"/>
        </w:rPr>
        <w:t>In many respects, the Convention itself is clear on the role of disability</w:t>
      </w:r>
      <w:r w:rsidR="00B36DED">
        <w:rPr>
          <w:rFonts w:ascii="Times New Roman" w:hAnsi="Times New Roman" w:cs="Times New Roman"/>
          <w:lang w:val="en-US"/>
        </w:rPr>
        <w:t xml:space="preserve"> in relation to legal systems which purport to regulate decision-making</w:t>
      </w:r>
      <w:r w:rsidR="005E22EE">
        <w:rPr>
          <w:rFonts w:ascii="Times New Roman" w:hAnsi="Times New Roman" w:cs="Times New Roman"/>
          <w:lang w:val="en-US"/>
        </w:rPr>
        <w:t>:</w:t>
      </w:r>
      <w:r w:rsidR="0054676C">
        <w:rPr>
          <w:rFonts w:ascii="Times New Roman" w:hAnsi="Times New Roman" w:cs="Times New Roman"/>
          <w:lang w:val="en-US"/>
        </w:rPr>
        <w:t xml:space="preserve"> Article 12(3) requires that state parties recognize ‘</w:t>
      </w:r>
      <w:r w:rsidR="0054676C" w:rsidRPr="0054676C">
        <w:rPr>
          <w:rFonts w:ascii="Times New Roman" w:hAnsi="Times New Roman" w:cs="Times New Roman"/>
          <w:lang w:val="en-US"/>
        </w:rPr>
        <w:t>that persons with disabilities enjoy legal capacity on an equal basis with others in all aspects of life.</w:t>
      </w:r>
      <w:r w:rsidR="00EA4234">
        <w:rPr>
          <w:rFonts w:ascii="Times New Roman" w:hAnsi="Times New Roman" w:cs="Times New Roman"/>
          <w:lang w:val="en-US"/>
        </w:rPr>
        <w:t>’ Moreover, Article 12(4) states that ‘</w:t>
      </w:r>
      <w:r w:rsidR="00EA4234" w:rsidRPr="00EA4234">
        <w:rPr>
          <w:rFonts w:ascii="Times New Roman" w:hAnsi="Times New Roman" w:cs="Times New Roman"/>
          <w:lang w:val="en-US"/>
        </w:rPr>
        <w:t>States Parties shall ensure that all measures that relate to the exercise of legal capacity provide for appropriate and effective safeguards to prevent abuse in accordance with international human rights law. Such safeguards shall ensure that measures relating to</w:t>
      </w:r>
      <w:r w:rsidR="00946339">
        <w:rPr>
          <w:rFonts w:ascii="Times New Roman" w:hAnsi="Times New Roman" w:cs="Times New Roman"/>
          <w:lang w:val="en-US"/>
        </w:rPr>
        <w:t xml:space="preserve"> the exercise of legal capacity...</w:t>
      </w:r>
      <w:r w:rsidR="00EA4234" w:rsidRPr="00EA4234">
        <w:rPr>
          <w:rFonts w:ascii="Times New Roman" w:hAnsi="Times New Roman" w:cs="Times New Roman"/>
          <w:lang w:val="en-US"/>
        </w:rPr>
        <w:t xml:space="preserve">are </w:t>
      </w:r>
      <w:r w:rsidR="00EA4234" w:rsidRPr="009C2DEE">
        <w:rPr>
          <w:rFonts w:ascii="Times New Roman" w:hAnsi="Times New Roman" w:cs="Times New Roman"/>
          <w:lang w:val="en-US"/>
        </w:rPr>
        <w:t>proportional and</w:t>
      </w:r>
      <w:r w:rsidR="00EA4234" w:rsidRPr="00946339">
        <w:rPr>
          <w:rFonts w:ascii="Times New Roman" w:hAnsi="Times New Roman" w:cs="Times New Roman"/>
          <w:i/>
          <w:lang w:val="en-US"/>
        </w:rPr>
        <w:t xml:space="preserve"> tailored to the person’s circumstances</w:t>
      </w:r>
      <w:r w:rsidR="00946339">
        <w:rPr>
          <w:rFonts w:ascii="Times New Roman" w:hAnsi="Times New Roman" w:cs="Times New Roman"/>
          <w:lang w:val="en-US"/>
        </w:rPr>
        <w:t>...’ (emphasis added).</w:t>
      </w:r>
      <w:r w:rsidR="005E22EE">
        <w:rPr>
          <w:rFonts w:ascii="Times New Roman" w:hAnsi="Times New Roman" w:cs="Times New Roman"/>
          <w:lang w:val="en-US"/>
        </w:rPr>
        <w:t xml:space="preserve"> In effect, persons with disabilities must never be denied legal capacity in a situation where someone without a disability would not be denied it – such as where they purport to marry or sign a contract – and any safeguards that relate to exercising this legal capacity must be tailored to the person’s circumstances.</w:t>
      </w:r>
    </w:p>
    <w:p w14:paraId="73873C0C" w14:textId="55FBD729" w:rsidR="0054676C" w:rsidRPr="0054676C" w:rsidRDefault="0054676C" w:rsidP="0054676C">
      <w:pPr>
        <w:spacing w:line="360" w:lineRule="auto"/>
        <w:jc w:val="both"/>
        <w:rPr>
          <w:rFonts w:ascii="Times New Roman" w:hAnsi="Times New Roman" w:cs="Times New Roman"/>
          <w:lang w:val="en-US"/>
        </w:rPr>
      </w:pPr>
    </w:p>
    <w:p w14:paraId="017FA206" w14:textId="110800CF" w:rsidR="00DF11E6" w:rsidRDefault="005E22EE" w:rsidP="00DF11E6">
      <w:pPr>
        <w:spacing w:line="360" w:lineRule="auto"/>
        <w:jc w:val="both"/>
        <w:rPr>
          <w:rFonts w:ascii="Times New Roman" w:eastAsia="Times New Roman" w:hAnsi="Times New Roman" w:cs="Times New Roman"/>
          <w:lang w:val="en-US"/>
        </w:rPr>
      </w:pPr>
      <w:r>
        <w:rPr>
          <w:rFonts w:ascii="Times New Roman" w:hAnsi="Times New Roman" w:cs="Times New Roman"/>
          <w:lang w:val="en-US"/>
        </w:rPr>
        <w:t xml:space="preserve">This is expanded upon in GC1 </w:t>
      </w:r>
      <w:r w:rsidR="00DF11E6">
        <w:rPr>
          <w:rFonts w:ascii="Times New Roman" w:hAnsi="Times New Roman" w:cs="Times New Roman"/>
          <w:lang w:val="en-US"/>
        </w:rPr>
        <w:t xml:space="preserve">paragraph 9, </w:t>
      </w:r>
      <w:r>
        <w:rPr>
          <w:rFonts w:ascii="Times New Roman" w:hAnsi="Times New Roman" w:cs="Times New Roman"/>
          <w:lang w:val="en-US"/>
        </w:rPr>
        <w:t>which states that</w:t>
      </w:r>
      <w:r w:rsidR="00DF11E6">
        <w:rPr>
          <w:rFonts w:ascii="Times New Roman" w:hAnsi="Times New Roman" w:cs="Times New Roman"/>
          <w:lang w:val="en-US"/>
        </w:rPr>
        <w:t xml:space="preserve"> ‘</w:t>
      </w:r>
      <w:r w:rsidR="00DF11E6" w:rsidRPr="002A58D5">
        <w:rPr>
          <w:rFonts w:ascii="Times New Roman" w:eastAsia="Times New Roman" w:hAnsi="Times New Roman" w:cs="Times New Roman"/>
          <w:lang w:val="en-US"/>
        </w:rPr>
        <w:t>a person’s status as a person with a disability or the existence of an impairment (including a physical or sensory impairment) must never be grounds for denying legal capacity or any</w:t>
      </w:r>
      <w:r w:rsidR="006B386A">
        <w:rPr>
          <w:rFonts w:ascii="Times New Roman" w:eastAsia="Times New Roman" w:hAnsi="Times New Roman" w:cs="Times New Roman"/>
          <w:lang w:val="en-US"/>
        </w:rPr>
        <w:t xml:space="preserve"> of the rights provided for in A</w:t>
      </w:r>
      <w:r w:rsidR="00DF11E6" w:rsidRPr="002A58D5">
        <w:rPr>
          <w:rFonts w:ascii="Times New Roman" w:eastAsia="Times New Roman" w:hAnsi="Times New Roman" w:cs="Times New Roman"/>
          <w:lang w:val="en-US"/>
        </w:rPr>
        <w:t>rticle 12</w:t>
      </w:r>
      <w:r w:rsidR="00DF11E6">
        <w:rPr>
          <w:rFonts w:ascii="Times New Roman" w:eastAsia="Times New Roman" w:hAnsi="Times New Roman" w:cs="Times New Roman"/>
          <w:lang w:val="en-US"/>
        </w:rPr>
        <w:t>.’</w:t>
      </w:r>
      <w:r>
        <w:rPr>
          <w:rStyle w:val="FootnoteReference"/>
          <w:rFonts w:ascii="Times New Roman" w:eastAsia="Times New Roman" w:hAnsi="Times New Roman" w:cs="Times New Roman"/>
          <w:lang w:val="en-US"/>
        </w:rPr>
        <w:footnoteReference w:id="24"/>
      </w:r>
      <w:r w:rsidR="00DF11E6">
        <w:rPr>
          <w:rFonts w:ascii="Times New Roman" w:eastAsia="Times New Roman" w:hAnsi="Times New Roman" w:cs="Times New Roman"/>
          <w:lang w:val="en-US"/>
        </w:rPr>
        <w:t xml:space="preserve"> Later, in paragraph 15, it is contended that any decision-making regime that provides for substitute decision-making is in contravention to Article 12 because in such regimes, </w:t>
      </w:r>
    </w:p>
    <w:p w14:paraId="1877601A" w14:textId="77777777" w:rsidR="00DF11E6" w:rsidRPr="002A58D5" w:rsidRDefault="00DF11E6" w:rsidP="00DF11E6">
      <w:pPr>
        <w:spacing w:line="360" w:lineRule="auto"/>
        <w:ind w:left="720" w:right="740"/>
        <w:jc w:val="both"/>
        <w:rPr>
          <w:rFonts w:ascii="Times New Roman" w:eastAsia="Times New Roman" w:hAnsi="Times New Roman" w:cs="Times New Roman"/>
          <w:lang w:val="en-US"/>
        </w:rPr>
      </w:pPr>
      <w:r w:rsidRPr="002A58D5">
        <w:rPr>
          <w:rFonts w:ascii="Times New Roman" w:eastAsia="Times New Roman" w:hAnsi="Times New Roman" w:cs="Times New Roman"/>
          <w:lang w:val="en-US"/>
        </w:rPr>
        <w:t>a person’s disability and/or decision</w:t>
      </w:r>
      <w:r>
        <w:rPr>
          <w:rFonts w:ascii="Times New Roman" w:eastAsia="Times New Roman" w:hAnsi="Times New Roman" w:cs="Times New Roman"/>
          <w:lang w:val="en-US"/>
        </w:rPr>
        <w:t xml:space="preserve"> </w:t>
      </w:r>
      <w:r w:rsidRPr="002A58D5">
        <w:rPr>
          <w:rFonts w:ascii="Times New Roman" w:eastAsia="Times New Roman" w:hAnsi="Times New Roman" w:cs="Times New Roman"/>
          <w:lang w:val="en-US"/>
        </w:rPr>
        <w:t>making skills are taken as legitimate grounds for denying his or her legal capacity and lowering his or her status as a person before the law. Article 12 does not permit such discriminatory denial of legal capacity, but, rather, requires that support be provided in the exercise of legal capacity</w:t>
      </w:r>
      <w:r>
        <w:rPr>
          <w:rFonts w:ascii="Times New Roman" w:eastAsia="Times New Roman" w:hAnsi="Times New Roman" w:cs="Times New Roman"/>
          <w:lang w:val="en-US"/>
        </w:rPr>
        <w:t>.</w:t>
      </w:r>
    </w:p>
    <w:p w14:paraId="76332DAE" w14:textId="56957BF5" w:rsidR="00B36DED" w:rsidRDefault="00E36F7A" w:rsidP="00DF11E6">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GC1 goes on to suggest, in paragraph 29, that ‘[t]he </w:t>
      </w:r>
      <w:r w:rsidR="00DF11E6" w:rsidRPr="00DD48B9">
        <w:rPr>
          <w:rFonts w:ascii="Times New Roman" w:eastAsia="Times New Roman" w:hAnsi="Times New Roman" w:cs="Times New Roman"/>
          <w:lang w:val="en-US"/>
        </w:rPr>
        <w:t>provision of support to exercise legal capacity should not hinge on mental capacity assessments; new, non-discriminatory indicators of support needs are required in the provision of supp</w:t>
      </w:r>
      <w:r>
        <w:rPr>
          <w:rFonts w:ascii="Times New Roman" w:eastAsia="Times New Roman" w:hAnsi="Times New Roman" w:cs="Times New Roman"/>
          <w:lang w:val="en-US"/>
        </w:rPr>
        <w:t xml:space="preserve">ort to exercise legal capacity.’ So </w:t>
      </w:r>
      <w:r w:rsidR="00BB6BA5">
        <w:rPr>
          <w:rFonts w:ascii="Times New Roman" w:eastAsia="Times New Roman" w:hAnsi="Times New Roman" w:cs="Times New Roman"/>
          <w:lang w:val="en-US"/>
        </w:rPr>
        <w:t>while GC1 requires supported decision-making regimes to replace substituted decision-making regimes</w:t>
      </w:r>
      <w:r>
        <w:rPr>
          <w:rFonts w:ascii="Times New Roman" w:eastAsia="Times New Roman" w:hAnsi="Times New Roman" w:cs="Times New Roman"/>
          <w:lang w:val="en-US"/>
        </w:rPr>
        <w:t>,</w:t>
      </w:r>
      <w:r w:rsidR="00BB6BA5">
        <w:rPr>
          <w:rFonts w:ascii="Times New Roman" w:eastAsia="Times New Roman" w:hAnsi="Times New Roman" w:cs="Times New Roman"/>
          <w:lang w:val="en-US"/>
        </w:rPr>
        <w:t xml:space="preserve"> it goes even further than this and states that</w:t>
      </w:r>
      <w:r>
        <w:rPr>
          <w:rFonts w:ascii="Times New Roman" w:eastAsia="Times New Roman" w:hAnsi="Times New Roman" w:cs="Times New Roman"/>
          <w:lang w:val="en-US"/>
        </w:rPr>
        <w:t xml:space="preserve"> any assessment of precisely </w:t>
      </w:r>
      <w:r>
        <w:rPr>
          <w:rFonts w:ascii="Times New Roman" w:eastAsia="Times New Roman" w:hAnsi="Times New Roman" w:cs="Times New Roman"/>
          <w:i/>
          <w:lang w:val="en-US"/>
        </w:rPr>
        <w:t>what</w:t>
      </w:r>
      <w:r>
        <w:rPr>
          <w:rFonts w:ascii="Times New Roman" w:eastAsia="Times New Roman" w:hAnsi="Times New Roman" w:cs="Times New Roman"/>
          <w:lang w:val="en-US"/>
        </w:rPr>
        <w:t xml:space="preserve"> supports are required to make the decision cannot be decided on the basis of a person’s mental capacity – such a their ability to understand information, retain information or</w:t>
      </w:r>
      <w:r w:rsidR="00083B58">
        <w:rPr>
          <w:rFonts w:ascii="Times New Roman" w:eastAsia="Times New Roman" w:hAnsi="Times New Roman" w:cs="Times New Roman"/>
          <w:lang w:val="en-US"/>
        </w:rPr>
        <w:t xml:space="preserve"> use and weigh</w:t>
      </w:r>
      <w:r>
        <w:rPr>
          <w:rFonts w:ascii="Times New Roman" w:eastAsia="Times New Roman" w:hAnsi="Times New Roman" w:cs="Times New Roman"/>
          <w:lang w:val="en-US"/>
        </w:rPr>
        <w:t xml:space="preserve"> it, or </w:t>
      </w:r>
      <w:r w:rsidR="00B36DED">
        <w:rPr>
          <w:rFonts w:ascii="Times New Roman" w:eastAsia="Times New Roman" w:hAnsi="Times New Roman" w:cs="Times New Roman"/>
          <w:lang w:val="en-US"/>
        </w:rPr>
        <w:t>communicate their decision</w:t>
      </w:r>
      <w:r>
        <w:rPr>
          <w:rFonts w:ascii="Times New Roman" w:eastAsia="Times New Roman" w:hAnsi="Times New Roman" w:cs="Times New Roman"/>
          <w:lang w:val="en-US"/>
        </w:rPr>
        <w:t>.</w:t>
      </w:r>
      <w:r>
        <w:rPr>
          <w:rStyle w:val="FootnoteReference"/>
          <w:rFonts w:ascii="Times New Roman" w:eastAsia="Times New Roman" w:hAnsi="Times New Roman" w:cs="Times New Roman"/>
          <w:lang w:val="en-US"/>
        </w:rPr>
        <w:footnoteReference w:id="25"/>
      </w:r>
      <w:r w:rsidR="00412B12">
        <w:rPr>
          <w:rFonts w:ascii="Times New Roman" w:eastAsia="Times New Roman" w:hAnsi="Times New Roman" w:cs="Times New Roman"/>
          <w:lang w:val="en-US"/>
        </w:rPr>
        <w:t xml:space="preserve"> </w:t>
      </w:r>
    </w:p>
    <w:p w14:paraId="6DBEB94E" w14:textId="77777777" w:rsidR="00B36DED" w:rsidRDefault="00B36DED" w:rsidP="00DF11E6">
      <w:pPr>
        <w:spacing w:line="360" w:lineRule="auto"/>
        <w:jc w:val="both"/>
        <w:rPr>
          <w:rFonts w:ascii="Times New Roman" w:eastAsia="Times New Roman" w:hAnsi="Times New Roman" w:cs="Times New Roman"/>
          <w:lang w:val="en-US"/>
        </w:rPr>
      </w:pPr>
    </w:p>
    <w:p w14:paraId="127F177B" w14:textId="0F970EA0" w:rsidR="005D1E9B" w:rsidRDefault="00412B12" w:rsidP="00DF11E6">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Again, the precise implications of these provisions have been the subject of much debate. </w:t>
      </w:r>
      <w:r w:rsidR="00D51F95">
        <w:rPr>
          <w:rFonts w:ascii="Times New Roman" w:eastAsia="Times New Roman" w:hAnsi="Times New Roman" w:cs="Times New Roman"/>
          <w:lang w:val="en-US"/>
        </w:rPr>
        <w:t>Ar</w:t>
      </w:r>
      <w:r w:rsidR="006821CC">
        <w:rPr>
          <w:rFonts w:ascii="Times New Roman" w:eastAsia="Times New Roman" w:hAnsi="Times New Roman" w:cs="Times New Roman"/>
          <w:lang w:val="en-US"/>
        </w:rPr>
        <w:t>stein-Kerslake and Flynn, for example, state that ‘if a state would not restrict the legal capacity of a woman without disabilities who chooses to stay in an abusive domestic relationship, it should also not restrict the legal capacity of a woman with disabilities in those circumstances.’ (Arstein-Kerslake and Flynn, 2016, 479). Moreover, they go on to argue in a later article that ‘it is important to search for universal criteria for state intervention and describe how these might apply to all adults, rather than developing separate and more intrusive criteria for intervention that only apply to people with disabilities’ (Flynn and Arstein-Kerslake, 2017, 40).</w:t>
      </w:r>
      <w:r w:rsidR="003B3229">
        <w:rPr>
          <w:rFonts w:ascii="Times New Roman" w:eastAsia="Times New Roman" w:hAnsi="Times New Roman" w:cs="Times New Roman"/>
          <w:lang w:val="en-US"/>
        </w:rPr>
        <w:t xml:space="preserve"> Furthermore, because mental capacity assessments are seen to be inherently discriminatory towards people with cognitive and mental disabilities</w:t>
      </w:r>
      <w:r w:rsidR="002667B6">
        <w:rPr>
          <w:rFonts w:ascii="Times New Roman" w:eastAsia="Times New Roman" w:hAnsi="Times New Roman" w:cs="Times New Roman"/>
          <w:lang w:val="en-US"/>
        </w:rPr>
        <w:t>,</w:t>
      </w:r>
      <w:r w:rsidR="00BF7AE8">
        <w:rPr>
          <w:rFonts w:ascii="Times New Roman" w:eastAsia="Times New Roman" w:hAnsi="Times New Roman" w:cs="Times New Roman"/>
          <w:lang w:val="en-US"/>
        </w:rPr>
        <w:t xml:space="preserve"> some have argued there should be no room for any functional assessments of decision-making ability </w:t>
      </w:r>
      <w:r w:rsidR="005D1E9B">
        <w:rPr>
          <w:rFonts w:ascii="Times New Roman" w:eastAsia="Times New Roman" w:hAnsi="Times New Roman" w:cs="Times New Roman"/>
          <w:lang w:val="en-US"/>
        </w:rPr>
        <w:t xml:space="preserve">within the provision of support for decision-making, or support to exercise legal capacity, because there </w:t>
      </w:r>
      <w:r w:rsidR="00672D3B" w:rsidRPr="00672D3B">
        <w:rPr>
          <w:rFonts w:ascii="Times New Roman" w:eastAsia="Times New Roman" w:hAnsi="Times New Roman" w:cs="Times New Roman"/>
          <w:lang w:val="en-US"/>
        </w:rPr>
        <w:t xml:space="preserve">is a danger of </w:t>
      </w:r>
      <w:r w:rsidR="005D1E9B" w:rsidRPr="00672D3B">
        <w:rPr>
          <w:rFonts w:ascii="Times New Roman" w:eastAsia="Times New Roman" w:hAnsi="Times New Roman" w:cs="Times New Roman"/>
          <w:lang w:val="en-US"/>
        </w:rPr>
        <w:t>‘such ‘functional’ assessments becoming status contingent’</w:t>
      </w:r>
      <w:r w:rsidR="005D1E9B">
        <w:rPr>
          <w:rFonts w:ascii="Times New Roman" w:eastAsia="Times New Roman" w:hAnsi="Times New Roman" w:cs="Times New Roman"/>
          <w:lang w:val="en-US"/>
        </w:rPr>
        <w:t xml:space="preserve"> (Flynn and Arstein-Kerslake, 2014, 89). As Dawson surmises,</w:t>
      </w:r>
      <w:r w:rsidR="004D20FA">
        <w:rPr>
          <w:rFonts w:ascii="Times New Roman" w:eastAsia="Times New Roman" w:hAnsi="Times New Roman" w:cs="Times New Roman"/>
          <w:lang w:val="en-US"/>
        </w:rPr>
        <w:t xml:space="preserve"> </w:t>
      </w:r>
      <w:r w:rsidR="005D1E9B">
        <w:rPr>
          <w:rFonts w:ascii="Times New Roman" w:eastAsia="Times New Roman" w:hAnsi="Times New Roman" w:cs="Times New Roman"/>
          <w:lang w:val="en-US"/>
        </w:rPr>
        <w:t xml:space="preserve">the view of the Committee on the Rights of Persons with Disabilities – as </w:t>
      </w:r>
      <w:r w:rsidR="004D20FA">
        <w:rPr>
          <w:rFonts w:ascii="Times New Roman" w:eastAsia="Times New Roman" w:hAnsi="Times New Roman" w:cs="Times New Roman"/>
          <w:lang w:val="en-US"/>
        </w:rPr>
        <w:t xml:space="preserve">well as some authors – is that </w:t>
      </w:r>
    </w:p>
    <w:p w14:paraId="4CF1D36E" w14:textId="223FD3CE" w:rsidR="005D1E9B" w:rsidRDefault="005D1E9B" w:rsidP="004D20FA">
      <w:pPr>
        <w:spacing w:line="360" w:lineRule="auto"/>
        <w:ind w:left="720" w:right="740"/>
        <w:jc w:val="both"/>
        <w:rPr>
          <w:rFonts w:ascii="Times New Roman" w:eastAsia="Times New Roman" w:hAnsi="Times New Roman" w:cs="Times New Roman"/>
          <w:lang w:val="en-US"/>
        </w:rPr>
      </w:pPr>
      <w:r>
        <w:rPr>
          <w:rFonts w:ascii="Times New Roman" w:eastAsia="Times New Roman" w:hAnsi="Times New Roman" w:cs="Times New Roman"/>
          <w:lang w:val="en-US"/>
        </w:rPr>
        <w:t>the concept of mental im</w:t>
      </w:r>
      <w:r w:rsidRPr="005D1E9B">
        <w:rPr>
          <w:rFonts w:ascii="Times New Roman" w:eastAsia="Times New Roman" w:hAnsi="Times New Roman" w:cs="Times New Roman"/>
          <w:lang w:val="en-US"/>
        </w:rPr>
        <w:t>pairment should be removed completely from legal standards, even</w:t>
      </w:r>
      <w:r>
        <w:rPr>
          <w:rFonts w:ascii="Times New Roman" w:eastAsia="Times New Roman" w:hAnsi="Times New Roman" w:cs="Times New Roman"/>
          <w:lang w:val="en-US"/>
        </w:rPr>
        <w:t xml:space="preserve"> </w:t>
      </w:r>
      <w:r w:rsidRPr="005D1E9B">
        <w:rPr>
          <w:rFonts w:ascii="Times New Roman" w:eastAsia="Times New Roman" w:hAnsi="Times New Roman" w:cs="Times New Roman"/>
          <w:lang w:val="en-US"/>
        </w:rPr>
        <w:t>when used in combination with other standards, such as those based</w:t>
      </w:r>
      <w:r>
        <w:rPr>
          <w:rFonts w:ascii="Times New Roman" w:eastAsia="Times New Roman" w:hAnsi="Times New Roman" w:cs="Times New Roman"/>
          <w:lang w:val="en-US"/>
        </w:rPr>
        <w:t xml:space="preserve"> </w:t>
      </w:r>
      <w:r w:rsidRPr="005D1E9B">
        <w:rPr>
          <w:rFonts w:ascii="Times New Roman" w:eastAsia="Times New Roman" w:hAnsi="Times New Roman" w:cs="Times New Roman"/>
          <w:lang w:val="en-US"/>
        </w:rPr>
        <w:t>on risk of harm to self or others. In sum, functional capacity tests should</w:t>
      </w:r>
      <w:r>
        <w:rPr>
          <w:rFonts w:ascii="Times New Roman" w:eastAsia="Times New Roman" w:hAnsi="Times New Roman" w:cs="Times New Roman"/>
          <w:lang w:val="en-US"/>
        </w:rPr>
        <w:t xml:space="preserve"> </w:t>
      </w:r>
      <w:r w:rsidRPr="005D1E9B">
        <w:rPr>
          <w:rFonts w:ascii="Times New Roman" w:eastAsia="Times New Roman" w:hAnsi="Times New Roman" w:cs="Times New Roman"/>
          <w:lang w:val="en-US"/>
        </w:rPr>
        <w:t>be expunged from legal reasoning — rega</w:t>
      </w:r>
      <w:r>
        <w:rPr>
          <w:rFonts w:ascii="Times New Roman" w:eastAsia="Times New Roman" w:hAnsi="Times New Roman" w:cs="Times New Roman"/>
          <w:lang w:val="en-US"/>
        </w:rPr>
        <w:t>rdless, it seems, of the conse</w:t>
      </w:r>
      <w:r w:rsidRPr="005D1E9B">
        <w:rPr>
          <w:rFonts w:ascii="Times New Roman" w:eastAsia="Times New Roman" w:hAnsi="Times New Roman" w:cs="Times New Roman"/>
          <w:lang w:val="en-US"/>
        </w:rPr>
        <w:t>quences.</w:t>
      </w:r>
      <w:r w:rsidR="004D20FA">
        <w:rPr>
          <w:rFonts w:ascii="Times New Roman" w:eastAsia="Times New Roman" w:hAnsi="Times New Roman" w:cs="Times New Roman"/>
          <w:lang w:val="en-US"/>
        </w:rPr>
        <w:t xml:space="preserve"> (Dawson, 2015, 73).</w:t>
      </w:r>
    </w:p>
    <w:p w14:paraId="19BEE236" w14:textId="77777777" w:rsidR="005D1E9B" w:rsidRDefault="005D1E9B" w:rsidP="00DF11E6">
      <w:pPr>
        <w:spacing w:line="360" w:lineRule="auto"/>
        <w:jc w:val="both"/>
        <w:rPr>
          <w:rFonts w:ascii="Times New Roman" w:eastAsia="Times New Roman" w:hAnsi="Times New Roman" w:cs="Times New Roman"/>
          <w:lang w:val="en-US"/>
        </w:rPr>
      </w:pPr>
    </w:p>
    <w:p w14:paraId="35B9920B" w14:textId="437A52D1" w:rsidR="00DF11E6" w:rsidRDefault="005D1E9B" w:rsidP="00DF11E6">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Yet such an approach is not universally accepted</w:t>
      </w:r>
      <w:r w:rsidR="004D20FA">
        <w:rPr>
          <w:rFonts w:ascii="Times New Roman" w:eastAsia="Times New Roman" w:hAnsi="Times New Roman" w:cs="Times New Roman"/>
          <w:lang w:val="en-US"/>
        </w:rPr>
        <w:t xml:space="preserve"> or welcomed. As Dawson continues, the evidence of impairments in mental functioning may well be relevant to deciding what support</w:t>
      </w:r>
      <w:r w:rsidR="00B36DED">
        <w:rPr>
          <w:rFonts w:ascii="Times New Roman" w:eastAsia="Times New Roman" w:hAnsi="Times New Roman" w:cs="Times New Roman"/>
          <w:lang w:val="en-US"/>
        </w:rPr>
        <w:t>s to provide (Dawson, 2015, 74). Likewise, Bartlett argues that</w:t>
      </w:r>
      <w:r w:rsidR="004D20FA">
        <w:rPr>
          <w:rFonts w:ascii="Times New Roman" w:eastAsia="Times New Roman" w:hAnsi="Times New Roman" w:cs="Times New Roman"/>
          <w:lang w:val="en-US"/>
        </w:rPr>
        <w:t xml:space="preserve"> ‘it does seem that the mental condition of the individual may in some circumstances be relevant to the appropriate social response to that individual’s care’ (Bartlett, 2012, 764).  Moreover, it is not just an assessment of an individual’s functional decision-making ability that might be useful in providing appropriate supports (Gooding, 2013, 438; Dawson, 2015, 74), but knowledge of their precise mental impairment may also be beneficial in order to provide </w:t>
      </w:r>
      <w:r w:rsidR="004D20FA" w:rsidRPr="00B36DED">
        <w:rPr>
          <w:rFonts w:ascii="Times New Roman" w:eastAsia="Times New Roman" w:hAnsi="Times New Roman" w:cs="Times New Roman"/>
          <w:i/>
          <w:lang w:val="en-US"/>
        </w:rPr>
        <w:t>appropriate</w:t>
      </w:r>
      <w:r w:rsidR="004D20FA">
        <w:rPr>
          <w:rFonts w:ascii="Times New Roman" w:eastAsia="Times New Roman" w:hAnsi="Times New Roman" w:cs="Times New Roman"/>
          <w:lang w:val="en-US"/>
        </w:rPr>
        <w:t xml:space="preserve"> support. </w:t>
      </w:r>
      <w:r w:rsidR="00BE4741">
        <w:rPr>
          <w:rFonts w:ascii="Times New Roman" w:eastAsia="Times New Roman" w:hAnsi="Times New Roman" w:cs="Times New Roman"/>
          <w:lang w:val="en-US"/>
        </w:rPr>
        <w:t>It is one thing to say that</w:t>
      </w:r>
      <w:r w:rsidR="00BB6BA5">
        <w:rPr>
          <w:rFonts w:ascii="Times New Roman" w:eastAsia="Times New Roman" w:hAnsi="Times New Roman" w:cs="Times New Roman"/>
          <w:lang w:val="en-US"/>
        </w:rPr>
        <w:t xml:space="preserve"> capacity or incapacity should </w:t>
      </w:r>
      <w:r w:rsidR="00BE4741">
        <w:rPr>
          <w:rFonts w:ascii="Times New Roman" w:eastAsia="Times New Roman" w:hAnsi="Times New Roman" w:cs="Times New Roman"/>
          <w:lang w:val="en-US"/>
        </w:rPr>
        <w:t xml:space="preserve">be divorced from disability or impairment, but it is entirely </w:t>
      </w:r>
      <w:r w:rsidR="002D604C">
        <w:rPr>
          <w:rFonts w:ascii="Times New Roman" w:eastAsia="Times New Roman" w:hAnsi="Times New Roman" w:cs="Times New Roman"/>
          <w:lang w:val="en-US"/>
        </w:rPr>
        <w:t>different to argue that</w:t>
      </w:r>
      <w:r w:rsidR="002D604C" w:rsidRPr="00D36AE4">
        <w:rPr>
          <w:rFonts w:ascii="Times New Roman" w:eastAsia="Times New Roman" w:hAnsi="Times New Roman" w:cs="Times New Roman"/>
          <w:i/>
          <w:lang w:val="en-US"/>
        </w:rPr>
        <w:t xml:space="preserve"> support</w:t>
      </w:r>
      <w:r w:rsidR="00BE4741">
        <w:rPr>
          <w:rFonts w:ascii="Times New Roman" w:eastAsia="Times New Roman" w:hAnsi="Times New Roman" w:cs="Times New Roman"/>
          <w:lang w:val="en-US"/>
        </w:rPr>
        <w:t xml:space="preserve"> should be divorced from disability or impairment. </w:t>
      </w:r>
      <w:r w:rsidR="002D604C">
        <w:rPr>
          <w:rFonts w:ascii="Times New Roman" w:eastAsia="Times New Roman" w:hAnsi="Times New Roman" w:cs="Times New Roman"/>
          <w:lang w:val="en-US"/>
        </w:rPr>
        <w:t xml:space="preserve"> </w:t>
      </w:r>
      <w:r w:rsidR="00BE4741">
        <w:rPr>
          <w:rFonts w:ascii="Times New Roman" w:eastAsia="Times New Roman" w:hAnsi="Times New Roman" w:cs="Times New Roman"/>
          <w:lang w:val="en-US"/>
        </w:rPr>
        <w:t xml:space="preserve">The crucial point here, </w:t>
      </w:r>
      <w:r w:rsidR="00276B15">
        <w:rPr>
          <w:rFonts w:ascii="Times New Roman" w:eastAsia="Times New Roman" w:hAnsi="Times New Roman" w:cs="Times New Roman"/>
          <w:lang w:val="en-US"/>
        </w:rPr>
        <w:t xml:space="preserve">which GC1 overlooks, is that of itself, recognizing that a person has different decision-making abilities is not inherently </w:t>
      </w:r>
      <w:r w:rsidR="000C13D7">
        <w:rPr>
          <w:rFonts w:ascii="Times New Roman" w:eastAsia="Times New Roman" w:hAnsi="Times New Roman" w:cs="Times New Roman"/>
          <w:lang w:val="en-US"/>
        </w:rPr>
        <w:t>negative discrimination (Gooding, 2015, 58-59)</w:t>
      </w:r>
      <w:r w:rsidR="00276B15">
        <w:rPr>
          <w:rFonts w:ascii="Times New Roman" w:eastAsia="Times New Roman" w:hAnsi="Times New Roman" w:cs="Times New Roman"/>
          <w:lang w:val="en-US"/>
        </w:rPr>
        <w:t xml:space="preserve">, neither is simply recognizing that a person has a medical condition or impairment that leads to those differences in decision-making abilities. </w:t>
      </w:r>
      <w:r w:rsidR="000C13D7">
        <w:rPr>
          <w:rFonts w:ascii="Times New Roman" w:eastAsia="Times New Roman" w:hAnsi="Times New Roman" w:cs="Times New Roman"/>
          <w:lang w:val="en-US"/>
        </w:rPr>
        <w:t>As</w:t>
      </w:r>
      <w:r w:rsidR="00177B39">
        <w:rPr>
          <w:rFonts w:ascii="Times New Roman" w:eastAsia="Times New Roman" w:hAnsi="Times New Roman" w:cs="Times New Roman"/>
          <w:lang w:val="en-US"/>
        </w:rPr>
        <w:t xml:space="preserve"> the moral philosopher, </w:t>
      </w:r>
      <w:r w:rsidR="00B7489C">
        <w:rPr>
          <w:rFonts w:ascii="Times New Roman" w:eastAsia="Times New Roman" w:hAnsi="Times New Roman" w:cs="Times New Roman"/>
          <w:lang w:val="en-US"/>
        </w:rPr>
        <w:t xml:space="preserve">Mary </w:t>
      </w:r>
      <w:r w:rsidR="000C13D7">
        <w:rPr>
          <w:rFonts w:ascii="Times New Roman" w:eastAsia="Times New Roman" w:hAnsi="Times New Roman" w:cs="Times New Roman"/>
          <w:lang w:val="en-US"/>
        </w:rPr>
        <w:t>Midgley</w:t>
      </w:r>
      <w:r w:rsidR="00177B39">
        <w:rPr>
          <w:rFonts w:ascii="Times New Roman" w:eastAsia="Times New Roman" w:hAnsi="Times New Roman" w:cs="Times New Roman"/>
          <w:lang w:val="en-US"/>
        </w:rPr>
        <w:t>, argues:</w:t>
      </w:r>
    </w:p>
    <w:p w14:paraId="475D2F6C" w14:textId="5A8FB3C7" w:rsidR="000C13D7" w:rsidRPr="00E36F7A" w:rsidRDefault="00177B39" w:rsidP="000C13D7">
      <w:pPr>
        <w:spacing w:line="360" w:lineRule="auto"/>
        <w:ind w:left="720" w:right="830"/>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000C13D7" w:rsidRPr="000C13D7">
        <w:rPr>
          <w:rFonts w:ascii="Times New Roman" w:eastAsia="Times New Roman" w:hAnsi="Times New Roman" w:cs="Times New Roman"/>
          <w:lang w:val="en-US"/>
        </w:rPr>
        <w:t>either can a</w:t>
      </w:r>
      <w:r w:rsidR="000C13D7">
        <w:rPr>
          <w:rFonts w:ascii="Times New Roman" w:eastAsia="Times New Roman" w:hAnsi="Times New Roman" w:cs="Times New Roman"/>
          <w:lang w:val="en-US"/>
        </w:rPr>
        <w:t xml:space="preserve"> belief in equality possibly be </w:t>
      </w:r>
      <w:r w:rsidR="000C13D7" w:rsidRPr="000C13D7">
        <w:rPr>
          <w:rFonts w:ascii="Times New Roman" w:eastAsia="Times New Roman" w:hAnsi="Times New Roman" w:cs="Times New Roman"/>
          <w:lang w:val="en-US"/>
        </w:rPr>
        <w:t>a belief that we are all identical, standard pieces of white</w:t>
      </w:r>
      <w:r w:rsidR="000C13D7">
        <w:rPr>
          <w:rFonts w:ascii="Times New Roman" w:eastAsia="Times New Roman" w:hAnsi="Times New Roman" w:cs="Times New Roman"/>
          <w:lang w:val="en-US"/>
        </w:rPr>
        <w:t xml:space="preserve"> </w:t>
      </w:r>
      <w:r w:rsidR="000C13D7" w:rsidRPr="000C13D7">
        <w:rPr>
          <w:rFonts w:ascii="Times New Roman" w:eastAsia="Times New Roman" w:hAnsi="Times New Roman" w:cs="Times New Roman"/>
          <w:lang w:val="en-US"/>
        </w:rPr>
        <w:t>paper, equally capable by nature of passing some test or other.</w:t>
      </w:r>
      <w:r w:rsidR="000C13D7">
        <w:rPr>
          <w:rFonts w:ascii="Times New Roman" w:eastAsia="Times New Roman" w:hAnsi="Times New Roman" w:cs="Times New Roman"/>
          <w:lang w:val="en-US"/>
        </w:rPr>
        <w:t xml:space="preserve"> </w:t>
      </w:r>
      <w:r w:rsidR="000C13D7" w:rsidRPr="000C13D7">
        <w:rPr>
          <w:rFonts w:ascii="Times New Roman" w:eastAsia="Times New Roman" w:hAnsi="Times New Roman" w:cs="Times New Roman"/>
          <w:lang w:val="en-US"/>
        </w:rPr>
        <w:t>Equality is a moral principle, not a factual one, and it means</w:t>
      </w:r>
      <w:r w:rsidR="000C13D7">
        <w:rPr>
          <w:rFonts w:ascii="Times New Roman" w:eastAsia="Times New Roman" w:hAnsi="Times New Roman" w:cs="Times New Roman"/>
          <w:lang w:val="en-US"/>
        </w:rPr>
        <w:t xml:space="preserve"> </w:t>
      </w:r>
      <w:r w:rsidR="000C13D7" w:rsidRPr="000C13D7">
        <w:rPr>
          <w:rFonts w:ascii="Times New Roman" w:eastAsia="Times New Roman" w:hAnsi="Times New Roman" w:cs="Times New Roman"/>
          <w:lang w:val="en-US"/>
        </w:rPr>
        <w:t>that we all have the same basic right to fair treatment,</w:t>
      </w:r>
      <w:r w:rsidR="000C13D7">
        <w:rPr>
          <w:rFonts w:ascii="Times New Roman" w:eastAsia="Times New Roman" w:hAnsi="Times New Roman" w:cs="Times New Roman"/>
          <w:lang w:val="en-US"/>
        </w:rPr>
        <w:t xml:space="preserve"> </w:t>
      </w:r>
      <w:r w:rsidR="000C13D7" w:rsidRPr="000C13D7">
        <w:rPr>
          <w:rFonts w:ascii="Times New Roman" w:eastAsia="Times New Roman" w:hAnsi="Times New Roman" w:cs="Times New Roman"/>
          <w:lang w:val="en-US"/>
        </w:rPr>
        <w:t>whatever our capacities.</w:t>
      </w:r>
      <w:r w:rsidR="000C13D7">
        <w:rPr>
          <w:rFonts w:ascii="Times New Roman" w:eastAsia="Times New Roman" w:hAnsi="Times New Roman" w:cs="Times New Roman"/>
          <w:lang w:val="en-US"/>
        </w:rPr>
        <w:t xml:space="preserve"> (</w:t>
      </w:r>
      <w:r w:rsidR="000C13D7" w:rsidRPr="00D36AE4">
        <w:rPr>
          <w:rFonts w:ascii="Times New Roman" w:eastAsia="Times New Roman" w:hAnsi="Times New Roman" w:cs="Times New Roman"/>
          <w:lang w:val="en-US"/>
        </w:rPr>
        <w:t>Midgley, 1981, 35</w:t>
      </w:r>
      <w:r w:rsidR="000C13D7">
        <w:rPr>
          <w:rFonts w:ascii="Times New Roman" w:eastAsia="Times New Roman" w:hAnsi="Times New Roman" w:cs="Times New Roman"/>
          <w:lang w:val="en-US"/>
        </w:rPr>
        <w:t>).</w:t>
      </w:r>
      <w:r w:rsidR="000C13D7">
        <w:rPr>
          <w:rStyle w:val="FootnoteReference"/>
          <w:rFonts w:ascii="Times New Roman" w:eastAsia="Times New Roman" w:hAnsi="Times New Roman" w:cs="Times New Roman"/>
          <w:lang w:val="en-US"/>
        </w:rPr>
        <w:footnoteReference w:id="26"/>
      </w:r>
    </w:p>
    <w:p w14:paraId="39DEA5AC" w14:textId="23A47ECF" w:rsidR="00B36DED" w:rsidRDefault="000C13D7" w:rsidP="00A91C20">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It is </w:t>
      </w:r>
      <w:r>
        <w:rPr>
          <w:rFonts w:ascii="Times New Roman" w:eastAsia="Times New Roman" w:hAnsi="Times New Roman" w:cs="Times New Roman"/>
          <w:i/>
          <w:lang w:val="en-US"/>
        </w:rPr>
        <w:t xml:space="preserve">how </w:t>
      </w:r>
      <w:r w:rsidR="00BB3537">
        <w:rPr>
          <w:rFonts w:ascii="Times New Roman" w:eastAsia="Times New Roman" w:hAnsi="Times New Roman" w:cs="Times New Roman"/>
          <w:lang w:val="en-US"/>
        </w:rPr>
        <w:t>information</w:t>
      </w:r>
      <w:r w:rsidR="000A52AC">
        <w:rPr>
          <w:rFonts w:ascii="Times New Roman" w:eastAsia="Times New Roman" w:hAnsi="Times New Roman" w:cs="Times New Roman"/>
          <w:lang w:val="en-US"/>
        </w:rPr>
        <w:t xml:space="preserve"> about our differences</w:t>
      </w:r>
      <w:r w:rsidR="00BB3537">
        <w:rPr>
          <w:rFonts w:ascii="Times New Roman" w:eastAsia="Times New Roman" w:hAnsi="Times New Roman" w:cs="Times New Roman"/>
          <w:lang w:val="en-US"/>
        </w:rPr>
        <w:t xml:space="preserve"> is used that </w:t>
      </w:r>
      <w:r w:rsidR="002D604C" w:rsidRPr="00B36DED">
        <w:rPr>
          <w:rFonts w:ascii="Times New Roman" w:eastAsia="Times New Roman" w:hAnsi="Times New Roman" w:cs="Times New Roman"/>
          <w:lang w:val="en-US"/>
        </w:rPr>
        <w:t xml:space="preserve">sometimes </w:t>
      </w:r>
      <w:r w:rsidR="00B36DED" w:rsidRPr="00B36DED">
        <w:rPr>
          <w:rFonts w:ascii="Times New Roman" w:eastAsia="Times New Roman" w:hAnsi="Times New Roman" w:cs="Times New Roman"/>
          <w:lang w:val="en-US"/>
        </w:rPr>
        <w:t>makes interventions</w:t>
      </w:r>
      <w:r w:rsidR="000A52AC" w:rsidRPr="00B36DED">
        <w:rPr>
          <w:rFonts w:ascii="Times New Roman" w:eastAsia="Times New Roman" w:hAnsi="Times New Roman" w:cs="Times New Roman"/>
          <w:lang w:val="en-US"/>
        </w:rPr>
        <w:t xml:space="preserve"> discriminatory</w:t>
      </w:r>
      <w:r w:rsidR="00B36DED" w:rsidRPr="00B36DED">
        <w:rPr>
          <w:rFonts w:ascii="Times New Roman" w:eastAsia="Times New Roman" w:hAnsi="Times New Roman" w:cs="Times New Roman"/>
          <w:lang w:val="en-US"/>
        </w:rPr>
        <w:t>, or, to use Flynn and Arstein-Kerslake’s term, ‘intrusive’ (Flynn and Arstein-Kerslake, 2017, 40)</w:t>
      </w:r>
      <w:r w:rsidR="000A52AC" w:rsidRPr="00B36DED">
        <w:rPr>
          <w:rFonts w:ascii="Times New Roman" w:eastAsia="Times New Roman" w:hAnsi="Times New Roman" w:cs="Times New Roman"/>
          <w:lang w:val="en-US"/>
        </w:rPr>
        <w:t>.</w:t>
      </w:r>
      <w:r w:rsidR="000A52AC">
        <w:rPr>
          <w:rFonts w:ascii="Times New Roman" w:eastAsia="Times New Roman" w:hAnsi="Times New Roman" w:cs="Times New Roman"/>
          <w:lang w:val="en-US"/>
        </w:rPr>
        <w:t xml:space="preserve"> In </w:t>
      </w:r>
      <w:r w:rsidR="00B36DED">
        <w:rPr>
          <w:rFonts w:ascii="Times New Roman" w:eastAsia="Times New Roman" w:hAnsi="Times New Roman" w:cs="Times New Roman"/>
          <w:lang w:val="en-US"/>
        </w:rPr>
        <w:t>UN</w:t>
      </w:r>
      <w:r w:rsidR="000A52AC">
        <w:rPr>
          <w:rFonts w:ascii="Times New Roman" w:eastAsia="Times New Roman" w:hAnsi="Times New Roman" w:cs="Times New Roman"/>
          <w:lang w:val="en-US"/>
        </w:rPr>
        <w:t xml:space="preserve">CRPD terms, it is </w:t>
      </w:r>
      <w:r w:rsidR="002D604C">
        <w:rPr>
          <w:rFonts w:ascii="Times New Roman" w:eastAsia="Times New Roman" w:hAnsi="Times New Roman" w:cs="Times New Roman"/>
          <w:lang w:val="en-US"/>
        </w:rPr>
        <w:t xml:space="preserve">how </w:t>
      </w:r>
      <w:r w:rsidR="000A52AC">
        <w:rPr>
          <w:rFonts w:ascii="Times New Roman" w:eastAsia="Times New Roman" w:hAnsi="Times New Roman" w:cs="Times New Roman"/>
          <w:lang w:val="en-US"/>
        </w:rPr>
        <w:t>the</w:t>
      </w:r>
      <w:r>
        <w:rPr>
          <w:rFonts w:ascii="Times New Roman" w:eastAsia="Times New Roman" w:hAnsi="Times New Roman" w:cs="Times New Roman"/>
          <w:lang w:val="en-US"/>
        </w:rPr>
        <w:t xml:space="preserve"> information</w:t>
      </w:r>
      <w:r w:rsidR="000A52AC">
        <w:rPr>
          <w:rFonts w:ascii="Times New Roman" w:eastAsia="Times New Roman" w:hAnsi="Times New Roman" w:cs="Times New Roman"/>
          <w:lang w:val="en-US"/>
        </w:rPr>
        <w:t xml:space="preserve"> about a person’s </w:t>
      </w:r>
      <w:r w:rsidR="000F05D9">
        <w:rPr>
          <w:rFonts w:ascii="Times New Roman" w:eastAsia="Times New Roman" w:hAnsi="Times New Roman" w:cs="Times New Roman"/>
          <w:lang w:val="en-US"/>
        </w:rPr>
        <w:t>decision-making ability or their impairment</w:t>
      </w:r>
      <w:r>
        <w:rPr>
          <w:rFonts w:ascii="Times New Roman" w:eastAsia="Times New Roman" w:hAnsi="Times New Roman" w:cs="Times New Roman"/>
          <w:lang w:val="en-US"/>
        </w:rPr>
        <w:t xml:space="preserve"> is used that </w:t>
      </w:r>
      <w:r w:rsidR="002D604C">
        <w:rPr>
          <w:rFonts w:ascii="Times New Roman" w:eastAsia="Times New Roman" w:hAnsi="Times New Roman" w:cs="Times New Roman"/>
          <w:lang w:val="en-US"/>
        </w:rPr>
        <w:t>is important in identifying</w:t>
      </w:r>
      <w:r w:rsidR="000A52AC">
        <w:rPr>
          <w:rFonts w:ascii="Times New Roman" w:eastAsia="Times New Roman" w:hAnsi="Times New Roman" w:cs="Times New Roman"/>
          <w:lang w:val="en-US"/>
        </w:rPr>
        <w:t xml:space="preserve"> whether something is discriminatory or fails to comply with Article 12</w:t>
      </w:r>
      <w:r>
        <w:rPr>
          <w:rFonts w:ascii="Times New Roman" w:eastAsia="Times New Roman" w:hAnsi="Times New Roman" w:cs="Times New Roman"/>
          <w:lang w:val="en-US"/>
        </w:rPr>
        <w:t xml:space="preserve">. If the information is used to – in the </w:t>
      </w:r>
      <w:r w:rsidR="00B36DED">
        <w:rPr>
          <w:rFonts w:ascii="Times New Roman" w:eastAsia="Times New Roman" w:hAnsi="Times New Roman" w:cs="Times New Roman"/>
          <w:lang w:val="en-US"/>
        </w:rPr>
        <w:t>UN</w:t>
      </w:r>
      <w:r>
        <w:rPr>
          <w:rFonts w:ascii="Times New Roman" w:eastAsia="Times New Roman" w:hAnsi="Times New Roman" w:cs="Times New Roman"/>
          <w:lang w:val="en-US"/>
        </w:rPr>
        <w:t>CRPD’s terms – deny legal capacity, then this may well be discriminatory</w:t>
      </w:r>
      <w:r w:rsidR="00B36DED">
        <w:rPr>
          <w:rFonts w:ascii="Times New Roman" w:eastAsia="Times New Roman" w:hAnsi="Times New Roman" w:cs="Times New Roman"/>
          <w:lang w:val="en-US"/>
        </w:rPr>
        <w:t xml:space="preserve"> in a negative way</w:t>
      </w:r>
      <w:r w:rsidR="000F05D9">
        <w:rPr>
          <w:rFonts w:ascii="Times New Roman" w:eastAsia="Times New Roman" w:hAnsi="Times New Roman" w:cs="Times New Roman"/>
          <w:lang w:val="en-US"/>
        </w:rPr>
        <w:t xml:space="preserve"> under Article 12</w:t>
      </w:r>
      <w:r>
        <w:rPr>
          <w:rFonts w:ascii="Times New Roman" w:eastAsia="Times New Roman" w:hAnsi="Times New Roman" w:cs="Times New Roman"/>
          <w:lang w:val="en-US"/>
        </w:rPr>
        <w:t>. But if that information is used to put appropriate supports in place, then is this not a positive use of such information</w:t>
      </w:r>
      <w:r w:rsidR="000A52AC">
        <w:rPr>
          <w:rFonts w:ascii="Times New Roman" w:eastAsia="Times New Roman" w:hAnsi="Times New Roman" w:cs="Times New Roman"/>
          <w:lang w:val="en-US"/>
        </w:rPr>
        <w:t>, and one that is UNCRPD compliant</w:t>
      </w:r>
      <w:r w:rsidR="00D51F95">
        <w:rPr>
          <w:rFonts w:ascii="Times New Roman" w:eastAsia="Times New Roman" w:hAnsi="Times New Roman" w:cs="Times New Roman"/>
          <w:lang w:val="en-US"/>
        </w:rPr>
        <w:t xml:space="preserve"> given that Article 12(4) requires safeguards that are tailored to the person’s circumstances</w:t>
      </w:r>
      <w:r w:rsidR="002667B6">
        <w:rPr>
          <w:rFonts w:ascii="Times New Roman" w:eastAsia="Times New Roman" w:hAnsi="Times New Roman" w:cs="Times New Roman"/>
          <w:lang w:val="en-US"/>
        </w:rPr>
        <w:t xml:space="preserve"> – of which the fact that they have dementia or a disability is precisely one of those relevant circumstances</w:t>
      </w:r>
      <w:r>
        <w:rPr>
          <w:rFonts w:ascii="Times New Roman" w:eastAsia="Times New Roman" w:hAnsi="Times New Roman" w:cs="Times New Roman"/>
          <w:lang w:val="en-US"/>
        </w:rPr>
        <w:t xml:space="preserve">? </w:t>
      </w:r>
    </w:p>
    <w:p w14:paraId="1D655BA1" w14:textId="77777777" w:rsidR="00B36DED" w:rsidRDefault="00B36DED" w:rsidP="00A91C20">
      <w:pPr>
        <w:spacing w:line="360" w:lineRule="auto"/>
        <w:jc w:val="both"/>
        <w:rPr>
          <w:rFonts w:ascii="Times New Roman" w:eastAsia="Times New Roman" w:hAnsi="Times New Roman" w:cs="Times New Roman"/>
          <w:lang w:val="en-US"/>
        </w:rPr>
      </w:pPr>
    </w:p>
    <w:p w14:paraId="60AFDC7D" w14:textId="6423738B" w:rsidR="00012648" w:rsidRPr="00B36DED" w:rsidRDefault="000C13D7" w:rsidP="000A52AC">
      <w:pPr>
        <w:spacing w:line="360" w:lineRule="auto"/>
        <w:jc w:val="both"/>
        <w:rPr>
          <w:rFonts w:ascii="Times New Roman" w:hAnsi="Times New Roman" w:cs="Times New Roman"/>
          <w:lang w:val="en-US"/>
        </w:rPr>
      </w:pPr>
      <w:r>
        <w:rPr>
          <w:rFonts w:ascii="Times New Roman" w:eastAsia="Times New Roman" w:hAnsi="Times New Roman" w:cs="Times New Roman"/>
          <w:lang w:val="en-US"/>
        </w:rPr>
        <w:t>Neither does such an a</w:t>
      </w:r>
      <w:r w:rsidR="00B36DED">
        <w:rPr>
          <w:rFonts w:ascii="Times New Roman" w:eastAsia="Times New Roman" w:hAnsi="Times New Roman" w:cs="Times New Roman"/>
          <w:lang w:val="en-US"/>
        </w:rPr>
        <w:t>rgument necessarily</w:t>
      </w:r>
      <w:r>
        <w:rPr>
          <w:rFonts w:ascii="Times New Roman" w:eastAsia="Times New Roman" w:hAnsi="Times New Roman" w:cs="Times New Roman"/>
          <w:lang w:val="en-US"/>
        </w:rPr>
        <w:t xml:space="preserve"> sit in discord with the social model of disability</w:t>
      </w:r>
      <w:r w:rsidR="00EA583E">
        <w:rPr>
          <w:rFonts w:ascii="Times New Roman" w:eastAsia="Times New Roman" w:hAnsi="Times New Roman" w:cs="Times New Roman"/>
          <w:lang w:val="en-US"/>
        </w:rPr>
        <w:t>, upon which the UNCRPD is predicated</w:t>
      </w:r>
      <w:r>
        <w:rPr>
          <w:rFonts w:ascii="Times New Roman" w:eastAsia="Times New Roman" w:hAnsi="Times New Roman" w:cs="Times New Roman"/>
          <w:lang w:val="en-US"/>
        </w:rPr>
        <w:t>.</w:t>
      </w:r>
      <w:r w:rsidR="00EA583E">
        <w:rPr>
          <w:rStyle w:val="FootnoteReference"/>
          <w:rFonts w:ascii="Times New Roman" w:eastAsia="Times New Roman" w:hAnsi="Times New Roman" w:cs="Times New Roman"/>
          <w:lang w:val="en-US"/>
        </w:rPr>
        <w:footnoteReference w:id="27"/>
      </w:r>
      <w:r>
        <w:rPr>
          <w:rFonts w:ascii="Times New Roman" w:eastAsia="Times New Roman" w:hAnsi="Times New Roman" w:cs="Times New Roman"/>
          <w:lang w:val="en-US"/>
        </w:rPr>
        <w:t xml:space="preserve"> In fact, the UNCRPD</w:t>
      </w:r>
      <w:r w:rsidR="000A52AC">
        <w:rPr>
          <w:rFonts w:ascii="Times New Roman" w:eastAsia="Times New Roman" w:hAnsi="Times New Roman" w:cs="Times New Roman"/>
          <w:lang w:val="en-US"/>
        </w:rPr>
        <w:t xml:space="preserve"> itself</w:t>
      </w:r>
      <w:r>
        <w:rPr>
          <w:rFonts w:ascii="Times New Roman" w:eastAsia="Times New Roman" w:hAnsi="Times New Roman" w:cs="Times New Roman"/>
          <w:lang w:val="en-US"/>
        </w:rPr>
        <w:t xml:space="preserve"> highlights that</w:t>
      </w:r>
      <w:r w:rsidR="000A52AC">
        <w:rPr>
          <w:rFonts w:ascii="Times New Roman" w:eastAsia="Times New Roman" w:hAnsi="Times New Roman" w:cs="Times New Roman"/>
          <w:lang w:val="en-US"/>
        </w:rPr>
        <w:t xml:space="preserve"> disability</w:t>
      </w:r>
      <w:r>
        <w:rPr>
          <w:rFonts w:ascii="Times New Roman" w:eastAsia="Times New Roman" w:hAnsi="Times New Roman" w:cs="Times New Roman"/>
          <w:lang w:val="en-US"/>
        </w:rPr>
        <w:t xml:space="preserve"> arises through </w:t>
      </w:r>
      <w:r w:rsidRPr="00946339">
        <w:rPr>
          <w:rFonts w:ascii="Times New Roman" w:hAnsi="Times New Roman" w:cs="Times New Roman"/>
          <w:lang w:val="en-US"/>
        </w:rPr>
        <w:t xml:space="preserve">impairments </w:t>
      </w:r>
      <w:r w:rsidRPr="000F05D9">
        <w:rPr>
          <w:rFonts w:ascii="Times New Roman" w:hAnsi="Times New Roman" w:cs="Times New Roman"/>
          <w:i/>
          <w:lang w:val="en-US"/>
        </w:rPr>
        <w:t>and</w:t>
      </w:r>
      <w:r w:rsidR="000F05D9">
        <w:rPr>
          <w:rFonts w:ascii="Times New Roman" w:hAnsi="Times New Roman" w:cs="Times New Roman"/>
          <w:i/>
          <w:lang w:val="en-US"/>
        </w:rPr>
        <w:t xml:space="preserve"> </w:t>
      </w:r>
      <w:r w:rsidR="000F05D9" w:rsidRPr="000F05D9">
        <w:rPr>
          <w:rFonts w:ascii="Times New Roman" w:hAnsi="Times New Roman" w:cs="Times New Roman"/>
          <w:lang w:val="en-US"/>
        </w:rPr>
        <w:t>their interaction with</w:t>
      </w:r>
      <w:r w:rsidRPr="00946339">
        <w:rPr>
          <w:rFonts w:ascii="Times New Roman" w:hAnsi="Times New Roman" w:cs="Times New Roman"/>
          <w:lang w:val="en-US"/>
        </w:rPr>
        <w:t xml:space="preserve"> </w:t>
      </w:r>
      <w:r w:rsidR="000F05D9">
        <w:rPr>
          <w:rFonts w:ascii="Times New Roman" w:hAnsi="Times New Roman" w:cs="Times New Roman"/>
          <w:lang w:val="en-US"/>
        </w:rPr>
        <w:t>‘</w:t>
      </w:r>
      <w:r w:rsidRPr="00946339">
        <w:rPr>
          <w:rFonts w:ascii="Times New Roman" w:hAnsi="Times New Roman" w:cs="Times New Roman"/>
          <w:lang w:val="en-US"/>
        </w:rPr>
        <w:t>attitudinal and environmental barriers that hinders their full and effective participation in societ</w:t>
      </w:r>
      <w:r>
        <w:rPr>
          <w:rFonts w:ascii="Times New Roman" w:hAnsi="Times New Roman" w:cs="Times New Roman"/>
          <w:lang w:val="en-US"/>
        </w:rPr>
        <w:t>y on an equal basis with others</w:t>
      </w:r>
      <w:r w:rsidR="000F05D9">
        <w:rPr>
          <w:rFonts w:ascii="Times New Roman" w:hAnsi="Times New Roman" w:cs="Times New Roman"/>
          <w:lang w:val="en-US"/>
        </w:rPr>
        <w:t>.’</w:t>
      </w:r>
      <w:r w:rsidR="000F05D9">
        <w:rPr>
          <w:rStyle w:val="FootnoteReference"/>
          <w:rFonts w:ascii="Times New Roman" w:hAnsi="Times New Roman" w:cs="Times New Roman"/>
          <w:lang w:val="en-US"/>
        </w:rPr>
        <w:footnoteReference w:id="28"/>
      </w:r>
      <w:r w:rsidR="000F05D9">
        <w:rPr>
          <w:rFonts w:ascii="Times New Roman" w:hAnsi="Times New Roman" w:cs="Times New Roman"/>
          <w:lang w:val="en-US"/>
        </w:rPr>
        <w:t xml:space="preserve"> </w:t>
      </w:r>
      <w:r w:rsidR="000A52AC">
        <w:rPr>
          <w:rFonts w:ascii="Times New Roman" w:hAnsi="Times New Roman" w:cs="Times New Roman"/>
          <w:lang w:val="en-US"/>
        </w:rPr>
        <w:t xml:space="preserve">As Davis argues, </w:t>
      </w:r>
      <w:r w:rsidR="00B93EE0">
        <w:rPr>
          <w:rFonts w:ascii="Times New Roman" w:hAnsi="Times New Roman" w:cs="Times New Roman"/>
          <w:lang w:val="en-US"/>
        </w:rPr>
        <w:t>‘d</w:t>
      </w:r>
      <w:r w:rsidR="000A52AC" w:rsidRPr="000A52AC">
        <w:rPr>
          <w:rFonts w:ascii="Times New Roman" w:hAnsi="Times New Roman" w:cs="Times New Roman"/>
          <w:lang w:val="en-US"/>
        </w:rPr>
        <w:t>isability is not so much the lack of a sense or the</w:t>
      </w:r>
      <w:r w:rsidR="00B93EE0">
        <w:rPr>
          <w:rFonts w:ascii="Times New Roman" w:hAnsi="Times New Roman" w:cs="Times New Roman"/>
          <w:lang w:val="en-US"/>
        </w:rPr>
        <w:t xml:space="preserve"> </w:t>
      </w:r>
      <w:r w:rsidR="000A52AC" w:rsidRPr="000A52AC">
        <w:rPr>
          <w:rFonts w:ascii="Times New Roman" w:hAnsi="Times New Roman" w:cs="Times New Roman"/>
          <w:lang w:val="en-US"/>
        </w:rPr>
        <w:t>presence of a physical or mental impairment as it is the reception and construction of</w:t>
      </w:r>
      <w:r w:rsidR="00B93EE0">
        <w:rPr>
          <w:rFonts w:ascii="Times New Roman" w:hAnsi="Times New Roman" w:cs="Times New Roman"/>
          <w:lang w:val="en-US"/>
        </w:rPr>
        <w:t xml:space="preserve"> </w:t>
      </w:r>
      <w:r w:rsidR="000A52AC" w:rsidRPr="000A52AC">
        <w:rPr>
          <w:rFonts w:ascii="Times New Roman" w:hAnsi="Times New Roman" w:cs="Times New Roman"/>
          <w:lang w:val="en-US"/>
        </w:rPr>
        <w:t>that difference</w:t>
      </w:r>
      <w:r w:rsidR="00B93EE0">
        <w:rPr>
          <w:rFonts w:ascii="Times New Roman" w:hAnsi="Times New Roman" w:cs="Times New Roman"/>
          <w:lang w:val="en-US"/>
        </w:rPr>
        <w:t xml:space="preserve">’ (Davis, 2002, 50). </w:t>
      </w:r>
      <w:r w:rsidR="00097ADB">
        <w:rPr>
          <w:rFonts w:ascii="Times New Roman" w:hAnsi="Times New Roman" w:cs="Times New Roman"/>
          <w:lang w:val="en-US"/>
        </w:rPr>
        <w:t xml:space="preserve">To this extent, proponents of the social model of disability do not deny the existence of impairments or </w:t>
      </w:r>
      <w:r w:rsidR="00B36DED">
        <w:rPr>
          <w:rFonts w:ascii="Times New Roman" w:hAnsi="Times New Roman" w:cs="Times New Roman"/>
          <w:lang w:val="en-US"/>
        </w:rPr>
        <w:t xml:space="preserve">suggest </w:t>
      </w:r>
      <w:r w:rsidR="00097ADB">
        <w:rPr>
          <w:rFonts w:ascii="Times New Roman" w:hAnsi="Times New Roman" w:cs="Times New Roman"/>
          <w:lang w:val="en-US"/>
        </w:rPr>
        <w:t xml:space="preserve">that </w:t>
      </w:r>
      <w:r w:rsidR="00B36DED">
        <w:rPr>
          <w:rFonts w:ascii="Times New Roman" w:hAnsi="Times New Roman" w:cs="Times New Roman"/>
          <w:lang w:val="en-US"/>
        </w:rPr>
        <w:t>impairments are not</w:t>
      </w:r>
      <w:r w:rsidR="00097ADB">
        <w:rPr>
          <w:rFonts w:ascii="Times New Roman" w:hAnsi="Times New Roman" w:cs="Times New Roman"/>
          <w:lang w:val="en-US"/>
        </w:rPr>
        <w:t xml:space="preserve"> relevant to understanding disability and dis</w:t>
      </w:r>
      <w:r w:rsidR="00B36DED">
        <w:rPr>
          <w:rFonts w:ascii="Times New Roman" w:hAnsi="Times New Roman" w:cs="Times New Roman"/>
          <w:lang w:val="en-US"/>
        </w:rPr>
        <w:t>abled peoples’ experiences. To adopt such an approach would be ‘Pollyanna-ish’</w:t>
      </w:r>
      <w:r w:rsidR="00B36DED" w:rsidRPr="00B36DED">
        <w:rPr>
          <w:rFonts w:ascii="Times New Roman" w:hAnsi="Times New Roman" w:cs="Times New Roman"/>
          <w:lang w:val="en-US"/>
        </w:rPr>
        <w:t xml:space="preserve"> </w:t>
      </w:r>
      <w:r w:rsidR="00B36DED">
        <w:rPr>
          <w:rFonts w:ascii="Times New Roman" w:hAnsi="Times New Roman" w:cs="Times New Roman"/>
          <w:lang w:val="en-US"/>
        </w:rPr>
        <w:t>(Shakespeare, Zeilig, and Mittler, 2017, 9).</w:t>
      </w:r>
      <w:r w:rsidR="00B36DED">
        <w:rPr>
          <w:rStyle w:val="FootnoteReference"/>
          <w:rFonts w:ascii="Times New Roman" w:hAnsi="Times New Roman" w:cs="Times New Roman"/>
          <w:lang w:val="en-US"/>
        </w:rPr>
        <w:footnoteReference w:id="29"/>
      </w:r>
      <w:r w:rsidR="00B36DED">
        <w:rPr>
          <w:rFonts w:ascii="Times New Roman" w:hAnsi="Times New Roman" w:cs="Times New Roman"/>
          <w:lang w:val="en-US"/>
        </w:rPr>
        <w:t xml:space="preserve"> The core concern for most disability theorists</w:t>
      </w:r>
      <w:r w:rsidR="00097ADB">
        <w:rPr>
          <w:rFonts w:ascii="Times New Roman" w:hAnsi="Times New Roman" w:cs="Times New Roman"/>
          <w:lang w:val="en-US"/>
        </w:rPr>
        <w:t xml:space="preserve"> </w:t>
      </w:r>
      <w:r w:rsidR="00B36DED">
        <w:rPr>
          <w:rFonts w:ascii="Times New Roman" w:hAnsi="Times New Roman" w:cs="Times New Roman"/>
          <w:lang w:val="en-US"/>
        </w:rPr>
        <w:t xml:space="preserve">who advocate the social model is </w:t>
      </w:r>
      <w:r w:rsidR="00097ADB">
        <w:rPr>
          <w:rFonts w:ascii="Times New Roman" w:hAnsi="Times New Roman" w:cs="Times New Roman"/>
          <w:lang w:val="en-US"/>
        </w:rPr>
        <w:t>the construction and reception within society of that impairment</w:t>
      </w:r>
      <w:r w:rsidR="00B7489C">
        <w:rPr>
          <w:rFonts w:ascii="Times New Roman" w:hAnsi="Times New Roman" w:cs="Times New Roman"/>
          <w:lang w:val="en-US"/>
        </w:rPr>
        <w:t xml:space="preserve">; </w:t>
      </w:r>
      <w:r w:rsidR="00B36DED">
        <w:rPr>
          <w:rFonts w:ascii="Times New Roman" w:hAnsi="Times New Roman" w:cs="Times New Roman"/>
          <w:lang w:val="en-US"/>
        </w:rPr>
        <w:t>in effect, how impairments or differences are received and interpreted by others in society</w:t>
      </w:r>
      <w:r w:rsidR="00097ADB">
        <w:rPr>
          <w:rFonts w:ascii="Times New Roman" w:hAnsi="Times New Roman" w:cs="Times New Roman"/>
          <w:lang w:val="en-US"/>
        </w:rPr>
        <w:t>.</w:t>
      </w:r>
      <w:r w:rsidR="00A91C20">
        <w:rPr>
          <w:rFonts w:ascii="Times New Roman" w:hAnsi="Times New Roman" w:cs="Times New Roman"/>
          <w:lang w:val="en-US"/>
        </w:rPr>
        <w:t xml:space="preserve"> </w:t>
      </w:r>
      <w:r w:rsidR="000F05D9">
        <w:rPr>
          <w:rFonts w:ascii="Times New Roman" w:hAnsi="Times New Roman" w:cs="Times New Roman"/>
          <w:lang w:val="en-US"/>
        </w:rPr>
        <w:t xml:space="preserve">Consider </w:t>
      </w:r>
      <w:r w:rsidR="007B1D0C">
        <w:rPr>
          <w:rFonts w:ascii="Times New Roman" w:hAnsi="Times New Roman" w:cs="Times New Roman"/>
          <w:lang w:val="en-US"/>
        </w:rPr>
        <w:t>examples from other domains</w:t>
      </w:r>
      <w:r w:rsidR="00D70DF9">
        <w:rPr>
          <w:rFonts w:ascii="Times New Roman" w:hAnsi="Times New Roman" w:cs="Times New Roman"/>
          <w:lang w:val="en-US"/>
        </w:rPr>
        <w:t xml:space="preserve">. In </w:t>
      </w:r>
      <w:r w:rsidR="002667B6">
        <w:rPr>
          <w:rFonts w:ascii="Times New Roman" w:hAnsi="Times New Roman" w:cs="Times New Roman"/>
          <w:lang w:val="en-US"/>
        </w:rPr>
        <w:t xml:space="preserve">law, for example, in </w:t>
      </w:r>
      <w:r w:rsidR="00D70DF9">
        <w:rPr>
          <w:rFonts w:ascii="Times New Roman" w:hAnsi="Times New Roman" w:cs="Times New Roman"/>
          <w:lang w:val="en-US"/>
        </w:rPr>
        <w:t xml:space="preserve">England and Wales </w:t>
      </w:r>
      <w:r w:rsidR="00177B39">
        <w:rPr>
          <w:rFonts w:ascii="Times New Roman" w:hAnsi="Times New Roman" w:cs="Times New Roman"/>
          <w:lang w:val="en-US"/>
        </w:rPr>
        <w:t>u</w:t>
      </w:r>
      <w:r w:rsidR="000F05D9">
        <w:rPr>
          <w:rFonts w:ascii="Times New Roman" w:hAnsi="Times New Roman" w:cs="Times New Roman"/>
          <w:lang w:val="en-US"/>
        </w:rPr>
        <w:t>nder the Equality Act 2010</w:t>
      </w:r>
      <w:r w:rsidR="00177B39">
        <w:rPr>
          <w:rFonts w:ascii="Times New Roman" w:hAnsi="Times New Roman" w:cs="Times New Roman"/>
          <w:lang w:val="en-US"/>
        </w:rPr>
        <w:t>,</w:t>
      </w:r>
      <w:r w:rsidR="000F05D9">
        <w:rPr>
          <w:rFonts w:ascii="Times New Roman" w:hAnsi="Times New Roman" w:cs="Times New Roman"/>
          <w:lang w:val="en-US"/>
        </w:rPr>
        <w:t xml:space="preserve"> there are certain protected characteristics such as gender, race, or disability. But in order </w:t>
      </w:r>
      <w:r w:rsidR="00177B39">
        <w:rPr>
          <w:rFonts w:ascii="Times New Roman" w:hAnsi="Times New Roman" w:cs="Times New Roman"/>
          <w:lang w:val="en-US"/>
        </w:rPr>
        <w:t xml:space="preserve">for the legislation to operate effectively, and in order </w:t>
      </w:r>
      <w:r w:rsidR="000F05D9">
        <w:rPr>
          <w:rFonts w:ascii="Times New Roman" w:hAnsi="Times New Roman" w:cs="Times New Roman"/>
          <w:lang w:val="en-US"/>
        </w:rPr>
        <w:t>to ‘protect’ such characteristics – that is, remove unfair negative discrimination</w:t>
      </w:r>
      <w:r w:rsidR="00D51F95">
        <w:rPr>
          <w:rFonts w:ascii="Times New Roman" w:hAnsi="Times New Roman" w:cs="Times New Roman"/>
          <w:lang w:val="en-US"/>
        </w:rPr>
        <w:t xml:space="preserve"> or disabling barriers</w:t>
      </w:r>
      <w:r w:rsidR="000F05D9">
        <w:rPr>
          <w:rFonts w:ascii="Times New Roman" w:hAnsi="Times New Roman" w:cs="Times New Roman"/>
          <w:lang w:val="en-US"/>
        </w:rPr>
        <w:t xml:space="preserve"> – it is necessary to first recognize that an individual possesses</w:t>
      </w:r>
      <w:r w:rsidR="00D70DF9">
        <w:rPr>
          <w:rFonts w:ascii="Times New Roman" w:hAnsi="Times New Roman" w:cs="Times New Roman"/>
          <w:lang w:val="en-US"/>
        </w:rPr>
        <w:t xml:space="preserve"> that characteristic</w:t>
      </w:r>
      <w:r w:rsidR="007B1D0C">
        <w:rPr>
          <w:rFonts w:ascii="Times New Roman" w:hAnsi="Times New Roman" w:cs="Times New Roman"/>
          <w:lang w:val="en-US"/>
        </w:rPr>
        <w:t>, and for reasonable adjustments to be put into place</w:t>
      </w:r>
      <w:r w:rsidR="00B36DED">
        <w:rPr>
          <w:rFonts w:ascii="Times New Roman" w:hAnsi="Times New Roman" w:cs="Times New Roman"/>
          <w:lang w:val="en-US"/>
        </w:rPr>
        <w:t xml:space="preserve"> in light of that characteristic</w:t>
      </w:r>
      <w:r w:rsidR="00D70DF9">
        <w:rPr>
          <w:rFonts w:ascii="Times New Roman" w:hAnsi="Times New Roman" w:cs="Times New Roman"/>
          <w:lang w:val="en-US"/>
        </w:rPr>
        <w:t>.</w:t>
      </w:r>
      <w:r w:rsidR="000F05D9">
        <w:rPr>
          <w:rFonts w:ascii="Times New Roman" w:hAnsi="Times New Roman" w:cs="Times New Roman"/>
          <w:lang w:val="en-US"/>
        </w:rPr>
        <w:t xml:space="preserve"> </w:t>
      </w:r>
      <w:r w:rsidR="00D70DF9">
        <w:rPr>
          <w:rFonts w:ascii="Times New Roman" w:hAnsi="Times New Roman" w:cs="Times New Roman"/>
          <w:lang w:val="en-US"/>
        </w:rPr>
        <w:t xml:space="preserve">The same argument can be made </w:t>
      </w:r>
      <w:r w:rsidR="00D70DF9">
        <w:rPr>
          <w:rFonts w:ascii="Times New Roman" w:eastAsia="Times New Roman" w:hAnsi="Times New Roman" w:cs="Times New Roman"/>
          <w:lang w:val="en-US"/>
        </w:rPr>
        <w:t>i</w:t>
      </w:r>
      <w:r w:rsidR="000F05D9">
        <w:rPr>
          <w:rFonts w:ascii="Times New Roman" w:eastAsia="Times New Roman" w:hAnsi="Times New Roman" w:cs="Times New Roman"/>
          <w:lang w:val="en-US"/>
        </w:rPr>
        <w:t>n relation to mental illn</w:t>
      </w:r>
      <w:r w:rsidR="00D70DF9">
        <w:rPr>
          <w:rFonts w:ascii="Times New Roman" w:eastAsia="Times New Roman" w:hAnsi="Times New Roman" w:cs="Times New Roman"/>
          <w:lang w:val="en-US"/>
        </w:rPr>
        <w:t>ess or cognitive impairment</w:t>
      </w:r>
      <w:r w:rsidR="00177B39">
        <w:rPr>
          <w:rFonts w:ascii="Times New Roman" w:eastAsia="Times New Roman" w:hAnsi="Times New Roman" w:cs="Times New Roman"/>
          <w:lang w:val="en-US"/>
        </w:rPr>
        <w:t xml:space="preserve"> in the</w:t>
      </w:r>
      <w:r w:rsidR="007B1D0C">
        <w:rPr>
          <w:rFonts w:ascii="Times New Roman" w:eastAsia="Times New Roman" w:hAnsi="Times New Roman" w:cs="Times New Roman"/>
          <w:lang w:val="en-US"/>
        </w:rPr>
        <w:t xml:space="preserve"> </w:t>
      </w:r>
      <w:r w:rsidR="00177B39">
        <w:rPr>
          <w:rFonts w:ascii="Times New Roman" w:eastAsia="Times New Roman" w:hAnsi="Times New Roman" w:cs="Times New Roman"/>
          <w:lang w:val="en-US"/>
        </w:rPr>
        <w:t>context of the UNCRPD and GC1</w:t>
      </w:r>
      <w:r w:rsidR="000F05D9">
        <w:rPr>
          <w:rFonts w:ascii="Times New Roman" w:eastAsia="Times New Roman" w:hAnsi="Times New Roman" w:cs="Times New Roman"/>
          <w:lang w:val="en-US"/>
        </w:rPr>
        <w:t>. For example, the knowledge that a person has a type of frontotemporal dementia, which predominantly affects their behavio</w:t>
      </w:r>
      <w:r w:rsidR="009C2DEE">
        <w:rPr>
          <w:rFonts w:ascii="Times New Roman" w:eastAsia="Times New Roman" w:hAnsi="Times New Roman" w:cs="Times New Roman"/>
          <w:lang w:val="en-US"/>
        </w:rPr>
        <w:t>u</w:t>
      </w:r>
      <w:r w:rsidR="000F05D9">
        <w:rPr>
          <w:rFonts w:ascii="Times New Roman" w:eastAsia="Times New Roman" w:hAnsi="Times New Roman" w:cs="Times New Roman"/>
          <w:lang w:val="en-US"/>
        </w:rPr>
        <w:t>r and language, may well indicate that the individual requires – among other things – linguistic supports such as speech and language therapy</w:t>
      </w:r>
      <w:r w:rsidR="00B7489C">
        <w:rPr>
          <w:rFonts w:ascii="Times New Roman" w:eastAsia="Times New Roman" w:hAnsi="Times New Roman" w:cs="Times New Roman"/>
          <w:lang w:val="en-US"/>
        </w:rPr>
        <w:t xml:space="preserve"> to make and communicate their decisions</w:t>
      </w:r>
      <w:r w:rsidR="000F05D9">
        <w:rPr>
          <w:rFonts w:ascii="Times New Roman" w:eastAsia="Times New Roman" w:hAnsi="Times New Roman" w:cs="Times New Roman"/>
          <w:lang w:val="en-US"/>
        </w:rPr>
        <w:t xml:space="preserve">. But in order to recognize this need for speech and language therapy, we must recognize that the individual has this particular mental impairment, and the </w:t>
      </w:r>
      <w:r w:rsidR="00A363A4">
        <w:rPr>
          <w:rFonts w:ascii="Times New Roman" w:eastAsia="Times New Roman" w:hAnsi="Times New Roman" w:cs="Times New Roman"/>
          <w:lang w:val="en-US"/>
        </w:rPr>
        <w:t xml:space="preserve">nature of the </w:t>
      </w:r>
      <w:r w:rsidR="000F05D9">
        <w:rPr>
          <w:rFonts w:ascii="Times New Roman" w:eastAsia="Times New Roman" w:hAnsi="Times New Roman" w:cs="Times New Roman"/>
          <w:lang w:val="en-US"/>
        </w:rPr>
        <w:t>effect it has on their ability to make decisions.</w:t>
      </w:r>
      <w:r w:rsidR="00B36DED">
        <w:rPr>
          <w:rFonts w:ascii="Times New Roman" w:eastAsia="Times New Roman" w:hAnsi="Times New Roman" w:cs="Times New Roman"/>
          <w:lang w:val="en-US"/>
        </w:rPr>
        <w:t xml:space="preserve"> </w:t>
      </w:r>
    </w:p>
    <w:p w14:paraId="44EFB857" w14:textId="77777777" w:rsidR="00672D3B" w:rsidRDefault="00672D3B" w:rsidP="00A91C20">
      <w:pPr>
        <w:spacing w:line="360" w:lineRule="auto"/>
        <w:jc w:val="both"/>
        <w:rPr>
          <w:rFonts w:ascii="Times New Roman" w:eastAsia="Times New Roman" w:hAnsi="Times New Roman" w:cs="Times New Roman"/>
          <w:lang w:val="en-US"/>
        </w:rPr>
      </w:pPr>
    </w:p>
    <w:p w14:paraId="362738AB" w14:textId="03CA7378" w:rsidR="00D51F95" w:rsidRPr="00D51F95" w:rsidRDefault="00D36AE4" w:rsidP="00D51F95">
      <w:pPr>
        <w:spacing w:line="360" w:lineRule="auto"/>
        <w:jc w:val="both"/>
        <w:rPr>
          <w:rFonts w:ascii="Times New Roman" w:hAnsi="Times New Roman" w:cs="Times New Roman"/>
          <w:lang w:val="en-US"/>
        </w:rPr>
      </w:pPr>
      <w:r>
        <w:rPr>
          <w:rFonts w:ascii="Times New Roman" w:eastAsia="Times New Roman" w:hAnsi="Times New Roman" w:cs="Times New Roman"/>
          <w:lang w:val="en-US"/>
        </w:rPr>
        <w:t>Th</w:t>
      </w:r>
      <w:r w:rsidR="00D51F95">
        <w:rPr>
          <w:rFonts w:ascii="Times New Roman" w:eastAsia="Times New Roman" w:hAnsi="Times New Roman" w:cs="Times New Roman"/>
          <w:lang w:val="en-US"/>
        </w:rPr>
        <w:t>at</w:t>
      </w:r>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how</w:t>
      </w:r>
      <w:r>
        <w:rPr>
          <w:rFonts w:ascii="Times New Roman" w:eastAsia="Times New Roman" w:hAnsi="Times New Roman" w:cs="Times New Roman"/>
          <w:lang w:val="en-US"/>
        </w:rPr>
        <w:t xml:space="preserve"> we understand and respond to impairment </w:t>
      </w:r>
      <w:r w:rsidR="00D51F95">
        <w:rPr>
          <w:rFonts w:ascii="Times New Roman" w:eastAsia="Times New Roman" w:hAnsi="Times New Roman" w:cs="Times New Roman"/>
          <w:lang w:val="en-US"/>
        </w:rPr>
        <w:t xml:space="preserve">is the more crucial question </w:t>
      </w:r>
      <w:r>
        <w:rPr>
          <w:rFonts w:ascii="Times New Roman" w:eastAsia="Times New Roman" w:hAnsi="Times New Roman" w:cs="Times New Roman"/>
          <w:lang w:val="en-US"/>
        </w:rPr>
        <w:t xml:space="preserve">also comes forward </w:t>
      </w:r>
      <w:r w:rsidR="00470443">
        <w:rPr>
          <w:rFonts w:ascii="Times New Roman" w:eastAsia="Times New Roman" w:hAnsi="Times New Roman" w:cs="Times New Roman"/>
          <w:lang w:val="en-US"/>
        </w:rPr>
        <w:t>from</w:t>
      </w:r>
      <w:r>
        <w:rPr>
          <w:rFonts w:ascii="Times New Roman" w:eastAsia="Times New Roman" w:hAnsi="Times New Roman" w:cs="Times New Roman"/>
          <w:lang w:val="en-US"/>
        </w:rPr>
        <w:t xml:space="preserve"> older people with dementia</w:t>
      </w:r>
      <w:r w:rsidR="00470443">
        <w:rPr>
          <w:rFonts w:ascii="Times New Roman" w:eastAsia="Times New Roman" w:hAnsi="Times New Roman" w:cs="Times New Roman"/>
          <w:lang w:val="en-US"/>
        </w:rPr>
        <w:t xml:space="preserve"> themselves</w:t>
      </w:r>
      <w:r>
        <w:rPr>
          <w:rFonts w:ascii="Times New Roman" w:eastAsia="Times New Roman" w:hAnsi="Times New Roman" w:cs="Times New Roman"/>
          <w:lang w:val="en-US"/>
        </w:rPr>
        <w:t>.</w:t>
      </w:r>
      <w:r w:rsidR="00D51F95">
        <w:rPr>
          <w:rFonts w:ascii="Times New Roman" w:eastAsia="Times New Roman" w:hAnsi="Times New Roman" w:cs="Times New Roman"/>
          <w:lang w:val="en-US"/>
        </w:rPr>
        <w:t xml:space="preserve"> </w:t>
      </w:r>
      <w:r w:rsidR="00B36DED" w:rsidRPr="00D51F95">
        <w:rPr>
          <w:rFonts w:ascii="Times New Roman" w:hAnsi="Times New Roman" w:cs="Times New Roman"/>
          <w:lang w:val="en-US"/>
        </w:rPr>
        <w:t xml:space="preserve">The following quote </w:t>
      </w:r>
      <w:r w:rsidR="00D51F95" w:rsidRPr="00D51F95">
        <w:rPr>
          <w:rFonts w:ascii="Times New Roman" w:hAnsi="Times New Roman" w:cs="Times New Roman"/>
          <w:lang w:val="en-US"/>
        </w:rPr>
        <w:t xml:space="preserve">from a person with dementia </w:t>
      </w:r>
      <w:r w:rsidR="00B36DED" w:rsidRPr="00D51F95">
        <w:rPr>
          <w:rFonts w:ascii="Times New Roman" w:hAnsi="Times New Roman" w:cs="Times New Roman"/>
          <w:lang w:val="en-US"/>
        </w:rPr>
        <w:t>exemplifies this</w:t>
      </w:r>
      <w:r w:rsidR="00D51F95" w:rsidRPr="00D51F95">
        <w:rPr>
          <w:rFonts w:ascii="Times New Roman" w:hAnsi="Times New Roman" w:cs="Times New Roman"/>
          <w:lang w:val="en-US"/>
        </w:rPr>
        <w:t xml:space="preserve"> nuanced distinction well: </w:t>
      </w:r>
    </w:p>
    <w:p w14:paraId="13FF40BA" w14:textId="3B91B11A" w:rsidR="00D51F95" w:rsidRPr="00D51F95" w:rsidRDefault="00B36DED" w:rsidP="00D51F95">
      <w:pPr>
        <w:spacing w:line="360" w:lineRule="auto"/>
        <w:ind w:left="720" w:right="740"/>
        <w:jc w:val="both"/>
        <w:rPr>
          <w:rFonts w:ascii="Times New Roman" w:hAnsi="Times New Roman" w:cs="Times New Roman"/>
          <w:lang w:val="en-US"/>
        </w:rPr>
      </w:pPr>
      <w:r w:rsidRPr="00D51F95">
        <w:rPr>
          <w:rFonts w:ascii="Times New Roman" w:hAnsi="Times New Roman" w:cs="Times New Roman"/>
          <w:lang w:val="en-US"/>
        </w:rPr>
        <w:t>...more distressing was the realisation I was viewed as a lesser person. It was obvious that institutions such as banks, employers, statutory bodies favour a complete cognition as opposed to my now altered one.</w:t>
      </w:r>
      <w:r w:rsidR="00D51F95" w:rsidRPr="00D51F95">
        <w:rPr>
          <w:rFonts w:ascii="Times New Roman" w:hAnsi="Times New Roman" w:cs="Times New Roman"/>
          <w:lang w:val="en-US"/>
        </w:rPr>
        <w:t xml:space="preserve"> And I was slowly being denied the rights and responsibilities of being a fully recognised member of civil society and being denied self determination (Dementia Policy Think Tank, DEEP, and Innovations in Dementia, 2017, 33).</w:t>
      </w:r>
    </w:p>
    <w:p w14:paraId="6B0F6463" w14:textId="77777777" w:rsidR="00416800" w:rsidRDefault="00B36DED" w:rsidP="00A91C20">
      <w:pPr>
        <w:spacing w:line="360" w:lineRule="auto"/>
        <w:jc w:val="both"/>
        <w:rPr>
          <w:rFonts w:ascii="Times New Roman" w:hAnsi="Times New Roman" w:cs="Times New Roman"/>
          <w:lang w:val="en-US"/>
        </w:rPr>
      </w:pPr>
      <w:r w:rsidRPr="00D51F95">
        <w:rPr>
          <w:rFonts w:ascii="Times New Roman" w:hAnsi="Times New Roman" w:cs="Times New Roman"/>
          <w:lang w:val="en-US"/>
        </w:rPr>
        <w:t>The person with dementia</w:t>
      </w:r>
      <w:r w:rsidR="00D51F95" w:rsidRPr="00D51F95">
        <w:rPr>
          <w:rFonts w:ascii="Times New Roman" w:hAnsi="Times New Roman" w:cs="Times New Roman"/>
          <w:lang w:val="en-US"/>
        </w:rPr>
        <w:t xml:space="preserve"> in this quote does not deny their </w:t>
      </w:r>
      <w:r w:rsidRPr="00D51F95">
        <w:rPr>
          <w:rFonts w:ascii="Times New Roman" w:hAnsi="Times New Roman" w:cs="Times New Roman"/>
          <w:lang w:val="en-US"/>
        </w:rPr>
        <w:t>altered c</w:t>
      </w:r>
      <w:r w:rsidR="00D51F95" w:rsidRPr="00D51F95">
        <w:rPr>
          <w:rFonts w:ascii="Times New Roman" w:hAnsi="Times New Roman" w:cs="Times New Roman"/>
          <w:lang w:val="en-US"/>
        </w:rPr>
        <w:t>ognition due to their dementia. T</w:t>
      </w:r>
      <w:r w:rsidRPr="00D51F95">
        <w:rPr>
          <w:rFonts w:ascii="Times New Roman" w:hAnsi="Times New Roman" w:cs="Times New Roman"/>
          <w:lang w:val="en-US"/>
        </w:rPr>
        <w:t>he crucial problem</w:t>
      </w:r>
      <w:r w:rsidR="00470443">
        <w:rPr>
          <w:rFonts w:ascii="Times New Roman" w:hAnsi="Times New Roman" w:cs="Times New Roman"/>
          <w:lang w:val="en-US"/>
        </w:rPr>
        <w:t xml:space="preserve"> for this person would seem to be</w:t>
      </w:r>
      <w:r w:rsidRPr="00D51F95">
        <w:rPr>
          <w:rFonts w:ascii="Times New Roman" w:hAnsi="Times New Roman" w:cs="Times New Roman"/>
          <w:lang w:val="en-US"/>
        </w:rPr>
        <w:t xml:space="preserve"> how that altered cognition is treated and received</w:t>
      </w:r>
      <w:r w:rsidR="00D51F95" w:rsidRPr="00D51F95">
        <w:rPr>
          <w:rFonts w:ascii="Times New Roman" w:hAnsi="Times New Roman" w:cs="Times New Roman"/>
          <w:lang w:val="en-US"/>
        </w:rPr>
        <w:t xml:space="preserve"> by the people they engage with; preferring, instead, ‘complete’ cognition. It is this preference</w:t>
      </w:r>
      <w:r w:rsidR="00470443">
        <w:rPr>
          <w:rFonts w:ascii="Times New Roman" w:hAnsi="Times New Roman" w:cs="Times New Roman"/>
          <w:lang w:val="en-US"/>
        </w:rPr>
        <w:t xml:space="preserve"> for complete cognition</w:t>
      </w:r>
      <w:r w:rsidR="00D51F95" w:rsidRPr="00D51F95">
        <w:rPr>
          <w:rFonts w:ascii="Times New Roman" w:hAnsi="Times New Roman" w:cs="Times New Roman"/>
          <w:lang w:val="en-US"/>
        </w:rPr>
        <w:t xml:space="preserve"> that the person feels leads to the denial of rights. Yet at no point does the person deny the</w:t>
      </w:r>
      <w:r w:rsidR="009C2DEE">
        <w:rPr>
          <w:rFonts w:ascii="Times New Roman" w:hAnsi="Times New Roman" w:cs="Times New Roman"/>
          <w:lang w:val="en-US"/>
        </w:rPr>
        <w:t>ir altered cognition, and in fact</w:t>
      </w:r>
      <w:r w:rsidR="00D51F95" w:rsidRPr="00D51F95">
        <w:rPr>
          <w:rFonts w:ascii="Times New Roman" w:hAnsi="Times New Roman" w:cs="Times New Roman"/>
          <w:lang w:val="en-US"/>
        </w:rPr>
        <w:t xml:space="preserve"> indicates that organisations </w:t>
      </w:r>
      <w:r w:rsidR="00D51F95" w:rsidRPr="00470443">
        <w:rPr>
          <w:rFonts w:ascii="Times New Roman" w:hAnsi="Times New Roman" w:cs="Times New Roman"/>
          <w:i/>
          <w:lang w:val="en-US"/>
        </w:rPr>
        <w:t>should</w:t>
      </w:r>
      <w:r w:rsidR="00D51F95" w:rsidRPr="00D51F95">
        <w:rPr>
          <w:rFonts w:ascii="Times New Roman" w:hAnsi="Times New Roman" w:cs="Times New Roman"/>
          <w:lang w:val="en-US"/>
        </w:rPr>
        <w:t xml:space="preserve"> understand this altered cognition in order to be better able to uphold </w:t>
      </w:r>
      <w:r w:rsidR="00FC282B">
        <w:rPr>
          <w:rFonts w:ascii="Times New Roman" w:hAnsi="Times New Roman" w:cs="Times New Roman"/>
          <w:lang w:val="en-US"/>
        </w:rPr>
        <w:t>their</w:t>
      </w:r>
      <w:r w:rsidR="00D51F95" w:rsidRPr="00D51F95">
        <w:rPr>
          <w:rFonts w:ascii="Times New Roman" w:hAnsi="Times New Roman" w:cs="Times New Roman"/>
          <w:lang w:val="en-US"/>
        </w:rPr>
        <w:t xml:space="preserve"> rights.</w:t>
      </w:r>
      <w:r w:rsidR="00D51F95">
        <w:rPr>
          <w:rFonts w:ascii="Times New Roman" w:hAnsi="Times New Roman" w:cs="Times New Roman"/>
          <w:lang w:val="en-US"/>
        </w:rPr>
        <w:t xml:space="preserve"> </w:t>
      </w:r>
      <w:r w:rsidR="009C2DEE">
        <w:rPr>
          <w:rFonts w:ascii="Times New Roman" w:hAnsi="Times New Roman" w:cs="Times New Roman"/>
          <w:lang w:val="en-US"/>
        </w:rPr>
        <w:t>S</w:t>
      </w:r>
      <w:r w:rsidR="00470443">
        <w:rPr>
          <w:rFonts w:ascii="Times New Roman" w:hAnsi="Times New Roman" w:cs="Times New Roman"/>
          <w:lang w:val="en-US"/>
        </w:rPr>
        <w:t>uch an approach has been behind many positive developments in the field of dementia-care in recent years such as Memory Cafés, Dementia Friendly Communities,</w:t>
      </w:r>
      <w:r w:rsidR="00470443" w:rsidRPr="00470443">
        <w:rPr>
          <w:rStyle w:val="FootnoteReference"/>
          <w:rFonts w:ascii="Times New Roman" w:hAnsi="Times New Roman" w:cs="Times New Roman"/>
          <w:lang w:val="en-US"/>
        </w:rPr>
        <w:t xml:space="preserve"> </w:t>
      </w:r>
      <w:r w:rsidR="00470443">
        <w:rPr>
          <w:rStyle w:val="FootnoteReference"/>
          <w:rFonts w:ascii="Times New Roman" w:hAnsi="Times New Roman" w:cs="Times New Roman"/>
          <w:lang w:val="en-US"/>
        </w:rPr>
        <w:footnoteReference w:id="30"/>
      </w:r>
      <w:r w:rsidR="00470443">
        <w:rPr>
          <w:rFonts w:ascii="Times New Roman" w:hAnsi="Times New Roman" w:cs="Times New Roman"/>
          <w:lang w:val="en-US"/>
        </w:rPr>
        <w:t xml:space="preserve"> and Sensory Gardens.</w:t>
      </w:r>
      <w:r w:rsidR="00FC282B">
        <w:rPr>
          <w:rFonts w:ascii="Times New Roman" w:hAnsi="Times New Roman" w:cs="Times New Roman"/>
          <w:lang w:val="en-US"/>
        </w:rPr>
        <w:t xml:space="preserve"> As the Alzheimer’s Society note, ‘</w:t>
      </w:r>
      <w:r w:rsidR="00FC282B" w:rsidRPr="00FC282B">
        <w:rPr>
          <w:rFonts w:ascii="Times New Roman" w:hAnsi="Times New Roman" w:cs="Times New Roman"/>
          <w:lang w:val="en-US"/>
        </w:rPr>
        <w:t>society often tries to fit the</w:t>
      </w:r>
      <w:r w:rsidR="00FC282B">
        <w:rPr>
          <w:rFonts w:ascii="Times New Roman" w:hAnsi="Times New Roman" w:cs="Times New Roman"/>
          <w:lang w:val="en-US"/>
        </w:rPr>
        <w:t xml:space="preserve"> </w:t>
      </w:r>
      <w:r w:rsidR="00FC282B" w:rsidRPr="00FC282B">
        <w:rPr>
          <w:rFonts w:ascii="Times New Roman" w:hAnsi="Times New Roman" w:cs="Times New Roman"/>
          <w:lang w:val="en-US"/>
        </w:rPr>
        <w:t>symptoms of dementia into “normal’’ life. It takes</w:t>
      </w:r>
      <w:r w:rsidR="00FC282B">
        <w:rPr>
          <w:rFonts w:ascii="Times New Roman" w:hAnsi="Times New Roman" w:cs="Times New Roman"/>
          <w:lang w:val="en-US"/>
        </w:rPr>
        <w:t xml:space="preserve"> </w:t>
      </w:r>
      <w:r w:rsidR="00FC282B" w:rsidRPr="00FC282B">
        <w:rPr>
          <w:rFonts w:ascii="Times New Roman" w:hAnsi="Times New Roman" w:cs="Times New Roman"/>
          <w:lang w:val="en-US"/>
        </w:rPr>
        <w:t>flexibility and empathy to recognise that supporting</w:t>
      </w:r>
      <w:r w:rsidR="00FC282B">
        <w:rPr>
          <w:rFonts w:ascii="Times New Roman" w:hAnsi="Times New Roman" w:cs="Times New Roman"/>
          <w:lang w:val="en-US"/>
        </w:rPr>
        <w:t xml:space="preserve"> </w:t>
      </w:r>
      <w:r w:rsidR="00FC282B" w:rsidRPr="00FC282B">
        <w:rPr>
          <w:rFonts w:ascii="Times New Roman" w:hAnsi="Times New Roman" w:cs="Times New Roman"/>
          <w:lang w:val="en-US"/>
        </w:rPr>
        <w:t>someone with the condition may need a different</w:t>
      </w:r>
      <w:r w:rsidR="00FC282B">
        <w:rPr>
          <w:rFonts w:ascii="Times New Roman" w:hAnsi="Times New Roman" w:cs="Times New Roman"/>
          <w:lang w:val="en-US"/>
        </w:rPr>
        <w:t xml:space="preserve"> and personalised approach’ (Alzheimer’s Society, 2017, 12). Likewise, evidence also suggests that people with dementia do find importance in receiving a diagnosis, in order to facilitate appropriate support mechanisms. As one per</w:t>
      </w:r>
      <w:r w:rsidR="00416800">
        <w:rPr>
          <w:rFonts w:ascii="Times New Roman" w:hAnsi="Times New Roman" w:cs="Times New Roman"/>
          <w:lang w:val="en-US"/>
        </w:rPr>
        <w:t>son with dementia commented:</w:t>
      </w:r>
    </w:p>
    <w:p w14:paraId="74268C1F" w14:textId="5C43057C" w:rsidR="00416800" w:rsidRDefault="00416800" w:rsidP="00416800">
      <w:pPr>
        <w:spacing w:line="360" w:lineRule="auto"/>
        <w:ind w:left="720" w:right="740"/>
        <w:jc w:val="both"/>
        <w:rPr>
          <w:rFonts w:ascii="Times New Roman" w:eastAsia="Times New Roman" w:hAnsi="Times New Roman" w:cs="Times New Roman"/>
          <w:lang w:val="en-US"/>
        </w:rPr>
      </w:pPr>
      <w:r>
        <w:rPr>
          <w:rFonts w:ascii="Times New Roman" w:hAnsi="Times New Roman" w:cs="Times New Roman"/>
          <w:lang w:val="en-US"/>
        </w:rPr>
        <w:t xml:space="preserve">It </w:t>
      </w:r>
      <w:r w:rsidR="00FC282B">
        <w:rPr>
          <w:rFonts w:ascii="Times New Roman" w:hAnsi="Times New Roman" w:cs="Times New Roman"/>
          <w:lang w:val="en-US"/>
        </w:rPr>
        <w:t>i</w:t>
      </w:r>
      <w:r w:rsidR="00A91C20" w:rsidRPr="00A91C20">
        <w:rPr>
          <w:rFonts w:ascii="Times New Roman" w:eastAsia="Times New Roman" w:hAnsi="Times New Roman" w:cs="Times New Roman"/>
          <w:lang w:val="en-US"/>
        </w:rPr>
        <w:t>s important to get the correct diagnosis. “Dementia” is not</w:t>
      </w:r>
      <w:r w:rsidR="00A91C20">
        <w:rPr>
          <w:rFonts w:ascii="Times New Roman" w:eastAsia="Times New Roman" w:hAnsi="Times New Roman" w:cs="Times New Roman"/>
          <w:lang w:val="en-US"/>
        </w:rPr>
        <w:t xml:space="preserve"> </w:t>
      </w:r>
      <w:r w:rsidR="00A91C20" w:rsidRPr="00A91C20">
        <w:rPr>
          <w:rFonts w:ascii="Times New Roman" w:eastAsia="Times New Roman" w:hAnsi="Times New Roman" w:cs="Times New Roman"/>
          <w:lang w:val="en-US"/>
        </w:rPr>
        <w:t>enough, there are many kinds of dementia, which can benefit from</w:t>
      </w:r>
      <w:r w:rsidR="00A91C20">
        <w:rPr>
          <w:rFonts w:ascii="Times New Roman" w:eastAsia="Times New Roman" w:hAnsi="Times New Roman" w:cs="Times New Roman"/>
          <w:lang w:val="en-US"/>
        </w:rPr>
        <w:t xml:space="preserve"> </w:t>
      </w:r>
      <w:r w:rsidR="00A91C20" w:rsidRPr="00A91C20">
        <w:rPr>
          <w:rFonts w:ascii="Times New Roman" w:eastAsia="Times New Roman" w:hAnsi="Times New Roman" w:cs="Times New Roman"/>
          <w:lang w:val="en-US"/>
        </w:rPr>
        <w:t>different medications. They wouldn’t just say “You have cancer” and</w:t>
      </w:r>
      <w:r w:rsidR="00A91C20">
        <w:rPr>
          <w:rFonts w:ascii="Times New Roman" w:eastAsia="Times New Roman" w:hAnsi="Times New Roman" w:cs="Times New Roman"/>
          <w:lang w:val="en-US"/>
        </w:rPr>
        <w:t xml:space="preserve"> </w:t>
      </w:r>
      <w:r w:rsidR="00A91C20" w:rsidRPr="00A91C20">
        <w:rPr>
          <w:rFonts w:ascii="Times New Roman" w:eastAsia="Times New Roman" w:hAnsi="Times New Roman" w:cs="Times New Roman"/>
          <w:lang w:val="en-US"/>
        </w:rPr>
        <w:t>send you away. We have the rig</w:t>
      </w:r>
      <w:r w:rsidR="00FC282B">
        <w:rPr>
          <w:rFonts w:ascii="Times New Roman" w:eastAsia="Times New Roman" w:hAnsi="Times New Roman" w:cs="Times New Roman"/>
          <w:lang w:val="en-US"/>
        </w:rPr>
        <w:t>ht to more specific information</w:t>
      </w:r>
      <w:r w:rsidR="00A91C20">
        <w:rPr>
          <w:rFonts w:ascii="Times New Roman" w:eastAsia="Times New Roman" w:hAnsi="Times New Roman" w:cs="Times New Roman"/>
          <w:lang w:val="en-US"/>
        </w:rPr>
        <w:t xml:space="preserve"> (</w:t>
      </w:r>
      <w:r w:rsidR="00FC282B">
        <w:rPr>
          <w:rFonts w:ascii="Times New Roman" w:eastAsia="Times New Roman" w:hAnsi="Times New Roman" w:cs="Times New Roman"/>
          <w:lang w:val="en-US"/>
        </w:rPr>
        <w:t xml:space="preserve">Dementia Policy Think Tank, DEEP, and Innovations in Dementia, 2017, </w:t>
      </w:r>
      <w:r w:rsidR="00A91C20">
        <w:rPr>
          <w:rFonts w:ascii="Times New Roman" w:eastAsia="Times New Roman" w:hAnsi="Times New Roman" w:cs="Times New Roman"/>
          <w:lang w:val="en-US"/>
        </w:rPr>
        <w:t>35).</w:t>
      </w:r>
      <w:r w:rsidR="00B125F5">
        <w:rPr>
          <w:rFonts w:ascii="Times New Roman" w:eastAsia="Times New Roman" w:hAnsi="Times New Roman" w:cs="Times New Roman"/>
          <w:lang w:val="en-US"/>
        </w:rPr>
        <w:t xml:space="preserve"> </w:t>
      </w:r>
    </w:p>
    <w:p w14:paraId="4F6716B3" w14:textId="1224F08B" w:rsidR="00797D86" w:rsidRPr="0076647A" w:rsidRDefault="00B125F5" w:rsidP="00A91C20">
      <w:pPr>
        <w:spacing w:line="360" w:lineRule="auto"/>
        <w:jc w:val="both"/>
        <w:rPr>
          <w:rFonts w:ascii="Times New Roman" w:hAnsi="Times New Roman" w:cs="Times New Roman"/>
          <w:lang w:val="en-US"/>
        </w:rPr>
      </w:pPr>
      <w:r>
        <w:rPr>
          <w:rFonts w:ascii="Times New Roman" w:eastAsia="Times New Roman" w:hAnsi="Times New Roman" w:cs="Times New Roman"/>
          <w:lang w:val="en-US"/>
        </w:rPr>
        <w:t xml:space="preserve">This mirrors empirical evidence, which suggests that while an individual’s relationship to their dementia is complicated, </w:t>
      </w:r>
      <w:r w:rsidR="002667B6">
        <w:rPr>
          <w:rFonts w:ascii="Times New Roman" w:eastAsia="Times New Roman" w:hAnsi="Times New Roman" w:cs="Times New Roman"/>
          <w:lang w:val="en-US"/>
        </w:rPr>
        <w:t>in many circumstances the fact that they have dementia is a</w:t>
      </w:r>
      <w:r w:rsidR="00EA583E">
        <w:rPr>
          <w:rFonts w:ascii="Times New Roman" w:eastAsia="Times New Roman" w:hAnsi="Times New Roman" w:cs="Times New Roman"/>
          <w:lang w:val="en-US"/>
        </w:rPr>
        <w:t xml:space="preserve"> relevant consideration in </w:t>
      </w:r>
      <w:r w:rsidR="002667B6">
        <w:rPr>
          <w:rFonts w:ascii="Times New Roman" w:eastAsia="Times New Roman" w:hAnsi="Times New Roman" w:cs="Times New Roman"/>
          <w:lang w:val="en-US"/>
        </w:rPr>
        <w:t>different ways</w:t>
      </w:r>
      <w:r>
        <w:rPr>
          <w:rFonts w:ascii="Times New Roman" w:eastAsia="Times New Roman" w:hAnsi="Times New Roman" w:cs="Times New Roman"/>
          <w:lang w:val="en-US"/>
        </w:rPr>
        <w:t>. Wolverston, Clarke, and Moniz-Cook</w:t>
      </w:r>
      <w:r w:rsidR="002667B6">
        <w:rPr>
          <w:rFonts w:ascii="Times New Roman" w:eastAsia="Times New Roman" w:hAnsi="Times New Roman" w:cs="Times New Roman"/>
          <w:lang w:val="en-US"/>
        </w:rPr>
        <w:t>, for example,</w:t>
      </w:r>
      <w:r>
        <w:rPr>
          <w:rFonts w:ascii="Times New Roman" w:eastAsia="Times New Roman" w:hAnsi="Times New Roman" w:cs="Times New Roman"/>
          <w:lang w:val="en-US"/>
        </w:rPr>
        <w:t xml:space="preserve"> undertook a systematic review of literature detailing mechanisms by which people with dementia continued to find positivity, and found evidence that ‘[e]</w:t>
      </w:r>
      <w:r w:rsidRPr="003163EC">
        <w:rPr>
          <w:rFonts w:ascii="Times New Roman" w:eastAsia="Times New Roman" w:hAnsi="Times New Roman" w:cs="Times New Roman"/>
          <w:lang w:val="en-US"/>
        </w:rPr>
        <w:t>ngaging with dementia actively and positively seems to be underpinned by a process of ‘facing’ and accepting the condition</w:t>
      </w:r>
      <w:r>
        <w:rPr>
          <w:rFonts w:ascii="Times New Roman" w:eastAsia="Times New Roman" w:hAnsi="Times New Roman" w:cs="Times New Roman"/>
          <w:lang w:val="en-US"/>
        </w:rPr>
        <w:t>’ (Wolverston, Clarke, and Moniz-Cook, 2016, 693).</w:t>
      </w:r>
      <w:r w:rsidR="0076647A">
        <w:rPr>
          <w:rFonts w:ascii="Times New Roman" w:eastAsia="Times New Roman" w:hAnsi="Times New Roman" w:cs="Times New Roman"/>
          <w:lang w:val="en-US"/>
        </w:rPr>
        <w:t xml:space="preserve"> Moreover, in a study of 114 people with dementia, Powers </w:t>
      </w:r>
      <w:r w:rsidR="0076647A">
        <w:rPr>
          <w:rFonts w:ascii="Times New Roman" w:eastAsia="Times New Roman" w:hAnsi="Times New Roman" w:cs="Times New Roman"/>
          <w:i/>
          <w:lang w:val="en-US"/>
        </w:rPr>
        <w:t xml:space="preserve">et al </w:t>
      </w:r>
      <w:r w:rsidR="0076647A">
        <w:rPr>
          <w:rFonts w:ascii="Times New Roman" w:eastAsia="Times New Roman" w:hAnsi="Times New Roman" w:cs="Times New Roman"/>
          <w:lang w:val="en-US"/>
        </w:rPr>
        <w:t>(2016), found that a number of participants (28.1%) wished that other people – particularly in caregiving relationships – understood the impact of the memory loss from their perspective.</w:t>
      </w:r>
      <w:r w:rsidR="0076647A">
        <w:rPr>
          <w:rFonts w:ascii="Times New Roman" w:hAnsi="Times New Roman" w:cs="Times New Roman"/>
          <w:lang w:val="en-US"/>
        </w:rPr>
        <w:t xml:space="preserve"> Moreover, many participants (20.2%) also indicated they wished others</w:t>
      </w:r>
      <w:r w:rsidR="0076647A" w:rsidRPr="0076647A">
        <w:rPr>
          <w:rFonts w:ascii="Times New Roman" w:hAnsi="Times New Roman" w:cs="Times New Roman"/>
          <w:lang w:val="en-US"/>
        </w:rPr>
        <w:t xml:space="preserve"> understood the etiology,</w:t>
      </w:r>
      <w:r w:rsidR="0076647A">
        <w:rPr>
          <w:rFonts w:ascii="Times New Roman" w:hAnsi="Times New Roman" w:cs="Times New Roman"/>
          <w:lang w:val="en-US"/>
        </w:rPr>
        <w:t xml:space="preserve"> </w:t>
      </w:r>
      <w:r w:rsidR="0076647A" w:rsidRPr="0076647A">
        <w:rPr>
          <w:rFonts w:ascii="Times New Roman" w:hAnsi="Times New Roman" w:cs="Times New Roman"/>
          <w:lang w:val="en-US"/>
        </w:rPr>
        <w:t xml:space="preserve">symptoms, and progression associated with </w:t>
      </w:r>
      <w:r w:rsidR="0076647A">
        <w:rPr>
          <w:rFonts w:ascii="Times New Roman" w:hAnsi="Times New Roman" w:cs="Times New Roman"/>
          <w:lang w:val="en-US"/>
        </w:rPr>
        <w:t xml:space="preserve">dementia, and the impact that this has on their cognition and functioning (Powers </w:t>
      </w:r>
      <w:r w:rsidR="0076647A">
        <w:rPr>
          <w:rFonts w:ascii="Times New Roman" w:hAnsi="Times New Roman" w:cs="Times New Roman"/>
          <w:i/>
          <w:lang w:val="en-US"/>
        </w:rPr>
        <w:t xml:space="preserve">et al, </w:t>
      </w:r>
      <w:r w:rsidR="0076647A">
        <w:rPr>
          <w:rFonts w:ascii="Times New Roman" w:hAnsi="Times New Roman" w:cs="Times New Roman"/>
          <w:lang w:val="en-US"/>
        </w:rPr>
        <w:t>2016, 1061). As one participant notes, ‘I wish they would remember that I forget.’</w:t>
      </w:r>
    </w:p>
    <w:p w14:paraId="2BDF5059" w14:textId="77777777" w:rsidR="00B125F5" w:rsidRDefault="00B125F5" w:rsidP="00A91C20">
      <w:pPr>
        <w:spacing w:line="360" w:lineRule="auto"/>
        <w:jc w:val="both"/>
        <w:rPr>
          <w:rFonts w:ascii="Times New Roman" w:eastAsia="Times New Roman" w:hAnsi="Times New Roman" w:cs="Times New Roman"/>
          <w:lang w:val="en-US"/>
        </w:rPr>
      </w:pPr>
    </w:p>
    <w:p w14:paraId="6E45CF70" w14:textId="3E6BCA6D" w:rsidR="006955F3" w:rsidRPr="00B36DED" w:rsidRDefault="0076647A" w:rsidP="006955F3">
      <w:pPr>
        <w:spacing w:line="360" w:lineRule="auto"/>
        <w:jc w:val="both"/>
        <w:rPr>
          <w:rFonts w:ascii="Times New Roman" w:hAnsi="Times New Roman" w:cs="Times New Roman"/>
          <w:lang w:val="en-US"/>
        </w:rPr>
      </w:pPr>
      <w:r>
        <w:rPr>
          <w:rFonts w:ascii="Times New Roman" w:eastAsia="Times New Roman" w:hAnsi="Times New Roman" w:cs="Times New Roman"/>
          <w:lang w:val="en-US"/>
        </w:rPr>
        <w:t>Finally, r</w:t>
      </w:r>
      <w:r w:rsidR="00B125F5">
        <w:rPr>
          <w:rFonts w:ascii="Times New Roman" w:eastAsia="Times New Roman" w:hAnsi="Times New Roman" w:cs="Times New Roman"/>
          <w:lang w:val="en-US"/>
        </w:rPr>
        <w:t>ecognising that a person has dementia and the specific changes it may bring about is also important in more practical ways on a day to day level for those working with</w:t>
      </w:r>
      <w:r w:rsidR="00FA0B2F">
        <w:rPr>
          <w:rFonts w:ascii="Times New Roman" w:eastAsia="Times New Roman" w:hAnsi="Times New Roman" w:cs="Times New Roman"/>
          <w:lang w:val="en-US"/>
        </w:rPr>
        <w:t xml:space="preserve"> and caring for</w:t>
      </w:r>
      <w:r w:rsidR="00B125F5">
        <w:rPr>
          <w:rFonts w:ascii="Times New Roman" w:eastAsia="Times New Roman" w:hAnsi="Times New Roman" w:cs="Times New Roman"/>
          <w:lang w:val="en-US"/>
        </w:rPr>
        <w:t xml:space="preserve"> people with dementia in order to ensure they are provided with </w:t>
      </w:r>
      <w:r w:rsidR="00B125F5" w:rsidRPr="00416800">
        <w:rPr>
          <w:rFonts w:ascii="Times New Roman" w:eastAsia="Times New Roman" w:hAnsi="Times New Roman" w:cs="Times New Roman"/>
          <w:i/>
          <w:lang w:val="en-US"/>
        </w:rPr>
        <w:t>proper</w:t>
      </w:r>
      <w:r w:rsidR="00B125F5">
        <w:rPr>
          <w:rFonts w:ascii="Times New Roman" w:eastAsia="Times New Roman" w:hAnsi="Times New Roman" w:cs="Times New Roman"/>
          <w:lang w:val="en-US"/>
        </w:rPr>
        <w:t xml:space="preserve"> support and care. </w:t>
      </w:r>
      <w:r>
        <w:rPr>
          <w:rFonts w:ascii="Times New Roman" w:eastAsia="Times New Roman" w:hAnsi="Times New Roman" w:cs="Times New Roman"/>
          <w:lang w:val="en-US"/>
        </w:rPr>
        <w:t>As noted above, recognizing and understanding that someone has frontotemporal dementia may enable appropriate supports such as speech and language therapy to be put in place. But in addition to this, c</w:t>
      </w:r>
      <w:r w:rsidR="00B125F5">
        <w:rPr>
          <w:rFonts w:ascii="Times New Roman" w:eastAsia="Times New Roman" w:hAnsi="Times New Roman" w:cs="Times New Roman"/>
          <w:lang w:val="en-US"/>
        </w:rPr>
        <w:t>ertain forms of dementia, such as Alzheimer’s</w:t>
      </w:r>
      <w:r w:rsidR="006B386A">
        <w:rPr>
          <w:rFonts w:ascii="Times New Roman" w:eastAsia="Times New Roman" w:hAnsi="Times New Roman" w:cs="Times New Roman"/>
          <w:lang w:val="en-US"/>
        </w:rPr>
        <w:t>,</w:t>
      </w:r>
      <w:r w:rsidR="00B125F5">
        <w:rPr>
          <w:rFonts w:ascii="Times New Roman" w:eastAsia="Times New Roman" w:hAnsi="Times New Roman" w:cs="Times New Roman"/>
          <w:lang w:val="en-US"/>
        </w:rPr>
        <w:t xml:space="preserve"> for example,</w:t>
      </w:r>
      <w:r>
        <w:rPr>
          <w:rFonts w:ascii="Times New Roman" w:eastAsia="Times New Roman" w:hAnsi="Times New Roman" w:cs="Times New Roman"/>
          <w:lang w:val="en-US"/>
        </w:rPr>
        <w:t xml:space="preserve"> can bring fluctuations in cognitions even </w:t>
      </w:r>
      <w:r w:rsidR="002667B6">
        <w:rPr>
          <w:rFonts w:ascii="Times New Roman" w:eastAsia="Times New Roman" w:hAnsi="Times New Roman" w:cs="Times New Roman"/>
          <w:lang w:val="en-US"/>
        </w:rPr>
        <w:t>on a daily basis. As a result of</w:t>
      </w:r>
      <w:r>
        <w:rPr>
          <w:rFonts w:ascii="Times New Roman" w:eastAsia="Times New Roman" w:hAnsi="Times New Roman" w:cs="Times New Roman"/>
          <w:lang w:val="en-US"/>
        </w:rPr>
        <w:t xml:space="preserve"> the physiological changes to the brain, cognitive abilities may present as worse</w:t>
      </w:r>
      <w:r w:rsidR="00B125F5">
        <w:rPr>
          <w:rFonts w:ascii="Times New Roman" w:eastAsia="Times New Roman" w:hAnsi="Times New Roman" w:cs="Times New Roman"/>
          <w:lang w:val="en-US"/>
        </w:rPr>
        <w:t xml:space="preserve"> in late afternoon or early evening. This is referred to as ‘s</w:t>
      </w:r>
      <w:r w:rsidR="00797D86">
        <w:rPr>
          <w:rFonts w:ascii="Times New Roman" w:eastAsia="Times New Roman" w:hAnsi="Times New Roman" w:cs="Times New Roman"/>
          <w:lang w:val="en-US"/>
        </w:rPr>
        <w:t>undowning’</w:t>
      </w:r>
      <w:r w:rsidR="00B125F5">
        <w:rPr>
          <w:rFonts w:ascii="Times New Roman" w:eastAsia="Times New Roman" w:hAnsi="Times New Roman" w:cs="Times New Roman"/>
          <w:lang w:val="en-US"/>
        </w:rPr>
        <w:t>. If Article 12 and GC1 do require supporte</w:t>
      </w:r>
      <w:r w:rsidR="006B386A">
        <w:rPr>
          <w:rFonts w:ascii="Times New Roman" w:eastAsia="Times New Roman" w:hAnsi="Times New Roman" w:cs="Times New Roman"/>
          <w:lang w:val="en-US"/>
        </w:rPr>
        <w:t>d decision-making, then recogniz</w:t>
      </w:r>
      <w:r w:rsidR="00B125F5">
        <w:rPr>
          <w:rFonts w:ascii="Times New Roman" w:eastAsia="Times New Roman" w:hAnsi="Times New Roman" w:cs="Times New Roman"/>
          <w:lang w:val="en-US"/>
        </w:rPr>
        <w:t>ing sundowning, and the reasons as to why a person’s cognition may be worse at those times of day, may enable practitioners to appropriately plan support for decision-making. For example, planning decision-making and providing support earlier in the day in order to maximize the person’s decision-making ability</w:t>
      </w:r>
      <w:r w:rsidR="00FA0B2F">
        <w:rPr>
          <w:rFonts w:ascii="Times New Roman" w:eastAsia="Times New Roman" w:hAnsi="Times New Roman" w:cs="Times New Roman"/>
          <w:lang w:val="en-US"/>
        </w:rPr>
        <w:t xml:space="preserve"> (Boyle, 2013b, 232)</w:t>
      </w:r>
      <w:r w:rsidR="00B125F5">
        <w:rPr>
          <w:rFonts w:ascii="Times New Roman" w:eastAsia="Times New Roman" w:hAnsi="Times New Roman" w:cs="Times New Roman"/>
          <w:lang w:val="en-US"/>
        </w:rPr>
        <w:t xml:space="preserve">. </w:t>
      </w:r>
      <w:r w:rsidR="006955F3">
        <w:rPr>
          <w:rFonts w:ascii="Times New Roman" w:eastAsia="Times New Roman" w:hAnsi="Times New Roman" w:cs="Times New Roman"/>
          <w:lang w:val="en-US"/>
        </w:rPr>
        <w:t xml:space="preserve">Again, far from being discriminatory in a negative sense, recognizing such fluctuations and changes arising from dementia enables practitioners </w:t>
      </w:r>
      <w:r w:rsidR="00416800">
        <w:rPr>
          <w:rFonts w:ascii="Times New Roman" w:eastAsia="Times New Roman" w:hAnsi="Times New Roman" w:cs="Times New Roman"/>
          <w:lang w:val="en-US"/>
        </w:rPr>
        <w:t>and carers to</w:t>
      </w:r>
      <w:r w:rsidR="006955F3">
        <w:rPr>
          <w:rFonts w:ascii="Times New Roman" w:eastAsia="Times New Roman" w:hAnsi="Times New Roman" w:cs="Times New Roman"/>
          <w:lang w:val="en-US"/>
        </w:rPr>
        <w:t xml:space="preserve"> plan appropriate support. In these cases, recognition of the impairment of itself is not problematic. Indeed, if we are to uphold the</w:t>
      </w:r>
      <w:r w:rsidR="002667B6">
        <w:rPr>
          <w:rFonts w:ascii="Times New Roman" w:eastAsia="Times New Roman" w:hAnsi="Times New Roman" w:cs="Times New Roman"/>
          <w:lang w:val="en-US"/>
        </w:rPr>
        <w:t xml:space="preserve"> rights of people with dementia – not</w:t>
      </w:r>
      <w:r w:rsidR="006955F3">
        <w:rPr>
          <w:rFonts w:ascii="Times New Roman" w:eastAsia="Times New Roman" w:hAnsi="Times New Roman" w:cs="Times New Roman"/>
          <w:lang w:val="en-US"/>
        </w:rPr>
        <w:t xml:space="preserve"> least because Article 12 requires supports that are tailored to a person’s circumstances – recognizing their dementia and the effects this has on their cognition </w:t>
      </w:r>
      <w:r w:rsidR="006955F3" w:rsidRPr="002667B6">
        <w:rPr>
          <w:rFonts w:ascii="Times New Roman" w:eastAsia="Times New Roman" w:hAnsi="Times New Roman" w:cs="Times New Roman"/>
          <w:i/>
          <w:lang w:val="en-US"/>
        </w:rPr>
        <w:t>is required</w:t>
      </w:r>
      <w:r w:rsidR="006955F3">
        <w:rPr>
          <w:rFonts w:ascii="Times New Roman" w:eastAsia="Times New Roman" w:hAnsi="Times New Roman" w:cs="Times New Roman"/>
          <w:lang w:val="en-US"/>
        </w:rPr>
        <w:t>. It is what society – of which the law is a feature – has sometimes chosen to do with that information that creates a p</w:t>
      </w:r>
      <w:r w:rsidR="00416800">
        <w:rPr>
          <w:rFonts w:ascii="Times New Roman" w:eastAsia="Times New Roman" w:hAnsi="Times New Roman" w:cs="Times New Roman"/>
          <w:lang w:val="en-US"/>
        </w:rPr>
        <w:t>roblematic process of disablism</w:t>
      </w:r>
      <w:r w:rsidR="006955F3">
        <w:rPr>
          <w:rFonts w:ascii="Times New Roman" w:eastAsia="Times New Roman" w:hAnsi="Times New Roman" w:cs="Times New Roman"/>
          <w:lang w:val="en-US"/>
        </w:rPr>
        <w:t>.</w:t>
      </w:r>
    </w:p>
    <w:p w14:paraId="69ADD1DC" w14:textId="77777777" w:rsidR="00731821" w:rsidRPr="00F53E2E" w:rsidRDefault="00731821" w:rsidP="009A252F">
      <w:pPr>
        <w:spacing w:line="360" w:lineRule="auto"/>
        <w:jc w:val="both"/>
        <w:rPr>
          <w:rFonts w:ascii="Times New Roman" w:hAnsi="Times New Roman" w:cs="Times New Roman"/>
          <w:lang w:val="en-US"/>
        </w:rPr>
      </w:pPr>
    </w:p>
    <w:p w14:paraId="4DF15594" w14:textId="6BC8E50C" w:rsidR="009D65C2" w:rsidRDefault="003B17E7" w:rsidP="003B4FDE">
      <w:pPr>
        <w:spacing w:line="360" w:lineRule="auto"/>
        <w:jc w:val="both"/>
        <w:rPr>
          <w:rFonts w:ascii="Times New Roman" w:hAnsi="Times New Roman" w:cs="Times New Roman"/>
          <w:b/>
        </w:rPr>
      </w:pPr>
      <w:r>
        <w:rPr>
          <w:rFonts w:ascii="Times New Roman" w:hAnsi="Times New Roman" w:cs="Times New Roman"/>
          <w:b/>
        </w:rPr>
        <w:t>4. Conclusion</w:t>
      </w:r>
    </w:p>
    <w:p w14:paraId="5F3BB8E9" w14:textId="4841970E" w:rsidR="00D36AE4" w:rsidRDefault="00416800" w:rsidP="00D36AE4">
      <w:pPr>
        <w:spacing w:line="360" w:lineRule="auto"/>
        <w:jc w:val="both"/>
        <w:rPr>
          <w:rFonts w:ascii="Times New Roman" w:hAnsi="Times New Roman" w:cs="Times New Roman"/>
        </w:rPr>
      </w:pPr>
      <w:r>
        <w:rPr>
          <w:rFonts w:ascii="Times New Roman" w:hAnsi="Times New Roman" w:cs="Times New Roman"/>
        </w:rPr>
        <w:t xml:space="preserve">The UNCRPD – and, to some extent, GC1 – are laudable; they represent the culmination of many years of work attempting to dismantle the countless inequalities faced by disabled people around the world. Within this framework, support for people with disabilities to make decisions is undoubtedly a good thing. Numerous studies and reports – some of which have been cited above – demonstrate the perpetual and systemic silencing of the voice of people with dementia from decisions that affect them.  Yet as </w:t>
      </w:r>
      <w:r w:rsidR="00D36AE4">
        <w:rPr>
          <w:rFonts w:ascii="Times New Roman" w:hAnsi="Times New Roman" w:cs="Times New Roman"/>
        </w:rPr>
        <w:t>Jones (2005, 1</w:t>
      </w:r>
      <w:r w:rsidR="00A85013">
        <w:rPr>
          <w:rFonts w:ascii="Times New Roman" w:hAnsi="Times New Roman" w:cs="Times New Roman"/>
        </w:rPr>
        <w:t>85) argues</w:t>
      </w:r>
      <w:r>
        <w:rPr>
          <w:rFonts w:ascii="Times New Roman" w:hAnsi="Times New Roman" w:cs="Times New Roman"/>
        </w:rPr>
        <w:t>,</w:t>
      </w:r>
      <w:r w:rsidR="00A85013">
        <w:rPr>
          <w:rFonts w:ascii="Times New Roman" w:hAnsi="Times New Roman" w:cs="Times New Roman"/>
        </w:rPr>
        <w:t xml:space="preserve"> bad law can</w:t>
      </w:r>
      <w:r w:rsidR="00D36AE4">
        <w:rPr>
          <w:rFonts w:ascii="Times New Roman" w:hAnsi="Times New Roman" w:cs="Times New Roman"/>
        </w:rPr>
        <w:t xml:space="preserve"> have the effect of legitimizing exclusion. While the paper has not suggested the U</w:t>
      </w:r>
      <w:r>
        <w:rPr>
          <w:rFonts w:ascii="Times New Roman" w:hAnsi="Times New Roman" w:cs="Times New Roman"/>
        </w:rPr>
        <w:t xml:space="preserve">NCRPD is an example of bad law - </w:t>
      </w:r>
      <w:r w:rsidR="00D36AE4">
        <w:rPr>
          <w:rFonts w:ascii="Times New Roman" w:hAnsi="Times New Roman" w:cs="Times New Roman"/>
        </w:rPr>
        <w:t>indeed,</w:t>
      </w:r>
      <w:r>
        <w:rPr>
          <w:rFonts w:ascii="Times New Roman" w:hAnsi="Times New Roman" w:cs="Times New Roman"/>
        </w:rPr>
        <w:t xml:space="preserve"> it has suggested the </w:t>
      </w:r>
      <w:r w:rsidR="00FC2B88">
        <w:rPr>
          <w:rFonts w:ascii="Times New Roman" w:hAnsi="Times New Roman" w:cs="Times New Roman"/>
        </w:rPr>
        <w:t xml:space="preserve">very </w:t>
      </w:r>
      <w:r>
        <w:rPr>
          <w:rFonts w:ascii="Times New Roman" w:hAnsi="Times New Roman" w:cs="Times New Roman"/>
        </w:rPr>
        <w:t>opposite -</w:t>
      </w:r>
      <w:r w:rsidR="00D36AE4">
        <w:rPr>
          <w:rFonts w:ascii="Times New Roman" w:hAnsi="Times New Roman" w:cs="Times New Roman"/>
        </w:rPr>
        <w:t xml:space="preserve"> what the paper </w:t>
      </w:r>
      <w:r>
        <w:rPr>
          <w:rFonts w:ascii="Times New Roman" w:hAnsi="Times New Roman" w:cs="Times New Roman"/>
        </w:rPr>
        <w:t>has sought to do is show how</w:t>
      </w:r>
      <w:r w:rsidR="00D36AE4">
        <w:rPr>
          <w:rFonts w:ascii="Times New Roman" w:hAnsi="Times New Roman" w:cs="Times New Roman"/>
        </w:rPr>
        <w:t xml:space="preserve"> interpretations of this law through certain aspects of GC1, and academic debate, may exacerbate and legitimize the exclusion of people with dementia. Alzheimer Europe rightly note that in order to avoid such exclusion, ‘it is important to consider the lived experiences of people with dementia and the complexity of human relationships and not to rely solely on abstract principles’ (Alzheimer Europe, 2018, 5). </w:t>
      </w:r>
      <w:r>
        <w:rPr>
          <w:rFonts w:ascii="Times New Roman" w:hAnsi="Times New Roman" w:cs="Times New Roman"/>
        </w:rPr>
        <w:t xml:space="preserve">In many ways, neither the UNCRPD, nor GC1, go any way to actually addressing any difficulties faced by practitioners or carers working with people with disabilities on the ground (Bartlett and Schulze, 2017, 12). Nor do they really grapple with any of the fundamentally ethical questions that they throw up: what is meant by ‘support’? What is good support and what is bad support? Should we acknowledge a person’s impairment and if so, </w:t>
      </w:r>
      <w:r w:rsidRPr="009A252F">
        <w:rPr>
          <w:rFonts w:ascii="Times New Roman" w:hAnsi="Times New Roman" w:cs="Times New Roman"/>
          <w:i/>
        </w:rPr>
        <w:t>how</w:t>
      </w:r>
      <w:r>
        <w:rPr>
          <w:rFonts w:ascii="Times New Roman" w:hAnsi="Times New Roman" w:cs="Times New Roman"/>
        </w:rPr>
        <w:t xml:space="preserve"> should we use the information about that person’s impairment? </w:t>
      </w:r>
      <w:r>
        <w:rPr>
          <w:rFonts w:ascii="Times New Roman" w:eastAsia="Times New Roman" w:hAnsi="Times New Roman" w:cs="Times New Roman"/>
          <w:lang w:val="en-US"/>
        </w:rPr>
        <w:t xml:space="preserve">How we use the evidence of a person’s impairment, and what counts as ‘appropriate’ support, are fundamentally ethical questions, which, in simply reciting the ‘mantra’ of supported decision-making (39 Essex Street, 2017, 31), GC1 and some of its commentators fail to explore. </w:t>
      </w:r>
      <w:r w:rsidR="00D36AE4">
        <w:rPr>
          <w:rFonts w:ascii="Times New Roman" w:hAnsi="Times New Roman" w:cs="Times New Roman"/>
        </w:rPr>
        <w:t>This paper has suggested that les</w:t>
      </w:r>
      <w:r w:rsidR="00EA583E">
        <w:rPr>
          <w:rFonts w:ascii="Times New Roman" w:hAnsi="Times New Roman" w:cs="Times New Roman"/>
        </w:rPr>
        <w:t>s needs to be done promoting this</w:t>
      </w:r>
      <w:r w:rsidR="00D36AE4">
        <w:rPr>
          <w:rFonts w:ascii="Times New Roman" w:hAnsi="Times New Roman" w:cs="Times New Roman"/>
        </w:rPr>
        <w:t xml:space="preserve"> mantra of ‘supported decision-making’ and ‘will and preferences’, and more work now needs to be done in translating ‘good’ support from rhetoric to reality on the ground. In order to do so we must not ignore the fact that a person has dementia. By drawing such a hard line on these issues, GC1 - if not the UN</w:t>
      </w:r>
      <w:r w:rsidR="002667B6">
        <w:rPr>
          <w:rFonts w:ascii="Times New Roman" w:hAnsi="Times New Roman" w:cs="Times New Roman"/>
        </w:rPr>
        <w:t>CRPD itself – may well, as Appel</w:t>
      </w:r>
      <w:r w:rsidR="00D36AE4">
        <w:rPr>
          <w:rFonts w:ascii="Times New Roman" w:hAnsi="Times New Roman" w:cs="Times New Roman"/>
        </w:rPr>
        <w:t>baum suggests, represent ‘extreme agendas, failing to pay close attention to the implications of the resulting documents’ (Appelbaum, 2016, 368), not least where people with dementia are concerned.</w:t>
      </w:r>
    </w:p>
    <w:p w14:paraId="3EBB1288" w14:textId="77777777" w:rsidR="00B7489C" w:rsidRDefault="00B7489C" w:rsidP="009A252F">
      <w:pPr>
        <w:spacing w:line="360" w:lineRule="auto"/>
        <w:jc w:val="both"/>
        <w:rPr>
          <w:rFonts w:ascii="Times New Roman" w:hAnsi="Times New Roman" w:cs="Times New Roman"/>
        </w:rPr>
      </w:pPr>
    </w:p>
    <w:p w14:paraId="7C4B11E3" w14:textId="5AEDF1F6" w:rsidR="004C6CA5" w:rsidRPr="00DE7B4C" w:rsidRDefault="00DE7B4C" w:rsidP="00685CFE">
      <w:pPr>
        <w:spacing w:line="360" w:lineRule="auto"/>
        <w:rPr>
          <w:rFonts w:ascii="Times New Roman" w:hAnsi="Times New Roman" w:cs="Times New Roman"/>
          <w:b/>
        </w:rPr>
      </w:pPr>
      <w:r w:rsidRPr="00DE7B4C">
        <w:rPr>
          <w:rFonts w:ascii="Times New Roman" w:hAnsi="Times New Roman" w:cs="Times New Roman"/>
          <w:b/>
        </w:rPr>
        <w:t>Acknowledgements</w:t>
      </w:r>
    </w:p>
    <w:p w14:paraId="69EA41DF" w14:textId="7DD52898" w:rsidR="00DE7B4C" w:rsidRDefault="00DE7B4C" w:rsidP="00685CFE">
      <w:pPr>
        <w:spacing w:line="360" w:lineRule="auto"/>
        <w:rPr>
          <w:rFonts w:ascii="Times New Roman" w:hAnsi="Times New Roman" w:cs="Times New Roman"/>
        </w:rPr>
      </w:pPr>
      <w:r>
        <w:rPr>
          <w:rFonts w:ascii="Times New Roman" w:hAnsi="Times New Roman" w:cs="Times New Roman"/>
        </w:rPr>
        <w:t>I would like to thank Felicity Adams, who provided research assistance for an early version of this paper.</w:t>
      </w:r>
      <w:r w:rsidR="00064753">
        <w:rPr>
          <w:rFonts w:ascii="Times New Roman" w:hAnsi="Times New Roman" w:cs="Times New Roman"/>
        </w:rPr>
        <w:t xml:space="preserve"> I would also like to thank Paul Skowron for his comments on the paper.</w:t>
      </w:r>
    </w:p>
    <w:p w14:paraId="75683E0F" w14:textId="77777777" w:rsidR="00DE7B4C" w:rsidRDefault="00DE7B4C" w:rsidP="00685CFE">
      <w:pPr>
        <w:spacing w:line="360" w:lineRule="auto"/>
        <w:rPr>
          <w:rFonts w:ascii="Times New Roman" w:hAnsi="Times New Roman" w:cs="Times New Roman"/>
        </w:rPr>
      </w:pPr>
    </w:p>
    <w:p w14:paraId="11A80083" w14:textId="093AF3C2" w:rsidR="00F302DA" w:rsidRDefault="00F302DA" w:rsidP="00685CFE">
      <w:pPr>
        <w:spacing w:line="360" w:lineRule="auto"/>
        <w:rPr>
          <w:rFonts w:ascii="Times New Roman" w:hAnsi="Times New Roman" w:cs="Times New Roman"/>
          <w:b/>
        </w:rPr>
      </w:pPr>
      <w:r>
        <w:rPr>
          <w:rFonts w:ascii="Times New Roman" w:hAnsi="Times New Roman" w:cs="Times New Roman"/>
          <w:b/>
        </w:rPr>
        <w:t>References</w:t>
      </w:r>
    </w:p>
    <w:p w14:paraId="006204D2" w14:textId="6B85C4C1" w:rsidR="00B36DED" w:rsidRPr="00B36DED" w:rsidRDefault="00B36DED" w:rsidP="00F302D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39 Essex Street. (2017). </w:t>
      </w:r>
      <w:r>
        <w:rPr>
          <w:rFonts w:ascii="Times New Roman" w:hAnsi="Times New Roman" w:cs="Times New Roman"/>
          <w:i/>
          <w:lang w:val="en-US"/>
        </w:rPr>
        <w:t>Mental Capacity Report – September 2017</w:t>
      </w:r>
      <w:r>
        <w:rPr>
          <w:rFonts w:ascii="Times New Roman" w:hAnsi="Times New Roman" w:cs="Times New Roman"/>
          <w:lang w:val="en-US"/>
        </w:rPr>
        <w:t xml:space="preserve">. Available at </w:t>
      </w:r>
      <w:hyperlink r:id="rId8" w:history="1">
        <w:r w:rsidRPr="00587052">
          <w:rPr>
            <w:rStyle w:val="Hyperlink"/>
            <w:rFonts w:ascii="Times New Roman" w:hAnsi="Times New Roman" w:cs="Times New Roman"/>
            <w:lang w:val="en-US"/>
          </w:rPr>
          <w:t>https://www.39essex.com/mental-capacity-report-september-2017/</w:t>
        </w:r>
      </w:hyperlink>
      <w:r>
        <w:rPr>
          <w:rFonts w:ascii="Times New Roman" w:hAnsi="Times New Roman" w:cs="Times New Roman"/>
          <w:lang w:val="en-US"/>
        </w:rPr>
        <w:t xml:space="preserve"> Accessed 25 July 2018.</w:t>
      </w:r>
    </w:p>
    <w:p w14:paraId="2F332BDC" w14:textId="77777777" w:rsidR="00B36DED" w:rsidRDefault="00B36DED" w:rsidP="00F302DA">
      <w:pPr>
        <w:widowControl w:val="0"/>
        <w:autoSpaceDE w:val="0"/>
        <w:autoSpaceDN w:val="0"/>
        <w:adjustRightInd w:val="0"/>
        <w:rPr>
          <w:rFonts w:ascii="Times New Roman" w:hAnsi="Times New Roman" w:cs="Times New Roman"/>
          <w:lang w:val="en-US"/>
        </w:rPr>
      </w:pPr>
    </w:p>
    <w:p w14:paraId="0C67D16D" w14:textId="5E692093" w:rsidR="00B7489C" w:rsidRPr="0006551E" w:rsidRDefault="0006551E" w:rsidP="00F302DA">
      <w:pPr>
        <w:widowControl w:val="0"/>
        <w:autoSpaceDE w:val="0"/>
        <w:autoSpaceDN w:val="0"/>
        <w:adjustRightInd w:val="0"/>
        <w:rPr>
          <w:rFonts w:ascii="Times New Roman" w:hAnsi="Times New Roman" w:cs="Times New Roman"/>
          <w:lang w:val="en-US"/>
        </w:rPr>
      </w:pPr>
      <w:r w:rsidRPr="0006551E">
        <w:rPr>
          <w:rFonts w:ascii="Times New Roman" w:hAnsi="Times New Roman" w:cs="Times New Roman"/>
          <w:lang w:val="en-US"/>
        </w:rPr>
        <w:t>Alzheimer Europe. (2017</w:t>
      </w:r>
      <w:r w:rsidR="00B7489C" w:rsidRPr="0006551E">
        <w:rPr>
          <w:rFonts w:ascii="Times New Roman" w:hAnsi="Times New Roman" w:cs="Times New Roman"/>
          <w:lang w:val="en-US"/>
        </w:rPr>
        <w:t xml:space="preserve">). </w:t>
      </w:r>
      <w:r w:rsidR="00B7489C" w:rsidRPr="0006551E">
        <w:rPr>
          <w:rFonts w:ascii="Times New Roman" w:hAnsi="Times New Roman" w:cs="Times New Roman"/>
          <w:i/>
          <w:lang w:val="en-US"/>
        </w:rPr>
        <w:t xml:space="preserve">Dementia as a Disability? Implications for Ethics, Policy and Practice. </w:t>
      </w:r>
      <w:r w:rsidRPr="0006551E">
        <w:rPr>
          <w:rFonts w:ascii="Times New Roman" w:hAnsi="Times New Roman" w:cs="Times New Roman"/>
          <w:lang w:val="en-US"/>
        </w:rPr>
        <w:t>Luxembourg: Alzheimer Europe.</w:t>
      </w:r>
    </w:p>
    <w:p w14:paraId="189947DC" w14:textId="77777777" w:rsidR="00B7489C" w:rsidRDefault="00B7489C" w:rsidP="00F302DA">
      <w:pPr>
        <w:widowControl w:val="0"/>
        <w:autoSpaceDE w:val="0"/>
        <w:autoSpaceDN w:val="0"/>
        <w:adjustRightInd w:val="0"/>
        <w:rPr>
          <w:rFonts w:ascii="Times New Roman" w:hAnsi="Times New Roman" w:cs="Times New Roman"/>
          <w:lang w:val="en-US"/>
        </w:rPr>
      </w:pPr>
    </w:p>
    <w:p w14:paraId="7528695E" w14:textId="5AB228FA" w:rsidR="00F302DA" w:rsidRDefault="00B7489C" w:rsidP="00F302D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Alzheimer’s Society.</w:t>
      </w:r>
      <w:r w:rsidR="00F302DA" w:rsidRPr="00F302DA">
        <w:rPr>
          <w:rFonts w:ascii="Times New Roman" w:hAnsi="Times New Roman" w:cs="Times New Roman"/>
          <w:lang w:val="en-US"/>
        </w:rPr>
        <w:t xml:space="preserve"> </w:t>
      </w:r>
      <w:r>
        <w:rPr>
          <w:rFonts w:ascii="Times New Roman" w:hAnsi="Times New Roman" w:cs="Times New Roman"/>
          <w:lang w:val="en-US"/>
        </w:rPr>
        <w:t xml:space="preserve">(2014). </w:t>
      </w:r>
      <w:r w:rsidR="00F302DA" w:rsidRPr="00B7489C">
        <w:rPr>
          <w:rFonts w:ascii="Times New Roman" w:hAnsi="Times New Roman" w:cs="Times New Roman"/>
          <w:i/>
          <w:lang w:val="en-US"/>
        </w:rPr>
        <w:t>Dementia UK: Update</w:t>
      </w:r>
      <w:r>
        <w:rPr>
          <w:rFonts w:ascii="Times New Roman" w:hAnsi="Times New Roman" w:cs="Times New Roman"/>
          <w:lang w:val="en-US"/>
        </w:rPr>
        <w:t xml:space="preserve">. London: Alzheimer’s Society. </w:t>
      </w:r>
      <w:hyperlink r:id="rId9" w:history="1">
        <w:r w:rsidR="00F302DA" w:rsidRPr="00F302DA">
          <w:rPr>
            <w:rStyle w:val="Hyperlink"/>
            <w:rFonts w:ascii="Times New Roman" w:hAnsi="Times New Roman" w:cs="Times New Roman"/>
            <w:lang w:val="en-US"/>
          </w:rPr>
          <w:t>https://www.alzheimers.org.uk/site/scripts/documents_info.php?documentID=2759</w:t>
        </w:r>
      </w:hyperlink>
      <w:r w:rsidR="00F302DA" w:rsidRPr="00F302DA">
        <w:rPr>
          <w:rFonts w:ascii="Times New Roman" w:hAnsi="Times New Roman" w:cs="Times New Roman"/>
          <w:lang w:val="en-US"/>
        </w:rPr>
        <w:t xml:space="preserve"> Accessed 2 July 2018.</w:t>
      </w:r>
    </w:p>
    <w:p w14:paraId="07B3CC01" w14:textId="77777777" w:rsidR="00D36AE4" w:rsidRDefault="00D36AE4" w:rsidP="00F302DA">
      <w:pPr>
        <w:widowControl w:val="0"/>
        <w:autoSpaceDE w:val="0"/>
        <w:autoSpaceDN w:val="0"/>
        <w:adjustRightInd w:val="0"/>
        <w:rPr>
          <w:rFonts w:ascii="Times New Roman" w:hAnsi="Times New Roman" w:cs="Times New Roman"/>
          <w:lang w:val="en-US"/>
        </w:rPr>
      </w:pPr>
    </w:p>
    <w:p w14:paraId="2F6929F9" w14:textId="7EDEB1B1" w:rsidR="00FC282B" w:rsidRPr="00FC282B" w:rsidRDefault="00FC282B" w:rsidP="00F302D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Alzheimer’s Society. (2017). </w:t>
      </w:r>
      <w:r>
        <w:rPr>
          <w:rFonts w:ascii="Times New Roman" w:hAnsi="Times New Roman" w:cs="Times New Roman"/>
          <w:i/>
          <w:lang w:val="en-US"/>
        </w:rPr>
        <w:t xml:space="preserve">Turning Up the Volume: Unheard Voices of People with Dementia. </w:t>
      </w:r>
      <w:r>
        <w:rPr>
          <w:rFonts w:ascii="Times New Roman" w:hAnsi="Times New Roman" w:cs="Times New Roman"/>
          <w:lang w:val="en-US"/>
        </w:rPr>
        <w:t>London: Alzheimer’s Society.</w:t>
      </w:r>
    </w:p>
    <w:p w14:paraId="6C318497" w14:textId="77777777" w:rsidR="00FC282B" w:rsidRPr="00FC282B" w:rsidRDefault="00FC282B" w:rsidP="00F302DA">
      <w:pPr>
        <w:widowControl w:val="0"/>
        <w:autoSpaceDE w:val="0"/>
        <w:autoSpaceDN w:val="0"/>
        <w:adjustRightInd w:val="0"/>
        <w:rPr>
          <w:rFonts w:ascii="Times New Roman" w:hAnsi="Times New Roman" w:cs="Times New Roman"/>
          <w:lang w:val="en-US"/>
        </w:rPr>
      </w:pPr>
    </w:p>
    <w:p w14:paraId="17A602BB" w14:textId="567F33E2" w:rsidR="00D36AE4" w:rsidRPr="00D36AE4" w:rsidRDefault="00D36AE4" w:rsidP="00D36AE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Appelbaum, P. (2016). </w:t>
      </w:r>
      <w:r w:rsidRPr="00D36AE4">
        <w:rPr>
          <w:rFonts w:ascii="Times New Roman" w:hAnsi="Times New Roman" w:cs="Times New Roman"/>
          <w:lang w:val="en-US"/>
        </w:rPr>
        <w:t>Pr</w:t>
      </w:r>
      <w:r w:rsidR="00FC2B88">
        <w:rPr>
          <w:rFonts w:ascii="Times New Roman" w:hAnsi="Times New Roman" w:cs="Times New Roman"/>
          <w:lang w:val="en-US"/>
        </w:rPr>
        <w:t>otecting the Rights of Persons w</w:t>
      </w:r>
      <w:r w:rsidRPr="00D36AE4">
        <w:rPr>
          <w:rFonts w:ascii="Times New Roman" w:hAnsi="Times New Roman" w:cs="Times New Roman"/>
          <w:lang w:val="en-US"/>
        </w:rPr>
        <w:t>ith</w:t>
      </w:r>
      <w:r>
        <w:rPr>
          <w:rFonts w:ascii="Times New Roman" w:hAnsi="Times New Roman" w:cs="Times New Roman"/>
          <w:lang w:val="en-US"/>
        </w:rPr>
        <w:t xml:space="preserve"> Disabilities: </w:t>
      </w:r>
      <w:r w:rsidRPr="00D36AE4">
        <w:rPr>
          <w:rFonts w:ascii="Times New Roman" w:hAnsi="Times New Roman" w:cs="Times New Roman"/>
          <w:lang w:val="en-US"/>
        </w:rPr>
        <w:t>A</w:t>
      </w:r>
      <w:r w:rsidR="00FC2B88">
        <w:rPr>
          <w:rFonts w:ascii="Times New Roman" w:hAnsi="Times New Roman" w:cs="Times New Roman"/>
          <w:lang w:val="en-US"/>
        </w:rPr>
        <w:t>n International Convention and i</w:t>
      </w:r>
      <w:r w:rsidRPr="00D36AE4">
        <w:rPr>
          <w:rFonts w:ascii="Times New Roman" w:hAnsi="Times New Roman" w:cs="Times New Roman"/>
          <w:lang w:val="en-US"/>
        </w:rPr>
        <w:t>ts Problems</w:t>
      </w:r>
      <w:r>
        <w:rPr>
          <w:rFonts w:ascii="Times New Roman" w:hAnsi="Times New Roman" w:cs="Times New Roman"/>
          <w:lang w:val="en-US"/>
        </w:rPr>
        <w:t xml:space="preserve">. </w:t>
      </w:r>
      <w:r>
        <w:rPr>
          <w:rFonts w:ascii="Times New Roman" w:hAnsi="Times New Roman" w:cs="Times New Roman"/>
          <w:i/>
          <w:lang w:val="en-US"/>
        </w:rPr>
        <w:t xml:space="preserve">Psychiatric Services, 64, </w:t>
      </w:r>
      <w:r>
        <w:rPr>
          <w:rFonts w:ascii="Times New Roman" w:hAnsi="Times New Roman" w:cs="Times New Roman"/>
          <w:lang w:val="en-US"/>
        </w:rPr>
        <w:t>366-368.</w:t>
      </w:r>
    </w:p>
    <w:p w14:paraId="0ACB6279" w14:textId="77777777" w:rsidR="009235E6" w:rsidRDefault="009235E6" w:rsidP="00F302DA">
      <w:pPr>
        <w:widowControl w:val="0"/>
        <w:autoSpaceDE w:val="0"/>
        <w:autoSpaceDN w:val="0"/>
        <w:adjustRightInd w:val="0"/>
        <w:rPr>
          <w:rFonts w:ascii="Times New Roman" w:hAnsi="Times New Roman" w:cs="Times New Roman"/>
          <w:lang w:val="en-US"/>
        </w:rPr>
      </w:pPr>
    </w:p>
    <w:p w14:paraId="146D7138" w14:textId="12B2B838" w:rsidR="00CC1910" w:rsidRPr="00CC1910" w:rsidRDefault="00CC1910" w:rsidP="00DE7B4C">
      <w:pPr>
        <w:rPr>
          <w:rFonts w:ascii="Times New Roman" w:hAnsi="Times New Roman" w:cs="Times New Roman"/>
          <w:lang w:val="en-US"/>
        </w:rPr>
      </w:pPr>
      <w:r>
        <w:rPr>
          <w:rFonts w:ascii="Times New Roman" w:hAnsi="Times New Roman" w:cs="Times New Roman"/>
          <w:lang w:val="en-US"/>
        </w:rPr>
        <w:t xml:space="preserve">Arstein-Kerslake, A. (2016). An Empowering Dependency: Exploring Support for the Exercise of Legal Capacity. </w:t>
      </w:r>
      <w:r>
        <w:rPr>
          <w:rFonts w:ascii="Times New Roman" w:hAnsi="Times New Roman" w:cs="Times New Roman"/>
          <w:i/>
          <w:lang w:val="en-US"/>
        </w:rPr>
        <w:t xml:space="preserve">Scandinavian Journal of Disability Research, 18, </w:t>
      </w:r>
      <w:r>
        <w:rPr>
          <w:rFonts w:ascii="Times New Roman" w:hAnsi="Times New Roman" w:cs="Times New Roman"/>
          <w:lang w:val="en-US"/>
        </w:rPr>
        <w:t>77-92.</w:t>
      </w:r>
    </w:p>
    <w:p w14:paraId="459D1E4D" w14:textId="77777777" w:rsidR="00CC1910" w:rsidRDefault="00CC1910" w:rsidP="00DE7B4C">
      <w:pPr>
        <w:rPr>
          <w:rFonts w:ascii="Times New Roman" w:hAnsi="Times New Roman" w:cs="Times New Roman"/>
          <w:lang w:val="en-US"/>
        </w:rPr>
      </w:pPr>
    </w:p>
    <w:p w14:paraId="2924805C" w14:textId="34869CAB" w:rsidR="002706FD" w:rsidRDefault="002706FD" w:rsidP="002706FD">
      <w:pPr>
        <w:rPr>
          <w:rFonts w:ascii="Times New Roman" w:hAnsi="Times New Roman" w:cs="Times New Roman"/>
          <w:lang w:val="en-US"/>
        </w:rPr>
      </w:pPr>
      <w:r>
        <w:rPr>
          <w:rFonts w:ascii="Times New Roman" w:hAnsi="Times New Roman" w:cs="Times New Roman"/>
          <w:lang w:val="en-US"/>
        </w:rPr>
        <w:t xml:space="preserve">Arstein-Kerslake, A., &amp; Flynn, E. (2016). </w:t>
      </w:r>
      <w:r w:rsidRPr="002706FD">
        <w:rPr>
          <w:rFonts w:ascii="Times New Roman" w:hAnsi="Times New Roman" w:cs="Times New Roman"/>
          <w:lang w:val="en-US"/>
        </w:rPr>
        <w:t>The General Comment on Article 12 of the</w:t>
      </w:r>
      <w:r>
        <w:rPr>
          <w:rFonts w:ascii="Times New Roman" w:hAnsi="Times New Roman" w:cs="Times New Roman"/>
          <w:lang w:val="en-US"/>
        </w:rPr>
        <w:t xml:space="preserve"> </w:t>
      </w:r>
      <w:r w:rsidRPr="002706FD">
        <w:rPr>
          <w:rFonts w:ascii="Times New Roman" w:hAnsi="Times New Roman" w:cs="Times New Roman"/>
          <w:lang w:val="en-US"/>
        </w:rPr>
        <w:t>Conventio</w:t>
      </w:r>
      <w:r>
        <w:rPr>
          <w:rFonts w:ascii="Times New Roman" w:hAnsi="Times New Roman" w:cs="Times New Roman"/>
          <w:lang w:val="en-US"/>
        </w:rPr>
        <w:t>n on the Rights of Persons with Disabilities: A Roadmap for Equality Before the L</w:t>
      </w:r>
      <w:r w:rsidRPr="002706FD">
        <w:rPr>
          <w:rFonts w:ascii="Times New Roman" w:hAnsi="Times New Roman" w:cs="Times New Roman"/>
          <w:lang w:val="en-US"/>
        </w:rPr>
        <w:t>aw</w:t>
      </w:r>
      <w:r>
        <w:rPr>
          <w:rFonts w:ascii="Times New Roman" w:hAnsi="Times New Roman" w:cs="Times New Roman"/>
          <w:lang w:val="en-US"/>
        </w:rPr>
        <w:t xml:space="preserve">. </w:t>
      </w:r>
      <w:r>
        <w:rPr>
          <w:rFonts w:ascii="Times New Roman" w:hAnsi="Times New Roman" w:cs="Times New Roman"/>
          <w:i/>
          <w:lang w:val="en-US"/>
        </w:rPr>
        <w:t xml:space="preserve">The International Journal of Human Rights, 20, </w:t>
      </w:r>
      <w:r>
        <w:rPr>
          <w:rFonts w:ascii="Times New Roman" w:hAnsi="Times New Roman" w:cs="Times New Roman"/>
          <w:lang w:val="en-US"/>
        </w:rPr>
        <w:t>471-490.</w:t>
      </w:r>
    </w:p>
    <w:p w14:paraId="0DBD5C32" w14:textId="77777777" w:rsidR="002706FD" w:rsidRPr="002706FD" w:rsidRDefault="002706FD" w:rsidP="002706FD">
      <w:pPr>
        <w:rPr>
          <w:rFonts w:ascii="Times New Roman" w:hAnsi="Times New Roman" w:cs="Times New Roman"/>
          <w:lang w:val="en-US"/>
        </w:rPr>
      </w:pPr>
    </w:p>
    <w:p w14:paraId="3DA107F4" w14:textId="77777777" w:rsidR="007B1151" w:rsidRPr="007B1151" w:rsidRDefault="007B1151" w:rsidP="007B1151">
      <w:pPr>
        <w:rPr>
          <w:rFonts w:ascii="Times New Roman" w:hAnsi="Times New Roman" w:cs="Times New Roman"/>
          <w:lang w:val="en-US"/>
        </w:rPr>
      </w:pPr>
      <w:r w:rsidRPr="007B1151">
        <w:rPr>
          <w:rFonts w:ascii="Times New Roman" w:hAnsi="Times New Roman" w:cs="Times New Roman"/>
          <w:lang w:val="en-US"/>
        </w:rPr>
        <w:t>Bach, M., &amp; Kerzner, L. (2010). A New Paradigm for Protecting Autonomy and the Right to</w:t>
      </w:r>
    </w:p>
    <w:p w14:paraId="65BB0044" w14:textId="258533BC" w:rsidR="007B1151" w:rsidRPr="007B1151" w:rsidRDefault="007B1151" w:rsidP="007B1151">
      <w:pPr>
        <w:rPr>
          <w:rStyle w:val="Hyperlink"/>
          <w:rFonts w:ascii="Times New Roman" w:hAnsi="Times New Roman" w:cs="Times New Roman"/>
          <w:lang w:val="en-US"/>
        </w:rPr>
      </w:pPr>
      <w:r w:rsidRPr="007B1151">
        <w:rPr>
          <w:rFonts w:ascii="Times New Roman" w:hAnsi="Times New Roman" w:cs="Times New Roman"/>
          <w:lang w:val="en-US"/>
        </w:rPr>
        <w:t>Legal Capacity. Toronto: Law Commission of Ontario</w:t>
      </w: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HYPERLINK "http://www.lco-cdo.org/disabilities/ bach-kerzner.pdf" </w:instrText>
      </w:r>
      <w:r>
        <w:rPr>
          <w:rFonts w:ascii="Times New Roman" w:hAnsi="Times New Roman" w:cs="Times New Roman"/>
          <w:lang w:val="en-US"/>
        </w:rPr>
        <w:fldChar w:fldCharType="separate"/>
      </w:r>
      <w:r w:rsidRPr="007B1151">
        <w:rPr>
          <w:rStyle w:val="Hyperlink"/>
          <w:rFonts w:ascii="Times New Roman" w:hAnsi="Times New Roman" w:cs="Times New Roman"/>
          <w:lang w:val="en-US"/>
        </w:rPr>
        <w:t>www.lco-cdo.org/disabilities/</w:t>
      </w:r>
    </w:p>
    <w:p w14:paraId="523BA9B4" w14:textId="4F585B4A" w:rsidR="007B1151" w:rsidRDefault="007B1151" w:rsidP="007B1151">
      <w:pPr>
        <w:rPr>
          <w:rFonts w:ascii="Times New Roman" w:hAnsi="Times New Roman" w:cs="Times New Roman"/>
          <w:lang w:val="en-US"/>
        </w:rPr>
      </w:pPr>
      <w:r w:rsidRPr="007B1151">
        <w:rPr>
          <w:rStyle w:val="Hyperlink"/>
          <w:rFonts w:ascii="Times New Roman" w:hAnsi="Times New Roman" w:cs="Times New Roman"/>
          <w:lang w:val="en-US"/>
        </w:rPr>
        <w:t>bach-kerzner.pdf</w:t>
      </w:r>
      <w:r>
        <w:rPr>
          <w:rFonts w:ascii="Times New Roman" w:hAnsi="Times New Roman" w:cs="Times New Roman"/>
          <w:lang w:val="en-US"/>
        </w:rPr>
        <w:fldChar w:fldCharType="end"/>
      </w:r>
      <w:r>
        <w:rPr>
          <w:rFonts w:ascii="Times New Roman" w:hAnsi="Times New Roman" w:cs="Times New Roman"/>
          <w:lang w:val="en-US"/>
        </w:rPr>
        <w:t xml:space="preserve"> </w:t>
      </w:r>
      <w:r w:rsidR="00B36DED">
        <w:rPr>
          <w:rFonts w:ascii="Times New Roman" w:hAnsi="Times New Roman" w:cs="Times New Roman"/>
          <w:lang w:val="en-US"/>
        </w:rPr>
        <w:t>Accessed 25 July 2018</w:t>
      </w:r>
      <w:r>
        <w:rPr>
          <w:rFonts w:ascii="Times New Roman" w:hAnsi="Times New Roman" w:cs="Times New Roman"/>
          <w:lang w:val="en-US"/>
        </w:rPr>
        <w:t>.</w:t>
      </w:r>
    </w:p>
    <w:p w14:paraId="16145A41" w14:textId="77777777" w:rsidR="007B1151" w:rsidRDefault="007B1151" w:rsidP="007B1151">
      <w:pPr>
        <w:rPr>
          <w:rFonts w:ascii="Times New Roman" w:hAnsi="Times New Roman" w:cs="Times New Roman"/>
          <w:lang w:val="en-US"/>
        </w:rPr>
      </w:pPr>
    </w:p>
    <w:p w14:paraId="46C3C74E" w14:textId="55EA3C33" w:rsidR="00BE4741" w:rsidRDefault="004D20FA" w:rsidP="007B1151">
      <w:pPr>
        <w:rPr>
          <w:rFonts w:ascii="Times New Roman" w:hAnsi="Times New Roman" w:cs="Times New Roman"/>
          <w:lang w:val="en-US"/>
        </w:rPr>
      </w:pPr>
      <w:r>
        <w:rPr>
          <w:rFonts w:ascii="Times New Roman" w:hAnsi="Times New Roman" w:cs="Times New Roman"/>
          <w:lang w:val="en-US"/>
        </w:rPr>
        <w:t xml:space="preserve">Bartlett, P. (2012). </w:t>
      </w:r>
      <w:r w:rsidR="00BE4741">
        <w:rPr>
          <w:rFonts w:ascii="Times New Roman" w:hAnsi="Times New Roman" w:cs="Times New Roman"/>
          <w:lang w:val="en-US"/>
        </w:rPr>
        <w:t xml:space="preserve">The United Nations Convention on the Rights of Persons with Disabilities and Mental Health Law. </w:t>
      </w:r>
      <w:r w:rsidR="00BE4741">
        <w:rPr>
          <w:rFonts w:ascii="Times New Roman" w:hAnsi="Times New Roman" w:cs="Times New Roman"/>
          <w:i/>
          <w:lang w:val="en-US"/>
        </w:rPr>
        <w:t xml:space="preserve">Modern Law Review, 75, </w:t>
      </w:r>
      <w:r w:rsidR="00BE4741">
        <w:rPr>
          <w:rFonts w:ascii="Times New Roman" w:hAnsi="Times New Roman" w:cs="Times New Roman"/>
          <w:lang w:val="en-US"/>
        </w:rPr>
        <w:t>752-779.</w:t>
      </w:r>
    </w:p>
    <w:p w14:paraId="27B7AC91" w14:textId="77777777" w:rsidR="00BE4741" w:rsidRDefault="00BE4741" w:rsidP="00DE7B4C">
      <w:pPr>
        <w:rPr>
          <w:rFonts w:ascii="Times New Roman" w:hAnsi="Times New Roman" w:cs="Times New Roman"/>
          <w:lang w:val="en-US"/>
        </w:rPr>
      </w:pPr>
    </w:p>
    <w:p w14:paraId="60CB024D" w14:textId="12CEAAB3" w:rsidR="009A252F" w:rsidRPr="009A252F" w:rsidRDefault="009A252F" w:rsidP="009A252F">
      <w:pPr>
        <w:rPr>
          <w:rFonts w:ascii="Times New Roman" w:hAnsi="Times New Roman" w:cs="Times New Roman"/>
          <w:i/>
          <w:lang w:val="en-US"/>
        </w:rPr>
      </w:pPr>
      <w:r>
        <w:rPr>
          <w:rFonts w:ascii="Times New Roman" w:hAnsi="Times New Roman" w:cs="Times New Roman"/>
          <w:lang w:val="en-US"/>
        </w:rPr>
        <w:t>Bartlett, P., &amp; Schulze, M. (2017). Urgently A</w:t>
      </w:r>
      <w:r w:rsidRPr="009A252F">
        <w:rPr>
          <w:rFonts w:ascii="Times New Roman" w:hAnsi="Times New Roman" w:cs="Times New Roman"/>
          <w:lang w:val="en-US"/>
        </w:rPr>
        <w:t>waitin</w:t>
      </w:r>
      <w:r>
        <w:rPr>
          <w:rFonts w:ascii="Times New Roman" w:hAnsi="Times New Roman" w:cs="Times New Roman"/>
          <w:lang w:val="en-US"/>
        </w:rPr>
        <w:t>g Implementation: The Right to be F</w:t>
      </w:r>
      <w:r w:rsidRPr="009A252F">
        <w:rPr>
          <w:rFonts w:ascii="Times New Roman" w:hAnsi="Times New Roman" w:cs="Times New Roman"/>
          <w:lang w:val="en-US"/>
        </w:rPr>
        <w:t xml:space="preserve">ree </w:t>
      </w:r>
      <w:r>
        <w:rPr>
          <w:rFonts w:ascii="Times New Roman" w:hAnsi="Times New Roman" w:cs="Times New Roman"/>
          <w:lang w:val="en-US"/>
        </w:rPr>
        <w:t>from Exploitation, Violence and A</w:t>
      </w:r>
      <w:r w:rsidRPr="009A252F">
        <w:rPr>
          <w:rFonts w:ascii="Times New Roman" w:hAnsi="Times New Roman" w:cs="Times New Roman"/>
          <w:lang w:val="en-US"/>
        </w:rPr>
        <w:t>buse in Article 16 of the Convention on the Rights of Persons with</w:t>
      </w:r>
      <w:r>
        <w:rPr>
          <w:rFonts w:ascii="Times New Roman" w:hAnsi="Times New Roman" w:cs="Times New Roman"/>
          <w:lang w:val="en-US"/>
        </w:rPr>
        <w:t xml:space="preserve"> </w:t>
      </w:r>
      <w:r w:rsidRPr="009A252F">
        <w:rPr>
          <w:rFonts w:ascii="Times New Roman" w:hAnsi="Times New Roman" w:cs="Times New Roman"/>
          <w:lang w:val="en-US"/>
        </w:rPr>
        <w:t>Disabilities (CRPD</w:t>
      </w:r>
      <w:r>
        <w:rPr>
          <w:rFonts w:ascii="Times New Roman" w:hAnsi="Times New Roman" w:cs="Times New Roman"/>
          <w:lang w:val="en-US"/>
        </w:rPr>
        <w:t xml:space="preserve">). </w:t>
      </w:r>
      <w:r>
        <w:rPr>
          <w:rFonts w:ascii="Times New Roman" w:hAnsi="Times New Roman" w:cs="Times New Roman"/>
          <w:i/>
          <w:lang w:val="en-US"/>
        </w:rPr>
        <w:t xml:space="preserve">International Journal of Law and Psychiatry, 53, </w:t>
      </w:r>
      <w:r>
        <w:rPr>
          <w:rFonts w:ascii="Times New Roman" w:hAnsi="Times New Roman" w:cs="Times New Roman"/>
          <w:lang w:val="en-US"/>
        </w:rPr>
        <w:t>2-14.</w:t>
      </w:r>
      <w:r>
        <w:rPr>
          <w:rFonts w:ascii="MS Mincho" w:eastAsia="MS Mincho" w:hAnsi="MS Mincho" w:cs="MS Mincho"/>
          <w:i/>
          <w:lang w:val="en-US"/>
        </w:rPr>
        <w:t xml:space="preserve"> </w:t>
      </w:r>
    </w:p>
    <w:p w14:paraId="67241C76" w14:textId="77777777" w:rsidR="009A252F" w:rsidRDefault="009A252F" w:rsidP="00DE7B4C">
      <w:pPr>
        <w:rPr>
          <w:rFonts w:ascii="Times New Roman" w:hAnsi="Times New Roman" w:cs="Times New Roman"/>
          <w:lang w:val="en-US"/>
        </w:rPr>
      </w:pPr>
    </w:p>
    <w:p w14:paraId="3E88E66E" w14:textId="018671FB" w:rsidR="00F85D57" w:rsidRDefault="00F85D57" w:rsidP="00F85D57">
      <w:pPr>
        <w:rPr>
          <w:rFonts w:ascii="Times New Roman" w:hAnsi="Times New Roman" w:cs="Times New Roman"/>
          <w:lang w:val="en-US"/>
        </w:rPr>
      </w:pPr>
      <w:r w:rsidRPr="00F85D57">
        <w:rPr>
          <w:rFonts w:ascii="Times New Roman" w:hAnsi="Times New Roman" w:cs="Times New Roman"/>
          <w:lang w:val="en-US"/>
        </w:rPr>
        <w:t>Beard,</w:t>
      </w:r>
      <w:r>
        <w:rPr>
          <w:rFonts w:ascii="Times New Roman" w:hAnsi="Times New Roman" w:cs="Times New Roman"/>
          <w:lang w:val="en-US"/>
        </w:rPr>
        <w:t xml:space="preserve"> R. (2004). </w:t>
      </w:r>
      <w:r w:rsidRPr="00F85D57">
        <w:rPr>
          <w:rFonts w:ascii="Times New Roman" w:hAnsi="Times New Roman" w:cs="Times New Roman"/>
          <w:lang w:val="en-US"/>
        </w:rPr>
        <w:t>In Their Voices: Identity</w:t>
      </w:r>
      <w:r>
        <w:rPr>
          <w:rFonts w:ascii="Times New Roman" w:hAnsi="Times New Roman" w:cs="Times New Roman"/>
          <w:lang w:val="en-US"/>
        </w:rPr>
        <w:t xml:space="preserve"> </w:t>
      </w:r>
      <w:r w:rsidRPr="00F85D57">
        <w:rPr>
          <w:rFonts w:ascii="Times New Roman" w:hAnsi="Times New Roman" w:cs="Times New Roman"/>
          <w:lang w:val="en-US"/>
        </w:rPr>
        <w:t>Preservation and Exp</w:t>
      </w:r>
      <w:r>
        <w:rPr>
          <w:rFonts w:ascii="Times New Roman" w:hAnsi="Times New Roman" w:cs="Times New Roman"/>
          <w:lang w:val="en-US"/>
        </w:rPr>
        <w:t xml:space="preserve">eriences of Alzheimer’s Disease. </w:t>
      </w:r>
      <w:r w:rsidRPr="00F85D57">
        <w:rPr>
          <w:rFonts w:ascii="Times New Roman" w:hAnsi="Times New Roman" w:cs="Times New Roman"/>
          <w:i/>
          <w:lang w:val="en-US"/>
        </w:rPr>
        <w:t>Journal of Aging Studies, 18</w:t>
      </w:r>
      <w:r>
        <w:rPr>
          <w:rFonts w:ascii="Times New Roman" w:hAnsi="Times New Roman" w:cs="Times New Roman"/>
          <w:lang w:val="en-US"/>
        </w:rPr>
        <w:t>,</w:t>
      </w:r>
      <w:r w:rsidRPr="00F85D57">
        <w:rPr>
          <w:rFonts w:ascii="Times New Roman" w:hAnsi="Times New Roman" w:cs="Times New Roman"/>
          <w:lang w:val="en-US"/>
        </w:rPr>
        <w:t xml:space="preserve"> 415-428</w:t>
      </w:r>
      <w:r>
        <w:rPr>
          <w:rFonts w:ascii="Times New Roman" w:hAnsi="Times New Roman" w:cs="Times New Roman"/>
          <w:lang w:val="en-US"/>
        </w:rPr>
        <w:t>.</w:t>
      </w:r>
    </w:p>
    <w:p w14:paraId="2A07C109" w14:textId="77777777" w:rsidR="00C53B63" w:rsidRDefault="00C53B63" w:rsidP="00F85D57">
      <w:pPr>
        <w:rPr>
          <w:rFonts w:ascii="Times New Roman" w:hAnsi="Times New Roman" w:cs="Times New Roman"/>
          <w:lang w:val="en-US"/>
        </w:rPr>
      </w:pPr>
    </w:p>
    <w:p w14:paraId="065B36E6" w14:textId="4CF5ABF3" w:rsidR="00433FCD" w:rsidRPr="00433FCD" w:rsidRDefault="00433FCD" w:rsidP="00433FCD">
      <w:pPr>
        <w:rPr>
          <w:rFonts w:ascii="Times New Roman" w:hAnsi="Times New Roman" w:cs="Times New Roman"/>
          <w:lang w:val="en-US"/>
        </w:rPr>
      </w:pPr>
      <w:r>
        <w:rPr>
          <w:rFonts w:ascii="Times New Roman" w:hAnsi="Times New Roman" w:cs="Times New Roman"/>
          <w:lang w:val="en-US"/>
        </w:rPr>
        <w:t>Bollig, G., Gjengdal, E., &amp; Rosland, J. (2016). They know!—Do they? A Q</w:t>
      </w:r>
      <w:r w:rsidRPr="00433FCD">
        <w:rPr>
          <w:rFonts w:ascii="Times New Roman" w:hAnsi="Times New Roman" w:cs="Times New Roman"/>
          <w:lang w:val="en-US"/>
        </w:rPr>
        <w:t>ualitative</w:t>
      </w:r>
      <w:r>
        <w:rPr>
          <w:rFonts w:ascii="Times New Roman" w:hAnsi="Times New Roman" w:cs="Times New Roman"/>
          <w:lang w:val="en-US"/>
        </w:rPr>
        <w:t xml:space="preserve"> Study of Residents and Relatives V</w:t>
      </w:r>
      <w:r w:rsidRPr="00433FCD">
        <w:rPr>
          <w:rFonts w:ascii="Times New Roman" w:hAnsi="Times New Roman" w:cs="Times New Roman"/>
          <w:lang w:val="en-US"/>
        </w:rPr>
        <w:t>iews</w:t>
      </w:r>
      <w:r>
        <w:rPr>
          <w:rFonts w:ascii="Times New Roman" w:hAnsi="Times New Roman" w:cs="Times New Roman"/>
          <w:lang w:val="en-US"/>
        </w:rPr>
        <w:t xml:space="preserve"> on A</w:t>
      </w:r>
      <w:r w:rsidRPr="00433FCD">
        <w:rPr>
          <w:rFonts w:ascii="Times New Roman" w:hAnsi="Times New Roman" w:cs="Times New Roman"/>
          <w:lang w:val="en-US"/>
        </w:rPr>
        <w:t>dvance</w:t>
      </w:r>
      <w:r>
        <w:rPr>
          <w:rFonts w:ascii="Times New Roman" w:hAnsi="Times New Roman" w:cs="Times New Roman"/>
          <w:lang w:val="en-US"/>
        </w:rPr>
        <w:t xml:space="preserve"> Care Planning, End-of-Life C</w:t>
      </w:r>
      <w:r w:rsidRPr="00433FCD">
        <w:rPr>
          <w:rFonts w:ascii="Times New Roman" w:hAnsi="Times New Roman" w:cs="Times New Roman"/>
          <w:lang w:val="en-US"/>
        </w:rPr>
        <w:t>are,</w:t>
      </w:r>
      <w:r>
        <w:rPr>
          <w:rFonts w:ascii="Times New Roman" w:hAnsi="Times New Roman" w:cs="Times New Roman"/>
          <w:lang w:val="en-US"/>
        </w:rPr>
        <w:t xml:space="preserve"> and Decision-Making in Nursing H</w:t>
      </w:r>
      <w:r w:rsidRPr="00433FCD">
        <w:rPr>
          <w:rFonts w:ascii="Times New Roman" w:hAnsi="Times New Roman" w:cs="Times New Roman"/>
          <w:lang w:val="en-US"/>
        </w:rPr>
        <w:t>omes</w:t>
      </w:r>
      <w:r>
        <w:rPr>
          <w:rFonts w:ascii="Times New Roman" w:hAnsi="Times New Roman" w:cs="Times New Roman"/>
          <w:lang w:val="en-US"/>
        </w:rPr>
        <w:t xml:space="preserve">. </w:t>
      </w:r>
      <w:r>
        <w:rPr>
          <w:rFonts w:ascii="Times New Roman" w:hAnsi="Times New Roman" w:cs="Times New Roman"/>
          <w:i/>
          <w:lang w:val="en-US"/>
        </w:rPr>
        <w:t xml:space="preserve">Palliative Medicine, 30, </w:t>
      </w:r>
      <w:r>
        <w:rPr>
          <w:rFonts w:ascii="Times New Roman" w:hAnsi="Times New Roman" w:cs="Times New Roman"/>
          <w:lang w:val="en-US"/>
        </w:rPr>
        <w:t>456-470.</w:t>
      </w:r>
    </w:p>
    <w:p w14:paraId="7455C5BB" w14:textId="77777777" w:rsidR="00433FCD" w:rsidRDefault="00433FCD" w:rsidP="00C53B63">
      <w:pPr>
        <w:rPr>
          <w:rFonts w:ascii="Times New Roman" w:hAnsi="Times New Roman" w:cs="Times New Roman"/>
          <w:lang w:val="en-US"/>
        </w:rPr>
      </w:pPr>
    </w:p>
    <w:p w14:paraId="3FF70CB5" w14:textId="4B4B6BA2" w:rsidR="00C53B63" w:rsidRPr="00C53B63" w:rsidRDefault="00C53B63" w:rsidP="00C53B63">
      <w:pPr>
        <w:rPr>
          <w:rFonts w:ascii="Times New Roman" w:hAnsi="Times New Roman" w:cs="Times New Roman"/>
          <w:lang w:val="en-US"/>
        </w:rPr>
      </w:pPr>
      <w:r>
        <w:rPr>
          <w:rFonts w:ascii="Times New Roman" w:hAnsi="Times New Roman" w:cs="Times New Roman"/>
          <w:lang w:val="en-US"/>
        </w:rPr>
        <w:t>Boyle, G. (2013</w:t>
      </w:r>
      <w:r w:rsidR="00FA0B2F">
        <w:rPr>
          <w:rFonts w:ascii="Times New Roman" w:hAnsi="Times New Roman" w:cs="Times New Roman"/>
          <w:lang w:val="en-US"/>
        </w:rPr>
        <w:t>a</w:t>
      </w:r>
      <w:r>
        <w:rPr>
          <w:rFonts w:ascii="Times New Roman" w:hAnsi="Times New Roman" w:cs="Times New Roman"/>
          <w:lang w:val="en-US"/>
        </w:rPr>
        <w:t>). ‘She’s Usually Quicker than the Calculator’: Financial M</w:t>
      </w:r>
      <w:r w:rsidRPr="00C53B63">
        <w:rPr>
          <w:rFonts w:ascii="Times New Roman" w:hAnsi="Times New Roman" w:cs="Times New Roman"/>
          <w:lang w:val="en-US"/>
        </w:rPr>
        <w:t>anagement and</w:t>
      </w:r>
    </w:p>
    <w:p w14:paraId="06853EBB" w14:textId="4D922AD9" w:rsidR="00C53B63" w:rsidRDefault="00C53B63" w:rsidP="00C53B63">
      <w:pPr>
        <w:rPr>
          <w:rFonts w:ascii="Times New Roman" w:hAnsi="Times New Roman" w:cs="Times New Roman"/>
          <w:lang w:val="en-US"/>
        </w:rPr>
      </w:pPr>
      <w:r>
        <w:rPr>
          <w:rFonts w:ascii="Times New Roman" w:hAnsi="Times New Roman" w:cs="Times New Roman"/>
          <w:lang w:val="en-US"/>
        </w:rPr>
        <w:t>Decision-Making in Couples Living with D</w:t>
      </w:r>
      <w:r w:rsidRPr="00C53B63">
        <w:rPr>
          <w:rFonts w:ascii="Times New Roman" w:hAnsi="Times New Roman" w:cs="Times New Roman"/>
          <w:lang w:val="en-US"/>
        </w:rPr>
        <w:t>ementia</w:t>
      </w:r>
      <w:r>
        <w:rPr>
          <w:rFonts w:ascii="Times New Roman" w:hAnsi="Times New Roman" w:cs="Times New Roman"/>
          <w:lang w:val="en-US"/>
        </w:rPr>
        <w:t xml:space="preserve">. </w:t>
      </w:r>
      <w:r>
        <w:rPr>
          <w:rFonts w:ascii="Times New Roman" w:hAnsi="Times New Roman" w:cs="Times New Roman"/>
          <w:i/>
          <w:lang w:val="en-US"/>
        </w:rPr>
        <w:t xml:space="preserve">Health and Social Care in the Community, 21, </w:t>
      </w:r>
      <w:r>
        <w:rPr>
          <w:rFonts w:ascii="Times New Roman" w:hAnsi="Times New Roman" w:cs="Times New Roman"/>
          <w:lang w:val="en-US"/>
        </w:rPr>
        <w:t>554-562.</w:t>
      </w:r>
    </w:p>
    <w:p w14:paraId="276CF042" w14:textId="77777777" w:rsidR="00FA0B2F" w:rsidRDefault="00FA0B2F" w:rsidP="00C53B63">
      <w:pPr>
        <w:rPr>
          <w:rFonts w:ascii="Times New Roman" w:hAnsi="Times New Roman" w:cs="Times New Roman"/>
          <w:lang w:val="en-US"/>
        </w:rPr>
      </w:pPr>
    </w:p>
    <w:p w14:paraId="1949D59E" w14:textId="09EDBCD1" w:rsidR="00FA0B2F" w:rsidRPr="00FA0B2F" w:rsidRDefault="00FA0B2F" w:rsidP="00FA0B2F">
      <w:pPr>
        <w:rPr>
          <w:rFonts w:ascii="Times New Roman" w:hAnsi="Times New Roman" w:cs="Times New Roman"/>
          <w:lang w:val="en-US"/>
        </w:rPr>
      </w:pPr>
      <w:r>
        <w:rPr>
          <w:rFonts w:ascii="Times New Roman" w:hAnsi="Times New Roman" w:cs="Times New Roman"/>
          <w:lang w:val="en-US"/>
        </w:rPr>
        <w:t xml:space="preserve">Boyle, G. (2013b). </w:t>
      </w:r>
      <w:r w:rsidRPr="00FA0B2F">
        <w:rPr>
          <w:rFonts w:ascii="Times New Roman" w:hAnsi="Times New Roman" w:cs="Times New Roman"/>
          <w:lang w:val="en-US"/>
        </w:rPr>
        <w:t>Facilit</w:t>
      </w:r>
      <w:r>
        <w:rPr>
          <w:rFonts w:ascii="Times New Roman" w:hAnsi="Times New Roman" w:cs="Times New Roman"/>
          <w:lang w:val="en-US"/>
        </w:rPr>
        <w:t>ating Decision-Making by People with Dementia: Is Spousal S</w:t>
      </w:r>
      <w:r w:rsidRPr="00FA0B2F">
        <w:rPr>
          <w:rFonts w:ascii="Times New Roman" w:hAnsi="Times New Roman" w:cs="Times New Roman"/>
          <w:lang w:val="en-US"/>
        </w:rPr>
        <w:t>upport</w:t>
      </w:r>
      <w:r>
        <w:rPr>
          <w:rFonts w:ascii="Times New Roman" w:hAnsi="Times New Roman" w:cs="Times New Roman"/>
          <w:lang w:val="en-US"/>
        </w:rPr>
        <w:t xml:space="preserve"> G</w:t>
      </w:r>
      <w:r w:rsidRPr="00FA0B2F">
        <w:rPr>
          <w:rFonts w:ascii="Times New Roman" w:hAnsi="Times New Roman" w:cs="Times New Roman"/>
          <w:lang w:val="en-US"/>
        </w:rPr>
        <w:t>endered?</w:t>
      </w:r>
      <w:r>
        <w:rPr>
          <w:rFonts w:ascii="Times New Roman" w:hAnsi="Times New Roman" w:cs="Times New Roman"/>
          <w:lang w:val="en-US"/>
        </w:rPr>
        <w:t xml:space="preserve"> </w:t>
      </w:r>
      <w:r>
        <w:rPr>
          <w:rFonts w:ascii="Times New Roman" w:hAnsi="Times New Roman" w:cs="Times New Roman"/>
          <w:i/>
          <w:lang w:val="en-US"/>
        </w:rPr>
        <w:t xml:space="preserve">Journal of Social Welfare and Family Law, 35, </w:t>
      </w:r>
      <w:r>
        <w:rPr>
          <w:rFonts w:ascii="Times New Roman" w:hAnsi="Times New Roman" w:cs="Times New Roman"/>
          <w:lang w:val="en-US"/>
        </w:rPr>
        <w:t>227-243.</w:t>
      </w:r>
    </w:p>
    <w:p w14:paraId="24FCE7EC" w14:textId="77777777" w:rsidR="00F85D57" w:rsidRDefault="00F85D57" w:rsidP="00DE7B4C">
      <w:pPr>
        <w:rPr>
          <w:rFonts w:ascii="Times New Roman" w:hAnsi="Times New Roman" w:cs="Times New Roman"/>
          <w:lang w:val="en-US"/>
        </w:rPr>
      </w:pPr>
    </w:p>
    <w:p w14:paraId="4C58E426" w14:textId="2443661B" w:rsidR="00731821" w:rsidRPr="00731821" w:rsidRDefault="00731821" w:rsidP="00DE7B4C">
      <w:pPr>
        <w:rPr>
          <w:rFonts w:ascii="Times New Roman" w:hAnsi="Times New Roman" w:cs="Times New Roman"/>
          <w:lang w:val="en-US"/>
        </w:rPr>
      </w:pPr>
      <w:r>
        <w:rPr>
          <w:rFonts w:ascii="Times New Roman" w:hAnsi="Times New Roman" w:cs="Times New Roman"/>
          <w:lang w:val="en-US"/>
        </w:rPr>
        <w:t xml:space="preserve">Boyle, G. (2014). Recognising the Agency of People with Dementia. </w:t>
      </w:r>
      <w:r>
        <w:rPr>
          <w:rFonts w:ascii="Times New Roman" w:hAnsi="Times New Roman" w:cs="Times New Roman"/>
          <w:i/>
          <w:lang w:val="en-US"/>
        </w:rPr>
        <w:t xml:space="preserve">Disability &amp; Society, 29, </w:t>
      </w:r>
      <w:r>
        <w:rPr>
          <w:rFonts w:ascii="Times New Roman" w:hAnsi="Times New Roman" w:cs="Times New Roman"/>
          <w:lang w:val="en-US"/>
        </w:rPr>
        <w:t>1130-1144.</w:t>
      </w:r>
    </w:p>
    <w:p w14:paraId="09356FFB" w14:textId="77777777" w:rsidR="00731821" w:rsidRDefault="00731821" w:rsidP="00DE7B4C">
      <w:pPr>
        <w:rPr>
          <w:rFonts w:ascii="Times New Roman" w:hAnsi="Times New Roman" w:cs="Times New Roman"/>
          <w:lang w:val="en-US"/>
        </w:rPr>
      </w:pPr>
    </w:p>
    <w:p w14:paraId="4B52E046" w14:textId="5FC1C537" w:rsidR="00DE7B4C" w:rsidRPr="00DE7B4C" w:rsidRDefault="00DE7B4C" w:rsidP="00DE7B4C">
      <w:pPr>
        <w:rPr>
          <w:rFonts w:ascii="Times New Roman" w:eastAsia="Times New Roman" w:hAnsi="Times New Roman" w:cs="Times New Roman"/>
          <w:lang w:val="en-US"/>
        </w:rPr>
      </w:pPr>
      <w:r>
        <w:rPr>
          <w:rFonts w:ascii="Times New Roman" w:hAnsi="Times New Roman" w:cs="Times New Roman"/>
          <w:lang w:val="en-US"/>
        </w:rPr>
        <w:t xml:space="preserve">Burch, M. (2017). </w:t>
      </w:r>
      <w:r w:rsidRPr="00DE7B4C">
        <w:rPr>
          <w:rFonts w:ascii="Times New Roman" w:eastAsia="Times New Roman" w:hAnsi="Times New Roman" w:cs="Times New Roman"/>
          <w:lang w:val="en-US"/>
        </w:rPr>
        <w:t>Autonomy, Respect, and the Rights of Persons with Disabilities in Crisis</w:t>
      </w:r>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 xml:space="preserve">Journal of Applied Philosophy, </w:t>
      </w:r>
      <w:r>
        <w:rPr>
          <w:rFonts w:ascii="Times New Roman" w:eastAsia="Times New Roman" w:hAnsi="Times New Roman" w:cs="Times New Roman"/>
          <w:lang w:val="en-US"/>
        </w:rPr>
        <w:t>34, 389-402.</w:t>
      </w:r>
    </w:p>
    <w:p w14:paraId="5C32CC25" w14:textId="77777777" w:rsidR="00DE7B4C" w:rsidRDefault="00DE7B4C" w:rsidP="009235E6">
      <w:pPr>
        <w:widowControl w:val="0"/>
        <w:autoSpaceDE w:val="0"/>
        <w:autoSpaceDN w:val="0"/>
        <w:adjustRightInd w:val="0"/>
        <w:rPr>
          <w:rFonts w:ascii="Times New Roman" w:hAnsi="Times New Roman" w:cs="Times New Roman"/>
          <w:lang w:val="en-US"/>
        </w:rPr>
      </w:pPr>
    </w:p>
    <w:p w14:paraId="09974A3D" w14:textId="46C8827E" w:rsidR="005D6138" w:rsidRPr="005D6138" w:rsidRDefault="005D6138" w:rsidP="005D613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Carney, G., &amp; Gray, M. (2015). </w:t>
      </w:r>
      <w:r w:rsidRPr="005D6138">
        <w:rPr>
          <w:rFonts w:ascii="Times New Roman" w:hAnsi="Times New Roman" w:cs="Times New Roman"/>
          <w:lang w:val="en-US"/>
        </w:rPr>
        <w:t>Unmasking the ‘Elderly Mystique’: Why it is Time to Make the</w:t>
      </w:r>
      <w:r>
        <w:rPr>
          <w:rFonts w:ascii="Times New Roman" w:hAnsi="Times New Roman" w:cs="Times New Roman"/>
          <w:lang w:val="en-US"/>
        </w:rPr>
        <w:t xml:space="preserve"> </w:t>
      </w:r>
      <w:r w:rsidRPr="005D6138">
        <w:rPr>
          <w:rFonts w:ascii="Times New Roman" w:hAnsi="Times New Roman" w:cs="Times New Roman"/>
          <w:lang w:val="en-US"/>
        </w:rPr>
        <w:t>Personal Political in Ageing Research</w:t>
      </w:r>
      <w:r>
        <w:rPr>
          <w:rFonts w:ascii="Times New Roman" w:hAnsi="Times New Roman" w:cs="Times New Roman"/>
          <w:lang w:val="en-US"/>
        </w:rPr>
        <w:t xml:space="preserve">. </w:t>
      </w:r>
      <w:r>
        <w:rPr>
          <w:rFonts w:ascii="Times New Roman" w:hAnsi="Times New Roman" w:cs="Times New Roman"/>
          <w:i/>
          <w:lang w:val="en-US"/>
        </w:rPr>
        <w:t xml:space="preserve">Journal of Aging Studies, 35, </w:t>
      </w:r>
      <w:r>
        <w:rPr>
          <w:rFonts w:ascii="Times New Roman" w:hAnsi="Times New Roman" w:cs="Times New Roman"/>
          <w:lang w:val="en-US"/>
        </w:rPr>
        <w:t>123-134.</w:t>
      </w:r>
    </w:p>
    <w:p w14:paraId="1717DD73" w14:textId="77777777" w:rsidR="005D6138" w:rsidRDefault="005D6138" w:rsidP="009235E6">
      <w:pPr>
        <w:widowControl w:val="0"/>
        <w:autoSpaceDE w:val="0"/>
        <w:autoSpaceDN w:val="0"/>
        <w:adjustRightInd w:val="0"/>
        <w:rPr>
          <w:rFonts w:ascii="Times New Roman" w:hAnsi="Times New Roman" w:cs="Times New Roman"/>
          <w:lang w:val="en-US"/>
        </w:rPr>
      </w:pPr>
    </w:p>
    <w:p w14:paraId="413BC7B9" w14:textId="2481AC2D" w:rsidR="00A061DF" w:rsidRPr="00A061DF" w:rsidRDefault="00A061DF" w:rsidP="00A061DF">
      <w:pPr>
        <w:widowControl w:val="0"/>
        <w:autoSpaceDE w:val="0"/>
        <w:autoSpaceDN w:val="0"/>
        <w:adjustRightInd w:val="0"/>
        <w:rPr>
          <w:rFonts w:ascii="Times New Roman" w:hAnsi="Times New Roman" w:cs="Times New Roman"/>
          <w:b/>
          <w:bCs/>
          <w:lang w:val="en-US"/>
        </w:rPr>
      </w:pPr>
      <w:r>
        <w:rPr>
          <w:rFonts w:ascii="Times New Roman" w:hAnsi="Times New Roman" w:cs="Times New Roman"/>
          <w:lang w:val="en-US"/>
        </w:rPr>
        <w:t xml:space="preserve">Carpenter, B., &amp; Dave, J. (2004). </w:t>
      </w:r>
      <w:r w:rsidRPr="00A061DF">
        <w:rPr>
          <w:rFonts w:ascii="Times New Roman" w:hAnsi="Times New Roman" w:cs="Times New Roman"/>
          <w:bCs/>
          <w:lang w:val="en-US"/>
        </w:rPr>
        <w:t>Disclosing a Dementia Diagnosis: A R</w:t>
      </w:r>
      <w:r>
        <w:rPr>
          <w:rFonts w:ascii="Times New Roman" w:hAnsi="Times New Roman" w:cs="Times New Roman"/>
          <w:bCs/>
          <w:lang w:val="en-US"/>
        </w:rPr>
        <w:t>eview of O</w:t>
      </w:r>
      <w:r w:rsidRPr="00A061DF">
        <w:rPr>
          <w:rFonts w:ascii="Times New Roman" w:hAnsi="Times New Roman" w:cs="Times New Roman"/>
          <w:bCs/>
          <w:lang w:val="en-US"/>
        </w:rPr>
        <w:t>pinion and Practice, and a Proposed Research Agenda.</w:t>
      </w:r>
      <w:r>
        <w:rPr>
          <w:rFonts w:ascii="Times New Roman" w:hAnsi="Times New Roman" w:cs="Times New Roman"/>
          <w:bCs/>
          <w:lang w:val="en-US"/>
        </w:rPr>
        <w:t xml:space="preserve"> </w:t>
      </w:r>
      <w:r>
        <w:rPr>
          <w:rFonts w:ascii="Times New Roman" w:hAnsi="Times New Roman" w:cs="Times New Roman"/>
          <w:bCs/>
          <w:i/>
          <w:lang w:val="en-US"/>
        </w:rPr>
        <w:t xml:space="preserve">The Gerontologist, 44, </w:t>
      </w:r>
      <w:r>
        <w:rPr>
          <w:rFonts w:ascii="Times New Roman" w:hAnsi="Times New Roman" w:cs="Times New Roman"/>
          <w:bCs/>
          <w:lang w:val="en-US"/>
        </w:rPr>
        <w:t>149-158.</w:t>
      </w:r>
    </w:p>
    <w:p w14:paraId="065A4A90" w14:textId="77777777" w:rsidR="00A061DF" w:rsidRDefault="00A061DF" w:rsidP="009235E6">
      <w:pPr>
        <w:widowControl w:val="0"/>
        <w:autoSpaceDE w:val="0"/>
        <w:autoSpaceDN w:val="0"/>
        <w:adjustRightInd w:val="0"/>
        <w:rPr>
          <w:rFonts w:ascii="Times New Roman" w:hAnsi="Times New Roman" w:cs="Times New Roman"/>
          <w:lang w:val="en-US"/>
        </w:rPr>
      </w:pPr>
    </w:p>
    <w:p w14:paraId="3FEFCBAA" w14:textId="24986B54" w:rsidR="009E3EC4" w:rsidRPr="009E3EC4" w:rsidRDefault="009E3EC4"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Craigie, J. (2015). A Fine Balance: Reconsidering Patient Autonomy in Light of the UN Convention on the Rights of Persons with Disabilities. </w:t>
      </w:r>
      <w:r>
        <w:rPr>
          <w:rFonts w:ascii="Times New Roman" w:hAnsi="Times New Roman" w:cs="Times New Roman"/>
          <w:i/>
          <w:lang w:val="en-US"/>
        </w:rPr>
        <w:t xml:space="preserve">Bioethics, 29, </w:t>
      </w:r>
      <w:r>
        <w:rPr>
          <w:rFonts w:ascii="Times New Roman" w:hAnsi="Times New Roman" w:cs="Times New Roman"/>
          <w:lang w:val="en-US"/>
        </w:rPr>
        <w:t>398-405.</w:t>
      </w:r>
    </w:p>
    <w:p w14:paraId="5AFFD850" w14:textId="77777777" w:rsidR="009E3EC4" w:rsidRDefault="009E3EC4" w:rsidP="009235E6">
      <w:pPr>
        <w:widowControl w:val="0"/>
        <w:autoSpaceDE w:val="0"/>
        <w:autoSpaceDN w:val="0"/>
        <w:adjustRightInd w:val="0"/>
        <w:rPr>
          <w:rFonts w:ascii="Times New Roman" w:hAnsi="Times New Roman" w:cs="Times New Roman"/>
          <w:lang w:val="en-US"/>
        </w:rPr>
      </w:pPr>
    </w:p>
    <w:p w14:paraId="770702E7" w14:textId="6D651C69" w:rsidR="00B93EE0" w:rsidRDefault="00B93EE0" w:rsidP="009235E6">
      <w:pPr>
        <w:widowControl w:val="0"/>
        <w:autoSpaceDE w:val="0"/>
        <w:autoSpaceDN w:val="0"/>
        <w:adjustRightInd w:val="0"/>
        <w:rPr>
          <w:rFonts w:ascii="Times New Roman" w:hAnsi="Times New Roman" w:cs="Times New Roman"/>
          <w:i/>
          <w:lang w:val="en-US"/>
        </w:rPr>
      </w:pPr>
      <w:r>
        <w:rPr>
          <w:rFonts w:ascii="Times New Roman" w:hAnsi="Times New Roman" w:cs="Times New Roman"/>
          <w:lang w:val="en-US"/>
        </w:rPr>
        <w:t xml:space="preserve">Davis, L. (2002). </w:t>
      </w:r>
      <w:r w:rsidRPr="00B93EE0">
        <w:rPr>
          <w:rFonts w:ascii="Times New Roman" w:hAnsi="Times New Roman" w:cs="Times New Roman"/>
          <w:i/>
          <w:lang w:val="en-US"/>
        </w:rPr>
        <w:t>Bending Over Backwards: Disability, Dismodernism and Other Difficult Positions.</w:t>
      </w:r>
      <w:r>
        <w:rPr>
          <w:rFonts w:ascii="Times New Roman" w:hAnsi="Times New Roman" w:cs="Times New Roman"/>
          <w:lang w:val="en-US"/>
        </w:rPr>
        <w:t xml:space="preserve"> New York: New York University Press.</w:t>
      </w:r>
    </w:p>
    <w:p w14:paraId="2C172BA6" w14:textId="77777777" w:rsidR="00B93EE0" w:rsidRDefault="00B93EE0" w:rsidP="009235E6">
      <w:pPr>
        <w:widowControl w:val="0"/>
        <w:autoSpaceDE w:val="0"/>
        <w:autoSpaceDN w:val="0"/>
        <w:adjustRightInd w:val="0"/>
        <w:rPr>
          <w:rFonts w:ascii="Times New Roman" w:hAnsi="Times New Roman" w:cs="Times New Roman"/>
          <w:i/>
          <w:lang w:val="en-US"/>
        </w:rPr>
      </w:pPr>
    </w:p>
    <w:p w14:paraId="61C1BE0B" w14:textId="63075A11" w:rsidR="009235E6" w:rsidRDefault="009235E6"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Dawson, J. (2015). A Realistic Approach to Assessing Mental Health Laws' C</w:t>
      </w:r>
      <w:r w:rsidRPr="009235E6">
        <w:rPr>
          <w:rFonts w:ascii="Times New Roman" w:hAnsi="Times New Roman" w:cs="Times New Roman"/>
          <w:lang w:val="en-US"/>
        </w:rPr>
        <w:t>ompliance with the UNCRPD</w:t>
      </w:r>
      <w:r>
        <w:rPr>
          <w:rFonts w:ascii="Times New Roman" w:hAnsi="Times New Roman" w:cs="Times New Roman"/>
          <w:lang w:val="en-US"/>
        </w:rPr>
        <w:t xml:space="preserve">. </w:t>
      </w:r>
      <w:r>
        <w:rPr>
          <w:rFonts w:ascii="Times New Roman" w:hAnsi="Times New Roman" w:cs="Times New Roman"/>
          <w:i/>
          <w:lang w:val="en-US"/>
        </w:rPr>
        <w:t xml:space="preserve">International Journal of Law and Psychiatry, 40, </w:t>
      </w:r>
      <w:r>
        <w:rPr>
          <w:rFonts w:ascii="Times New Roman" w:hAnsi="Times New Roman" w:cs="Times New Roman"/>
          <w:lang w:val="en-US"/>
        </w:rPr>
        <w:t>70-79.</w:t>
      </w:r>
    </w:p>
    <w:p w14:paraId="5DCE40EF" w14:textId="77777777" w:rsidR="00D36AE4" w:rsidRDefault="00D36AE4" w:rsidP="009235E6">
      <w:pPr>
        <w:widowControl w:val="0"/>
        <w:autoSpaceDE w:val="0"/>
        <w:autoSpaceDN w:val="0"/>
        <w:adjustRightInd w:val="0"/>
        <w:rPr>
          <w:rFonts w:ascii="Times New Roman" w:hAnsi="Times New Roman" w:cs="Times New Roman"/>
          <w:lang w:val="en-US"/>
        </w:rPr>
      </w:pPr>
    </w:p>
    <w:p w14:paraId="60AA2E27" w14:textId="3CA66740" w:rsidR="00D87163" w:rsidRDefault="00D87163" w:rsidP="009235E6">
      <w:pPr>
        <w:widowControl w:val="0"/>
        <w:autoSpaceDE w:val="0"/>
        <w:autoSpaceDN w:val="0"/>
        <w:adjustRightInd w:val="0"/>
        <w:rPr>
          <w:rFonts w:ascii="Times New Roman" w:hAnsi="Times New Roman" w:cs="Times New Roman"/>
          <w:i/>
          <w:lang w:val="en-US"/>
        </w:rPr>
      </w:pPr>
      <w:r>
        <w:rPr>
          <w:rFonts w:ascii="Times New Roman" w:hAnsi="Times New Roman" w:cs="Times New Roman"/>
          <w:lang w:val="en-US"/>
        </w:rPr>
        <w:t xml:space="preserve">Degener, T. (2016). A Human Rights Model of Disability. In Blanck, P. &amp; Flynn, E. (Eds.), </w:t>
      </w:r>
      <w:r>
        <w:rPr>
          <w:rFonts w:ascii="Times New Roman" w:hAnsi="Times New Roman" w:cs="Times New Roman"/>
          <w:i/>
          <w:lang w:val="en-US"/>
        </w:rPr>
        <w:t xml:space="preserve">Routledge Handbook of Disability Law and Human Rights </w:t>
      </w:r>
      <w:r>
        <w:rPr>
          <w:rFonts w:ascii="Times New Roman" w:hAnsi="Times New Roman" w:cs="Times New Roman"/>
          <w:lang w:val="en-US"/>
        </w:rPr>
        <w:t>(pp.31-49). Abingdon: Routledge.</w:t>
      </w:r>
      <w:r>
        <w:rPr>
          <w:rFonts w:ascii="Times New Roman" w:hAnsi="Times New Roman" w:cs="Times New Roman"/>
          <w:i/>
          <w:lang w:val="en-US"/>
        </w:rPr>
        <w:t xml:space="preserve"> </w:t>
      </w:r>
    </w:p>
    <w:p w14:paraId="7BB98154" w14:textId="77777777" w:rsidR="00D87163" w:rsidRDefault="00D87163" w:rsidP="009235E6">
      <w:pPr>
        <w:widowControl w:val="0"/>
        <w:autoSpaceDE w:val="0"/>
        <w:autoSpaceDN w:val="0"/>
        <w:adjustRightInd w:val="0"/>
        <w:rPr>
          <w:rFonts w:ascii="Times New Roman" w:hAnsi="Times New Roman" w:cs="Times New Roman"/>
          <w:lang w:val="en-US"/>
        </w:rPr>
      </w:pPr>
    </w:p>
    <w:p w14:paraId="4C9E0B55" w14:textId="3C8BF9C8" w:rsidR="00D36AE4" w:rsidRDefault="00D36AE4" w:rsidP="00D36AE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Degrazia, D. (1999). </w:t>
      </w:r>
      <w:r w:rsidRPr="00D36AE4">
        <w:rPr>
          <w:rFonts w:ascii="Times New Roman" w:hAnsi="Times New Roman" w:cs="Times New Roman"/>
          <w:lang w:val="en-US"/>
        </w:rPr>
        <w:t>Advance Directives, Dementia, and ‘the Someone Else</w:t>
      </w:r>
      <w:r>
        <w:rPr>
          <w:rFonts w:ascii="Times New Roman" w:hAnsi="Times New Roman" w:cs="Times New Roman"/>
          <w:lang w:val="en-US"/>
        </w:rPr>
        <w:t xml:space="preserve"> </w:t>
      </w:r>
      <w:r w:rsidRPr="00D36AE4">
        <w:rPr>
          <w:rFonts w:ascii="Times New Roman" w:hAnsi="Times New Roman" w:cs="Times New Roman"/>
          <w:lang w:val="en-US"/>
        </w:rPr>
        <w:t>Problem’</w:t>
      </w:r>
      <w:r>
        <w:rPr>
          <w:rFonts w:ascii="Times New Roman" w:hAnsi="Times New Roman" w:cs="Times New Roman"/>
          <w:lang w:val="en-US"/>
        </w:rPr>
        <w:t xml:space="preserve">. </w:t>
      </w:r>
      <w:r>
        <w:rPr>
          <w:rFonts w:ascii="Times New Roman" w:hAnsi="Times New Roman" w:cs="Times New Roman"/>
          <w:i/>
          <w:lang w:val="en-US"/>
        </w:rPr>
        <w:t xml:space="preserve">Bioethics, 13, </w:t>
      </w:r>
      <w:r>
        <w:rPr>
          <w:rFonts w:ascii="Times New Roman" w:hAnsi="Times New Roman" w:cs="Times New Roman"/>
          <w:lang w:val="en-US"/>
        </w:rPr>
        <w:t>373-391.</w:t>
      </w:r>
    </w:p>
    <w:p w14:paraId="5F440DC8" w14:textId="77777777" w:rsidR="00D51F95" w:rsidRDefault="00D51F95" w:rsidP="00D36AE4">
      <w:pPr>
        <w:widowControl w:val="0"/>
        <w:autoSpaceDE w:val="0"/>
        <w:autoSpaceDN w:val="0"/>
        <w:adjustRightInd w:val="0"/>
        <w:rPr>
          <w:rFonts w:ascii="Times New Roman" w:hAnsi="Times New Roman" w:cs="Times New Roman"/>
          <w:lang w:val="en-US"/>
        </w:rPr>
      </w:pPr>
    </w:p>
    <w:p w14:paraId="50D19B9B" w14:textId="7ECEC0F1" w:rsidR="00D51F95" w:rsidRPr="00D51F95" w:rsidRDefault="00D51F95" w:rsidP="00D36AE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Dementia Policy Think Tank, DEEP, &amp; Innovations in Dementia. (2017). </w:t>
      </w:r>
      <w:r>
        <w:rPr>
          <w:rFonts w:ascii="Times New Roman" w:hAnsi="Times New Roman" w:cs="Times New Roman"/>
          <w:i/>
          <w:lang w:val="en-US"/>
        </w:rPr>
        <w:t xml:space="preserve">Our Lived Experience: Current Evidence on Dementia Rights in the UK. An Alternative Report to the UNCRPD Committee. </w:t>
      </w:r>
      <w:r>
        <w:rPr>
          <w:rFonts w:ascii="Times New Roman" w:hAnsi="Times New Roman" w:cs="Times New Roman"/>
          <w:lang w:val="en-US"/>
        </w:rPr>
        <w:t xml:space="preserve">Available at </w:t>
      </w:r>
      <w:hyperlink r:id="rId10" w:history="1">
        <w:r w:rsidRPr="00587052">
          <w:rPr>
            <w:rStyle w:val="Hyperlink"/>
            <w:rFonts w:ascii="Times New Roman" w:hAnsi="Times New Roman" w:cs="Times New Roman"/>
            <w:lang w:val="en-US"/>
          </w:rPr>
          <w:t>http://dementiavoices.org.uk/wp-content/uploads/2017/07/Our-Lived-Experience-270717_1.pdf</w:t>
        </w:r>
      </w:hyperlink>
      <w:r>
        <w:rPr>
          <w:rFonts w:ascii="Times New Roman" w:hAnsi="Times New Roman" w:cs="Times New Roman"/>
          <w:lang w:val="en-US"/>
        </w:rPr>
        <w:t xml:space="preserve"> Accessed 29 July 2018.</w:t>
      </w:r>
    </w:p>
    <w:p w14:paraId="72AFF377" w14:textId="77777777" w:rsidR="009235E6" w:rsidRDefault="009235E6" w:rsidP="009235E6">
      <w:pPr>
        <w:widowControl w:val="0"/>
        <w:autoSpaceDE w:val="0"/>
        <w:autoSpaceDN w:val="0"/>
        <w:adjustRightInd w:val="0"/>
        <w:rPr>
          <w:rFonts w:ascii="Times New Roman" w:hAnsi="Times New Roman" w:cs="Times New Roman"/>
          <w:lang w:val="en-US"/>
        </w:rPr>
      </w:pPr>
    </w:p>
    <w:p w14:paraId="54F66B0B" w14:textId="5307C113" w:rsidR="005A2F73" w:rsidRPr="005A2F73" w:rsidRDefault="005A2F73"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Dening, K., King, M., Jones, L., &amp; Sampson, E. (2016). Healthcare Decision-Making: Past, Present and Future in Light of a Diagnosis of Dementia. </w:t>
      </w:r>
      <w:r>
        <w:rPr>
          <w:rFonts w:ascii="Times New Roman" w:hAnsi="Times New Roman" w:cs="Times New Roman"/>
          <w:i/>
          <w:lang w:val="en-US"/>
        </w:rPr>
        <w:t xml:space="preserve">International Journal of Palliative Nursing, 23, </w:t>
      </w:r>
      <w:r>
        <w:rPr>
          <w:rFonts w:ascii="Times New Roman" w:hAnsi="Times New Roman" w:cs="Times New Roman"/>
          <w:lang w:val="en-US"/>
        </w:rPr>
        <w:t>4-11.</w:t>
      </w:r>
    </w:p>
    <w:p w14:paraId="0F5C370E" w14:textId="77777777" w:rsidR="005A2F73" w:rsidRDefault="005A2F73" w:rsidP="009235E6">
      <w:pPr>
        <w:widowControl w:val="0"/>
        <w:autoSpaceDE w:val="0"/>
        <w:autoSpaceDN w:val="0"/>
        <w:adjustRightInd w:val="0"/>
        <w:rPr>
          <w:rFonts w:ascii="Times New Roman" w:hAnsi="Times New Roman" w:cs="Times New Roman"/>
          <w:lang w:val="en-US"/>
        </w:rPr>
      </w:pPr>
    </w:p>
    <w:p w14:paraId="6CDD05C0" w14:textId="0C75697A" w:rsidR="00B36DED" w:rsidRDefault="00B36DED"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Devlieger, P., &amp; Albrecht, G. (2000). Your Experience is Not My Experience: The Concept and Experience of Disability on Chicago’s Near West Side. </w:t>
      </w:r>
      <w:r>
        <w:rPr>
          <w:rFonts w:ascii="Times New Roman" w:hAnsi="Times New Roman" w:cs="Times New Roman"/>
          <w:i/>
          <w:lang w:val="en-US"/>
        </w:rPr>
        <w:t xml:space="preserve">Journal of Disability Policy Studies, 11, </w:t>
      </w:r>
      <w:r>
        <w:rPr>
          <w:rFonts w:ascii="Times New Roman" w:hAnsi="Times New Roman" w:cs="Times New Roman"/>
          <w:lang w:val="en-US"/>
        </w:rPr>
        <w:t>51-60.</w:t>
      </w:r>
    </w:p>
    <w:p w14:paraId="0A498942" w14:textId="77777777" w:rsidR="00B36DED" w:rsidRDefault="00B36DED" w:rsidP="009235E6">
      <w:pPr>
        <w:widowControl w:val="0"/>
        <w:autoSpaceDE w:val="0"/>
        <w:autoSpaceDN w:val="0"/>
        <w:adjustRightInd w:val="0"/>
        <w:rPr>
          <w:rFonts w:ascii="Times New Roman" w:hAnsi="Times New Roman" w:cs="Times New Roman"/>
          <w:lang w:val="en-US"/>
        </w:rPr>
      </w:pPr>
    </w:p>
    <w:p w14:paraId="7A45797B" w14:textId="76327F46" w:rsidR="00164700" w:rsidRPr="00164700" w:rsidRDefault="00164700"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Dhanda, A. (2007). Legal Capacity in the Disability Rights Convention: Stranglehold of the Past or Lodestar for the Future? </w:t>
      </w:r>
      <w:r>
        <w:rPr>
          <w:rFonts w:ascii="Times New Roman" w:hAnsi="Times New Roman" w:cs="Times New Roman"/>
          <w:i/>
          <w:lang w:val="en-US"/>
        </w:rPr>
        <w:t xml:space="preserve">Syracuse Journal of International Law and Commerce, 34, </w:t>
      </w:r>
      <w:r>
        <w:rPr>
          <w:rFonts w:ascii="Times New Roman" w:hAnsi="Times New Roman" w:cs="Times New Roman"/>
          <w:lang w:val="en-US"/>
        </w:rPr>
        <w:t>429-462.</w:t>
      </w:r>
    </w:p>
    <w:p w14:paraId="335E5B50" w14:textId="77777777" w:rsidR="00164700" w:rsidRDefault="00164700" w:rsidP="009235E6">
      <w:pPr>
        <w:widowControl w:val="0"/>
        <w:autoSpaceDE w:val="0"/>
        <w:autoSpaceDN w:val="0"/>
        <w:adjustRightInd w:val="0"/>
        <w:rPr>
          <w:rFonts w:ascii="Times New Roman" w:hAnsi="Times New Roman" w:cs="Times New Roman"/>
          <w:lang w:val="en-US"/>
        </w:rPr>
      </w:pPr>
    </w:p>
    <w:p w14:paraId="631C055A" w14:textId="56526E4D" w:rsidR="009235E6" w:rsidRDefault="009235E6"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Donnelly, M. (2016). Best Interests in the Mental Capacity Act: Time to Say Goodbye? </w:t>
      </w:r>
      <w:r>
        <w:rPr>
          <w:rFonts w:ascii="Times New Roman" w:hAnsi="Times New Roman" w:cs="Times New Roman"/>
          <w:i/>
          <w:lang w:val="en-US"/>
        </w:rPr>
        <w:t>Medical Law Review, 24,</w:t>
      </w:r>
      <w:r>
        <w:rPr>
          <w:rFonts w:ascii="Times New Roman" w:hAnsi="Times New Roman" w:cs="Times New Roman"/>
          <w:lang w:val="en-US"/>
        </w:rPr>
        <w:t xml:space="preserve"> 318-332.</w:t>
      </w:r>
    </w:p>
    <w:p w14:paraId="5EFA78A5" w14:textId="77777777" w:rsidR="00A061DF" w:rsidRDefault="00A061DF" w:rsidP="009235E6">
      <w:pPr>
        <w:widowControl w:val="0"/>
        <w:autoSpaceDE w:val="0"/>
        <w:autoSpaceDN w:val="0"/>
        <w:adjustRightInd w:val="0"/>
        <w:rPr>
          <w:rFonts w:ascii="Times New Roman" w:hAnsi="Times New Roman" w:cs="Times New Roman"/>
          <w:lang w:val="en-US"/>
        </w:rPr>
      </w:pPr>
    </w:p>
    <w:p w14:paraId="49F32B08" w14:textId="16FE347B" w:rsidR="00A061DF" w:rsidRDefault="00A061DF"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Downs, M. (1997). The Emergence of the Person in Dementia Research. </w:t>
      </w:r>
      <w:r>
        <w:rPr>
          <w:rFonts w:ascii="Times New Roman" w:hAnsi="Times New Roman" w:cs="Times New Roman"/>
          <w:i/>
          <w:lang w:val="en-US"/>
        </w:rPr>
        <w:t xml:space="preserve">Ageing and Society, 17, </w:t>
      </w:r>
      <w:r>
        <w:rPr>
          <w:rFonts w:ascii="Times New Roman" w:hAnsi="Times New Roman" w:cs="Times New Roman"/>
          <w:lang w:val="en-US"/>
        </w:rPr>
        <w:t>597-607.</w:t>
      </w:r>
    </w:p>
    <w:p w14:paraId="60FA3489" w14:textId="77777777" w:rsidR="00D36AE4" w:rsidRDefault="00D36AE4" w:rsidP="009235E6">
      <w:pPr>
        <w:widowControl w:val="0"/>
        <w:autoSpaceDE w:val="0"/>
        <w:autoSpaceDN w:val="0"/>
        <w:adjustRightInd w:val="0"/>
        <w:rPr>
          <w:rFonts w:ascii="Times New Roman" w:hAnsi="Times New Roman" w:cs="Times New Roman"/>
          <w:lang w:val="en-US"/>
        </w:rPr>
      </w:pPr>
    </w:p>
    <w:p w14:paraId="6FA86BEC" w14:textId="1A60440E" w:rsidR="00D36AE4" w:rsidRPr="00D36AE4" w:rsidRDefault="00D36AE4" w:rsidP="00D36AE4">
      <w:pPr>
        <w:widowControl w:val="0"/>
        <w:autoSpaceDE w:val="0"/>
        <w:autoSpaceDN w:val="0"/>
        <w:adjustRightInd w:val="0"/>
        <w:rPr>
          <w:rFonts w:ascii="Times New Roman" w:hAnsi="Times New Roman" w:cs="Times New Roman"/>
          <w:i/>
          <w:lang w:val="en-US"/>
        </w:rPr>
      </w:pPr>
      <w:r w:rsidRPr="00D36AE4">
        <w:rPr>
          <w:rFonts w:ascii="Times New Roman" w:hAnsi="Times New Roman" w:cs="Times New Roman"/>
          <w:lang w:val="en-US"/>
        </w:rPr>
        <w:t>Dresser,</w:t>
      </w:r>
      <w:r>
        <w:rPr>
          <w:rFonts w:ascii="Times New Roman" w:hAnsi="Times New Roman" w:cs="Times New Roman"/>
          <w:lang w:val="en-US"/>
        </w:rPr>
        <w:t xml:space="preserve"> R. (1994). </w:t>
      </w:r>
      <w:r w:rsidRPr="00D36AE4">
        <w:rPr>
          <w:rFonts w:ascii="Times New Roman" w:hAnsi="Times New Roman" w:cs="Times New Roman"/>
          <w:lang w:val="en-US"/>
        </w:rPr>
        <w:t>Missing Persons: Legal Perc</w:t>
      </w:r>
      <w:r>
        <w:rPr>
          <w:rFonts w:ascii="Times New Roman" w:hAnsi="Times New Roman" w:cs="Times New Roman"/>
          <w:lang w:val="en-US"/>
        </w:rPr>
        <w:t>eptions of Incompetent Patients.</w:t>
      </w:r>
      <w:r w:rsidRPr="00D36AE4">
        <w:rPr>
          <w:rFonts w:ascii="Times New Roman" w:hAnsi="Times New Roman" w:cs="Times New Roman"/>
          <w:lang w:val="en-US"/>
        </w:rPr>
        <w:t xml:space="preserve"> </w:t>
      </w:r>
      <w:r w:rsidRPr="00D36AE4">
        <w:rPr>
          <w:rFonts w:ascii="Times New Roman" w:hAnsi="Times New Roman" w:cs="Times New Roman"/>
          <w:i/>
          <w:lang w:val="en-US"/>
        </w:rPr>
        <w:t>Rutgers</w:t>
      </w:r>
    </w:p>
    <w:p w14:paraId="7DBB79B5" w14:textId="77777777" w:rsidR="00D36AE4" w:rsidRDefault="00D36AE4" w:rsidP="00D36AE4">
      <w:pPr>
        <w:widowControl w:val="0"/>
        <w:autoSpaceDE w:val="0"/>
        <w:autoSpaceDN w:val="0"/>
        <w:adjustRightInd w:val="0"/>
        <w:rPr>
          <w:rFonts w:ascii="Times New Roman" w:hAnsi="Times New Roman" w:cs="Times New Roman"/>
          <w:lang w:val="en-US"/>
        </w:rPr>
      </w:pPr>
      <w:r w:rsidRPr="00D36AE4">
        <w:rPr>
          <w:rFonts w:ascii="Times New Roman" w:hAnsi="Times New Roman" w:cs="Times New Roman"/>
          <w:i/>
          <w:lang w:val="en-US"/>
        </w:rPr>
        <w:t>Law Review</w:t>
      </w:r>
      <w:r>
        <w:rPr>
          <w:rFonts w:ascii="Times New Roman" w:hAnsi="Times New Roman" w:cs="Times New Roman"/>
          <w:i/>
          <w:lang w:val="en-US"/>
        </w:rPr>
        <w:t>, 46,</w:t>
      </w:r>
      <w:r>
        <w:rPr>
          <w:rFonts w:ascii="Times New Roman" w:hAnsi="Times New Roman" w:cs="Times New Roman"/>
          <w:lang w:val="en-US"/>
        </w:rPr>
        <w:t xml:space="preserve"> 609-719.</w:t>
      </w:r>
    </w:p>
    <w:p w14:paraId="532840B8" w14:textId="77777777" w:rsidR="00D36AE4" w:rsidRDefault="00D36AE4" w:rsidP="00D36AE4">
      <w:pPr>
        <w:widowControl w:val="0"/>
        <w:autoSpaceDE w:val="0"/>
        <w:autoSpaceDN w:val="0"/>
        <w:adjustRightInd w:val="0"/>
        <w:rPr>
          <w:rFonts w:ascii="Times New Roman" w:hAnsi="Times New Roman" w:cs="Times New Roman"/>
          <w:lang w:val="en-US"/>
        </w:rPr>
      </w:pPr>
    </w:p>
    <w:p w14:paraId="79BE6586" w14:textId="23330953" w:rsidR="00D36AE4" w:rsidRDefault="00D36AE4" w:rsidP="00D36AE4">
      <w:pPr>
        <w:widowControl w:val="0"/>
        <w:autoSpaceDE w:val="0"/>
        <w:autoSpaceDN w:val="0"/>
        <w:adjustRightInd w:val="0"/>
        <w:rPr>
          <w:rFonts w:ascii="Times New Roman" w:hAnsi="Times New Roman" w:cs="Times New Roman"/>
          <w:lang w:val="en-US"/>
        </w:rPr>
      </w:pPr>
      <w:r w:rsidRPr="00D36AE4">
        <w:rPr>
          <w:rFonts w:ascii="Times New Roman" w:hAnsi="Times New Roman" w:cs="Times New Roman"/>
          <w:lang w:val="en-US"/>
        </w:rPr>
        <w:t>Dresser</w:t>
      </w:r>
      <w:r>
        <w:rPr>
          <w:rFonts w:ascii="Times New Roman" w:hAnsi="Times New Roman" w:cs="Times New Roman"/>
          <w:lang w:val="en-US"/>
        </w:rPr>
        <w:t xml:space="preserve">, R. (1995). </w:t>
      </w:r>
      <w:r w:rsidRPr="00D36AE4">
        <w:rPr>
          <w:rFonts w:ascii="Times New Roman" w:hAnsi="Times New Roman" w:cs="Times New Roman"/>
          <w:lang w:val="en-US"/>
        </w:rPr>
        <w:t>Dworkin on Dementia: Eleg</w:t>
      </w:r>
      <w:r>
        <w:rPr>
          <w:rFonts w:ascii="Times New Roman" w:hAnsi="Times New Roman" w:cs="Times New Roman"/>
          <w:lang w:val="en-US"/>
        </w:rPr>
        <w:t xml:space="preserve">ant Theory, Questionable Policy. </w:t>
      </w:r>
      <w:r w:rsidRPr="00D36AE4">
        <w:rPr>
          <w:rFonts w:ascii="Times New Roman" w:hAnsi="Times New Roman" w:cs="Times New Roman"/>
          <w:i/>
          <w:lang w:val="en-US"/>
        </w:rPr>
        <w:t>Hastings Center Report</w:t>
      </w:r>
      <w:r>
        <w:rPr>
          <w:rFonts w:ascii="Times New Roman" w:hAnsi="Times New Roman" w:cs="Times New Roman"/>
          <w:lang w:val="en-US"/>
        </w:rPr>
        <w:t xml:space="preserve">, 25, </w:t>
      </w:r>
      <w:r w:rsidRPr="00D36AE4">
        <w:rPr>
          <w:rFonts w:ascii="Times New Roman" w:hAnsi="Times New Roman" w:cs="Times New Roman"/>
          <w:lang w:val="en-US"/>
        </w:rPr>
        <w:t>32-38.</w:t>
      </w:r>
    </w:p>
    <w:p w14:paraId="06078383" w14:textId="77777777" w:rsidR="00D36AE4" w:rsidRDefault="00D36AE4" w:rsidP="009235E6">
      <w:pPr>
        <w:widowControl w:val="0"/>
        <w:autoSpaceDE w:val="0"/>
        <w:autoSpaceDN w:val="0"/>
        <w:adjustRightInd w:val="0"/>
        <w:rPr>
          <w:rFonts w:ascii="Times New Roman" w:hAnsi="Times New Roman" w:cs="Times New Roman"/>
          <w:lang w:val="en-US"/>
        </w:rPr>
      </w:pPr>
    </w:p>
    <w:p w14:paraId="1EF9F597" w14:textId="764F5DCC" w:rsidR="00D36AE4" w:rsidRPr="00D36AE4" w:rsidRDefault="00D36AE4"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Dworkin, R. (1986). </w:t>
      </w:r>
      <w:r w:rsidRPr="00D36AE4">
        <w:rPr>
          <w:rFonts w:ascii="Times New Roman" w:hAnsi="Times New Roman" w:cs="Times New Roman"/>
          <w:lang w:val="en-US"/>
        </w:rPr>
        <w:t>Autonomy and the Demented Self</w:t>
      </w:r>
      <w:r>
        <w:rPr>
          <w:rFonts w:ascii="Times New Roman" w:hAnsi="Times New Roman" w:cs="Times New Roman"/>
          <w:lang w:val="en-US"/>
        </w:rPr>
        <w:t xml:space="preserve">. </w:t>
      </w:r>
      <w:r>
        <w:rPr>
          <w:rFonts w:ascii="Times New Roman" w:hAnsi="Times New Roman" w:cs="Times New Roman"/>
          <w:i/>
          <w:lang w:val="en-US"/>
        </w:rPr>
        <w:t xml:space="preserve">The Millbank Quarterly, 64, </w:t>
      </w:r>
      <w:r>
        <w:rPr>
          <w:rFonts w:ascii="Times New Roman" w:hAnsi="Times New Roman" w:cs="Times New Roman"/>
          <w:lang w:val="en-US"/>
        </w:rPr>
        <w:t>4-16.</w:t>
      </w:r>
    </w:p>
    <w:p w14:paraId="559CCFC1" w14:textId="77777777" w:rsidR="00D36AE4" w:rsidRDefault="00D36AE4" w:rsidP="009235E6">
      <w:pPr>
        <w:widowControl w:val="0"/>
        <w:autoSpaceDE w:val="0"/>
        <w:autoSpaceDN w:val="0"/>
        <w:adjustRightInd w:val="0"/>
        <w:rPr>
          <w:rFonts w:ascii="Times New Roman" w:hAnsi="Times New Roman" w:cs="Times New Roman"/>
          <w:lang w:val="en-US"/>
        </w:rPr>
      </w:pPr>
    </w:p>
    <w:p w14:paraId="694CF162" w14:textId="00A82686" w:rsidR="00D36AE4" w:rsidRDefault="00D36AE4" w:rsidP="009235E6">
      <w:pPr>
        <w:widowControl w:val="0"/>
        <w:autoSpaceDE w:val="0"/>
        <w:autoSpaceDN w:val="0"/>
        <w:adjustRightInd w:val="0"/>
        <w:rPr>
          <w:rFonts w:ascii="Times New Roman" w:hAnsi="Times New Roman" w:cs="Times New Roman"/>
          <w:lang w:val="en-US"/>
        </w:rPr>
      </w:pPr>
      <w:r w:rsidRPr="00D36AE4">
        <w:rPr>
          <w:rFonts w:ascii="Times New Roman" w:hAnsi="Times New Roman" w:cs="Times New Roman"/>
          <w:lang w:val="en-US"/>
        </w:rPr>
        <w:t>Dworkin,</w:t>
      </w:r>
      <w:r>
        <w:rPr>
          <w:rFonts w:ascii="Times New Roman" w:hAnsi="Times New Roman" w:cs="Times New Roman"/>
          <w:lang w:val="en-US"/>
        </w:rPr>
        <w:t xml:space="preserve"> R. (1993).</w:t>
      </w:r>
      <w:r w:rsidRPr="00D36AE4">
        <w:rPr>
          <w:rFonts w:ascii="Times New Roman" w:hAnsi="Times New Roman" w:cs="Times New Roman"/>
          <w:lang w:val="en-US"/>
        </w:rPr>
        <w:t xml:space="preserve"> </w:t>
      </w:r>
      <w:r w:rsidRPr="00D36AE4">
        <w:rPr>
          <w:rFonts w:ascii="Times New Roman" w:hAnsi="Times New Roman" w:cs="Times New Roman"/>
          <w:i/>
          <w:lang w:val="en-US"/>
        </w:rPr>
        <w:t>Life’s Dominion</w:t>
      </w:r>
      <w:r>
        <w:rPr>
          <w:rFonts w:ascii="Times New Roman" w:hAnsi="Times New Roman" w:cs="Times New Roman"/>
          <w:lang w:val="en-US"/>
        </w:rPr>
        <w:t>.  London: HarperCollins.</w:t>
      </w:r>
    </w:p>
    <w:p w14:paraId="114391ED" w14:textId="77777777" w:rsidR="00D40345" w:rsidRDefault="00D40345" w:rsidP="009235E6">
      <w:pPr>
        <w:widowControl w:val="0"/>
        <w:autoSpaceDE w:val="0"/>
        <w:autoSpaceDN w:val="0"/>
        <w:adjustRightInd w:val="0"/>
        <w:rPr>
          <w:rFonts w:ascii="Times New Roman" w:hAnsi="Times New Roman" w:cs="Times New Roman"/>
          <w:lang w:val="en-US"/>
        </w:rPr>
      </w:pPr>
    </w:p>
    <w:p w14:paraId="6841F475" w14:textId="417015B8" w:rsidR="00D40345" w:rsidRPr="00D40345" w:rsidRDefault="00D40345" w:rsidP="00D4034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Emmett, C., Poole, M., Bond, J., &amp; Hughes, J. (2013). Homeward Bound or Bound for a Home? Assessing the Capacity of Dementia Patients to Make Decisions about Hospital Discharge: Comparing Practice with Legal Standards. </w:t>
      </w:r>
      <w:r>
        <w:rPr>
          <w:rFonts w:ascii="Times New Roman" w:hAnsi="Times New Roman" w:cs="Times New Roman"/>
          <w:i/>
          <w:lang w:val="en-US"/>
        </w:rPr>
        <w:t xml:space="preserve">International Journal of Law and Psychiatry, 36, </w:t>
      </w:r>
      <w:r>
        <w:rPr>
          <w:rFonts w:ascii="Times New Roman" w:hAnsi="Times New Roman" w:cs="Times New Roman"/>
          <w:lang w:val="en-US"/>
        </w:rPr>
        <w:t>73-82.</w:t>
      </w:r>
    </w:p>
    <w:p w14:paraId="031F795C" w14:textId="77777777" w:rsidR="009235E6" w:rsidRDefault="009235E6" w:rsidP="009235E6">
      <w:pPr>
        <w:widowControl w:val="0"/>
        <w:autoSpaceDE w:val="0"/>
        <w:autoSpaceDN w:val="0"/>
        <w:adjustRightInd w:val="0"/>
        <w:rPr>
          <w:rFonts w:ascii="Times New Roman" w:hAnsi="Times New Roman" w:cs="Times New Roman"/>
          <w:lang w:val="en-US"/>
        </w:rPr>
      </w:pPr>
    </w:p>
    <w:p w14:paraId="697F79FD" w14:textId="7A9169B7" w:rsidR="009235E6" w:rsidRPr="009235E6" w:rsidRDefault="009235E6" w:rsidP="009235E6">
      <w:pPr>
        <w:widowControl w:val="0"/>
        <w:autoSpaceDE w:val="0"/>
        <w:autoSpaceDN w:val="0"/>
        <w:adjustRightInd w:val="0"/>
        <w:rPr>
          <w:rFonts w:ascii="Times New Roman" w:hAnsi="Times New Roman" w:cs="Times New Roman"/>
          <w:i/>
          <w:lang w:val="en-US"/>
        </w:rPr>
      </w:pPr>
      <w:r>
        <w:rPr>
          <w:rFonts w:ascii="Times New Roman" w:hAnsi="Times New Roman" w:cs="Times New Roman"/>
          <w:lang w:val="en-US"/>
        </w:rPr>
        <w:t xml:space="preserve">Essex Autonomy Project. (2016). </w:t>
      </w:r>
      <w:r>
        <w:rPr>
          <w:rFonts w:ascii="Times New Roman" w:hAnsi="Times New Roman" w:cs="Times New Roman"/>
          <w:i/>
          <w:lang w:val="en-US"/>
        </w:rPr>
        <w:t>Three Jurisdictions Report:</w:t>
      </w:r>
      <w:r>
        <w:rPr>
          <w:rFonts w:ascii="Times New Roman" w:hAnsi="Times New Roman" w:cs="Times New Roman"/>
          <w:lang w:val="en-US"/>
        </w:rPr>
        <w:t xml:space="preserve"> </w:t>
      </w:r>
      <w:r w:rsidRPr="009235E6">
        <w:rPr>
          <w:rFonts w:ascii="Times New Roman" w:hAnsi="Times New Roman" w:cs="Times New Roman"/>
          <w:i/>
          <w:lang w:val="en-US"/>
        </w:rPr>
        <w:t>Towards Compliance with CRPD Art. 12 in Capacity/Incapacity Legislation across the UK.</w:t>
      </w:r>
      <w:r>
        <w:rPr>
          <w:rFonts w:ascii="Times New Roman" w:hAnsi="Times New Roman" w:cs="Times New Roman"/>
          <w:lang w:val="en-US"/>
        </w:rPr>
        <w:t xml:space="preserve"> Essex: University of Essex.</w:t>
      </w:r>
    </w:p>
    <w:p w14:paraId="38FCDAE0" w14:textId="77777777" w:rsidR="00F67B70" w:rsidRDefault="00F67B70" w:rsidP="00F302DA">
      <w:pPr>
        <w:widowControl w:val="0"/>
        <w:autoSpaceDE w:val="0"/>
        <w:autoSpaceDN w:val="0"/>
        <w:adjustRightInd w:val="0"/>
        <w:rPr>
          <w:rFonts w:ascii="Times New Roman" w:hAnsi="Times New Roman" w:cs="Times New Roman"/>
          <w:lang w:val="en-US"/>
        </w:rPr>
      </w:pPr>
    </w:p>
    <w:p w14:paraId="6F2C76FA" w14:textId="7E6B5EF7" w:rsidR="009235E6" w:rsidRPr="009235E6" w:rsidRDefault="009235E6" w:rsidP="009235E6">
      <w:pPr>
        <w:widowControl w:val="0"/>
        <w:autoSpaceDE w:val="0"/>
        <w:autoSpaceDN w:val="0"/>
        <w:adjustRightInd w:val="0"/>
        <w:rPr>
          <w:rFonts w:ascii="Times New Roman" w:hAnsi="Times New Roman" w:cs="Times New Roman"/>
          <w:b/>
          <w:bCs/>
          <w:lang w:val="en-US"/>
        </w:rPr>
      </w:pPr>
      <w:r>
        <w:rPr>
          <w:rFonts w:ascii="Times New Roman" w:hAnsi="Times New Roman" w:cs="Times New Roman"/>
          <w:lang w:val="en-US"/>
        </w:rPr>
        <w:t>Flynn, E., &amp; Arstein-Kerslake, A. (2014)</w:t>
      </w:r>
      <w:r w:rsidRPr="009235E6">
        <w:rPr>
          <w:rFonts w:ascii="Times New Roman" w:hAnsi="Times New Roman" w:cs="Times New Roman"/>
          <w:lang w:val="en-US"/>
        </w:rPr>
        <w:t xml:space="preserve">. </w:t>
      </w:r>
      <w:r w:rsidRPr="009235E6">
        <w:rPr>
          <w:rFonts w:ascii="Times New Roman" w:hAnsi="Times New Roman" w:cs="Times New Roman"/>
          <w:bCs/>
          <w:lang w:val="en-US"/>
        </w:rPr>
        <w:t>Legislating Personhood: Realising the Right to Support in Exercising Legal Capacity.</w:t>
      </w:r>
      <w:r>
        <w:rPr>
          <w:rFonts w:ascii="Times New Roman" w:hAnsi="Times New Roman" w:cs="Times New Roman"/>
          <w:bCs/>
          <w:lang w:val="en-US"/>
        </w:rPr>
        <w:t xml:space="preserve"> </w:t>
      </w:r>
      <w:r>
        <w:rPr>
          <w:rFonts w:ascii="Times New Roman" w:hAnsi="Times New Roman" w:cs="Times New Roman"/>
          <w:bCs/>
          <w:i/>
          <w:lang w:val="en-US"/>
        </w:rPr>
        <w:t xml:space="preserve">International Journal of Law in Context, 10, </w:t>
      </w:r>
      <w:r>
        <w:rPr>
          <w:rFonts w:ascii="Times New Roman" w:hAnsi="Times New Roman" w:cs="Times New Roman"/>
          <w:bCs/>
          <w:lang w:val="en-US"/>
        </w:rPr>
        <w:t>81-104.</w:t>
      </w:r>
    </w:p>
    <w:p w14:paraId="404A8BA8" w14:textId="77777777" w:rsidR="009235E6" w:rsidRDefault="009235E6" w:rsidP="00F302DA">
      <w:pPr>
        <w:widowControl w:val="0"/>
        <w:autoSpaceDE w:val="0"/>
        <w:autoSpaceDN w:val="0"/>
        <w:adjustRightInd w:val="0"/>
        <w:rPr>
          <w:rFonts w:ascii="Times New Roman" w:hAnsi="Times New Roman" w:cs="Times New Roman"/>
          <w:lang w:val="en-US"/>
        </w:rPr>
      </w:pPr>
    </w:p>
    <w:p w14:paraId="2C885CB9" w14:textId="79D05CF3" w:rsidR="006821CC" w:rsidRPr="006821CC" w:rsidRDefault="006821CC" w:rsidP="006821C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Flynn, E., &amp; Arstein-Kerslake, A. (2017). State Intervention in the Lives of People with Disabilities: The C</w:t>
      </w:r>
      <w:r w:rsidRPr="006821CC">
        <w:rPr>
          <w:rFonts w:ascii="Times New Roman" w:hAnsi="Times New Roman" w:cs="Times New Roman"/>
          <w:lang w:val="en-US"/>
        </w:rPr>
        <w:t>ase for a</w:t>
      </w:r>
      <w:r>
        <w:rPr>
          <w:rFonts w:ascii="Times New Roman" w:hAnsi="Times New Roman" w:cs="Times New Roman"/>
          <w:lang w:val="en-US"/>
        </w:rPr>
        <w:t xml:space="preserve"> Disability-Neutral F</w:t>
      </w:r>
      <w:r w:rsidRPr="006821CC">
        <w:rPr>
          <w:rFonts w:ascii="Times New Roman" w:hAnsi="Times New Roman" w:cs="Times New Roman"/>
          <w:lang w:val="en-US"/>
        </w:rPr>
        <w:t>ramework</w:t>
      </w:r>
      <w:r>
        <w:rPr>
          <w:rFonts w:ascii="Times New Roman" w:hAnsi="Times New Roman" w:cs="Times New Roman"/>
          <w:lang w:val="en-US"/>
        </w:rPr>
        <w:t xml:space="preserve">. </w:t>
      </w:r>
      <w:r>
        <w:rPr>
          <w:rFonts w:ascii="Times New Roman" w:hAnsi="Times New Roman" w:cs="Times New Roman"/>
          <w:i/>
          <w:lang w:val="en-US"/>
        </w:rPr>
        <w:t xml:space="preserve">International Journal of Law in Context, 13, </w:t>
      </w:r>
      <w:r>
        <w:rPr>
          <w:rFonts w:ascii="Times New Roman" w:hAnsi="Times New Roman" w:cs="Times New Roman"/>
          <w:lang w:val="en-US"/>
        </w:rPr>
        <w:t>39-</w:t>
      </w:r>
      <w:r w:rsidR="00C3304F">
        <w:rPr>
          <w:rFonts w:ascii="Times New Roman" w:hAnsi="Times New Roman" w:cs="Times New Roman"/>
          <w:lang w:val="en-US"/>
        </w:rPr>
        <w:t xml:space="preserve">57. </w:t>
      </w:r>
    </w:p>
    <w:p w14:paraId="44DF6970" w14:textId="77777777" w:rsidR="006821CC" w:rsidRDefault="006821CC" w:rsidP="009235E6">
      <w:pPr>
        <w:widowControl w:val="0"/>
        <w:autoSpaceDE w:val="0"/>
        <w:autoSpaceDN w:val="0"/>
        <w:adjustRightInd w:val="0"/>
        <w:rPr>
          <w:rFonts w:ascii="Times New Roman" w:hAnsi="Times New Roman" w:cs="Times New Roman"/>
          <w:lang w:val="en-US"/>
        </w:rPr>
      </w:pPr>
    </w:p>
    <w:p w14:paraId="35779161" w14:textId="0659FA2E" w:rsidR="00164700" w:rsidRPr="00164700" w:rsidRDefault="00164700"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Gilliard, J., Means, R., Beattie, A., &amp; Daker-White, G. (2005). Dementia Care in England and the Social model of Disability. </w:t>
      </w:r>
      <w:r>
        <w:rPr>
          <w:rFonts w:ascii="Times New Roman" w:hAnsi="Times New Roman" w:cs="Times New Roman"/>
          <w:i/>
          <w:lang w:val="en-US"/>
        </w:rPr>
        <w:t xml:space="preserve">Dementia, 4, </w:t>
      </w:r>
      <w:r>
        <w:rPr>
          <w:rFonts w:ascii="Times New Roman" w:hAnsi="Times New Roman" w:cs="Times New Roman"/>
          <w:lang w:val="en-US"/>
        </w:rPr>
        <w:t>571-586.</w:t>
      </w:r>
    </w:p>
    <w:p w14:paraId="73C26B06" w14:textId="77777777" w:rsidR="00164700" w:rsidRDefault="00164700" w:rsidP="009235E6">
      <w:pPr>
        <w:widowControl w:val="0"/>
        <w:autoSpaceDE w:val="0"/>
        <w:autoSpaceDN w:val="0"/>
        <w:adjustRightInd w:val="0"/>
        <w:rPr>
          <w:rFonts w:ascii="Times New Roman" w:hAnsi="Times New Roman" w:cs="Times New Roman"/>
          <w:lang w:val="en-US"/>
        </w:rPr>
      </w:pPr>
    </w:p>
    <w:p w14:paraId="3220A1CC" w14:textId="49CFCC4B" w:rsidR="001343A6" w:rsidRPr="00393017" w:rsidRDefault="009235E6" w:rsidP="00393017">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Gooding, P. (2013). </w:t>
      </w:r>
      <w:r w:rsidRPr="009235E6">
        <w:rPr>
          <w:rFonts w:ascii="Times New Roman" w:hAnsi="Times New Roman" w:cs="Times New Roman"/>
          <w:lang w:val="en-US"/>
        </w:rPr>
        <w:t>Supported Decisio</w:t>
      </w:r>
      <w:r>
        <w:rPr>
          <w:rFonts w:ascii="Times New Roman" w:hAnsi="Times New Roman" w:cs="Times New Roman"/>
          <w:lang w:val="en-US"/>
        </w:rPr>
        <w:t xml:space="preserve">n-Making: A Rights-Based </w:t>
      </w:r>
      <w:r w:rsidRPr="009235E6">
        <w:rPr>
          <w:rFonts w:ascii="Times New Roman" w:hAnsi="Times New Roman" w:cs="Times New Roman"/>
          <w:lang w:val="en-US"/>
        </w:rPr>
        <w:t>Disability Concept and its Implications for Mental</w:t>
      </w:r>
      <w:r>
        <w:rPr>
          <w:rFonts w:ascii="Times New Roman" w:hAnsi="Times New Roman" w:cs="Times New Roman"/>
          <w:lang w:val="en-US"/>
        </w:rPr>
        <w:t xml:space="preserve"> </w:t>
      </w:r>
      <w:r w:rsidRPr="009235E6">
        <w:rPr>
          <w:rFonts w:ascii="Times New Roman" w:hAnsi="Times New Roman" w:cs="Times New Roman"/>
          <w:lang w:val="en-US"/>
        </w:rPr>
        <w:t>Health Law</w:t>
      </w:r>
      <w:r>
        <w:rPr>
          <w:rFonts w:ascii="Times New Roman" w:hAnsi="Times New Roman" w:cs="Times New Roman"/>
          <w:lang w:val="en-US"/>
        </w:rPr>
        <w:t xml:space="preserve">. </w:t>
      </w:r>
      <w:r>
        <w:rPr>
          <w:rFonts w:ascii="Times New Roman" w:hAnsi="Times New Roman" w:cs="Times New Roman"/>
          <w:i/>
          <w:lang w:val="en-US"/>
        </w:rPr>
        <w:t xml:space="preserve">Psychiatry, Psychology and Law, 20, </w:t>
      </w:r>
      <w:r>
        <w:rPr>
          <w:rFonts w:ascii="Times New Roman" w:hAnsi="Times New Roman" w:cs="Times New Roman"/>
          <w:lang w:val="en-US"/>
        </w:rPr>
        <w:t>431-451.</w:t>
      </w:r>
    </w:p>
    <w:p w14:paraId="7AFE9ED8" w14:textId="77777777" w:rsidR="001343A6" w:rsidRDefault="001343A6" w:rsidP="009235E6">
      <w:pPr>
        <w:widowControl w:val="0"/>
        <w:tabs>
          <w:tab w:val="center" w:pos="4510"/>
        </w:tabs>
        <w:autoSpaceDE w:val="0"/>
        <w:autoSpaceDN w:val="0"/>
        <w:adjustRightInd w:val="0"/>
        <w:rPr>
          <w:rFonts w:ascii="Times New Roman" w:hAnsi="Times New Roman" w:cs="Times New Roman"/>
        </w:rPr>
      </w:pPr>
    </w:p>
    <w:p w14:paraId="6EDCDC94" w14:textId="28A6F239" w:rsidR="009235E6" w:rsidRPr="009235E6" w:rsidRDefault="009235E6" w:rsidP="009235E6">
      <w:pPr>
        <w:widowControl w:val="0"/>
        <w:tabs>
          <w:tab w:val="center" w:pos="4510"/>
        </w:tabs>
        <w:autoSpaceDE w:val="0"/>
        <w:autoSpaceDN w:val="0"/>
        <w:adjustRightInd w:val="0"/>
        <w:rPr>
          <w:rFonts w:ascii="Times New Roman" w:hAnsi="Times New Roman" w:cs="Times New Roman"/>
        </w:rPr>
      </w:pPr>
      <w:r w:rsidRPr="00685CFE">
        <w:rPr>
          <w:rFonts w:ascii="Times New Roman" w:hAnsi="Times New Roman" w:cs="Times New Roman"/>
        </w:rPr>
        <w:t>Harding</w:t>
      </w:r>
      <w:r>
        <w:rPr>
          <w:rFonts w:ascii="Times New Roman" w:hAnsi="Times New Roman" w:cs="Times New Roman"/>
        </w:rPr>
        <w:t>, R.</w:t>
      </w:r>
      <w:r w:rsidR="000727CB">
        <w:rPr>
          <w:rFonts w:ascii="Times New Roman" w:hAnsi="Times New Roman" w:cs="Times New Roman"/>
        </w:rPr>
        <w:t>,</w:t>
      </w:r>
      <w:r>
        <w:rPr>
          <w:rFonts w:ascii="Times New Roman" w:hAnsi="Times New Roman" w:cs="Times New Roman"/>
        </w:rPr>
        <w:t xml:space="preserve"> &amp;</w:t>
      </w:r>
      <w:r w:rsidRPr="00685CFE">
        <w:rPr>
          <w:rFonts w:ascii="Times New Roman" w:hAnsi="Times New Roman" w:cs="Times New Roman"/>
        </w:rPr>
        <w:t xml:space="preserve"> </w:t>
      </w:r>
      <w:r w:rsidR="00206979" w:rsidRPr="00206979">
        <w:rPr>
          <w:rFonts w:ascii="Times New Roman" w:hAnsi="Times New Roman" w:cs="Times New Roman"/>
          <w:lang w:val="en-US"/>
        </w:rPr>
        <w:t>Taşcıoğlu</w:t>
      </w:r>
      <w:r>
        <w:rPr>
          <w:rFonts w:ascii="Times New Roman" w:hAnsi="Times New Roman" w:cs="Times New Roman"/>
        </w:rPr>
        <w:t xml:space="preserve">, E. (2018). </w:t>
      </w:r>
      <w:r>
        <w:rPr>
          <w:rFonts w:ascii="Times New Roman" w:hAnsi="Times New Roman" w:cs="Times New Roman"/>
        </w:rPr>
        <w:tab/>
      </w:r>
      <w:r w:rsidRPr="009235E6">
        <w:rPr>
          <w:rFonts w:ascii="Times New Roman" w:hAnsi="Times New Roman" w:cs="Times New Roman"/>
        </w:rPr>
        <w:t>Supported Decision-Making from Theory to Practice:</w:t>
      </w:r>
    </w:p>
    <w:p w14:paraId="6D2087D1" w14:textId="61E53BAF" w:rsidR="009235E6" w:rsidRDefault="009235E6" w:rsidP="009235E6">
      <w:pPr>
        <w:widowControl w:val="0"/>
        <w:tabs>
          <w:tab w:val="center" w:pos="4510"/>
        </w:tabs>
        <w:autoSpaceDE w:val="0"/>
        <w:autoSpaceDN w:val="0"/>
        <w:adjustRightInd w:val="0"/>
        <w:rPr>
          <w:rFonts w:ascii="Times New Roman" w:hAnsi="Times New Roman" w:cs="Times New Roman"/>
        </w:rPr>
      </w:pPr>
      <w:r w:rsidRPr="009235E6">
        <w:rPr>
          <w:rFonts w:ascii="Times New Roman" w:hAnsi="Times New Roman" w:cs="Times New Roman"/>
        </w:rPr>
        <w:t>Implementing the Right to Enjoy Legal Capacity</w:t>
      </w:r>
      <w:r>
        <w:rPr>
          <w:rFonts w:ascii="Times New Roman" w:hAnsi="Times New Roman" w:cs="Times New Roman"/>
        </w:rPr>
        <w:t xml:space="preserve">. </w:t>
      </w:r>
      <w:r>
        <w:rPr>
          <w:rFonts w:ascii="Times New Roman" w:hAnsi="Times New Roman" w:cs="Times New Roman"/>
          <w:i/>
        </w:rPr>
        <w:t xml:space="preserve">Societies, 8, </w:t>
      </w:r>
      <w:r>
        <w:rPr>
          <w:rFonts w:ascii="Times New Roman" w:hAnsi="Times New Roman" w:cs="Times New Roman"/>
        </w:rPr>
        <w:t>1-17.</w:t>
      </w:r>
    </w:p>
    <w:p w14:paraId="4211EA47" w14:textId="77777777" w:rsidR="001343A6" w:rsidRDefault="001343A6" w:rsidP="009235E6">
      <w:pPr>
        <w:widowControl w:val="0"/>
        <w:tabs>
          <w:tab w:val="center" w:pos="4510"/>
        </w:tabs>
        <w:autoSpaceDE w:val="0"/>
        <w:autoSpaceDN w:val="0"/>
        <w:adjustRightInd w:val="0"/>
        <w:rPr>
          <w:rFonts w:ascii="Times New Roman" w:hAnsi="Times New Roman" w:cs="Times New Roman"/>
        </w:rPr>
      </w:pPr>
    </w:p>
    <w:p w14:paraId="44556FAA" w14:textId="3BDCF75B" w:rsidR="001343A6" w:rsidRDefault="001343A6" w:rsidP="001343A6">
      <w:pPr>
        <w:widowControl w:val="0"/>
        <w:tabs>
          <w:tab w:val="center" w:pos="4510"/>
        </w:tabs>
        <w:autoSpaceDE w:val="0"/>
        <w:autoSpaceDN w:val="0"/>
        <w:adjustRightInd w:val="0"/>
        <w:rPr>
          <w:rFonts w:ascii="Times New Roman" w:hAnsi="Times New Roman" w:cs="Times New Roman"/>
          <w:lang w:val="en-US"/>
        </w:rPr>
      </w:pPr>
      <w:r>
        <w:rPr>
          <w:rFonts w:ascii="Times New Roman" w:hAnsi="Times New Roman" w:cs="Times New Roman"/>
        </w:rPr>
        <w:t xml:space="preserve">Ho, A. (2008). </w:t>
      </w:r>
      <w:r>
        <w:rPr>
          <w:rFonts w:ascii="Times New Roman" w:hAnsi="Times New Roman" w:cs="Times New Roman"/>
          <w:lang w:val="en-US"/>
        </w:rPr>
        <w:t>Relational Autonomy or Undue Pressure? Family’s Role in M</w:t>
      </w:r>
      <w:r w:rsidRPr="001343A6">
        <w:rPr>
          <w:rFonts w:ascii="Times New Roman" w:hAnsi="Times New Roman" w:cs="Times New Roman"/>
          <w:lang w:val="en-US"/>
        </w:rPr>
        <w:t xml:space="preserve">edical </w:t>
      </w:r>
      <w:r>
        <w:rPr>
          <w:rFonts w:ascii="Times New Roman" w:hAnsi="Times New Roman" w:cs="Times New Roman"/>
          <w:lang w:val="en-US"/>
        </w:rPr>
        <w:t>Decision-M</w:t>
      </w:r>
      <w:r w:rsidRPr="001343A6">
        <w:rPr>
          <w:rFonts w:ascii="Times New Roman" w:hAnsi="Times New Roman" w:cs="Times New Roman"/>
          <w:lang w:val="en-US"/>
        </w:rPr>
        <w:t>aking.</w:t>
      </w:r>
      <w:r>
        <w:rPr>
          <w:rFonts w:ascii="Times New Roman" w:hAnsi="Times New Roman" w:cs="Times New Roman"/>
          <w:lang w:val="en-US"/>
        </w:rPr>
        <w:t xml:space="preserve"> </w:t>
      </w:r>
      <w:r w:rsidRPr="001343A6">
        <w:rPr>
          <w:rFonts w:ascii="Times New Roman" w:hAnsi="Times New Roman" w:cs="Times New Roman"/>
          <w:i/>
          <w:lang w:val="en-US"/>
        </w:rPr>
        <w:t>Scandinavian Journal of Caring Sciences, 22,</w:t>
      </w:r>
      <w:r w:rsidRPr="001343A6">
        <w:rPr>
          <w:rFonts w:ascii="Times New Roman" w:hAnsi="Times New Roman" w:cs="Times New Roman"/>
          <w:lang w:val="en-US"/>
        </w:rPr>
        <w:t xml:space="preserve"> 128–135.</w:t>
      </w:r>
    </w:p>
    <w:p w14:paraId="1DB6FD1C" w14:textId="77777777" w:rsidR="00A061DF" w:rsidRDefault="00A061DF" w:rsidP="001343A6">
      <w:pPr>
        <w:widowControl w:val="0"/>
        <w:tabs>
          <w:tab w:val="center" w:pos="4510"/>
        </w:tabs>
        <w:autoSpaceDE w:val="0"/>
        <w:autoSpaceDN w:val="0"/>
        <w:adjustRightInd w:val="0"/>
        <w:rPr>
          <w:rFonts w:ascii="Times New Roman" w:hAnsi="Times New Roman" w:cs="Times New Roman"/>
          <w:lang w:val="en-US"/>
        </w:rPr>
      </w:pPr>
    </w:p>
    <w:p w14:paraId="1018EEF2" w14:textId="779D0CA1" w:rsidR="00A061DF" w:rsidRPr="00A061DF" w:rsidRDefault="00A061DF" w:rsidP="001343A6">
      <w:pPr>
        <w:widowControl w:val="0"/>
        <w:tabs>
          <w:tab w:val="center" w:pos="451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Holroyd, S., Turnbull, Q., &amp; Wolf, A. (2002). What are Patients and their Families Told about the Diagnosis of Dementia? Results of a Family Survey. </w:t>
      </w:r>
      <w:r>
        <w:rPr>
          <w:rFonts w:ascii="Times New Roman" w:hAnsi="Times New Roman" w:cs="Times New Roman"/>
          <w:i/>
          <w:lang w:val="en-US"/>
        </w:rPr>
        <w:t xml:space="preserve">International Journal of Geriatric Psychiatry, 17, </w:t>
      </w:r>
      <w:r>
        <w:rPr>
          <w:rFonts w:ascii="Times New Roman" w:hAnsi="Times New Roman" w:cs="Times New Roman"/>
          <w:lang w:val="en-US"/>
        </w:rPr>
        <w:t>218-221.</w:t>
      </w:r>
    </w:p>
    <w:p w14:paraId="140746CD" w14:textId="77777777" w:rsidR="009235E6" w:rsidRDefault="009235E6" w:rsidP="009235E6">
      <w:pPr>
        <w:widowControl w:val="0"/>
        <w:autoSpaceDE w:val="0"/>
        <w:autoSpaceDN w:val="0"/>
        <w:adjustRightInd w:val="0"/>
        <w:rPr>
          <w:rFonts w:ascii="Times New Roman" w:hAnsi="Times New Roman" w:cs="Times New Roman"/>
          <w:lang w:val="en-US"/>
        </w:rPr>
      </w:pPr>
    </w:p>
    <w:p w14:paraId="706F5541" w14:textId="3ED91C39" w:rsidR="009235E6" w:rsidRPr="009235E6" w:rsidRDefault="009235E6" w:rsidP="009235E6">
      <w:pPr>
        <w:widowControl w:val="0"/>
        <w:autoSpaceDE w:val="0"/>
        <w:autoSpaceDN w:val="0"/>
        <w:adjustRightInd w:val="0"/>
        <w:rPr>
          <w:rFonts w:ascii="Times New Roman" w:hAnsi="Times New Roman" w:cs="Times New Roman"/>
          <w:i/>
          <w:lang w:val="en-US"/>
        </w:rPr>
      </w:pPr>
      <w:r>
        <w:rPr>
          <w:rFonts w:ascii="Times New Roman" w:hAnsi="Times New Roman" w:cs="Times New Roman"/>
          <w:lang w:val="en-US"/>
        </w:rPr>
        <w:t>Jones, M. (2005). Can International Law Improve Mental Health? Some T</w:t>
      </w:r>
      <w:r w:rsidRPr="009235E6">
        <w:rPr>
          <w:rFonts w:ascii="Times New Roman" w:hAnsi="Times New Roman" w:cs="Times New Roman"/>
          <w:lang w:val="en-US"/>
        </w:rPr>
        <w:t>houghts on</w:t>
      </w:r>
      <w:r>
        <w:rPr>
          <w:rFonts w:ascii="Times New Roman" w:hAnsi="Times New Roman" w:cs="Times New Roman"/>
          <w:lang w:val="en-US"/>
        </w:rPr>
        <w:t xml:space="preserve"> the Proposed C</w:t>
      </w:r>
      <w:r w:rsidRPr="009235E6">
        <w:rPr>
          <w:rFonts w:ascii="Times New Roman" w:hAnsi="Times New Roman" w:cs="Times New Roman"/>
          <w:lang w:val="en-US"/>
        </w:rPr>
        <w:t>onventio</w:t>
      </w:r>
      <w:r>
        <w:rPr>
          <w:rFonts w:ascii="Times New Roman" w:hAnsi="Times New Roman" w:cs="Times New Roman"/>
          <w:lang w:val="en-US"/>
        </w:rPr>
        <w:t>n on the Rights of People with D</w:t>
      </w:r>
      <w:r w:rsidRPr="009235E6">
        <w:rPr>
          <w:rFonts w:ascii="Times New Roman" w:hAnsi="Times New Roman" w:cs="Times New Roman"/>
          <w:lang w:val="en-US"/>
        </w:rPr>
        <w:t>isabilities</w:t>
      </w:r>
      <w:r>
        <w:rPr>
          <w:rFonts w:ascii="Times New Roman" w:hAnsi="Times New Roman" w:cs="Times New Roman"/>
          <w:lang w:val="en-US"/>
        </w:rPr>
        <w:t xml:space="preserve">. </w:t>
      </w:r>
      <w:r>
        <w:rPr>
          <w:rFonts w:ascii="Times New Roman" w:hAnsi="Times New Roman" w:cs="Times New Roman"/>
          <w:i/>
          <w:lang w:val="en-US"/>
        </w:rPr>
        <w:t xml:space="preserve">International Journal of Law and Psychiatry, 28, </w:t>
      </w:r>
      <w:r w:rsidRPr="009235E6">
        <w:rPr>
          <w:rFonts w:ascii="Times New Roman" w:hAnsi="Times New Roman" w:cs="Times New Roman"/>
          <w:lang w:val="en-US"/>
        </w:rPr>
        <w:t>183-205.</w:t>
      </w:r>
    </w:p>
    <w:p w14:paraId="347FA281" w14:textId="77777777" w:rsidR="009235E6" w:rsidRDefault="009235E6" w:rsidP="00F302DA">
      <w:pPr>
        <w:widowControl w:val="0"/>
        <w:autoSpaceDE w:val="0"/>
        <w:autoSpaceDN w:val="0"/>
        <w:adjustRightInd w:val="0"/>
        <w:rPr>
          <w:rFonts w:ascii="Times New Roman" w:hAnsi="Times New Roman" w:cs="Times New Roman"/>
          <w:lang w:val="en-US"/>
        </w:rPr>
      </w:pPr>
    </w:p>
    <w:p w14:paraId="585615EB" w14:textId="51C04B01" w:rsidR="002C24CE" w:rsidRPr="002C24CE" w:rsidRDefault="002C24CE" w:rsidP="002C24C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Kanter, A, S. (2009). </w:t>
      </w:r>
      <w:r w:rsidRPr="002C24CE">
        <w:rPr>
          <w:rFonts w:ascii="Times New Roman" w:hAnsi="Times New Roman" w:cs="Times New Roman"/>
          <w:lang w:val="en-US"/>
        </w:rPr>
        <w:t>The U</w:t>
      </w:r>
      <w:r>
        <w:rPr>
          <w:rFonts w:ascii="Times New Roman" w:hAnsi="Times New Roman" w:cs="Times New Roman"/>
          <w:lang w:val="en-US"/>
        </w:rPr>
        <w:t xml:space="preserve">nited Nations Convention on the Rights of Persons with </w:t>
      </w:r>
      <w:r w:rsidRPr="002C24CE">
        <w:rPr>
          <w:rFonts w:ascii="Times New Roman" w:hAnsi="Times New Roman" w:cs="Times New Roman"/>
          <w:lang w:val="en-US"/>
        </w:rPr>
        <w:t>Disabilities and</w:t>
      </w:r>
      <w:r>
        <w:rPr>
          <w:rFonts w:ascii="Times New Roman" w:hAnsi="Times New Roman" w:cs="Times New Roman"/>
          <w:lang w:val="en-US"/>
        </w:rPr>
        <w:t xml:space="preserve"> </w:t>
      </w:r>
      <w:r w:rsidRPr="002C24CE">
        <w:rPr>
          <w:rFonts w:ascii="Times New Roman" w:hAnsi="Times New Roman" w:cs="Times New Roman"/>
          <w:lang w:val="en-US"/>
        </w:rPr>
        <w:t>its Implications for the Rights of Elderly</w:t>
      </w:r>
      <w:r>
        <w:rPr>
          <w:rFonts w:ascii="Times New Roman" w:hAnsi="Times New Roman" w:cs="Times New Roman"/>
          <w:lang w:val="en-US"/>
        </w:rPr>
        <w:t xml:space="preserve"> </w:t>
      </w:r>
      <w:r w:rsidRPr="002C24CE">
        <w:rPr>
          <w:rFonts w:ascii="Times New Roman" w:hAnsi="Times New Roman" w:cs="Times New Roman"/>
          <w:lang w:val="en-US"/>
        </w:rPr>
        <w:t>People Under International Law</w:t>
      </w:r>
      <w:r>
        <w:rPr>
          <w:rFonts w:ascii="Times New Roman" w:hAnsi="Times New Roman" w:cs="Times New Roman"/>
          <w:lang w:val="en-US"/>
        </w:rPr>
        <w:t xml:space="preserve">. </w:t>
      </w:r>
      <w:r>
        <w:rPr>
          <w:rFonts w:ascii="Times New Roman" w:hAnsi="Times New Roman" w:cs="Times New Roman"/>
          <w:i/>
          <w:lang w:val="en-US"/>
        </w:rPr>
        <w:t xml:space="preserve">Georgia State University Law Review, 25, </w:t>
      </w:r>
      <w:r>
        <w:rPr>
          <w:rFonts w:ascii="Times New Roman" w:hAnsi="Times New Roman" w:cs="Times New Roman"/>
          <w:lang w:val="en-US"/>
        </w:rPr>
        <w:t>527-573.</w:t>
      </w:r>
    </w:p>
    <w:p w14:paraId="444CDFF9" w14:textId="77777777" w:rsidR="002C24CE" w:rsidRDefault="002C24CE" w:rsidP="00F302DA">
      <w:pPr>
        <w:widowControl w:val="0"/>
        <w:autoSpaceDE w:val="0"/>
        <w:autoSpaceDN w:val="0"/>
        <w:adjustRightInd w:val="0"/>
        <w:rPr>
          <w:rFonts w:ascii="Times New Roman" w:hAnsi="Times New Roman" w:cs="Times New Roman"/>
          <w:lang w:val="en-US"/>
        </w:rPr>
      </w:pPr>
    </w:p>
    <w:p w14:paraId="7E5FE45C" w14:textId="7A26906D" w:rsidR="009235E6" w:rsidRDefault="009235E6" w:rsidP="00F302DA">
      <w:pPr>
        <w:widowControl w:val="0"/>
        <w:autoSpaceDE w:val="0"/>
        <w:autoSpaceDN w:val="0"/>
        <w:adjustRightInd w:val="0"/>
        <w:rPr>
          <w:rFonts w:ascii="Times New Roman" w:hAnsi="Times New Roman" w:cs="Times New Roman"/>
          <w:bCs/>
          <w:lang w:val="en-US"/>
        </w:rPr>
      </w:pPr>
      <w:r>
        <w:rPr>
          <w:rFonts w:ascii="Times New Roman" w:hAnsi="Times New Roman" w:cs="Times New Roman"/>
          <w:lang w:val="en-US"/>
        </w:rPr>
        <w:t xml:space="preserve">Kayess, R., &amp; French, P. (2008). </w:t>
      </w:r>
      <w:r w:rsidRPr="009235E6">
        <w:rPr>
          <w:rFonts w:ascii="Times New Roman" w:hAnsi="Times New Roman" w:cs="Times New Roman"/>
          <w:bCs/>
          <w:lang w:val="en-US"/>
        </w:rPr>
        <w:t>Out of Darkness into Light? Introducing the Convention on the Rights of Persons with Disabilities</w:t>
      </w:r>
      <w:r>
        <w:rPr>
          <w:rFonts w:ascii="Times New Roman" w:hAnsi="Times New Roman" w:cs="Times New Roman"/>
          <w:bCs/>
          <w:lang w:val="en-US"/>
        </w:rPr>
        <w:t xml:space="preserve">. </w:t>
      </w:r>
      <w:r>
        <w:rPr>
          <w:rFonts w:ascii="Times New Roman" w:hAnsi="Times New Roman" w:cs="Times New Roman"/>
          <w:bCs/>
          <w:i/>
          <w:lang w:val="en-US"/>
        </w:rPr>
        <w:t xml:space="preserve">Human Rights Law Review, 8, </w:t>
      </w:r>
      <w:r>
        <w:rPr>
          <w:rFonts w:ascii="Times New Roman" w:hAnsi="Times New Roman" w:cs="Times New Roman"/>
          <w:bCs/>
          <w:lang w:val="en-US"/>
        </w:rPr>
        <w:t>1-34.</w:t>
      </w:r>
    </w:p>
    <w:p w14:paraId="2EF8BEFB" w14:textId="77777777" w:rsidR="00D40345" w:rsidRDefault="00D40345" w:rsidP="00F302DA">
      <w:pPr>
        <w:widowControl w:val="0"/>
        <w:autoSpaceDE w:val="0"/>
        <w:autoSpaceDN w:val="0"/>
        <w:adjustRightInd w:val="0"/>
        <w:rPr>
          <w:rFonts w:ascii="Times New Roman" w:hAnsi="Times New Roman" w:cs="Times New Roman"/>
          <w:bCs/>
          <w:lang w:val="en-US"/>
        </w:rPr>
      </w:pPr>
    </w:p>
    <w:p w14:paraId="17C35CCE" w14:textId="01659C79" w:rsidR="00D40345" w:rsidRPr="00D40345" w:rsidRDefault="00D40345" w:rsidP="00D40345">
      <w:pPr>
        <w:widowControl w:val="0"/>
        <w:autoSpaceDE w:val="0"/>
        <w:autoSpaceDN w:val="0"/>
        <w:adjustRightInd w:val="0"/>
        <w:rPr>
          <w:rFonts w:ascii="Times New Roman" w:hAnsi="Times New Roman" w:cs="Times New Roman"/>
          <w:bCs/>
          <w:lang w:val="en-US"/>
        </w:rPr>
      </w:pPr>
      <w:r w:rsidRPr="00D40345">
        <w:rPr>
          <w:rFonts w:ascii="Times New Roman" w:hAnsi="Times New Roman" w:cs="Times New Roman"/>
          <w:bCs/>
          <w:lang w:val="en-US"/>
        </w:rPr>
        <w:t xml:space="preserve">Kitwood, T., &amp; Bredin, K. (1992). Towards a Theory of Dementia Care: Personhood and Wellbeing. </w:t>
      </w:r>
      <w:r w:rsidRPr="00D40345">
        <w:rPr>
          <w:rFonts w:ascii="Times New Roman" w:hAnsi="Times New Roman" w:cs="Times New Roman"/>
          <w:bCs/>
          <w:i/>
          <w:lang w:val="en-US"/>
        </w:rPr>
        <w:t xml:space="preserve">Ageing &amp; Society, 12, </w:t>
      </w:r>
      <w:r w:rsidRPr="00D40345">
        <w:rPr>
          <w:rFonts w:ascii="Times New Roman" w:hAnsi="Times New Roman" w:cs="Times New Roman"/>
          <w:bCs/>
          <w:lang w:val="en-US"/>
        </w:rPr>
        <w:t>269-287.</w:t>
      </w:r>
    </w:p>
    <w:p w14:paraId="667A56C6" w14:textId="77777777" w:rsidR="009235E6" w:rsidRDefault="009235E6" w:rsidP="00F302DA">
      <w:pPr>
        <w:widowControl w:val="0"/>
        <w:autoSpaceDE w:val="0"/>
        <w:autoSpaceDN w:val="0"/>
        <w:adjustRightInd w:val="0"/>
        <w:rPr>
          <w:rFonts w:ascii="Times New Roman" w:hAnsi="Times New Roman" w:cs="Times New Roman"/>
          <w:lang w:val="en-US"/>
        </w:rPr>
      </w:pPr>
    </w:p>
    <w:p w14:paraId="5765A0CF" w14:textId="4B7CE9E3" w:rsidR="00F67B70" w:rsidRDefault="00F67B70" w:rsidP="00F302DA">
      <w:pPr>
        <w:widowControl w:val="0"/>
        <w:autoSpaceDE w:val="0"/>
        <w:autoSpaceDN w:val="0"/>
        <w:adjustRightInd w:val="0"/>
        <w:rPr>
          <w:rFonts w:ascii="Times New Roman" w:hAnsi="Times New Roman" w:cs="Times New Roman"/>
          <w:lang w:val="en-US"/>
        </w:rPr>
      </w:pPr>
      <w:r w:rsidRPr="009235E6">
        <w:rPr>
          <w:rFonts w:ascii="Times New Roman" w:hAnsi="Times New Roman" w:cs="Times New Roman"/>
          <w:lang w:val="en-US"/>
        </w:rPr>
        <w:t xml:space="preserve">Kitwood, </w:t>
      </w:r>
      <w:r w:rsidR="009235E6" w:rsidRPr="009235E6">
        <w:rPr>
          <w:rFonts w:ascii="Times New Roman" w:hAnsi="Times New Roman" w:cs="Times New Roman"/>
          <w:lang w:val="en-US"/>
        </w:rPr>
        <w:t xml:space="preserve">T. (1997). </w:t>
      </w:r>
      <w:r w:rsidRPr="009235E6">
        <w:rPr>
          <w:rFonts w:ascii="Times New Roman" w:hAnsi="Times New Roman" w:cs="Times New Roman"/>
          <w:i/>
          <w:lang w:val="en-US"/>
        </w:rPr>
        <w:t>Dementia Reconsidered: The Person Comes First</w:t>
      </w:r>
      <w:r w:rsidR="009235E6">
        <w:rPr>
          <w:rFonts w:ascii="Times New Roman" w:hAnsi="Times New Roman" w:cs="Times New Roman"/>
          <w:i/>
          <w:lang w:val="en-US"/>
        </w:rPr>
        <w:t>.</w:t>
      </w:r>
      <w:r w:rsidR="009235E6">
        <w:rPr>
          <w:rFonts w:ascii="Times New Roman" w:hAnsi="Times New Roman" w:cs="Times New Roman"/>
          <w:lang w:val="en-US"/>
        </w:rPr>
        <w:t xml:space="preserve"> Buckingham: Open University Press.</w:t>
      </w:r>
    </w:p>
    <w:p w14:paraId="0C9473CA" w14:textId="77777777" w:rsidR="00D87163" w:rsidRDefault="00D87163" w:rsidP="00F302DA">
      <w:pPr>
        <w:widowControl w:val="0"/>
        <w:autoSpaceDE w:val="0"/>
        <w:autoSpaceDN w:val="0"/>
        <w:adjustRightInd w:val="0"/>
        <w:rPr>
          <w:rFonts w:ascii="Times New Roman" w:hAnsi="Times New Roman" w:cs="Times New Roman"/>
          <w:lang w:val="en-US"/>
        </w:rPr>
      </w:pPr>
    </w:p>
    <w:p w14:paraId="4854CDF4" w14:textId="075E9E45" w:rsidR="00D87163" w:rsidRPr="00D87163" w:rsidRDefault="00D87163" w:rsidP="00D8716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Kong, C. (2015). </w:t>
      </w:r>
      <w:r w:rsidRPr="00D87163">
        <w:rPr>
          <w:rFonts w:ascii="Times New Roman" w:hAnsi="Times New Roman" w:cs="Times New Roman"/>
          <w:lang w:val="en-US"/>
        </w:rPr>
        <w:t>The Convention for the Rights of Persons with Disabilities and Article 12: Prospective Feminist Lessons against the “Will and Preferences” Paradigm</w:t>
      </w:r>
      <w:r>
        <w:rPr>
          <w:rFonts w:ascii="Times New Roman" w:hAnsi="Times New Roman" w:cs="Times New Roman"/>
          <w:lang w:val="en-US"/>
        </w:rPr>
        <w:t xml:space="preserve">. </w:t>
      </w:r>
      <w:r>
        <w:rPr>
          <w:rFonts w:ascii="Times New Roman" w:hAnsi="Times New Roman" w:cs="Times New Roman"/>
          <w:i/>
          <w:lang w:val="en-US"/>
        </w:rPr>
        <w:t xml:space="preserve">Laws, 4, </w:t>
      </w:r>
      <w:r>
        <w:rPr>
          <w:rFonts w:ascii="Times New Roman" w:hAnsi="Times New Roman" w:cs="Times New Roman"/>
          <w:lang w:val="en-US"/>
        </w:rPr>
        <w:t>709-728.</w:t>
      </w:r>
    </w:p>
    <w:p w14:paraId="510C1E85" w14:textId="77777777" w:rsidR="009235E6" w:rsidRDefault="009235E6" w:rsidP="00F302DA">
      <w:pPr>
        <w:widowControl w:val="0"/>
        <w:autoSpaceDE w:val="0"/>
        <w:autoSpaceDN w:val="0"/>
        <w:adjustRightInd w:val="0"/>
        <w:rPr>
          <w:rFonts w:ascii="Times New Roman" w:hAnsi="Times New Roman" w:cs="Times New Roman"/>
          <w:lang w:val="en-US"/>
        </w:rPr>
      </w:pPr>
    </w:p>
    <w:p w14:paraId="0C678127" w14:textId="45739C3B" w:rsidR="009235E6" w:rsidRDefault="009235E6"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Lush, D. (2011). </w:t>
      </w:r>
      <w:r w:rsidRPr="009235E6">
        <w:rPr>
          <w:rFonts w:ascii="Times New Roman" w:hAnsi="Times New Roman" w:cs="Times New Roman"/>
          <w:lang w:val="en-US"/>
        </w:rPr>
        <w:t>A</w:t>
      </w:r>
      <w:r>
        <w:rPr>
          <w:rFonts w:ascii="Times New Roman" w:hAnsi="Times New Roman" w:cs="Times New Roman"/>
          <w:lang w:val="en-US"/>
        </w:rPr>
        <w:t xml:space="preserve">rticle 12 of the United Nations </w:t>
      </w:r>
      <w:r w:rsidRPr="009235E6">
        <w:rPr>
          <w:rFonts w:ascii="Times New Roman" w:hAnsi="Times New Roman" w:cs="Times New Roman"/>
          <w:lang w:val="en-US"/>
        </w:rPr>
        <w:t>Convention on the Rights of</w:t>
      </w:r>
      <w:r>
        <w:rPr>
          <w:rFonts w:ascii="Times New Roman" w:hAnsi="Times New Roman" w:cs="Times New Roman"/>
          <w:lang w:val="en-US"/>
        </w:rPr>
        <w:t xml:space="preserve"> </w:t>
      </w:r>
      <w:r w:rsidRPr="009235E6">
        <w:rPr>
          <w:rFonts w:ascii="Times New Roman" w:hAnsi="Times New Roman" w:cs="Times New Roman"/>
          <w:lang w:val="en-US"/>
        </w:rPr>
        <w:t>Persons with Disabilities</w:t>
      </w:r>
      <w:r>
        <w:rPr>
          <w:rFonts w:ascii="Times New Roman" w:hAnsi="Times New Roman" w:cs="Times New Roman"/>
          <w:lang w:val="en-US"/>
        </w:rPr>
        <w:t xml:space="preserve">. </w:t>
      </w:r>
      <w:r w:rsidRPr="009235E6">
        <w:rPr>
          <w:rFonts w:ascii="Times New Roman" w:hAnsi="Times New Roman" w:cs="Times New Roman"/>
          <w:i/>
          <w:lang w:val="en-US"/>
        </w:rPr>
        <w:t>Elde</w:t>
      </w:r>
      <w:r>
        <w:rPr>
          <w:rFonts w:ascii="Times New Roman" w:hAnsi="Times New Roman" w:cs="Times New Roman"/>
          <w:i/>
          <w:lang w:val="en-US"/>
        </w:rPr>
        <w:t xml:space="preserve">r Law Journal, 1, </w:t>
      </w:r>
      <w:r>
        <w:rPr>
          <w:rFonts w:ascii="Times New Roman" w:hAnsi="Times New Roman" w:cs="Times New Roman"/>
          <w:lang w:val="en-US"/>
        </w:rPr>
        <w:t>61-68.</w:t>
      </w:r>
    </w:p>
    <w:p w14:paraId="79D2681E" w14:textId="77777777" w:rsidR="009235E6" w:rsidRDefault="009235E6" w:rsidP="009235E6">
      <w:pPr>
        <w:widowControl w:val="0"/>
        <w:autoSpaceDE w:val="0"/>
        <w:autoSpaceDN w:val="0"/>
        <w:adjustRightInd w:val="0"/>
        <w:rPr>
          <w:rFonts w:ascii="Times New Roman" w:hAnsi="Times New Roman" w:cs="Times New Roman"/>
          <w:lang w:val="en-US"/>
        </w:rPr>
      </w:pPr>
    </w:p>
    <w:p w14:paraId="098AC274" w14:textId="3AD25DDB" w:rsidR="00A061DF" w:rsidRPr="00A061DF" w:rsidRDefault="00A061DF" w:rsidP="00A061DF">
      <w:pPr>
        <w:rPr>
          <w:rFonts w:ascii="Times New Roman" w:eastAsia="Times New Roman" w:hAnsi="Times New Roman" w:cs="Times New Roman"/>
          <w:lang w:val="en-US"/>
        </w:rPr>
      </w:pPr>
      <w:r w:rsidRPr="00A061DF">
        <w:rPr>
          <w:rFonts w:ascii="Times New Roman" w:hAnsi="Times New Roman" w:cs="Times New Roman"/>
          <w:lang w:val="en-US"/>
        </w:rPr>
        <w:t xml:space="preserve">Marzanski, M. (2000). </w:t>
      </w:r>
      <w:r w:rsidRPr="00A061DF">
        <w:rPr>
          <w:rFonts w:ascii="Times New Roman" w:eastAsia="Times New Roman" w:hAnsi="Times New Roman" w:cs="Times New Roman"/>
          <w:lang w:val="en-US"/>
        </w:rPr>
        <w:t xml:space="preserve">Would You Like to Know what is Wrong with You? On Telling the Truth to Patients with Dementia. </w:t>
      </w:r>
      <w:r w:rsidRPr="00A061DF">
        <w:rPr>
          <w:rFonts w:ascii="Times New Roman" w:eastAsia="Times New Roman" w:hAnsi="Times New Roman" w:cs="Times New Roman"/>
          <w:i/>
          <w:lang w:val="en-US"/>
        </w:rPr>
        <w:t xml:space="preserve">Journal of Medical Ethics, 26, </w:t>
      </w:r>
      <w:r w:rsidRPr="00A061DF">
        <w:rPr>
          <w:rFonts w:ascii="Times New Roman" w:eastAsia="Times New Roman" w:hAnsi="Times New Roman" w:cs="Times New Roman"/>
          <w:lang w:val="en-US"/>
        </w:rPr>
        <w:t>108-113.</w:t>
      </w:r>
    </w:p>
    <w:p w14:paraId="007632B4" w14:textId="77777777" w:rsidR="00A061DF" w:rsidRDefault="00A061DF" w:rsidP="009235E6">
      <w:pPr>
        <w:widowControl w:val="0"/>
        <w:autoSpaceDE w:val="0"/>
        <w:autoSpaceDN w:val="0"/>
        <w:adjustRightInd w:val="0"/>
        <w:rPr>
          <w:rFonts w:ascii="Times New Roman" w:hAnsi="Times New Roman" w:cs="Times New Roman"/>
          <w:highlight w:val="yellow"/>
          <w:lang w:val="en-US"/>
        </w:rPr>
      </w:pPr>
    </w:p>
    <w:p w14:paraId="74FDA3AD" w14:textId="5ABD0DA1" w:rsidR="000C13D7" w:rsidRPr="0006551E" w:rsidRDefault="0006551E"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Midgley, M. (1983</w:t>
      </w:r>
      <w:r w:rsidR="000C13D7" w:rsidRPr="0006551E">
        <w:rPr>
          <w:rFonts w:ascii="Times New Roman" w:hAnsi="Times New Roman" w:cs="Times New Roman"/>
          <w:lang w:val="en-US"/>
        </w:rPr>
        <w:t xml:space="preserve">). </w:t>
      </w:r>
      <w:r w:rsidR="000C13D7" w:rsidRPr="0006551E">
        <w:rPr>
          <w:rFonts w:ascii="Times New Roman" w:hAnsi="Times New Roman" w:cs="Times New Roman"/>
          <w:i/>
          <w:lang w:val="en-US"/>
        </w:rPr>
        <w:t xml:space="preserve">Heart and Mind: The Varieties of Moral Experience. </w:t>
      </w:r>
      <w:r w:rsidRPr="0006551E">
        <w:rPr>
          <w:rFonts w:ascii="Times New Roman" w:hAnsi="Times New Roman" w:cs="Times New Roman"/>
          <w:lang w:val="en-US"/>
        </w:rPr>
        <w:t>London: Methuen.</w:t>
      </w:r>
    </w:p>
    <w:p w14:paraId="7927951B" w14:textId="77777777" w:rsidR="000C13D7" w:rsidRDefault="000C13D7" w:rsidP="009235E6">
      <w:pPr>
        <w:widowControl w:val="0"/>
        <w:autoSpaceDE w:val="0"/>
        <w:autoSpaceDN w:val="0"/>
        <w:adjustRightInd w:val="0"/>
        <w:rPr>
          <w:rFonts w:ascii="Times New Roman" w:hAnsi="Times New Roman" w:cs="Times New Roman"/>
          <w:lang w:val="en-US"/>
        </w:rPr>
      </w:pPr>
    </w:p>
    <w:p w14:paraId="216B80CA" w14:textId="122109D6" w:rsidR="00AD07F3" w:rsidRPr="00AD07F3" w:rsidRDefault="00AD07F3"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Mulvany, J. (2000). </w:t>
      </w:r>
      <w:r w:rsidRPr="00AD07F3">
        <w:rPr>
          <w:rFonts w:ascii="Times New Roman" w:hAnsi="Times New Roman" w:cs="Times New Roman"/>
          <w:lang w:val="en-US"/>
        </w:rPr>
        <w:t>Disability, Impairment, or Illness? The Relevance of the Social Model of Disability to the Study of Mental Disorder.</w:t>
      </w:r>
      <w:r>
        <w:rPr>
          <w:rFonts w:ascii="Times New Roman" w:hAnsi="Times New Roman" w:cs="Times New Roman"/>
          <w:lang w:val="en-US"/>
        </w:rPr>
        <w:t xml:space="preserve"> </w:t>
      </w:r>
      <w:r>
        <w:rPr>
          <w:rFonts w:ascii="Times New Roman" w:hAnsi="Times New Roman" w:cs="Times New Roman"/>
          <w:i/>
          <w:lang w:val="en-US"/>
        </w:rPr>
        <w:t xml:space="preserve">Sociology of Health &amp; Illness, 22, </w:t>
      </w:r>
      <w:r>
        <w:rPr>
          <w:rFonts w:ascii="Times New Roman" w:hAnsi="Times New Roman" w:cs="Times New Roman"/>
          <w:lang w:val="en-US"/>
        </w:rPr>
        <w:t>582-602.</w:t>
      </w:r>
    </w:p>
    <w:p w14:paraId="7805449F" w14:textId="77777777" w:rsidR="00AD07F3" w:rsidRDefault="00AD07F3" w:rsidP="009235E6">
      <w:pPr>
        <w:widowControl w:val="0"/>
        <w:autoSpaceDE w:val="0"/>
        <w:autoSpaceDN w:val="0"/>
        <w:adjustRightInd w:val="0"/>
        <w:rPr>
          <w:rFonts w:ascii="Times New Roman" w:hAnsi="Times New Roman" w:cs="Times New Roman"/>
          <w:lang w:val="en-US"/>
        </w:rPr>
      </w:pPr>
    </w:p>
    <w:p w14:paraId="26554946" w14:textId="343889A5" w:rsidR="00946339" w:rsidRDefault="00946339"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Oliver, M. (1996). </w:t>
      </w:r>
      <w:r>
        <w:rPr>
          <w:rFonts w:ascii="Times New Roman" w:hAnsi="Times New Roman" w:cs="Times New Roman"/>
          <w:i/>
          <w:lang w:val="en-US"/>
        </w:rPr>
        <w:t xml:space="preserve">Understanding Disability: From Theory to Practice. </w:t>
      </w:r>
      <w:r>
        <w:rPr>
          <w:rFonts w:ascii="Times New Roman" w:hAnsi="Times New Roman" w:cs="Times New Roman"/>
          <w:lang w:val="en-US"/>
        </w:rPr>
        <w:t>Basingstoke: Macmillan.</w:t>
      </w:r>
    </w:p>
    <w:p w14:paraId="1DCF598A" w14:textId="77777777" w:rsidR="00F85D57" w:rsidRDefault="00F85D57" w:rsidP="009235E6">
      <w:pPr>
        <w:widowControl w:val="0"/>
        <w:autoSpaceDE w:val="0"/>
        <w:autoSpaceDN w:val="0"/>
        <w:adjustRightInd w:val="0"/>
        <w:rPr>
          <w:rFonts w:ascii="Times New Roman" w:hAnsi="Times New Roman" w:cs="Times New Roman"/>
          <w:lang w:val="en-US"/>
        </w:rPr>
      </w:pPr>
    </w:p>
    <w:p w14:paraId="36AAD52E" w14:textId="4231D85D" w:rsidR="00F85D57" w:rsidRDefault="00F85D57" w:rsidP="00F85D57">
      <w:pPr>
        <w:widowControl w:val="0"/>
        <w:autoSpaceDE w:val="0"/>
        <w:autoSpaceDN w:val="0"/>
        <w:adjustRightInd w:val="0"/>
        <w:rPr>
          <w:rFonts w:ascii="Times New Roman" w:hAnsi="Times New Roman" w:cs="Times New Roman"/>
          <w:lang w:val="en-US"/>
        </w:rPr>
      </w:pPr>
      <w:r w:rsidRPr="00F85D57">
        <w:rPr>
          <w:rFonts w:ascii="Times New Roman" w:hAnsi="Times New Roman" w:cs="Times New Roman"/>
          <w:lang w:val="en-US"/>
        </w:rPr>
        <w:t>Pearce,</w:t>
      </w:r>
      <w:r>
        <w:rPr>
          <w:rFonts w:ascii="Times New Roman" w:hAnsi="Times New Roman" w:cs="Times New Roman"/>
          <w:lang w:val="en-US"/>
        </w:rPr>
        <w:t xml:space="preserve"> A.,</w:t>
      </w:r>
      <w:r w:rsidRPr="00F85D57">
        <w:rPr>
          <w:rFonts w:ascii="Times New Roman" w:hAnsi="Times New Roman" w:cs="Times New Roman"/>
          <w:lang w:val="en-US"/>
        </w:rPr>
        <w:t xml:space="preserve"> Clare</w:t>
      </w:r>
      <w:r>
        <w:rPr>
          <w:rFonts w:ascii="Times New Roman" w:hAnsi="Times New Roman" w:cs="Times New Roman"/>
          <w:lang w:val="en-US"/>
        </w:rPr>
        <w:t>, L., &amp;</w:t>
      </w:r>
      <w:r w:rsidRPr="00F85D57">
        <w:rPr>
          <w:rFonts w:ascii="Times New Roman" w:hAnsi="Times New Roman" w:cs="Times New Roman"/>
          <w:lang w:val="en-US"/>
        </w:rPr>
        <w:t xml:space="preserve"> Pistrang,</w:t>
      </w:r>
      <w:r>
        <w:rPr>
          <w:rFonts w:ascii="Times New Roman" w:hAnsi="Times New Roman" w:cs="Times New Roman"/>
          <w:lang w:val="en-US"/>
        </w:rPr>
        <w:t xml:space="preserve"> N. </w:t>
      </w:r>
      <w:r w:rsidRPr="00F85D57">
        <w:rPr>
          <w:rFonts w:ascii="Times New Roman" w:hAnsi="Times New Roman" w:cs="Times New Roman"/>
          <w:lang w:val="en-US"/>
        </w:rPr>
        <w:t>Managing Sense of Self: Coping in the Early Stages of Alzheimer’s Disease</w:t>
      </w:r>
      <w:r>
        <w:rPr>
          <w:rFonts w:ascii="Times New Roman" w:hAnsi="Times New Roman" w:cs="Times New Roman"/>
          <w:lang w:val="en-US"/>
        </w:rPr>
        <w:t xml:space="preserve">. </w:t>
      </w:r>
      <w:r>
        <w:rPr>
          <w:rFonts w:ascii="Times New Roman" w:hAnsi="Times New Roman" w:cs="Times New Roman"/>
          <w:i/>
          <w:lang w:val="en-US"/>
        </w:rPr>
        <w:t xml:space="preserve">Dementia, 1, </w:t>
      </w:r>
      <w:r>
        <w:rPr>
          <w:rFonts w:ascii="Times New Roman" w:hAnsi="Times New Roman" w:cs="Times New Roman"/>
          <w:lang w:val="en-US"/>
        </w:rPr>
        <w:t>173-192.</w:t>
      </w:r>
    </w:p>
    <w:p w14:paraId="7D741E69" w14:textId="77777777" w:rsidR="00F85D57" w:rsidRDefault="00F85D57" w:rsidP="00F85D57">
      <w:pPr>
        <w:widowControl w:val="0"/>
        <w:autoSpaceDE w:val="0"/>
        <w:autoSpaceDN w:val="0"/>
        <w:adjustRightInd w:val="0"/>
        <w:rPr>
          <w:rFonts w:ascii="Times New Roman" w:hAnsi="Times New Roman" w:cs="Times New Roman"/>
          <w:lang w:val="en-US"/>
        </w:rPr>
      </w:pPr>
    </w:p>
    <w:p w14:paraId="6ABF8AD1" w14:textId="16AF6426" w:rsidR="00F85D57" w:rsidRPr="00F85D57" w:rsidRDefault="00F85D57" w:rsidP="00F85D57">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Preston, L., Marshall, A., &amp; Bucks, R. (2007). Investigating the Ways that Older People Cope with Dementia: A Qualitative Study. </w:t>
      </w:r>
      <w:r>
        <w:rPr>
          <w:rFonts w:ascii="Times New Roman" w:hAnsi="Times New Roman" w:cs="Times New Roman"/>
          <w:i/>
          <w:lang w:val="en-US"/>
        </w:rPr>
        <w:t xml:space="preserve">Aging &amp; Mental Health, 11, </w:t>
      </w:r>
      <w:r>
        <w:rPr>
          <w:rFonts w:ascii="Times New Roman" w:hAnsi="Times New Roman" w:cs="Times New Roman"/>
          <w:lang w:val="en-US"/>
        </w:rPr>
        <w:t>131-143.</w:t>
      </w:r>
    </w:p>
    <w:p w14:paraId="6C99AE14" w14:textId="77777777" w:rsidR="0076647A" w:rsidRDefault="0076647A" w:rsidP="009235E6">
      <w:pPr>
        <w:widowControl w:val="0"/>
        <w:autoSpaceDE w:val="0"/>
        <w:autoSpaceDN w:val="0"/>
        <w:adjustRightInd w:val="0"/>
        <w:rPr>
          <w:rFonts w:ascii="Times New Roman" w:hAnsi="Times New Roman" w:cs="Times New Roman"/>
          <w:lang w:val="en-US"/>
        </w:rPr>
      </w:pPr>
    </w:p>
    <w:p w14:paraId="5EB82223" w14:textId="175A69CA" w:rsidR="0076647A" w:rsidRDefault="0076647A"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Powers, S., Dawson, N., Krestar, M., Yarry, S., &amp; Judge, K. (2016). ‘I Wish they would Remember that I Forget’: The Effects of Memory Loss on the Lives of Individuals with Mild-to-Moderate Dementia. </w:t>
      </w:r>
      <w:r>
        <w:rPr>
          <w:rFonts w:ascii="Times New Roman" w:hAnsi="Times New Roman" w:cs="Times New Roman"/>
          <w:i/>
          <w:lang w:val="en-US"/>
        </w:rPr>
        <w:t>Dementia</w:t>
      </w:r>
      <w:r w:rsidR="00C54FA3">
        <w:rPr>
          <w:rFonts w:ascii="Times New Roman" w:hAnsi="Times New Roman" w:cs="Times New Roman"/>
          <w:i/>
          <w:lang w:val="en-US"/>
        </w:rPr>
        <w:t>,</w:t>
      </w:r>
      <w:r>
        <w:rPr>
          <w:rFonts w:ascii="Times New Roman" w:hAnsi="Times New Roman" w:cs="Times New Roman"/>
          <w:i/>
          <w:lang w:val="en-US"/>
        </w:rPr>
        <w:t xml:space="preserve"> 15, </w:t>
      </w:r>
      <w:r>
        <w:rPr>
          <w:rFonts w:ascii="Times New Roman" w:hAnsi="Times New Roman" w:cs="Times New Roman"/>
          <w:lang w:val="en-US"/>
        </w:rPr>
        <w:t>1053-1067.</w:t>
      </w:r>
    </w:p>
    <w:p w14:paraId="335E8D89" w14:textId="77777777" w:rsidR="00DD3541" w:rsidRDefault="00DD3541" w:rsidP="009235E6">
      <w:pPr>
        <w:widowControl w:val="0"/>
        <w:autoSpaceDE w:val="0"/>
        <w:autoSpaceDN w:val="0"/>
        <w:adjustRightInd w:val="0"/>
        <w:rPr>
          <w:rFonts w:ascii="Times New Roman" w:hAnsi="Times New Roman" w:cs="Times New Roman"/>
          <w:lang w:val="en-US"/>
        </w:rPr>
      </w:pPr>
    </w:p>
    <w:p w14:paraId="4D688B79" w14:textId="39EF8F72" w:rsidR="00DD3541" w:rsidRPr="0076647A" w:rsidRDefault="00DD3541"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Quinn, G. (2010). </w:t>
      </w:r>
      <w:r w:rsidRPr="009235E6">
        <w:rPr>
          <w:rFonts w:ascii="Times New Roman" w:hAnsi="Times New Roman" w:cs="Times New Roman"/>
          <w:lang w:val="en-US"/>
        </w:rPr>
        <w:t>The U</w:t>
      </w:r>
      <w:r>
        <w:rPr>
          <w:rFonts w:ascii="Times New Roman" w:hAnsi="Times New Roman" w:cs="Times New Roman"/>
          <w:lang w:val="en-US"/>
        </w:rPr>
        <w:t xml:space="preserve">nited Nations Convention on the </w:t>
      </w:r>
      <w:r w:rsidRPr="009235E6">
        <w:rPr>
          <w:rFonts w:ascii="Times New Roman" w:hAnsi="Times New Roman" w:cs="Times New Roman"/>
          <w:lang w:val="en-US"/>
        </w:rPr>
        <w:t>Rights of Persons with Disabilities:</w:t>
      </w:r>
      <w:r>
        <w:rPr>
          <w:rFonts w:ascii="Times New Roman" w:hAnsi="Times New Roman" w:cs="Times New Roman"/>
          <w:lang w:val="en-US"/>
        </w:rPr>
        <w:t xml:space="preserve"> </w:t>
      </w:r>
      <w:r w:rsidRPr="009235E6">
        <w:rPr>
          <w:rFonts w:ascii="Times New Roman" w:hAnsi="Times New Roman" w:cs="Times New Roman"/>
          <w:lang w:val="en-US"/>
        </w:rPr>
        <w:t>Toward a New International Politics of</w:t>
      </w:r>
      <w:r>
        <w:rPr>
          <w:rFonts w:ascii="Times New Roman" w:hAnsi="Times New Roman" w:cs="Times New Roman"/>
          <w:lang w:val="en-US"/>
        </w:rPr>
        <w:t xml:space="preserve"> </w:t>
      </w:r>
      <w:r w:rsidRPr="009235E6">
        <w:rPr>
          <w:rFonts w:ascii="Times New Roman" w:hAnsi="Times New Roman" w:cs="Times New Roman"/>
          <w:lang w:val="en-US"/>
        </w:rPr>
        <w:t>Disability</w:t>
      </w:r>
      <w:r>
        <w:rPr>
          <w:rFonts w:ascii="Times New Roman" w:hAnsi="Times New Roman" w:cs="Times New Roman"/>
          <w:lang w:val="en-US"/>
        </w:rPr>
        <w:t xml:space="preserve">. </w:t>
      </w:r>
      <w:r>
        <w:rPr>
          <w:rFonts w:ascii="Times New Roman" w:hAnsi="Times New Roman" w:cs="Times New Roman"/>
          <w:i/>
          <w:lang w:val="en-US"/>
        </w:rPr>
        <w:t xml:space="preserve">Texas Journal on Civil Liberties and Civil Rights, 15, </w:t>
      </w:r>
      <w:r>
        <w:rPr>
          <w:rFonts w:ascii="Times New Roman" w:hAnsi="Times New Roman" w:cs="Times New Roman"/>
          <w:lang w:val="en-US"/>
        </w:rPr>
        <w:t>33-52.</w:t>
      </w:r>
    </w:p>
    <w:p w14:paraId="08312117" w14:textId="77777777" w:rsidR="009235E6" w:rsidRDefault="009235E6" w:rsidP="009235E6">
      <w:pPr>
        <w:widowControl w:val="0"/>
        <w:autoSpaceDE w:val="0"/>
        <w:autoSpaceDN w:val="0"/>
        <w:adjustRightInd w:val="0"/>
        <w:rPr>
          <w:rFonts w:ascii="Times New Roman" w:hAnsi="Times New Roman" w:cs="Times New Roman"/>
          <w:lang w:val="en-US"/>
        </w:rPr>
      </w:pPr>
    </w:p>
    <w:p w14:paraId="2C5F7440" w14:textId="58C8E591" w:rsidR="00D87163" w:rsidRPr="00D87163" w:rsidRDefault="00D87163" w:rsidP="00D8716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Richardson, G. (2012). </w:t>
      </w:r>
      <w:r w:rsidRPr="00D87163">
        <w:rPr>
          <w:rFonts w:ascii="Times New Roman" w:hAnsi="Times New Roman" w:cs="Times New Roman"/>
          <w:lang w:val="en-US"/>
        </w:rPr>
        <w:t>Mental Disabilities and the Law: From</w:t>
      </w:r>
      <w:r>
        <w:rPr>
          <w:rFonts w:ascii="Times New Roman" w:hAnsi="Times New Roman" w:cs="Times New Roman"/>
          <w:lang w:val="en-US"/>
        </w:rPr>
        <w:t xml:space="preserve"> </w:t>
      </w:r>
      <w:r w:rsidRPr="00D87163">
        <w:rPr>
          <w:rFonts w:ascii="Times New Roman" w:hAnsi="Times New Roman" w:cs="Times New Roman"/>
          <w:lang w:val="en-US"/>
        </w:rPr>
        <w:t>Substitute to Supported</w:t>
      </w:r>
      <w:r>
        <w:rPr>
          <w:rFonts w:ascii="Times New Roman" w:hAnsi="Times New Roman" w:cs="Times New Roman"/>
          <w:lang w:val="en-US"/>
        </w:rPr>
        <w:t xml:space="preserve"> </w:t>
      </w:r>
      <w:r w:rsidRPr="00D87163">
        <w:rPr>
          <w:rFonts w:ascii="Times New Roman" w:hAnsi="Times New Roman" w:cs="Times New Roman"/>
          <w:lang w:val="en-US"/>
        </w:rPr>
        <w:t>Decision-Making?</w:t>
      </w:r>
      <w:r>
        <w:rPr>
          <w:rFonts w:ascii="Times New Roman" w:hAnsi="Times New Roman" w:cs="Times New Roman"/>
          <w:lang w:val="en-US"/>
        </w:rPr>
        <w:t xml:space="preserve"> </w:t>
      </w:r>
      <w:r>
        <w:rPr>
          <w:rFonts w:ascii="Times New Roman" w:hAnsi="Times New Roman" w:cs="Times New Roman"/>
          <w:i/>
          <w:lang w:val="en-US"/>
        </w:rPr>
        <w:t xml:space="preserve">Current Legal Problems, 65, </w:t>
      </w:r>
      <w:r>
        <w:rPr>
          <w:rFonts w:ascii="Times New Roman" w:hAnsi="Times New Roman" w:cs="Times New Roman"/>
          <w:lang w:val="en-US"/>
        </w:rPr>
        <w:t>333-354.</w:t>
      </w:r>
    </w:p>
    <w:p w14:paraId="21CA3BB8" w14:textId="77777777" w:rsidR="00D87163" w:rsidRDefault="00D87163" w:rsidP="00D40345">
      <w:pPr>
        <w:widowControl w:val="0"/>
        <w:autoSpaceDE w:val="0"/>
        <w:autoSpaceDN w:val="0"/>
        <w:adjustRightInd w:val="0"/>
        <w:rPr>
          <w:rFonts w:ascii="Times New Roman" w:hAnsi="Times New Roman" w:cs="Times New Roman"/>
          <w:lang w:val="en-US"/>
        </w:rPr>
      </w:pPr>
    </w:p>
    <w:p w14:paraId="57329F2C" w14:textId="64FB8FD8" w:rsidR="00D40345" w:rsidRDefault="00D40345" w:rsidP="00D4034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Sabat, S., &amp; Harré, R. (1992). The Construction and Deconstruction of Self in Alzheimer’s Disease. </w:t>
      </w:r>
      <w:r>
        <w:rPr>
          <w:rFonts w:ascii="Times New Roman" w:hAnsi="Times New Roman" w:cs="Times New Roman"/>
          <w:i/>
          <w:lang w:val="en-US"/>
        </w:rPr>
        <w:t xml:space="preserve">Ageing &amp; Society, 12, </w:t>
      </w:r>
      <w:r>
        <w:rPr>
          <w:rFonts w:ascii="Times New Roman" w:hAnsi="Times New Roman" w:cs="Times New Roman"/>
          <w:lang w:val="en-US"/>
        </w:rPr>
        <w:t>443-461.</w:t>
      </w:r>
    </w:p>
    <w:p w14:paraId="16BBFA9E" w14:textId="77777777" w:rsidR="005A2F73" w:rsidRDefault="005A2F73" w:rsidP="00D40345">
      <w:pPr>
        <w:widowControl w:val="0"/>
        <w:autoSpaceDE w:val="0"/>
        <w:autoSpaceDN w:val="0"/>
        <w:adjustRightInd w:val="0"/>
        <w:rPr>
          <w:rFonts w:ascii="Times New Roman" w:hAnsi="Times New Roman" w:cs="Times New Roman"/>
          <w:lang w:val="en-US"/>
        </w:rPr>
      </w:pPr>
    </w:p>
    <w:p w14:paraId="644591BA" w14:textId="5106B60C" w:rsidR="005A2F73" w:rsidRPr="005A2F73" w:rsidRDefault="005A2F73" w:rsidP="005A2F7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Samsi, K., &amp; Manthorpe, J. (2013). Everyday Decision-Making in Dementia: F</w:t>
      </w:r>
      <w:r w:rsidRPr="005A2F73">
        <w:rPr>
          <w:rFonts w:ascii="Times New Roman" w:hAnsi="Times New Roman" w:cs="Times New Roman"/>
          <w:lang w:val="en-US"/>
        </w:rPr>
        <w:t>indings from a</w:t>
      </w:r>
    </w:p>
    <w:p w14:paraId="448A3B6B" w14:textId="639B360A" w:rsidR="005A2F73" w:rsidRPr="005A2F73" w:rsidRDefault="005A2F73" w:rsidP="005A2F7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Longitudinal Interview Study of People with D</w:t>
      </w:r>
      <w:r w:rsidRPr="005A2F73">
        <w:rPr>
          <w:rFonts w:ascii="Times New Roman" w:hAnsi="Times New Roman" w:cs="Times New Roman"/>
          <w:lang w:val="en-US"/>
        </w:rPr>
        <w:t>ementia and</w:t>
      </w:r>
      <w:r>
        <w:rPr>
          <w:rFonts w:ascii="Times New Roman" w:hAnsi="Times New Roman" w:cs="Times New Roman"/>
          <w:lang w:val="en-US"/>
        </w:rPr>
        <w:t xml:space="preserve"> Family C</w:t>
      </w:r>
      <w:r w:rsidRPr="005A2F73">
        <w:rPr>
          <w:rFonts w:ascii="Times New Roman" w:hAnsi="Times New Roman" w:cs="Times New Roman"/>
          <w:lang w:val="en-US"/>
        </w:rPr>
        <w:t>arers</w:t>
      </w:r>
      <w:r>
        <w:rPr>
          <w:rFonts w:ascii="Times New Roman" w:hAnsi="Times New Roman" w:cs="Times New Roman"/>
          <w:lang w:val="en-US"/>
        </w:rPr>
        <w:t xml:space="preserve">. </w:t>
      </w:r>
      <w:r>
        <w:rPr>
          <w:rFonts w:ascii="Times New Roman" w:hAnsi="Times New Roman" w:cs="Times New Roman"/>
          <w:i/>
          <w:lang w:val="en-US"/>
        </w:rPr>
        <w:t xml:space="preserve">International Psychogeriatrics, 25, </w:t>
      </w:r>
      <w:r>
        <w:rPr>
          <w:rFonts w:ascii="Times New Roman" w:hAnsi="Times New Roman" w:cs="Times New Roman"/>
          <w:lang w:val="en-US"/>
        </w:rPr>
        <w:t>949-961.</w:t>
      </w:r>
    </w:p>
    <w:p w14:paraId="4C112CD8" w14:textId="77777777" w:rsidR="00D40345" w:rsidRDefault="00D40345" w:rsidP="009235E6">
      <w:pPr>
        <w:widowControl w:val="0"/>
        <w:autoSpaceDE w:val="0"/>
        <w:autoSpaceDN w:val="0"/>
        <w:adjustRightInd w:val="0"/>
        <w:rPr>
          <w:rFonts w:ascii="Times New Roman" w:hAnsi="Times New Roman" w:cs="Times New Roman"/>
          <w:lang w:val="en-US"/>
        </w:rPr>
      </w:pPr>
    </w:p>
    <w:p w14:paraId="2671BB7C" w14:textId="021E15AF" w:rsidR="009235E6" w:rsidRDefault="009235E6"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Series, L. (2015). Relationships, Autonomy and Legal Capacity: Mental Capacity and Support P</w:t>
      </w:r>
      <w:r w:rsidRPr="009235E6">
        <w:rPr>
          <w:rFonts w:ascii="Times New Roman" w:hAnsi="Times New Roman" w:cs="Times New Roman"/>
          <w:lang w:val="en-US"/>
        </w:rPr>
        <w:t>aradigms</w:t>
      </w:r>
      <w:r>
        <w:rPr>
          <w:rFonts w:ascii="Times New Roman" w:hAnsi="Times New Roman" w:cs="Times New Roman"/>
          <w:lang w:val="en-US"/>
        </w:rPr>
        <w:t xml:space="preserve">. </w:t>
      </w:r>
      <w:r>
        <w:rPr>
          <w:rFonts w:ascii="Times New Roman" w:hAnsi="Times New Roman" w:cs="Times New Roman"/>
          <w:i/>
          <w:lang w:val="en-US"/>
        </w:rPr>
        <w:t xml:space="preserve">International Journal of Law and Psychiatry, 40, </w:t>
      </w:r>
      <w:r>
        <w:rPr>
          <w:rFonts w:ascii="Times New Roman" w:hAnsi="Times New Roman" w:cs="Times New Roman"/>
          <w:lang w:val="en-US"/>
        </w:rPr>
        <w:t>80-91.</w:t>
      </w:r>
    </w:p>
    <w:p w14:paraId="7C3F9093" w14:textId="77777777" w:rsidR="00C54FA3" w:rsidRDefault="00C54FA3" w:rsidP="009235E6">
      <w:pPr>
        <w:widowControl w:val="0"/>
        <w:autoSpaceDE w:val="0"/>
        <w:autoSpaceDN w:val="0"/>
        <w:adjustRightInd w:val="0"/>
        <w:rPr>
          <w:rFonts w:ascii="Times New Roman" w:hAnsi="Times New Roman" w:cs="Times New Roman"/>
          <w:lang w:val="en-US"/>
        </w:rPr>
      </w:pPr>
    </w:p>
    <w:p w14:paraId="2D9A5402" w14:textId="2EFFAEC6" w:rsidR="00C54FA3" w:rsidRPr="00C54FA3" w:rsidRDefault="00C54FA3"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Shakespeare, T. (2014). </w:t>
      </w:r>
      <w:r>
        <w:rPr>
          <w:rFonts w:ascii="Times New Roman" w:hAnsi="Times New Roman" w:cs="Times New Roman"/>
          <w:i/>
          <w:lang w:val="en-US"/>
        </w:rPr>
        <w:t xml:space="preserve">Disability Rights and Wrongs Revisited. </w:t>
      </w:r>
      <w:r>
        <w:rPr>
          <w:rFonts w:ascii="Times New Roman" w:hAnsi="Times New Roman" w:cs="Times New Roman"/>
          <w:lang w:val="en-US"/>
        </w:rPr>
        <w:t>(2</w:t>
      </w:r>
      <w:r w:rsidRPr="00C54FA3">
        <w:rPr>
          <w:rFonts w:ascii="Times New Roman" w:hAnsi="Times New Roman" w:cs="Times New Roman"/>
          <w:vertAlign w:val="superscript"/>
          <w:lang w:val="en-US"/>
        </w:rPr>
        <w:t>nd</w:t>
      </w:r>
      <w:r>
        <w:rPr>
          <w:rFonts w:ascii="Times New Roman" w:hAnsi="Times New Roman" w:cs="Times New Roman"/>
          <w:lang w:val="en-US"/>
        </w:rPr>
        <w:t xml:space="preserve"> ed.). Abingdon: Routledge.</w:t>
      </w:r>
    </w:p>
    <w:p w14:paraId="74B67079" w14:textId="77777777" w:rsidR="000727CB" w:rsidRDefault="000727CB" w:rsidP="009235E6">
      <w:pPr>
        <w:widowControl w:val="0"/>
        <w:autoSpaceDE w:val="0"/>
        <w:autoSpaceDN w:val="0"/>
        <w:adjustRightInd w:val="0"/>
        <w:rPr>
          <w:rFonts w:ascii="Times New Roman" w:hAnsi="Times New Roman" w:cs="Times New Roman"/>
          <w:lang w:val="en-US"/>
        </w:rPr>
      </w:pPr>
    </w:p>
    <w:p w14:paraId="1605C114" w14:textId="55E0B061" w:rsidR="000727CB" w:rsidRPr="004E07BF" w:rsidRDefault="000727CB" w:rsidP="000727CB">
      <w:pPr>
        <w:rPr>
          <w:rFonts w:ascii="Times New Roman" w:eastAsia="Times New Roman" w:hAnsi="Times New Roman" w:cs="Times New Roman"/>
          <w:lang w:val="en-US"/>
        </w:rPr>
      </w:pPr>
      <w:r w:rsidRPr="004E07BF">
        <w:rPr>
          <w:rFonts w:ascii="Times New Roman" w:hAnsi="Times New Roman" w:cs="Times New Roman"/>
          <w:lang w:val="en-US"/>
        </w:rPr>
        <w:t>Shakespeare, T., Zeilig, H., &amp; Mittler</w:t>
      </w:r>
      <w:r w:rsidRPr="00946339">
        <w:rPr>
          <w:rFonts w:ascii="Times New Roman" w:hAnsi="Times New Roman" w:cs="Times New Roman"/>
          <w:lang w:val="en-US"/>
        </w:rPr>
        <w:t xml:space="preserve">, P. (2017). Rights in mind: Thinking Differently About Dementia and Disability. </w:t>
      </w:r>
      <w:r w:rsidRPr="00946339">
        <w:rPr>
          <w:rFonts w:ascii="Times New Roman" w:hAnsi="Times New Roman" w:cs="Times New Roman"/>
          <w:i/>
          <w:lang w:val="en-US"/>
        </w:rPr>
        <w:t>Dementia</w:t>
      </w:r>
      <w:r w:rsidRPr="00946339">
        <w:rPr>
          <w:rFonts w:ascii="Times New Roman" w:hAnsi="Times New Roman" w:cs="Times New Roman"/>
          <w:lang w:val="en-US"/>
        </w:rPr>
        <w:t xml:space="preserve">, </w:t>
      </w:r>
      <w:r w:rsidRPr="00C54FA3">
        <w:rPr>
          <w:rFonts w:ascii="Times New Roman" w:hAnsi="Times New Roman" w:cs="Times New Roman"/>
          <w:i/>
          <w:lang w:val="en-US"/>
        </w:rPr>
        <w:t>Online First</w:t>
      </w:r>
      <w:r w:rsidRPr="00946339">
        <w:rPr>
          <w:rFonts w:ascii="Times New Roman" w:hAnsi="Times New Roman" w:cs="Times New Roman"/>
          <w:lang w:val="en-US"/>
        </w:rPr>
        <w:t xml:space="preserve">: </w:t>
      </w:r>
      <w:hyperlink r:id="rId11" w:history="1">
        <w:r w:rsidRPr="004E07BF">
          <w:rPr>
            <w:rStyle w:val="Hyperlink"/>
            <w:rFonts w:ascii="Times New Roman" w:eastAsia="Times New Roman" w:hAnsi="Times New Roman" w:cs="Times New Roman"/>
            <w:color w:val="336699"/>
            <w:shd w:val="clear" w:color="auto" w:fill="FFFFFF"/>
          </w:rPr>
          <w:t>https://doi.org/10.1177/1471301217701506</w:t>
        </w:r>
      </w:hyperlink>
    </w:p>
    <w:p w14:paraId="58FBC4EF" w14:textId="4DBEDEE3" w:rsidR="009235E6" w:rsidRDefault="009235E6" w:rsidP="00F302DA">
      <w:pPr>
        <w:widowControl w:val="0"/>
        <w:autoSpaceDE w:val="0"/>
        <w:autoSpaceDN w:val="0"/>
        <w:adjustRightInd w:val="0"/>
        <w:rPr>
          <w:rFonts w:ascii="Times New Roman" w:hAnsi="Times New Roman" w:cs="Times New Roman"/>
          <w:lang w:val="en-US"/>
        </w:rPr>
      </w:pPr>
    </w:p>
    <w:p w14:paraId="63622096" w14:textId="108DEB26" w:rsidR="005A2F73" w:rsidRPr="009D4032" w:rsidRDefault="005A2F73" w:rsidP="005A2F73">
      <w:pPr>
        <w:widowControl w:val="0"/>
        <w:autoSpaceDE w:val="0"/>
        <w:autoSpaceDN w:val="0"/>
        <w:adjustRightInd w:val="0"/>
        <w:rPr>
          <w:rFonts w:ascii="Times New Roman" w:hAnsi="Times New Roman" w:cs="Times New Roman"/>
          <w:b/>
          <w:bCs/>
          <w:lang w:val="en-US"/>
        </w:rPr>
      </w:pPr>
      <w:r>
        <w:rPr>
          <w:rFonts w:ascii="Times New Roman" w:hAnsi="Times New Roman" w:cs="Times New Roman"/>
          <w:lang w:val="en-US"/>
        </w:rPr>
        <w:t xml:space="preserve">Sinclair, C., Gersbach, K., Hogan, M., Bucks, R., Auret, K., Clayton, J., Agar, M., &amp; Kurrle, </w:t>
      </w:r>
      <w:r w:rsidRPr="00C54FA3">
        <w:rPr>
          <w:rFonts w:ascii="Times New Roman" w:hAnsi="Times New Roman" w:cs="Times New Roman"/>
          <w:lang w:val="en-US"/>
        </w:rPr>
        <w:t xml:space="preserve">S. (2018). </w:t>
      </w:r>
      <w:r w:rsidRPr="00C54FA3">
        <w:rPr>
          <w:rFonts w:ascii="Times New Roman" w:hAnsi="Times New Roman" w:cs="Times New Roman"/>
          <w:bCs/>
          <w:lang w:val="en-US"/>
        </w:rPr>
        <w:t xml:space="preserve">How Couples with Dementia Experience Healthcare, Lifestyle, and Everyday Decision-Making. </w:t>
      </w:r>
      <w:r w:rsidRPr="00C54FA3">
        <w:rPr>
          <w:rFonts w:ascii="Times New Roman" w:hAnsi="Times New Roman" w:cs="Times New Roman"/>
          <w:bCs/>
          <w:i/>
          <w:lang w:val="en-US"/>
        </w:rPr>
        <w:t>International Psychogeriatrics,</w:t>
      </w:r>
      <w:r w:rsidR="009D4032">
        <w:rPr>
          <w:rFonts w:ascii="Times New Roman" w:hAnsi="Times New Roman" w:cs="Times New Roman"/>
          <w:bCs/>
          <w:i/>
          <w:lang w:val="en-US"/>
        </w:rPr>
        <w:t xml:space="preserve"> 30, </w:t>
      </w:r>
      <w:r w:rsidR="009D4032">
        <w:rPr>
          <w:rFonts w:ascii="Times New Roman" w:hAnsi="Times New Roman" w:cs="Times New Roman"/>
          <w:bCs/>
          <w:lang w:val="en-US"/>
        </w:rPr>
        <w:t>1639-1647.</w:t>
      </w:r>
      <w:bookmarkStart w:id="0" w:name="_GoBack"/>
      <w:bookmarkEnd w:id="0"/>
    </w:p>
    <w:p w14:paraId="36ED0677" w14:textId="77777777" w:rsidR="005A2F73" w:rsidRDefault="005A2F73" w:rsidP="009235E6">
      <w:pPr>
        <w:widowControl w:val="0"/>
        <w:autoSpaceDE w:val="0"/>
        <w:autoSpaceDN w:val="0"/>
        <w:adjustRightInd w:val="0"/>
        <w:rPr>
          <w:rFonts w:ascii="Times New Roman" w:hAnsi="Times New Roman" w:cs="Times New Roman"/>
          <w:lang w:val="en-US"/>
        </w:rPr>
      </w:pPr>
    </w:p>
    <w:p w14:paraId="5B17BFDF" w14:textId="19760F63" w:rsidR="004E07BF" w:rsidRPr="00C1601E" w:rsidRDefault="004E07BF" w:rsidP="009235E6">
      <w:pPr>
        <w:widowControl w:val="0"/>
        <w:autoSpaceDE w:val="0"/>
        <w:autoSpaceDN w:val="0"/>
        <w:adjustRightInd w:val="0"/>
        <w:rPr>
          <w:rFonts w:ascii="Times New Roman" w:hAnsi="Times New Roman" w:cs="Times New Roman"/>
          <w:b/>
          <w:bCs/>
          <w:lang w:val="en-US"/>
        </w:rPr>
      </w:pPr>
      <w:r>
        <w:rPr>
          <w:rFonts w:ascii="Times New Roman" w:hAnsi="Times New Roman" w:cs="Times New Roman"/>
          <w:lang w:val="en-US"/>
        </w:rPr>
        <w:t xml:space="preserve">Skowron, P. (2016). </w:t>
      </w:r>
      <w:r w:rsidRPr="004E07BF">
        <w:rPr>
          <w:rFonts w:ascii="Times New Roman" w:hAnsi="Times New Roman" w:cs="Times New Roman"/>
          <w:bCs/>
          <w:lang w:val="en-US"/>
        </w:rPr>
        <w:t>The Implications of Meno’s Paradox for the Mental Capacity Act 2005</w:t>
      </w:r>
      <w:r>
        <w:rPr>
          <w:rFonts w:ascii="Times New Roman" w:hAnsi="Times New Roman" w:cs="Times New Roman"/>
          <w:bCs/>
          <w:lang w:val="en-US"/>
        </w:rPr>
        <w:t xml:space="preserve">. </w:t>
      </w:r>
      <w:r>
        <w:rPr>
          <w:rFonts w:ascii="Times New Roman" w:hAnsi="Times New Roman" w:cs="Times New Roman"/>
          <w:bCs/>
          <w:i/>
          <w:lang w:val="en-US"/>
        </w:rPr>
        <w:t xml:space="preserve">Medical Law Review, 24, </w:t>
      </w:r>
      <w:r>
        <w:rPr>
          <w:rFonts w:ascii="Times New Roman" w:hAnsi="Times New Roman" w:cs="Times New Roman"/>
          <w:bCs/>
          <w:lang w:val="en-US"/>
        </w:rPr>
        <w:t>379-395.</w:t>
      </w:r>
    </w:p>
    <w:p w14:paraId="6B511E9C" w14:textId="77777777" w:rsidR="004E07BF" w:rsidRDefault="004E07BF" w:rsidP="009235E6">
      <w:pPr>
        <w:widowControl w:val="0"/>
        <w:autoSpaceDE w:val="0"/>
        <w:autoSpaceDN w:val="0"/>
        <w:adjustRightInd w:val="0"/>
        <w:rPr>
          <w:rFonts w:ascii="Times New Roman" w:hAnsi="Times New Roman" w:cs="Times New Roman"/>
          <w:lang w:val="en-US"/>
        </w:rPr>
      </w:pPr>
    </w:p>
    <w:p w14:paraId="2F0BE5C9" w14:textId="456AFF91" w:rsidR="00B36DED" w:rsidRDefault="000A1CB7"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Skowron, P. (F</w:t>
      </w:r>
      <w:r w:rsidR="00B36DED">
        <w:rPr>
          <w:rFonts w:ascii="Times New Roman" w:hAnsi="Times New Roman" w:cs="Times New Roman"/>
          <w:lang w:val="en-US"/>
        </w:rPr>
        <w:t xml:space="preserve">orthcoming). Giving Substance to “the Best Interpretation of Will and Preference”. </w:t>
      </w:r>
    </w:p>
    <w:p w14:paraId="6DFECEB8" w14:textId="77777777" w:rsidR="00B36DED" w:rsidRDefault="00B36DED" w:rsidP="009235E6">
      <w:pPr>
        <w:widowControl w:val="0"/>
        <w:autoSpaceDE w:val="0"/>
        <w:autoSpaceDN w:val="0"/>
        <w:adjustRightInd w:val="0"/>
        <w:rPr>
          <w:rFonts w:ascii="Times New Roman" w:hAnsi="Times New Roman" w:cs="Times New Roman"/>
          <w:lang w:val="en-US"/>
        </w:rPr>
      </w:pPr>
    </w:p>
    <w:p w14:paraId="687656F5" w14:textId="767B29C8" w:rsidR="009235E6" w:rsidRDefault="009235E6" w:rsidP="009235E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Stavert, J. (2015). </w:t>
      </w:r>
      <w:r w:rsidRPr="009235E6">
        <w:rPr>
          <w:rFonts w:ascii="Times New Roman" w:hAnsi="Times New Roman" w:cs="Times New Roman"/>
          <w:lang w:val="en-US"/>
        </w:rPr>
        <w:t>The Exercise of Legal Capa</w:t>
      </w:r>
      <w:r>
        <w:rPr>
          <w:rFonts w:ascii="Times New Roman" w:hAnsi="Times New Roman" w:cs="Times New Roman"/>
          <w:lang w:val="en-US"/>
        </w:rPr>
        <w:t xml:space="preserve">city, Supported Decision-Making </w:t>
      </w:r>
      <w:r w:rsidRPr="009235E6">
        <w:rPr>
          <w:rFonts w:ascii="Times New Roman" w:hAnsi="Times New Roman" w:cs="Times New Roman"/>
          <w:lang w:val="en-US"/>
        </w:rPr>
        <w:t>and Scotland’s Mental Health and Incapacity Legislation:</w:t>
      </w:r>
      <w:r>
        <w:rPr>
          <w:rFonts w:ascii="Times New Roman" w:hAnsi="Times New Roman" w:cs="Times New Roman"/>
          <w:lang w:val="en-US"/>
        </w:rPr>
        <w:t xml:space="preserve"> </w:t>
      </w:r>
      <w:r w:rsidRPr="009235E6">
        <w:rPr>
          <w:rFonts w:ascii="Times New Roman" w:hAnsi="Times New Roman" w:cs="Times New Roman"/>
          <w:lang w:val="en-US"/>
        </w:rPr>
        <w:t>Working with CRPD Challenges</w:t>
      </w:r>
      <w:r>
        <w:rPr>
          <w:rFonts w:ascii="Times New Roman" w:hAnsi="Times New Roman" w:cs="Times New Roman"/>
          <w:lang w:val="en-US"/>
        </w:rPr>
        <w:t xml:space="preserve">. </w:t>
      </w:r>
      <w:r>
        <w:rPr>
          <w:rFonts w:ascii="Times New Roman" w:hAnsi="Times New Roman" w:cs="Times New Roman"/>
          <w:i/>
          <w:lang w:val="en-US"/>
        </w:rPr>
        <w:t xml:space="preserve">Laws, 8, </w:t>
      </w:r>
      <w:r>
        <w:rPr>
          <w:rFonts w:ascii="Times New Roman" w:hAnsi="Times New Roman" w:cs="Times New Roman"/>
          <w:lang w:val="en-US"/>
        </w:rPr>
        <w:t>296-313.</w:t>
      </w:r>
    </w:p>
    <w:p w14:paraId="03FE0811" w14:textId="77777777" w:rsidR="00D40345" w:rsidRDefault="00D40345" w:rsidP="009235E6">
      <w:pPr>
        <w:widowControl w:val="0"/>
        <w:autoSpaceDE w:val="0"/>
        <w:autoSpaceDN w:val="0"/>
        <w:adjustRightInd w:val="0"/>
        <w:rPr>
          <w:rFonts w:ascii="Times New Roman" w:hAnsi="Times New Roman" w:cs="Times New Roman"/>
          <w:lang w:val="en-US"/>
        </w:rPr>
      </w:pPr>
    </w:p>
    <w:p w14:paraId="3D696916" w14:textId="3A1F9240" w:rsidR="00D40345" w:rsidRPr="00D40345" w:rsidRDefault="00D40345" w:rsidP="00D4034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Steeman, E., </w:t>
      </w:r>
      <w:r w:rsidRPr="00D40345">
        <w:rPr>
          <w:rFonts w:ascii="Times New Roman" w:hAnsi="Times New Roman" w:cs="Times New Roman"/>
          <w:lang w:val="en-US"/>
        </w:rPr>
        <w:t>Godderis</w:t>
      </w:r>
      <w:r>
        <w:rPr>
          <w:rFonts w:ascii="Times New Roman" w:hAnsi="Times New Roman" w:cs="Times New Roman"/>
          <w:lang w:val="en-US"/>
        </w:rPr>
        <w:t>,</w:t>
      </w:r>
      <w:r w:rsidRPr="00D40345">
        <w:rPr>
          <w:rFonts w:ascii="Times New Roman" w:hAnsi="Times New Roman" w:cs="Times New Roman"/>
          <w:lang w:val="en-US"/>
        </w:rPr>
        <w:t xml:space="preserve"> J</w:t>
      </w:r>
      <w:r>
        <w:rPr>
          <w:rFonts w:ascii="Times New Roman" w:hAnsi="Times New Roman" w:cs="Times New Roman"/>
          <w:lang w:val="en-US"/>
        </w:rPr>
        <w:t>.</w:t>
      </w:r>
      <w:r w:rsidRPr="00D40345">
        <w:rPr>
          <w:rFonts w:ascii="Times New Roman" w:hAnsi="Times New Roman" w:cs="Times New Roman"/>
          <w:lang w:val="en-US"/>
        </w:rPr>
        <w:t>, Grypdonck</w:t>
      </w:r>
      <w:r>
        <w:rPr>
          <w:rFonts w:ascii="Times New Roman" w:hAnsi="Times New Roman" w:cs="Times New Roman"/>
          <w:lang w:val="en-US"/>
        </w:rPr>
        <w:t>,</w:t>
      </w:r>
      <w:r w:rsidRPr="00D40345">
        <w:rPr>
          <w:rFonts w:ascii="Times New Roman" w:hAnsi="Times New Roman" w:cs="Times New Roman"/>
          <w:lang w:val="en-US"/>
        </w:rPr>
        <w:t xml:space="preserve"> M</w:t>
      </w:r>
      <w:r>
        <w:rPr>
          <w:rFonts w:ascii="Times New Roman" w:hAnsi="Times New Roman" w:cs="Times New Roman"/>
          <w:lang w:val="en-US"/>
        </w:rPr>
        <w:t>.</w:t>
      </w:r>
      <w:r w:rsidRPr="00D40345">
        <w:rPr>
          <w:rFonts w:ascii="Times New Roman" w:hAnsi="Times New Roman" w:cs="Times New Roman"/>
          <w:lang w:val="en-US"/>
        </w:rPr>
        <w:t>, De Bal</w:t>
      </w:r>
      <w:r>
        <w:rPr>
          <w:rFonts w:ascii="Times New Roman" w:hAnsi="Times New Roman" w:cs="Times New Roman"/>
          <w:lang w:val="en-US"/>
        </w:rPr>
        <w:t>,</w:t>
      </w:r>
      <w:r w:rsidRPr="00D40345">
        <w:rPr>
          <w:rFonts w:ascii="Times New Roman" w:hAnsi="Times New Roman" w:cs="Times New Roman"/>
          <w:lang w:val="en-US"/>
        </w:rPr>
        <w:t xml:space="preserve"> N</w:t>
      </w:r>
      <w:r>
        <w:rPr>
          <w:rFonts w:ascii="Times New Roman" w:hAnsi="Times New Roman" w:cs="Times New Roman"/>
          <w:lang w:val="en-US"/>
        </w:rPr>
        <w:t>.</w:t>
      </w:r>
      <w:r w:rsidRPr="00D40345">
        <w:rPr>
          <w:rFonts w:ascii="Times New Roman" w:hAnsi="Times New Roman" w:cs="Times New Roman"/>
          <w:lang w:val="en-US"/>
        </w:rPr>
        <w:t>, Dierckx de Casterlé</w:t>
      </w:r>
      <w:r>
        <w:rPr>
          <w:rFonts w:ascii="Times New Roman" w:hAnsi="Times New Roman" w:cs="Times New Roman"/>
          <w:lang w:val="en-US"/>
        </w:rPr>
        <w:t>,</w:t>
      </w:r>
      <w:r w:rsidRPr="00D40345">
        <w:rPr>
          <w:rFonts w:ascii="Times New Roman" w:hAnsi="Times New Roman" w:cs="Times New Roman"/>
          <w:lang w:val="en-US"/>
        </w:rPr>
        <w:t xml:space="preserve"> B.</w:t>
      </w:r>
      <w:r>
        <w:rPr>
          <w:rFonts w:ascii="Times New Roman" w:hAnsi="Times New Roman" w:cs="Times New Roman"/>
          <w:lang w:val="en-US"/>
        </w:rPr>
        <w:t xml:space="preserve"> (2007). Living with Dementia from the Perspective of Older People: Is it a Positive Story? </w:t>
      </w:r>
      <w:r>
        <w:rPr>
          <w:rFonts w:ascii="Times New Roman" w:hAnsi="Times New Roman" w:cs="Times New Roman"/>
          <w:i/>
          <w:lang w:val="en-US"/>
        </w:rPr>
        <w:t>Aging &amp; Mental Health, 11</w:t>
      </w:r>
      <w:r>
        <w:rPr>
          <w:rFonts w:ascii="Times New Roman" w:hAnsi="Times New Roman" w:cs="Times New Roman"/>
          <w:lang w:val="en-US"/>
        </w:rPr>
        <w:t>, 119-130.</w:t>
      </w:r>
    </w:p>
    <w:p w14:paraId="64A55E40" w14:textId="77777777" w:rsidR="009235E6" w:rsidRDefault="009235E6" w:rsidP="009235E6">
      <w:pPr>
        <w:widowControl w:val="0"/>
        <w:autoSpaceDE w:val="0"/>
        <w:autoSpaceDN w:val="0"/>
        <w:adjustRightInd w:val="0"/>
        <w:rPr>
          <w:rFonts w:ascii="Times New Roman" w:hAnsi="Times New Roman" w:cs="Times New Roman"/>
          <w:lang w:val="en-US"/>
        </w:rPr>
      </w:pPr>
    </w:p>
    <w:p w14:paraId="30A02C50" w14:textId="4E77F055" w:rsidR="00F302DA" w:rsidRPr="00757EDE" w:rsidRDefault="009235E6" w:rsidP="00D4034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Szmukler, G. (2017). </w:t>
      </w:r>
      <w:r w:rsidRPr="009235E6">
        <w:rPr>
          <w:rFonts w:ascii="Times New Roman" w:hAnsi="Times New Roman" w:cs="Times New Roman"/>
          <w:lang w:val="en-US"/>
        </w:rPr>
        <w:t xml:space="preserve">The UN Convention on the Rights of Persons with </w:t>
      </w:r>
      <w:r>
        <w:rPr>
          <w:rFonts w:ascii="Times New Roman" w:hAnsi="Times New Roman" w:cs="Times New Roman"/>
          <w:lang w:val="en-US"/>
        </w:rPr>
        <w:t>Disabilities: ‘Rights, Will and Preferences’ in Relation to Mental Health D</w:t>
      </w:r>
      <w:r w:rsidRPr="009235E6">
        <w:rPr>
          <w:rFonts w:ascii="Times New Roman" w:hAnsi="Times New Roman" w:cs="Times New Roman"/>
          <w:lang w:val="en-US"/>
        </w:rPr>
        <w:t>isabilities</w:t>
      </w:r>
      <w:r>
        <w:rPr>
          <w:rFonts w:ascii="Times New Roman" w:hAnsi="Times New Roman" w:cs="Times New Roman"/>
          <w:lang w:val="en-US"/>
        </w:rPr>
        <w:t xml:space="preserve">. </w:t>
      </w:r>
      <w:r>
        <w:rPr>
          <w:rFonts w:ascii="Times New Roman" w:hAnsi="Times New Roman" w:cs="Times New Roman"/>
          <w:i/>
          <w:lang w:val="en-US"/>
        </w:rPr>
        <w:t xml:space="preserve">International Journal of Law and Psychiatry, 54, </w:t>
      </w:r>
      <w:r>
        <w:rPr>
          <w:rFonts w:ascii="Times New Roman" w:hAnsi="Times New Roman" w:cs="Times New Roman"/>
          <w:lang w:val="en-US"/>
        </w:rPr>
        <w:t>90-97.</w:t>
      </w:r>
    </w:p>
    <w:p w14:paraId="0BD0D5FA" w14:textId="77777777" w:rsidR="00F302DA" w:rsidRDefault="00F302DA" w:rsidP="00D40345">
      <w:pPr>
        <w:rPr>
          <w:rFonts w:ascii="Times New Roman" w:hAnsi="Times New Roman" w:cs="Times New Roman"/>
        </w:rPr>
      </w:pPr>
    </w:p>
    <w:p w14:paraId="578E933D" w14:textId="272F0BEB" w:rsidR="00F302DA" w:rsidRDefault="00CB33CD" w:rsidP="00D40345">
      <w:pPr>
        <w:rPr>
          <w:rFonts w:ascii="Times New Roman" w:hAnsi="Times New Roman" w:cs="Times New Roman"/>
        </w:rPr>
      </w:pPr>
      <w:r>
        <w:rPr>
          <w:rFonts w:ascii="Times New Roman" w:hAnsi="Times New Roman" w:cs="Times New Roman"/>
        </w:rPr>
        <w:t xml:space="preserve">Verkerk, M. (1999). A Care Perspective on Coercion and Autonomy. </w:t>
      </w:r>
      <w:r>
        <w:rPr>
          <w:rFonts w:ascii="Times New Roman" w:hAnsi="Times New Roman" w:cs="Times New Roman"/>
          <w:i/>
        </w:rPr>
        <w:t xml:space="preserve">Bioethics, 13, </w:t>
      </w:r>
      <w:r>
        <w:rPr>
          <w:rFonts w:ascii="Times New Roman" w:hAnsi="Times New Roman" w:cs="Times New Roman"/>
        </w:rPr>
        <w:t>358-368.</w:t>
      </w:r>
    </w:p>
    <w:p w14:paraId="22A1F4C6" w14:textId="77777777" w:rsidR="00D40345" w:rsidRDefault="00D40345" w:rsidP="00D40345">
      <w:pPr>
        <w:rPr>
          <w:rFonts w:ascii="Times New Roman" w:hAnsi="Times New Roman" w:cs="Times New Roman"/>
        </w:rPr>
      </w:pPr>
    </w:p>
    <w:p w14:paraId="3A8A171F" w14:textId="21871197" w:rsidR="00D40345" w:rsidRDefault="00D40345" w:rsidP="00D4034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Williams, V., Boyle, G., Jepson, M., Swift, P., Williamson, T., &amp; Heslop, P. (2012). </w:t>
      </w:r>
      <w:r w:rsidRPr="00D40345">
        <w:rPr>
          <w:rFonts w:ascii="Times New Roman" w:hAnsi="Times New Roman" w:cs="Times New Roman"/>
          <w:i/>
          <w:lang w:val="en-US"/>
        </w:rPr>
        <w:t>Making Best Interests Decisions: People and Processes.</w:t>
      </w:r>
      <w:r>
        <w:rPr>
          <w:rFonts w:ascii="Times New Roman" w:hAnsi="Times New Roman" w:cs="Times New Roman"/>
          <w:lang w:val="en-US"/>
        </w:rPr>
        <w:t xml:space="preserve"> London: Mental Health Foundation.</w:t>
      </w:r>
    </w:p>
    <w:p w14:paraId="71176035" w14:textId="77777777" w:rsidR="00D40345" w:rsidRDefault="00D40345" w:rsidP="00D40345">
      <w:pPr>
        <w:widowControl w:val="0"/>
        <w:autoSpaceDE w:val="0"/>
        <w:autoSpaceDN w:val="0"/>
        <w:adjustRightInd w:val="0"/>
        <w:rPr>
          <w:rFonts w:ascii="Times New Roman" w:hAnsi="Times New Roman" w:cs="Times New Roman"/>
          <w:lang w:val="en-US"/>
        </w:rPr>
      </w:pPr>
    </w:p>
    <w:p w14:paraId="3A38050E" w14:textId="55187D4D" w:rsidR="00D40345" w:rsidRDefault="00D40345" w:rsidP="00D4034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Williamson, T., Boyle, G., Heslop, P., Jepson, M., Swift, P., &amp; Williams, V. (2012) Listening to the Lady in the Bed: The Mental Capacity Act 2005 in Practice for Older People. </w:t>
      </w:r>
      <w:r>
        <w:rPr>
          <w:rFonts w:ascii="Times New Roman" w:hAnsi="Times New Roman" w:cs="Times New Roman"/>
          <w:i/>
          <w:lang w:val="en-US"/>
        </w:rPr>
        <w:t xml:space="preserve">Elder Law Journal, 2, </w:t>
      </w:r>
      <w:r>
        <w:rPr>
          <w:rFonts w:ascii="Times New Roman" w:hAnsi="Times New Roman" w:cs="Times New Roman"/>
          <w:lang w:val="en-US"/>
        </w:rPr>
        <w:t>185-192.</w:t>
      </w:r>
    </w:p>
    <w:p w14:paraId="6F3C6441" w14:textId="77777777" w:rsidR="003163EC" w:rsidRDefault="003163EC" w:rsidP="00D40345">
      <w:pPr>
        <w:widowControl w:val="0"/>
        <w:autoSpaceDE w:val="0"/>
        <w:autoSpaceDN w:val="0"/>
        <w:adjustRightInd w:val="0"/>
        <w:rPr>
          <w:rFonts w:ascii="Times New Roman" w:hAnsi="Times New Roman" w:cs="Times New Roman"/>
          <w:lang w:val="en-US"/>
        </w:rPr>
      </w:pPr>
    </w:p>
    <w:p w14:paraId="39CB9DA3" w14:textId="0B39E799" w:rsidR="003163EC" w:rsidRPr="003163EC" w:rsidRDefault="003163EC" w:rsidP="003163EC">
      <w:pPr>
        <w:rPr>
          <w:rFonts w:ascii="Times New Roman" w:eastAsia="Times New Roman" w:hAnsi="Times New Roman" w:cs="Times New Roman"/>
          <w:lang w:val="en-US"/>
        </w:rPr>
      </w:pPr>
      <w:r>
        <w:rPr>
          <w:rFonts w:ascii="Times New Roman" w:hAnsi="Times New Roman" w:cs="Times New Roman"/>
          <w:lang w:val="en-US"/>
        </w:rPr>
        <w:t xml:space="preserve">Wolverson, E., Clarke, C., &amp; Moniz-Cook, E. (2016). </w:t>
      </w:r>
      <w:r>
        <w:rPr>
          <w:rFonts w:ascii="Times New Roman" w:eastAsia="Times New Roman" w:hAnsi="Times New Roman" w:cs="Times New Roman"/>
          <w:lang w:val="en-US"/>
        </w:rPr>
        <w:t>Living Positively with Dementia: A Systematic Review and Synthesis of the Qualitative L</w:t>
      </w:r>
      <w:r w:rsidRPr="003163EC">
        <w:rPr>
          <w:rFonts w:ascii="Times New Roman" w:eastAsia="Times New Roman" w:hAnsi="Times New Roman" w:cs="Times New Roman"/>
          <w:lang w:val="en-US"/>
        </w:rPr>
        <w:t>iterature</w:t>
      </w:r>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 xml:space="preserve">Aging &amp; Mental Health, 20, </w:t>
      </w:r>
      <w:r>
        <w:rPr>
          <w:rFonts w:ascii="Times New Roman" w:eastAsia="Times New Roman" w:hAnsi="Times New Roman" w:cs="Times New Roman"/>
          <w:lang w:val="en-US"/>
        </w:rPr>
        <w:t>676-699.</w:t>
      </w:r>
    </w:p>
    <w:p w14:paraId="7ADF0380" w14:textId="1886D5EF" w:rsidR="003163EC" w:rsidRPr="00D40345" w:rsidRDefault="003163EC" w:rsidP="00D40345">
      <w:pPr>
        <w:widowControl w:val="0"/>
        <w:autoSpaceDE w:val="0"/>
        <w:autoSpaceDN w:val="0"/>
        <w:adjustRightInd w:val="0"/>
        <w:rPr>
          <w:rFonts w:ascii="Times New Roman" w:hAnsi="Times New Roman" w:cs="Times New Roman"/>
          <w:lang w:val="en-US"/>
        </w:rPr>
      </w:pPr>
    </w:p>
    <w:p w14:paraId="4CD5D633" w14:textId="77777777" w:rsidR="00D40345" w:rsidRPr="00685CFE" w:rsidRDefault="00D40345" w:rsidP="00F302DA">
      <w:pPr>
        <w:spacing w:line="360" w:lineRule="auto"/>
        <w:rPr>
          <w:rFonts w:ascii="Times New Roman" w:hAnsi="Times New Roman" w:cs="Times New Roman"/>
        </w:rPr>
      </w:pPr>
    </w:p>
    <w:sectPr w:rsidR="00D40345" w:rsidRPr="00685CFE" w:rsidSect="00C640CC">
      <w:footerReference w:type="even" r:id="rId12"/>
      <w:footerReference w:type="default" r:id="rId13"/>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929E" w14:textId="77777777" w:rsidR="00031B44" w:rsidRDefault="00031B44" w:rsidP="007326DE">
      <w:r>
        <w:separator/>
      </w:r>
    </w:p>
  </w:endnote>
  <w:endnote w:type="continuationSeparator" w:id="0">
    <w:p w14:paraId="5163CC63" w14:textId="77777777" w:rsidR="00031B44" w:rsidRDefault="00031B44" w:rsidP="007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2714" w14:textId="77777777" w:rsidR="0020072E" w:rsidRDefault="0020072E" w:rsidP="005870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9583F" w14:textId="77777777" w:rsidR="0020072E" w:rsidRDefault="0020072E" w:rsidP="002007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3E6A" w14:textId="77777777" w:rsidR="0020072E" w:rsidRDefault="0020072E" w:rsidP="005870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B44">
      <w:rPr>
        <w:rStyle w:val="PageNumber"/>
        <w:noProof/>
      </w:rPr>
      <w:t>1</w:t>
    </w:r>
    <w:r>
      <w:rPr>
        <w:rStyle w:val="PageNumber"/>
      </w:rPr>
      <w:fldChar w:fldCharType="end"/>
    </w:r>
  </w:p>
  <w:p w14:paraId="4A96A142" w14:textId="77777777" w:rsidR="0020072E" w:rsidRDefault="0020072E" w:rsidP="002007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13CDB" w14:textId="77777777" w:rsidR="00031B44" w:rsidRDefault="00031B44" w:rsidP="007326DE">
      <w:r>
        <w:separator/>
      </w:r>
    </w:p>
  </w:footnote>
  <w:footnote w:type="continuationSeparator" w:id="0">
    <w:p w14:paraId="006C9D2D" w14:textId="77777777" w:rsidR="00031B44" w:rsidRDefault="00031B44" w:rsidP="007326DE">
      <w:r>
        <w:continuationSeparator/>
      </w:r>
    </w:p>
  </w:footnote>
  <w:footnote w:id="1">
    <w:p w14:paraId="346F1124" w14:textId="31D876E6" w:rsidR="007326DE" w:rsidRPr="00F302DA" w:rsidRDefault="007326DE" w:rsidP="00F302DA">
      <w:pPr>
        <w:widowControl w:val="0"/>
        <w:autoSpaceDE w:val="0"/>
        <w:autoSpaceDN w:val="0"/>
        <w:adjustRightInd w:val="0"/>
        <w:rPr>
          <w:rFonts w:ascii="Times New Roman" w:hAnsi="Times New Roman" w:cs="Times New Roman"/>
          <w:sz w:val="20"/>
          <w:szCs w:val="20"/>
          <w:lang w:val="en-US"/>
        </w:rPr>
      </w:pPr>
      <w:r w:rsidRPr="00F302DA">
        <w:rPr>
          <w:rStyle w:val="FootnoteReference"/>
          <w:rFonts w:ascii="Times New Roman" w:hAnsi="Times New Roman" w:cs="Times New Roman"/>
          <w:sz w:val="20"/>
          <w:szCs w:val="20"/>
        </w:rPr>
        <w:footnoteRef/>
      </w:r>
      <w:r w:rsidR="00F302DA" w:rsidRPr="00F302DA">
        <w:rPr>
          <w:rFonts w:ascii="Times New Roman" w:hAnsi="Times New Roman" w:cs="Times New Roman"/>
          <w:sz w:val="20"/>
          <w:szCs w:val="20"/>
        </w:rPr>
        <w:t xml:space="preserve"> </w:t>
      </w:r>
      <w:r w:rsidR="00F302DA" w:rsidRPr="00F302DA">
        <w:rPr>
          <w:rFonts w:ascii="Times New Roman" w:hAnsi="Times New Roman" w:cs="Times New Roman"/>
          <w:sz w:val="20"/>
          <w:szCs w:val="20"/>
          <w:lang w:val="en-US"/>
        </w:rPr>
        <w:t>Approximately 800,000 of around 850,000 persons living dementia in England and Wales are over the age of 65 (Alzheimer’s Society, 2014, viii-ix)</w:t>
      </w:r>
      <w:r w:rsidR="00F302DA">
        <w:rPr>
          <w:rFonts w:ascii="Times New Roman" w:hAnsi="Times New Roman" w:cs="Times New Roman"/>
          <w:sz w:val="20"/>
          <w:szCs w:val="20"/>
          <w:lang w:val="en-US"/>
        </w:rPr>
        <w:t>.</w:t>
      </w:r>
      <w:r w:rsidR="002C24CE">
        <w:rPr>
          <w:rFonts w:ascii="Times New Roman" w:hAnsi="Times New Roman" w:cs="Times New Roman"/>
          <w:sz w:val="20"/>
          <w:szCs w:val="20"/>
          <w:lang w:val="en-US"/>
        </w:rPr>
        <w:t xml:space="preserve"> For an early discussion of its potential for older people more generally, see Kanter (2009).</w:t>
      </w:r>
    </w:p>
  </w:footnote>
  <w:footnote w:id="2">
    <w:p w14:paraId="50B20167" w14:textId="5F8D5326" w:rsidR="003B4FDE" w:rsidRDefault="003B4FDE" w:rsidP="00DC2546">
      <w:pPr>
        <w:pStyle w:val="FootnoteText"/>
        <w:jc w:val="both"/>
      </w:pPr>
      <w:r w:rsidRPr="00DC2546">
        <w:rPr>
          <w:rStyle w:val="FootnoteReference"/>
          <w:rFonts w:ascii="Times New Roman" w:hAnsi="Times New Roman" w:cs="Times New Roman"/>
          <w:sz w:val="20"/>
          <w:szCs w:val="20"/>
        </w:rPr>
        <w:footnoteRef/>
      </w:r>
      <w:r w:rsidR="00F302DA">
        <w:rPr>
          <w:rFonts w:ascii="Times New Roman" w:hAnsi="Times New Roman" w:cs="Times New Roman"/>
          <w:sz w:val="20"/>
          <w:szCs w:val="20"/>
        </w:rPr>
        <w:t xml:space="preserve"> </w:t>
      </w:r>
      <w:hyperlink r:id="rId1" w:history="1">
        <w:r w:rsidR="00F302DA" w:rsidRPr="00587052">
          <w:rPr>
            <w:rStyle w:val="Hyperlink"/>
            <w:rFonts w:ascii="Times New Roman" w:hAnsi="Times New Roman" w:cs="Times New Roman"/>
            <w:sz w:val="20"/>
            <w:szCs w:val="20"/>
          </w:rPr>
          <w:t>http://www.who.int/news-room/fact-sheets/detail/dementia</w:t>
        </w:r>
      </w:hyperlink>
      <w:r w:rsidR="00C97E74">
        <w:rPr>
          <w:rFonts w:ascii="Times New Roman" w:hAnsi="Times New Roman" w:cs="Times New Roman"/>
          <w:sz w:val="20"/>
          <w:szCs w:val="20"/>
        </w:rPr>
        <w:t xml:space="preserve"> a</w:t>
      </w:r>
      <w:r w:rsidR="00F302DA">
        <w:rPr>
          <w:rFonts w:ascii="Times New Roman" w:hAnsi="Times New Roman" w:cs="Times New Roman"/>
          <w:sz w:val="20"/>
          <w:szCs w:val="20"/>
        </w:rPr>
        <w:t>ccessed 2 July 2018</w:t>
      </w:r>
      <w:r w:rsidR="00DC2546" w:rsidRPr="00DC2546">
        <w:rPr>
          <w:rFonts w:ascii="Times New Roman" w:hAnsi="Times New Roman" w:cs="Times New Roman"/>
          <w:sz w:val="20"/>
          <w:szCs w:val="20"/>
        </w:rPr>
        <w:t>. That is not to say that all people with dementia will consider themsel</w:t>
      </w:r>
      <w:r w:rsidR="00B7489C">
        <w:rPr>
          <w:rFonts w:ascii="Times New Roman" w:hAnsi="Times New Roman" w:cs="Times New Roman"/>
          <w:sz w:val="20"/>
          <w:szCs w:val="20"/>
        </w:rPr>
        <w:t>ves disabled, and as Alzheimer</w:t>
      </w:r>
      <w:r w:rsidR="00DC2546" w:rsidRPr="00DC2546">
        <w:rPr>
          <w:rFonts w:ascii="Times New Roman" w:hAnsi="Times New Roman" w:cs="Times New Roman"/>
          <w:sz w:val="20"/>
          <w:szCs w:val="20"/>
        </w:rPr>
        <w:t xml:space="preserve"> Europe (2018) points out, there is in fact a dearth of literature on the extent to which people with dementia identify with the not</w:t>
      </w:r>
      <w:r w:rsidR="00B7489C">
        <w:rPr>
          <w:rFonts w:ascii="Times New Roman" w:hAnsi="Times New Roman" w:cs="Times New Roman"/>
          <w:sz w:val="20"/>
          <w:szCs w:val="20"/>
        </w:rPr>
        <w:t>ion of ‘disability’ (Alzheimer</w:t>
      </w:r>
      <w:r w:rsidR="00DC2546" w:rsidRPr="00DC2546">
        <w:rPr>
          <w:rFonts w:ascii="Times New Roman" w:hAnsi="Times New Roman" w:cs="Times New Roman"/>
          <w:sz w:val="20"/>
          <w:szCs w:val="20"/>
        </w:rPr>
        <w:t xml:space="preserve"> E</w:t>
      </w:r>
      <w:r w:rsidR="00C97E74">
        <w:rPr>
          <w:rFonts w:ascii="Times New Roman" w:hAnsi="Times New Roman" w:cs="Times New Roman"/>
          <w:sz w:val="20"/>
          <w:szCs w:val="20"/>
        </w:rPr>
        <w:t>urope, 2018, 19). T</w:t>
      </w:r>
      <w:r w:rsidR="00DC2546" w:rsidRPr="00DC2546">
        <w:rPr>
          <w:rFonts w:ascii="Times New Roman" w:hAnsi="Times New Roman" w:cs="Times New Roman"/>
          <w:sz w:val="20"/>
          <w:szCs w:val="20"/>
        </w:rPr>
        <w:t xml:space="preserve">he UK All-Party Parliamentary Group has recently initiated a consultation in to this topic: </w:t>
      </w:r>
      <w:hyperlink r:id="rId2" w:history="1">
        <w:r w:rsidR="00DC2546" w:rsidRPr="00DC2546">
          <w:rPr>
            <w:rStyle w:val="Hyperlink"/>
            <w:rFonts w:ascii="Times New Roman" w:hAnsi="Times New Roman" w:cs="Times New Roman"/>
            <w:sz w:val="20"/>
            <w:szCs w:val="20"/>
          </w:rPr>
          <w:t>https://www.alzheimers.org.uk/about-us/policy-and-influencing/all-party-parliamentary-group-dementia</w:t>
        </w:r>
      </w:hyperlink>
      <w:r w:rsidR="00C97E74">
        <w:rPr>
          <w:rFonts w:ascii="Times New Roman" w:hAnsi="Times New Roman" w:cs="Times New Roman"/>
          <w:sz w:val="20"/>
          <w:szCs w:val="20"/>
        </w:rPr>
        <w:t xml:space="preserve"> a</w:t>
      </w:r>
      <w:r w:rsidR="00DC2546">
        <w:rPr>
          <w:rFonts w:ascii="Times New Roman" w:hAnsi="Times New Roman" w:cs="Times New Roman"/>
          <w:sz w:val="20"/>
          <w:szCs w:val="20"/>
        </w:rPr>
        <w:t>ccessed 2 July 2018</w:t>
      </w:r>
      <w:r w:rsidR="00DC2546" w:rsidRPr="00DC2546">
        <w:rPr>
          <w:rFonts w:ascii="Times New Roman" w:hAnsi="Times New Roman" w:cs="Times New Roman"/>
          <w:sz w:val="20"/>
          <w:szCs w:val="20"/>
        </w:rPr>
        <w:t>.</w:t>
      </w:r>
    </w:p>
  </w:footnote>
  <w:footnote w:id="3">
    <w:p w14:paraId="5F1226F8" w14:textId="7E590C3A" w:rsidR="000727CB" w:rsidRPr="000727CB" w:rsidRDefault="000727CB">
      <w:pPr>
        <w:pStyle w:val="FootnoteText"/>
        <w:rPr>
          <w:rFonts w:ascii="Times New Roman" w:hAnsi="Times New Roman" w:cs="Times New Roman"/>
          <w:sz w:val="20"/>
          <w:szCs w:val="20"/>
        </w:rPr>
      </w:pPr>
      <w:r w:rsidRPr="000727CB">
        <w:rPr>
          <w:rStyle w:val="FootnoteReference"/>
          <w:rFonts w:ascii="Times New Roman" w:hAnsi="Times New Roman" w:cs="Times New Roman"/>
          <w:sz w:val="20"/>
          <w:szCs w:val="20"/>
        </w:rPr>
        <w:footnoteRef/>
      </w:r>
      <w:r w:rsidRPr="000727CB">
        <w:rPr>
          <w:rFonts w:ascii="Times New Roman" w:hAnsi="Times New Roman" w:cs="Times New Roman"/>
          <w:sz w:val="20"/>
          <w:szCs w:val="20"/>
        </w:rPr>
        <w:t xml:space="preserve"> See </w:t>
      </w:r>
      <w:hyperlink r:id="rId3" w:history="1">
        <w:r w:rsidRPr="000727CB">
          <w:rPr>
            <w:rStyle w:val="Hyperlink"/>
            <w:rFonts w:ascii="Times New Roman" w:hAnsi="Times New Roman" w:cs="Times New Roman"/>
            <w:sz w:val="20"/>
            <w:szCs w:val="20"/>
          </w:rPr>
          <w:t>https://www.un.org/development/desa/disabilities/resources/ad-hoc-committee-on-a-comprehensive-and-integral-international-convention-on-the-protection-and-promotion-of-the-rights-and-dignity-of-persons-with-disabilities.html</w:t>
        </w:r>
      </w:hyperlink>
      <w:r w:rsidR="00C97E74">
        <w:rPr>
          <w:rFonts w:ascii="Times New Roman" w:hAnsi="Times New Roman" w:cs="Times New Roman"/>
          <w:sz w:val="20"/>
          <w:szCs w:val="20"/>
        </w:rPr>
        <w:t xml:space="preserve"> a</w:t>
      </w:r>
      <w:r w:rsidR="00C05D8D">
        <w:rPr>
          <w:rFonts w:ascii="Times New Roman" w:hAnsi="Times New Roman" w:cs="Times New Roman"/>
          <w:sz w:val="20"/>
          <w:szCs w:val="20"/>
        </w:rPr>
        <w:t>ccessed 10 July 2018.</w:t>
      </w:r>
    </w:p>
  </w:footnote>
  <w:footnote w:id="4">
    <w:p w14:paraId="24632A11" w14:textId="49953C17" w:rsidR="00BC0D01" w:rsidRPr="00BC0D01" w:rsidRDefault="00BC0D01" w:rsidP="00BC0D01">
      <w:pPr>
        <w:pStyle w:val="FootnoteText"/>
        <w:jc w:val="both"/>
        <w:rPr>
          <w:rFonts w:ascii="Times New Roman" w:hAnsi="Times New Roman" w:cs="Times New Roman"/>
          <w:sz w:val="20"/>
          <w:szCs w:val="20"/>
        </w:rPr>
      </w:pPr>
      <w:r w:rsidRPr="00BC0D01">
        <w:rPr>
          <w:rStyle w:val="FootnoteReference"/>
          <w:rFonts w:ascii="Times New Roman" w:hAnsi="Times New Roman" w:cs="Times New Roman"/>
          <w:sz w:val="20"/>
          <w:szCs w:val="20"/>
        </w:rPr>
        <w:footnoteRef/>
      </w:r>
      <w:r w:rsidRPr="00BC0D01">
        <w:rPr>
          <w:rFonts w:ascii="Times New Roman" w:hAnsi="Times New Roman" w:cs="Times New Roman"/>
          <w:sz w:val="20"/>
          <w:szCs w:val="20"/>
        </w:rPr>
        <w:t xml:space="preserve"> The definitive reasons for this are complex and unknown in their entirety, however Shakespeare, Zeilig, and Mittler hypothesise that ‘[t]he point about the social model of disability is that it distinguishes between the health condition, on the one foot, and the social experience of exclusion, on the other. However, dementia still remains trapped within the dominant medical discourse.’ (Shakespeare, Zeilig, and Mittler, 2017, 4).</w:t>
      </w:r>
    </w:p>
  </w:footnote>
  <w:footnote w:id="5">
    <w:p w14:paraId="34D7214E" w14:textId="2ADCE172" w:rsidR="00DF11E6" w:rsidRPr="001757CD" w:rsidRDefault="00DF11E6" w:rsidP="001757CD">
      <w:pPr>
        <w:jc w:val="both"/>
        <w:rPr>
          <w:rFonts w:ascii="Times New Roman" w:eastAsia="Times New Roman" w:hAnsi="Times New Roman" w:cs="Times New Roman"/>
          <w:sz w:val="20"/>
          <w:szCs w:val="20"/>
          <w:lang w:val="en-US"/>
        </w:rPr>
      </w:pPr>
      <w:r w:rsidRPr="00DF11E6">
        <w:rPr>
          <w:rStyle w:val="FootnoteReference"/>
          <w:rFonts w:ascii="Times New Roman" w:hAnsi="Times New Roman" w:cs="Times New Roman"/>
          <w:sz w:val="20"/>
          <w:szCs w:val="20"/>
        </w:rPr>
        <w:footnoteRef/>
      </w:r>
      <w:r w:rsidRPr="00DF11E6">
        <w:rPr>
          <w:rFonts w:ascii="Times New Roman" w:hAnsi="Times New Roman" w:cs="Times New Roman"/>
          <w:sz w:val="20"/>
          <w:szCs w:val="20"/>
        </w:rPr>
        <w:t xml:space="preserve"> Although interestingly, Lush may </w:t>
      </w:r>
      <w:r w:rsidR="00F878E7">
        <w:rPr>
          <w:rFonts w:ascii="Times New Roman" w:hAnsi="Times New Roman" w:cs="Times New Roman"/>
          <w:sz w:val="20"/>
          <w:szCs w:val="20"/>
        </w:rPr>
        <w:t xml:space="preserve">well </w:t>
      </w:r>
      <w:r w:rsidRPr="00DF11E6">
        <w:rPr>
          <w:rFonts w:ascii="Times New Roman" w:hAnsi="Times New Roman" w:cs="Times New Roman"/>
          <w:sz w:val="20"/>
          <w:szCs w:val="20"/>
        </w:rPr>
        <w:t>be correct</w:t>
      </w:r>
      <w:r w:rsidR="00F878E7">
        <w:rPr>
          <w:rFonts w:ascii="Times New Roman" w:hAnsi="Times New Roman" w:cs="Times New Roman"/>
          <w:sz w:val="20"/>
          <w:szCs w:val="20"/>
        </w:rPr>
        <w:t xml:space="preserve"> if participation in the drafting process is representative</w:t>
      </w:r>
      <w:r w:rsidRPr="00DF11E6">
        <w:rPr>
          <w:rFonts w:ascii="Times New Roman" w:hAnsi="Times New Roman" w:cs="Times New Roman"/>
          <w:sz w:val="20"/>
          <w:szCs w:val="20"/>
        </w:rPr>
        <w:t xml:space="preserve">. </w:t>
      </w:r>
      <w:r w:rsidR="00DB043C">
        <w:rPr>
          <w:rFonts w:ascii="Times New Roman" w:hAnsi="Times New Roman" w:cs="Times New Roman"/>
          <w:sz w:val="20"/>
          <w:szCs w:val="20"/>
        </w:rPr>
        <w:t>Moreover, p</w:t>
      </w:r>
      <w:r w:rsidRPr="00DF11E6">
        <w:rPr>
          <w:rFonts w:ascii="Times New Roman" w:hAnsi="Times New Roman" w:cs="Times New Roman"/>
          <w:sz w:val="20"/>
          <w:szCs w:val="20"/>
        </w:rPr>
        <w:t>aragraph 24 of GC1 states that ‘</w:t>
      </w:r>
      <w:r w:rsidRPr="00DF11E6">
        <w:rPr>
          <w:rFonts w:ascii="Times New Roman" w:eastAsia="Times New Roman" w:hAnsi="Times New Roman" w:cs="Times New Roman"/>
          <w:sz w:val="20"/>
          <w:szCs w:val="20"/>
          <w:lang w:val="en-US"/>
        </w:rPr>
        <w:t>[o]ne of the aims of support in the exercise of legal capacity is to build the confidence and skills of persons with disabilities so that they can exercise their legal capacity with less support in the future, if they so wish.’ While this may well be the case for many people who have either static or improving levels of cognitive ability, dementia almost always entails declining cognitive functioning</w:t>
      </w:r>
      <w:r w:rsidR="00D87163">
        <w:rPr>
          <w:rFonts w:ascii="Times New Roman" w:eastAsia="Times New Roman" w:hAnsi="Times New Roman" w:cs="Times New Roman"/>
          <w:sz w:val="20"/>
          <w:szCs w:val="20"/>
          <w:lang w:val="en-US"/>
        </w:rPr>
        <w:t xml:space="preserve"> and therefore increasing levels of support become required (Samsi and Manthorpe, 2013)</w:t>
      </w:r>
      <w:r w:rsidRPr="00DF11E6">
        <w:rPr>
          <w:rFonts w:ascii="Times New Roman" w:eastAsia="Times New Roman" w:hAnsi="Times New Roman" w:cs="Times New Roman"/>
          <w:sz w:val="20"/>
          <w:szCs w:val="20"/>
          <w:lang w:val="en-US"/>
        </w:rPr>
        <w:t>. The wording of this paragraph indicates that this is</w:t>
      </w:r>
      <w:r w:rsidR="00196247">
        <w:rPr>
          <w:rFonts w:ascii="Times New Roman" w:eastAsia="Times New Roman" w:hAnsi="Times New Roman" w:cs="Times New Roman"/>
          <w:sz w:val="20"/>
          <w:szCs w:val="20"/>
          <w:lang w:val="en-US"/>
        </w:rPr>
        <w:t xml:space="preserve"> not something the Committee may have</w:t>
      </w:r>
      <w:r w:rsidRPr="00DF11E6">
        <w:rPr>
          <w:rFonts w:ascii="Times New Roman" w:eastAsia="Times New Roman" w:hAnsi="Times New Roman" w:cs="Times New Roman"/>
          <w:sz w:val="20"/>
          <w:szCs w:val="20"/>
          <w:lang w:val="en-US"/>
        </w:rPr>
        <w:t xml:space="preserve"> contemplated.</w:t>
      </w:r>
    </w:p>
  </w:footnote>
  <w:footnote w:id="6">
    <w:p w14:paraId="07038A21" w14:textId="6E3B83E3" w:rsidR="00C54FA3" w:rsidRPr="00C54FA3" w:rsidRDefault="00C54FA3" w:rsidP="00C54FA3">
      <w:pPr>
        <w:widowControl w:val="0"/>
        <w:autoSpaceDE w:val="0"/>
        <w:autoSpaceDN w:val="0"/>
        <w:adjustRightInd w:val="0"/>
        <w:jc w:val="both"/>
        <w:rPr>
          <w:rFonts w:ascii="Times New Roman" w:hAnsi="Times New Roman" w:cs="Times New Roman"/>
          <w:sz w:val="20"/>
          <w:szCs w:val="20"/>
          <w:lang w:val="en-US"/>
        </w:rPr>
      </w:pPr>
      <w:r w:rsidRPr="00C54FA3">
        <w:rPr>
          <w:rStyle w:val="FootnoteReference"/>
          <w:rFonts w:ascii="Times New Roman" w:hAnsi="Times New Roman" w:cs="Times New Roman"/>
          <w:sz w:val="20"/>
          <w:szCs w:val="20"/>
        </w:rPr>
        <w:footnoteRef/>
      </w:r>
      <w:r w:rsidRPr="00C54FA3">
        <w:rPr>
          <w:rFonts w:ascii="Times New Roman" w:hAnsi="Times New Roman" w:cs="Times New Roman"/>
          <w:sz w:val="20"/>
          <w:szCs w:val="20"/>
        </w:rPr>
        <w:t xml:space="preserve"> As Shakespeare argues, an analysis of this literature is important</w:t>
      </w:r>
      <w:r>
        <w:rPr>
          <w:rFonts w:ascii="Times New Roman" w:hAnsi="Times New Roman" w:cs="Times New Roman"/>
          <w:sz w:val="20"/>
          <w:szCs w:val="20"/>
        </w:rPr>
        <w:t xml:space="preserve"> in that</w:t>
      </w:r>
      <w:r w:rsidRPr="00C54FA3">
        <w:rPr>
          <w:rFonts w:ascii="Times New Roman" w:hAnsi="Times New Roman" w:cs="Times New Roman"/>
          <w:sz w:val="20"/>
          <w:szCs w:val="20"/>
        </w:rPr>
        <w:t xml:space="preserve"> </w:t>
      </w:r>
      <w:r w:rsidRPr="00C54FA3">
        <w:rPr>
          <w:rFonts w:ascii="Times New Roman" w:hAnsi="Times New Roman" w:cs="Times New Roman"/>
          <w:sz w:val="20"/>
          <w:szCs w:val="20"/>
          <w:lang w:val="en-US"/>
        </w:rPr>
        <w:t>‘[a]cademics who want to make comments about the impact of impairment might do well to base their analysis on empirical evidence about how disabled people feel about their embodiment’ (Shakespeare, 2014, 67).</w:t>
      </w:r>
    </w:p>
  </w:footnote>
  <w:footnote w:id="7">
    <w:p w14:paraId="46E88456" w14:textId="7500D12B" w:rsidR="00F67B70" w:rsidRPr="00F67B70" w:rsidRDefault="00F67B70">
      <w:pPr>
        <w:pStyle w:val="FootnoteText"/>
        <w:rPr>
          <w:rFonts w:ascii="Times New Roman" w:hAnsi="Times New Roman" w:cs="Times New Roman"/>
          <w:sz w:val="20"/>
          <w:szCs w:val="20"/>
        </w:rPr>
      </w:pPr>
      <w:r w:rsidRPr="00F67B70">
        <w:rPr>
          <w:rStyle w:val="FootnoteReference"/>
          <w:rFonts w:ascii="Times New Roman" w:hAnsi="Times New Roman" w:cs="Times New Roman"/>
          <w:sz w:val="20"/>
          <w:szCs w:val="20"/>
        </w:rPr>
        <w:footnoteRef/>
      </w:r>
      <w:r w:rsidRPr="00F67B70">
        <w:rPr>
          <w:rFonts w:ascii="Times New Roman" w:hAnsi="Times New Roman" w:cs="Times New Roman"/>
          <w:sz w:val="20"/>
          <w:szCs w:val="20"/>
        </w:rPr>
        <w:t xml:space="preserve"> For an analogous argument more generally, see Dawson (2015).</w:t>
      </w:r>
    </w:p>
  </w:footnote>
  <w:footnote w:id="8">
    <w:p w14:paraId="74478266" w14:textId="1579E815" w:rsidR="00DB043C" w:rsidRPr="00DB043C" w:rsidRDefault="00DB043C" w:rsidP="00DB043C">
      <w:pPr>
        <w:pStyle w:val="FootnoteText"/>
        <w:jc w:val="both"/>
        <w:rPr>
          <w:rFonts w:ascii="Times New Roman" w:hAnsi="Times New Roman" w:cs="Times New Roman"/>
          <w:sz w:val="20"/>
          <w:szCs w:val="20"/>
        </w:rPr>
      </w:pPr>
      <w:r w:rsidRPr="00DB043C">
        <w:rPr>
          <w:rStyle w:val="FootnoteReference"/>
          <w:rFonts w:ascii="Times New Roman" w:hAnsi="Times New Roman" w:cs="Times New Roman"/>
          <w:sz w:val="20"/>
          <w:szCs w:val="20"/>
        </w:rPr>
        <w:footnoteRef/>
      </w:r>
      <w:r w:rsidRPr="00DB043C">
        <w:rPr>
          <w:rFonts w:ascii="Times New Roman" w:hAnsi="Times New Roman" w:cs="Times New Roman"/>
          <w:sz w:val="20"/>
          <w:szCs w:val="20"/>
        </w:rPr>
        <w:t xml:space="preserve"> Although it is also important to state the obvious point that states who have signed and ratified the convention are, of course, only </w:t>
      </w:r>
      <w:r w:rsidRPr="00DB043C">
        <w:rPr>
          <w:rFonts w:ascii="Times New Roman" w:hAnsi="Times New Roman" w:cs="Times New Roman"/>
          <w:i/>
          <w:sz w:val="20"/>
          <w:szCs w:val="20"/>
        </w:rPr>
        <w:t>legally</w:t>
      </w:r>
      <w:r w:rsidRPr="00F46940">
        <w:rPr>
          <w:rFonts w:ascii="Times New Roman" w:hAnsi="Times New Roman" w:cs="Times New Roman"/>
          <w:sz w:val="20"/>
          <w:szCs w:val="20"/>
        </w:rPr>
        <w:t xml:space="preserve"> bound</w:t>
      </w:r>
      <w:r w:rsidRPr="00DB043C">
        <w:rPr>
          <w:rFonts w:ascii="Times New Roman" w:hAnsi="Times New Roman" w:cs="Times New Roman"/>
          <w:i/>
          <w:sz w:val="20"/>
          <w:szCs w:val="20"/>
        </w:rPr>
        <w:t xml:space="preserve"> </w:t>
      </w:r>
      <w:r w:rsidRPr="00DB043C">
        <w:rPr>
          <w:rFonts w:ascii="Times New Roman" w:hAnsi="Times New Roman" w:cs="Times New Roman"/>
          <w:sz w:val="20"/>
          <w:szCs w:val="20"/>
        </w:rPr>
        <w:t>by the first of these (E</w:t>
      </w:r>
      <w:r w:rsidR="00D87163">
        <w:rPr>
          <w:rFonts w:ascii="Times New Roman" w:hAnsi="Times New Roman" w:cs="Times New Roman"/>
          <w:sz w:val="20"/>
          <w:szCs w:val="20"/>
        </w:rPr>
        <w:t>ssex Autonomy Project, 2016, 9), although General Comments or decisions by the Committee do usually have persuasive weight.</w:t>
      </w:r>
    </w:p>
  </w:footnote>
  <w:footnote w:id="9">
    <w:p w14:paraId="241E5A3E" w14:textId="17AEA4CB" w:rsidR="00196247" w:rsidRPr="00196247" w:rsidRDefault="00196247">
      <w:pPr>
        <w:pStyle w:val="FootnoteText"/>
        <w:rPr>
          <w:rFonts w:ascii="Times New Roman" w:hAnsi="Times New Roman" w:cs="Times New Roman"/>
          <w:sz w:val="20"/>
          <w:szCs w:val="20"/>
        </w:rPr>
      </w:pPr>
      <w:r w:rsidRPr="00D03D6B">
        <w:rPr>
          <w:rStyle w:val="FootnoteReference"/>
          <w:rFonts w:ascii="Times New Roman" w:hAnsi="Times New Roman" w:cs="Times New Roman"/>
          <w:sz w:val="20"/>
          <w:szCs w:val="20"/>
        </w:rPr>
        <w:footnoteRef/>
      </w:r>
      <w:r w:rsidRPr="00D03D6B">
        <w:rPr>
          <w:rFonts w:ascii="Times New Roman" w:hAnsi="Times New Roman" w:cs="Times New Roman"/>
          <w:sz w:val="20"/>
          <w:szCs w:val="20"/>
        </w:rPr>
        <w:t xml:space="preserve"> </w:t>
      </w:r>
      <w:r w:rsidR="00D03D6B" w:rsidRPr="00D03D6B">
        <w:rPr>
          <w:rFonts w:ascii="Times New Roman" w:hAnsi="Times New Roman" w:cs="Times New Roman"/>
          <w:sz w:val="20"/>
          <w:szCs w:val="20"/>
          <w:lang w:val="en-US"/>
        </w:rPr>
        <w:t>A full discussion of the precise contours of what these two notions mean is beyond the scope of this paper</w:t>
      </w:r>
      <w:r w:rsidR="00D03D6B" w:rsidRPr="00D03D6B">
        <w:rPr>
          <w:rFonts w:ascii="Times New Roman" w:hAnsi="Times New Roman" w:cs="Times New Roman"/>
          <w:sz w:val="20"/>
          <w:szCs w:val="20"/>
        </w:rPr>
        <w:t>.</w:t>
      </w:r>
      <w:r w:rsidR="00D03D6B">
        <w:rPr>
          <w:rFonts w:ascii="Times New Roman" w:hAnsi="Times New Roman" w:cs="Times New Roman"/>
          <w:sz w:val="20"/>
          <w:szCs w:val="20"/>
        </w:rPr>
        <w:t xml:space="preserve"> </w:t>
      </w:r>
      <w:r w:rsidRPr="00196247">
        <w:rPr>
          <w:rFonts w:ascii="Times New Roman" w:hAnsi="Times New Roman" w:cs="Times New Roman"/>
          <w:sz w:val="20"/>
          <w:szCs w:val="20"/>
        </w:rPr>
        <w:t>Fo</w:t>
      </w:r>
      <w:r w:rsidR="00A501F4">
        <w:rPr>
          <w:rFonts w:ascii="Times New Roman" w:hAnsi="Times New Roman" w:cs="Times New Roman"/>
          <w:sz w:val="20"/>
          <w:szCs w:val="20"/>
        </w:rPr>
        <w:t>r a summary, see Dhanda (2007).</w:t>
      </w:r>
    </w:p>
  </w:footnote>
  <w:footnote w:id="10">
    <w:p w14:paraId="0FF3194F" w14:textId="4244C519" w:rsidR="002706FD" w:rsidRPr="002706FD" w:rsidRDefault="002706FD" w:rsidP="002706FD">
      <w:pPr>
        <w:jc w:val="both"/>
        <w:rPr>
          <w:rFonts w:ascii="Times New Roman" w:hAnsi="Times New Roman" w:cs="Times New Roman"/>
          <w:sz w:val="20"/>
          <w:szCs w:val="20"/>
        </w:rPr>
      </w:pPr>
      <w:r w:rsidRPr="002706FD">
        <w:rPr>
          <w:rStyle w:val="FootnoteReference"/>
          <w:rFonts w:ascii="Times New Roman" w:hAnsi="Times New Roman" w:cs="Times New Roman"/>
          <w:sz w:val="20"/>
          <w:szCs w:val="20"/>
        </w:rPr>
        <w:footnoteRef/>
      </w:r>
      <w:r w:rsidR="00D03D6B">
        <w:rPr>
          <w:rFonts w:ascii="Times New Roman" w:hAnsi="Times New Roman" w:cs="Times New Roman"/>
          <w:sz w:val="20"/>
          <w:szCs w:val="20"/>
        </w:rPr>
        <w:t xml:space="preserve"> </w:t>
      </w:r>
      <w:r w:rsidRPr="002706FD">
        <w:rPr>
          <w:rFonts w:ascii="Times New Roman" w:hAnsi="Times New Roman" w:cs="Times New Roman"/>
          <w:sz w:val="20"/>
          <w:szCs w:val="20"/>
        </w:rPr>
        <w:t>Arstein-Kerslake and Flynn acknowledge this very point: ‘Not all decisions involve an exercise of legal capacity. The definition of legal</w:t>
      </w:r>
      <w:r>
        <w:rPr>
          <w:rFonts w:ascii="Times New Roman" w:hAnsi="Times New Roman" w:cs="Times New Roman"/>
          <w:sz w:val="20"/>
          <w:szCs w:val="20"/>
        </w:rPr>
        <w:t xml:space="preserve"> </w:t>
      </w:r>
      <w:r w:rsidRPr="002706FD">
        <w:rPr>
          <w:rFonts w:ascii="Times New Roman" w:hAnsi="Times New Roman" w:cs="Times New Roman"/>
          <w:sz w:val="20"/>
          <w:szCs w:val="20"/>
        </w:rPr>
        <w:t>capacity provided in the GC includes issues that involve the exercise of the individual’s</w:t>
      </w:r>
      <w:r>
        <w:rPr>
          <w:rFonts w:ascii="Times New Roman" w:hAnsi="Times New Roman" w:cs="Times New Roman"/>
          <w:sz w:val="20"/>
          <w:szCs w:val="20"/>
        </w:rPr>
        <w:t xml:space="preserve"> </w:t>
      </w:r>
      <w:r w:rsidRPr="002706FD">
        <w:rPr>
          <w:rFonts w:ascii="Times New Roman" w:hAnsi="Times New Roman" w:cs="Times New Roman"/>
          <w:sz w:val="20"/>
          <w:szCs w:val="20"/>
        </w:rPr>
        <w:t>legal agency (entering, altering or ending legal relationships) and/or the individual’s</w:t>
      </w:r>
      <w:r>
        <w:rPr>
          <w:rFonts w:ascii="Times New Roman" w:hAnsi="Times New Roman" w:cs="Times New Roman"/>
          <w:sz w:val="20"/>
          <w:szCs w:val="20"/>
        </w:rPr>
        <w:t xml:space="preserve"> </w:t>
      </w:r>
      <w:r w:rsidRPr="002706FD">
        <w:rPr>
          <w:rFonts w:ascii="Times New Roman" w:hAnsi="Times New Roman" w:cs="Times New Roman"/>
          <w:sz w:val="20"/>
          <w:szCs w:val="20"/>
        </w:rPr>
        <w:t>legal personality (the individual as a rights holder)’ (Arst</w:t>
      </w:r>
      <w:r w:rsidR="0087080C">
        <w:rPr>
          <w:rFonts w:ascii="Times New Roman" w:hAnsi="Times New Roman" w:cs="Times New Roman"/>
          <w:sz w:val="20"/>
          <w:szCs w:val="20"/>
        </w:rPr>
        <w:t xml:space="preserve">ein-Kerslake and Flynn, 2016, </w:t>
      </w:r>
      <w:r w:rsidRPr="002706FD">
        <w:rPr>
          <w:rFonts w:ascii="Times New Roman" w:hAnsi="Times New Roman" w:cs="Times New Roman"/>
          <w:sz w:val="20"/>
          <w:szCs w:val="20"/>
        </w:rPr>
        <w:t>480).</w:t>
      </w:r>
      <w:r w:rsidR="00D03D6B">
        <w:rPr>
          <w:rFonts w:ascii="Times New Roman" w:hAnsi="Times New Roman" w:cs="Times New Roman"/>
          <w:sz w:val="20"/>
          <w:szCs w:val="20"/>
        </w:rPr>
        <w:t xml:space="preserve"> This then presents the challenge of having to distinguish decisions which result in an exercise of legal capacity and therefore on the face of it fall within the scope of Article 12, from those which do not. </w:t>
      </w:r>
    </w:p>
  </w:footnote>
  <w:footnote w:id="11">
    <w:p w14:paraId="0118EAB4" w14:textId="0DCD3802" w:rsidR="00DE7B4C" w:rsidRPr="00DE7B4C" w:rsidRDefault="00DE7B4C" w:rsidP="00DE7B4C">
      <w:pPr>
        <w:pStyle w:val="FootnoteText"/>
        <w:jc w:val="both"/>
        <w:rPr>
          <w:rFonts w:ascii="Times New Roman" w:hAnsi="Times New Roman" w:cs="Times New Roman"/>
          <w:sz w:val="20"/>
          <w:szCs w:val="20"/>
        </w:rPr>
      </w:pPr>
      <w:r w:rsidRPr="00DE7B4C">
        <w:rPr>
          <w:rStyle w:val="FootnoteReference"/>
          <w:rFonts w:ascii="Times New Roman" w:hAnsi="Times New Roman" w:cs="Times New Roman"/>
          <w:sz w:val="20"/>
          <w:szCs w:val="20"/>
        </w:rPr>
        <w:footnoteRef/>
      </w:r>
      <w:r w:rsidRPr="00DE7B4C">
        <w:rPr>
          <w:rFonts w:ascii="Times New Roman" w:hAnsi="Times New Roman" w:cs="Times New Roman"/>
          <w:sz w:val="20"/>
          <w:szCs w:val="20"/>
        </w:rPr>
        <w:t xml:space="preserve"> See also paragraph 27, which states that substituted decision-making regimes is any system in which ‘</w:t>
      </w:r>
      <w:r w:rsidRPr="00DE7B4C">
        <w:rPr>
          <w:rFonts w:ascii="Times New Roman" w:eastAsia="Times New Roman" w:hAnsi="Times New Roman" w:cs="Times New Roman"/>
          <w:sz w:val="20"/>
          <w:szCs w:val="20"/>
          <w:lang w:val="en-US"/>
        </w:rPr>
        <w:t>legal capacity is removed from a person, even if this is in respect of a single decision’.</w:t>
      </w:r>
    </w:p>
  </w:footnote>
  <w:footnote w:id="12">
    <w:p w14:paraId="042A210D" w14:textId="7F653A28" w:rsidR="00377BC2" w:rsidRPr="00FC5BDD" w:rsidRDefault="00377BC2" w:rsidP="00FC5BDD">
      <w:pPr>
        <w:jc w:val="both"/>
        <w:rPr>
          <w:rFonts w:ascii="Times New Roman" w:eastAsia="Times New Roman" w:hAnsi="Times New Roman" w:cs="Times New Roman"/>
          <w:sz w:val="20"/>
          <w:szCs w:val="20"/>
          <w:lang w:val="en-US"/>
        </w:rPr>
      </w:pPr>
      <w:r w:rsidRPr="00377BC2">
        <w:rPr>
          <w:rStyle w:val="FootnoteReference"/>
          <w:rFonts w:ascii="Times New Roman" w:hAnsi="Times New Roman" w:cs="Times New Roman"/>
          <w:sz w:val="20"/>
          <w:szCs w:val="20"/>
        </w:rPr>
        <w:footnoteRef/>
      </w:r>
      <w:r w:rsidRPr="00377BC2">
        <w:rPr>
          <w:rFonts w:ascii="Times New Roman" w:hAnsi="Times New Roman" w:cs="Times New Roman"/>
          <w:sz w:val="20"/>
          <w:szCs w:val="20"/>
        </w:rPr>
        <w:t xml:space="preserve"> See also paragraph 28:</w:t>
      </w:r>
      <w:r w:rsidRPr="00377BC2">
        <w:rPr>
          <w:rFonts w:ascii="Times New Roman" w:eastAsia="Times New Roman" w:hAnsi="Times New Roman" w:cs="Times New Roman"/>
          <w:sz w:val="20"/>
          <w:szCs w:val="20"/>
        </w:rPr>
        <w:t xml:space="preserve"> ‘</w:t>
      </w:r>
      <w:r w:rsidRPr="00377BC2">
        <w:rPr>
          <w:rFonts w:ascii="Times New Roman" w:eastAsia="Times New Roman" w:hAnsi="Times New Roman" w:cs="Times New Roman"/>
          <w:sz w:val="20"/>
          <w:szCs w:val="20"/>
          <w:lang w:val="en-US"/>
        </w:rPr>
        <w:t>States parties’ obligation to replace substitute decision-making regimes by supported decision-making requires both the abolition of substitute decision-making regimes and the development of supported decision-making alternatives. The development of supported decision-making systems in parallel with the maintenance of substitute decision-making regimes is not sufficient to comply wit</w:t>
      </w:r>
      <w:r w:rsidR="00FC5BDD">
        <w:rPr>
          <w:rFonts w:ascii="Times New Roman" w:eastAsia="Times New Roman" w:hAnsi="Times New Roman" w:cs="Times New Roman"/>
          <w:sz w:val="20"/>
          <w:szCs w:val="20"/>
          <w:lang w:val="en-US"/>
        </w:rPr>
        <w:t>h article 12 of the Convention.’</w:t>
      </w:r>
    </w:p>
  </w:footnote>
  <w:footnote w:id="13">
    <w:p w14:paraId="786A1FDF" w14:textId="693A0732" w:rsidR="003163EC" w:rsidRPr="003163EC" w:rsidRDefault="003163EC" w:rsidP="003163EC">
      <w:pPr>
        <w:pStyle w:val="FootnoteText"/>
        <w:jc w:val="both"/>
        <w:rPr>
          <w:rFonts w:ascii="Times New Roman" w:hAnsi="Times New Roman" w:cs="Times New Roman"/>
          <w:sz w:val="20"/>
          <w:szCs w:val="20"/>
        </w:rPr>
      </w:pPr>
      <w:r w:rsidRPr="003163EC">
        <w:rPr>
          <w:rStyle w:val="FootnoteReference"/>
          <w:rFonts w:ascii="Times New Roman" w:hAnsi="Times New Roman" w:cs="Times New Roman"/>
          <w:sz w:val="20"/>
          <w:szCs w:val="20"/>
        </w:rPr>
        <w:footnoteRef/>
      </w:r>
      <w:r w:rsidRPr="003163EC">
        <w:rPr>
          <w:rFonts w:ascii="Times New Roman" w:hAnsi="Times New Roman" w:cs="Times New Roman"/>
          <w:sz w:val="20"/>
          <w:szCs w:val="20"/>
        </w:rPr>
        <w:t xml:space="preserve"> </w:t>
      </w:r>
      <w:r w:rsidR="002667B6">
        <w:rPr>
          <w:rFonts w:ascii="Times New Roman" w:hAnsi="Times New Roman" w:cs="Times New Roman"/>
          <w:sz w:val="20"/>
          <w:szCs w:val="20"/>
          <w:lang w:val="en-US"/>
        </w:rPr>
        <w:t>Whether</w:t>
      </w:r>
      <w:r w:rsidRPr="003163EC">
        <w:rPr>
          <w:rFonts w:ascii="Times New Roman" w:hAnsi="Times New Roman" w:cs="Times New Roman"/>
          <w:sz w:val="20"/>
          <w:szCs w:val="20"/>
          <w:lang w:val="en-US"/>
        </w:rPr>
        <w:t xml:space="preserve"> or not the Mental Capacity Act 2005 is UNCRPD-compliant given that it is a substitu</w:t>
      </w:r>
      <w:r>
        <w:rPr>
          <w:rFonts w:ascii="Times New Roman" w:hAnsi="Times New Roman" w:cs="Times New Roman"/>
          <w:sz w:val="20"/>
          <w:szCs w:val="20"/>
          <w:lang w:val="en-US"/>
        </w:rPr>
        <w:t>ted decision-making regime</w:t>
      </w:r>
      <w:r w:rsidR="002667B6">
        <w:rPr>
          <w:rFonts w:ascii="Times New Roman" w:hAnsi="Times New Roman" w:cs="Times New Roman"/>
          <w:sz w:val="20"/>
          <w:szCs w:val="20"/>
          <w:lang w:val="en-US"/>
        </w:rPr>
        <w:t xml:space="preserve"> will not be discussed here</w:t>
      </w:r>
      <w:r>
        <w:rPr>
          <w:rFonts w:ascii="Times New Roman" w:hAnsi="Times New Roman" w:cs="Times New Roman"/>
          <w:sz w:val="20"/>
          <w:szCs w:val="20"/>
          <w:lang w:val="en-US"/>
        </w:rPr>
        <w:t>.</w:t>
      </w:r>
    </w:p>
  </w:footnote>
  <w:footnote w:id="14">
    <w:p w14:paraId="1A194E83" w14:textId="4B9AE702" w:rsidR="00731821" w:rsidRPr="003163EC" w:rsidRDefault="00731821" w:rsidP="003163EC">
      <w:pPr>
        <w:pStyle w:val="FootnoteText"/>
        <w:jc w:val="both"/>
        <w:rPr>
          <w:rFonts w:ascii="Times New Roman" w:hAnsi="Times New Roman" w:cs="Times New Roman"/>
          <w:sz w:val="20"/>
          <w:szCs w:val="20"/>
          <w:lang w:val="en-US"/>
        </w:rPr>
      </w:pPr>
      <w:r w:rsidRPr="00731821">
        <w:rPr>
          <w:rStyle w:val="FootnoteReference"/>
          <w:rFonts w:ascii="Times New Roman" w:hAnsi="Times New Roman" w:cs="Times New Roman"/>
          <w:sz w:val="20"/>
          <w:szCs w:val="20"/>
        </w:rPr>
        <w:footnoteRef/>
      </w:r>
      <w:r w:rsidRPr="00731821">
        <w:rPr>
          <w:rFonts w:ascii="Times New Roman" w:hAnsi="Times New Roman" w:cs="Times New Roman"/>
          <w:sz w:val="20"/>
          <w:szCs w:val="20"/>
        </w:rPr>
        <w:t xml:space="preserve"> This is notwithstanding section 1(3) which states that ‘</w:t>
      </w:r>
      <w:r w:rsidRPr="00731821">
        <w:rPr>
          <w:rFonts w:ascii="Times New Roman" w:hAnsi="Times New Roman" w:cs="Times New Roman"/>
          <w:sz w:val="20"/>
          <w:szCs w:val="20"/>
          <w:lang w:val="en-US"/>
        </w:rPr>
        <w:t>A person is not to be treated as unable to make a decision merely because he makes an unwise decision.’</w:t>
      </w:r>
    </w:p>
  </w:footnote>
  <w:footnote w:id="15">
    <w:p w14:paraId="02AE421E" w14:textId="6054F58F" w:rsidR="003163EC" w:rsidRPr="003163EC" w:rsidRDefault="003163EC" w:rsidP="003163EC">
      <w:pPr>
        <w:pStyle w:val="FootnoteText"/>
        <w:jc w:val="both"/>
        <w:rPr>
          <w:rFonts w:ascii="Times New Roman" w:hAnsi="Times New Roman" w:cs="Times New Roman"/>
          <w:sz w:val="20"/>
          <w:szCs w:val="20"/>
        </w:rPr>
      </w:pPr>
      <w:r w:rsidRPr="003163EC">
        <w:rPr>
          <w:rStyle w:val="FootnoteReference"/>
          <w:rFonts w:ascii="Times New Roman" w:hAnsi="Times New Roman" w:cs="Times New Roman"/>
          <w:sz w:val="20"/>
          <w:szCs w:val="20"/>
        </w:rPr>
        <w:footnoteRef/>
      </w:r>
      <w:r w:rsidRPr="003163EC">
        <w:rPr>
          <w:rFonts w:ascii="Times New Roman" w:hAnsi="Times New Roman" w:cs="Times New Roman"/>
          <w:sz w:val="20"/>
          <w:szCs w:val="20"/>
        </w:rPr>
        <w:t xml:space="preserve"> Notwithst</w:t>
      </w:r>
      <w:r>
        <w:rPr>
          <w:rFonts w:ascii="Times New Roman" w:hAnsi="Times New Roman" w:cs="Times New Roman"/>
          <w:sz w:val="20"/>
          <w:szCs w:val="20"/>
        </w:rPr>
        <w:t>anding the fact that section 4(6</w:t>
      </w:r>
      <w:r w:rsidRPr="003163EC">
        <w:rPr>
          <w:rFonts w:ascii="Times New Roman" w:hAnsi="Times New Roman" w:cs="Times New Roman"/>
          <w:sz w:val="20"/>
          <w:szCs w:val="20"/>
        </w:rPr>
        <w:t>) of the Act states that decision makers must take into consideration the person’s past and present wishes, feelings, values, and beliefs.</w:t>
      </w:r>
    </w:p>
  </w:footnote>
  <w:footnote w:id="16">
    <w:p w14:paraId="13F02719" w14:textId="24C9CDC8" w:rsidR="002706FD" w:rsidRPr="002706FD" w:rsidRDefault="002706FD" w:rsidP="002706FD">
      <w:pPr>
        <w:jc w:val="both"/>
        <w:rPr>
          <w:rFonts w:ascii="Times New Roman" w:hAnsi="Times New Roman" w:cs="Times New Roman"/>
          <w:sz w:val="20"/>
          <w:szCs w:val="20"/>
          <w:lang w:val="en-US"/>
        </w:rPr>
      </w:pPr>
      <w:r w:rsidRPr="002706FD">
        <w:rPr>
          <w:rStyle w:val="FootnoteReference"/>
          <w:rFonts w:ascii="Times New Roman" w:hAnsi="Times New Roman" w:cs="Times New Roman"/>
          <w:sz w:val="20"/>
          <w:szCs w:val="20"/>
        </w:rPr>
        <w:footnoteRef/>
      </w:r>
      <w:r w:rsidRPr="002706FD">
        <w:rPr>
          <w:rFonts w:ascii="Times New Roman" w:hAnsi="Times New Roman" w:cs="Times New Roman"/>
          <w:sz w:val="20"/>
          <w:szCs w:val="20"/>
        </w:rPr>
        <w:t xml:space="preserve"> </w:t>
      </w:r>
      <w:r w:rsidRPr="002706FD">
        <w:rPr>
          <w:rFonts w:ascii="Times New Roman" w:eastAsia="Times New Roman" w:hAnsi="Times New Roman" w:cs="Times New Roman"/>
          <w:sz w:val="20"/>
          <w:szCs w:val="20"/>
          <w:lang w:val="en-US"/>
        </w:rPr>
        <w:t>This quote is also legally inaccurate – Article 12 does not stipulate that</w:t>
      </w:r>
      <w:r w:rsidR="00BB6BA5">
        <w:rPr>
          <w:rFonts w:ascii="Times New Roman" w:eastAsia="Times New Roman" w:hAnsi="Times New Roman" w:cs="Times New Roman"/>
          <w:sz w:val="20"/>
          <w:szCs w:val="20"/>
          <w:lang w:val="en-US"/>
        </w:rPr>
        <w:t xml:space="preserve"> there is</w:t>
      </w:r>
      <w:r w:rsidRPr="002706FD">
        <w:rPr>
          <w:rFonts w:ascii="Times New Roman" w:eastAsia="Times New Roman" w:hAnsi="Times New Roman" w:cs="Times New Roman"/>
          <w:sz w:val="20"/>
          <w:szCs w:val="20"/>
          <w:lang w:val="en-US"/>
        </w:rPr>
        <w:t xml:space="preserve"> a presumption in favour of a person’s will and preferences. It requires that </w:t>
      </w:r>
      <w:r w:rsidRPr="002706FD">
        <w:rPr>
          <w:rFonts w:ascii="Times New Roman" w:hAnsi="Times New Roman" w:cs="Times New Roman"/>
          <w:sz w:val="20"/>
          <w:szCs w:val="20"/>
        </w:rPr>
        <w:t xml:space="preserve">any ‘measures that relate to the exercise of legal capacity </w:t>
      </w:r>
      <w:r w:rsidRPr="002706FD">
        <w:rPr>
          <w:rFonts w:ascii="Times New Roman" w:hAnsi="Times New Roman" w:cs="Times New Roman"/>
          <w:sz w:val="20"/>
          <w:szCs w:val="20"/>
          <w:lang w:val="en-US"/>
        </w:rPr>
        <w:t xml:space="preserve">must provide appropriate and effective safeguards </w:t>
      </w:r>
      <w:r w:rsidRPr="002706FD">
        <w:rPr>
          <w:rFonts w:ascii="Times New Roman" w:hAnsi="Times New Roman" w:cs="Times New Roman"/>
          <w:i/>
          <w:sz w:val="20"/>
          <w:szCs w:val="20"/>
          <w:lang w:val="en-US"/>
        </w:rPr>
        <w:t>to prevent abuse</w:t>
      </w:r>
      <w:r w:rsidRPr="002706FD">
        <w:rPr>
          <w:rFonts w:ascii="Times New Roman" w:hAnsi="Times New Roman" w:cs="Times New Roman"/>
          <w:sz w:val="20"/>
          <w:szCs w:val="20"/>
          <w:lang w:val="en-US"/>
        </w:rPr>
        <w:t xml:space="preserve"> in accordance with international human rights law. Such safeguards shall ensure that measures relating to the exercise of legal capacity </w:t>
      </w:r>
      <w:r w:rsidRPr="002706FD">
        <w:rPr>
          <w:rFonts w:ascii="Times New Roman" w:hAnsi="Times New Roman" w:cs="Times New Roman"/>
          <w:i/>
          <w:sz w:val="20"/>
          <w:szCs w:val="20"/>
          <w:lang w:val="en-US"/>
        </w:rPr>
        <w:t>respect the rights, will and preferences of the person</w:t>
      </w:r>
      <w:r w:rsidR="00F46940">
        <w:rPr>
          <w:rFonts w:ascii="Times New Roman" w:hAnsi="Times New Roman" w:cs="Times New Roman"/>
          <w:sz w:val="20"/>
          <w:szCs w:val="20"/>
          <w:lang w:val="en-US"/>
        </w:rPr>
        <w:t>’ (e</w:t>
      </w:r>
      <w:r w:rsidRPr="002706FD">
        <w:rPr>
          <w:rFonts w:ascii="Times New Roman" w:hAnsi="Times New Roman" w:cs="Times New Roman"/>
          <w:sz w:val="20"/>
          <w:szCs w:val="20"/>
          <w:lang w:val="en-US"/>
        </w:rPr>
        <w:t>mphasis added).</w:t>
      </w:r>
    </w:p>
  </w:footnote>
  <w:footnote w:id="17">
    <w:p w14:paraId="16CB7F4A" w14:textId="712CC5B5" w:rsidR="007B1151" w:rsidRPr="007B1151" w:rsidRDefault="007B1151" w:rsidP="007B1151">
      <w:pPr>
        <w:pStyle w:val="FootnoteText"/>
        <w:jc w:val="both"/>
        <w:rPr>
          <w:rFonts w:ascii="Times New Roman" w:hAnsi="Times New Roman" w:cs="Times New Roman"/>
          <w:sz w:val="20"/>
          <w:szCs w:val="20"/>
        </w:rPr>
      </w:pPr>
      <w:r w:rsidRPr="007B1151">
        <w:rPr>
          <w:rStyle w:val="FootnoteReference"/>
          <w:rFonts w:ascii="Times New Roman" w:hAnsi="Times New Roman" w:cs="Times New Roman"/>
          <w:sz w:val="20"/>
          <w:szCs w:val="20"/>
        </w:rPr>
        <w:footnoteRef/>
      </w:r>
      <w:r w:rsidRPr="007B1151">
        <w:rPr>
          <w:rFonts w:ascii="Times New Roman" w:hAnsi="Times New Roman" w:cs="Times New Roman"/>
          <w:sz w:val="20"/>
          <w:szCs w:val="20"/>
        </w:rPr>
        <w:t xml:space="preserve"> These sorts of in a person’s will and preferences may not be unique to dementia, but they may</w:t>
      </w:r>
      <w:r w:rsidR="00D0110C">
        <w:rPr>
          <w:rFonts w:ascii="Times New Roman" w:hAnsi="Times New Roman" w:cs="Times New Roman"/>
          <w:sz w:val="20"/>
          <w:szCs w:val="20"/>
        </w:rPr>
        <w:t xml:space="preserve"> well also happen in cases of acquired brain i</w:t>
      </w:r>
      <w:r w:rsidRPr="007B1151">
        <w:rPr>
          <w:rFonts w:ascii="Times New Roman" w:hAnsi="Times New Roman" w:cs="Times New Roman"/>
          <w:sz w:val="20"/>
          <w:szCs w:val="20"/>
        </w:rPr>
        <w:t>njury</w:t>
      </w:r>
      <w:r w:rsidR="00B36DED">
        <w:rPr>
          <w:rFonts w:ascii="Times New Roman" w:hAnsi="Times New Roman" w:cs="Times New Roman"/>
          <w:sz w:val="20"/>
          <w:szCs w:val="20"/>
        </w:rPr>
        <w:t>, or severe mental illness (Szmukler, 2017)</w:t>
      </w:r>
      <w:r w:rsidRPr="007B1151">
        <w:rPr>
          <w:rFonts w:ascii="Times New Roman" w:hAnsi="Times New Roman" w:cs="Times New Roman"/>
          <w:sz w:val="20"/>
          <w:szCs w:val="20"/>
        </w:rPr>
        <w:t xml:space="preserve">. </w:t>
      </w:r>
    </w:p>
  </w:footnote>
  <w:footnote w:id="18">
    <w:p w14:paraId="0C3CF68D" w14:textId="3378D72C" w:rsidR="00D87163" w:rsidRPr="00D87163" w:rsidRDefault="00D87163" w:rsidP="00D87163">
      <w:pPr>
        <w:pStyle w:val="FootnoteText"/>
        <w:jc w:val="both"/>
        <w:rPr>
          <w:rFonts w:ascii="Times New Roman" w:hAnsi="Times New Roman" w:cs="Times New Roman"/>
          <w:sz w:val="20"/>
          <w:szCs w:val="20"/>
        </w:rPr>
      </w:pPr>
      <w:r w:rsidRPr="00D87163">
        <w:rPr>
          <w:rStyle w:val="FootnoteReference"/>
          <w:rFonts w:ascii="Times New Roman" w:hAnsi="Times New Roman" w:cs="Times New Roman"/>
          <w:sz w:val="20"/>
          <w:szCs w:val="20"/>
        </w:rPr>
        <w:footnoteRef/>
      </w:r>
      <w:r w:rsidRPr="00D87163">
        <w:rPr>
          <w:rFonts w:ascii="Times New Roman" w:hAnsi="Times New Roman" w:cs="Times New Roman"/>
          <w:sz w:val="20"/>
          <w:szCs w:val="20"/>
        </w:rPr>
        <w:t xml:space="preserve"> </w:t>
      </w:r>
      <w:r w:rsidRPr="00D87163">
        <w:rPr>
          <w:rFonts w:ascii="Times New Roman" w:eastAsia="Times New Roman" w:hAnsi="Times New Roman" w:cs="Times New Roman"/>
          <w:sz w:val="20"/>
          <w:szCs w:val="20"/>
          <w:lang w:val="en-US"/>
        </w:rPr>
        <w:t xml:space="preserve">In cases such as these it may be that </w:t>
      </w:r>
      <w:r w:rsidR="00266003">
        <w:rPr>
          <w:rFonts w:ascii="Times New Roman" w:eastAsia="Times New Roman" w:hAnsi="Times New Roman" w:cs="Times New Roman"/>
          <w:sz w:val="20"/>
          <w:szCs w:val="20"/>
          <w:lang w:val="en-US"/>
        </w:rPr>
        <w:t xml:space="preserve">emphasizing </w:t>
      </w:r>
      <w:r w:rsidRPr="00D87163">
        <w:rPr>
          <w:rFonts w:ascii="Times New Roman" w:eastAsia="Times New Roman" w:hAnsi="Times New Roman" w:cs="Times New Roman"/>
          <w:sz w:val="20"/>
          <w:szCs w:val="20"/>
          <w:lang w:val="en-US"/>
        </w:rPr>
        <w:t xml:space="preserve">recourse to ‘respecting their </w:t>
      </w:r>
      <w:r w:rsidRPr="00D87163">
        <w:rPr>
          <w:rFonts w:ascii="Times New Roman" w:eastAsia="Times New Roman" w:hAnsi="Times New Roman" w:cs="Times New Roman"/>
          <w:i/>
          <w:sz w:val="20"/>
          <w:szCs w:val="20"/>
          <w:lang w:val="en-US"/>
        </w:rPr>
        <w:t>rights,</w:t>
      </w:r>
      <w:r w:rsidRPr="00D87163">
        <w:rPr>
          <w:rFonts w:ascii="Times New Roman" w:eastAsia="Times New Roman" w:hAnsi="Times New Roman" w:cs="Times New Roman"/>
          <w:sz w:val="20"/>
          <w:szCs w:val="20"/>
          <w:lang w:val="en-US"/>
        </w:rPr>
        <w:t xml:space="preserve"> will, and preferences’ (para 16, emphasis added) may be of most use in navigating these difficult situations (Gooding, 2015, 55).</w:t>
      </w:r>
    </w:p>
  </w:footnote>
  <w:footnote w:id="19">
    <w:p w14:paraId="5055E509" w14:textId="7C6C33FD" w:rsidR="00196247" w:rsidRPr="00D87163" w:rsidRDefault="00196247" w:rsidP="00D87163">
      <w:pPr>
        <w:jc w:val="both"/>
        <w:rPr>
          <w:rFonts w:ascii="Times New Roman" w:hAnsi="Times New Roman" w:cs="Times New Roman"/>
          <w:sz w:val="20"/>
          <w:szCs w:val="20"/>
        </w:rPr>
      </w:pPr>
      <w:r w:rsidRPr="00D87163">
        <w:rPr>
          <w:rStyle w:val="FootnoteReference"/>
          <w:rFonts w:ascii="Times New Roman" w:hAnsi="Times New Roman" w:cs="Times New Roman"/>
          <w:sz w:val="20"/>
          <w:szCs w:val="20"/>
        </w:rPr>
        <w:footnoteRef/>
      </w:r>
      <w:r w:rsidRPr="00D87163">
        <w:rPr>
          <w:rFonts w:ascii="Times New Roman" w:hAnsi="Times New Roman" w:cs="Times New Roman"/>
          <w:sz w:val="20"/>
          <w:szCs w:val="20"/>
        </w:rPr>
        <w:t xml:space="preserve"> Interestingly, in a different article, Arstein-Kerslake suggests that the role of support may well be to assist those with disabilities to reach a decision: ‘Article 12...ensures that people with disabilities have their decisions respected by law on an equal basis with others and have access to assistance in </w:t>
      </w:r>
      <w:r w:rsidRPr="00D87163">
        <w:rPr>
          <w:rFonts w:ascii="Times New Roman" w:hAnsi="Times New Roman" w:cs="Times New Roman"/>
          <w:i/>
          <w:sz w:val="20"/>
          <w:szCs w:val="20"/>
        </w:rPr>
        <w:t>arriving at</w:t>
      </w:r>
      <w:r w:rsidRPr="00D87163">
        <w:rPr>
          <w:rFonts w:ascii="Times New Roman" w:hAnsi="Times New Roman" w:cs="Times New Roman"/>
          <w:sz w:val="20"/>
          <w:szCs w:val="20"/>
        </w:rPr>
        <w:t xml:space="preserve"> and expressing those decisions.’ (Arstein-Kerslake, 2016, 78</w:t>
      </w:r>
      <w:r w:rsidR="0088592D" w:rsidRPr="00D87163">
        <w:rPr>
          <w:rFonts w:ascii="Times New Roman" w:hAnsi="Times New Roman" w:cs="Times New Roman"/>
          <w:sz w:val="20"/>
          <w:szCs w:val="20"/>
        </w:rPr>
        <w:t>, emphasis added</w:t>
      </w:r>
      <w:r w:rsidRPr="00D87163">
        <w:rPr>
          <w:rFonts w:ascii="Times New Roman" w:hAnsi="Times New Roman" w:cs="Times New Roman"/>
          <w:sz w:val="20"/>
          <w:szCs w:val="20"/>
        </w:rPr>
        <w:t>).</w:t>
      </w:r>
      <w:r w:rsidR="007B1151" w:rsidRPr="00D87163">
        <w:rPr>
          <w:rFonts w:ascii="Times New Roman" w:hAnsi="Times New Roman" w:cs="Times New Roman"/>
          <w:sz w:val="20"/>
          <w:szCs w:val="20"/>
        </w:rPr>
        <w:t xml:space="preserve"> Likewise, in an influential report, Bach and Kerzner’</w:t>
      </w:r>
      <w:r w:rsidR="00B36DED" w:rsidRPr="00D87163">
        <w:rPr>
          <w:rFonts w:ascii="Times New Roman" w:hAnsi="Times New Roman" w:cs="Times New Roman"/>
          <w:sz w:val="20"/>
          <w:szCs w:val="20"/>
        </w:rPr>
        <w:t xml:space="preserve"> recognise </w:t>
      </w:r>
      <w:r w:rsidR="007B1151" w:rsidRPr="00D87163">
        <w:rPr>
          <w:rFonts w:ascii="Times New Roman" w:hAnsi="Times New Roman" w:cs="Times New Roman"/>
          <w:sz w:val="20"/>
          <w:szCs w:val="20"/>
        </w:rPr>
        <w:t xml:space="preserve">a role for support in </w:t>
      </w:r>
      <w:r w:rsidR="007B1151" w:rsidRPr="00D87163">
        <w:rPr>
          <w:rFonts w:ascii="Times New Roman" w:hAnsi="Times New Roman" w:cs="Times New Roman"/>
          <w:i/>
          <w:sz w:val="20"/>
          <w:szCs w:val="20"/>
        </w:rPr>
        <w:t>formulating</w:t>
      </w:r>
      <w:r w:rsidR="007B1151" w:rsidRPr="00D87163">
        <w:rPr>
          <w:rFonts w:ascii="Times New Roman" w:hAnsi="Times New Roman" w:cs="Times New Roman"/>
          <w:sz w:val="20"/>
          <w:szCs w:val="20"/>
        </w:rPr>
        <w:t xml:space="preserve"> preferences (Bach and Kerzner, 2010, 73)</w:t>
      </w:r>
      <w:r w:rsidR="00B36DED" w:rsidRPr="00D87163">
        <w:rPr>
          <w:rFonts w:ascii="Times New Roman" w:hAnsi="Times New Roman" w:cs="Times New Roman"/>
          <w:sz w:val="20"/>
          <w:szCs w:val="20"/>
        </w:rPr>
        <w:t>, not simply executing them</w:t>
      </w:r>
      <w:r w:rsidR="00D87163" w:rsidRPr="00D87163">
        <w:rPr>
          <w:rFonts w:ascii="Times New Roman" w:hAnsi="Times New Roman" w:cs="Times New Roman"/>
          <w:sz w:val="20"/>
          <w:szCs w:val="20"/>
        </w:rPr>
        <w:t xml:space="preserve">, and Richardson suggests that a ‘more relational approach, one that recognizes that we all rely on others for support and assistance </w:t>
      </w:r>
      <w:r w:rsidR="00D87163" w:rsidRPr="00D87163">
        <w:rPr>
          <w:rFonts w:ascii="Times New Roman" w:hAnsi="Times New Roman" w:cs="Times New Roman"/>
          <w:i/>
          <w:sz w:val="20"/>
          <w:szCs w:val="20"/>
        </w:rPr>
        <w:t>in reaching decisions</w:t>
      </w:r>
      <w:r w:rsidR="00D87163" w:rsidRPr="00D87163">
        <w:rPr>
          <w:rFonts w:ascii="Times New Roman" w:hAnsi="Times New Roman" w:cs="Times New Roman"/>
          <w:sz w:val="20"/>
          <w:szCs w:val="20"/>
        </w:rPr>
        <w:t xml:space="preserve">, would more faithfully reflect </w:t>
      </w:r>
      <w:r w:rsidR="00D87163">
        <w:rPr>
          <w:rFonts w:ascii="Times New Roman" w:hAnsi="Times New Roman" w:cs="Times New Roman"/>
          <w:sz w:val="20"/>
          <w:szCs w:val="20"/>
        </w:rPr>
        <w:t>our common experience’ (Richardson, 2012, 342).</w:t>
      </w:r>
    </w:p>
  </w:footnote>
  <w:footnote w:id="20">
    <w:p w14:paraId="4C12CBC4" w14:textId="22B975FA" w:rsidR="009E3EC4" w:rsidRPr="009E3EC4" w:rsidRDefault="009E3EC4" w:rsidP="00D87163">
      <w:pPr>
        <w:pStyle w:val="FootnoteText"/>
        <w:jc w:val="both"/>
        <w:rPr>
          <w:rFonts w:ascii="Times New Roman" w:hAnsi="Times New Roman" w:cs="Times New Roman"/>
          <w:sz w:val="20"/>
          <w:szCs w:val="20"/>
          <w:lang w:val="en-US"/>
        </w:rPr>
      </w:pPr>
      <w:r w:rsidRPr="009E3EC4">
        <w:rPr>
          <w:rStyle w:val="FootnoteReference"/>
          <w:rFonts w:ascii="Times New Roman" w:hAnsi="Times New Roman" w:cs="Times New Roman"/>
          <w:sz w:val="20"/>
          <w:szCs w:val="20"/>
        </w:rPr>
        <w:footnoteRef/>
      </w:r>
      <w:r w:rsidRPr="009E3EC4">
        <w:rPr>
          <w:rFonts w:ascii="Times New Roman" w:hAnsi="Times New Roman" w:cs="Times New Roman"/>
          <w:sz w:val="20"/>
          <w:szCs w:val="20"/>
        </w:rPr>
        <w:t xml:space="preserve"> Although Craigie does go on to note that ‘</w:t>
      </w:r>
      <w:r w:rsidRPr="009E3EC4">
        <w:rPr>
          <w:rFonts w:ascii="Times New Roman" w:hAnsi="Times New Roman" w:cs="Times New Roman"/>
          <w:sz w:val="20"/>
          <w:szCs w:val="20"/>
          <w:lang w:val="en-US"/>
        </w:rPr>
        <w:t>the CRPD literature clearly understands the purpose of support also as facilitating autonomy in the self-expression sense. To this extent it does endorse helping the person make a ‘good’ decision in a specific sense: part of the aim of support is to help the person make a self-expressive decis</w:t>
      </w:r>
      <w:r>
        <w:rPr>
          <w:rFonts w:ascii="Times New Roman" w:hAnsi="Times New Roman" w:cs="Times New Roman"/>
          <w:sz w:val="20"/>
          <w:szCs w:val="20"/>
          <w:lang w:val="en-US"/>
        </w:rPr>
        <w:t>ion</w:t>
      </w:r>
      <w:r w:rsidRPr="009E3EC4">
        <w:rPr>
          <w:rFonts w:ascii="Times New Roman" w:hAnsi="Times New Roman" w:cs="Times New Roman"/>
          <w:sz w:val="20"/>
          <w:szCs w:val="20"/>
          <w:lang w:val="en-US"/>
        </w:rPr>
        <w:t>’ (Craigie, 2015, 403).</w:t>
      </w:r>
    </w:p>
    <w:p w14:paraId="436C4286" w14:textId="33C12934" w:rsidR="009E3EC4" w:rsidRDefault="009E3EC4">
      <w:pPr>
        <w:pStyle w:val="FootnoteText"/>
      </w:pPr>
    </w:p>
  </w:footnote>
  <w:footnote w:id="21">
    <w:p w14:paraId="55B4BDC4" w14:textId="026918A4" w:rsidR="00266003" w:rsidRPr="00D0110C" w:rsidRDefault="00266003" w:rsidP="00266003">
      <w:pPr>
        <w:pStyle w:val="FootnoteText"/>
        <w:jc w:val="both"/>
        <w:rPr>
          <w:rFonts w:ascii="Times New Roman" w:hAnsi="Times New Roman" w:cs="Times New Roman"/>
          <w:sz w:val="20"/>
          <w:szCs w:val="20"/>
        </w:rPr>
      </w:pPr>
      <w:r w:rsidRPr="00D0110C">
        <w:rPr>
          <w:rStyle w:val="FootnoteReference"/>
          <w:rFonts w:ascii="Times New Roman" w:hAnsi="Times New Roman" w:cs="Times New Roman"/>
          <w:sz w:val="20"/>
          <w:szCs w:val="20"/>
        </w:rPr>
        <w:footnoteRef/>
      </w:r>
      <w:r w:rsidRPr="00D0110C">
        <w:rPr>
          <w:rFonts w:ascii="Times New Roman" w:hAnsi="Times New Roman" w:cs="Times New Roman"/>
          <w:sz w:val="20"/>
          <w:szCs w:val="20"/>
        </w:rPr>
        <w:t xml:space="preserve"> This is also potentially another criticism of GC1 and certain interpretations of the role of support; they do not pay adequate attention to the interests, will, and preferences of those who care for people with disabilities, or recognise that the ‘will and preferences’ of the person with disabilities may be inherently bound up with the ‘will and preferences’ of their supporters or carers. In turn, such an approach arguably continues to marginalise the rights of carers.</w:t>
      </w:r>
    </w:p>
  </w:footnote>
  <w:footnote w:id="22">
    <w:p w14:paraId="1BFCF703" w14:textId="423BFAC7" w:rsidR="00083B58" w:rsidRPr="00083B58" w:rsidRDefault="00083B58" w:rsidP="00083B58">
      <w:pPr>
        <w:pStyle w:val="FootnoteText"/>
        <w:jc w:val="both"/>
        <w:rPr>
          <w:rFonts w:ascii="Times New Roman" w:hAnsi="Times New Roman" w:cs="Times New Roman"/>
          <w:sz w:val="20"/>
          <w:szCs w:val="20"/>
        </w:rPr>
      </w:pPr>
      <w:r w:rsidRPr="00083B58">
        <w:rPr>
          <w:rStyle w:val="FootnoteReference"/>
          <w:rFonts w:ascii="Times New Roman" w:hAnsi="Times New Roman" w:cs="Times New Roman"/>
          <w:sz w:val="20"/>
          <w:szCs w:val="20"/>
        </w:rPr>
        <w:footnoteRef/>
      </w:r>
      <w:r w:rsidRPr="00083B58">
        <w:rPr>
          <w:rFonts w:ascii="Times New Roman" w:hAnsi="Times New Roman" w:cs="Times New Roman"/>
          <w:sz w:val="20"/>
          <w:szCs w:val="20"/>
        </w:rPr>
        <w:t xml:space="preserve"> In this section the terms ‘disability’ and ‘i</w:t>
      </w:r>
      <w:r w:rsidR="002667B6">
        <w:rPr>
          <w:rFonts w:ascii="Times New Roman" w:hAnsi="Times New Roman" w:cs="Times New Roman"/>
          <w:sz w:val="20"/>
          <w:szCs w:val="20"/>
        </w:rPr>
        <w:t>mpairment’ are used interchangeably</w:t>
      </w:r>
      <w:r w:rsidRPr="00083B58">
        <w:rPr>
          <w:rFonts w:ascii="Times New Roman" w:hAnsi="Times New Roman" w:cs="Times New Roman"/>
          <w:sz w:val="20"/>
          <w:szCs w:val="20"/>
        </w:rPr>
        <w:t xml:space="preserve">. This is not </w:t>
      </w:r>
      <w:r>
        <w:rPr>
          <w:rFonts w:ascii="Times New Roman" w:hAnsi="Times New Roman" w:cs="Times New Roman"/>
          <w:sz w:val="20"/>
          <w:szCs w:val="20"/>
        </w:rPr>
        <w:t xml:space="preserve">to signal </w:t>
      </w:r>
      <w:r w:rsidRPr="00083B58">
        <w:rPr>
          <w:rFonts w:ascii="Times New Roman" w:hAnsi="Times New Roman" w:cs="Times New Roman"/>
          <w:sz w:val="20"/>
          <w:szCs w:val="20"/>
        </w:rPr>
        <w:t>a return to the ‘medical’ model of disability. It is done so as to reflect the fact that in much literature there seems to be a conceptual confusion between the two</w:t>
      </w:r>
      <w:r>
        <w:rPr>
          <w:rFonts w:ascii="Times New Roman" w:hAnsi="Times New Roman" w:cs="Times New Roman"/>
          <w:sz w:val="20"/>
          <w:szCs w:val="20"/>
        </w:rPr>
        <w:t xml:space="preserve"> terms</w:t>
      </w:r>
      <w:r w:rsidRPr="00083B58">
        <w:rPr>
          <w:rFonts w:ascii="Times New Roman" w:hAnsi="Times New Roman" w:cs="Times New Roman"/>
          <w:sz w:val="20"/>
          <w:szCs w:val="20"/>
        </w:rPr>
        <w:t xml:space="preserve">. If disability </w:t>
      </w:r>
      <w:r w:rsidR="00D51F95">
        <w:rPr>
          <w:rFonts w:ascii="Times New Roman" w:hAnsi="Times New Roman" w:cs="Times New Roman"/>
          <w:sz w:val="20"/>
          <w:szCs w:val="20"/>
        </w:rPr>
        <w:t>results from a process</w:t>
      </w:r>
      <w:r w:rsidR="00D0110C">
        <w:rPr>
          <w:rFonts w:ascii="Times New Roman" w:hAnsi="Times New Roman" w:cs="Times New Roman"/>
          <w:sz w:val="20"/>
          <w:szCs w:val="20"/>
        </w:rPr>
        <w:t xml:space="preserve"> of engagement between impairment and social environment</w:t>
      </w:r>
      <w:r w:rsidR="00D51F95">
        <w:rPr>
          <w:rFonts w:ascii="Times New Roman" w:hAnsi="Times New Roman" w:cs="Times New Roman"/>
          <w:sz w:val="20"/>
          <w:szCs w:val="20"/>
        </w:rPr>
        <w:t>, as suggested in this paper</w:t>
      </w:r>
      <w:r w:rsidR="00D0110C">
        <w:rPr>
          <w:rFonts w:ascii="Times New Roman" w:hAnsi="Times New Roman" w:cs="Times New Roman"/>
          <w:sz w:val="20"/>
          <w:szCs w:val="20"/>
        </w:rPr>
        <w:t xml:space="preserve"> and through the social model literature</w:t>
      </w:r>
      <w:r w:rsidRPr="00083B58">
        <w:rPr>
          <w:rFonts w:ascii="Times New Roman" w:hAnsi="Times New Roman" w:cs="Times New Roman"/>
          <w:sz w:val="20"/>
          <w:szCs w:val="20"/>
        </w:rPr>
        <w:t xml:space="preserve">, then in reality those who disallow interventions based on </w:t>
      </w:r>
      <w:r w:rsidRPr="00083B58">
        <w:rPr>
          <w:rFonts w:ascii="Times New Roman" w:hAnsi="Times New Roman" w:cs="Times New Roman"/>
          <w:i/>
          <w:sz w:val="20"/>
          <w:szCs w:val="20"/>
        </w:rPr>
        <w:t>disability</w:t>
      </w:r>
      <w:r w:rsidRPr="00083B58">
        <w:rPr>
          <w:rFonts w:ascii="Times New Roman" w:hAnsi="Times New Roman" w:cs="Times New Roman"/>
          <w:sz w:val="20"/>
          <w:szCs w:val="20"/>
        </w:rPr>
        <w:t xml:space="preserve"> </w:t>
      </w:r>
      <w:r>
        <w:rPr>
          <w:rFonts w:ascii="Times New Roman" w:hAnsi="Times New Roman" w:cs="Times New Roman"/>
          <w:sz w:val="20"/>
          <w:szCs w:val="20"/>
        </w:rPr>
        <w:t>arguably mean to disallow</w:t>
      </w:r>
      <w:r w:rsidRPr="00083B58">
        <w:rPr>
          <w:rFonts w:ascii="Times New Roman" w:hAnsi="Times New Roman" w:cs="Times New Roman"/>
          <w:sz w:val="20"/>
          <w:szCs w:val="20"/>
        </w:rPr>
        <w:t xml:space="preserve"> interventions based on </w:t>
      </w:r>
      <w:r w:rsidRPr="00083B58">
        <w:rPr>
          <w:rFonts w:ascii="Times New Roman" w:hAnsi="Times New Roman" w:cs="Times New Roman"/>
          <w:i/>
          <w:sz w:val="20"/>
          <w:szCs w:val="20"/>
        </w:rPr>
        <w:t xml:space="preserve">impairment, </w:t>
      </w:r>
      <w:r w:rsidRPr="00083B58">
        <w:rPr>
          <w:rFonts w:ascii="Times New Roman" w:hAnsi="Times New Roman" w:cs="Times New Roman"/>
          <w:sz w:val="20"/>
          <w:szCs w:val="20"/>
        </w:rPr>
        <w:t>i.e. the underlying impairment that leads to the disabling process.</w:t>
      </w:r>
      <w:r>
        <w:rPr>
          <w:rFonts w:ascii="Times New Roman" w:hAnsi="Times New Roman" w:cs="Times New Roman"/>
          <w:sz w:val="20"/>
          <w:szCs w:val="20"/>
        </w:rPr>
        <w:t xml:space="preserve"> </w:t>
      </w:r>
    </w:p>
  </w:footnote>
  <w:footnote w:id="23">
    <w:p w14:paraId="360390BC" w14:textId="26E23BC5" w:rsidR="00E77C87" w:rsidRPr="00EC14D2" w:rsidRDefault="00E77C87" w:rsidP="005E22EE">
      <w:pPr>
        <w:pStyle w:val="FootnoteText"/>
        <w:jc w:val="both"/>
        <w:rPr>
          <w:rFonts w:ascii="Times New Roman" w:hAnsi="Times New Roman" w:cs="Times New Roman"/>
          <w:sz w:val="20"/>
          <w:szCs w:val="20"/>
        </w:rPr>
      </w:pPr>
      <w:r w:rsidRPr="005E22EE">
        <w:rPr>
          <w:rStyle w:val="FootnoteReference"/>
          <w:rFonts w:ascii="Times New Roman" w:hAnsi="Times New Roman" w:cs="Times New Roman"/>
          <w:sz w:val="20"/>
          <w:szCs w:val="20"/>
        </w:rPr>
        <w:footnoteRef/>
      </w:r>
      <w:r w:rsidRPr="005E22EE">
        <w:rPr>
          <w:rFonts w:ascii="Times New Roman" w:hAnsi="Times New Roman" w:cs="Times New Roman"/>
          <w:sz w:val="20"/>
          <w:szCs w:val="20"/>
        </w:rPr>
        <w:t xml:space="preserve"> </w:t>
      </w:r>
      <w:r w:rsidR="005E22EE" w:rsidRPr="005E22EE">
        <w:rPr>
          <w:rFonts w:ascii="Times New Roman" w:hAnsi="Times New Roman" w:cs="Times New Roman"/>
          <w:sz w:val="20"/>
          <w:szCs w:val="20"/>
        </w:rPr>
        <w:t>As can be seen from Oliver’s quote, t</w:t>
      </w:r>
      <w:r w:rsidR="001757CD">
        <w:rPr>
          <w:rFonts w:ascii="Times New Roman" w:hAnsi="Times New Roman" w:cs="Times New Roman"/>
          <w:sz w:val="20"/>
          <w:szCs w:val="20"/>
        </w:rPr>
        <w:t>he origins of the social model</w:t>
      </w:r>
      <w:r w:rsidR="00672D3B">
        <w:rPr>
          <w:rFonts w:ascii="Times New Roman" w:hAnsi="Times New Roman" w:cs="Times New Roman"/>
          <w:sz w:val="20"/>
          <w:szCs w:val="20"/>
        </w:rPr>
        <w:t xml:space="preserve"> are</w:t>
      </w:r>
      <w:r w:rsidR="005E22EE" w:rsidRPr="005E22EE">
        <w:rPr>
          <w:rFonts w:ascii="Times New Roman" w:hAnsi="Times New Roman" w:cs="Times New Roman"/>
          <w:sz w:val="20"/>
          <w:szCs w:val="20"/>
        </w:rPr>
        <w:t xml:space="preserve"> grounded in physical impairments, and as such there </w:t>
      </w:r>
      <w:r w:rsidR="00AD07F3">
        <w:rPr>
          <w:rFonts w:ascii="Times New Roman" w:hAnsi="Times New Roman" w:cs="Times New Roman"/>
          <w:sz w:val="20"/>
          <w:szCs w:val="20"/>
        </w:rPr>
        <w:t>has been criticism of the social model for neglecting discussion of mental impairments (Mulvany, 2000, 584).</w:t>
      </w:r>
    </w:p>
  </w:footnote>
  <w:footnote w:id="24">
    <w:p w14:paraId="1287F686" w14:textId="6E74F966" w:rsidR="005E22EE" w:rsidRPr="005E22EE" w:rsidRDefault="005E22EE" w:rsidP="005E22EE">
      <w:pPr>
        <w:pStyle w:val="FootnoteText"/>
        <w:jc w:val="both"/>
        <w:rPr>
          <w:rFonts w:ascii="Times New Roman" w:hAnsi="Times New Roman" w:cs="Times New Roman"/>
          <w:sz w:val="20"/>
          <w:szCs w:val="20"/>
        </w:rPr>
      </w:pPr>
      <w:r w:rsidRPr="005E22EE">
        <w:rPr>
          <w:rStyle w:val="FootnoteReference"/>
          <w:rFonts w:ascii="Times New Roman" w:hAnsi="Times New Roman" w:cs="Times New Roman"/>
          <w:sz w:val="20"/>
          <w:szCs w:val="20"/>
        </w:rPr>
        <w:footnoteRef/>
      </w:r>
      <w:r w:rsidRPr="005E22EE">
        <w:rPr>
          <w:rFonts w:ascii="Times New Roman" w:hAnsi="Times New Roman" w:cs="Times New Roman"/>
          <w:sz w:val="20"/>
          <w:szCs w:val="20"/>
        </w:rPr>
        <w:t xml:space="preserve"> It is also arguable that GC1’s interpretation of disability as a </w:t>
      </w:r>
      <w:r w:rsidRPr="005E22EE">
        <w:rPr>
          <w:rFonts w:ascii="Times New Roman" w:hAnsi="Times New Roman" w:cs="Times New Roman"/>
          <w:i/>
          <w:sz w:val="20"/>
          <w:szCs w:val="20"/>
        </w:rPr>
        <w:t>status</w:t>
      </w:r>
      <w:r w:rsidRPr="005E22EE">
        <w:rPr>
          <w:rFonts w:ascii="Times New Roman" w:hAnsi="Times New Roman" w:cs="Times New Roman"/>
          <w:sz w:val="20"/>
          <w:szCs w:val="20"/>
        </w:rPr>
        <w:t xml:space="preserve"> is incorrect. As I have indicated earlier, if disability is an interaction of impairment with social context – as the Convention itself says it is in the preamble - then disability is a process rather than a status</w:t>
      </w:r>
      <w:r w:rsidR="00DD5331">
        <w:rPr>
          <w:rFonts w:ascii="Times New Roman" w:hAnsi="Times New Roman" w:cs="Times New Roman"/>
          <w:sz w:val="20"/>
          <w:szCs w:val="20"/>
        </w:rPr>
        <w:t>.</w:t>
      </w:r>
    </w:p>
  </w:footnote>
  <w:footnote w:id="25">
    <w:p w14:paraId="4329F727" w14:textId="664B6A20" w:rsidR="00E36F7A" w:rsidRPr="00E36F7A" w:rsidRDefault="00E36F7A">
      <w:pPr>
        <w:pStyle w:val="FootnoteText"/>
        <w:rPr>
          <w:rFonts w:ascii="Times New Roman" w:hAnsi="Times New Roman" w:cs="Times New Roman"/>
          <w:sz w:val="20"/>
          <w:szCs w:val="20"/>
        </w:rPr>
      </w:pPr>
      <w:r w:rsidRPr="00E36F7A">
        <w:rPr>
          <w:rStyle w:val="FootnoteReference"/>
          <w:rFonts w:ascii="Times New Roman" w:hAnsi="Times New Roman" w:cs="Times New Roman"/>
          <w:sz w:val="20"/>
          <w:szCs w:val="20"/>
        </w:rPr>
        <w:footnoteRef/>
      </w:r>
      <w:r w:rsidRPr="00E36F7A">
        <w:rPr>
          <w:rFonts w:ascii="Times New Roman" w:hAnsi="Times New Roman" w:cs="Times New Roman"/>
          <w:sz w:val="20"/>
          <w:szCs w:val="20"/>
        </w:rPr>
        <w:t xml:space="preserve"> </w:t>
      </w:r>
      <w:r w:rsidR="00B36DED">
        <w:rPr>
          <w:rFonts w:ascii="Times New Roman" w:hAnsi="Times New Roman" w:cs="Times New Roman"/>
          <w:sz w:val="20"/>
          <w:szCs w:val="20"/>
          <w:lang w:val="en-US"/>
        </w:rPr>
        <w:t>These elements form</w:t>
      </w:r>
      <w:r w:rsidR="00B36DED" w:rsidRPr="00B36DED">
        <w:rPr>
          <w:rFonts w:ascii="Times New Roman" w:hAnsi="Times New Roman" w:cs="Times New Roman"/>
          <w:sz w:val="20"/>
          <w:szCs w:val="20"/>
          <w:lang w:val="en-US"/>
        </w:rPr>
        <w:t xml:space="preserve"> part of the current test for mental incapacity found in the Mental Capacity Act 2005 in England and Wales</w:t>
      </w:r>
      <w:r w:rsidR="00B36DED">
        <w:rPr>
          <w:rFonts w:ascii="Times New Roman" w:hAnsi="Times New Roman" w:cs="Times New Roman"/>
          <w:sz w:val="20"/>
          <w:szCs w:val="20"/>
          <w:lang w:val="en-US"/>
        </w:rPr>
        <w:t>:</w:t>
      </w:r>
      <w:r w:rsidR="00B36DED" w:rsidRPr="00B36DED">
        <w:rPr>
          <w:rFonts w:ascii="Times New Roman" w:hAnsi="Times New Roman" w:cs="Times New Roman"/>
          <w:sz w:val="20"/>
          <w:szCs w:val="20"/>
        </w:rPr>
        <w:t xml:space="preserve"> </w:t>
      </w:r>
      <w:r w:rsidRPr="00E36F7A">
        <w:rPr>
          <w:rFonts w:ascii="Times New Roman" w:hAnsi="Times New Roman" w:cs="Times New Roman"/>
          <w:sz w:val="20"/>
          <w:szCs w:val="20"/>
        </w:rPr>
        <w:t>Mental Capacity Act, s.3(1).</w:t>
      </w:r>
    </w:p>
  </w:footnote>
  <w:footnote w:id="26">
    <w:p w14:paraId="52D1CC8F" w14:textId="488A224E" w:rsidR="000C13D7" w:rsidRPr="000C13D7" w:rsidRDefault="000C13D7">
      <w:pPr>
        <w:pStyle w:val="FootnoteText"/>
        <w:rPr>
          <w:rFonts w:ascii="Times New Roman" w:hAnsi="Times New Roman" w:cs="Times New Roman"/>
          <w:sz w:val="20"/>
          <w:szCs w:val="20"/>
        </w:rPr>
      </w:pPr>
      <w:r w:rsidRPr="000C13D7">
        <w:rPr>
          <w:rStyle w:val="FootnoteReference"/>
          <w:rFonts w:ascii="Times New Roman" w:hAnsi="Times New Roman" w:cs="Times New Roman"/>
          <w:sz w:val="20"/>
          <w:szCs w:val="20"/>
        </w:rPr>
        <w:footnoteRef/>
      </w:r>
      <w:r w:rsidRPr="000C13D7">
        <w:rPr>
          <w:rFonts w:ascii="Times New Roman" w:hAnsi="Times New Roman" w:cs="Times New Roman"/>
          <w:sz w:val="20"/>
          <w:szCs w:val="20"/>
        </w:rPr>
        <w:t xml:space="preserve"> I would like to thank Paul Skowron for this point.</w:t>
      </w:r>
    </w:p>
  </w:footnote>
  <w:footnote w:id="27">
    <w:p w14:paraId="5A752FF3" w14:textId="26F803E4" w:rsidR="00EA583E" w:rsidRPr="00EA583E" w:rsidRDefault="00EA583E">
      <w:pPr>
        <w:pStyle w:val="FootnoteText"/>
        <w:rPr>
          <w:rFonts w:ascii="Times New Roman" w:hAnsi="Times New Roman" w:cs="Times New Roman"/>
          <w:sz w:val="20"/>
          <w:szCs w:val="20"/>
        </w:rPr>
      </w:pPr>
      <w:r w:rsidRPr="00EA583E">
        <w:rPr>
          <w:rStyle w:val="FootnoteReference"/>
          <w:rFonts w:ascii="Times New Roman" w:hAnsi="Times New Roman" w:cs="Times New Roman"/>
          <w:sz w:val="20"/>
          <w:szCs w:val="20"/>
        </w:rPr>
        <w:footnoteRef/>
      </w:r>
      <w:r w:rsidRPr="00EA583E">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Pr="00EA583E">
        <w:rPr>
          <w:rFonts w:ascii="Times New Roman" w:hAnsi="Times New Roman" w:cs="Times New Roman"/>
          <w:sz w:val="20"/>
          <w:szCs w:val="20"/>
        </w:rPr>
        <w:t>Degener (2016) argues that the UNCRPD in fact represents a shift beyond the social model, towards a human rights model of disability.</w:t>
      </w:r>
    </w:p>
  </w:footnote>
  <w:footnote w:id="28">
    <w:p w14:paraId="214F2244" w14:textId="6D021D36" w:rsidR="000F05D9" w:rsidRPr="000F05D9" w:rsidRDefault="000F05D9">
      <w:pPr>
        <w:pStyle w:val="FootnoteText"/>
        <w:rPr>
          <w:rFonts w:ascii="Times New Roman" w:hAnsi="Times New Roman" w:cs="Times New Roman"/>
          <w:sz w:val="20"/>
          <w:szCs w:val="20"/>
        </w:rPr>
      </w:pPr>
      <w:r w:rsidRPr="000F05D9">
        <w:rPr>
          <w:rStyle w:val="FootnoteReference"/>
          <w:rFonts w:ascii="Times New Roman" w:hAnsi="Times New Roman" w:cs="Times New Roman"/>
          <w:sz w:val="20"/>
          <w:szCs w:val="20"/>
        </w:rPr>
        <w:footnoteRef/>
      </w:r>
      <w:r w:rsidRPr="000F05D9">
        <w:rPr>
          <w:rFonts w:ascii="Times New Roman" w:hAnsi="Times New Roman" w:cs="Times New Roman"/>
          <w:sz w:val="20"/>
          <w:szCs w:val="20"/>
        </w:rPr>
        <w:t xml:space="preserve"> Preamble, paragraph 5.</w:t>
      </w:r>
    </w:p>
  </w:footnote>
  <w:footnote w:id="29">
    <w:p w14:paraId="160B164F" w14:textId="7C387B95" w:rsidR="00B36DED" w:rsidRPr="00B36DED" w:rsidRDefault="00B36DED" w:rsidP="003E1724">
      <w:pPr>
        <w:pStyle w:val="FootnoteText"/>
        <w:jc w:val="both"/>
        <w:rPr>
          <w:rFonts w:ascii="Times New Roman" w:hAnsi="Times New Roman" w:cs="Times New Roman"/>
          <w:sz w:val="20"/>
          <w:szCs w:val="20"/>
        </w:rPr>
      </w:pPr>
      <w:r w:rsidRPr="00B36DED">
        <w:rPr>
          <w:rStyle w:val="FootnoteReference"/>
          <w:rFonts w:ascii="Times New Roman" w:hAnsi="Times New Roman" w:cs="Times New Roman"/>
          <w:sz w:val="20"/>
          <w:szCs w:val="20"/>
        </w:rPr>
        <w:footnoteRef/>
      </w:r>
      <w:r w:rsidRPr="00B36DED">
        <w:rPr>
          <w:rFonts w:ascii="Times New Roman" w:hAnsi="Times New Roman" w:cs="Times New Roman"/>
          <w:sz w:val="20"/>
          <w:szCs w:val="20"/>
        </w:rPr>
        <w:t xml:space="preserve"> </w:t>
      </w:r>
      <w:r w:rsidRPr="00B36DED">
        <w:rPr>
          <w:rFonts w:ascii="Times New Roman" w:hAnsi="Times New Roman" w:cs="Times New Roman"/>
          <w:sz w:val="20"/>
          <w:szCs w:val="20"/>
          <w:lang w:val="en-US"/>
        </w:rPr>
        <w:t xml:space="preserve">Beyond this, failing to recognize or take in to consideration specific impairments also risks homogenizing </w:t>
      </w:r>
      <w:r w:rsidR="003E1724">
        <w:rPr>
          <w:rFonts w:ascii="Times New Roman" w:hAnsi="Times New Roman" w:cs="Times New Roman"/>
          <w:sz w:val="20"/>
          <w:szCs w:val="20"/>
          <w:lang w:val="en-US"/>
        </w:rPr>
        <w:t>or presenting the experience of</w:t>
      </w:r>
      <w:r w:rsidRPr="00B36DED">
        <w:rPr>
          <w:rFonts w:ascii="Times New Roman" w:hAnsi="Times New Roman" w:cs="Times New Roman"/>
          <w:sz w:val="20"/>
          <w:szCs w:val="20"/>
          <w:lang w:val="en-US"/>
        </w:rPr>
        <w:t xml:space="preserve"> disabilities</w:t>
      </w:r>
      <w:r w:rsidR="003E1724">
        <w:rPr>
          <w:rFonts w:ascii="Times New Roman" w:hAnsi="Times New Roman" w:cs="Times New Roman"/>
          <w:sz w:val="20"/>
          <w:szCs w:val="20"/>
          <w:lang w:val="en-US"/>
        </w:rPr>
        <w:t xml:space="preserve"> as ‘monolithic’ (</w:t>
      </w:r>
      <w:r w:rsidR="003E1724" w:rsidRPr="003E1724">
        <w:rPr>
          <w:rFonts w:ascii="Times New Roman" w:hAnsi="Times New Roman" w:cs="Times New Roman"/>
          <w:sz w:val="20"/>
          <w:szCs w:val="20"/>
        </w:rPr>
        <w:t>Mulvany, 2000, 586)</w:t>
      </w:r>
      <w:r w:rsidR="003E1724">
        <w:rPr>
          <w:rFonts w:ascii="Times New Roman" w:hAnsi="Times New Roman" w:cs="Times New Roman"/>
          <w:sz w:val="20"/>
          <w:szCs w:val="20"/>
        </w:rPr>
        <w:t xml:space="preserve">, </w:t>
      </w:r>
      <w:r w:rsidRPr="00B36DED">
        <w:rPr>
          <w:rFonts w:ascii="Times New Roman" w:hAnsi="Times New Roman" w:cs="Times New Roman"/>
          <w:sz w:val="20"/>
          <w:szCs w:val="20"/>
          <w:lang w:val="en-US"/>
        </w:rPr>
        <w:t>rather than recognizing that people with disabilities experience their impairments in different, unique ways; ‘your experience is not my experience’ (Devlieger and Albrecht, 2000).</w:t>
      </w:r>
    </w:p>
  </w:footnote>
  <w:footnote w:id="30">
    <w:p w14:paraId="34570C7C" w14:textId="7DA55A11" w:rsidR="00470443" w:rsidRPr="00470443" w:rsidRDefault="00470443" w:rsidP="00470443">
      <w:pPr>
        <w:pStyle w:val="FootnoteText"/>
        <w:jc w:val="both"/>
        <w:rPr>
          <w:rFonts w:ascii="Times New Roman" w:hAnsi="Times New Roman" w:cs="Times New Roman"/>
          <w:sz w:val="20"/>
          <w:szCs w:val="20"/>
        </w:rPr>
      </w:pPr>
      <w:r w:rsidRPr="00470443">
        <w:rPr>
          <w:rStyle w:val="FootnoteReference"/>
          <w:rFonts w:ascii="Times New Roman" w:hAnsi="Times New Roman" w:cs="Times New Roman"/>
          <w:sz w:val="20"/>
          <w:szCs w:val="20"/>
        </w:rPr>
        <w:footnoteRef/>
      </w:r>
      <w:r w:rsidRPr="00470443">
        <w:rPr>
          <w:rFonts w:ascii="Times New Roman" w:hAnsi="Times New Roman" w:cs="Times New Roman"/>
          <w:sz w:val="20"/>
          <w:szCs w:val="20"/>
        </w:rPr>
        <w:t xml:space="preserve"> Interestingly, some commentators have argued that such language perpetuates exclusion</w:t>
      </w:r>
      <w:r>
        <w:rPr>
          <w:rFonts w:ascii="Times New Roman" w:hAnsi="Times New Roman" w:cs="Times New Roman"/>
          <w:sz w:val="20"/>
          <w:szCs w:val="20"/>
        </w:rPr>
        <w:t>, and focus should be on ‘universal design in society more generally</w:t>
      </w:r>
      <w:r w:rsidRPr="00470443">
        <w:rPr>
          <w:rFonts w:ascii="Times New Roman" w:hAnsi="Times New Roman" w:cs="Times New Roman"/>
          <w:sz w:val="20"/>
          <w:szCs w:val="20"/>
        </w:rPr>
        <w:t xml:space="preserve">: ‘Even a phrase like ‘dementia friendly’, while apparently positive, could be considered patronizing and inappropriate... we might ask instead for ‘Dementia Enabling </w:t>
      </w:r>
      <w:r>
        <w:rPr>
          <w:rFonts w:ascii="Times New Roman" w:hAnsi="Times New Roman" w:cs="Times New Roman"/>
          <w:sz w:val="20"/>
          <w:szCs w:val="20"/>
        </w:rPr>
        <w:t>Communities’ (Shakespeare, Zeilig, and Mittler, 2017, 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35127"/>
    <w:multiLevelType w:val="multilevel"/>
    <w:tmpl w:val="1E5A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65D39"/>
    <w:multiLevelType w:val="multilevel"/>
    <w:tmpl w:val="5CF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639CD"/>
    <w:multiLevelType w:val="multilevel"/>
    <w:tmpl w:val="6CB6E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324E1"/>
    <w:multiLevelType w:val="hybridMultilevel"/>
    <w:tmpl w:val="1F704EF8"/>
    <w:lvl w:ilvl="0" w:tplc="00066500">
      <w:start w:val="1"/>
      <w:numFmt w:val="bullet"/>
      <w:lvlText w:val="•"/>
      <w:lvlJc w:val="left"/>
      <w:pPr>
        <w:tabs>
          <w:tab w:val="num" w:pos="720"/>
        </w:tabs>
        <w:ind w:left="720" w:hanging="360"/>
      </w:pPr>
      <w:rPr>
        <w:rFonts w:ascii="Arial" w:hAnsi="Arial" w:hint="default"/>
      </w:rPr>
    </w:lvl>
    <w:lvl w:ilvl="1" w:tplc="1C8444AA" w:tentative="1">
      <w:start w:val="1"/>
      <w:numFmt w:val="bullet"/>
      <w:lvlText w:val="•"/>
      <w:lvlJc w:val="left"/>
      <w:pPr>
        <w:tabs>
          <w:tab w:val="num" w:pos="1440"/>
        </w:tabs>
        <w:ind w:left="1440" w:hanging="360"/>
      </w:pPr>
      <w:rPr>
        <w:rFonts w:ascii="Arial" w:hAnsi="Arial" w:hint="default"/>
      </w:rPr>
    </w:lvl>
    <w:lvl w:ilvl="2" w:tplc="8F1208C4" w:tentative="1">
      <w:start w:val="1"/>
      <w:numFmt w:val="bullet"/>
      <w:lvlText w:val="•"/>
      <w:lvlJc w:val="left"/>
      <w:pPr>
        <w:tabs>
          <w:tab w:val="num" w:pos="2160"/>
        </w:tabs>
        <w:ind w:left="2160" w:hanging="360"/>
      </w:pPr>
      <w:rPr>
        <w:rFonts w:ascii="Arial" w:hAnsi="Arial" w:hint="default"/>
      </w:rPr>
    </w:lvl>
    <w:lvl w:ilvl="3" w:tplc="B17A1A40" w:tentative="1">
      <w:start w:val="1"/>
      <w:numFmt w:val="bullet"/>
      <w:lvlText w:val="•"/>
      <w:lvlJc w:val="left"/>
      <w:pPr>
        <w:tabs>
          <w:tab w:val="num" w:pos="2880"/>
        </w:tabs>
        <w:ind w:left="2880" w:hanging="360"/>
      </w:pPr>
      <w:rPr>
        <w:rFonts w:ascii="Arial" w:hAnsi="Arial" w:hint="default"/>
      </w:rPr>
    </w:lvl>
    <w:lvl w:ilvl="4" w:tplc="8D6E3CAA" w:tentative="1">
      <w:start w:val="1"/>
      <w:numFmt w:val="bullet"/>
      <w:lvlText w:val="•"/>
      <w:lvlJc w:val="left"/>
      <w:pPr>
        <w:tabs>
          <w:tab w:val="num" w:pos="3600"/>
        </w:tabs>
        <w:ind w:left="3600" w:hanging="360"/>
      </w:pPr>
      <w:rPr>
        <w:rFonts w:ascii="Arial" w:hAnsi="Arial" w:hint="default"/>
      </w:rPr>
    </w:lvl>
    <w:lvl w:ilvl="5" w:tplc="93409944" w:tentative="1">
      <w:start w:val="1"/>
      <w:numFmt w:val="bullet"/>
      <w:lvlText w:val="•"/>
      <w:lvlJc w:val="left"/>
      <w:pPr>
        <w:tabs>
          <w:tab w:val="num" w:pos="4320"/>
        </w:tabs>
        <w:ind w:left="4320" w:hanging="360"/>
      </w:pPr>
      <w:rPr>
        <w:rFonts w:ascii="Arial" w:hAnsi="Arial" w:hint="default"/>
      </w:rPr>
    </w:lvl>
    <w:lvl w:ilvl="6" w:tplc="759A2672" w:tentative="1">
      <w:start w:val="1"/>
      <w:numFmt w:val="bullet"/>
      <w:lvlText w:val="•"/>
      <w:lvlJc w:val="left"/>
      <w:pPr>
        <w:tabs>
          <w:tab w:val="num" w:pos="5040"/>
        </w:tabs>
        <w:ind w:left="5040" w:hanging="360"/>
      </w:pPr>
      <w:rPr>
        <w:rFonts w:ascii="Arial" w:hAnsi="Arial" w:hint="default"/>
      </w:rPr>
    </w:lvl>
    <w:lvl w:ilvl="7" w:tplc="5FB081C2" w:tentative="1">
      <w:start w:val="1"/>
      <w:numFmt w:val="bullet"/>
      <w:lvlText w:val="•"/>
      <w:lvlJc w:val="left"/>
      <w:pPr>
        <w:tabs>
          <w:tab w:val="num" w:pos="5760"/>
        </w:tabs>
        <w:ind w:left="5760" w:hanging="360"/>
      </w:pPr>
      <w:rPr>
        <w:rFonts w:ascii="Arial" w:hAnsi="Arial" w:hint="default"/>
      </w:rPr>
    </w:lvl>
    <w:lvl w:ilvl="8" w:tplc="5E845160" w:tentative="1">
      <w:start w:val="1"/>
      <w:numFmt w:val="bullet"/>
      <w:lvlText w:val="•"/>
      <w:lvlJc w:val="left"/>
      <w:pPr>
        <w:tabs>
          <w:tab w:val="num" w:pos="6480"/>
        </w:tabs>
        <w:ind w:left="6480" w:hanging="360"/>
      </w:pPr>
      <w:rPr>
        <w:rFonts w:ascii="Arial" w:hAnsi="Arial" w:hint="default"/>
      </w:rPr>
    </w:lvl>
  </w:abstractNum>
  <w:abstractNum w:abstractNumId="4">
    <w:nsid w:val="6BC4021E"/>
    <w:multiLevelType w:val="hybridMultilevel"/>
    <w:tmpl w:val="B25275F6"/>
    <w:lvl w:ilvl="0" w:tplc="EE84C380">
      <w:start w:val="1"/>
      <w:numFmt w:val="bullet"/>
      <w:lvlText w:val="•"/>
      <w:lvlJc w:val="left"/>
      <w:pPr>
        <w:tabs>
          <w:tab w:val="num" w:pos="720"/>
        </w:tabs>
        <w:ind w:left="720" w:hanging="360"/>
      </w:pPr>
      <w:rPr>
        <w:rFonts w:ascii="Arial" w:hAnsi="Arial" w:hint="default"/>
      </w:rPr>
    </w:lvl>
    <w:lvl w:ilvl="1" w:tplc="922E862C" w:tentative="1">
      <w:start w:val="1"/>
      <w:numFmt w:val="bullet"/>
      <w:lvlText w:val="•"/>
      <w:lvlJc w:val="left"/>
      <w:pPr>
        <w:tabs>
          <w:tab w:val="num" w:pos="1440"/>
        </w:tabs>
        <w:ind w:left="1440" w:hanging="360"/>
      </w:pPr>
      <w:rPr>
        <w:rFonts w:ascii="Arial" w:hAnsi="Arial" w:hint="default"/>
      </w:rPr>
    </w:lvl>
    <w:lvl w:ilvl="2" w:tplc="B136091E" w:tentative="1">
      <w:start w:val="1"/>
      <w:numFmt w:val="bullet"/>
      <w:lvlText w:val="•"/>
      <w:lvlJc w:val="left"/>
      <w:pPr>
        <w:tabs>
          <w:tab w:val="num" w:pos="2160"/>
        </w:tabs>
        <w:ind w:left="2160" w:hanging="360"/>
      </w:pPr>
      <w:rPr>
        <w:rFonts w:ascii="Arial" w:hAnsi="Arial" w:hint="default"/>
      </w:rPr>
    </w:lvl>
    <w:lvl w:ilvl="3" w:tplc="3C10C4E0" w:tentative="1">
      <w:start w:val="1"/>
      <w:numFmt w:val="bullet"/>
      <w:lvlText w:val="•"/>
      <w:lvlJc w:val="left"/>
      <w:pPr>
        <w:tabs>
          <w:tab w:val="num" w:pos="2880"/>
        </w:tabs>
        <w:ind w:left="2880" w:hanging="360"/>
      </w:pPr>
      <w:rPr>
        <w:rFonts w:ascii="Arial" w:hAnsi="Arial" w:hint="default"/>
      </w:rPr>
    </w:lvl>
    <w:lvl w:ilvl="4" w:tplc="82207C36" w:tentative="1">
      <w:start w:val="1"/>
      <w:numFmt w:val="bullet"/>
      <w:lvlText w:val="•"/>
      <w:lvlJc w:val="left"/>
      <w:pPr>
        <w:tabs>
          <w:tab w:val="num" w:pos="3600"/>
        </w:tabs>
        <w:ind w:left="3600" w:hanging="360"/>
      </w:pPr>
      <w:rPr>
        <w:rFonts w:ascii="Arial" w:hAnsi="Arial" w:hint="default"/>
      </w:rPr>
    </w:lvl>
    <w:lvl w:ilvl="5" w:tplc="8A461162" w:tentative="1">
      <w:start w:val="1"/>
      <w:numFmt w:val="bullet"/>
      <w:lvlText w:val="•"/>
      <w:lvlJc w:val="left"/>
      <w:pPr>
        <w:tabs>
          <w:tab w:val="num" w:pos="4320"/>
        </w:tabs>
        <w:ind w:left="4320" w:hanging="360"/>
      </w:pPr>
      <w:rPr>
        <w:rFonts w:ascii="Arial" w:hAnsi="Arial" w:hint="default"/>
      </w:rPr>
    </w:lvl>
    <w:lvl w:ilvl="6" w:tplc="5C021452" w:tentative="1">
      <w:start w:val="1"/>
      <w:numFmt w:val="bullet"/>
      <w:lvlText w:val="•"/>
      <w:lvlJc w:val="left"/>
      <w:pPr>
        <w:tabs>
          <w:tab w:val="num" w:pos="5040"/>
        </w:tabs>
        <w:ind w:left="5040" w:hanging="360"/>
      </w:pPr>
      <w:rPr>
        <w:rFonts w:ascii="Arial" w:hAnsi="Arial" w:hint="default"/>
      </w:rPr>
    </w:lvl>
    <w:lvl w:ilvl="7" w:tplc="D77AF8FA" w:tentative="1">
      <w:start w:val="1"/>
      <w:numFmt w:val="bullet"/>
      <w:lvlText w:val="•"/>
      <w:lvlJc w:val="left"/>
      <w:pPr>
        <w:tabs>
          <w:tab w:val="num" w:pos="5760"/>
        </w:tabs>
        <w:ind w:left="5760" w:hanging="360"/>
      </w:pPr>
      <w:rPr>
        <w:rFonts w:ascii="Arial" w:hAnsi="Arial" w:hint="default"/>
      </w:rPr>
    </w:lvl>
    <w:lvl w:ilvl="8" w:tplc="42F65A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A"/>
    <w:rsid w:val="000077A9"/>
    <w:rsid w:val="00012648"/>
    <w:rsid w:val="00031B44"/>
    <w:rsid w:val="00064753"/>
    <w:rsid w:val="0006551E"/>
    <w:rsid w:val="000727CB"/>
    <w:rsid w:val="00083B58"/>
    <w:rsid w:val="00097ADB"/>
    <w:rsid w:val="000A1CB7"/>
    <w:rsid w:val="000A52AC"/>
    <w:rsid w:val="000C13D7"/>
    <w:rsid w:val="000C3A63"/>
    <w:rsid w:val="000F05D9"/>
    <w:rsid w:val="00114702"/>
    <w:rsid w:val="00123FF6"/>
    <w:rsid w:val="001343A6"/>
    <w:rsid w:val="00137620"/>
    <w:rsid w:val="00163B07"/>
    <w:rsid w:val="00164458"/>
    <w:rsid w:val="00164700"/>
    <w:rsid w:val="001757CD"/>
    <w:rsid w:val="00177A45"/>
    <w:rsid w:val="00177B39"/>
    <w:rsid w:val="00196247"/>
    <w:rsid w:val="001B050A"/>
    <w:rsid w:val="001C4401"/>
    <w:rsid w:val="001C4F0B"/>
    <w:rsid w:val="0020072E"/>
    <w:rsid w:val="00206979"/>
    <w:rsid w:val="00230DD1"/>
    <w:rsid w:val="00234EC7"/>
    <w:rsid w:val="00266003"/>
    <w:rsid w:val="002667B6"/>
    <w:rsid w:val="002706FD"/>
    <w:rsid w:val="00276B15"/>
    <w:rsid w:val="00290E09"/>
    <w:rsid w:val="002A58D5"/>
    <w:rsid w:val="002C1022"/>
    <w:rsid w:val="002C24CE"/>
    <w:rsid w:val="002C5898"/>
    <w:rsid w:val="002D56D4"/>
    <w:rsid w:val="002D604C"/>
    <w:rsid w:val="002D749F"/>
    <w:rsid w:val="00302DA7"/>
    <w:rsid w:val="003148BF"/>
    <w:rsid w:val="003163EC"/>
    <w:rsid w:val="003175F9"/>
    <w:rsid w:val="0034335F"/>
    <w:rsid w:val="00343496"/>
    <w:rsid w:val="00367BFC"/>
    <w:rsid w:val="00377BC2"/>
    <w:rsid w:val="00387EA7"/>
    <w:rsid w:val="00393017"/>
    <w:rsid w:val="00397124"/>
    <w:rsid w:val="003B17E7"/>
    <w:rsid w:val="003B3229"/>
    <w:rsid w:val="003B4FDE"/>
    <w:rsid w:val="003B67F5"/>
    <w:rsid w:val="003E0415"/>
    <w:rsid w:val="003E1724"/>
    <w:rsid w:val="003E2B4F"/>
    <w:rsid w:val="00406969"/>
    <w:rsid w:val="00412B12"/>
    <w:rsid w:val="00416800"/>
    <w:rsid w:val="00423B91"/>
    <w:rsid w:val="00433FCD"/>
    <w:rsid w:val="00470443"/>
    <w:rsid w:val="00485698"/>
    <w:rsid w:val="00495D46"/>
    <w:rsid w:val="004C58A5"/>
    <w:rsid w:val="004C6CA5"/>
    <w:rsid w:val="004D20FA"/>
    <w:rsid w:val="004D5592"/>
    <w:rsid w:val="004D5F79"/>
    <w:rsid w:val="004D6A38"/>
    <w:rsid w:val="004E07BF"/>
    <w:rsid w:val="00521FBA"/>
    <w:rsid w:val="00542AB7"/>
    <w:rsid w:val="0054676C"/>
    <w:rsid w:val="00553255"/>
    <w:rsid w:val="00553C68"/>
    <w:rsid w:val="005A2F73"/>
    <w:rsid w:val="005B5BE5"/>
    <w:rsid w:val="005B72EE"/>
    <w:rsid w:val="005C419F"/>
    <w:rsid w:val="005D1E9B"/>
    <w:rsid w:val="005D2C78"/>
    <w:rsid w:val="005D6138"/>
    <w:rsid w:val="005E22EE"/>
    <w:rsid w:val="00606925"/>
    <w:rsid w:val="006136B4"/>
    <w:rsid w:val="0062407C"/>
    <w:rsid w:val="00633DAD"/>
    <w:rsid w:val="006514AF"/>
    <w:rsid w:val="00661459"/>
    <w:rsid w:val="00662BF1"/>
    <w:rsid w:val="0066553D"/>
    <w:rsid w:val="006668DB"/>
    <w:rsid w:val="006718CE"/>
    <w:rsid w:val="00672D3B"/>
    <w:rsid w:val="00673536"/>
    <w:rsid w:val="006821CC"/>
    <w:rsid w:val="00685CFE"/>
    <w:rsid w:val="006955F3"/>
    <w:rsid w:val="006B25A6"/>
    <w:rsid w:val="006B386A"/>
    <w:rsid w:val="006F2EB8"/>
    <w:rsid w:val="006F5F25"/>
    <w:rsid w:val="006F602B"/>
    <w:rsid w:val="0071134D"/>
    <w:rsid w:val="0071720A"/>
    <w:rsid w:val="00731821"/>
    <w:rsid w:val="007326DE"/>
    <w:rsid w:val="0074295A"/>
    <w:rsid w:val="00757EDE"/>
    <w:rsid w:val="0076647A"/>
    <w:rsid w:val="00782184"/>
    <w:rsid w:val="00797D86"/>
    <w:rsid w:val="007A15CB"/>
    <w:rsid w:val="007B1151"/>
    <w:rsid w:val="007B1D0C"/>
    <w:rsid w:val="007D721B"/>
    <w:rsid w:val="007E61C3"/>
    <w:rsid w:val="00821E9F"/>
    <w:rsid w:val="0087080C"/>
    <w:rsid w:val="0088592D"/>
    <w:rsid w:val="008B1B64"/>
    <w:rsid w:val="008B6A5E"/>
    <w:rsid w:val="008D194C"/>
    <w:rsid w:val="008D48DB"/>
    <w:rsid w:val="0090795A"/>
    <w:rsid w:val="009156EC"/>
    <w:rsid w:val="009235E6"/>
    <w:rsid w:val="00927138"/>
    <w:rsid w:val="00946339"/>
    <w:rsid w:val="009A252F"/>
    <w:rsid w:val="009A469F"/>
    <w:rsid w:val="009C2DEE"/>
    <w:rsid w:val="009C3961"/>
    <w:rsid w:val="009C39AE"/>
    <w:rsid w:val="009D4032"/>
    <w:rsid w:val="009D65C2"/>
    <w:rsid w:val="009E3EC4"/>
    <w:rsid w:val="009E5CA5"/>
    <w:rsid w:val="009E7539"/>
    <w:rsid w:val="00A061DF"/>
    <w:rsid w:val="00A15059"/>
    <w:rsid w:val="00A354C4"/>
    <w:rsid w:val="00A363A4"/>
    <w:rsid w:val="00A501F4"/>
    <w:rsid w:val="00A63E6F"/>
    <w:rsid w:val="00A713B8"/>
    <w:rsid w:val="00A72077"/>
    <w:rsid w:val="00A85013"/>
    <w:rsid w:val="00A91C20"/>
    <w:rsid w:val="00AA0837"/>
    <w:rsid w:val="00AB2DDC"/>
    <w:rsid w:val="00AB564F"/>
    <w:rsid w:val="00AD07F3"/>
    <w:rsid w:val="00AD21E4"/>
    <w:rsid w:val="00AE4D19"/>
    <w:rsid w:val="00AE5D59"/>
    <w:rsid w:val="00B125F5"/>
    <w:rsid w:val="00B36DED"/>
    <w:rsid w:val="00B7489C"/>
    <w:rsid w:val="00B87B61"/>
    <w:rsid w:val="00B93EE0"/>
    <w:rsid w:val="00BB3537"/>
    <w:rsid w:val="00BB6BA5"/>
    <w:rsid w:val="00BC0D01"/>
    <w:rsid w:val="00BE4741"/>
    <w:rsid w:val="00BF7AE8"/>
    <w:rsid w:val="00C05D8D"/>
    <w:rsid w:val="00C1601E"/>
    <w:rsid w:val="00C2037F"/>
    <w:rsid w:val="00C3304F"/>
    <w:rsid w:val="00C53B63"/>
    <w:rsid w:val="00C54FA3"/>
    <w:rsid w:val="00C56059"/>
    <w:rsid w:val="00C640CC"/>
    <w:rsid w:val="00C71D94"/>
    <w:rsid w:val="00C97E74"/>
    <w:rsid w:val="00CB33CD"/>
    <w:rsid w:val="00CC1910"/>
    <w:rsid w:val="00CC4528"/>
    <w:rsid w:val="00CE0DA0"/>
    <w:rsid w:val="00CE6FDF"/>
    <w:rsid w:val="00D0110C"/>
    <w:rsid w:val="00D03D6B"/>
    <w:rsid w:val="00D209DD"/>
    <w:rsid w:val="00D24BD8"/>
    <w:rsid w:val="00D36AE4"/>
    <w:rsid w:val="00D40345"/>
    <w:rsid w:val="00D51F95"/>
    <w:rsid w:val="00D707ED"/>
    <w:rsid w:val="00D70DF9"/>
    <w:rsid w:val="00D87163"/>
    <w:rsid w:val="00DA648E"/>
    <w:rsid w:val="00DB043C"/>
    <w:rsid w:val="00DC2546"/>
    <w:rsid w:val="00DC4934"/>
    <w:rsid w:val="00DC7415"/>
    <w:rsid w:val="00DD3541"/>
    <w:rsid w:val="00DD48B9"/>
    <w:rsid w:val="00DD5331"/>
    <w:rsid w:val="00DE7B4C"/>
    <w:rsid w:val="00DF11E6"/>
    <w:rsid w:val="00E36F7A"/>
    <w:rsid w:val="00E77C87"/>
    <w:rsid w:val="00E80E70"/>
    <w:rsid w:val="00E8478B"/>
    <w:rsid w:val="00EA4234"/>
    <w:rsid w:val="00EA583E"/>
    <w:rsid w:val="00EA6C6E"/>
    <w:rsid w:val="00EC14D2"/>
    <w:rsid w:val="00EC361A"/>
    <w:rsid w:val="00ED3BA4"/>
    <w:rsid w:val="00F10CFC"/>
    <w:rsid w:val="00F23D15"/>
    <w:rsid w:val="00F302DA"/>
    <w:rsid w:val="00F46940"/>
    <w:rsid w:val="00F53E2E"/>
    <w:rsid w:val="00F67B70"/>
    <w:rsid w:val="00F73618"/>
    <w:rsid w:val="00F747F3"/>
    <w:rsid w:val="00F81E04"/>
    <w:rsid w:val="00F84C79"/>
    <w:rsid w:val="00F85D57"/>
    <w:rsid w:val="00F86CA5"/>
    <w:rsid w:val="00F878E7"/>
    <w:rsid w:val="00F940B9"/>
    <w:rsid w:val="00F9472F"/>
    <w:rsid w:val="00FA0B2F"/>
    <w:rsid w:val="00FC0F00"/>
    <w:rsid w:val="00FC282B"/>
    <w:rsid w:val="00FC2B88"/>
    <w:rsid w:val="00FC5BDD"/>
    <w:rsid w:val="00FE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C62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235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5898"/>
    <w:rPr>
      <w:sz w:val="18"/>
      <w:szCs w:val="18"/>
    </w:rPr>
  </w:style>
  <w:style w:type="paragraph" w:styleId="CommentText">
    <w:name w:val="annotation text"/>
    <w:basedOn w:val="Normal"/>
    <w:link w:val="CommentTextChar"/>
    <w:uiPriority w:val="99"/>
    <w:semiHidden/>
    <w:unhideWhenUsed/>
    <w:rsid w:val="002C5898"/>
  </w:style>
  <w:style w:type="character" w:customStyle="1" w:styleId="CommentTextChar">
    <w:name w:val="Comment Text Char"/>
    <w:basedOn w:val="DefaultParagraphFont"/>
    <w:link w:val="CommentText"/>
    <w:uiPriority w:val="99"/>
    <w:semiHidden/>
    <w:rsid w:val="002C5898"/>
    <w:rPr>
      <w:lang w:val="en-GB"/>
    </w:rPr>
  </w:style>
  <w:style w:type="paragraph" w:styleId="CommentSubject">
    <w:name w:val="annotation subject"/>
    <w:basedOn w:val="CommentText"/>
    <w:next w:val="CommentText"/>
    <w:link w:val="CommentSubjectChar"/>
    <w:uiPriority w:val="99"/>
    <w:semiHidden/>
    <w:unhideWhenUsed/>
    <w:rsid w:val="002C5898"/>
    <w:rPr>
      <w:b/>
      <w:bCs/>
      <w:sz w:val="20"/>
      <w:szCs w:val="20"/>
    </w:rPr>
  </w:style>
  <w:style w:type="character" w:customStyle="1" w:styleId="CommentSubjectChar">
    <w:name w:val="Comment Subject Char"/>
    <w:basedOn w:val="CommentTextChar"/>
    <w:link w:val="CommentSubject"/>
    <w:uiPriority w:val="99"/>
    <w:semiHidden/>
    <w:rsid w:val="002C5898"/>
    <w:rPr>
      <w:b/>
      <w:bCs/>
      <w:sz w:val="20"/>
      <w:szCs w:val="20"/>
      <w:lang w:val="en-GB"/>
    </w:rPr>
  </w:style>
  <w:style w:type="paragraph" w:styleId="BalloonText">
    <w:name w:val="Balloon Text"/>
    <w:basedOn w:val="Normal"/>
    <w:link w:val="BalloonTextChar"/>
    <w:uiPriority w:val="99"/>
    <w:semiHidden/>
    <w:unhideWhenUsed/>
    <w:rsid w:val="002C58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898"/>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7326DE"/>
  </w:style>
  <w:style w:type="character" w:customStyle="1" w:styleId="FootnoteTextChar">
    <w:name w:val="Footnote Text Char"/>
    <w:basedOn w:val="DefaultParagraphFont"/>
    <w:link w:val="FootnoteText"/>
    <w:uiPriority w:val="99"/>
    <w:rsid w:val="007326DE"/>
    <w:rPr>
      <w:lang w:val="en-GB"/>
    </w:rPr>
  </w:style>
  <w:style w:type="character" w:styleId="FootnoteReference">
    <w:name w:val="footnote reference"/>
    <w:basedOn w:val="DefaultParagraphFont"/>
    <w:uiPriority w:val="99"/>
    <w:unhideWhenUsed/>
    <w:rsid w:val="007326DE"/>
    <w:rPr>
      <w:vertAlign w:val="superscript"/>
    </w:rPr>
  </w:style>
  <w:style w:type="character" w:styleId="Hyperlink">
    <w:name w:val="Hyperlink"/>
    <w:basedOn w:val="DefaultParagraphFont"/>
    <w:uiPriority w:val="99"/>
    <w:unhideWhenUsed/>
    <w:rsid w:val="00DC2546"/>
    <w:rPr>
      <w:color w:val="0563C1" w:themeColor="hyperlink"/>
      <w:u w:val="single"/>
    </w:rPr>
  </w:style>
  <w:style w:type="character" w:customStyle="1" w:styleId="Heading1Char">
    <w:name w:val="Heading 1 Char"/>
    <w:basedOn w:val="DefaultParagraphFont"/>
    <w:link w:val="Heading1"/>
    <w:uiPriority w:val="9"/>
    <w:rsid w:val="009235E6"/>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20072E"/>
    <w:pPr>
      <w:tabs>
        <w:tab w:val="center" w:pos="4513"/>
        <w:tab w:val="right" w:pos="9026"/>
      </w:tabs>
    </w:pPr>
  </w:style>
  <w:style w:type="character" w:customStyle="1" w:styleId="FooterChar">
    <w:name w:val="Footer Char"/>
    <w:basedOn w:val="DefaultParagraphFont"/>
    <w:link w:val="Footer"/>
    <w:uiPriority w:val="99"/>
    <w:rsid w:val="0020072E"/>
    <w:rPr>
      <w:lang w:val="en-GB"/>
    </w:rPr>
  </w:style>
  <w:style w:type="character" w:styleId="PageNumber">
    <w:name w:val="page number"/>
    <w:basedOn w:val="DefaultParagraphFont"/>
    <w:uiPriority w:val="99"/>
    <w:semiHidden/>
    <w:unhideWhenUsed/>
    <w:rsid w:val="0020072E"/>
  </w:style>
  <w:style w:type="character" w:customStyle="1" w:styleId="current-selection">
    <w:name w:val="current-selection"/>
    <w:basedOn w:val="DefaultParagraphFont"/>
    <w:rsid w:val="009E5CA5"/>
  </w:style>
  <w:style w:type="character" w:customStyle="1" w:styleId="a">
    <w:name w:val="_"/>
    <w:basedOn w:val="DefaultParagraphFont"/>
    <w:rsid w:val="009E5CA5"/>
  </w:style>
  <w:style w:type="paragraph" w:styleId="ListParagraph">
    <w:name w:val="List Paragraph"/>
    <w:basedOn w:val="Normal"/>
    <w:uiPriority w:val="34"/>
    <w:qFormat/>
    <w:rsid w:val="0066553D"/>
    <w:pPr>
      <w:ind w:left="720"/>
      <w:contextualSpacing/>
    </w:pPr>
    <w:rPr>
      <w:rFonts w:ascii="Times New Roman" w:hAnsi="Times New Roman" w:cs="Times New Roman"/>
      <w:lang w:val="en-US"/>
    </w:rPr>
  </w:style>
  <w:style w:type="character" w:styleId="FollowedHyperlink">
    <w:name w:val="FollowedHyperlink"/>
    <w:basedOn w:val="DefaultParagraphFont"/>
    <w:uiPriority w:val="99"/>
    <w:semiHidden/>
    <w:unhideWhenUsed/>
    <w:rsid w:val="005A2F73"/>
    <w:rPr>
      <w:color w:val="954F72" w:themeColor="followedHyperlink"/>
      <w:u w:val="single"/>
    </w:rPr>
  </w:style>
  <w:style w:type="character" w:styleId="Emphasis">
    <w:name w:val="Emphasis"/>
    <w:basedOn w:val="DefaultParagraphFont"/>
    <w:uiPriority w:val="20"/>
    <w:qFormat/>
    <w:rsid w:val="00D87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361">
      <w:bodyDiv w:val="1"/>
      <w:marLeft w:val="0"/>
      <w:marRight w:val="0"/>
      <w:marTop w:val="0"/>
      <w:marBottom w:val="0"/>
      <w:divBdr>
        <w:top w:val="none" w:sz="0" w:space="0" w:color="auto"/>
        <w:left w:val="none" w:sz="0" w:space="0" w:color="auto"/>
        <w:bottom w:val="none" w:sz="0" w:space="0" w:color="auto"/>
        <w:right w:val="none" w:sz="0" w:space="0" w:color="auto"/>
      </w:divBdr>
    </w:div>
    <w:div w:id="15272912">
      <w:bodyDiv w:val="1"/>
      <w:marLeft w:val="0"/>
      <w:marRight w:val="0"/>
      <w:marTop w:val="0"/>
      <w:marBottom w:val="0"/>
      <w:divBdr>
        <w:top w:val="none" w:sz="0" w:space="0" w:color="auto"/>
        <w:left w:val="none" w:sz="0" w:space="0" w:color="auto"/>
        <w:bottom w:val="none" w:sz="0" w:space="0" w:color="auto"/>
        <w:right w:val="none" w:sz="0" w:space="0" w:color="auto"/>
      </w:divBdr>
    </w:div>
    <w:div w:id="27609108">
      <w:bodyDiv w:val="1"/>
      <w:marLeft w:val="0"/>
      <w:marRight w:val="0"/>
      <w:marTop w:val="0"/>
      <w:marBottom w:val="0"/>
      <w:divBdr>
        <w:top w:val="none" w:sz="0" w:space="0" w:color="auto"/>
        <w:left w:val="none" w:sz="0" w:space="0" w:color="auto"/>
        <w:bottom w:val="none" w:sz="0" w:space="0" w:color="auto"/>
        <w:right w:val="none" w:sz="0" w:space="0" w:color="auto"/>
      </w:divBdr>
    </w:div>
    <w:div w:id="38820602">
      <w:bodyDiv w:val="1"/>
      <w:marLeft w:val="0"/>
      <w:marRight w:val="0"/>
      <w:marTop w:val="0"/>
      <w:marBottom w:val="0"/>
      <w:divBdr>
        <w:top w:val="none" w:sz="0" w:space="0" w:color="auto"/>
        <w:left w:val="none" w:sz="0" w:space="0" w:color="auto"/>
        <w:bottom w:val="none" w:sz="0" w:space="0" w:color="auto"/>
        <w:right w:val="none" w:sz="0" w:space="0" w:color="auto"/>
      </w:divBdr>
    </w:div>
    <w:div w:id="42411062">
      <w:bodyDiv w:val="1"/>
      <w:marLeft w:val="0"/>
      <w:marRight w:val="0"/>
      <w:marTop w:val="0"/>
      <w:marBottom w:val="0"/>
      <w:divBdr>
        <w:top w:val="none" w:sz="0" w:space="0" w:color="auto"/>
        <w:left w:val="none" w:sz="0" w:space="0" w:color="auto"/>
        <w:bottom w:val="none" w:sz="0" w:space="0" w:color="auto"/>
        <w:right w:val="none" w:sz="0" w:space="0" w:color="auto"/>
      </w:divBdr>
    </w:div>
    <w:div w:id="73940465">
      <w:bodyDiv w:val="1"/>
      <w:marLeft w:val="0"/>
      <w:marRight w:val="0"/>
      <w:marTop w:val="0"/>
      <w:marBottom w:val="0"/>
      <w:divBdr>
        <w:top w:val="none" w:sz="0" w:space="0" w:color="auto"/>
        <w:left w:val="none" w:sz="0" w:space="0" w:color="auto"/>
        <w:bottom w:val="none" w:sz="0" w:space="0" w:color="auto"/>
        <w:right w:val="none" w:sz="0" w:space="0" w:color="auto"/>
      </w:divBdr>
    </w:div>
    <w:div w:id="125048607">
      <w:bodyDiv w:val="1"/>
      <w:marLeft w:val="0"/>
      <w:marRight w:val="0"/>
      <w:marTop w:val="0"/>
      <w:marBottom w:val="0"/>
      <w:divBdr>
        <w:top w:val="none" w:sz="0" w:space="0" w:color="auto"/>
        <w:left w:val="none" w:sz="0" w:space="0" w:color="auto"/>
        <w:bottom w:val="none" w:sz="0" w:space="0" w:color="auto"/>
        <w:right w:val="none" w:sz="0" w:space="0" w:color="auto"/>
      </w:divBdr>
      <w:divsChild>
        <w:div w:id="1260331401">
          <w:marLeft w:val="0"/>
          <w:marRight w:val="0"/>
          <w:marTop w:val="0"/>
          <w:marBottom w:val="120"/>
          <w:divBdr>
            <w:top w:val="none" w:sz="0" w:space="0" w:color="auto"/>
            <w:left w:val="none" w:sz="0" w:space="0" w:color="auto"/>
            <w:bottom w:val="none" w:sz="0" w:space="0" w:color="auto"/>
            <w:right w:val="none" w:sz="0" w:space="0" w:color="auto"/>
          </w:divBdr>
        </w:div>
      </w:divsChild>
    </w:div>
    <w:div w:id="168912760">
      <w:bodyDiv w:val="1"/>
      <w:marLeft w:val="0"/>
      <w:marRight w:val="0"/>
      <w:marTop w:val="0"/>
      <w:marBottom w:val="0"/>
      <w:divBdr>
        <w:top w:val="none" w:sz="0" w:space="0" w:color="auto"/>
        <w:left w:val="none" w:sz="0" w:space="0" w:color="auto"/>
        <w:bottom w:val="none" w:sz="0" w:space="0" w:color="auto"/>
        <w:right w:val="none" w:sz="0" w:space="0" w:color="auto"/>
      </w:divBdr>
    </w:div>
    <w:div w:id="194196892">
      <w:bodyDiv w:val="1"/>
      <w:marLeft w:val="0"/>
      <w:marRight w:val="0"/>
      <w:marTop w:val="0"/>
      <w:marBottom w:val="0"/>
      <w:divBdr>
        <w:top w:val="none" w:sz="0" w:space="0" w:color="auto"/>
        <w:left w:val="none" w:sz="0" w:space="0" w:color="auto"/>
        <w:bottom w:val="none" w:sz="0" w:space="0" w:color="auto"/>
        <w:right w:val="none" w:sz="0" w:space="0" w:color="auto"/>
      </w:divBdr>
    </w:div>
    <w:div w:id="222639029">
      <w:bodyDiv w:val="1"/>
      <w:marLeft w:val="0"/>
      <w:marRight w:val="0"/>
      <w:marTop w:val="0"/>
      <w:marBottom w:val="0"/>
      <w:divBdr>
        <w:top w:val="none" w:sz="0" w:space="0" w:color="auto"/>
        <w:left w:val="none" w:sz="0" w:space="0" w:color="auto"/>
        <w:bottom w:val="none" w:sz="0" w:space="0" w:color="auto"/>
        <w:right w:val="none" w:sz="0" w:space="0" w:color="auto"/>
      </w:divBdr>
    </w:div>
    <w:div w:id="312490320">
      <w:bodyDiv w:val="1"/>
      <w:marLeft w:val="0"/>
      <w:marRight w:val="0"/>
      <w:marTop w:val="0"/>
      <w:marBottom w:val="0"/>
      <w:divBdr>
        <w:top w:val="none" w:sz="0" w:space="0" w:color="auto"/>
        <w:left w:val="none" w:sz="0" w:space="0" w:color="auto"/>
        <w:bottom w:val="none" w:sz="0" w:space="0" w:color="auto"/>
        <w:right w:val="none" w:sz="0" w:space="0" w:color="auto"/>
      </w:divBdr>
    </w:div>
    <w:div w:id="343751875">
      <w:bodyDiv w:val="1"/>
      <w:marLeft w:val="0"/>
      <w:marRight w:val="0"/>
      <w:marTop w:val="0"/>
      <w:marBottom w:val="0"/>
      <w:divBdr>
        <w:top w:val="none" w:sz="0" w:space="0" w:color="auto"/>
        <w:left w:val="none" w:sz="0" w:space="0" w:color="auto"/>
        <w:bottom w:val="none" w:sz="0" w:space="0" w:color="auto"/>
        <w:right w:val="none" w:sz="0" w:space="0" w:color="auto"/>
      </w:divBdr>
      <w:divsChild>
        <w:div w:id="2065834781">
          <w:marLeft w:val="446"/>
          <w:marRight w:val="0"/>
          <w:marTop w:val="0"/>
          <w:marBottom w:val="200"/>
          <w:divBdr>
            <w:top w:val="none" w:sz="0" w:space="0" w:color="auto"/>
            <w:left w:val="none" w:sz="0" w:space="0" w:color="auto"/>
            <w:bottom w:val="none" w:sz="0" w:space="0" w:color="auto"/>
            <w:right w:val="none" w:sz="0" w:space="0" w:color="auto"/>
          </w:divBdr>
        </w:div>
      </w:divsChild>
    </w:div>
    <w:div w:id="360522265">
      <w:bodyDiv w:val="1"/>
      <w:marLeft w:val="0"/>
      <w:marRight w:val="0"/>
      <w:marTop w:val="0"/>
      <w:marBottom w:val="0"/>
      <w:divBdr>
        <w:top w:val="none" w:sz="0" w:space="0" w:color="auto"/>
        <w:left w:val="none" w:sz="0" w:space="0" w:color="auto"/>
        <w:bottom w:val="none" w:sz="0" w:space="0" w:color="auto"/>
        <w:right w:val="none" w:sz="0" w:space="0" w:color="auto"/>
      </w:divBdr>
    </w:div>
    <w:div w:id="386074401">
      <w:bodyDiv w:val="1"/>
      <w:marLeft w:val="0"/>
      <w:marRight w:val="0"/>
      <w:marTop w:val="0"/>
      <w:marBottom w:val="0"/>
      <w:divBdr>
        <w:top w:val="none" w:sz="0" w:space="0" w:color="auto"/>
        <w:left w:val="none" w:sz="0" w:space="0" w:color="auto"/>
        <w:bottom w:val="none" w:sz="0" w:space="0" w:color="auto"/>
        <w:right w:val="none" w:sz="0" w:space="0" w:color="auto"/>
      </w:divBdr>
    </w:div>
    <w:div w:id="430585620">
      <w:bodyDiv w:val="1"/>
      <w:marLeft w:val="0"/>
      <w:marRight w:val="0"/>
      <w:marTop w:val="0"/>
      <w:marBottom w:val="0"/>
      <w:divBdr>
        <w:top w:val="none" w:sz="0" w:space="0" w:color="auto"/>
        <w:left w:val="none" w:sz="0" w:space="0" w:color="auto"/>
        <w:bottom w:val="none" w:sz="0" w:space="0" w:color="auto"/>
        <w:right w:val="none" w:sz="0" w:space="0" w:color="auto"/>
      </w:divBdr>
      <w:divsChild>
        <w:div w:id="1790205025">
          <w:marLeft w:val="446"/>
          <w:marRight w:val="0"/>
          <w:marTop w:val="0"/>
          <w:marBottom w:val="200"/>
          <w:divBdr>
            <w:top w:val="none" w:sz="0" w:space="0" w:color="auto"/>
            <w:left w:val="none" w:sz="0" w:space="0" w:color="auto"/>
            <w:bottom w:val="none" w:sz="0" w:space="0" w:color="auto"/>
            <w:right w:val="none" w:sz="0" w:space="0" w:color="auto"/>
          </w:divBdr>
        </w:div>
      </w:divsChild>
    </w:div>
    <w:div w:id="448818749">
      <w:bodyDiv w:val="1"/>
      <w:marLeft w:val="0"/>
      <w:marRight w:val="0"/>
      <w:marTop w:val="0"/>
      <w:marBottom w:val="0"/>
      <w:divBdr>
        <w:top w:val="none" w:sz="0" w:space="0" w:color="auto"/>
        <w:left w:val="none" w:sz="0" w:space="0" w:color="auto"/>
        <w:bottom w:val="none" w:sz="0" w:space="0" w:color="auto"/>
        <w:right w:val="none" w:sz="0" w:space="0" w:color="auto"/>
      </w:divBdr>
    </w:div>
    <w:div w:id="453208528">
      <w:bodyDiv w:val="1"/>
      <w:marLeft w:val="0"/>
      <w:marRight w:val="0"/>
      <w:marTop w:val="0"/>
      <w:marBottom w:val="0"/>
      <w:divBdr>
        <w:top w:val="none" w:sz="0" w:space="0" w:color="auto"/>
        <w:left w:val="none" w:sz="0" w:space="0" w:color="auto"/>
        <w:bottom w:val="none" w:sz="0" w:space="0" w:color="auto"/>
        <w:right w:val="none" w:sz="0" w:space="0" w:color="auto"/>
      </w:divBdr>
    </w:div>
    <w:div w:id="454368131">
      <w:bodyDiv w:val="1"/>
      <w:marLeft w:val="0"/>
      <w:marRight w:val="0"/>
      <w:marTop w:val="0"/>
      <w:marBottom w:val="0"/>
      <w:divBdr>
        <w:top w:val="none" w:sz="0" w:space="0" w:color="auto"/>
        <w:left w:val="none" w:sz="0" w:space="0" w:color="auto"/>
        <w:bottom w:val="none" w:sz="0" w:space="0" w:color="auto"/>
        <w:right w:val="none" w:sz="0" w:space="0" w:color="auto"/>
      </w:divBdr>
    </w:div>
    <w:div w:id="458453438">
      <w:bodyDiv w:val="1"/>
      <w:marLeft w:val="0"/>
      <w:marRight w:val="0"/>
      <w:marTop w:val="0"/>
      <w:marBottom w:val="0"/>
      <w:divBdr>
        <w:top w:val="none" w:sz="0" w:space="0" w:color="auto"/>
        <w:left w:val="none" w:sz="0" w:space="0" w:color="auto"/>
        <w:bottom w:val="none" w:sz="0" w:space="0" w:color="auto"/>
        <w:right w:val="none" w:sz="0" w:space="0" w:color="auto"/>
      </w:divBdr>
    </w:div>
    <w:div w:id="466166613">
      <w:bodyDiv w:val="1"/>
      <w:marLeft w:val="0"/>
      <w:marRight w:val="0"/>
      <w:marTop w:val="0"/>
      <w:marBottom w:val="0"/>
      <w:divBdr>
        <w:top w:val="none" w:sz="0" w:space="0" w:color="auto"/>
        <w:left w:val="none" w:sz="0" w:space="0" w:color="auto"/>
        <w:bottom w:val="none" w:sz="0" w:space="0" w:color="auto"/>
        <w:right w:val="none" w:sz="0" w:space="0" w:color="auto"/>
      </w:divBdr>
    </w:div>
    <w:div w:id="471413099">
      <w:bodyDiv w:val="1"/>
      <w:marLeft w:val="0"/>
      <w:marRight w:val="0"/>
      <w:marTop w:val="0"/>
      <w:marBottom w:val="0"/>
      <w:divBdr>
        <w:top w:val="none" w:sz="0" w:space="0" w:color="auto"/>
        <w:left w:val="none" w:sz="0" w:space="0" w:color="auto"/>
        <w:bottom w:val="none" w:sz="0" w:space="0" w:color="auto"/>
        <w:right w:val="none" w:sz="0" w:space="0" w:color="auto"/>
      </w:divBdr>
    </w:div>
    <w:div w:id="480270018">
      <w:bodyDiv w:val="1"/>
      <w:marLeft w:val="0"/>
      <w:marRight w:val="0"/>
      <w:marTop w:val="0"/>
      <w:marBottom w:val="0"/>
      <w:divBdr>
        <w:top w:val="none" w:sz="0" w:space="0" w:color="auto"/>
        <w:left w:val="none" w:sz="0" w:space="0" w:color="auto"/>
        <w:bottom w:val="none" w:sz="0" w:space="0" w:color="auto"/>
        <w:right w:val="none" w:sz="0" w:space="0" w:color="auto"/>
      </w:divBdr>
    </w:div>
    <w:div w:id="488130822">
      <w:bodyDiv w:val="1"/>
      <w:marLeft w:val="0"/>
      <w:marRight w:val="0"/>
      <w:marTop w:val="0"/>
      <w:marBottom w:val="0"/>
      <w:divBdr>
        <w:top w:val="none" w:sz="0" w:space="0" w:color="auto"/>
        <w:left w:val="none" w:sz="0" w:space="0" w:color="auto"/>
        <w:bottom w:val="none" w:sz="0" w:space="0" w:color="auto"/>
        <w:right w:val="none" w:sz="0" w:space="0" w:color="auto"/>
      </w:divBdr>
    </w:div>
    <w:div w:id="511577432">
      <w:bodyDiv w:val="1"/>
      <w:marLeft w:val="0"/>
      <w:marRight w:val="0"/>
      <w:marTop w:val="0"/>
      <w:marBottom w:val="0"/>
      <w:divBdr>
        <w:top w:val="none" w:sz="0" w:space="0" w:color="auto"/>
        <w:left w:val="none" w:sz="0" w:space="0" w:color="auto"/>
        <w:bottom w:val="none" w:sz="0" w:space="0" w:color="auto"/>
        <w:right w:val="none" w:sz="0" w:space="0" w:color="auto"/>
      </w:divBdr>
    </w:div>
    <w:div w:id="513421096">
      <w:bodyDiv w:val="1"/>
      <w:marLeft w:val="0"/>
      <w:marRight w:val="0"/>
      <w:marTop w:val="0"/>
      <w:marBottom w:val="0"/>
      <w:divBdr>
        <w:top w:val="none" w:sz="0" w:space="0" w:color="auto"/>
        <w:left w:val="none" w:sz="0" w:space="0" w:color="auto"/>
        <w:bottom w:val="none" w:sz="0" w:space="0" w:color="auto"/>
        <w:right w:val="none" w:sz="0" w:space="0" w:color="auto"/>
      </w:divBdr>
    </w:div>
    <w:div w:id="514347839">
      <w:bodyDiv w:val="1"/>
      <w:marLeft w:val="0"/>
      <w:marRight w:val="0"/>
      <w:marTop w:val="0"/>
      <w:marBottom w:val="0"/>
      <w:divBdr>
        <w:top w:val="none" w:sz="0" w:space="0" w:color="auto"/>
        <w:left w:val="none" w:sz="0" w:space="0" w:color="auto"/>
        <w:bottom w:val="none" w:sz="0" w:space="0" w:color="auto"/>
        <w:right w:val="none" w:sz="0" w:space="0" w:color="auto"/>
      </w:divBdr>
    </w:div>
    <w:div w:id="535167346">
      <w:bodyDiv w:val="1"/>
      <w:marLeft w:val="0"/>
      <w:marRight w:val="0"/>
      <w:marTop w:val="0"/>
      <w:marBottom w:val="0"/>
      <w:divBdr>
        <w:top w:val="none" w:sz="0" w:space="0" w:color="auto"/>
        <w:left w:val="none" w:sz="0" w:space="0" w:color="auto"/>
        <w:bottom w:val="none" w:sz="0" w:space="0" w:color="auto"/>
        <w:right w:val="none" w:sz="0" w:space="0" w:color="auto"/>
      </w:divBdr>
      <w:divsChild>
        <w:div w:id="728647154">
          <w:marLeft w:val="0"/>
          <w:marRight w:val="0"/>
          <w:marTop w:val="0"/>
          <w:marBottom w:val="0"/>
          <w:divBdr>
            <w:top w:val="none" w:sz="0" w:space="0" w:color="auto"/>
            <w:left w:val="none" w:sz="0" w:space="0" w:color="auto"/>
            <w:bottom w:val="none" w:sz="0" w:space="0" w:color="auto"/>
            <w:right w:val="none" w:sz="0" w:space="0" w:color="auto"/>
          </w:divBdr>
        </w:div>
        <w:div w:id="2112315723">
          <w:marLeft w:val="0"/>
          <w:marRight w:val="0"/>
          <w:marTop w:val="0"/>
          <w:marBottom w:val="0"/>
          <w:divBdr>
            <w:top w:val="none" w:sz="0" w:space="0" w:color="auto"/>
            <w:left w:val="none" w:sz="0" w:space="0" w:color="auto"/>
            <w:bottom w:val="none" w:sz="0" w:space="0" w:color="auto"/>
            <w:right w:val="none" w:sz="0" w:space="0" w:color="auto"/>
          </w:divBdr>
        </w:div>
        <w:div w:id="381514478">
          <w:marLeft w:val="0"/>
          <w:marRight w:val="0"/>
          <w:marTop w:val="0"/>
          <w:marBottom w:val="0"/>
          <w:divBdr>
            <w:top w:val="none" w:sz="0" w:space="0" w:color="auto"/>
            <w:left w:val="none" w:sz="0" w:space="0" w:color="auto"/>
            <w:bottom w:val="none" w:sz="0" w:space="0" w:color="auto"/>
            <w:right w:val="none" w:sz="0" w:space="0" w:color="auto"/>
          </w:divBdr>
        </w:div>
        <w:div w:id="1212688734">
          <w:marLeft w:val="0"/>
          <w:marRight w:val="0"/>
          <w:marTop w:val="0"/>
          <w:marBottom w:val="0"/>
          <w:divBdr>
            <w:top w:val="none" w:sz="0" w:space="0" w:color="auto"/>
            <w:left w:val="none" w:sz="0" w:space="0" w:color="auto"/>
            <w:bottom w:val="none" w:sz="0" w:space="0" w:color="auto"/>
            <w:right w:val="none" w:sz="0" w:space="0" w:color="auto"/>
          </w:divBdr>
        </w:div>
        <w:div w:id="250089919">
          <w:marLeft w:val="0"/>
          <w:marRight w:val="0"/>
          <w:marTop w:val="0"/>
          <w:marBottom w:val="0"/>
          <w:divBdr>
            <w:top w:val="none" w:sz="0" w:space="0" w:color="auto"/>
            <w:left w:val="none" w:sz="0" w:space="0" w:color="auto"/>
            <w:bottom w:val="none" w:sz="0" w:space="0" w:color="auto"/>
            <w:right w:val="none" w:sz="0" w:space="0" w:color="auto"/>
          </w:divBdr>
        </w:div>
        <w:div w:id="1666320452">
          <w:marLeft w:val="0"/>
          <w:marRight w:val="0"/>
          <w:marTop w:val="0"/>
          <w:marBottom w:val="0"/>
          <w:divBdr>
            <w:top w:val="none" w:sz="0" w:space="0" w:color="auto"/>
            <w:left w:val="none" w:sz="0" w:space="0" w:color="auto"/>
            <w:bottom w:val="none" w:sz="0" w:space="0" w:color="auto"/>
            <w:right w:val="none" w:sz="0" w:space="0" w:color="auto"/>
          </w:divBdr>
        </w:div>
        <w:div w:id="667631970">
          <w:marLeft w:val="0"/>
          <w:marRight w:val="0"/>
          <w:marTop w:val="0"/>
          <w:marBottom w:val="0"/>
          <w:divBdr>
            <w:top w:val="none" w:sz="0" w:space="0" w:color="auto"/>
            <w:left w:val="none" w:sz="0" w:space="0" w:color="auto"/>
            <w:bottom w:val="none" w:sz="0" w:space="0" w:color="auto"/>
            <w:right w:val="none" w:sz="0" w:space="0" w:color="auto"/>
          </w:divBdr>
        </w:div>
        <w:div w:id="1439257219">
          <w:marLeft w:val="0"/>
          <w:marRight w:val="0"/>
          <w:marTop w:val="0"/>
          <w:marBottom w:val="0"/>
          <w:divBdr>
            <w:top w:val="none" w:sz="0" w:space="0" w:color="auto"/>
            <w:left w:val="none" w:sz="0" w:space="0" w:color="auto"/>
            <w:bottom w:val="none" w:sz="0" w:space="0" w:color="auto"/>
            <w:right w:val="none" w:sz="0" w:space="0" w:color="auto"/>
          </w:divBdr>
        </w:div>
        <w:div w:id="237597102">
          <w:marLeft w:val="0"/>
          <w:marRight w:val="0"/>
          <w:marTop w:val="0"/>
          <w:marBottom w:val="0"/>
          <w:divBdr>
            <w:top w:val="none" w:sz="0" w:space="0" w:color="auto"/>
            <w:left w:val="none" w:sz="0" w:space="0" w:color="auto"/>
            <w:bottom w:val="none" w:sz="0" w:space="0" w:color="auto"/>
            <w:right w:val="none" w:sz="0" w:space="0" w:color="auto"/>
          </w:divBdr>
        </w:div>
        <w:div w:id="961426811">
          <w:marLeft w:val="0"/>
          <w:marRight w:val="0"/>
          <w:marTop w:val="0"/>
          <w:marBottom w:val="0"/>
          <w:divBdr>
            <w:top w:val="none" w:sz="0" w:space="0" w:color="auto"/>
            <w:left w:val="none" w:sz="0" w:space="0" w:color="auto"/>
            <w:bottom w:val="none" w:sz="0" w:space="0" w:color="auto"/>
            <w:right w:val="none" w:sz="0" w:space="0" w:color="auto"/>
          </w:divBdr>
        </w:div>
        <w:div w:id="1139765386">
          <w:marLeft w:val="0"/>
          <w:marRight w:val="0"/>
          <w:marTop w:val="0"/>
          <w:marBottom w:val="0"/>
          <w:divBdr>
            <w:top w:val="none" w:sz="0" w:space="0" w:color="auto"/>
            <w:left w:val="none" w:sz="0" w:space="0" w:color="auto"/>
            <w:bottom w:val="none" w:sz="0" w:space="0" w:color="auto"/>
            <w:right w:val="none" w:sz="0" w:space="0" w:color="auto"/>
          </w:divBdr>
        </w:div>
        <w:div w:id="2123988471">
          <w:marLeft w:val="0"/>
          <w:marRight w:val="0"/>
          <w:marTop w:val="0"/>
          <w:marBottom w:val="0"/>
          <w:divBdr>
            <w:top w:val="none" w:sz="0" w:space="0" w:color="auto"/>
            <w:left w:val="none" w:sz="0" w:space="0" w:color="auto"/>
            <w:bottom w:val="none" w:sz="0" w:space="0" w:color="auto"/>
            <w:right w:val="none" w:sz="0" w:space="0" w:color="auto"/>
          </w:divBdr>
        </w:div>
      </w:divsChild>
    </w:div>
    <w:div w:id="604970522">
      <w:bodyDiv w:val="1"/>
      <w:marLeft w:val="0"/>
      <w:marRight w:val="0"/>
      <w:marTop w:val="0"/>
      <w:marBottom w:val="0"/>
      <w:divBdr>
        <w:top w:val="none" w:sz="0" w:space="0" w:color="auto"/>
        <w:left w:val="none" w:sz="0" w:space="0" w:color="auto"/>
        <w:bottom w:val="none" w:sz="0" w:space="0" w:color="auto"/>
        <w:right w:val="none" w:sz="0" w:space="0" w:color="auto"/>
      </w:divBdr>
    </w:div>
    <w:div w:id="664238999">
      <w:bodyDiv w:val="1"/>
      <w:marLeft w:val="0"/>
      <w:marRight w:val="0"/>
      <w:marTop w:val="0"/>
      <w:marBottom w:val="0"/>
      <w:divBdr>
        <w:top w:val="none" w:sz="0" w:space="0" w:color="auto"/>
        <w:left w:val="none" w:sz="0" w:space="0" w:color="auto"/>
        <w:bottom w:val="none" w:sz="0" w:space="0" w:color="auto"/>
        <w:right w:val="none" w:sz="0" w:space="0" w:color="auto"/>
      </w:divBdr>
    </w:div>
    <w:div w:id="669602582">
      <w:bodyDiv w:val="1"/>
      <w:marLeft w:val="0"/>
      <w:marRight w:val="0"/>
      <w:marTop w:val="0"/>
      <w:marBottom w:val="0"/>
      <w:divBdr>
        <w:top w:val="none" w:sz="0" w:space="0" w:color="auto"/>
        <w:left w:val="none" w:sz="0" w:space="0" w:color="auto"/>
        <w:bottom w:val="none" w:sz="0" w:space="0" w:color="auto"/>
        <w:right w:val="none" w:sz="0" w:space="0" w:color="auto"/>
      </w:divBdr>
    </w:div>
    <w:div w:id="677390568">
      <w:bodyDiv w:val="1"/>
      <w:marLeft w:val="0"/>
      <w:marRight w:val="0"/>
      <w:marTop w:val="0"/>
      <w:marBottom w:val="0"/>
      <w:divBdr>
        <w:top w:val="none" w:sz="0" w:space="0" w:color="auto"/>
        <w:left w:val="none" w:sz="0" w:space="0" w:color="auto"/>
        <w:bottom w:val="none" w:sz="0" w:space="0" w:color="auto"/>
        <w:right w:val="none" w:sz="0" w:space="0" w:color="auto"/>
      </w:divBdr>
    </w:div>
    <w:div w:id="722171811">
      <w:bodyDiv w:val="1"/>
      <w:marLeft w:val="0"/>
      <w:marRight w:val="0"/>
      <w:marTop w:val="0"/>
      <w:marBottom w:val="0"/>
      <w:divBdr>
        <w:top w:val="none" w:sz="0" w:space="0" w:color="auto"/>
        <w:left w:val="none" w:sz="0" w:space="0" w:color="auto"/>
        <w:bottom w:val="none" w:sz="0" w:space="0" w:color="auto"/>
        <w:right w:val="none" w:sz="0" w:space="0" w:color="auto"/>
      </w:divBdr>
    </w:div>
    <w:div w:id="805977953">
      <w:bodyDiv w:val="1"/>
      <w:marLeft w:val="0"/>
      <w:marRight w:val="0"/>
      <w:marTop w:val="0"/>
      <w:marBottom w:val="0"/>
      <w:divBdr>
        <w:top w:val="none" w:sz="0" w:space="0" w:color="auto"/>
        <w:left w:val="none" w:sz="0" w:space="0" w:color="auto"/>
        <w:bottom w:val="none" w:sz="0" w:space="0" w:color="auto"/>
        <w:right w:val="none" w:sz="0" w:space="0" w:color="auto"/>
      </w:divBdr>
    </w:div>
    <w:div w:id="835223217">
      <w:bodyDiv w:val="1"/>
      <w:marLeft w:val="0"/>
      <w:marRight w:val="0"/>
      <w:marTop w:val="0"/>
      <w:marBottom w:val="0"/>
      <w:divBdr>
        <w:top w:val="none" w:sz="0" w:space="0" w:color="auto"/>
        <w:left w:val="none" w:sz="0" w:space="0" w:color="auto"/>
        <w:bottom w:val="none" w:sz="0" w:space="0" w:color="auto"/>
        <w:right w:val="none" w:sz="0" w:space="0" w:color="auto"/>
      </w:divBdr>
    </w:div>
    <w:div w:id="863246241">
      <w:bodyDiv w:val="1"/>
      <w:marLeft w:val="0"/>
      <w:marRight w:val="0"/>
      <w:marTop w:val="0"/>
      <w:marBottom w:val="0"/>
      <w:divBdr>
        <w:top w:val="none" w:sz="0" w:space="0" w:color="auto"/>
        <w:left w:val="none" w:sz="0" w:space="0" w:color="auto"/>
        <w:bottom w:val="none" w:sz="0" w:space="0" w:color="auto"/>
        <w:right w:val="none" w:sz="0" w:space="0" w:color="auto"/>
      </w:divBdr>
    </w:div>
    <w:div w:id="907686875">
      <w:bodyDiv w:val="1"/>
      <w:marLeft w:val="0"/>
      <w:marRight w:val="0"/>
      <w:marTop w:val="0"/>
      <w:marBottom w:val="0"/>
      <w:divBdr>
        <w:top w:val="none" w:sz="0" w:space="0" w:color="auto"/>
        <w:left w:val="none" w:sz="0" w:space="0" w:color="auto"/>
        <w:bottom w:val="none" w:sz="0" w:space="0" w:color="auto"/>
        <w:right w:val="none" w:sz="0" w:space="0" w:color="auto"/>
      </w:divBdr>
    </w:div>
    <w:div w:id="916210361">
      <w:bodyDiv w:val="1"/>
      <w:marLeft w:val="0"/>
      <w:marRight w:val="0"/>
      <w:marTop w:val="0"/>
      <w:marBottom w:val="0"/>
      <w:divBdr>
        <w:top w:val="none" w:sz="0" w:space="0" w:color="auto"/>
        <w:left w:val="none" w:sz="0" w:space="0" w:color="auto"/>
        <w:bottom w:val="none" w:sz="0" w:space="0" w:color="auto"/>
        <w:right w:val="none" w:sz="0" w:space="0" w:color="auto"/>
      </w:divBdr>
    </w:div>
    <w:div w:id="980698701">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4820034">
      <w:bodyDiv w:val="1"/>
      <w:marLeft w:val="0"/>
      <w:marRight w:val="0"/>
      <w:marTop w:val="0"/>
      <w:marBottom w:val="0"/>
      <w:divBdr>
        <w:top w:val="none" w:sz="0" w:space="0" w:color="auto"/>
        <w:left w:val="none" w:sz="0" w:space="0" w:color="auto"/>
        <w:bottom w:val="none" w:sz="0" w:space="0" w:color="auto"/>
        <w:right w:val="none" w:sz="0" w:space="0" w:color="auto"/>
      </w:divBdr>
    </w:div>
    <w:div w:id="990711896">
      <w:bodyDiv w:val="1"/>
      <w:marLeft w:val="0"/>
      <w:marRight w:val="0"/>
      <w:marTop w:val="0"/>
      <w:marBottom w:val="0"/>
      <w:divBdr>
        <w:top w:val="none" w:sz="0" w:space="0" w:color="auto"/>
        <w:left w:val="none" w:sz="0" w:space="0" w:color="auto"/>
        <w:bottom w:val="none" w:sz="0" w:space="0" w:color="auto"/>
        <w:right w:val="none" w:sz="0" w:space="0" w:color="auto"/>
      </w:divBdr>
    </w:div>
    <w:div w:id="994451293">
      <w:bodyDiv w:val="1"/>
      <w:marLeft w:val="0"/>
      <w:marRight w:val="0"/>
      <w:marTop w:val="0"/>
      <w:marBottom w:val="0"/>
      <w:divBdr>
        <w:top w:val="none" w:sz="0" w:space="0" w:color="auto"/>
        <w:left w:val="none" w:sz="0" w:space="0" w:color="auto"/>
        <w:bottom w:val="none" w:sz="0" w:space="0" w:color="auto"/>
        <w:right w:val="none" w:sz="0" w:space="0" w:color="auto"/>
      </w:divBdr>
    </w:div>
    <w:div w:id="1009023221">
      <w:bodyDiv w:val="1"/>
      <w:marLeft w:val="0"/>
      <w:marRight w:val="0"/>
      <w:marTop w:val="0"/>
      <w:marBottom w:val="0"/>
      <w:divBdr>
        <w:top w:val="none" w:sz="0" w:space="0" w:color="auto"/>
        <w:left w:val="none" w:sz="0" w:space="0" w:color="auto"/>
        <w:bottom w:val="none" w:sz="0" w:space="0" w:color="auto"/>
        <w:right w:val="none" w:sz="0" w:space="0" w:color="auto"/>
      </w:divBdr>
    </w:div>
    <w:div w:id="1018845477">
      <w:bodyDiv w:val="1"/>
      <w:marLeft w:val="0"/>
      <w:marRight w:val="0"/>
      <w:marTop w:val="0"/>
      <w:marBottom w:val="0"/>
      <w:divBdr>
        <w:top w:val="none" w:sz="0" w:space="0" w:color="auto"/>
        <w:left w:val="none" w:sz="0" w:space="0" w:color="auto"/>
        <w:bottom w:val="none" w:sz="0" w:space="0" w:color="auto"/>
        <w:right w:val="none" w:sz="0" w:space="0" w:color="auto"/>
      </w:divBdr>
    </w:div>
    <w:div w:id="1022629016">
      <w:bodyDiv w:val="1"/>
      <w:marLeft w:val="0"/>
      <w:marRight w:val="0"/>
      <w:marTop w:val="0"/>
      <w:marBottom w:val="0"/>
      <w:divBdr>
        <w:top w:val="none" w:sz="0" w:space="0" w:color="auto"/>
        <w:left w:val="none" w:sz="0" w:space="0" w:color="auto"/>
        <w:bottom w:val="none" w:sz="0" w:space="0" w:color="auto"/>
        <w:right w:val="none" w:sz="0" w:space="0" w:color="auto"/>
      </w:divBdr>
      <w:divsChild>
        <w:div w:id="672682001">
          <w:marLeft w:val="0"/>
          <w:marRight w:val="0"/>
          <w:marTop w:val="0"/>
          <w:marBottom w:val="120"/>
          <w:divBdr>
            <w:top w:val="none" w:sz="0" w:space="0" w:color="auto"/>
            <w:left w:val="none" w:sz="0" w:space="0" w:color="auto"/>
            <w:bottom w:val="none" w:sz="0" w:space="0" w:color="auto"/>
            <w:right w:val="none" w:sz="0" w:space="0" w:color="auto"/>
          </w:divBdr>
        </w:div>
      </w:divsChild>
    </w:div>
    <w:div w:id="1055356678">
      <w:bodyDiv w:val="1"/>
      <w:marLeft w:val="0"/>
      <w:marRight w:val="0"/>
      <w:marTop w:val="0"/>
      <w:marBottom w:val="0"/>
      <w:divBdr>
        <w:top w:val="none" w:sz="0" w:space="0" w:color="auto"/>
        <w:left w:val="none" w:sz="0" w:space="0" w:color="auto"/>
        <w:bottom w:val="none" w:sz="0" w:space="0" w:color="auto"/>
        <w:right w:val="none" w:sz="0" w:space="0" w:color="auto"/>
      </w:divBdr>
    </w:div>
    <w:div w:id="1085885149">
      <w:bodyDiv w:val="1"/>
      <w:marLeft w:val="0"/>
      <w:marRight w:val="0"/>
      <w:marTop w:val="0"/>
      <w:marBottom w:val="0"/>
      <w:divBdr>
        <w:top w:val="none" w:sz="0" w:space="0" w:color="auto"/>
        <w:left w:val="none" w:sz="0" w:space="0" w:color="auto"/>
        <w:bottom w:val="none" w:sz="0" w:space="0" w:color="auto"/>
        <w:right w:val="none" w:sz="0" w:space="0" w:color="auto"/>
      </w:divBdr>
    </w:div>
    <w:div w:id="1109818068">
      <w:bodyDiv w:val="1"/>
      <w:marLeft w:val="0"/>
      <w:marRight w:val="0"/>
      <w:marTop w:val="0"/>
      <w:marBottom w:val="0"/>
      <w:divBdr>
        <w:top w:val="none" w:sz="0" w:space="0" w:color="auto"/>
        <w:left w:val="none" w:sz="0" w:space="0" w:color="auto"/>
        <w:bottom w:val="none" w:sz="0" w:space="0" w:color="auto"/>
        <w:right w:val="none" w:sz="0" w:space="0" w:color="auto"/>
      </w:divBdr>
    </w:div>
    <w:div w:id="1126391861">
      <w:bodyDiv w:val="1"/>
      <w:marLeft w:val="0"/>
      <w:marRight w:val="0"/>
      <w:marTop w:val="0"/>
      <w:marBottom w:val="0"/>
      <w:divBdr>
        <w:top w:val="none" w:sz="0" w:space="0" w:color="auto"/>
        <w:left w:val="none" w:sz="0" w:space="0" w:color="auto"/>
        <w:bottom w:val="none" w:sz="0" w:space="0" w:color="auto"/>
        <w:right w:val="none" w:sz="0" w:space="0" w:color="auto"/>
      </w:divBdr>
    </w:div>
    <w:div w:id="1165434202">
      <w:bodyDiv w:val="1"/>
      <w:marLeft w:val="0"/>
      <w:marRight w:val="0"/>
      <w:marTop w:val="0"/>
      <w:marBottom w:val="0"/>
      <w:divBdr>
        <w:top w:val="none" w:sz="0" w:space="0" w:color="auto"/>
        <w:left w:val="none" w:sz="0" w:space="0" w:color="auto"/>
        <w:bottom w:val="none" w:sz="0" w:space="0" w:color="auto"/>
        <w:right w:val="none" w:sz="0" w:space="0" w:color="auto"/>
      </w:divBdr>
    </w:div>
    <w:div w:id="1197502993">
      <w:bodyDiv w:val="1"/>
      <w:marLeft w:val="0"/>
      <w:marRight w:val="0"/>
      <w:marTop w:val="0"/>
      <w:marBottom w:val="0"/>
      <w:divBdr>
        <w:top w:val="none" w:sz="0" w:space="0" w:color="auto"/>
        <w:left w:val="none" w:sz="0" w:space="0" w:color="auto"/>
        <w:bottom w:val="none" w:sz="0" w:space="0" w:color="auto"/>
        <w:right w:val="none" w:sz="0" w:space="0" w:color="auto"/>
      </w:divBdr>
    </w:div>
    <w:div w:id="1198272998">
      <w:bodyDiv w:val="1"/>
      <w:marLeft w:val="0"/>
      <w:marRight w:val="0"/>
      <w:marTop w:val="0"/>
      <w:marBottom w:val="0"/>
      <w:divBdr>
        <w:top w:val="none" w:sz="0" w:space="0" w:color="auto"/>
        <w:left w:val="none" w:sz="0" w:space="0" w:color="auto"/>
        <w:bottom w:val="none" w:sz="0" w:space="0" w:color="auto"/>
        <w:right w:val="none" w:sz="0" w:space="0" w:color="auto"/>
      </w:divBdr>
    </w:div>
    <w:div w:id="1199734177">
      <w:bodyDiv w:val="1"/>
      <w:marLeft w:val="0"/>
      <w:marRight w:val="0"/>
      <w:marTop w:val="0"/>
      <w:marBottom w:val="0"/>
      <w:divBdr>
        <w:top w:val="none" w:sz="0" w:space="0" w:color="auto"/>
        <w:left w:val="none" w:sz="0" w:space="0" w:color="auto"/>
        <w:bottom w:val="none" w:sz="0" w:space="0" w:color="auto"/>
        <w:right w:val="none" w:sz="0" w:space="0" w:color="auto"/>
      </w:divBdr>
    </w:div>
    <w:div w:id="1268079376">
      <w:bodyDiv w:val="1"/>
      <w:marLeft w:val="0"/>
      <w:marRight w:val="0"/>
      <w:marTop w:val="0"/>
      <w:marBottom w:val="0"/>
      <w:divBdr>
        <w:top w:val="none" w:sz="0" w:space="0" w:color="auto"/>
        <w:left w:val="none" w:sz="0" w:space="0" w:color="auto"/>
        <w:bottom w:val="none" w:sz="0" w:space="0" w:color="auto"/>
        <w:right w:val="none" w:sz="0" w:space="0" w:color="auto"/>
      </w:divBdr>
    </w:div>
    <w:div w:id="1274898607">
      <w:bodyDiv w:val="1"/>
      <w:marLeft w:val="0"/>
      <w:marRight w:val="0"/>
      <w:marTop w:val="0"/>
      <w:marBottom w:val="0"/>
      <w:divBdr>
        <w:top w:val="none" w:sz="0" w:space="0" w:color="auto"/>
        <w:left w:val="none" w:sz="0" w:space="0" w:color="auto"/>
        <w:bottom w:val="none" w:sz="0" w:space="0" w:color="auto"/>
        <w:right w:val="none" w:sz="0" w:space="0" w:color="auto"/>
      </w:divBdr>
    </w:div>
    <w:div w:id="1286809127">
      <w:bodyDiv w:val="1"/>
      <w:marLeft w:val="0"/>
      <w:marRight w:val="0"/>
      <w:marTop w:val="0"/>
      <w:marBottom w:val="0"/>
      <w:divBdr>
        <w:top w:val="none" w:sz="0" w:space="0" w:color="auto"/>
        <w:left w:val="none" w:sz="0" w:space="0" w:color="auto"/>
        <w:bottom w:val="none" w:sz="0" w:space="0" w:color="auto"/>
        <w:right w:val="none" w:sz="0" w:space="0" w:color="auto"/>
      </w:divBdr>
    </w:div>
    <w:div w:id="1298223394">
      <w:bodyDiv w:val="1"/>
      <w:marLeft w:val="0"/>
      <w:marRight w:val="0"/>
      <w:marTop w:val="0"/>
      <w:marBottom w:val="0"/>
      <w:divBdr>
        <w:top w:val="none" w:sz="0" w:space="0" w:color="auto"/>
        <w:left w:val="none" w:sz="0" w:space="0" w:color="auto"/>
        <w:bottom w:val="none" w:sz="0" w:space="0" w:color="auto"/>
        <w:right w:val="none" w:sz="0" w:space="0" w:color="auto"/>
      </w:divBdr>
    </w:div>
    <w:div w:id="1298879142">
      <w:bodyDiv w:val="1"/>
      <w:marLeft w:val="0"/>
      <w:marRight w:val="0"/>
      <w:marTop w:val="0"/>
      <w:marBottom w:val="0"/>
      <w:divBdr>
        <w:top w:val="none" w:sz="0" w:space="0" w:color="auto"/>
        <w:left w:val="none" w:sz="0" w:space="0" w:color="auto"/>
        <w:bottom w:val="none" w:sz="0" w:space="0" w:color="auto"/>
        <w:right w:val="none" w:sz="0" w:space="0" w:color="auto"/>
      </w:divBdr>
    </w:div>
    <w:div w:id="1380087765">
      <w:bodyDiv w:val="1"/>
      <w:marLeft w:val="0"/>
      <w:marRight w:val="0"/>
      <w:marTop w:val="0"/>
      <w:marBottom w:val="0"/>
      <w:divBdr>
        <w:top w:val="none" w:sz="0" w:space="0" w:color="auto"/>
        <w:left w:val="none" w:sz="0" w:space="0" w:color="auto"/>
        <w:bottom w:val="none" w:sz="0" w:space="0" w:color="auto"/>
        <w:right w:val="none" w:sz="0" w:space="0" w:color="auto"/>
      </w:divBdr>
    </w:div>
    <w:div w:id="1389304769">
      <w:bodyDiv w:val="1"/>
      <w:marLeft w:val="0"/>
      <w:marRight w:val="0"/>
      <w:marTop w:val="0"/>
      <w:marBottom w:val="0"/>
      <w:divBdr>
        <w:top w:val="none" w:sz="0" w:space="0" w:color="auto"/>
        <w:left w:val="none" w:sz="0" w:space="0" w:color="auto"/>
        <w:bottom w:val="none" w:sz="0" w:space="0" w:color="auto"/>
        <w:right w:val="none" w:sz="0" w:space="0" w:color="auto"/>
      </w:divBdr>
    </w:div>
    <w:div w:id="1455949048">
      <w:bodyDiv w:val="1"/>
      <w:marLeft w:val="0"/>
      <w:marRight w:val="0"/>
      <w:marTop w:val="0"/>
      <w:marBottom w:val="0"/>
      <w:divBdr>
        <w:top w:val="none" w:sz="0" w:space="0" w:color="auto"/>
        <w:left w:val="none" w:sz="0" w:space="0" w:color="auto"/>
        <w:bottom w:val="none" w:sz="0" w:space="0" w:color="auto"/>
        <w:right w:val="none" w:sz="0" w:space="0" w:color="auto"/>
      </w:divBdr>
    </w:div>
    <w:div w:id="1484463220">
      <w:bodyDiv w:val="1"/>
      <w:marLeft w:val="0"/>
      <w:marRight w:val="0"/>
      <w:marTop w:val="0"/>
      <w:marBottom w:val="0"/>
      <w:divBdr>
        <w:top w:val="none" w:sz="0" w:space="0" w:color="auto"/>
        <w:left w:val="none" w:sz="0" w:space="0" w:color="auto"/>
        <w:bottom w:val="none" w:sz="0" w:space="0" w:color="auto"/>
        <w:right w:val="none" w:sz="0" w:space="0" w:color="auto"/>
      </w:divBdr>
    </w:div>
    <w:div w:id="1492134698">
      <w:bodyDiv w:val="1"/>
      <w:marLeft w:val="0"/>
      <w:marRight w:val="0"/>
      <w:marTop w:val="0"/>
      <w:marBottom w:val="0"/>
      <w:divBdr>
        <w:top w:val="none" w:sz="0" w:space="0" w:color="auto"/>
        <w:left w:val="none" w:sz="0" w:space="0" w:color="auto"/>
        <w:bottom w:val="none" w:sz="0" w:space="0" w:color="auto"/>
        <w:right w:val="none" w:sz="0" w:space="0" w:color="auto"/>
      </w:divBdr>
    </w:div>
    <w:div w:id="1493448526">
      <w:bodyDiv w:val="1"/>
      <w:marLeft w:val="0"/>
      <w:marRight w:val="0"/>
      <w:marTop w:val="0"/>
      <w:marBottom w:val="0"/>
      <w:divBdr>
        <w:top w:val="none" w:sz="0" w:space="0" w:color="auto"/>
        <w:left w:val="none" w:sz="0" w:space="0" w:color="auto"/>
        <w:bottom w:val="none" w:sz="0" w:space="0" w:color="auto"/>
        <w:right w:val="none" w:sz="0" w:space="0" w:color="auto"/>
      </w:divBdr>
    </w:div>
    <w:div w:id="1521747699">
      <w:bodyDiv w:val="1"/>
      <w:marLeft w:val="0"/>
      <w:marRight w:val="0"/>
      <w:marTop w:val="0"/>
      <w:marBottom w:val="0"/>
      <w:divBdr>
        <w:top w:val="none" w:sz="0" w:space="0" w:color="auto"/>
        <w:left w:val="none" w:sz="0" w:space="0" w:color="auto"/>
        <w:bottom w:val="none" w:sz="0" w:space="0" w:color="auto"/>
        <w:right w:val="none" w:sz="0" w:space="0" w:color="auto"/>
      </w:divBdr>
    </w:div>
    <w:div w:id="1560283921">
      <w:bodyDiv w:val="1"/>
      <w:marLeft w:val="0"/>
      <w:marRight w:val="0"/>
      <w:marTop w:val="0"/>
      <w:marBottom w:val="0"/>
      <w:divBdr>
        <w:top w:val="none" w:sz="0" w:space="0" w:color="auto"/>
        <w:left w:val="none" w:sz="0" w:space="0" w:color="auto"/>
        <w:bottom w:val="none" w:sz="0" w:space="0" w:color="auto"/>
        <w:right w:val="none" w:sz="0" w:space="0" w:color="auto"/>
      </w:divBdr>
    </w:div>
    <w:div w:id="1591700965">
      <w:bodyDiv w:val="1"/>
      <w:marLeft w:val="0"/>
      <w:marRight w:val="0"/>
      <w:marTop w:val="0"/>
      <w:marBottom w:val="0"/>
      <w:divBdr>
        <w:top w:val="none" w:sz="0" w:space="0" w:color="auto"/>
        <w:left w:val="none" w:sz="0" w:space="0" w:color="auto"/>
        <w:bottom w:val="none" w:sz="0" w:space="0" w:color="auto"/>
        <w:right w:val="none" w:sz="0" w:space="0" w:color="auto"/>
      </w:divBdr>
    </w:div>
    <w:div w:id="1594895136">
      <w:bodyDiv w:val="1"/>
      <w:marLeft w:val="0"/>
      <w:marRight w:val="0"/>
      <w:marTop w:val="0"/>
      <w:marBottom w:val="0"/>
      <w:divBdr>
        <w:top w:val="none" w:sz="0" w:space="0" w:color="auto"/>
        <w:left w:val="none" w:sz="0" w:space="0" w:color="auto"/>
        <w:bottom w:val="none" w:sz="0" w:space="0" w:color="auto"/>
        <w:right w:val="none" w:sz="0" w:space="0" w:color="auto"/>
      </w:divBdr>
    </w:div>
    <w:div w:id="1799759521">
      <w:bodyDiv w:val="1"/>
      <w:marLeft w:val="0"/>
      <w:marRight w:val="0"/>
      <w:marTop w:val="0"/>
      <w:marBottom w:val="0"/>
      <w:divBdr>
        <w:top w:val="none" w:sz="0" w:space="0" w:color="auto"/>
        <w:left w:val="none" w:sz="0" w:space="0" w:color="auto"/>
        <w:bottom w:val="none" w:sz="0" w:space="0" w:color="auto"/>
        <w:right w:val="none" w:sz="0" w:space="0" w:color="auto"/>
      </w:divBdr>
    </w:div>
    <w:div w:id="1835802220">
      <w:bodyDiv w:val="1"/>
      <w:marLeft w:val="0"/>
      <w:marRight w:val="0"/>
      <w:marTop w:val="0"/>
      <w:marBottom w:val="0"/>
      <w:divBdr>
        <w:top w:val="none" w:sz="0" w:space="0" w:color="auto"/>
        <w:left w:val="none" w:sz="0" w:space="0" w:color="auto"/>
        <w:bottom w:val="none" w:sz="0" w:space="0" w:color="auto"/>
        <w:right w:val="none" w:sz="0" w:space="0" w:color="auto"/>
      </w:divBdr>
    </w:div>
    <w:div w:id="1853835713">
      <w:bodyDiv w:val="1"/>
      <w:marLeft w:val="0"/>
      <w:marRight w:val="0"/>
      <w:marTop w:val="0"/>
      <w:marBottom w:val="0"/>
      <w:divBdr>
        <w:top w:val="none" w:sz="0" w:space="0" w:color="auto"/>
        <w:left w:val="none" w:sz="0" w:space="0" w:color="auto"/>
        <w:bottom w:val="none" w:sz="0" w:space="0" w:color="auto"/>
        <w:right w:val="none" w:sz="0" w:space="0" w:color="auto"/>
      </w:divBdr>
      <w:divsChild>
        <w:div w:id="2008049040">
          <w:marLeft w:val="0"/>
          <w:marRight w:val="0"/>
          <w:marTop w:val="0"/>
          <w:marBottom w:val="0"/>
          <w:divBdr>
            <w:top w:val="none" w:sz="0" w:space="0" w:color="auto"/>
            <w:left w:val="none" w:sz="0" w:space="0" w:color="auto"/>
            <w:bottom w:val="none" w:sz="0" w:space="0" w:color="auto"/>
            <w:right w:val="none" w:sz="0" w:space="0" w:color="auto"/>
          </w:divBdr>
        </w:div>
        <w:div w:id="1904292952">
          <w:marLeft w:val="0"/>
          <w:marRight w:val="0"/>
          <w:marTop w:val="0"/>
          <w:marBottom w:val="0"/>
          <w:divBdr>
            <w:top w:val="none" w:sz="0" w:space="0" w:color="auto"/>
            <w:left w:val="none" w:sz="0" w:space="0" w:color="auto"/>
            <w:bottom w:val="none" w:sz="0" w:space="0" w:color="auto"/>
            <w:right w:val="none" w:sz="0" w:space="0" w:color="auto"/>
          </w:divBdr>
        </w:div>
        <w:div w:id="435978122">
          <w:marLeft w:val="0"/>
          <w:marRight w:val="0"/>
          <w:marTop w:val="0"/>
          <w:marBottom w:val="0"/>
          <w:divBdr>
            <w:top w:val="none" w:sz="0" w:space="0" w:color="auto"/>
            <w:left w:val="none" w:sz="0" w:space="0" w:color="auto"/>
            <w:bottom w:val="none" w:sz="0" w:space="0" w:color="auto"/>
            <w:right w:val="none" w:sz="0" w:space="0" w:color="auto"/>
          </w:divBdr>
        </w:div>
      </w:divsChild>
    </w:div>
    <w:div w:id="1866553048">
      <w:bodyDiv w:val="1"/>
      <w:marLeft w:val="0"/>
      <w:marRight w:val="0"/>
      <w:marTop w:val="0"/>
      <w:marBottom w:val="0"/>
      <w:divBdr>
        <w:top w:val="none" w:sz="0" w:space="0" w:color="auto"/>
        <w:left w:val="none" w:sz="0" w:space="0" w:color="auto"/>
        <w:bottom w:val="none" w:sz="0" w:space="0" w:color="auto"/>
        <w:right w:val="none" w:sz="0" w:space="0" w:color="auto"/>
      </w:divBdr>
    </w:div>
    <w:div w:id="1883402031">
      <w:bodyDiv w:val="1"/>
      <w:marLeft w:val="0"/>
      <w:marRight w:val="0"/>
      <w:marTop w:val="0"/>
      <w:marBottom w:val="0"/>
      <w:divBdr>
        <w:top w:val="none" w:sz="0" w:space="0" w:color="auto"/>
        <w:left w:val="none" w:sz="0" w:space="0" w:color="auto"/>
        <w:bottom w:val="none" w:sz="0" w:space="0" w:color="auto"/>
        <w:right w:val="none" w:sz="0" w:space="0" w:color="auto"/>
      </w:divBdr>
    </w:div>
    <w:div w:id="1895268033">
      <w:bodyDiv w:val="1"/>
      <w:marLeft w:val="0"/>
      <w:marRight w:val="0"/>
      <w:marTop w:val="0"/>
      <w:marBottom w:val="0"/>
      <w:divBdr>
        <w:top w:val="none" w:sz="0" w:space="0" w:color="auto"/>
        <w:left w:val="none" w:sz="0" w:space="0" w:color="auto"/>
        <w:bottom w:val="none" w:sz="0" w:space="0" w:color="auto"/>
        <w:right w:val="none" w:sz="0" w:space="0" w:color="auto"/>
      </w:divBdr>
    </w:div>
    <w:div w:id="1912765181">
      <w:bodyDiv w:val="1"/>
      <w:marLeft w:val="0"/>
      <w:marRight w:val="0"/>
      <w:marTop w:val="0"/>
      <w:marBottom w:val="0"/>
      <w:divBdr>
        <w:top w:val="none" w:sz="0" w:space="0" w:color="auto"/>
        <w:left w:val="none" w:sz="0" w:space="0" w:color="auto"/>
        <w:bottom w:val="none" w:sz="0" w:space="0" w:color="auto"/>
        <w:right w:val="none" w:sz="0" w:space="0" w:color="auto"/>
      </w:divBdr>
    </w:div>
    <w:div w:id="1918200596">
      <w:bodyDiv w:val="1"/>
      <w:marLeft w:val="0"/>
      <w:marRight w:val="0"/>
      <w:marTop w:val="0"/>
      <w:marBottom w:val="0"/>
      <w:divBdr>
        <w:top w:val="none" w:sz="0" w:space="0" w:color="auto"/>
        <w:left w:val="none" w:sz="0" w:space="0" w:color="auto"/>
        <w:bottom w:val="none" w:sz="0" w:space="0" w:color="auto"/>
        <w:right w:val="none" w:sz="0" w:space="0" w:color="auto"/>
      </w:divBdr>
    </w:div>
    <w:div w:id="1918637782">
      <w:bodyDiv w:val="1"/>
      <w:marLeft w:val="0"/>
      <w:marRight w:val="0"/>
      <w:marTop w:val="0"/>
      <w:marBottom w:val="0"/>
      <w:divBdr>
        <w:top w:val="none" w:sz="0" w:space="0" w:color="auto"/>
        <w:left w:val="none" w:sz="0" w:space="0" w:color="auto"/>
        <w:bottom w:val="none" w:sz="0" w:space="0" w:color="auto"/>
        <w:right w:val="none" w:sz="0" w:space="0" w:color="auto"/>
      </w:divBdr>
      <w:divsChild>
        <w:div w:id="1780375572">
          <w:marLeft w:val="446"/>
          <w:marRight w:val="0"/>
          <w:marTop w:val="0"/>
          <w:marBottom w:val="200"/>
          <w:divBdr>
            <w:top w:val="none" w:sz="0" w:space="0" w:color="auto"/>
            <w:left w:val="none" w:sz="0" w:space="0" w:color="auto"/>
            <w:bottom w:val="none" w:sz="0" w:space="0" w:color="auto"/>
            <w:right w:val="none" w:sz="0" w:space="0" w:color="auto"/>
          </w:divBdr>
        </w:div>
      </w:divsChild>
    </w:div>
    <w:div w:id="2017615446">
      <w:bodyDiv w:val="1"/>
      <w:marLeft w:val="0"/>
      <w:marRight w:val="0"/>
      <w:marTop w:val="0"/>
      <w:marBottom w:val="0"/>
      <w:divBdr>
        <w:top w:val="none" w:sz="0" w:space="0" w:color="auto"/>
        <w:left w:val="none" w:sz="0" w:space="0" w:color="auto"/>
        <w:bottom w:val="none" w:sz="0" w:space="0" w:color="auto"/>
        <w:right w:val="none" w:sz="0" w:space="0" w:color="auto"/>
      </w:divBdr>
    </w:div>
    <w:div w:id="2037537020">
      <w:bodyDiv w:val="1"/>
      <w:marLeft w:val="0"/>
      <w:marRight w:val="0"/>
      <w:marTop w:val="0"/>
      <w:marBottom w:val="0"/>
      <w:divBdr>
        <w:top w:val="none" w:sz="0" w:space="0" w:color="auto"/>
        <w:left w:val="none" w:sz="0" w:space="0" w:color="auto"/>
        <w:bottom w:val="none" w:sz="0" w:space="0" w:color="auto"/>
        <w:right w:val="none" w:sz="0" w:space="0" w:color="auto"/>
      </w:divBdr>
    </w:div>
    <w:div w:id="2053262064">
      <w:bodyDiv w:val="1"/>
      <w:marLeft w:val="0"/>
      <w:marRight w:val="0"/>
      <w:marTop w:val="0"/>
      <w:marBottom w:val="0"/>
      <w:divBdr>
        <w:top w:val="none" w:sz="0" w:space="0" w:color="auto"/>
        <w:left w:val="none" w:sz="0" w:space="0" w:color="auto"/>
        <w:bottom w:val="none" w:sz="0" w:space="0" w:color="auto"/>
        <w:right w:val="none" w:sz="0" w:space="0" w:color="auto"/>
      </w:divBdr>
      <w:divsChild>
        <w:div w:id="1283226636">
          <w:marLeft w:val="446"/>
          <w:marRight w:val="0"/>
          <w:marTop w:val="0"/>
          <w:marBottom w:val="200"/>
          <w:divBdr>
            <w:top w:val="none" w:sz="0" w:space="0" w:color="auto"/>
            <w:left w:val="none" w:sz="0" w:space="0" w:color="auto"/>
            <w:bottom w:val="none" w:sz="0" w:space="0" w:color="auto"/>
            <w:right w:val="none" w:sz="0" w:space="0" w:color="auto"/>
          </w:divBdr>
        </w:div>
      </w:divsChild>
    </w:div>
    <w:div w:id="2054764157">
      <w:bodyDiv w:val="1"/>
      <w:marLeft w:val="0"/>
      <w:marRight w:val="0"/>
      <w:marTop w:val="0"/>
      <w:marBottom w:val="0"/>
      <w:divBdr>
        <w:top w:val="none" w:sz="0" w:space="0" w:color="auto"/>
        <w:left w:val="none" w:sz="0" w:space="0" w:color="auto"/>
        <w:bottom w:val="none" w:sz="0" w:space="0" w:color="auto"/>
        <w:right w:val="none" w:sz="0" w:space="0" w:color="auto"/>
      </w:divBdr>
    </w:div>
    <w:div w:id="2099977455">
      <w:bodyDiv w:val="1"/>
      <w:marLeft w:val="0"/>
      <w:marRight w:val="0"/>
      <w:marTop w:val="0"/>
      <w:marBottom w:val="0"/>
      <w:divBdr>
        <w:top w:val="none" w:sz="0" w:space="0" w:color="auto"/>
        <w:left w:val="none" w:sz="0" w:space="0" w:color="auto"/>
        <w:bottom w:val="none" w:sz="0" w:space="0" w:color="auto"/>
        <w:right w:val="none" w:sz="0" w:space="0" w:color="auto"/>
      </w:divBdr>
    </w:div>
    <w:div w:id="210679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177/1471301217701506"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39essex.com/mental-capacity-report-september-2017/" TargetMode="External"/><Relationship Id="rId9" Type="http://schemas.openxmlformats.org/officeDocument/2006/relationships/hyperlink" Target="https://www.alzheimers.org.uk/site/scripts/documents_info.php?documentID=2759" TargetMode="External"/><Relationship Id="rId10" Type="http://schemas.openxmlformats.org/officeDocument/2006/relationships/hyperlink" Target="http://dementiavoices.org.uk/wp-content/uploads/2017/07/Our-Lived-Experience-270717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news-room/fact-sheets/detail/dementia" TargetMode="External"/><Relationship Id="rId2" Type="http://schemas.openxmlformats.org/officeDocument/2006/relationships/hyperlink" Target="https://www.alzheimers.org.uk/about-us/policy-and-influencing/all-party-parliamentary-group-dementia" TargetMode="External"/><Relationship Id="rId3" Type="http://schemas.openxmlformats.org/officeDocument/2006/relationships/hyperlink" Target="https://www.un.org/development/desa/disabilities/resources/ad-hoc-committee-on-a-comprehensive-and-integral-international-convention-on-the-protection-and-promotion-of-the-rights-and-dignity-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7241D7-6C7A-C241-A7EC-BEC3A837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8969</Words>
  <Characters>51124</Characters>
  <Application>Microsoft Macintosh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Pritchard-Jones</dc:creator>
  <cp:keywords/>
  <dc:description/>
  <cp:lastModifiedBy>Microsoft Office User</cp:lastModifiedBy>
  <cp:revision>6</cp:revision>
  <dcterms:created xsi:type="dcterms:W3CDTF">2018-08-02T11:19:00Z</dcterms:created>
  <dcterms:modified xsi:type="dcterms:W3CDTF">2019-05-14T17:08:00Z</dcterms:modified>
</cp:coreProperties>
</file>