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FAA9" w14:textId="1711ED41" w:rsidR="003C7C99" w:rsidRPr="00D2210C" w:rsidRDefault="006E352E" w:rsidP="00D2210C">
      <w:pPr>
        <w:rPr>
          <w:rFonts w:ascii="Candara" w:hAnsi="Candara"/>
          <w:b/>
          <w:sz w:val="22"/>
          <w:szCs w:val="22"/>
        </w:rPr>
      </w:pPr>
      <w:r>
        <w:rPr>
          <w:rFonts w:ascii="Candara" w:hAnsi="Candara"/>
          <w:b/>
          <w:sz w:val="22"/>
          <w:szCs w:val="22"/>
        </w:rPr>
        <w:t>TITLE</w:t>
      </w:r>
      <w:r w:rsidR="00F11759" w:rsidRPr="00D2210C">
        <w:rPr>
          <w:rFonts w:ascii="Candara" w:hAnsi="Candara"/>
          <w:b/>
          <w:sz w:val="22"/>
          <w:szCs w:val="22"/>
        </w:rPr>
        <w:t xml:space="preserve">: </w:t>
      </w:r>
      <w:r w:rsidR="00F77A13" w:rsidRPr="00D2210C">
        <w:rPr>
          <w:rFonts w:ascii="Candara" w:hAnsi="Candara"/>
          <w:b/>
          <w:sz w:val="22"/>
          <w:szCs w:val="22"/>
        </w:rPr>
        <w:t xml:space="preserve">Triglyceride glucose index predicting cardiovascular mortality in </w:t>
      </w:r>
      <w:r w:rsidR="00A60294">
        <w:rPr>
          <w:rFonts w:ascii="Candara" w:hAnsi="Candara"/>
          <w:b/>
          <w:sz w:val="22"/>
          <w:szCs w:val="22"/>
        </w:rPr>
        <w:t>Chinese</w:t>
      </w:r>
      <w:r w:rsidR="00A60294" w:rsidRPr="00D2210C">
        <w:rPr>
          <w:rFonts w:ascii="Candara" w:hAnsi="Candara"/>
          <w:b/>
          <w:sz w:val="22"/>
          <w:szCs w:val="22"/>
        </w:rPr>
        <w:t xml:space="preserve"> </w:t>
      </w:r>
      <w:r w:rsidR="00F77A13" w:rsidRPr="00D2210C">
        <w:rPr>
          <w:rFonts w:ascii="Candara" w:hAnsi="Candara"/>
          <w:b/>
          <w:sz w:val="22"/>
          <w:szCs w:val="22"/>
        </w:rPr>
        <w:t>initia</w:t>
      </w:r>
      <w:r w:rsidR="003A159C">
        <w:rPr>
          <w:rFonts w:ascii="Candara" w:hAnsi="Candara"/>
          <w:b/>
          <w:sz w:val="22"/>
          <w:szCs w:val="22"/>
        </w:rPr>
        <w:t>t</w:t>
      </w:r>
      <w:r w:rsidR="00F77A13" w:rsidRPr="00D2210C">
        <w:rPr>
          <w:rFonts w:ascii="Candara" w:hAnsi="Candara"/>
          <w:b/>
          <w:sz w:val="22"/>
          <w:szCs w:val="22"/>
        </w:rPr>
        <w:t>ing peritoneal dialysis: a cohort study</w:t>
      </w:r>
    </w:p>
    <w:p w14:paraId="2DA642F1" w14:textId="256CE8B7" w:rsidR="00D2210C" w:rsidRPr="00D2210C" w:rsidRDefault="00D2210C" w:rsidP="00D2210C">
      <w:pPr>
        <w:rPr>
          <w:rFonts w:ascii="Candara" w:hAnsi="Candara"/>
          <w:b/>
          <w:sz w:val="22"/>
          <w:szCs w:val="22"/>
        </w:rPr>
      </w:pPr>
    </w:p>
    <w:p w14:paraId="0CE1DEAF" w14:textId="2472DDE3" w:rsidR="00911638" w:rsidRPr="00D2210C" w:rsidRDefault="006E352E" w:rsidP="00D2210C">
      <w:pPr>
        <w:rPr>
          <w:rFonts w:ascii="Candara" w:hAnsi="Candara"/>
          <w:b/>
          <w:sz w:val="22"/>
          <w:szCs w:val="22"/>
        </w:rPr>
      </w:pPr>
      <w:r>
        <w:rPr>
          <w:rFonts w:ascii="Candara" w:hAnsi="Candara"/>
          <w:b/>
          <w:sz w:val="22"/>
          <w:szCs w:val="22"/>
        </w:rPr>
        <w:t xml:space="preserve"> </w:t>
      </w:r>
    </w:p>
    <w:p w14:paraId="4EC6C204" w14:textId="342C3811" w:rsidR="00C94200" w:rsidRDefault="00F77A13" w:rsidP="00D2210C">
      <w:pPr>
        <w:rPr>
          <w:rFonts w:ascii="Candara" w:hAnsi="Candara"/>
          <w:sz w:val="22"/>
          <w:szCs w:val="22"/>
          <w:vertAlign w:val="superscript"/>
        </w:rPr>
      </w:pPr>
      <w:r w:rsidRPr="006E352E">
        <w:rPr>
          <w:rFonts w:ascii="Candara" w:hAnsi="Candara"/>
          <w:b/>
          <w:sz w:val="22"/>
          <w:szCs w:val="22"/>
        </w:rPr>
        <w:t>A</w:t>
      </w:r>
      <w:r w:rsidR="00D2210C" w:rsidRPr="006E352E">
        <w:rPr>
          <w:rFonts w:ascii="Candara" w:hAnsi="Candara"/>
          <w:b/>
          <w:sz w:val="22"/>
          <w:szCs w:val="22"/>
        </w:rPr>
        <w:t>uthors</w:t>
      </w:r>
      <w:r w:rsidRPr="00D2210C">
        <w:rPr>
          <w:rFonts w:ascii="Candara" w:hAnsi="Candara"/>
          <w:sz w:val="22"/>
          <w:szCs w:val="22"/>
        </w:rPr>
        <w:t xml:space="preserve">: </w:t>
      </w:r>
      <w:r w:rsidR="000C0EE7">
        <w:rPr>
          <w:rFonts w:ascii="Candara" w:hAnsi="Candara" w:hint="eastAsia"/>
          <w:sz w:val="22"/>
          <w:szCs w:val="22"/>
        </w:rPr>
        <w:t>Ze</w:t>
      </w:r>
      <w:r w:rsidR="000C0EE7">
        <w:rPr>
          <w:rFonts w:ascii="Candara" w:hAnsi="Candara"/>
          <w:sz w:val="22"/>
          <w:szCs w:val="22"/>
        </w:rPr>
        <w:t xml:space="preserve">chen Yan </w:t>
      </w:r>
      <w:r w:rsidR="000C0EE7" w:rsidRPr="000C0EE7">
        <w:rPr>
          <w:rFonts w:ascii="Candara" w:hAnsi="Candara"/>
          <w:sz w:val="22"/>
          <w:szCs w:val="22"/>
          <w:vertAlign w:val="superscript"/>
        </w:rPr>
        <w:t>1</w:t>
      </w:r>
      <w:r w:rsidR="00327EDC">
        <w:rPr>
          <w:rFonts w:ascii="Candara" w:hAnsi="Candara"/>
          <w:sz w:val="22"/>
          <w:szCs w:val="22"/>
          <w:vertAlign w:val="superscript"/>
        </w:rPr>
        <w:t>,</w:t>
      </w:r>
      <w:r w:rsidR="00327EDC">
        <w:rPr>
          <w:rFonts w:ascii="Candara" w:hAnsi="Candara"/>
          <w:sz w:val="22"/>
          <w:szCs w:val="22"/>
          <w:vertAlign w:val="superscript"/>
        </w:rPr>
        <w:sym w:font="Symbol" w:char="F023"/>
      </w:r>
      <w:r w:rsidR="000C0EE7">
        <w:rPr>
          <w:rFonts w:ascii="Candara" w:hAnsi="Candara"/>
          <w:sz w:val="22"/>
          <w:szCs w:val="22"/>
        </w:rPr>
        <w:t>,</w:t>
      </w:r>
      <w:r w:rsidRPr="00D2210C">
        <w:rPr>
          <w:rFonts w:ascii="Candara" w:hAnsi="Candara"/>
          <w:sz w:val="22"/>
          <w:szCs w:val="22"/>
        </w:rPr>
        <w:t xml:space="preserve">Dahai Yu </w:t>
      </w:r>
      <w:r w:rsidR="000C0EE7">
        <w:rPr>
          <w:rFonts w:ascii="Candara" w:hAnsi="Candara"/>
          <w:sz w:val="22"/>
          <w:szCs w:val="22"/>
          <w:vertAlign w:val="superscript"/>
        </w:rPr>
        <w:t>2</w:t>
      </w:r>
      <w:r w:rsidRPr="00D2210C">
        <w:rPr>
          <w:rFonts w:ascii="Candara" w:hAnsi="Candara"/>
          <w:sz w:val="22"/>
          <w:szCs w:val="22"/>
          <w:vertAlign w:val="superscript"/>
        </w:rPr>
        <w:t>,</w:t>
      </w:r>
      <w:r w:rsidR="000C0EE7">
        <w:rPr>
          <w:rFonts w:ascii="Candara" w:hAnsi="Candara"/>
          <w:sz w:val="22"/>
          <w:szCs w:val="22"/>
          <w:vertAlign w:val="superscript"/>
        </w:rPr>
        <w:t>3</w:t>
      </w:r>
      <w:r w:rsidR="00327EDC">
        <w:rPr>
          <w:rFonts w:ascii="Candara" w:hAnsi="Candara"/>
          <w:sz w:val="22"/>
          <w:szCs w:val="22"/>
          <w:vertAlign w:val="superscript"/>
        </w:rPr>
        <w:t>,</w:t>
      </w:r>
      <w:r w:rsidR="00327EDC" w:rsidRPr="00327EDC">
        <w:rPr>
          <w:rFonts w:ascii="Candara" w:hAnsi="Candara"/>
          <w:sz w:val="22"/>
          <w:szCs w:val="22"/>
          <w:vertAlign w:val="superscript"/>
        </w:rPr>
        <w:t xml:space="preserve"> </w:t>
      </w:r>
      <w:r w:rsidR="00327EDC">
        <w:rPr>
          <w:rFonts w:ascii="Candara" w:hAnsi="Candara"/>
          <w:sz w:val="22"/>
          <w:szCs w:val="22"/>
          <w:vertAlign w:val="superscript"/>
        </w:rPr>
        <w:sym w:font="Symbol" w:char="F023"/>
      </w:r>
      <w:r w:rsidRPr="00D2210C">
        <w:rPr>
          <w:rFonts w:ascii="Candara" w:hAnsi="Candara"/>
          <w:sz w:val="22"/>
          <w:szCs w:val="22"/>
        </w:rPr>
        <w:t xml:space="preserve">, Yamei Cai </w:t>
      </w:r>
      <w:r w:rsidR="000C0EE7">
        <w:rPr>
          <w:rFonts w:ascii="Candara" w:hAnsi="Candara"/>
          <w:sz w:val="22"/>
          <w:szCs w:val="22"/>
          <w:vertAlign w:val="superscript"/>
        </w:rPr>
        <w:t>2</w:t>
      </w:r>
      <w:r w:rsidRPr="00D2210C">
        <w:rPr>
          <w:rFonts w:ascii="Candara" w:hAnsi="Candara"/>
          <w:sz w:val="22"/>
          <w:szCs w:val="22"/>
        </w:rPr>
        <w:t xml:space="preserve">, Jin Shang </w:t>
      </w:r>
      <w:r w:rsidR="000C0EE7">
        <w:rPr>
          <w:rFonts w:ascii="Candara" w:hAnsi="Candara"/>
          <w:sz w:val="22"/>
          <w:szCs w:val="22"/>
          <w:vertAlign w:val="superscript"/>
        </w:rPr>
        <w:t>2</w:t>
      </w:r>
      <w:r w:rsidRPr="00D2210C">
        <w:rPr>
          <w:rFonts w:ascii="Candara" w:hAnsi="Candara"/>
          <w:sz w:val="22"/>
          <w:szCs w:val="22"/>
        </w:rPr>
        <w:t xml:space="preserve">, Rui Qin </w:t>
      </w:r>
      <w:r w:rsidR="000C0EE7">
        <w:rPr>
          <w:rFonts w:ascii="Candara" w:hAnsi="Candara"/>
          <w:sz w:val="22"/>
          <w:szCs w:val="22"/>
          <w:vertAlign w:val="superscript"/>
        </w:rPr>
        <w:t>2</w:t>
      </w:r>
      <w:r w:rsidR="00045CC0">
        <w:rPr>
          <w:rFonts w:ascii="Candara" w:hAnsi="Candara"/>
          <w:sz w:val="22"/>
          <w:szCs w:val="22"/>
        </w:rPr>
        <w:t xml:space="preserve">, </w:t>
      </w:r>
      <w:r w:rsidR="005B156F" w:rsidRPr="00D2210C">
        <w:rPr>
          <w:rFonts w:ascii="Candara" w:hAnsi="Candara"/>
          <w:sz w:val="22"/>
          <w:szCs w:val="22"/>
        </w:rPr>
        <w:t xml:space="preserve">Jing Xiao </w:t>
      </w:r>
      <w:r w:rsidR="000C0EE7">
        <w:rPr>
          <w:rFonts w:ascii="Candara" w:hAnsi="Candara"/>
          <w:sz w:val="22"/>
          <w:szCs w:val="22"/>
          <w:vertAlign w:val="superscript"/>
        </w:rPr>
        <w:t>2</w:t>
      </w:r>
      <w:r w:rsidR="005B156F" w:rsidRPr="00D2210C">
        <w:rPr>
          <w:rFonts w:ascii="Candara" w:hAnsi="Candara"/>
          <w:sz w:val="22"/>
          <w:szCs w:val="22"/>
          <w:vertAlign w:val="superscript"/>
        </w:rPr>
        <w:t>*</w:t>
      </w:r>
      <w:r w:rsidR="005B156F" w:rsidRPr="00D2210C">
        <w:rPr>
          <w:rFonts w:ascii="Candara" w:hAnsi="Candara"/>
          <w:sz w:val="22"/>
          <w:szCs w:val="22"/>
        </w:rPr>
        <w:t xml:space="preserve">, </w:t>
      </w:r>
      <w:r w:rsidR="00863E4B" w:rsidRPr="00D2210C">
        <w:rPr>
          <w:rFonts w:ascii="Candara" w:hAnsi="Candara"/>
          <w:sz w:val="22"/>
          <w:szCs w:val="22"/>
        </w:rPr>
        <w:t xml:space="preserve">Bin Zhao </w:t>
      </w:r>
      <w:r w:rsidR="000C0EE7">
        <w:rPr>
          <w:rFonts w:ascii="Candara" w:hAnsi="Candara"/>
          <w:sz w:val="22"/>
          <w:szCs w:val="22"/>
          <w:vertAlign w:val="superscript"/>
        </w:rPr>
        <w:t>4</w:t>
      </w:r>
      <w:r w:rsidR="00863E4B" w:rsidRPr="00D2210C">
        <w:rPr>
          <w:rFonts w:ascii="Candara" w:hAnsi="Candara"/>
          <w:sz w:val="22"/>
          <w:szCs w:val="22"/>
        </w:rPr>
        <w:t xml:space="preserve">, </w:t>
      </w:r>
      <w:r w:rsidRPr="00D2210C">
        <w:rPr>
          <w:rFonts w:ascii="Candara" w:hAnsi="Candara"/>
          <w:sz w:val="22"/>
          <w:szCs w:val="22"/>
        </w:rPr>
        <w:t xml:space="preserve">Zhanzheng Zhao </w:t>
      </w:r>
      <w:r w:rsidR="000C0EE7">
        <w:rPr>
          <w:rFonts w:ascii="Candara" w:hAnsi="Candara"/>
          <w:sz w:val="22"/>
          <w:szCs w:val="22"/>
          <w:vertAlign w:val="superscript"/>
        </w:rPr>
        <w:t>2</w:t>
      </w:r>
      <w:r w:rsidR="004C2E8D" w:rsidRPr="00D2210C">
        <w:rPr>
          <w:rFonts w:ascii="Candara" w:hAnsi="Candara"/>
          <w:sz w:val="22"/>
          <w:szCs w:val="22"/>
          <w:vertAlign w:val="superscript"/>
        </w:rPr>
        <w:t>*</w:t>
      </w:r>
      <w:r w:rsidRPr="00D2210C">
        <w:rPr>
          <w:rFonts w:ascii="Candara" w:hAnsi="Candara"/>
          <w:sz w:val="22"/>
          <w:szCs w:val="22"/>
        </w:rPr>
        <w:t xml:space="preserve">, David Simmons </w:t>
      </w:r>
      <w:r w:rsidR="000C0EE7">
        <w:rPr>
          <w:rFonts w:ascii="Candara" w:hAnsi="Candara"/>
          <w:sz w:val="22"/>
          <w:szCs w:val="22"/>
          <w:vertAlign w:val="superscript"/>
        </w:rPr>
        <w:t>2</w:t>
      </w:r>
      <w:r w:rsidR="00F24D13" w:rsidRPr="00D2210C">
        <w:rPr>
          <w:rFonts w:ascii="Candara" w:hAnsi="Candara"/>
          <w:sz w:val="22"/>
          <w:szCs w:val="22"/>
          <w:vertAlign w:val="superscript"/>
        </w:rPr>
        <w:t>,</w:t>
      </w:r>
      <w:r w:rsidR="000C0EE7">
        <w:rPr>
          <w:rFonts w:ascii="Candara" w:hAnsi="Candara"/>
          <w:sz w:val="22"/>
          <w:szCs w:val="22"/>
          <w:vertAlign w:val="superscript"/>
        </w:rPr>
        <w:t>5</w:t>
      </w:r>
    </w:p>
    <w:p w14:paraId="351A6370" w14:textId="77777777" w:rsidR="00D2210C" w:rsidRPr="00D2210C" w:rsidRDefault="00D2210C" w:rsidP="00D2210C">
      <w:pPr>
        <w:rPr>
          <w:rFonts w:ascii="Candara" w:hAnsi="Candara"/>
          <w:sz w:val="22"/>
          <w:szCs w:val="22"/>
        </w:rPr>
      </w:pPr>
    </w:p>
    <w:p w14:paraId="6EB0494A" w14:textId="65B7024A" w:rsidR="00F77A13" w:rsidRPr="00D2210C" w:rsidRDefault="00F77A13" w:rsidP="00D2210C">
      <w:pPr>
        <w:outlineLvl w:val="0"/>
        <w:rPr>
          <w:rFonts w:ascii="Candara" w:hAnsi="Candara"/>
          <w:b/>
          <w:sz w:val="22"/>
          <w:szCs w:val="22"/>
        </w:rPr>
      </w:pPr>
    </w:p>
    <w:p w14:paraId="7BF886BA" w14:textId="6596FFF0" w:rsidR="00F77A13" w:rsidRDefault="00F77A13" w:rsidP="00F77A13">
      <w:pPr>
        <w:pStyle w:val="Body"/>
        <w:rPr>
          <w:rFonts w:ascii="Candara" w:hAnsi="Candara" w:cstheme="minorHAnsi"/>
        </w:rPr>
      </w:pPr>
      <w:r w:rsidRPr="00D2210C">
        <w:rPr>
          <w:rFonts w:ascii="Candara" w:hAnsi="Candara" w:cstheme="minorHAnsi"/>
        </w:rPr>
        <w:t xml:space="preserve">1. Department of </w:t>
      </w:r>
      <w:r w:rsidR="000C0EE7">
        <w:rPr>
          <w:rFonts w:ascii="Candara" w:hAnsi="Candara" w:cstheme="minorHAnsi"/>
        </w:rPr>
        <w:t>Urology</w:t>
      </w:r>
      <w:r w:rsidRPr="00D2210C">
        <w:rPr>
          <w:rFonts w:ascii="Candara" w:hAnsi="Candara" w:cstheme="minorHAnsi"/>
        </w:rPr>
        <w:t xml:space="preserve">, the First Affiliated Hospital, Zhengzhou University, Zhengzhou 450052, China </w:t>
      </w:r>
    </w:p>
    <w:p w14:paraId="5B20A135" w14:textId="3F7096CD" w:rsidR="000C0EE7" w:rsidRPr="00D2210C" w:rsidRDefault="000C0EE7" w:rsidP="00F77A13">
      <w:pPr>
        <w:pStyle w:val="Body"/>
        <w:rPr>
          <w:rFonts w:ascii="Candara" w:hAnsi="Candara" w:cstheme="minorHAnsi"/>
        </w:rPr>
      </w:pPr>
      <w:r>
        <w:rPr>
          <w:rFonts w:ascii="Candara" w:hAnsi="Candara" w:cstheme="minorHAnsi"/>
        </w:rPr>
        <w:t xml:space="preserve">2. </w:t>
      </w:r>
      <w:r w:rsidRPr="00D2210C">
        <w:rPr>
          <w:rFonts w:ascii="Candara" w:hAnsi="Candara" w:cstheme="minorHAnsi"/>
        </w:rPr>
        <w:t>Department of Nephrology, the First Affiliated Hospital, Zhengzhou University, Zhengzhou 450052, China</w:t>
      </w:r>
    </w:p>
    <w:p w14:paraId="554F3520" w14:textId="27364ADF" w:rsidR="00F77A13" w:rsidRPr="00D2210C" w:rsidRDefault="00327EDC" w:rsidP="00F77A13">
      <w:pPr>
        <w:pStyle w:val="Body"/>
        <w:rPr>
          <w:rFonts w:ascii="Candara" w:hAnsi="Candara" w:cstheme="minorHAnsi"/>
        </w:rPr>
      </w:pPr>
      <w:r>
        <w:rPr>
          <w:rFonts w:ascii="Candara" w:hAnsi="Candara" w:cstheme="minorHAnsi"/>
          <w:lang w:val="en-GB"/>
        </w:rPr>
        <w:t>3</w:t>
      </w:r>
      <w:r w:rsidR="00F77A13" w:rsidRPr="00D2210C">
        <w:rPr>
          <w:rFonts w:ascii="Candara" w:hAnsi="Candara" w:cstheme="minorHAnsi"/>
          <w:lang w:val="en-GB"/>
        </w:rPr>
        <w:t xml:space="preserve">. </w:t>
      </w:r>
      <w:r w:rsidR="00F77A13" w:rsidRPr="00D2210C">
        <w:rPr>
          <w:rFonts w:ascii="Candara" w:hAnsi="Candara" w:cstheme="minorHAnsi"/>
        </w:rPr>
        <w:t xml:space="preserve">Arthritis Research UK Primary Care Centre, Research Institute for Primary Care &amp; Health Sciences, Keele University, Keele ST5 5BG, UK  </w:t>
      </w:r>
    </w:p>
    <w:p w14:paraId="573F47B9" w14:textId="699915EE" w:rsidR="00863E4B" w:rsidRPr="00D2210C" w:rsidRDefault="00327EDC" w:rsidP="00F77A13">
      <w:pPr>
        <w:pStyle w:val="Body"/>
        <w:rPr>
          <w:rFonts w:ascii="Candara" w:hAnsi="Candara" w:cstheme="minorHAnsi"/>
          <w:lang w:val="en-GB"/>
        </w:rPr>
      </w:pPr>
      <w:r>
        <w:rPr>
          <w:rFonts w:ascii="Candara" w:hAnsi="Candara" w:cstheme="minorHAnsi"/>
        </w:rPr>
        <w:t>4</w:t>
      </w:r>
      <w:r w:rsidR="00AE3066" w:rsidRPr="00D2210C">
        <w:rPr>
          <w:rFonts w:ascii="Candara" w:hAnsi="Candara" w:cstheme="minorHAnsi"/>
        </w:rPr>
        <w:t xml:space="preserve">. </w:t>
      </w:r>
      <w:r w:rsidR="00AE3066" w:rsidRPr="00D2210C">
        <w:rPr>
          <w:rFonts w:ascii="Candara" w:hAnsi="Candara" w:cstheme="minorHAnsi"/>
          <w:lang w:val="en-GB"/>
        </w:rPr>
        <w:t>The Second Division of Internal Medicine, Kejing Community Health Centre</w:t>
      </w:r>
      <w:r w:rsidR="0054064F" w:rsidRPr="00D2210C">
        <w:rPr>
          <w:rFonts w:ascii="Candara" w:hAnsi="Candara" w:cstheme="minorHAnsi"/>
          <w:lang w:val="en-GB"/>
        </w:rPr>
        <w:t>, Jiyuan 45</w:t>
      </w:r>
      <w:r w:rsidR="00542CCB" w:rsidRPr="00D2210C">
        <w:rPr>
          <w:rFonts w:ascii="Candara" w:hAnsi="Candara" w:cstheme="minorHAnsi"/>
          <w:lang w:val="en-GB"/>
        </w:rPr>
        <w:t>9000</w:t>
      </w:r>
      <w:r w:rsidR="0054064F" w:rsidRPr="00D2210C">
        <w:rPr>
          <w:rFonts w:ascii="Candara" w:hAnsi="Candara" w:cstheme="minorHAnsi"/>
          <w:lang w:val="en-GB"/>
        </w:rPr>
        <w:t>, China</w:t>
      </w:r>
    </w:p>
    <w:p w14:paraId="58CE1FFA" w14:textId="6BA42F83" w:rsidR="00F77A13" w:rsidRDefault="00327EDC" w:rsidP="00D2210C">
      <w:pPr>
        <w:pStyle w:val="Body"/>
        <w:rPr>
          <w:rFonts w:ascii="Candara" w:hAnsi="Candara" w:cstheme="minorHAnsi"/>
        </w:rPr>
      </w:pPr>
      <w:r>
        <w:rPr>
          <w:rFonts w:ascii="Candara" w:hAnsi="Candara" w:cstheme="minorHAnsi"/>
        </w:rPr>
        <w:t>5</w:t>
      </w:r>
      <w:r w:rsidR="00F77A13" w:rsidRPr="00D2210C">
        <w:rPr>
          <w:rFonts w:ascii="Candara" w:hAnsi="Candara" w:cstheme="minorHAnsi"/>
        </w:rPr>
        <w:t>. Western Sydney University, Campbelltown, Sydney NSW 2751, Australia</w:t>
      </w:r>
    </w:p>
    <w:p w14:paraId="14BFB7A4" w14:textId="77777777" w:rsidR="00327EDC" w:rsidRDefault="00327EDC" w:rsidP="00D2210C">
      <w:pPr>
        <w:pStyle w:val="Body"/>
        <w:rPr>
          <w:rFonts w:ascii="Candara" w:hAnsi="Candara" w:cstheme="minorHAnsi"/>
        </w:rPr>
      </w:pPr>
    </w:p>
    <w:p w14:paraId="1A0511B8" w14:textId="5AEDB0CB" w:rsidR="00327EDC" w:rsidRPr="00327EDC" w:rsidRDefault="00327EDC" w:rsidP="00D2210C">
      <w:pPr>
        <w:pStyle w:val="Body"/>
        <w:rPr>
          <w:rFonts w:ascii="Candara" w:hAnsi="Candara" w:cstheme="minorHAnsi"/>
        </w:rPr>
      </w:pPr>
      <w:r w:rsidRPr="00327EDC">
        <w:rPr>
          <w:rFonts w:ascii="Candara" w:hAnsi="Candara"/>
        </w:rPr>
        <w:sym w:font="Symbol" w:char="F023"/>
      </w:r>
      <w:r w:rsidRPr="00327EDC">
        <w:rPr>
          <w:rFonts w:ascii="Candara" w:hAnsi="Candara"/>
        </w:rPr>
        <w:t xml:space="preserve"> contributed </w:t>
      </w:r>
      <w:r w:rsidRPr="00327EDC">
        <w:rPr>
          <w:rFonts w:ascii="Candara" w:hAnsi="Candara" w:cstheme="minorHAnsi"/>
        </w:rPr>
        <w:t>equally as first author.</w:t>
      </w:r>
    </w:p>
    <w:p w14:paraId="5610A40B" w14:textId="77777777" w:rsidR="00D2210C" w:rsidRPr="00D2210C" w:rsidRDefault="00D2210C" w:rsidP="00D2210C">
      <w:pPr>
        <w:pStyle w:val="Body"/>
        <w:rPr>
          <w:rFonts w:ascii="Candara" w:hAnsi="Candara" w:cstheme="minorHAnsi"/>
        </w:rPr>
      </w:pPr>
    </w:p>
    <w:p w14:paraId="76AD978D" w14:textId="77777777" w:rsidR="00F77A13" w:rsidRPr="00D2210C" w:rsidRDefault="00F77A13" w:rsidP="0054064F">
      <w:pPr>
        <w:pStyle w:val="Body"/>
        <w:rPr>
          <w:rFonts w:ascii="Candara" w:hAnsi="Candara" w:cstheme="minorHAnsi"/>
          <w:b/>
        </w:rPr>
      </w:pPr>
      <w:r w:rsidRPr="00D2210C">
        <w:rPr>
          <w:rFonts w:ascii="Candara" w:hAnsi="Candara" w:cstheme="minorHAnsi"/>
          <w:b/>
        </w:rPr>
        <w:t>*Correspondence 1:</w:t>
      </w:r>
    </w:p>
    <w:p w14:paraId="7C9C0557" w14:textId="77777777" w:rsidR="00F77A13" w:rsidRPr="00D2210C" w:rsidRDefault="00F77A13" w:rsidP="0054064F">
      <w:pPr>
        <w:pStyle w:val="Body"/>
        <w:rPr>
          <w:rFonts w:ascii="Candara" w:hAnsi="Candara" w:cstheme="minorHAnsi"/>
        </w:rPr>
      </w:pPr>
      <w:r w:rsidRPr="00D2210C">
        <w:rPr>
          <w:rFonts w:ascii="Candara" w:hAnsi="Candara" w:cstheme="minorHAnsi"/>
        </w:rPr>
        <w:t>Professor Zhanzheng Zhao, Department of Nephrology, the First Affiliated Hospital</w:t>
      </w:r>
    </w:p>
    <w:p w14:paraId="0885C409" w14:textId="77777777" w:rsidR="00F77A13" w:rsidRPr="00D2210C" w:rsidRDefault="00F77A13" w:rsidP="0054064F">
      <w:pPr>
        <w:pStyle w:val="Body"/>
        <w:rPr>
          <w:rFonts w:ascii="Candara" w:hAnsi="Candara" w:cstheme="minorHAnsi"/>
        </w:rPr>
      </w:pPr>
      <w:r w:rsidRPr="00D2210C">
        <w:rPr>
          <w:rFonts w:ascii="Candara" w:hAnsi="Candara" w:cstheme="minorHAnsi"/>
          <w:lang w:val="de-DE"/>
        </w:rPr>
        <w:t xml:space="preserve">Zhengzhou University, Zhengzhou 450052, </w:t>
      </w:r>
      <w:r w:rsidRPr="00D2210C">
        <w:rPr>
          <w:rFonts w:ascii="Candara" w:hAnsi="Candara" w:cstheme="minorHAnsi"/>
        </w:rPr>
        <w:t>CHINA</w:t>
      </w:r>
    </w:p>
    <w:p w14:paraId="0EBE3044" w14:textId="77777777" w:rsidR="00F77A13" w:rsidRPr="00D2210C" w:rsidRDefault="00F77A13" w:rsidP="0054064F">
      <w:pPr>
        <w:pStyle w:val="Body"/>
        <w:outlineLvl w:val="0"/>
        <w:rPr>
          <w:rFonts w:ascii="Candara" w:hAnsi="Candara" w:cstheme="minorHAnsi"/>
        </w:rPr>
      </w:pPr>
      <w:r w:rsidRPr="00D2210C">
        <w:rPr>
          <w:rFonts w:ascii="Candara" w:hAnsi="Candara" w:cstheme="minorHAnsi"/>
        </w:rPr>
        <w:t xml:space="preserve">Email: </w:t>
      </w:r>
      <w:r w:rsidRPr="00D2210C">
        <w:rPr>
          <w:rStyle w:val="Hyperlink0"/>
          <w:rFonts w:ascii="Candara" w:hAnsi="Candara" w:cstheme="minorHAnsi"/>
        </w:rPr>
        <w:t>zhanzhengzhao@zzu.edu.cn</w:t>
      </w:r>
    </w:p>
    <w:p w14:paraId="314E4D83" w14:textId="6E8B1BF8" w:rsidR="00F77A13" w:rsidRPr="00D2210C" w:rsidRDefault="00F77A13" w:rsidP="0054064F">
      <w:pPr>
        <w:pStyle w:val="Body"/>
        <w:outlineLvl w:val="0"/>
        <w:rPr>
          <w:rFonts w:ascii="Candara" w:hAnsi="Candara" w:cstheme="minorHAnsi"/>
        </w:rPr>
      </w:pPr>
      <w:r w:rsidRPr="00D2210C">
        <w:rPr>
          <w:rFonts w:ascii="Candara" w:hAnsi="Candara" w:cstheme="minorHAnsi"/>
        </w:rPr>
        <w:t>TEL:</w:t>
      </w:r>
      <w:r w:rsidR="008149FD" w:rsidRPr="00D2210C">
        <w:rPr>
          <w:rFonts w:ascii="Candara" w:hAnsi="Candara" w:cstheme="minorHAnsi"/>
        </w:rPr>
        <w:t xml:space="preserve"> </w:t>
      </w:r>
      <w:r w:rsidRPr="00D2210C">
        <w:rPr>
          <w:rFonts w:ascii="Candara" w:hAnsi="Candara" w:cstheme="minorHAnsi"/>
        </w:rPr>
        <w:t>+86 139 3852 5666</w:t>
      </w:r>
    </w:p>
    <w:p w14:paraId="3E51CAB9" w14:textId="0F12DFD5" w:rsidR="00F77A13" w:rsidRPr="00D2210C" w:rsidRDefault="00F77A13" w:rsidP="00D2210C">
      <w:pPr>
        <w:pStyle w:val="Default"/>
        <w:rPr>
          <w:rFonts w:ascii="Candara" w:hAnsi="Candara" w:cstheme="minorHAnsi"/>
        </w:rPr>
      </w:pPr>
      <w:r w:rsidRPr="00D2210C">
        <w:rPr>
          <w:rFonts w:ascii="Candara" w:hAnsi="Candara" w:cstheme="minorHAnsi"/>
        </w:rPr>
        <w:t>FAX:</w:t>
      </w:r>
      <w:r w:rsidR="008149FD" w:rsidRPr="00D2210C">
        <w:rPr>
          <w:rFonts w:ascii="Candara" w:hAnsi="Candara" w:cstheme="minorHAnsi"/>
        </w:rPr>
        <w:t xml:space="preserve"> </w:t>
      </w:r>
      <w:r w:rsidRPr="00D2210C">
        <w:rPr>
          <w:rFonts w:ascii="Candara" w:hAnsi="Candara" w:cstheme="minorHAnsi"/>
        </w:rPr>
        <w:t>+86 371 6698 8753</w:t>
      </w:r>
    </w:p>
    <w:p w14:paraId="62DAEE73" w14:textId="77777777" w:rsidR="00F77A13" w:rsidRPr="00D2210C" w:rsidRDefault="00F77A13" w:rsidP="0054064F">
      <w:pPr>
        <w:pStyle w:val="Body"/>
        <w:rPr>
          <w:rFonts w:ascii="Candara" w:hAnsi="Candara" w:cstheme="minorHAnsi"/>
          <w:b/>
        </w:rPr>
      </w:pPr>
      <w:r w:rsidRPr="00D2210C">
        <w:rPr>
          <w:rFonts w:ascii="Candara" w:hAnsi="Candara" w:cstheme="minorHAnsi"/>
          <w:b/>
        </w:rPr>
        <w:t>*Correspondence 2:</w:t>
      </w:r>
    </w:p>
    <w:p w14:paraId="1CBC2F27" w14:textId="0796578E" w:rsidR="004C2E8D" w:rsidRPr="00D2210C" w:rsidRDefault="004C2E8D" w:rsidP="0054064F">
      <w:pPr>
        <w:pStyle w:val="Body"/>
        <w:rPr>
          <w:rFonts w:ascii="Candara" w:hAnsi="Candara" w:cstheme="minorHAnsi"/>
        </w:rPr>
      </w:pPr>
      <w:r w:rsidRPr="00D2210C">
        <w:rPr>
          <w:rFonts w:ascii="Candara" w:hAnsi="Candara" w:cstheme="minorHAnsi"/>
        </w:rPr>
        <w:t>Professor Jing Xiao</w:t>
      </w:r>
      <w:r w:rsidR="00F77A13" w:rsidRPr="00D2210C">
        <w:rPr>
          <w:rFonts w:ascii="Candara" w:hAnsi="Candara" w:cstheme="minorHAnsi"/>
        </w:rPr>
        <w:t xml:space="preserve">, </w:t>
      </w:r>
      <w:r w:rsidRPr="00D2210C">
        <w:rPr>
          <w:rFonts w:ascii="Candara" w:hAnsi="Candara" w:cstheme="minorHAnsi"/>
        </w:rPr>
        <w:t>Department of Nephrology, the First Affiliated Hospital</w:t>
      </w:r>
    </w:p>
    <w:p w14:paraId="7A69A097" w14:textId="77777777" w:rsidR="004C2E8D" w:rsidRPr="00D2210C" w:rsidRDefault="004C2E8D" w:rsidP="0054064F">
      <w:pPr>
        <w:pStyle w:val="Body"/>
        <w:rPr>
          <w:rFonts w:ascii="Candara" w:hAnsi="Candara" w:cstheme="minorHAnsi"/>
        </w:rPr>
      </w:pPr>
      <w:r w:rsidRPr="00D2210C">
        <w:rPr>
          <w:rFonts w:ascii="Candara" w:hAnsi="Candara" w:cstheme="minorHAnsi"/>
          <w:lang w:val="de-DE"/>
        </w:rPr>
        <w:t xml:space="preserve">Zhengzhou University, Zhengzhou 450052, </w:t>
      </w:r>
      <w:r w:rsidRPr="00D2210C">
        <w:rPr>
          <w:rFonts w:ascii="Candara" w:hAnsi="Candara" w:cstheme="minorHAnsi"/>
        </w:rPr>
        <w:t>CHINA</w:t>
      </w:r>
    </w:p>
    <w:p w14:paraId="01ADEE3F" w14:textId="4C22DEE8" w:rsidR="004C2E8D" w:rsidRPr="00D2210C" w:rsidRDefault="004C2E8D" w:rsidP="004C2E8D">
      <w:pPr>
        <w:rPr>
          <w:rStyle w:val="Hyperlink0"/>
          <w:rFonts w:ascii="Candara" w:eastAsia="Arial Unicode MS" w:hAnsi="Candara" w:cstheme="minorHAnsi"/>
          <w:sz w:val="22"/>
          <w:szCs w:val="22"/>
          <w:bdr w:val="nil"/>
          <w:lang w:val="en-US"/>
        </w:rPr>
      </w:pPr>
      <w:r w:rsidRPr="00D2210C">
        <w:rPr>
          <w:rFonts w:ascii="Candara" w:hAnsi="Candara" w:cstheme="minorHAnsi"/>
          <w:sz w:val="22"/>
          <w:szCs w:val="22"/>
        </w:rPr>
        <w:t xml:space="preserve">Email: </w:t>
      </w:r>
      <w:hyperlink r:id="rId7" w:history="1">
        <w:r w:rsidR="00742AEA" w:rsidRPr="009C60A3">
          <w:rPr>
            <w:rStyle w:val="Hyperlink"/>
            <w:rFonts w:ascii="Candara" w:eastAsia="Arial Unicode MS" w:hAnsi="Candara" w:cstheme="minorHAnsi"/>
            <w:sz w:val="22"/>
            <w:szCs w:val="22"/>
            <w:bdr w:val="nil"/>
            <w:lang w:val="en-US"/>
          </w:rPr>
          <w:t>xiaojing5123@139.com</w:t>
        </w:r>
      </w:hyperlink>
    </w:p>
    <w:p w14:paraId="3623AE95" w14:textId="26EEC44C" w:rsidR="004C2E8D" w:rsidRPr="00D2210C" w:rsidRDefault="004C2E8D" w:rsidP="004C2E8D">
      <w:pPr>
        <w:pStyle w:val="Body"/>
        <w:outlineLvl w:val="0"/>
        <w:rPr>
          <w:rFonts w:ascii="Candara" w:hAnsi="Candara" w:cstheme="minorHAnsi"/>
        </w:rPr>
      </w:pPr>
      <w:r w:rsidRPr="00D2210C">
        <w:rPr>
          <w:rFonts w:ascii="Candara" w:hAnsi="Candara" w:cstheme="minorHAnsi"/>
        </w:rPr>
        <w:t>TEL: +86 13</w:t>
      </w:r>
      <w:r w:rsidR="00742AEA">
        <w:rPr>
          <w:rFonts w:ascii="Candara" w:hAnsi="Candara" w:cstheme="minorHAnsi"/>
        </w:rPr>
        <w:t>6</w:t>
      </w:r>
      <w:r w:rsidRPr="00D2210C">
        <w:rPr>
          <w:rFonts w:ascii="Candara" w:hAnsi="Candara" w:cstheme="minorHAnsi"/>
        </w:rPr>
        <w:t xml:space="preserve"> </w:t>
      </w:r>
      <w:r w:rsidR="00742AEA">
        <w:rPr>
          <w:rFonts w:ascii="Candara" w:hAnsi="Candara" w:cstheme="minorHAnsi"/>
        </w:rPr>
        <w:t>5386</w:t>
      </w:r>
      <w:r w:rsidRPr="00D2210C">
        <w:rPr>
          <w:rFonts w:ascii="Candara" w:hAnsi="Candara" w:cstheme="minorHAnsi"/>
        </w:rPr>
        <w:t xml:space="preserve"> 5</w:t>
      </w:r>
      <w:r w:rsidR="00742AEA">
        <w:rPr>
          <w:rFonts w:ascii="Candara" w:hAnsi="Candara" w:cstheme="minorHAnsi"/>
        </w:rPr>
        <w:t>123</w:t>
      </w:r>
    </w:p>
    <w:p w14:paraId="6DE42905" w14:textId="452CCC38" w:rsidR="00F77A13" w:rsidRPr="00D2210C" w:rsidRDefault="004C2E8D" w:rsidP="00D2210C">
      <w:pPr>
        <w:pStyle w:val="Default"/>
        <w:rPr>
          <w:rFonts w:ascii="Candara" w:hAnsi="Candara" w:cstheme="minorHAnsi"/>
        </w:rPr>
      </w:pPr>
      <w:r w:rsidRPr="00D2210C">
        <w:rPr>
          <w:rFonts w:ascii="Candara" w:hAnsi="Candara" w:cstheme="minorHAnsi"/>
        </w:rPr>
        <w:t>FAX: +86 371 6698 8753</w:t>
      </w:r>
    </w:p>
    <w:p w14:paraId="25CE864D" w14:textId="4D980A03" w:rsidR="006F03CD" w:rsidRPr="00D2210C" w:rsidRDefault="000A235C" w:rsidP="006F03CD">
      <w:pPr>
        <w:pStyle w:val="Body"/>
        <w:rPr>
          <w:rFonts w:ascii="Candara" w:hAnsi="Candara" w:cstheme="minorHAnsi"/>
        </w:rPr>
      </w:pPr>
      <w:r>
        <w:rPr>
          <w:rFonts w:ascii="Candara" w:hAnsi="Candara" w:cstheme="minorHAnsi"/>
          <w:b/>
        </w:rPr>
        <w:t xml:space="preserve"> </w:t>
      </w:r>
    </w:p>
    <w:p w14:paraId="5BBB704F" w14:textId="77777777" w:rsidR="00D2210C" w:rsidRPr="00D2210C" w:rsidRDefault="00D2210C" w:rsidP="006F03CD">
      <w:pPr>
        <w:pStyle w:val="Body"/>
        <w:rPr>
          <w:rFonts w:ascii="Candara" w:hAnsi="Candara" w:cstheme="minorHAnsi"/>
        </w:rPr>
      </w:pPr>
    </w:p>
    <w:p w14:paraId="2415721B" w14:textId="5C6C815D" w:rsidR="00F77A13" w:rsidRDefault="009866D6" w:rsidP="00F77A13">
      <w:pPr>
        <w:rPr>
          <w:rFonts w:ascii="Candara" w:hAnsi="Candara"/>
          <w:sz w:val="22"/>
          <w:szCs w:val="22"/>
        </w:rPr>
      </w:pPr>
      <w:r>
        <w:rPr>
          <w:rFonts w:ascii="Candara" w:hAnsi="Candara"/>
          <w:sz w:val="22"/>
          <w:szCs w:val="22"/>
        </w:rPr>
        <w:t xml:space="preserve"> </w:t>
      </w:r>
    </w:p>
    <w:p w14:paraId="49ABA6C6" w14:textId="77777777" w:rsidR="009866D6" w:rsidRDefault="009866D6" w:rsidP="00F77A13">
      <w:pPr>
        <w:rPr>
          <w:rFonts w:ascii="Candara" w:hAnsi="Candara"/>
          <w:sz w:val="22"/>
          <w:szCs w:val="22"/>
        </w:rPr>
      </w:pPr>
    </w:p>
    <w:p w14:paraId="5929D989" w14:textId="25C795A1" w:rsidR="009866D6" w:rsidRDefault="00A71B86" w:rsidP="00A71B86">
      <w:pPr>
        <w:spacing w:line="360" w:lineRule="auto"/>
        <w:rPr>
          <w:rFonts w:ascii="Candara" w:hAnsi="Candara"/>
        </w:rPr>
      </w:pPr>
      <w:r w:rsidRPr="000F2DEF">
        <w:rPr>
          <w:rFonts w:ascii="Candara" w:hAnsi="Candara"/>
          <w:b/>
        </w:rPr>
        <w:t>Word count</w:t>
      </w:r>
      <w:r w:rsidRPr="00A71B86">
        <w:rPr>
          <w:rFonts w:ascii="Candara" w:hAnsi="Candara"/>
        </w:rPr>
        <w:t xml:space="preserve">: </w:t>
      </w:r>
      <w:r w:rsidR="00AC39AE">
        <w:rPr>
          <w:rFonts w:ascii="Candara" w:hAnsi="Candara"/>
        </w:rPr>
        <w:t xml:space="preserve">Abstract </w:t>
      </w:r>
      <w:r w:rsidR="00642D21">
        <w:rPr>
          <w:rFonts w:ascii="Candara" w:hAnsi="Candara"/>
        </w:rPr>
        <w:t>202</w:t>
      </w:r>
      <w:r w:rsidR="00AC39AE">
        <w:rPr>
          <w:rFonts w:ascii="Candara" w:hAnsi="Candara"/>
        </w:rPr>
        <w:t xml:space="preserve">; Main text </w:t>
      </w:r>
      <w:r w:rsidR="006E352E">
        <w:rPr>
          <w:rFonts w:ascii="Candara" w:hAnsi="Candara"/>
        </w:rPr>
        <w:t>2,</w:t>
      </w:r>
      <w:r w:rsidR="006B1CC0">
        <w:rPr>
          <w:rFonts w:ascii="Candara" w:hAnsi="Candara"/>
        </w:rPr>
        <w:t>728</w:t>
      </w:r>
      <w:r w:rsidR="00AC39AE">
        <w:rPr>
          <w:rFonts w:ascii="Candara" w:hAnsi="Candara"/>
        </w:rPr>
        <w:t xml:space="preserve">; Reference </w:t>
      </w:r>
      <w:r w:rsidR="006E352E">
        <w:rPr>
          <w:rFonts w:ascii="Candara" w:hAnsi="Candara"/>
        </w:rPr>
        <w:t>43</w:t>
      </w:r>
      <w:r w:rsidR="00AC39AE">
        <w:rPr>
          <w:rFonts w:ascii="Candara" w:hAnsi="Candara"/>
        </w:rPr>
        <w:t xml:space="preserve">; Table </w:t>
      </w:r>
      <w:r w:rsidR="006E352E">
        <w:rPr>
          <w:rFonts w:ascii="Candara" w:hAnsi="Candara"/>
        </w:rPr>
        <w:t>2</w:t>
      </w:r>
      <w:r w:rsidR="00AC39AE">
        <w:rPr>
          <w:rFonts w:ascii="Candara" w:hAnsi="Candara"/>
        </w:rPr>
        <w:t xml:space="preserve">; Figures </w:t>
      </w:r>
      <w:r w:rsidR="006E352E">
        <w:rPr>
          <w:rFonts w:ascii="Candara" w:hAnsi="Candara"/>
        </w:rPr>
        <w:t>1</w:t>
      </w:r>
      <w:r w:rsidR="00AC39AE">
        <w:rPr>
          <w:rFonts w:ascii="Candara" w:hAnsi="Candara"/>
        </w:rPr>
        <w:t xml:space="preserve">; Online supplemental file </w:t>
      </w:r>
      <w:r w:rsidR="006E352E">
        <w:rPr>
          <w:rFonts w:ascii="Candara" w:hAnsi="Candara"/>
        </w:rPr>
        <w:t>0</w:t>
      </w:r>
    </w:p>
    <w:p w14:paraId="42E41248" w14:textId="454CEC92" w:rsidR="00AC39AE" w:rsidRDefault="00AC39AE" w:rsidP="00642D21">
      <w:pPr>
        <w:spacing w:line="360" w:lineRule="auto"/>
        <w:outlineLvl w:val="0"/>
        <w:rPr>
          <w:rFonts w:ascii="Candara" w:hAnsi="Candara"/>
        </w:rPr>
      </w:pPr>
      <w:r w:rsidRPr="00642D21">
        <w:rPr>
          <w:rFonts w:ascii="Candara" w:hAnsi="Candara"/>
          <w:b/>
        </w:rPr>
        <w:t>Key words</w:t>
      </w:r>
      <w:r>
        <w:rPr>
          <w:rFonts w:ascii="Candara" w:hAnsi="Candara"/>
        </w:rPr>
        <w:t xml:space="preserve">: </w:t>
      </w:r>
      <w:r w:rsidR="00642D21" w:rsidRPr="00D2210C">
        <w:rPr>
          <w:rFonts w:ascii="Candara" w:hAnsi="Candara"/>
          <w:sz w:val="22"/>
          <w:szCs w:val="22"/>
        </w:rPr>
        <w:t>Triglyceride glucose index;</w:t>
      </w:r>
      <w:r w:rsidR="00642D21" w:rsidRPr="00D2210C">
        <w:rPr>
          <w:rFonts w:ascii="Candara" w:hAnsi="Candara"/>
          <w:b/>
          <w:sz w:val="22"/>
          <w:szCs w:val="22"/>
        </w:rPr>
        <w:t xml:space="preserve"> </w:t>
      </w:r>
      <w:r w:rsidR="00642D21" w:rsidRPr="00D2210C">
        <w:rPr>
          <w:rFonts w:ascii="Candara" w:hAnsi="Candara"/>
          <w:sz w:val="22"/>
          <w:szCs w:val="22"/>
        </w:rPr>
        <w:t xml:space="preserve">Cardiovascular diseases; Mortality; Peritoneal dialysis; </w:t>
      </w:r>
      <w:r w:rsidR="00642D21">
        <w:rPr>
          <w:rFonts w:ascii="Candara" w:hAnsi="Candara"/>
          <w:sz w:val="22"/>
          <w:szCs w:val="22"/>
        </w:rPr>
        <w:t>Prognostic factor</w:t>
      </w:r>
    </w:p>
    <w:p w14:paraId="48A52954" w14:textId="37006095" w:rsidR="00AC39AE" w:rsidRPr="00A71B86" w:rsidRDefault="00AC39AE" w:rsidP="00A71B86">
      <w:pPr>
        <w:spacing w:line="360" w:lineRule="auto"/>
        <w:rPr>
          <w:rFonts w:ascii="Candara" w:hAnsi="Candara"/>
        </w:rPr>
      </w:pPr>
      <w:r w:rsidRPr="00642D21">
        <w:rPr>
          <w:rFonts w:ascii="Candara" w:hAnsi="Candara"/>
          <w:b/>
        </w:rPr>
        <w:t>Running head</w:t>
      </w:r>
      <w:r>
        <w:rPr>
          <w:rFonts w:ascii="Candara" w:hAnsi="Candara"/>
        </w:rPr>
        <w:t xml:space="preserve">: </w:t>
      </w:r>
      <w:r w:rsidR="00642D21" w:rsidRPr="00D2210C">
        <w:rPr>
          <w:rFonts w:ascii="Candara" w:hAnsi="Candara"/>
          <w:sz w:val="22"/>
          <w:szCs w:val="22"/>
        </w:rPr>
        <w:t>TyG predicting CVD death in PD</w:t>
      </w:r>
    </w:p>
    <w:p w14:paraId="358B5448" w14:textId="77777777" w:rsidR="009866D6" w:rsidRDefault="009866D6" w:rsidP="00F77A13">
      <w:pPr>
        <w:rPr>
          <w:rFonts w:ascii="Candara" w:hAnsi="Candara"/>
          <w:sz w:val="22"/>
          <w:szCs w:val="22"/>
        </w:rPr>
      </w:pPr>
    </w:p>
    <w:p w14:paraId="3D2D1D22" w14:textId="77777777" w:rsidR="009866D6" w:rsidRDefault="009866D6" w:rsidP="00F77A13">
      <w:pPr>
        <w:rPr>
          <w:rFonts w:ascii="Candara" w:hAnsi="Candara"/>
          <w:sz w:val="22"/>
          <w:szCs w:val="22"/>
        </w:rPr>
      </w:pPr>
    </w:p>
    <w:p w14:paraId="06C36611" w14:textId="77777777" w:rsidR="009866D6" w:rsidRDefault="009866D6" w:rsidP="00F77A13">
      <w:pPr>
        <w:rPr>
          <w:rFonts w:ascii="Candara" w:hAnsi="Candara"/>
          <w:sz w:val="22"/>
          <w:szCs w:val="22"/>
        </w:rPr>
      </w:pPr>
    </w:p>
    <w:p w14:paraId="112F3CF2" w14:textId="77777777" w:rsidR="009866D6" w:rsidRDefault="009866D6" w:rsidP="00F77A13">
      <w:pPr>
        <w:rPr>
          <w:rFonts w:ascii="Candara" w:hAnsi="Candara"/>
          <w:sz w:val="22"/>
          <w:szCs w:val="22"/>
        </w:rPr>
      </w:pPr>
    </w:p>
    <w:p w14:paraId="5C41CE2E" w14:textId="77777777" w:rsidR="009866D6" w:rsidRDefault="009866D6" w:rsidP="00F77A13">
      <w:pPr>
        <w:rPr>
          <w:rFonts w:ascii="Candara" w:hAnsi="Candara"/>
          <w:sz w:val="22"/>
          <w:szCs w:val="22"/>
        </w:rPr>
      </w:pPr>
    </w:p>
    <w:p w14:paraId="55EB32EC" w14:textId="77777777" w:rsidR="000A235C" w:rsidRDefault="000A235C" w:rsidP="00F77A13">
      <w:pPr>
        <w:rPr>
          <w:rFonts w:ascii="Candara" w:hAnsi="Candara"/>
          <w:sz w:val="22"/>
          <w:szCs w:val="22"/>
        </w:rPr>
      </w:pPr>
    </w:p>
    <w:p w14:paraId="638F9260" w14:textId="77777777" w:rsidR="009866D6" w:rsidRDefault="009866D6" w:rsidP="00F77A13">
      <w:pPr>
        <w:rPr>
          <w:rFonts w:ascii="Candara" w:hAnsi="Candara"/>
          <w:sz w:val="22"/>
          <w:szCs w:val="22"/>
        </w:rPr>
      </w:pPr>
    </w:p>
    <w:p w14:paraId="4BD99AB8" w14:textId="77777777" w:rsidR="00F44089" w:rsidRDefault="00F44089" w:rsidP="00F77A13">
      <w:pPr>
        <w:rPr>
          <w:rFonts w:ascii="Candara" w:hAnsi="Candara"/>
          <w:sz w:val="22"/>
          <w:szCs w:val="22"/>
        </w:rPr>
      </w:pPr>
    </w:p>
    <w:p w14:paraId="1E8B55BE" w14:textId="77777777" w:rsidR="00F44089" w:rsidRPr="00D2210C" w:rsidRDefault="00F44089" w:rsidP="00F77A13">
      <w:pPr>
        <w:rPr>
          <w:rFonts w:ascii="Candara" w:hAnsi="Candara"/>
          <w:sz w:val="22"/>
          <w:szCs w:val="22"/>
        </w:rPr>
      </w:pPr>
    </w:p>
    <w:p w14:paraId="7231732B" w14:textId="0E9A3346" w:rsidR="00CE04B5" w:rsidRPr="007E387A" w:rsidRDefault="00CE04B5" w:rsidP="00D50EDE">
      <w:pPr>
        <w:spacing w:line="360" w:lineRule="auto"/>
        <w:rPr>
          <w:rFonts w:ascii="Candara" w:hAnsi="Candara"/>
          <w:b/>
        </w:rPr>
      </w:pPr>
      <w:r w:rsidRPr="007E387A">
        <w:rPr>
          <w:rFonts w:ascii="Candara" w:hAnsi="Candara"/>
          <w:b/>
        </w:rPr>
        <w:t>ABSTRACT</w:t>
      </w:r>
    </w:p>
    <w:p w14:paraId="770AD8E2" w14:textId="2C2BEE75" w:rsidR="00454464" w:rsidRPr="000324B4" w:rsidRDefault="00160FFF" w:rsidP="00D50EDE">
      <w:pPr>
        <w:spacing w:line="360" w:lineRule="auto"/>
        <w:rPr>
          <w:rFonts w:ascii="Candara" w:hAnsi="Candara"/>
          <w:b/>
        </w:rPr>
      </w:pPr>
      <w:r>
        <w:rPr>
          <w:rFonts w:ascii="Candara" w:hAnsi="Candara"/>
          <w:b/>
        </w:rPr>
        <w:t>Background</w:t>
      </w:r>
    </w:p>
    <w:p w14:paraId="1A9C4C15" w14:textId="20F7A719" w:rsidR="007E387A" w:rsidRPr="000324B4" w:rsidRDefault="005D1D91" w:rsidP="00D50EDE">
      <w:pPr>
        <w:spacing w:line="360" w:lineRule="auto"/>
        <w:rPr>
          <w:rFonts w:ascii="Candara" w:hAnsi="Candara"/>
        </w:rPr>
      </w:pPr>
      <w:r w:rsidRPr="000324B4">
        <w:rPr>
          <w:rFonts w:ascii="Candara" w:hAnsi="Candara"/>
        </w:rPr>
        <w:t xml:space="preserve">Insulin resistance </w:t>
      </w:r>
      <w:r w:rsidR="00D84FD4">
        <w:rPr>
          <w:rFonts w:ascii="Candara" w:hAnsi="Candara"/>
        </w:rPr>
        <w:t xml:space="preserve">is increased among </w:t>
      </w:r>
      <w:r w:rsidR="00454464" w:rsidRPr="000324B4">
        <w:rPr>
          <w:rFonts w:ascii="Candara" w:hAnsi="Candara"/>
        </w:rPr>
        <w:t>people with end stage kidney diseases</w:t>
      </w:r>
      <w:r w:rsidR="008A4D29">
        <w:rPr>
          <w:rFonts w:ascii="Candara" w:hAnsi="Candara"/>
        </w:rPr>
        <w:t xml:space="preserve"> (ESRD)</w:t>
      </w:r>
      <w:r w:rsidR="00454464" w:rsidRPr="000324B4">
        <w:rPr>
          <w:rFonts w:ascii="Candara" w:hAnsi="Candara"/>
        </w:rPr>
        <w:t xml:space="preserve">. </w:t>
      </w:r>
      <w:r w:rsidRPr="000324B4">
        <w:rPr>
          <w:rFonts w:ascii="Candara" w:hAnsi="Candara"/>
        </w:rPr>
        <w:t xml:space="preserve"> </w:t>
      </w:r>
      <w:r w:rsidR="00D84FD4">
        <w:rPr>
          <w:rFonts w:ascii="Candara" w:hAnsi="Candara"/>
        </w:rPr>
        <w:t xml:space="preserve">The </w:t>
      </w:r>
      <w:r w:rsidR="00FF37EB" w:rsidRPr="000324B4">
        <w:rPr>
          <w:rFonts w:ascii="Candara" w:hAnsi="Candara"/>
        </w:rPr>
        <w:t>Triglyceride glucose (</w:t>
      </w:r>
      <w:r w:rsidR="00F96F41" w:rsidRPr="000324B4">
        <w:rPr>
          <w:rFonts w:ascii="Candara" w:hAnsi="Candara"/>
        </w:rPr>
        <w:t>TyG</w:t>
      </w:r>
      <w:r w:rsidR="00FF37EB" w:rsidRPr="000324B4">
        <w:rPr>
          <w:rFonts w:ascii="Candara" w:hAnsi="Candara"/>
        </w:rPr>
        <w:t>)</w:t>
      </w:r>
      <w:r w:rsidR="00F96F41" w:rsidRPr="000324B4">
        <w:rPr>
          <w:rFonts w:ascii="Candara" w:hAnsi="Candara"/>
        </w:rPr>
        <w:t xml:space="preserve"> </w:t>
      </w:r>
      <w:r w:rsidR="00DD20DD" w:rsidRPr="000324B4">
        <w:rPr>
          <w:rFonts w:ascii="Candara" w:hAnsi="Candara"/>
        </w:rPr>
        <w:t xml:space="preserve">index </w:t>
      </w:r>
      <w:r w:rsidR="00D84FD4">
        <w:rPr>
          <w:rFonts w:ascii="Candara" w:hAnsi="Candara"/>
        </w:rPr>
        <w:t>i</w:t>
      </w:r>
      <w:r w:rsidR="00F96F41" w:rsidRPr="000324B4">
        <w:rPr>
          <w:rFonts w:ascii="Candara" w:hAnsi="Candara"/>
        </w:rPr>
        <w:t xml:space="preserve">s a marker </w:t>
      </w:r>
      <w:r w:rsidR="00D84FD4">
        <w:rPr>
          <w:rFonts w:ascii="Candara" w:hAnsi="Candara"/>
        </w:rPr>
        <w:t>of</w:t>
      </w:r>
      <w:r w:rsidR="00F96F41" w:rsidRPr="000324B4">
        <w:rPr>
          <w:rFonts w:ascii="Candara" w:hAnsi="Candara"/>
        </w:rPr>
        <w:t xml:space="preserve"> </w:t>
      </w:r>
      <w:r w:rsidR="00767D2D" w:rsidRPr="000324B4">
        <w:rPr>
          <w:rFonts w:ascii="Candara" w:hAnsi="Candara"/>
        </w:rPr>
        <w:t xml:space="preserve">insulin resistance </w:t>
      </w:r>
      <w:r w:rsidR="00D84FD4">
        <w:rPr>
          <w:rFonts w:ascii="Candara" w:hAnsi="Candara"/>
        </w:rPr>
        <w:t xml:space="preserve">and </w:t>
      </w:r>
      <w:r w:rsidR="00767D2D" w:rsidRPr="000324B4">
        <w:rPr>
          <w:rFonts w:ascii="Candara" w:hAnsi="Candara"/>
        </w:rPr>
        <w:t xml:space="preserve">is also </w:t>
      </w:r>
      <w:r w:rsidR="00D84FD4">
        <w:rPr>
          <w:rFonts w:ascii="Candara" w:hAnsi="Candara"/>
        </w:rPr>
        <w:t xml:space="preserve">associated with </w:t>
      </w:r>
      <w:r w:rsidR="00767D2D" w:rsidRPr="000324B4">
        <w:rPr>
          <w:rFonts w:ascii="Candara" w:hAnsi="Candara"/>
        </w:rPr>
        <w:t xml:space="preserve">the </w:t>
      </w:r>
      <w:r w:rsidR="00D84FD4">
        <w:rPr>
          <w:rFonts w:ascii="Candara" w:hAnsi="Candara"/>
        </w:rPr>
        <w:t xml:space="preserve">prognosis of </w:t>
      </w:r>
      <w:r w:rsidR="007E387A" w:rsidRPr="000324B4">
        <w:rPr>
          <w:rFonts w:ascii="Candara" w:hAnsi="Candara"/>
        </w:rPr>
        <w:t xml:space="preserve">cardiovascular </w:t>
      </w:r>
      <w:r w:rsidR="00D84FD4">
        <w:rPr>
          <w:rFonts w:ascii="Candara" w:hAnsi="Candara"/>
        </w:rPr>
        <w:t xml:space="preserve">disease </w:t>
      </w:r>
      <w:r w:rsidR="007E387A" w:rsidRPr="000324B4">
        <w:rPr>
          <w:rFonts w:ascii="Candara" w:hAnsi="Candara"/>
        </w:rPr>
        <w:t>among patients initia</w:t>
      </w:r>
      <w:r w:rsidR="00D84FD4">
        <w:rPr>
          <w:rFonts w:ascii="Candara" w:hAnsi="Candara"/>
        </w:rPr>
        <w:t>t</w:t>
      </w:r>
      <w:r w:rsidR="007E387A" w:rsidRPr="000324B4">
        <w:rPr>
          <w:rFonts w:ascii="Candara" w:hAnsi="Candara"/>
        </w:rPr>
        <w:t>ing peritoneal dialysis.</w:t>
      </w:r>
      <w:r w:rsidR="00160FFF">
        <w:rPr>
          <w:rFonts w:ascii="Candara" w:hAnsi="Candara"/>
        </w:rPr>
        <w:t xml:space="preserve"> </w:t>
      </w:r>
      <w:r w:rsidR="009866D6">
        <w:rPr>
          <w:rFonts w:ascii="Candara" w:hAnsi="Candara"/>
        </w:rPr>
        <w:t>We aimed to</w:t>
      </w:r>
      <w:r w:rsidR="00DD20DD" w:rsidRPr="000324B4">
        <w:rPr>
          <w:rFonts w:ascii="Candara" w:hAnsi="Candara"/>
        </w:rPr>
        <w:t xml:space="preserve"> examine associations between TyG index</w:t>
      </w:r>
      <w:r w:rsidR="00EF5A43" w:rsidRPr="000324B4">
        <w:rPr>
          <w:rFonts w:ascii="Candara" w:hAnsi="Candara"/>
        </w:rPr>
        <w:t xml:space="preserve"> and cardiovascular death</w:t>
      </w:r>
      <w:r w:rsidR="00383253" w:rsidRPr="000324B4">
        <w:rPr>
          <w:rFonts w:ascii="Candara" w:hAnsi="Candara"/>
        </w:rPr>
        <w:t>s</w:t>
      </w:r>
      <w:r w:rsidR="00EF5A43" w:rsidRPr="000324B4">
        <w:rPr>
          <w:rFonts w:ascii="Candara" w:hAnsi="Candara"/>
        </w:rPr>
        <w:t xml:space="preserve"> in patients initia</w:t>
      </w:r>
      <w:r w:rsidR="00D84FD4">
        <w:rPr>
          <w:rFonts w:ascii="Candara" w:hAnsi="Candara"/>
        </w:rPr>
        <w:t>t</w:t>
      </w:r>
      <w:r w:rsidR="00EF5A43" w:rsidRPr="000324B4">
        <w:rPr>
          <w:rFonts w:ascii="Candara" w:hAnsi="Candara"/>
        </w:rPr>
        <w:t>ing peritoneal dialysis.</w:t>
      </w:r>
    </w:p>
    <w:p w14:paraId="60828D5F" w14:textId="4A0EA538" w:rsidR="00A95DA6" w:rsidRPr="000324B4" w:rsidRDefault="00160FFF" w:rsidP="00D50EDE">
      <w:pPr>
        <w:spacing w:line="360" w:lineRule="auto"/>
        <w:rPr>
          <w:rFonts w:ascii="Candara" w:hAnsi="Candara"/>
          <w:b/>
        </w:rPr>
      </w:pPr>
      <w:r>
        <w:rPr>
          <w:rFonts w:ascii="Candara" w:hAnsi="Candara"/>
          <w:b/>
        </w:rPr>
        <w:t>Methods</w:t>
      </w:r>
      <w:r w:rsidR="00AF0065">
        <w:rPr>
          <w:rFonts w:ascii="Candara" w:hAnsi="Candara"/>
          <w:b/>
        </w:rPr>
        <w:t xml:space="preserve"> and results</w:t>
      </w:r>
    </w:p>
    <w:p w14:paraId="6468B83D" w14:textId="382FFD10" w:rsidR="00990C4D" w:rsidRDefault="007B6A28" w:rsidP="00D50EDE">
      <w:pPr>
        <w:spacing w:line="360" w:lineRule="auto"/>
        <w:rPr>
          <w:rFonts w:ascii="Candara" w:hAnsi="Candara"/>
        </w:rPr>
      </w:pPr>
      <w:r w:rsidRPr="000324B4">
        <w:rPr>
          <w:rFonts w:ascii="Candara" w:hAnsi="Candara"/>
        </w:rPr>
        <w:t xml:space="preserve">3,054 patients </w:t>
      </w:r>
      <w:r>
        <w:rPr>
          <w:rFonts w:ascii="Candara" w:hAnsi="Candara"/>
        </w:rPr>
        <w:t>initiating</w:t>
      </w:r>
      <w:r w:rsidRPr="000324B4">
        <w:rPr>
          <w:rFonts w:ascii="Candara" w:hAnsi="Candara"/>
        </w:rPr>
        <w:t xml:space="preserve"> peritoneal dialysis between 2007 and 2014 were included </w:t>
      </w:r>
      <w:r>
        <w:rPr>
          <w:rFonts w:ascii="Candara" w:hAnsi="Candara"/>
        </w:rPr>
        <w:t>i</w:t>
      </w:r>
      <w:r w:rsidR="00BD7E05" w:rsidRPr="000324B4">
        <w:rPr>
          <w:rFonts w:ascii="Candara" w:hAnsi="Candara"/>
        </w:rPr>
        <w:t>n a prospective cohort</w:t>
      </w:r>
      <w:r w:rsidR="00D82199">
        <w:rPr>
          <w:rFonts w:ascii="Candara" w:hAnsi="Candara"/>
        </w:rPr>
        <w:t xml:space="preserve"> derived from </w:t>
      </w:r>
      <w:r w:rsidR="00D82199" w:rsidRPr="000324B4">
        <w:rPr>
          <w:rFonts w:ascii="Candara" w:hAnsi="Candara"/>
        </w:rPr>
        <w:t>Henan Peritoneal Dialysis Registry</w:t>
      </w:r>
      <w:r w:rsidR="00BD7E05" w:rsidRPr="000324B4">
        <w:rPr>
          <w:rFonts w:ascii="Candara" w:hAnsi="Candara"/>
        </w:rPr>
        <w:t xml:space="preserve">, </w:t>
      </w:r>
      <w:r w:rsidR="005D0E77" w:rsidRPr="000324B4">
        <w:rPr>
          <w:rFonts w:ascii="Candara" w:hAnsi="Candara"/>
        </w:rPr>
        <w:t xml:space="preserve">TyG index alongside other baseline characteristics were measured </w:t>
      </w:r>
      <w:r w:rsidR="00DD46B9" w:rsidRPr="000324B4">
        <w:rPr>
          <w:rFonts w:ascii="Candara" w:hAnsi="Candara"/>
        </w:rPr>
        <w:t xml:space="preserve">when </w:t>
      </w:r>
      <w:r w:rsidR="008A4D29">
        <w:rPr>
          <w:rFonts w:ascii="Candara" w:hAnsi="Candara"/>
        </w:rPr>
        <w:t xml:space="preserve">ESRD </w:t>
      </w:r>
      <w:r w:rsidR="00DD46B9" w:rsidRPr="000324B4">
        <w:rPr>
          <w:rFonts w:ascii="Candara" w:hAnsi="Candara"/>
        </w:rPr>
        <w:t xml:space="preserve">patients </w:t>
      </w:r>
      <w:r w:rsidR="00D84FD4">
        <w:rPr>
          <w:rFonts w:ascii="Candara" w:hAnsi="Candara"/>
        </w:rPr>
        <w:t>initiated</w:t>
      </w:r>
      <w:r w:rsidR="00DD46B9" w:rsidRPr="000324B4">
        <w:rPr>
          <w:rFonts w:ascii="Candara" w:hAnsi="Candara"/>
        </w:rPr>
        <w:t xml:space="preserve"> peritoneal dialysis. Logistic regression adjusting for </w:t>
      </w:r>
      <w:r w:rsidR="00824587" w:rsidRPr="000324B4">
        <w:rPr>
          <w:rFonts w:ascii="Candara" w:hAnsi="Candara"/>
        </w:rPr>
        <w:t xml:space="preserve">age, gender and major cardiovascular risk factors estimated the association </w:t>
      </w:r>
      <w:r w:rsidR="00E5613B" w:rsidRPr="000324B4">
        <w:rPr>
          <w:rFonts w:ascii="Candara" w:hAnsi="Candara"/>
        </w:rPr>
        <w:t>between</w:t>
      </w:r>
      <w:r w:rsidR="00824587" w:rsidRPr="000324B4">
        <w:rPr>
          <w:rFonts w:ascii="Candara" w:hAnsi="Candara"/>
        </w:rPr>
        <w:t xml:space="preserve"> </w:t>
      </w:r>
      <w:r w:rsidR="00E5613B" w:rsidRPr="000324B4">
        <w:rPr>
          <w:rFonts w:ascii="Candara" w:hAnsi="Candara"/>
        </w:rPr>
        <w:t>TyG index with subsequent cardiovascular mortality</w:t>
      </w:r>
      <w:r>
        <w:rPr>
          <w:rFonts w:ascii="Candara" w:hAnsi="Candara"/>
        </w:rPr>
        <w:t xml:space="preserve"> </w:t>
      </w:r>
      <w:r w:rsidRPr="000324B4">
        <w:rPr>
          <w:rFonts w:ascii="Candara" w:hAnsi="Candara"/>
        </w:rPr>
        <w:t xml:space="preserve">within 2 years since the </w:t>
      </w:r>
      <w:r>
        <w:rPr>
          <w:rFonts w:ascii="Candara" w:hAnsi="Candara"/>
        </w:rPr>
        <w:t>initiation</w:t>
      </w:r>
      <w:r w:rsidRPr="000324B4">
        <w:rPr>
          <w:rFonts w:ascii="Candara" w:hAnsi="Candara"/>
        </w:rPr>
        <w:t xml:space="preserve"> of peritoneal dialysi</w:t>
      </w:r>
      <w:r>
        <w:rPr>
          <w:rFonts w:ascii="Candara" w:hAnsi="Candara"/>
        </w:rPr>
        <w:t>s</w:t>
      </w:r>
      <w:r w:rsidR="00E5613B" w:rsidRPr="000324B4">
        <w:rPr>
          <w:rFonts w:ascii="Candara" w:hAnsi="Candara"/>
        </w:rPr>
        <w:t>.</w:t>
      </w:r>
      <w:r w:rsidR="00160FFF">
        <w:rPr>
          <w:rFonts w:ascii="Candara" w:hAnsi="Candara"/>
        </w:rPr>
        <w:t xml:space="preserve"> </w:t>
      </w:r>
    </w:p>
    <w:p w14:paraId="331C771B" w14:textId="66120705" w:rsidR="00642D21" w:rsidRPr="00642D21" w:rsidRDefault="00642D21" w:rsidP="00D50EDE">
      <w:pPr>
        <w:spacing w:line="360" w:lineRule="auto"/>
        <w:rPr>
          <w:rFonts w:ascii="Candara" w:hAnsi="Candara"/>
          <w:b/>
        </w:rPr>
      </w:pPr>
      <w:r w:rsidRPr="00642D21">
        <w:rPr>
          <w:rFonts w:ascii="Candara" w:hAnsi="Candara"/>
          <w:b/>
        </w:rPr>
        <w:t>Results</w:t>
      </w:r>
    </w:p>
    <w:p w14:paraId="13CC845C" w14:textId="00D309D9" w:rsidR="009A64AE" w:rsidRPr="000324B4" w:rsidRDefault="00780334" w:rsidP="00D50EDE">
      <w:pPr>
        <w:spacing w:line="360" w:lineRule="auto"/>
        <w:rPr>
          <w:rFonts w:ascii="Candara" w:hAnsi="Candara"/>
        </w:rPr>
      </w:pPr>
      <w:r w:rsidRPr="000324B4">
        <w:rPr>
          <w:rFonts w:ascii="Candara" w:hAnsi="Candara"/>
        </w:rPr>
        <w:t xml:space="preserve">TyG index was positively associated with cardiovascular mortality: adjusted incidence rates ratio (95% CI) comparing the highest vs lowest TyG index quartile was </w:t>
      </w:r>
      <w:r w:rsidR="00C56463" w:rsidRPr="000324B4">
        <w:rPr>
          <w:rFonts w:ascii="Candara" w:hAnsi="Candara"/>
        </w:rPr>
        <w:t xml:space="preserve">2.32 (2.12 to 2.55) in all, 2.22 (2.01 to 2.46) in those with </w:t>
      </w:r>
      <w:r w:rsidR="00DC2604" w:rsidRPr="000324B4">
        <w:rPr>
          <w:rFonts w:ascii="Candara" w:hAnsi="Candara"/>
        </w:rPr>
        <w:t>body mass index (</w:t>
      </w:r>
      <w:r w:rsidR="00C56463" w:rsidRPr="000324B4">
        <w:rPr>
          <w:rFonts w:ascii="Candara" w:hAnsi="Candara"/>
        </w:rPr>
        <w:t>BMI</w:t>
      </w:r>
      <w:r w:rsidR="00DC2604" w:rsidRPr="000324B4">
        <w:rPr>
          <w:rFonts w:ascii="Candara" w:hAnsi="Candara"/>
        </w:rPr>
        <w:t>) &lt;2</w:t>
      </w:r>
      <w:r w:rsidR="00C56463" w:rsidRPr="000324B4">
        <w:rPr>
          <w:rFonts w:ascii="Candara" w:hAnsi="Candara"/>
        </w:rPr>
        <w:t>5kg/m</w:t>
      </w:r>
      <w:r w:rsidR="00C56463" w:rsidRPr="000B72EB">
        <w:rPr>
          <w:rFonts w:ascii="Candara" w:hAnsi="Candara"/>
          <w:vertAlign w:val="superscript"/>
        </w:rPr>
        <w:t>2</w:t>
      </w:r>
      <w:r w:rsidR="00C56463" w:rsidRPr="000324B4">
        <w:rPr>
          <w:rFonts w:ascii="Candara" w:hAnsi="Candara"/>
        </w:rPr>
        <w:t xml:space="preserve"> and 2.82</w:t>
      </w:r>
      <w:r w:rsidR="00DC2604" w:rsidRPr="000324B4">
        <w:rPr>
          <w:rFonts w:ascii="Candara" w:hAnsi="Candara"/>
        </w:rPr>
        <w:t xml:space="preserve"> (2.24 to 3.54) in those with BMI≥25kg/m</w:t>
      </w:r>
      <w:r w:rsidR="00DC2604" w:rsidRPr="000B72EB">
        <w:rPr>
          <w:rFonts w:ascii="Candara" w:hAnsi="Candara"/>
          <w:vertAlign w:val="superscript"/>
        </w:rPr>
        <w:t>2</w:t>
      </w:r>
      <w:r w:rsidR="00DC2604" w:rsidRPr="000324B4">
        <w:rPr>
          <w:rFonts w:ascii="Candara" w:hAnsi="Candara"/>
        </w:rPr>
        <w:t xml:space="preserve">, respectively. </w:t>
      </w:r>
      <w:r w:rsidR="00537A0B" w:rsidRPr="000324B4">
        <w:rPr>
          <w:rFonts w:ascii="Candara" w:hAnsi="Candara"/>
        </w:rPr>
        <w:t>Linear dose-response relationships were revealed in all and by BMI.</w:t>
      </w:r>
    </w:p>
    <w:p w14:paraId="43B54D92" w14:textId="5CA43E34" w:rsidR="00990C4D" w:rsidRPr="000324B4" w:rsidRDefault="001B7421" w:rsidP="00D50EDE">
      <w:pPr>
        <w:spacing w:line="360" w:lineRule="auto"/>
        <w:rPr>
          <w:rFonts w:ascii="Candara" w:hAnsi="Candara"/>
          <w:b/>
        </w:rPr>
      </w:pPr>
      <w:r>
        <w:rPr>
          <w:rFonts w:ascii="Candara" w:hAnsi="Candara"/>
          <w:b/>
        </w:rPr>
        <w:t>Conclusion</w:t>
      </w:r>
      <w:r w:rsidR="00642D21">
        <w:rPr>
          <w:rFonts w:ascii="Candara" w:hAnsi="Candara"/>
          <w:b/>
        </w:rPr>
        <w:t>s</w:t>
      </w:r>
    </w:p>
    <w:p w14:paraId="3FD2B235" w14:textId="4C5A5333" w:rsidR="00727758" w:rsidRDefault="007B7115" w:rsidP="00D50EDE">
      <w:pPr>
        <w:spacing w:line="360" w:lineRule="auto"/>
        <w:rPr>
          <w:rFonts w:ascii="Candara" w:hAnsi="Candara"/>
        </w:rPr>
      </w:pPr>
      <w:r w:rsidRPr="000324B4">
        <w:rPr>
          <w:rFonts w:ascii="Candara" w:hAnsi="Candara"/>
        </w:rPr>
        <w:t xml:space="preserve">TyG index might be a prognostic factor in predicting cardiovascular mortality among patients </w:t>
      </w:r>
      <w:r w:rsidR="00D84FD4">
        <w:rPr>
          <w:rFonts w:ascii="Candara" w:hAnsi="Candara"/>
        </w:rPr>
        <w:t>initiating</w:t>
      </w:r>
      <w:r w:rsidR="006F59D5" w:rsidRPr="000324B4">
        <w:rPr>
          <w:rFonts w:ascii="Candara" w:hAnsi="Candara"/>
        </w:rPr>
        <w:t xml:space="preserve"> peritoneal dialysis.</w:t>
      </w:r>
    </w:p>
    <w:p w14:paraId="714A5C58" w14:textId="77777777" w:rsidR="00D50EDE" w:rsidRPr="000324B4" w:rsidRDefault="00D50EDE" w:rsidP="00D50EDE">
      <w:pPr>
        <w:spacing w:line="360" w:lineRule="auto"/>
        <w:rPr>
          <w:rFonts w:ascii="Candara" w:hAnsi="Candara"/>
        </w:rPr>
      </w:pPr>
    </w:p>
    <w:p w14:paraId="3775BD78" w14:textId="46E8697F" w:rsidR="00F44089" w:rsidRPr="00D2210C" w:rsidRDefault="00642D21" w:rsidP="00D50EDE">
      <w:pPr>
        <w:spacing w:line="360" w:lineRule="auto"/>
        <w:outlineLvl w:val="0"/>
        <w:rPr>
          <w:rFonts w:ascii="Candara" w:hAnsi="Candara"/>
          <w:sz w:val="22"/>
          <w:szCs w:val="22"/>
        </w:rPr>
      </w:pPr>
      <w:r>
        <w:rPr>
          <w:rFonts w:ascii="Candara" w:hAnsi="Candara"/>
          <w:b/>
          <w:sz w:val="22"/>
          <w:szCs w:val="22"/>
        </w:rPr>
        <w:t xml:space="preserve"> </w:t>
      </w:r>
    </w:p>
    <w:p w14:paraId="36E05BCD" w14:textId="77777777" w:rsidR="000324B4" w:rsidRDefault="000324B4" w:rsidP="00F77A13">
      <w:pPr>
        <w:spacing w:line="480" w:lineRule="auto"/>
        <w:rPr>
          <w:rFonts w:ascii="Candara" w:hAnsi="Candara"/>
          <w:b/>
        </w:rPr>
      </w:pPr>
    </w:p>
    <w:p w14:paraId="0A7628F1" w14:textId="77777777" w:rsidR="006E352E" w:rsidRDefault="006E352E" w:rsidP="00F77A13">
      <w:pPr>
        <w:spacing w:line="480" w:lineRule="auto"/>
        <w:rPr>
          <w:rFonts w:ascii="Candara" w:hAnsi="Candara"/>
          <w:b/>
        </w:rPr>
      </w:pPr>
    </w:p>
    <w:p w14:paraId="720D5EDE" w14:textId="77777777" w:rsidR="006E352E" w:rsidRDefault="006E352E" w:rsidP="00F77A13">
      <w:pPr>
        <w:spacing w:line="480" w:lineRule="auto"/>
        <w:rPr>
          <w:rFonts w:ascii="Candara" w:hAnsi="Candara"/>
          <w:b/>
        </w:rPr>
      </w:pPr>
    </w:p>
    <w:p w14:paraId="05FD6922" w14:textId="77777777" w:rsidR="006E352E" w:rsidRDefault="006E352E" w:rsidP="00F77A13">
      <w:pPr>
        <w:spacing w:line="480" w:lineRule="auto"/>
        <w:rPr>
          <w:rFonts w:ascii="Candara" w:hAnsi="Candara"/>
          <w:b/>
        </w:rPr>
      </w:pPr>
    </w:p>
    <w:p w14:paraId="65B6E1D7" w14:textId="77777777" w:rsidR="006E352E" w:rsidRDefault="006E352E" w:rsidP="00F77A13">
      <w:pPr>
        <w:spacing w:line="480" w:lineRule="auto"/>
        <w:rPr>
          <w:rFonts w:ascii="Candara" w:hAnsi="Candara"/>
          <w:b/>
        </w:rPr>
      </w:pPr>
    </w:p>
    <w:p w14:paraId="4BB323FF" w14:textId="7BFB6B9F" w:rsidR="00D54633" w:rsidRPr="00996B26" w:rsidRDefault="00D2210C" w:rsidP="00D2210C">
      <w:pPr>
        <w:spacing w:line="480" w:lineRule="auto"/>
        <w:rPr>
          <w:rFonts w:ascii="Candara" w:hAnsi="Candara"/>
          <w:b/>
        </w:rPr>
      </w:pPr>
      <w:r>
        <w:rPr>
          <w:rFonts w:ascii="Candara" w:hAnsi="Candara"/>
          <w:b/>
        </w:rPr>
        <w:t>INTRODUCTION</w:t>
      </w:r>
    </w:p>
    <w:p w14:paraId="6E3686C1" w14:textId="72E0F905" w:rsidR="000B72EB" w:rsidRDefault="004C2E8D" w:rsidP="00D2210C">
      <w:pPr>
        <w:autoSpaceDE w:val="0"/>
        <w:autoSpaceDN w:val="0"/>
        <w:adjustRightInd w:val="0"/>
        <w:spacing w:line="480" w:lineRule="auto"/>
        <w:rPr>
          <w:rFonts w:ascii="Candara" w:hAnsi="Candara"/>
          <w:lang w:val="en-US"/>
        </w:rPr>
      </w:pPr>
      <w:r w:rsidRPr="00C5349C">
        <w:rPr>
          <w:rFonts w:ascii="Candara" w:hAnsi="Candara"/>
          <w:lang w:val="en-US"/>
        </w:rPr>
        <w:t>Chronic kidney disease (CKD) has be</w:t>
      </w:r>
      <w:r w:rsidR="000B72EB">
        <w:rPr>
          <w:rFonts w:ascii="Candara" w:hAnsi="Candara"/>
          <w:lang w:val="en-US"/>
        </w:rPr>
        <w:t>come a worldwide heath problem (1)</w:t>
      </w:r>
      <w:r w:rsidRPr="00C5349C">
        <w:rPr>
          <w:rFonts w:ascii="Candara" w:hAnsi="Candara"/>
          <w:lang w:val="en-US"/>
        </w:rPr>
        <w:t>. In particular,</w:t>
      </w:r>
      <w:r w:rsidR="00D65003">
        <w:rPr>
          <w:rFonts w:ascii="Candara" w:hAnsi="Candara"/>
          <w:lang w:val="en-US"/>
        </w:rPr>
        <w:t xml:space="preserve"> </w:t>
      </w:r>
      <w:r w:rsidRPr="00C5349C">
        <w:rPr>
          <w:rFonts w:ascii="Candara" w:hAnsi="Candara"/>
          <w:lang w:val="en-US"/>
        </w:rPr>
        <w:t>end-stage renal disease (ESRD) triggers premature mortality and is a substantial health</w:t>
      </w:r>
      <w:r w:rsidR="00D65003">
        <w:rPr>
          <w:rFonts w:ascii="Candara" w:hAnsi="Candara"/>
          <w:lang w:val="en-US"/>
        </w:rPr>
        <w:t xml:space="preserve"> </w:t>
      </w:r>
      <w:r w:rsidR="005D3066">
        <w:rPr>
          <w:rFonts w:ascii="Candara" w:hAnsi="Candara"/>
          <w:lang w:val="en-US"/>
        </w:rPr>
        <w:t xml:space="preserve">economic burden </w:t>
      </w:r>
      <w:r w:rsidR="005D3066">
        <w:rPr>
          <w:rFonts w:ascii="Candara" w:hAnsi="Candara"/>
          <w:lang w:val="en-US"/>
        </w:rPr>
        <w:fldChar w:fldCharType="begin"/>
      </w:r>
      <w:r w:rsidR="000337C7">
        <w:rPr>
          <w:rFonts w:ascii="Candara" w:hAnsi="Candara"/>
          <w:lang w:val="en-US"/>
        </w:rPr>
        <w:instrText>ADDIN RW.CITE{{2619 Ojo,A. 2014}}</w:instrText>
      </w:r>
      <w:r w:rsidR="005D3066">
        <w:rPr>
          <w:rFonts w:ascii="Candara" w:hAnsi="Candara"/>
          <w:lang w:val="en-US"/>
        </w:rPr>
        <w:fldChar w:fldCharType="separate"/>
      </w:r>
      <w:r w:rsidR="00642D21" w:rsidRPr="00642D21">
        <w:rPr>
          <w:rFonts w:ascii="Candara" w:hAnsi="Candara"/>
          <w:lang w:val="en-US"/>
        </w:rPr>
        <w:t>(1)</w:t>
      </w:r>
      <w:r w:rsidR="005D3066">
        <w:rPr>
          <w:rFonts w:ascii="Candara" w:hAnsi="Candara"/>
          <w:lang w:val="en-US"/>
        </w:rPr>
        <w:fldChar w:fldCharType="end"/>
      </w:r>
      <w:r w:rsidRPr="00C5349C">
        <w:rPr>
          <w:rFonts w:ascii="Candara" w:hAnsi="Candara"/>
          <w:lang w:val="en-US"/>
        </w:rPr>
        <w:t xml:space="preserve">. It has been estimated that more than 10.8% of Chinese adults (around 130 million) have CKD with dialysis needed at some point in their lives </w:t>
      </w:r>
      <w:r w:rsidR="006D0F09">
        <w:rPr>
          <w:rFonts w:ascii="Candara" w:hAnsi="Candara"/>
          <w:lang w:val="en-US"/>
        </w:rPr>
        <w:fldChar w:fldCharType="begin"/>
      </w:r>
      <w:r w:rsidR="000337C7">
        <w:rPr>
          <w:rFonts w:ascii="Candara" w:hAnsi="Candara"/>
          <w:lang w:val="en-US"/>
        </w:rPr>
        <w:instrText>ADDIN RW.CITE{{2620 Li,P.K. 2017}}</w:instrText>
      </w:r>
      <w:r w:rsidR="006D0F09">
        <w:rPr>
          <w:rFonts w:ascii="Candara" w:hAnsi="Candara"/>
          <w:lang w:val="en-US"/>
        </w:rPr>
        <w:fldChar w:fldCharType="separate"/>
      </w:r>
      <w:r w:rsidR="00642D21" w:rsidRPr="00642D21">
        <w:rPr>
          <w:rFonts w:ascii="Candara" w:hAnsi="Candara"/>
          <w:lang w:val="en-US"/>
        </w:rPr>
        <w:t>(2)</w:t>
      </w:r>
      <w:r w:rsidR="006D0F09">
        <w:rPr>
          <w:rFonts w:ascii="Candara" w:hAnsi="Candara"/>
          <w:lang w:val="en-US"/>
        </w:rPr>
        <w:fldChar w:fldCharType="end"/>
      </w:r>
      <w:r w:rsidRPr="00C5349C">
        <w:rPr>
          <w:rFonts w:ascii="Candara" w:hAnsi="Candara"/>
          <w:lang w:val="en-US"/>
        </w:rPr>
        <w:t xml:space="preserve">. </w:t>
      </w:r>
      <w:r w:rsidR="001D1B7E" w:rsidRPr="00C5349C">
        <w:rPr>
          <w:rFonts w:ascii="Candara" w:hAnsi="Candara"/>
          <w:lang w:val="en-US"/>
        </w:rPr>
        <w:t>The Chinese</w:t>
      </w:r>
      <w:r w:rsidRPr="00C5349C">
        <w:rPr>
          <w:rFonts w:ascii="Candara" w:hAnsi="Candara"/>
          <w:lang w:val="en-US"/>
        </w:rPr>
        <w:t xml:space="preserve"> medical insurance scheme has now increased its coverage, making dialysis, especially peritoneal dialysis (PD), more affordable among Chinese patients with ESRD </w:t>
      </w:r>
      <w:r w:rsidR="00A15418">
        <w:rPr>
          <w:rFonts w:ascii="Candara" w:hAnsi="Candara"/>
          <w:lang w:val="en-US"/>
        </w:rPr>
        <w:fldChar w:fldCharType="begin"/>
      </w:r>
      <w:r w:rsidR="000337C7">
        <w:rPr>
          <w:rFonts w:ascii="Candara" w:hAnsi="Candara"/>
          <w:lang w:val="en-US"/>
        </w:rPr>
        <w:instrText>ADDIN RW.CITE{{2621 Zhang,X. 2018}}</w:instrText>
      </w:r>
      <w:r w:rsidR="00A15418">
        <w:rPr>
          <w:rFonts w:ascii="Candara" w:hAnsi="Candara"/>
          <w:lang w:val="en-US"/>
        </w:rPr>
        <w:fldChar w:fldCharType="separate"/>
      </w:r>
      <w:r w:rsidR="00642D21" w:rsidRPr="00642D21">
        <w:rPr>
          <w:rFonts w:ascii="Candara" w:hAnsi="Candara"/>
          <w:lang w:val="en-US"/>
        </w:rPr>
        <w:t>(3)</w:t>
      </w:r>
      <w:r w:rsidR="00A15418">
        <w:rPr>
          <w:rFonts w:ascii="Candara" w:hAnsi="Candara"/>
          <w:lang w:val="en-US"/>
        </w:rPr>
        <w:fldChar w:fldCharType="end"/>
      </w:r>
      <w:r w:rsidRPr="00C5349C">
        <w:rPr>
          <w:rFonts w:ascii="Candara" w:hAnsi="Candara"/>
          <w:lang w:val="en-US"/>
        </w:rPr>
        <w:t xml:space="preserve">. </w:t>
      </w:r>
    </w:p>
    <w:p w14:paraId="7F01391E" w14:textId="77777777" w:rsidR="000B72EB" w:rsidRDefault="000B72EB" w:rsidP="00D2210C">
      <w:pPr>
        <w:autoSpaceDE w:val="0"/>
        <w:autoSpaceDN w:val="0"/>
        <w:adjustRightInd w:val="0"/>
        <w:spacing w:line="480" w:lineRule="auto"/>
        <w:rPr>
          <w:rFonts w:ascii="Candara" w:hAnsi="Candara"/>
          <w:lang w:val="en-US"/>
        </w:rPr>
      </w:pPr>
    </w:p>
    <w:p w14:paraId="67DD5CD2" w14:textId="6EE37786" w:rsidR="004C2E8D" w:rsidRPr="000B72EB" w:rsidRDefault="000B72EB" w:rsidP="000B72EB">
      <w:pPr>
        <w:autoSpaceDE w:val="0"/>
        <w:autoSpaceDN w:val="0"/>
        <w:adjustRightInd w:val="0"/>
        <w:spacing w:line="480" w:lineRule="auto"/>
        <w:rPr>
          <w:rFonts w:ascii="Candara" w:hAnsi="Candara"/>
          <w:lang w:val="en-US"/>
        </w:rPr>
      </w:pPr>
      <w:r w:rsidRPr="00C5349C">
        <w:rPr>
          <w:rFonts w:ascii="Candara" w:hAnsi="Candara" w:cs="Arial"/>
          <w:color w:val="000000"/>
          <w:shd w:val="clear" w:color="auto" w:fill="FFFFFF"/>
        </w:rPr>
        <w:t>Cardiovascular disease (CVD) is the main cause of death in peritoneal dialysis (PD) patients</w:t>
      </w:r>
      <w:r w:rsidR="004C2E8D" w:rsidRPr="00C5349C">
        <w:rPr>
          <w:rFonts w:ascii="Candara" w:hAnsi="Candara"/>
          <w:lang w:val="en-US"/>
        </w:rPr>
        <w:t xml:space="preserve"> </w:t>
      </w:r>
      <w:r w:rsidR="002D2B94">
        <w:rPr>
          <w:rFonts w:ascii="Candara" w:hAnsi="Candara"/>
          <w:lang w:val="en-US"/>
        </w:rPr>
        <w:fldChar w:fldCharType="begin"/>
      </w:r>
      <w:r w:rsidR="000337C7">
        <w:rPr>
          <w:rFonts w:ascii="Candara" w:hAnsi="Candara"/>
          <w:lang w:val="en-US"/>
        </w:rPr>
        <w:instrText>ADDIN RW.CITE{{2622 Vanholder,R. 2017}}</w:instrText>
      </w:r>
      <w:r w:rsidR="002D2B94">
        <w:rPr>
          <w:rFonts w:ascii="Candara" w:hAnsi="Candara"/>
          <w:lang w:val="en-US"/>
        </w:rPr>
        <w:fldChar w:fldCharType="separate"/>
      </w:r>
      <w:r w:rsidR="00642D21" w:rsidRPr="00642D21">
        <w:rPr>
          <w:rFonts w:ascii="Candara" w:hAnsi="Candara"/>
          <w:lang w:val="en-US"/>
        </w:rPr>
        <w:t>(4)</w:t>
      </w:r>
      <w:r w:rsidR="002D2B94">
        <w:rPr>
          <w:rFonts w:ascii="Candara" w:hAnsi="Candara"/>
          <w:lang w:val="en-US"/>
        </w:rPr>
        <w:fldChar w:fldCharType="end"/>
      </w:r>
      <w:r w:rsidR="004C2E8D" w:rsidRPr="00C5349C">
        <w:rPr>
          <w:rFonts w:ascii="Candara" w:hAnsi="Candara" w:cs="Arial"/>
          <w:color w:val="000000"/>
          <w:shd w:val="clear" w:color="auto" w:fill="FFFFFF"/>
        </w:rPr>
        <w:t xml:space="preserve">, a situation that can be explained by a combination of traditional and </w:t>
      </w:r>
      <w:r w:rsidR="002D2B94" w:rsidRPr="00C5349C">
        <w:rPr>
          <w:rFonts w:ascii="Candara" w:hAnsi="Candara" w:cs="Arial"/>
          <w:color w:val="000000"/>
          <w:shd w:val="clear" w:color="auto" w:fill="FFFFFF"/>
        </w:rPr>
        <w:t>non-traditional</w:t>
      </w:r>
      <w:r w:rsidR="004C2E8D" w:rsidRPr="00C5349C">
        <w:rPr>
          <w:rFonts w:ascii="Candara" w:hAnsi="Candara" w:cs="Arial"/>
          <w:color w:val="000000"/>
          <w:shd w:val="clear" w:color="auto" w:fill="FFFFFF"/>
        </w:rPr>
        <w:t xml:space="preserve"> risk factors for CVD in these patients</w:t>
      </w:r>
      <w:r w:rsidR="00405212">
        <w:rPr>
          <w:rFonts w:ascii="Candara" w:hAnsi="Candara" w:cs="Arial"/>
          <w:color w:val="000000"/>
          <w:shd w:val="clear" w:color="auto" w:fill="FFFFFF"/>
        </w:rPr>
        <w:t xml:space="preserve"> </w:t>
      </w:r>
      <w:r w:rsidR="00395D7F">
        <w:rPr>
          <w:rFonts w:ascii="Candara" w:hAnsi="Candara" w:cs="Arial"/>
          <w:color w:val="000000"/>
          <w:shd w:val="clear" w:color="auto" w:fill="FFFFFF"/>
        </w:rPr>
        <w:fldChar w:fldCharType="begin"/>
      </w:r>
      <w:r w:rsidR="000337C7">
        <w:rPr>
          <w:rFonts w:ascii="Candara" w:hAnsi="Candara" w:cs="Arial"/>
          <w:color w:val="000000"/>
          <w:shd w:val="clear" w:color="auto" w:fill="FFFFFF"/>
        </w:rPr>
        <w:instrText>ADDIN RW.CITE{{2623 Krediet,R.T. 2010; 2624 Yu,D. 2018}}</w:instrText>
      </w:r>
      <w:r w:rsidR="00395D7F">
        <w:rPr>
          <w:rFonts w:ascii="Candara" w:hAnsi="Candara" w:cs="Arial"/>
          <w:color w:val="000000"/>
          <w:shd w:val="clear" w:color="auto" w:fill="FFFFFF"/>
        </w:rPr>
        <w:fldChar w:fldCharType="separate"/>
      </w:r>
      <w:r w:rsidR="00642D21" w:rsidRPr="00642D21">
        <w:rPr>
          <w:rFonts w:ascii="Candara" w:hAnsi="Candara" w:cs="Arial"/>
          <w:color w:val="000000"/>
          <w:shd w:val="clear" w:color="auto" w:fill="FFFFFF"/>
        </w:rPr>
        <w:t>(5, 6)</w:t>
      </w:r>
      <w:r w:rsidR="00395D7F">
        <w:rPr>
          <w:rFonts w:ascii="Candara" w:hAnsi="Candara" w:cs="Arial"/>
          <w:color w:val="000000"/>
          <w:shd w:val="clear" w:color="auto" w:fill="FFFFFF"/>
        </w:rPr>
        <w:fldChar w:fldCharType="end"/>
      </w:r>
      <w:r w:rsidR="004C2E8D" w:rsidRPr="00C5349C">
        <w:rPr>
          <w:rFonts w:ascii="Candara" w:hAnsi="Candara" w:cs="Arial"/>
          <w:color w:val="000000"/>
          <w:shd w:val="clear" w:color="auto" w:fill="FFFFFF"/>
        </w:rPr>
        <w:t>. Glucose and insulin homeostasis are altered in chronic kidney disease (CKD) patients even in the early stages of CKD, leading to insulin resistance</w:t>
      </w:r>
      <w:r w:rsidR="007C5693">
        <w:rPr>
          <w:rFonts w:ascii="Candara" w:hAnsi="Candara" w:cs="Arial"/>
          <w:color w:val="000000"/>
          <w:shd w:val="clear" w:color="auto" w:fill="FFFFFF"/>
        </w:rPr>
        <w:t xml:space="preserve"> (IR)</w:t>
      </w:r>
      <w:r w:rsidR="004C2E8D" w:rsidRPr="00C5349C">
        <w:rPr>
          <w:rFonts w:ascii="Candara" w:hAnsi="Candara" w:cs="Arial"/>
          <w:color w:val="000000"/>
          <w:shd w:val="clear" w:color="auto" w:fill="FFFFFF"/>
        </w:rPr>
        <w:t xml:space="preserve"> by various pathways</w:t>
      </w:r>
      <w:r w:rsidR="00AD130A">
        <w:rPr>
          <w:rFonts w:ascii="Candara" w:hAnsi="Candara" w:cs="Arial"/>
          <w:color w:val="000000"/>
          <w:shd w:val="clear" w:color="auto" w:fill="FFFFFF"/>
        </w:rPr>
        <w:t xml:space="preserve"> </w:t>
      </w:r>
      <w:r w:rsidR="00966941">
        <w:rPr>
          <w:rFonts w:ascii="Candara" w:hAnsi="Candara" w:cs="Arial"/>
          <w:color w:val="000000"/>
          <w:shd w:val="clear" w:color="auto" w:fill="FFFFFF"/>
        </w:rPr>
        <w:fldChar w:fldCharType="begin"/>
      </w:r>
      <w:r w:rsidR="000337C7">
        <w:rPr>
          <w:rFonts w:ascii="Candara" w:hAnsi="Candara" w:cs="Arial"/>
          <w:color w:val="000000"/>
          <w:shd w:val="clear" w:color="auto" w:fill="FFFFFF"/>
        </w:rPr>
        <w:instrText>ADDIN RW.CITE{{2625 Rabbani,N. 2018}}</w:instrText>
      </w:r>
      <w:r w:rsidR="00966941">
        <w:rPr>
          <w:rFonts w:ascii="Candara" w:hAnsi="Candara" w:cs="Arial"/>
          <w:color w:val="000000"/>
          <w:shd w:val="clear" w:color="auto" w:fill="FFFFFF"/>
        </w:rPr>
        <w:fldChar w:fldCharType="separate"/>
      </w:r>
      <w:r w:rsidR="00642D21" w:rsidRPr="00642D21">
        <w:rPr>
          <w:rFonts w:ascii="Candara" w:hAnsi="Candara" w:cs="Arial"/>
          <w:color w:val="000000"/>
          <w:shd w:val="clear" w:color="auto" w:fill="FFFFFF"/>
        </w:rPr>
        <w:t>(7)</w:t>
      </w:r>
      <w:r w:rsidR="00966941">
        <w:rPr>
          <w:rFonts w:ascii="Candara" w:hAnsi="Candara" w:cs="Arial"/>
          <w:color w:val="000000"/>
          <w:shd w:val="clear" w:color="auto" w:fill="FFFFFF"/>
        </w:rPr>
        <w:fldChar w:fldCharType="end"/>
      </w:r>
      <w:r w:rsidR="004C2E8D" w:rsidRPr="00C5349C">
        <w:rPr>
          <w:rFonts w:ascii="Candara" w:hAnsi="Candara" w:cs="Arial"/>
          <w:color w:val="000000"/>
          <w:shd w:val="clear" w:color="auto" w:fill="FFFFFF"/>
        </w:rPr>
        <w:t xml:space="preserve">. Several factors have been implicated in the pathogenesis of </w:t>
      </w:r>
      <w:r w:rsidR="007C5693">
        <w:rPr>
          <w:rFonts w:ascii="Candara" w:hAnsi="Candara" w:cs="Arial"/>
          <w:color w:val="000000"/>
          <w:shd w:val="clear" w:color="auto" w:fill="FFFFFF"/>
        </w:rPr>
        <w:t>IR</w:t>
      </w:r>
      <w:r w:rsidR="004C2E8D" w:rsidRPr="00C5349C">
        <w:rPr>
          <w:rFonts w:ascii="Candara" w:hAnsi="Candara" w:cs="Arial"/>
          <w:color w:val="000000"/>
          <w:shd w:val="clear" w:color="auto" w:fill="FFFFFF"/>
        </w:rPr>
        <w:t>, including anemia, dyslipidemia, uremia, malnutrition, excess of parathyroid hormone, vitamin D deficiency, metabolic acidosis, and increase in plasma free fatty acids and proinflammatory cytokines</w:t>
      </w:r>
      <w:r w:rsidR="00AD130A">
        <w:rPr>
          <w:rFonts w:ascii="Candara" w:hAnsi="Candara" w:cs="Arial"/>
          <w:color w:val="000000"/>
          <w:shd w:val="clear" w:color="auto" w:fill="FFFFFF"/>
        </w:rPr>
        <w:t xml:space="preserve"> </w:t>
      </w:r>
      <w:r w:rsidR="00AA7ED6">
        <w:rPr>
          <w:rFonts w:ascii="Candara" w:hAnsi="Candara" w:cs="Arial"/>
          <w:color w:val="000000"/>
          <w:shd w:val="clear" w:color="auto" w:fill="FFFFFF"/>
        </w:rPr>
        <w:fldChar w:fldCharType="begin"/>
      </w:r>
      <w:r w:rsidR="000337C7">
        <w:rPr>
          <w:rFonts w:ascii="Candara" w:hAnsi="Candara" w:cs="Arial"/>
          <w:color w:val="000000"/>
          <w:shd w:val="clear" w:color="auto" w:fill="FFFFFF"/>
        </w:rPr>
        <w:instrText>ADDIN RW.CITE{{2626 Fortes,P.C. 2009}}</w:instrText>
      </w:r>
      <w:r w:rsidR="00AA7ED6">
        <w:rPr>
          <w:rFonts w:ascii="Candara" w:hAnsi="Candara" w:cs="Arial"/>
          <w:color w:val="000000"/>
          <w:shd w:val="clear" w:color="auto" w:fill="FFFFFF"/>
        </w:rPr>
        <w:fldChar w:fldCharType="separate"/>
      </w:r>
      <w:r w:rsidR="00642D21" w:rsidRPr="00642D21">
        <w:rPr>
          <w:rFonts w:ascii="Candara" w:hAnsi="Candara" w:cs="Arial"/>
          <w:color w:val="000000"/>
          <w:shd w:val="clear" w:color="auto" w:fill="FFFFFF"/>
        </w:rPr>
        <w:t>(8)</w:t>
      </w:r>
      <w:r w:rsidR="00AA7ED6">
        <w:rPr>
          <w:rFonts w:ascii="Candara" w:hAnsi="Candara" w:cs="Arial"/>
          <w:color w:val="000000"/>
          <w:shd w:val="clear" w:color="auto" w:fill="FFFFFF"/>
        </w:rPr>
        <w:fldChar w:fldCharType="end"/>
      </w:r>
      <w:r w:rsidR="004C2E8D" w:rsidRPr="00C5349C">
        <w:rPr>
          <w:rFonts w:ascii="Candara" w:hAnsi="Candara" w:cs="Arial"/>
          <w:color w:val="000000"/>
          <w:shd w:val="clear" w:color="auto" w:fill="FFFFFF"/>
        </w:rPr>
        <w:t xml:space="preserve">. </w:t>
      </w:r>
      <w:r w:rsidR="007C5693">
        <w:rPr>
          <w:rFonts w:ascii="Candara" w:hAnsi="Candara" w:cs="Arial"/>
          <w:color w:val="000000"/>
          <w:shd w:val="clear" w:color="auto" w:fill="FFFFFF"/>
        </w:rPr>
        <w:t>IR</w:t>
      </w:r>
      <w:r w:rsidR="004C2E8D" w:rsidRPr="00C5349C">
        <w:rPr>
          <w:rFonts w:ascii="Candara" w:hAnsi="Candara" w:cs="Arial"/>
          <w:color w:val="000000"/>
          <w:shd w:val="clear" w:color="auto" w:fill="FFFFFF"/>
        </w:rPr>
        <w:t xml:space="preserve"> and dyslipidaemia are observed and increase with the progression of CKD, playing an important role in the pathogenesis of hypertension and atherosclerosis</w:t>
      </w:r>
      <w:r w:rsidR="009464E5">
        <w:rPr>
          <w:rFonts w:ascii="Candara" w:hAnsi="Candara" w:cs="Arial"/>
          <w:color w:val="000000"/>
          <w:shd w:val="clear" w:color="auto" w:fill="FFFFFF"/>
        </w:rPr>
        <w:t xml:space="preserve"> </w:t>
      </w:r>
      <w:r w:rsidR="00AA7ED6">
        <w:rPr>
          <w:rFonts w:ascii="Candara" w:hAnsi="Candara" w:cs="Arial"/>
          <w:color w:val="000000"/>
          <w:shd w:val="clear" w:color="auto" w:fill="FFFFFF"/>
        </w:rPr>
        <w:fldChar w:fldCharType="begin"/>
      </w:r>
      <w:r w:rsidR="000337C7">
        <w:rPr>
          <w:rFonts w:ascii="Candara" w:hAnsi="Candara" w:cs="Arial"/>
          <w:color w:val="000000"/>
          <w:shd w:val="clear" w:color="auto" w:fill="FFFFFF"/>
        </w:rPr>
        <w:instrText>ADDIN RW.CITE{{2627 Lo,W.K. 2016}}</w:instrText>
      </w:r>
      <w:r w:rsidR="00AA7ED6">
        <w:rPr>
          <w:rFonts w:ascii="Candara" w:hAnsi="Candara" w:cs="Arial"/>
          <w:color w:val="000000"/>
          <w:shd w:val="clear" w:color="auto" w:fill="FFFFFF"/>
        </w:rPr>
        <w:fldChar w:fldCharType="separate"/>
      </w:r>
      <w:r w:rsidR="00642D21" w:rsidRPr="00642D21">
        <w:rPr>
          <w:rFonts w:ascii="Candara" w:hAnsi="Candara" w:cs="Arial"/>
          <w:color w:val="000000"/>
          <w:shd w:val="clear" w:color="auto" w:fill="FFFFFF"/>
        </w:rPr>
        <w:t>(9)</w:t>
      </w:r>
      <w:r w:rsidR="00AA7ED6">
        <w:rPr>
          <w:rFonts w:ascii="Candara" w:hAnsi="Candara" w:cs="Arial"/>
          <w:color w:val="000000"/>
          <w:shd w:val="clear" w:color="auto" w:fill="FFFFFF"/>
        </w:rPr>
        <w:fldChar w:fldCharType="end"/>
      </w:r>
      <w:r w:rsidR="004C2E8D" w:rsidRPr="00C5349C">
        <w:rPr>
          <w:rFonts w:ascii="Candara" w:hAnsi="Candara" w:cs="Arial"/>
          <w:color w:val="000000"/>
          <w:shd w:val="clear" w:color="auto" w:fill="FFFFFF"/>
        </w:rPr>
        <w:t>. Particularly in PD patients, exposure to glucose from dialysis fluid accentuates the foregoing metabolic</w:t>
      </w:r>
      <w:r w:rsidR="004C2E8D">
        <w:rPr>
          <w:rFonts w:ascii="Candara" w:hAnsi="Candara" w:cs="Arial"/>
          <w:color w:val="000000"/>
          <w:shd w:val="clear" w:color="auto" w:fill="FFFFFF"/>
        </w:rPr>
        <w:t xml:space="preserve"> abnormalities. </w:t>
      </w:r>
      <w:r w:rsidR="007C5693">
        <w:rPr>
          <w:rFonts w:ascii="Candara" w:hAnsi="Candara" w:cs="Arial"/>
          <w:color w:val="000000"/>
          <w:shd w:val="clear" w:color="auto" w:fill="FFFFFF"/>
        </w:rPr>
        <w:t>IR</w:t>
      </w:r>
      <w:r w:rsidR="004C2E8D" w:rsidRPr="00C5349C">
        <w:rPr>
          <w:rFonts w:ascii="Candara" w:hAnsi="Candara" w:cs="Arial"/>
          <w:color w:val="000000"/>
          <w:shd w:val="clear" w:color="auto" w:fill="FFFFFF"/>
        </w:rPr>
        <w:t xml:space="preserve"> and altered glucose metabolism are frequently observed in CKD, and </w:t>
      </w:r>
      <w:r w:rsidR="004C2E8D">
        <w:rPr>
          <w:rFonts w:ascii="Candara" w:hAnsi="Candara" w:cs="Arial"/>
          <w:color w:val="000000"/>
          <w:shd w:val="clear" w:color="auto" w:fill="FFFFFF"/>
        </w:rPr>
        <w:t xml:space="preserve">perhaps alter </w:t>
      </w:r>
      <w:r w:rsidR="004C2E8D" w:rsidRPr="00C5349C">
        <w:rPr>
          <w:rFonts w:ascii="Candara" w:hAnsi="Candara" w:cs="Arial"/>
          <w:color w:val="000000"/>
          <w:shd w:val="clear" w:color="auto" w:fill="FFFFFF"/>
        </w:rPr>
        <w:t>PD patient survival</w:t>
      </w:r>
      <w:r w:rsidR="006E68BF">
        <w:rPr>
          <w:rFonts w:ascii="Candara" w:hAnsi="Candara" w:cs="Arial"/>
          <w:color w:val="000000"/>
          <w:shd w:val="clear" w:color="auto" w:fill="FFFFFF"/>
        </w:rPr>
        <w:t xml:space="preserve"> </w:t>
      </w:r>
      <w:r w:rsidR="00BC5EB1">
        <w:rPr>
          <w:rFonts w:ascii="Candara" w:hAnsi="Candara" w:cs="Arial"/>
          <w:color w:val="000000"/>
          <w:shd w:val="clear" w:color="auto" w:fill="FFFFFF"/>
        </w:rPr>
        <w:fldChar w:fldCharType="begin"/>
      </w:r>
      <w:r w:rsidR="000337C7">
        <w:rPr>
          <w:rFonts w:ascii="Candara" w:hAnsi="Candara" w:cs="Arial"/>
          <w:color w:val="000000"/>
          <w:shd w:val="clear" w:color="auto" w:fill="FFFFFF"/>
        </w:rPr>
        <w:instrText>ADDIN RW.CITE{{2628 deMoraes,T.P. 2009}}</w:instrText>
      </w:r>
      <w:r w:rsidR="00BC5EB1">
        <w:rPr>
          <w:rFonts w:ascii="Candara" w:hAnsi="Candara" w:cs="Arial"/>
          <w:color w:val="000000"/>
          <w:shd w:val="clear" w:color="auto" w:fill="FFFFFF"/>
        </w:rPr>
        <w:fldChar w:fldCharType="separate"/>
      </w:r>
      <w:r w:rsidR="00642D21" w:rsidRPr="00642D21">
        <w:rPr>
          <w:rFonts w:ascii="Candara" w:hAnsi="Candara" w:cs="Arial"/>
          <w:color w:val="000000"/>
          <w:shd w:val="clear" w:color="auto" w:fill="FFFFFF"/>
        </w:rPr>
        <w:t>(10)</w:t>
      </w:r>
      <w:r w:rsidR="00BC5EB1">
        <w:rPr>
          <w:rFonts w:ascii="Candara" w:hAnsi="Candara" w:cs="Arial"/>
          <w:color w:val="000000"/>
          <w:shd w:val="clear" w:color="auto" w:fill="FFFFFF"/>
        </w:rPr>
        <w:fldChar w:fldCharType="end"/>
      </w:r>
      <w:r w:rsidR="004C2E8D" w:rsidRPr="00C5349C">
        <w:rPr>
          <w:rFonts w:ascii="Candara" w:hAnsi="Candara" w:cs="Arial"/>
          <w:color w:val="000000"/>
          <w:shd w:val="clear" w:color="auto" w:fill="FFFFFF"/>
        </w:rPr>
        <w:t>.</w:t>
      </w:r>
    </w:p>
    <w:p w14:paraId="323EE265" w14:textId="77777777" w:rsidR="004C2E8D" w:rsidRPr="00C5349C" w:rsidRDefault="004C2E8D" w:rsidP="00D2210C">
      <w:pPr>
        <w:spacing w:line="480" w:lineRule="auto"/>
        <w:rPr>
          <w:rFonts w:ascii="Candara" w:hAnsi="Candara"/>
        </w:rPr>
      </w:pPr>
    </w:p>
    <w:p w14:paraId="31800B11" w14:textId="77777777" w:rsidR="004C2E8D" w:rsidRPr="00C5349C" w:rsidRDefault="004C2E8D" w:rsidP="00D2210C">
      <w:pPr>
        <w:spacing w:line="480" w:lineRule="auto"/>
        <w:rPr>
          <w:rFonts w:ascii="Candara" w:hAnsi="Candara"/>
        </w:rPr>
      </w:pPr>
    </w:p>
    <w:p w14:paraId="71D6B445" w14:textId="54EAD50D" w:rsidR="004C2E8D" w:rsidRDefault="007C5693" w:rsidP="00D2210C">
      <w:pPr>
        <w:autoSpaceDE w:val="0"/>
        <w:autoSpaceDN w:val="0"/>
        <w:adjustRightInd w:val="0"/>
        <w:spacing w:line="480" w:lineRule="auto"/>
        <w:rPr>
          <w:rFonts w:ascii="Candara" w:hAnsi="Candara"/>
          <w:lang w:val="en-US"/>
        </w:rPr>
      </w:pPr>
      <w:r>
        <w:rPr>
          <w:rFonts w:ascii="Candara" w:hAnsi="Candara"/>
          <w:lang w:val="en-US"/>
        </w:rPr>
        <w:t>IR</w:t>
      </w:r>
      <w:r w:rsidR="004C2E8D" w:rsidRPr="00C5349C">
        <w:rPr>
          <w:rFonts w:ascii="Candara" w:hAnsi="Candara"/>
          <w:lang w:val="en-US"/>
        </w:rPr>
        <w:t xml:space="preserve"> </w:t>
      </w:r>
      <w:r w:rsidR="00D84FD4">
        <w:rPr>
          <w:rFonts w:ascii="Candara" w:hAnsi="Candara"/>
          <w:lang w:val="en-US"/>
        </w:rPr>
        <w:t xml:space="preserve">is </w:t>
      </w:r>
      <w:r w:rsidR="004C2E8D" w:rsidRPr="00C5349C">
        <w:rPr>
          <w:rFonts w:ascii="Candara" w:hAnsi="Candara"/>
          <w:lang w:val="en-US"/>
        </w:rPr>
        <w:t xml:space="preserve">a pivotal </w:t>
      </w:r>
      <w:r w:rsidR="00D84FD4">
        <w:rPr>
          <w:rFonts w:ascii="Candara" w:hAnsi="Candara"/>
          <w:lang w:val="en-US"/>
        </w:rPr>
        <w:t xml:space="preserve">component in the </w:t>
      </w:r>
      <w:r w:rsidR="004C2E8D" w:rsidRPr="00C5349C">
        <w:rPr>
          <w:rFonts w:ascii="Candara" w:hAnsi="Candara"/>
          <w:lang w:val="en-US"/>
        </w:rPr>
        <w:t>pathophysiolog</w:t>
      </w:r>
      <w:r w:rsidR="00D84FD4">
        <w:rPr>
          <w:rFonts w:ascii="Candara" w:hAnsi="Candara"/>
          <w:lang w:val="en-US"/>
        </w:rPr>
        <w:t>y</w:t>
      </w:r>
      <w:r w:rsidR="004C2E8D" w:rsidRPr="00C5349C">
        <w:rPr>
          <w:rFonts w:ascii="Candara" w:hAnsi="Candara"/>
          <w:lang w:val="en-US"/>
        </w:rPr>
        <w:t xml:space="preserve"> of Type 2 </w:t>
      </w:r>
      <w:r w:rsidR="00D84FD4">
        <w:rPr>
          <w:rFonts w:ascii="Candara" w:hAnsi="Candara"/>
          <w:lang w:val="en-US"/>
        </w:rPr>
        <w:t>d</w:t>
      </w:r>
      <w:r w:rsidR="004C2E8D" w:rsidRPr="00C5349C">
        <w:rPr>
          <w:rFonts w:ascii="Candara" w:hAnsi="Candara"/>
          <w:lang w:val="en-US"/>
        </w:rPr>
        <w:t>iabetes</w:t>
      </w:r>
      <w:r w:rsidR="00D84FD4">
        <w:rPr>
          <w:rFonts w:ascii="Candara" w:hAnsi="Candara"/>
          <w:lang w:val="en-US"/>
        </w:rPr>
        <w:t xml:space="preserve"> m</w:t>
      </w:r>
      <w:r w:rsidR="000B72EB">
        <w:rPr>
          <w:rFonts w:ascii="Candara" w:hAnsi="Candara"/>
          <w:lang w:val="en-US"/>
        </w:rPr>
        <w:t>ellitus</w:t>
      </w:r>
      <w:r w:rsidR="004C2E8D" w:rsidRPr="00C5349C">
        <w:rPr>
          <w:rFonts w:ascii="Candara" w:hAnsi="Candara"/>
          <w:lang w:val="en-US"/>
        </w:rPr>
        <w:t xml:space="preserve"> and has </w:t>
      </w:r>
      <w:r w:rsidR="00D84FD4">
        <w:rPr>
          <w:rFonts w:ascii="Candara" w:hAnsi="Candara"/>
          <w:lang w:val="en-US"/>
        </w:rPr>
        <w:t xml:space="preserve">often </w:t>
      </w:r>
      <w:r w:rsidR="004C2E8D" w:rsidRPr="00C5349C">
        <w:rPr>
          <w:rFonts w:ascii="Candara" w:hAnsi="Candara"/>
          <w:lang w:val="en-US"/>
        </w:rPr>
        <w:t xml:space="preserve">existed 10-20 years prior to the diagnosis </w:t>
      </w:r>
      <w:r w:rsidR="0055480D">
        <w:rPr>
          <w:rFonts w:ascii="Candara" w:hAnsi="Candara"/>
          <w:lang w:val="en-US"/>
        </w:rPr>
        <w:fldChar w:fldCharType="begin"/>
      </w:r>
      <w:r w:rsidR="000337C7">
        <w:rPr>
          <w:rFonts w:ascii="Candara" w:hAnsi="Candara"/>
          <w:lang w:val="en-US"/>
        </w:rPr>
        <w:instrText>ADDIN RW.CITE{{2628 deMoraes,T.P. 2009; 2630 Lee,S.H. 2014; 2631 Warram,J.H. 1990}}</w:instrText>
      </w:r>
      <w:r w:rsidR="0055480D">
        <w:rPr>
          <w:rFonts w:ascii="Candara" w:hAnsi="Candara"/>
          <w:lang w:val="en-US"/>
        </w:rPr>
        <w:fldChar w:fldCharType="separate"/>
      </w:r>
      <w:r w:rsidR="00642D21" w:rsidRPr="00642D21">
        <w:rPr>
          <w:rFonts w:ascii="Candara" w:hAnsi="Candara"/>
          <w:lang w:val="en-US"/>
        </w:rPr>
        <w:t>(10-12)</w:t>
      </w:r>
      <w:r w:rsidR="0055480D">
        <w:rPr>
          <w:rFonts w:ascii="Candara" w:hAnsi="Candara"/>
          <w:lang w:val="en-US"/>
        </w:rPr>
        <w:fldChar w:fldCharType="end"/>
      </w:r>
      <w:r w:rsidR="004C2E8D" w:rsidRPr="00C5349C">
        <w:rPr>
          <w:rFonts w:ascii="Candara" w:hAnsi="Candara"/>
          <w:lang w:val="en-US"/>
        </w:rPr>
        <w:t>. However,</w:t>
      </w:r>
      <w:r w:rsidR="00DB4DFF">
        <w:rPr>
          <w:rFonts w:ascii="Candara" w:hAnsi="Candara"/>
          <w:lang w:val="en-US"/>
        </w:rPr>
        <w:t xml:space="preserve"> </w:t>
      </w:r>
      <w:r w:rsidR="004C2E8D" w:rsidRPr="00C5349C">
        <w:rPr>
          <w:rFonts w:ascii="Candara" w:hAnsi="Candara"/>
          <w:lang w:val="en-US"/>
        </w:rPr>
        <w:t xml:space="preserve">measurement of </w:t>
      </w:r>
      <w:r>
        <w:rPr>
          <w:rFonts w:ascii="Candara" w:hAnsi="Candara"/>
          <w:lang w:val="en-US"/>
        </w:rPr>
        <w:t>IR</w:t>
      </w:r>
      <w:r w:rsidR="004C2E8D" w:rsidRPr="00C5349C">
        <w:rPr>
          <w:rFonts w:ascii="Candara" w:hAnsi="Candara"/>
          <w:lang w:val="en-US"/>
        </w:rPr>
        <w:t xml:space="preserve"> is costly and complex </w:t>
      </w:r>
      <w:r w:rsidR="00225BD4">
        <w:rPr>
          <w:rFonts w:ascii="Candara" w:hAnsi="Candara"/>
          <w:lang w:val="en-US"/>
        </w:rPr>
        <w:fldChar w:fldCharType="begin"/>
      </w:r>
      <w:r w:rsidR="000337C7">
        <w:rPr>
          <w:rFonts w:ascii="Candara" w:hAnsi="Candara"/>
          <w:lang w:val="en-US"/>
        </w:rPr>
        <w:instrText>ADDIN RW.CITE{{2632 Zhang,M. 2017}}</w:instrText>
      </w:r>
      <w:r w:rsidR="00225BD4">
        <w:rPr>
          <w:rFonts w:ascii="Candara" w:hAnsi="Candara"/>
          <w:lang w:val="en-US"/>
        </w:rPr>
        <w:fldChar w:fldCharType="separate"/>
      </w:r>
      <w:r w:rsidR="00642D21" w:rsidRPr="00642D21">
        <w:rPr>
          <w:rFonts w:ascii="Candara" w:hAnsi="Candara"/>
          <w:lang w:val="en-US"/>
        </w:rPr>
        <w:t>(13)</w:t>
      </w:r>
      <w:r w:rsidR="00225BD4">
        <w:rPr>
          <w:rFonts w:ascii="Candara" w:hAnsi="Candara"/>
          <w:lang w:val="en-US"/>
        </w:rPr>
        <w:fldChar w:fldCharType="end"/>
      </w:r>
      <w:r w:rsidR="004C2E8D" w:rsidRPr="00C5349C">
        <w:rPr>
          <w:rFonts w:ascii="Candara" w:hAnsi="Candara"/>
          <w:lang w:val="en-US"/>
        </w:rPr>
        <w:t>. Therefore, a simple, reliable</w:t>
      </w:r>
      <w:r w:rsidR="00DB4DFF">
        <w:rPr>
          <w:rFonts w:ascii="Candara" w:hAnsi="Candara"/>
          <w:lang w:val="en-US"/>
        </w:rPr>
        <w:t xml:space="preserve"> </w:t>
      </w:r>
      <w:r w:rsidR="004C2E8D" w:rsidRPr="00C5349C">
        <w:rPr>
          <w:rFonts w:ascii="Candara" w:hAnsi="Candara"/>
          <w:lang w:val="en-US"/>
        </w:rPr>
        <w:t xml:space="preserve">and reproducible index to measure </w:t>
      </w:r>
      <w:r>
        <w:rPr>
          <w:rFonts w:ascii="Candara" w:hAnsi="Candara"/>
          <w:lang w:val="en-US"/>
        </w:rPr>
        <w:t>IR</w:t>
      </w:r>
      <w:r w:rsidR="004C2E8D" w:rsidRPr="00C5349C">
        <w:rPr>
          <w:rFonts w:ascii="Candara" w:hAnsi="Candara"/>
          <w:lang w:val="en-US"/>
        </w:rPr>
        <w:t xml:space="preserve"> is needed.</w:t>
      </w:r>
    </w:p>
    <w:p w14:paraId="54CEB439" w14:textId="77777777" w:rsidR="004C2E8D" w:rsidRDefault="004C2E8D" w:rsidP="00D2210C">
      <w:pPr>
        <w:spacing w:line="480" w:lineRule="auto"/>
        <w:rPr>
          <w:rFonts w:ascii="Candara" w:hAnsi="Candara"/>
          <w:lang w:val="en-US"/>
        </w:rPr>
      </w:pPr>
    </w:p>
    <w:p w14:paraId="18E4E3F9" w14:textId="60DD7A19" w:rsidR="004C2E8D" w:rsidRPr="00664E7B" w:rsidRDefault="004C2E8D" w:rsidP="00D2210C">
      <w:pPr>
        <w:autoSpaceDE w:val="0"/>
        <w:autoSpaceDN w:val="0"/>
        <w:adjustRightInd w:val="0"/>
        <w:spacing w:line="480" w:lineRule="auto"/>
        <w:rPr>
          <w:rFonts w:ascii="Candara" w:hAnsi="Candara"/>
          <w:lang w:val="en-US"/>
        </w:rPr>
      </w:pPr>
      <w:r w:rsidRPr="00664E7B">
        <w:rPr>
          <w:rFonts w:ascii="Candara" w:hAnsi="Candara"/>
          <w:lang w:val="en-US"/>
        </w:rPr>
        <w:t>Many recent studies have shown that the triglyceride glucose (TyG) index is associated with IR</w:t>
      </w:r>
      <w:r w:rsidR="0094170D">
        <w:rPr>
          <w:rFonts w:ascii="Candara" w:hAnsi="Candara"/>
          <w:lang w:val="en-US"/>
        </w:rPr>
        <w:t xml:space="preserve"> (14-17)</w:t>
      </w:r>
      <w:r w:rsidRPr="00664E7B">
        <w:rPr>
          <w:rFonts w:ascii="Candara" w:hAnsi="Candara"/>
          <w:lang w:val="en-US"/>
        </w:rPr>
        <w:t xml:space="preserve">, as assessed by hyperinsulinemic </w:t>
      </w:r>
      <w:r w:rsidR="000B46B6">
        <w:rPr>
          <w:rFonts w:ascii="Candara" w:hAnsi="Candara"/>
          <w:lang w:val="en-US"/>
        </w:rPr>
        <w:t>(</w:t>
      </w:r>
      <w:r w:rsidRPr="00664E7B">
        <w:rPr>
          <w:rFonts w:ascii="Candara" w:hAnsi="Candara"/>
          <w:lang w:val="en-US"/>
        </w:rPr>
        <w:t>euglycemic</w:t>
      </w:r>
      <w:r w:rsidR="000B46B6">
        <w:rPr>
          <w:rFonts w:ascii="Candara" w:hAnsi="Candara"/>
          <w:lang w:val="en-US"/>
        </w:rPr>
        <w:t>)</w:t>
      </w:r>
      <w:r w:rsidRPr="00664E7B">
        <w:rPr>
          <w:rFonts w:ascii="Candara" w:hAnsi="Candara"/>
          <w:lang w:val="en-US"/>
        </w:rPr>
        <w:t xml:space="preserve"> clamp testing and HOMA</w:t>
      </w:r>
      <w:r w:rsidR="008D4601">
        <w:rPr>
          <w:rFonts w:ascii="Candara" w:hAnsi="Candara"/>
          <w:lang w:val="en-US"/>
        </w:rPr>
        <w:t xml:space="preserve"> </w:t>
      </w:r>
      <w:r w:rsidRPr="00664E7B">
        <w:rPr>
          <w:rFonts w:ascii="Candara" w:hAnsi="Candara"/>
          <w:lang w:val="en-US"/>
        </w:rPr>
        <w:t xml:space="preserve">IR. </w:t>
      </w:r>
      <w:r w:rsidR="008D4601">
        <w:rPr>
          <w:rFonts w:ascii="Candara" w:hAnsi="Candara"/>
          <w:lang w:val="en-US"/>
        </w:rPr>
        <w:t xml:space="preserve">The clamp is a complex method and not used in clinical practice.  Similarly, HOMA IR </w:t>
      </w:r>
      <w:r w:rsidR="00850368">
        <w:rPr>
          <w:rFonts w:ascii="Candara" w:hAnsi="Candara"/>
          <w:lang w:val="en-US"/>
        </w:rPr>
        <w:t>cannot</w:t>
      </w:r>
      <w:r w:rsidR="008D4601">
        <w:rPr>
          <w:rFonts w:ascii="Candara" w:hAnsi="Candara"/>
          <w:lang w:val="en-US"/>
        </w:rPr>
        <w:t xml:space="preserve"> be used routinely due to cost of insulin assays (if not on insulin therapy), and lack p</w:t>
      </w:r>
      <w:r w:rsidR="006277D1">
        <w:rPr>
          <w:rFonts w:ascii="Candara" w:hAnsi="Candara"/>
          <w:lang w:val="en-US"/>
        </w:rPr>
        <w:t>r</w:t>
      </w:r>
      <w:r w:rsidR="008D4601">
        <w:rPr>
          <w:rFonts w:ascii="Candara" w:hAnsi="Candara"/>
          <w:lang w:val="en-US"/>
        </w:rPr>
        <w:t>o</w:t>
      </w:r>
      <w:r w:rsidR="00850368">
        <w:rPr>
          <w:rFonts w:ascii="Candara" w:hAnsi="Candara"/>
          <w:lang w:val="en-US"/>
        </w:rPr>
        <w:t>o</w:t>
      </w:r>
      <w:r w:rsidR="008D4601">
        <w:rPr>
          <w:rFonts w:ascii="Candara" w:hAnsi="Candara"/>
          <w:lang w:val="en-US"/>
        </w:rPr>
        <w:t xml:space="preserve">f validity among patients treated with insulin therapy.   </w:t>
      </w:r>
      <w:r w:rsidRPr="00664E7B">
        <w:rPr>
          <w:rFonts w:ascii="Candara" w:hAnsi="Candara"/>
          <w:lang w:val="en-US"/>
        </w:rPr>
        <w:t>Thus, the TyG index has been proposed as a reliable and simple surrogate marker of IR</w:t>
      </w:r>
      <w:r w:rsidR="008D4601">
        <w:rPr>
          <w:rFonts w:ascii="Candara" w:hAnsi="Candara"/>
          <w:lang w:val="en-US"/>
        </w:rPr>
        <w:t xml:space="preserve"> in clinical practice</w:t>
      </w:r>
      <w:r w:rsidRPr="00664E7B">
        <w:rPr>
          <w:rFonts w:ascii="Candara" w:hAnsi="Candara"/>
          <w:lang w:val="en-US"/>
        </w:rPr>
        <w:t xml:space="preserve"> </w:t>
      </w:r>
      <w:r w:rsidR="003407E5">
        <w:rPr>
          <w:rFonts w:ascii="Candara" w:hAnsi="Candara"/>
          <w:lang w:val="en-US"/>
        </w:rPr>
        <w:fldChar w:fldCharType="begin"/>
      </w:r>
      <w:r w:rsidR="000337C7">
        <w:rPr>
          <w:rFonts w:ascii="Candara" w:hAnsi="Candara"/>
          <w:lang w:val="en-US"/>
        </w:rPr>
        <w:instrText>ADDIN RW.CITE{{2633 Guerrero-Romero,F. 2010; 2634 Vasques,A.C. 2011; 2635 MohdNor,N.S. 2016; 2636 Songdo,K. 2016}}</w:instrText>
      </w:r>
      <w:r w:rsidR="003407E5">
        <w:rPr>
          <w:rFonts w:ascii="Candara" w:hAnsi="Candara"/>
          <w:lang w:val="en-US"/>
        </w:rPr>
        <w:fldChar w:fldCharType="separate"/>
      </w:r>
      <w:r w:rsidR="00642D21" w:rsidRPr="00642D21">
        <w:rPr>
          <w:rFonts w:ascii="Candara" w:hAnsi="Candara"/>
          <w:lang w:val="en-US"/>
        </w:rPr>
        <w:t>(14-17)</w:t>
      </w:r>
      <w:r w:rsidR="003407E5">
        <w:rPr>
          <w:rFonts w:ascii="Candara" w:hAnsi="Candara"/>
          <w:lang w:val="en-US"/>
        </w:rPr>
        <w:fldChar w:fldCharType="end"/>
      </w:r>
      <w:r w:rsidRPr="00664E7B">
        <w:rPr>
          <w:rFonts w:ascii="Candara" w:hAnsi="Candara"/>
          <w:lang w:val="en-US"/>
        </w:rPr>
        <w:t>.</w:t>
      </w:r>
    </w:p>
    <w:p w14:paraId="200A8533" w14:textId="77777777" w:rsidR="004C2E8D" w:rsidRDefault="004C2E8D" w:rsidP="00D2210C">
      <w:pPr>
        <w:spacing w:line="480" w:lineRule="auto"/>
        <w:rPr>
          <w:rFonts w:ascii="Candara" w:hAnsi="Candara"/>
          <w:lang w:val="en-US"/>
        </w:rPr>
      </w:pPr>
    </w:p>
    <w:p w14:paraId="4EA4C2C7" w14:textId="3D2FCF3F" w:rsidR="004C2E8D" w:rsidRPr="00664E7B" w:rsidRDefault="004C2E8D" w:rsidP="00D2210C">
      <w:pPr>
        <w:autoSpaceDE w:val="0"/>
        <w:autoSpaceDN w:val="0"/>
        <w:adjustRightInd w:val="0"/>
        <w:spacing w:line="480" w:lineRule="auto"/>
        <w:rPr>
          <w:rFonts w:ascii="Candara" w:hAnsi="Candara"/>
          <w:lang w:val="en-US"/>
        </w:rPr>
      </w:pPr>
      <w:r w:rsidRPr="00664E7B">
        <w:rPr>
          <w:rFonts w:ascii="Candara" w:hAnsi="Candara"/>
          <w:lang w:val="en-US"/>
        </w:rPr>
        <w:t xml:space="preserve">Consistent with these data, there is growing evidence to suggest that the TyG index is associated with cardiovascular disease </w:t>
      </w:r>
      <w:r w:rsidR="00543138">
        <w:rPr>
          <w:rFonts w:ascii="Candara" w:hAnsi="Candara"/>
          <w:lang w:val="en-US"/>
        </w:rPr>
        <w:fldChar w:fldCharType="begin"/>
      </w:r>
      <w:r w:rsidR="000337C7">
        <w:rPr>
          <w:rFonts w:ascii="Candara" w:hAnsi="Candara"/>
          <w:lang w:val="en-US"/>
        </w:rPr>
        <w:instrText>ADDIN RW.CITE{{2637 Lee,E.Y. 2016; 2638 Sanchez-Inigo,L. 2016; 2639 Vega,G.L. 2014}}</w:instrText>
      </w:r>
      <w:r w:rsidR="00543138">
        <w:rPr>
          <w:rFonts w:ascii="Candara" w:hAnsi="Candara"/>
          <w:lang w:val="en-US"/>
        </w:rPr>
        <w:fldChar w:fldCharType="separate"/>
      </w:r>
      <w:r w:rsidR="00642D21" w:rsidRPr="00642D21">
        <w:rPr>
          <w:rFonts w:ascii="Candara" w:hAnsi="Candara"/>
          <w:lang w:val="en-US"/>
        </w:rPr>
        <w:t>(18-20)</w:t>
      </w:r>
      <w:r w:rsidR="00543138">
        <w:rPr>
          <w:rFonts w:ascii="Candara" w:hAnsi="Candara"/>
          <w:lang w:val="en-US"/>
        </w:rPr>
        <w:fldChar w:fldCharType="end"/>
      </w:r>
      <w:r w:rsidRPr="00664E7B">
        <w:rPr>
          <w:rFonts w:ascii="Candara" w:hAnsi="Candara"/>
          <w:lang w:val="en-US"/>
        </w:rPr>
        <w:t xml:space="preserve">. However, </w:t>
      </w:r>
      <w:r>
        <w:rPr>
          <w:rFonts w:ascii="Candara" w:hAnsi="Candara"/>
          <w:lang w:val="en-US"/>
        </w:rPr>
        <w:t xml:space="preserve">to best of our knowledge </w:t>
      </w:r>
      <w:r w:rsidRPr="00664E7B">
        <w:rPr>
          <w:rFonts w:ascii="Candara" w:hAnsi="Candara"/>
          <w:lang w:val="en-US"/>
        </w:rPr>
        <w:t xml:space="preserve">few studies have examined the relationship between the TyG index and </w:t>
      </w:r>
      <w:r w:rsidR="000B72EB">
        <w:rPr>
          <w:rFonts w:ascii="Candara" w:hAnsi="Candara"/>
          <w:lang w:val="en-US"/>
        </w:rPr>
        <w:t>deaths mainly due to CVD</w:t>
      </w:r>
      <w:r>
        <w:rPr>
          <w:rFonts w:ascii="Candara" w:hAnsi="Candara"/>
          <w:lang w:val="en-US"/>
        </w:rPr>
        <w:t xml:space="preserve"> in </w:t>
      </w:r>
      <w:r w:rsidR="000B72EB">
        <w:rPr>
          <w:rFonts w:ascii="Candara" w:hAnsi="Candara"/>
          <w:lang w:val="en-US"/>
        </w:rPr>
        <w:t xml:space="preserve">incident PD </w:t>
      </w:r>
      <w:r>
        <w:rPr>
          <w:rFonts w:ascii="Candara" w:hAnsi="Candara"/>
          <w:lang w:val="en-US"/>
        </w:rPr>
        <w:t>patients</w:t>
      </w:r>
      <w:r w:rsidRPr="00664E7B">
        <w:rPr>
          <w:rFonts w:ascii="Candara" w:hAnsi="Candara"/>
          <w:lang w:val="en-US"/>
        </w:rPr>
        <w:t xml:space="preserve">. Therefore, in the present study, we investigated the relationship between the TyG index and </w:t>
      </w:r>
      <w:r>
        <w:rPr>
          <w:rFonts w:ascii="Candara" w:hAnsi="Candara"/>
          <w:lang w:val="en-US"/>
        </w:rPr>
        <w:t>cardiovascular mortality among patients initiali</w:t>
      </w:r>
      <w:r w:rsidR="009C6D9C">
        <w:rPr>
          <w:rFonts w:ascii="Candara" w:hAnsi="Candara"/>
          <w:lang w:val="en-US"/>
        </w:rPr>
        <w:t>at</w:t>
      </w:r>
      <w:r>
        <w:rPr>
          <w:rFonts w:ascii="Candara" w:hAnsi="Candara"/>
          <w:lang w:val="en-US"/>
        </w:rPr>
        <w:t>ing peritoneal dialysis</w:t>
      </w:r>
      <w:r w:rsidRPr="00664E7B">
        <w:rPr>
          <w:rFonts w:ascii="Candara" w:hAnsi="Candara"/>
          <w:lang w:val="en-US"/>
        </w:rPr>
        <w:t>.</w:t>
      </w:r>
    </w:p>
    <w:p w14:paraId="771C5142" w14:textId="77777777" w:rsidR="007764CB" w:rsidRDefault="007764CB" w:rsidP="00D2210C">
      <w:pPr>
        <w:spacing w:line="480" w:lineRule="auto"/>
        <w:rPr>
          <w:rFonts w:ascii="Candara" w:hAnsi="Candara"/>
          <w:b/>
        </w:rPr>
      </w:pPr>
    </w:p>
    <w:p w14:paraId="1D522A38" w14:textId="3EFFD1B1" w:rsidR="00EB601A" w:rsidRPr="00EB601A" w:rsidRDefault="007764CB" w:rsidP="00D2210C">
      <w:pPr>
        <w:spacing w:line="480" w:lineRule="auto"/>
        <w:rPr>
          <w:rFonts w:ascii="Candara" w:hAnsi="Candara"/>
          <w:b/>
        </w:rPr>
      </w:pPr>
      <w:r>
        <w:rPr>
          <w:rFonts w:ascii="Candara" w:hAnsi="Candara"/>
          <w:b/>
        </w:rPr>
        <w:t>METHODS</w:t>
      </w:r>
    </w:p>
    <w:p w14:paraId="29C662B8" w14:textId="6428644B" w:rsidR="004C2E8D" w:rsidRPr="000B72EB" w:rsidRDefault="004C2E8D" w:rsidP="00D2210C">
      <w:pPr>
        <w:autoSpaceDE w:val="0"/>
        <w:autoSpaceDN w:val="0"/>
        <w:adjustRightInd w:val="0"/>
        <w:spacing w:line="480" w:lineRule="auto"/>
        <w:rPr>
          <w:rFonts w:ascii="Candara" w:hAnsi="Candara"/>
          <w:b/>
          <w:lang w:val="en-US"/>
        </w:rPr>
      </w:pPr>
      <w:r w:rsidRPr="00EB601A">
        <w:rPr>
          <w:rFonts w:ascii="Candara" w:hAnsi="Candara"/>
          <w:b/>
          <w:lang w:val="en-US"/>
        </w:rPr>
        <w:t>Da</w:t>
      </w:r>
      <w:r w:rsidR="00EB601A" w:rsidRPr="00EB601A">
        <w:rPr>
          <w:rFonts w:ascii="Candara" w:hAnsi="Candara"/>
          <w:b/>
          <w:lang w:val="en-US"/>
        </w:rPr>
        <w:t>ta source and study population</w:t>
      </w:r>
    </w:p>
    <w:p w14:paraId="3AC60496" w14:textId="5911F983" w:rsidR="004C2E8D" w:rsidRPr="00E17F93" w:rsidRDefault="0008534F" w:rsidP="00D2210C">
      <w:pPr>
        <w:autoSpaceDE w:val="0"/>
        <w:autoSpaceDN w:val="0"/>
        <w:adjustRightInd w:val="0"/>
        <w:spacing w:line="480" w:lineRule="auto"/>
        <w:rPr>
          <w:rFonts w:ascii="Candara" w:hAnsi="Candara"/>
          <w:lang w:val="en-US"/>
        </w:rPr>
      </w:pPr>
      <w:r>
        <w:rPr>
          <w:rFonts w:ascii="Candara" w:hAnsi="Candara"/>
          <w:lang w:val="en-US"/>
        </w:rPr>
        <w:t>D</w:t>
      </w:r>
      <w:r w:rsidR="004C2E8D" w:rsidRPr="00E17F93">
        <w:rPr>
          <w:rFonts w:ascii="Candara" w:hAnsi="Candara"/>
          <w:lang w:val="en-US"/>
        </w:rPr>
        <w:t>ata from the Henan Peritoneal Dialysis Registry (HPDR) w</w:t>
      </w:r>
      <w:r>
        <w:rPr>
          <w:rFonts w:ascii="Candara" w:hAnsi="Candara"/>
          <w:lang w:val="en-US"/>
        </w:rPr>
        <w:t>ere</w:t>
      </w:r>
      <w:r w:rsidR="004C2E8D" w:rsidRPr="00E17F93">
        <w:rPr>
          <w:rFonts w:ascii="Candara" w:hAnsi="Candara"/>
          <w:lang w:val="en-US"/>
        </w:rPr>
        <w:t xml:space="preserve"> used. A province in Central China, the population </w:t>
      </w:r>
      <w:r>
        <w:rPr>
          <w:rFonts w:ascii="Candara" w:hAnsi="Candara"/>
          <w:lang w:val="en-US"/>
        </w:rPr>
        <w:t>of</w:t>
      </w:r>
      <w:r w:rsidR="004C2E8D" w:rsidRPr="00E17F93">
        <w:rPr>
          <w:rFonts w:ascii="Candara" w:hAnsi="Candara"/>
          <w:lang w:val="en-US"/>
        </w:rPr>
        <w:t xml:space="preserve"> Henan is over 100 million. </w:t>
      </w:r>
      <w:r w:rsidR="00850368">
        <w:rPr>
          <w:rFonts w:ascii="Candara" w:hAnsi="Candara"/>
          <w:lang w:val="en-US"/>
        </w:rPr>
        <w:t>T</w:t>
      </w:r>
      <w:r w:rsidR="00850368" w:rsidRPr="00E17F93">
        <w:rPr>
          <w:rFonts w:ascii="Candara" w:hAnsi="Candara"/>
          <w:lang w:val="en-US"/>
        </w:rPr>
        <w:t>he First Affiliated Hospital of</w:t>
      </w:r>
      <w:r w:rsidR="00850368">
        <w:rPr>
          <w:rFonts w:ascii="Candara" w:hAnsi="Candara"/>
          <w:lang w:val="en-US"/>
        </w:rPr>
        <w:t xml:space="preserve"> </w:t>
      </w:r>
      <w:r w:rsidR="00850368" w:rsidRPr="00E17F93">
        <w:rPr>
          <w:rFonts w:ascii="Candara" w:hAnsi="Candara"/>
          <w:lang w:val="en-US"/>
        </w:rPr>
        <w:t>Zhengzhou University</w:t>
      </w:r>
      <w:r w:rsidR="00850368">
        <w:rPr>
          <w:rFonts w:ascii="Candara" w:hAnsi="Candara"/>
          <w:lang w:val="en-US"/>
        </w:rPr>
        <w:t xml:space="preserve"> </w:t>
      </w:r>
      <w:r w:rsidR="00850368" w:rsidRPr="00E17F93">
        <w:rPr>
          <w:rFonts w:ascii="Candara" w:hAnsi="Candara"/>
          <w:lang w:val="en-US"/>
        </w:rPr>
        <w:t>Department of Nephrology</w:t>
      </w:r>
      <w:r w:rsidRPr="00E17F93">
        <w:rPr>
          <w:rFonts w:ascii="Candara" w:hAnsi="Candara"/>
          <w:lang w:val="en-US"/>
        </w:rPr>
        <w:t xml:space="preserve"> </w:t>
      </w:r>
      <w:r>
        <w:rPr>
          <w:rFonts w:ascii="Candara" w:hAnsi="Candara"/>
          <w:lang w:val="en-US"/>
        </w:rPr>
        <w:t>manages</w:t>
      </w:r>
      <w:r w:rsidR="004C2E8D" w:rsidRPr="00E17F93">
        <w:rPr>
          <w:rFonts w:ascii="Candara" w:hAnsi="Candara"/>
          <w:lang w:val="en-US"/>
        </w:rPr>
        <w:t xml:space="preserve"> the HPDR provid</w:t>
      </w:r>
      <w:r>
        <w:rPr>
          <w:rFonts w:ascii="Candara" w:hAnsi="Candara"/>
          <w:lang w:val="en-US"/>
        </w:rPr>
        <w:t>ing</w:t>
      </w:r>
      <w:r w:rsidR="004C2E8D" w:rsidRPr="00E17F93">
        <w:rPr>
          <w:rFonts w:ascii="Candara" w:hAnsi="Candara"/>
          <w:lang w:val="en-US"/>
        </w:rPr>
        <w:t xml:space="preserve"> an independent audit and analysis of renal care in </w:t>
      </w:r>
      <w:r>
        <w:rPr>
          <w:rFonts w:ascii="Candara" w:hAnsi="Candara"/>
          <w:lang w:val="en-US"/>
        </w:rPr>
        <w:t>the province</w:t>
      </w:r>
      <w:r w:rsidR="004C2E8D" w:rsidRPr="00E17F93">
        <w:rPr>
          <w:rFonts w:ascii="Candara" w:hAnsi="Candara"/>
          <w:lang w:val="en-US"/>
        </w:rPr>
        <w:t xml:space="preserve">. </w:t>
      </w:r>
    </w:p>
    <w:p w14:paraId="59AABCDE" w14:textId="77777777" w:rsidR="004C2E8D" w:rsidRPr="00E17F93" w:rsidRDefault="004C2E8D" w:rsidP="00D2210C">
      <w:pPr>
        <w:autoSpaceDE w:val="0"/>
        <w:autoSpaceDN w:val="0"/>
        <w:adjustRightInd w:val="0"/>
        <w:spacing w:line="480" w:lineRule="auto"/>
        <w:rPr>
          <w:rFonts w:ascii="Candara" w:hAnsi="Candara"/>
          <w:lang w:val="en-US"/>
        </w:rPr>
      </w:pPr>
    </w:p>
    <w:p w14:paraId="061C6A57" w14:textId="1741673A" w:rsidR="004C2E8D" w:rsidRPr="00E17F93" w:rsidRDefault="004C2E8D" w:rsidP="00D2210C">
      <w:pPr>
        <w:autoSpaceDE w:val="0"/>
        <w:autoSpaceDN w:val="0"/>
        <w:adjustRightInd w:val="0"/>
        <w:spacing w:line="480" w:lineRule="auto"/>
        <w:rPr>
          <w:rFonts w:ascii="Candara" w:hAnsi="Candara"/>
          <w:lang w:val="en-US"/>
        </w:rPr>
      </w:pPr>
      <w:r w:rsidRPr="00E17F93">
        <w:rPr>
          <w:rFonts w:ascii="Candara" w:hAnsi="Candara"/>
          <w:lang w:val="en-US"/>
        </w:rPr>
        <w:t>Over the study period, electronic information was routinely and prospectively collected from all nephrological units across Henan. Data reached the HPDR are subjected to an algorithm which identifies suspicious records</w:t>
      </w:r>
      <w:r w:rsidR="00806E39">
        <w:rPr>
          <w:rFonts w:ascii="Candara" w:hAnsi="Candara"/>
          <w:lang w:val="en-US"/>
        </w:rPr>
        <w:t xml:space="preserve"> (for example, body mass index over 65 kg/m</w:t>
      </w:r>
      <w:r w:rsidR="00806E39" w:rsidRPr="00806E39">
        <w:rPr>
          <w:rFonts w:ascii="Candara" w:hAnsi="Candara"/>
          <w:vertAlign w:val="superscript"/>
          <w:lang w:val="en-US"/>
        </w:rPr>
        <w:t>2</w:t>
      </w:r>
      <w:r w:rsidR="00806E39">
        <w:rPr>
          <w:rFonts w:ascii="Candara" w:hAnsi="Candara"/>
          <w:lang w:val="en-US"/>
        </w:rPr>
        <w:t>)</w:t>
      </w:r>
      <w:r w:rsidRPr="00E17F93">
        <w:rPr>
          <w:rFonts w:ascii="Candara" w:hAnsi="Candara"/>
          <w:lang w:val="en-US"/>
        </w:rPr>
        <w:t>, which are then further verified and corrected where necessary by contacting the nephrological unit</w:t>
      </w:r>
      <w:r w:rsidR="00717187">
        <w:rPr>
          <w:rFonts w:ascii="Candara" w:hAnsi="Candara"/>
          <w:lang w:val="en-US"/>
        </w:rPr>
        <w:t xml:space="preserve"> (overall response rate 97.5%)</w:t>
      </w:r>
      <w:r w:rsidRPr="00E17F93">
        <w:rPr>
          <w:rFonts w:ascii="Candara" w:hAnsi="Candara"/>
          <w:lang w:val="en-US"/>
        </w:rPr>
        <w:t xml:space="preserve">. </w:t>
      </w:r>
    </w:p>
    <w:p w14:paraId="24789E3D" w14:textId="7A1DA59B" w:rsidR="004C2E8D" w:rsidRPr="00E17F93" w:rsidRDefault="004C2E8D" w:rsidP="00D2210C">
      <w:pPr>
        <w:autoSpaceDE w:val="0"/>
        <w:autoSpaceDN w:val="0"/>
        <w:adjustRightInd w:val="0"/>
        <w:spacing w:line="480" w:lineRule="auto"/>
        <w:rPr>
          <w:rFonts w:ascii="Candara" w:hAnsi="Candara"/>
          <w:lang w:val="en-US"/>
        </w:rPr>
      </w:pPr>
    </w:p>
    <w:p w14:paraId="78893655" w14:textId="7D20F847" w:rsidR="00B65DAE" w:rsidRPr="00E17F93" w:rsidRDefault="004C2E8D" w:rsidP="00D2210C">
      <w:pPr>
        <w:autoSpaceDE w:val="0"/>
        <w:autoSpaceDN w:val="0"/>
        <w:adjustRightInd w:val="0"/>
        <w:spacing w:line="480" w:lineRule="auto"/>
        <w:rPr>
          <w:rFonts w:ascii="Candara" w:hAnsi="Candara"/>
          <w:lang w:val="en-US"/>
        </w:rPr>
      </w:pPr>
      <w:r w:rsidRPr="00E17F93">
        <w:rPr>
          <w:rFonts w:ascii="Candara" w:hAnsi="Candara"/>
          <w:lang w:val="en-US"/>
        </w:rPr>
        <w:t>The present study was designed as a cohort study, whic</w:t>
      </w:r>
      <w:r w:rsidR="00B65DAE" w:rsidRPr="00E17F93">
        <w:rPr>
          <w:rFonts w:ascii="Candara" w:hAnsi="Candara"/>
          <w:lang w:val="en-US"/>
        </w:rPr>
        <w:t>h incorporated all incident PD patients</w:t>
      </w:r>
      <w:r w:rsidRPr="00E17F93">
        <w:rPr>
          <w:rFonts w:ascii="Candara" w:hAnsi="Candara"/>
          <w:lang w:val="en-US"/>
        </w:rPr>
        <w:t xml:space="preserve"> aged </w:t>
      </w:r>
      <w:r w:rsidR="00E17F93">
        <w:rPr>
          <w:rFonts w:ascii="Candara" w:hAnsi="Candara"/>
          <w:lang w:val="en-US"/>
        </w:rPr>
        <w:t>more than 18 years who initia</w:t>
      </w:r>
      <w:r w:rsidR="00DB41FD">
        <w:rPr>
          <w:rFonts w:ascii="Candara" w:hAnsi="Candara"/>
          <w:lang w:val="en-US"/>
        </w:rPr>
        <w:t>t</w:t>
      </w:r>
      <w:r w:rsidR="00E17F93">
        <w:rPr>
          <w:rFonts w:ascii="Candara" w:hAnsi="Candara"/>
          <w:lang w:val="en-US"/>
        </w:rPr>
        <w:t>ed</w:t>
      </w:r>
      <w:r w:rsidRPr="00E17F93">
        <w:rPr>
          <w:rFonts w:ascii="Candara" w:hAnsi="Candara"/>
          <w:lang w:val="en-US"/>
        </w:rPr>
        <w:t xml:space="preserve"> PD between</w:t>
      </w:r>
      <w:r w:rsidR="00B65DAE" w:rsidRPr="00E17F93">
        <w:rPr>
          <w:rFonts w:ascii="Candara" w:hAnsi="Candara"/>
          <w:lang w:val="en-US"/>
        </w:rPr>
        <w:t xml:space="preserve"> </w:t>
      </w:r>
      <w:r w:rsidRPr="00E17F93">
        <w:rPr>
          <w:rFonts w:ascii="Candara" w:hAnsi="Candara"/>
          <w:lang w:val="en-US"/>
        </w:rPr>
        <w:t>2007–2014 and who had at least two years’ follow-up. Patients who died, underwent transplant or whose kidney</w:t>
      </w:r>
      <w:r w:rsidR="00B65DAE" w:rsidRPr="00E17F93">
        <w:rPr>
          <w:rFonts w:ascii="Candara" w:hAnsi="Candara"/>
          <w:lang w:val="en-US"/>
        </w:rPr>
        <w:t xml:space="preserve"> </w:t>
      </w:r>
      <w:r w:rsidRPr="00E17F93">
        <w:rPr>
          <w:rFonts w:ascii="Candara" w:hAnsi="Candara"/>
          <w:lang w:val="en-US"/>
        </w:rPr>
        <w:t xml:space="preserve">function recovered within 90 days after </w:t>
      </w:r>
      <w:r w:rsidR="00D84FD4">
        <w:rPr>
          <w:rFonts w:ascii="Candara" w:hAnsi="Candara"/>
          <w:lang w:val="en-US"/>
        </w:rPr>
        <w:t>initiation</w:t>
      </w:r>
      <w:r w:rsidRPr="00E17F93">
        <w:rPr>
          <w:rFonts w:ascii="Candara" w:hAnsi="Candara"/>
          <w:lang w:val="en-US"/>
        </w:rPr>
        <w:t xml:space="preserve"> of </w:t>
      </w:r>
      <w:r w:rsidR="00B65DAE" w:rsidRPr="00E17F93">
        <w:rPr>
          <w:rFonts w:ascii="Candara" w:hAnsi="Candara"/>
          <w:lang w:val="en-US"/>
        </w:rPr>
        <w:t>PD</w:t>
      </w:r>
      <w:r w:rsidRPr="00E17F93">
        <w:rPr>
          <w:rFonts w:ascii="Candara" w:hAnsi="Candara"/>
          <w:lang w:val="en-US"/>
        </w:rPr>
        <w:t xml:space="preserve"> were </w:t>
      </w:r>
      <w:r w:rsidR="00B65DAE" w:rsidRPr="00E17F93">
        <w:rPr>
          <w:rFonts w:ascii="Candara" w:hAnsi="Candara"/>
          <w:lang w:val="en-US"/>
        </w:rPr>
        <w:t>dropped off (</w:t>
      </w:r>
      <w:r w:rsidRPr="00E17F93">
        <w:rPr>
          <w:rFonts w:ascii="Candara" w:hAnsi="Candara"/>
          <w:lang w:val="en-US"/>
        </w:rPr>
        <w:t xml:space="preserve">n = </w:t>
      </w:r>
      <w:r w:rsidR="00B65DAE" w:rsidRPr="00E17F93">
        <w:rPr>
          <w:rFonts w:ascii="Candara" w:hAnsi="Candara"/>
          <w:lang w:val="en-US"/>
        </w:rPr>
        <w:t>16) to avoid a reverse causal association between exposure</w:t>
      </w:r>
      <w:r w:rsidRPr="00E17F93">
        <w:rPr>
          <w:rFonts w:ascii="Candara" w:hAnsi="Candara"/>
          <w:lang w:val="en-US"/>
        </w:rPr>
        <w:t xml:space="preserve">s and outcome. </w:t>
      </w:r>
    </w:p>
    <w:p w14:paraId="7F7E6CE5" w14:textId="77777777" w:rsidR="00B65DAE" w:rsidRPr="00E17F93" w:rsidRDefault="00B65DAE" w:rsidP="00D2210C">
      <w:pPr>
        <w:autoSpaceDE w:val="0"/>
        <w:autoSpaceDN w:val="0"/>
        <w:adjustRightInd w:val="0"/>
        <w:spacing w:line="480" w:lineRule="auto"/>
        <w:rPr>
          <w:rFonts w:ascii="Candara" w:hAnsi="Candara"/>
          <w:lang w:val="en-US"/>
        </w:rPr>
      </w:pPr>
    </w:p>
    <w:p w14:paraId="217D3D4C" w14:textId="566A35D3" w:rsidR="004C2E8D" w:rsidRDefault="004C2E8D" w:rsidP="00D2210C">
      <w:pPr>
        <w:autoSpaceDE w:val="0"/>
        <w:autoSpaceDN w:val="0"/>
        <w:adjustRightInd w:val="0"/>
        <w:spacing w:line="480" w:lineRule="auto"/>
        <w:rPr>
          <w:rFonts w:ascii="Candara" w:hAnsi="Candara"/>
          <w:lang w:val="en-US"/>
        </w:rPr>
      </w:pPr>
      <w:r w:rsidRPr="00E17F93">
        <w:rPr>
          <w:rFonts w:ascii="Candara" w:hAnsi="Candara"/>
          <w:lang w:val="en-US"/>
        </w:rPr>
        <w:t>Ethics approval was granted by the Clinical Research Ethics</w:t>
      </w:r>
      <w:r w:rsidR="00E17F93">
        <w:rPr>
          <w:rFonts w:ascii="Candara" w:hAnsi="Candara"/>
          <w:lang w:val="en-US"/>
        </w:rPr>
        <w:t xml:space="preserve"> </w:t>
      </w:r>
      <w:r w:rsidRPr="00E17F93">
        <w:rPr>
          <w:rFonts w:ascii="Candara" w:hAnsi="Candara"/>
          <w:lang w:val="en-US"/>
        </w:rPr>
        <w:t>Committee of the First Affiliated Hospital of Zhengzhou University. Written informed consent was obtained from</w:t>
      </w:r>
      <w:r w:rsidR="00E17F93">
        <w:rPr>
          <w:rFonts w:ascii="Candara" w:hAnsi="Candara"/>
          <w:lang w:val="en-US"/>
        </w:rPr>
        <w:t xml:space="preserve"> </w:t>
      </w:r>
      <w:r w:rsidRPr="00E17F93">
        <w:rPr>
          <w:rFonts w:ascii="Candara" w:hAnsi="Candara"/>
          <w:lang w:val="en-US"/>
        </w:rPr>
        <w:t>all participants before inclusion.</w:t>
      </w:r>
    </w:p>
    <w:p w14:paraId="333EC68E" w14:textId="77777777" w:rsidR="00EB601A" w:rsidRDefault="00EB601A" w:rsidP="00D2210C">
      <w:pPr>
        <w:autoSpaceDE w:val="0"/>
        <w:autoSpaceDN w:val="0"/>
        <w:adjustRightInd w:val="0"/>
        <w:spacing w:line="480" w:lineRule="auto"/>
        <w:rPr>
          <w:rFonts w:ascii="Candara" w:hAnsi="Candara"/>
          <w:lang w:val="en-US"/>
        </w:rPr>
      </w:pPr>
    </w:p>
    <w:p w14:paraId="0A53FAF9" w14:textId="52CFDD93" w:rsidR="00EB601A" w:rsidRPr="00C72E20" w:rsidRDefault="00EB601A" w:rsidP="00D2210C">
      <w:pPr>
        <w:autoSpaceDE w:val="0"/>
        <w:autoSpaceDN w:val="0"/>
        <w:adjustRightInd w:val="0"/>
        <w:spacing w:line="480" w:lineRule="auto"/>
        <w:rPr>
          <w:rFonts w:ascii="Candara" w:hAnsi="Candara"/>
          <w:b/>
          <w:lang w:val="en-US"/>
        </w:rPr>
      </w:pPr>
      <w:r w:rsidRPr="00C72E20">
        <w:rPr>
          <w:rFonts w:ascii="Candara" w:hAnsi="Candara"/>
          <w:b/>
          <w:lang w:val="en-US"/>
        </w:rPr>
        <w:t>Outcome definition</w:t>
      </w:r>
    </w:p>
    <w:p w14:paraId="19112FBA" w14:textId="093C623D" w:rsidR="00C31C8A" w:rsidRDefault="00A95987" w:rsidP="00D2210C">
      <w:pPr>
        <w:autoSpaceDE w:val="0"/>
        <w:autoSpaceDN w:val="0"/>
        <w:adjustRightInd w:val="0"/>
        <w:spacing w:line="480" w:lineRule="auto"/>
        <w:rPr>
          <w:rFonts w:ascii="Candara" w:hAnsi="Candara"/>
          <w:lang w:val="en-US"/>
        </w:rPr>
      </w:pPr>
      <w:r w:rsidRPr="00A95987">
        <w:rPr>
          <w:rFonts w:ascii="Candara" w:hAnsi="Candara"/>
          <w:lang w:val="en-US"/>
        </w:rPr>
        <w:t>We defined our primary outcome</w:t>
      </w:r>
      <w:r w:rsidR="00BC1F42">
        <w:rPr>
          <w:rFonts w:ascii="Candara" w:hAnsi="Candara"/>
          <w:lang w:val="en-US"/>
        </w:rPr>
        <w:t xml:space="preserve"> </w:t>
      </w:r>
      <w:r w:rsidR="00705776">
        <w:rPr>
          <w:rFonts w:ascii="Candara" w:hAnsi="Candara"/>
          <w:lang w:val="en-US"/>
        </w:rPr>
        <w:t xml:space="preserve">as recorded death, on the HPDR, </w:t>
      </w:r>
      <w:r w:rsidRPr="00A95987">
        <w:rPr>
          <w:rFonts w:ascii="Candara" w:hAnsi="Candara"/>
          <w:lang w:val="en-US"/>
        </w:rPr>
        <w:t>with clinically diagnosed cardiovascular disease</w:t>
      </w:r>
      <w:r w:rsidR="00705776">
        <w:rPr>
          <w:rFonts w:ascii="Candara" w:hAnsi="Candara"/>
          <w:lang w:val="en-US"/>
        </w:rPr>
        <w:t xml:space="preserve"> </w:t>
      </w:r>
      <w:r w:rsidR="00B62A52">
        <w:rPr>
          <w:rFonts w:ascii="Candara" w:hAnsi="Candara"/>
          <w:lang w:val="en-US"/>
        </w:rPr>
        <w:t xml:space="preserve">(including coronary heart disease, heart failure, myocardial infarction, arrhythmia or stroke) </w:t>
      </w:r>
      <w:r w:rsidR="00705776">
        <w:rPr>
          <w:rFonts w:ascii="Candara" w:hAnsi="Candara"/>
          <w:lang w:val="en-US"/>
        </w:rPr>
        <w:t xml:space="preserve">as the cause of death. </w:t>
      </w:r>
      <w:r w:rsidR="00705776">
        <w:rPr>
          <w:rFonts w:ascii="Candara" w:hAnsi="Candara"/>
          <w:lang w:val="en-US"/>
        </w:rPr>
        <w:fldChar w:fldCharType="begin"/>
      </w:r>
      <w:r w:rsidR="000337C7">
        <w:rPr>
          <w:rFonts w:ascii="Candara" w:hAnsi="Candara"/>
          <w:lang w:val="en-US"/>
        </w:rPr>
        <w:instrText>ADDIN RW.CITE{{2640 Zhang,X. 2018; 2624 Yu,D. 2018}}</w:instrText>
      </w:r>
      <w:r w:rsidR="00705776">
        <w:rPr>
          <w:rFonts w:ascii="Candara" w:hAnsi="Candara"/>
          <w:lang w:val="en-US"/>
        </w:rPr>
        <w:fldChar w:fldCharType="separate"/>
      </w:r>
      <w:r w:rsidR="00642D21" w:rsidRPr="00642D21">
        <w:rPr>
          <w:rFonts w:ascii="Candara" w:hAnsi="Candara"/>
          <w:lang w:val="en-US"/>
        </w:rPr>
        <w:t>(6, 21)</w:t>
      </w:r>
      <w:r w:rsidR="00705776">
        <w:rPr>
          <w:rFonts w:ascii="Candara" w:hAnsi="Candara"/>
          <w:lang w:val="en-US"/>
        </w:rPr>
        <w:fldChar w:fldCharType="end"/>
      </w:r>
    </w:p>
    <w:p w14:paraId="45BD7DAC" w14:textId="57D22559" w:rsidR="00B62A52" w:rsidRPr="00B62A52" w:rsidRDefault="000368EB" w:rsidP="00B62A52">
      <w:pPr>
        <w:autoSpaceDE w:val="0"/>
        <w:autoSpaceDN w:val="0"/>
        <w:adjustRightInd w:val="0"/>
        <w:spacing w:line="480" w:lineRule="auto"/>
        <w:rPr>
          <w:rFonts w:ascii="Candara" w:hAnsi="Candara"/>
          <w:lang w:val="en-US"/>
        </w:rPr>
      </w:pPr>
      <w:r>
        <w:t xml:space="preserve"> </w:t>
      </w:r>
    </w:p>
    <w:p w14:paraId="517CD9D4" w14:textId="0E41EF0C" w:rsidR="0080687D" w:rsidRPr="000368EB" w:rsidRDefault="0080687D" w:rsidP="00D2210C">
      <w:pPr>
        <w:autoSpaceDE w:val="0"/>
        <w:autoSpaceDN w:val="0"/>
        <w:adjustRightInd w:val="0"/>
        <w:spacing w:line="480" w:lineRule="auto"/>
        <w:rPr>
          <w:rFonts w:ascii="Candara" w:eastAsiaTheme="minorEastAsia" w:hAnsi="Candara"/>
        </w:rPr>
      </w:pPr>
    </w:p>
    <w:p w14:paraId="20698E10" w14:textId="1C36DEF6" w:rsidR="00C72E20" w:rsidRPr="00C72E20" w:rsidRDefault="00C72E20" w:rsidP="00D2210C">
      <w:pPr>
        <w:autoSpaceDE w:val="0"/>
        <w:autoSpaceDN w:val="0"/>
        <w:adjustRightInd w:val="0"/>
        <w:spacing w:line="480" w:lineRule="auto"/>
        <w:rPr>
          <w:rFonts w:ascii="Candara" w:hAnsi="Candara"/>
          <w:b/>
          <w:lang w:val="en-US"/>
        </w:rPr>
      </w:pPr>
      <w:r w:rsidRPr="00C72E20">
        <w:rPr>
          <w:rFonts w:ascii="Candara" w:hAnsi="Candara"/>
          <w:b/>
          <w:lang w:val="en-US"/>
        </w:rPr>
        <w:t>Exposure definition</w:t>
      </w:r>
    </w:p>
    <w:p w14:paraId="298861F3" w14:textId="1C4F4705" w:rsidR="00772769" w:rsidRPr="0078013E" w:rsidRDefault="00764A34" w:rsidP="00D2210C">
      <w:pPr>
        <w:autoSpaceDE w:val="0"/>
        <w:autoSpaceDN w:val="0"/>
        <w:adjustRightInd w:val="0"/>
        <w:spacing w:line="480" w:lineRule="auto"/>
        <w:rPr>
          <w:rFonts w:ascii="Candara" w:hAnsi="Candara"/>
        </w:rPr>
      </w:pPr>
      <w:r w:rsidRPr="00190EC3">
        <w:rPr>
          <w:rFonts w:ascii="Candara" w:hAnsi="Candara"/>
          <w:lang w:val="en-US"/>
        </w:rPr>
        <w:t xml:space="preserve">TyG index was calculated as the ln[fasting </w:t>
      </w:r>
      <w:r w:rsidR="00705776">
        <w:rPr>
          <w:rFonts w:ascii="Candara" w:hAnsi="Candara"/>
          <w:lang w:val="en-US"/>
        </w:rPr>
        <w:t xml:space="preserve">triglyceride </w:t>
      </w:r>
      <w:r w:rsidRPr="00190EC3">
        <w:rPr>
          <w:rFonts w:ascii="Candara" w:hAnsi="Candara"/>
          <w:lang w:val="en-US"/>
        </w:rPr>
        <w:t xml:space="preserve">(mg/dl) × </w:t>
      </w:r>
      <w:r w:rsidR="00705776">
        <w:rPr>
          <w:rFonts w:ascii="Candara" w:hAnsi="Candara"/>
          <w:lang w:val="en-US"/>
        </w:rPr>
        <w:t xml:space="preserve">fasting glucose </w:t>
      </w:r>
      <w:r w:rsidRPr="00190EC3">
        <w:rPr>
          <w:rFonts w:ascii="Candara" w:hAnsi="Candara"/>
          <w:lang w:val="en-US"/>
        </w:rPr>
        <w:t>(mg/dl)/2]</w:t>
      </w:r>
      <w:r w:rsidR="00190EC3" w:rsidRPr="00190EC3">
        <w:rPr>
          <w:rFonts w:ascii="Candara" w:hAnsi="Candara"/>
          <w:lang w:val="en-US"/>
        </w:rPr>
        <w:t xml:space="preserve">. </w:t>
      </w:r>
      <w:r w:rsidR="006E1848">
        <w:rPr>
          <w:rFonts w:ascii="Candara" w:hAnsi="Candara"/>
          <w:lang w:val="en-US"/>
        </w:rPr>
        <w:fldChar w:fldCharType="begin"/>
      </w:r>
      <w:r w:rsidR="000337C7">
        <w:rPr>
          <w:rFonts w:ascii="Candara" w:hAnsi="Candara"/>
          <w:lang w:val="en-US"/>
        </w:rPr>
        <w:instrText>ADDIN RW.CITE{{2633 Guerrero-Romero,F. 2010}}</w:instrText>
      </w:r>
      <w:r w:rsidR="006E1848">
        <w:rPr>
          <w:rFonts w:ascii="Candara" w:hAnsi="Candara"/>
          <w:lang w:val="en-US"/>
        </w:rPr>
        <w:fldChar w:fldCharType="separate"/>
      </w:r>
      <w:r w:rsidR="00642D21" w:rsidRPr="00642D21">
        <w:rPr>
          <w:rFonts w:ascii="Candara" w:hAnsi="Candara"/>
          <w:lang w:val="en-US"/>
        </w:rPr>
        <w:t>(14)</w:t>
      </w:r>
      <w:r w:rsidR="006E1848">
        <w:rPr>
          <w:rFonts w:ascii="Candara" w:hAnsi="Candara"/>
          <w:lang w:val="en-US"/>
        </w:rPr>
        <w:fldChar w:fldCharType="end"/>
      </w:r>
      <w:r w:rsidR="00190EC3">
        <w:rPr>
          <w:rFonts w:ascii="Candara" w:hAnsi="Candara"/>
          <w:lang w:val="en-US"/>
        </w:rPr>
        <w:t xml:space="preserve"> </w:t>
      </w:r>
      <w:r w:rsidR="0078013E">
        <w:rPr>
          <w:rFonts w:ascii="Candara" w:hAnsi="Candara"/>
        </w:rPr>
        <w:t>Patients were classified into four groups by quartiles of TyG</w:t>
      </w:r>
      <w:r w:rsidR="000513BF">
        <w:rPr>
          <w:rFonts w:ascii="Candara" w:hAnsi="Candara"/>
        </w:rPr>
        <w:t xml:space="preserve"> index</w:t>
      </w:r>
      <w:r w:rsidR="0078013E">
        <w:rPr>
          <w:rFonts w:ascii="Candara" w:hAnsi="Candara"/>
        </w:rPr>
        <w:t>: Group 1 (TyG</w:t>
      </w:r>
      <w:r w:rsidR="000513BF">
        <w:rPr>
          <w:rFonts w:ascii="Candara" w:hAnsi="Candara"/>
        </w:rPr>
        <w:t xml:space="preserve"> index </w:t>
      </w:r>
      <w:r w:rsidR="0078013E">
        <w:rPr>
          <w:rFonts w:ascii="Candara" w:hAnsi="Candara"/>
        </w:rPr>
        <w:t>&lt;8.10), Group 2 (</w:t>
      </w:r>
      <w:r w:rsidR="00B7258E">
        <w:rPr>
          <w:rFonts w:ascii="Candara" w:hAnsi="Candara"/>
        </w:rPr>
        <w:t>TyG</w:t>
      </w:r>
      <w:r w:rsidR="000513BF">
        <w:rPr>
          <w:rFonts w:ascii="Candara" w:hAnsi="Candara"/>
        </w:rPr>
        <w:t xml:space="preserve"> index</w:t>
      </w:r>
      <w:r w:rsidR="00B7258E">
        <w:rPr>
          <w:rFonts w:ascii="Candara" w:hAnsi="Candara"/>
        </w:rPr>
        <w:t xml:space="preserve"> in 8.10-8.39); Group 3 (TyG</w:t>
      </w:r>
      <w:r w:rsidR="000513BF">
        <w:rPr>
          <w:rFonts w:ascii="Candara" w:hAnsi="Candara"/>
        </w:rPr>
        <w:t xml:space="preserve"> index</w:t>
      </w:r>
      <w:r w:rsidR="00B7258E">
        <w:rPr>
          <w:rFonts w:ascii="Candara" w:hAnsi="Candara"/>
        </w:rPr>
        <w:t xml:space="preserve"> in 8.39-8.69), and Group 4 (TyG</w:t>
      </w:r>
      <w:r w:rsidR="000513BF">
        <w:rPr>
          <w:rFonts w:ascii="Candara" w:hAnsi="Candara"/>
        </w:rPr>
        <w:t xml:space="preserve"> index </w:t>
      </w:r>
      <w:r w:rsidR="00B7258E" w:rsidRPr="0078013E">
        <w:rPr>
          <w:rFonts w:ascii="Calibri" w:eastAsiaTheme="minorEastAsia" w:hAnsi="Calibri" w:cs="Calibri"/>
        </w:rPr>
        <w:t>≥</w:t>
      </w:r>
      <w:r w:rsidR="000513BF">
        <w:rPr>
          <w:rFonts w:ascii="Calibri" w:eastAsiaTheme="minorEastAsia" w:hAnsi="Calibri" w:cs="Calibri"/>
        </w:rPr>
        <w:t xml:space="preserve"> </w:t>
      </w:r>
      <w:r w:rsidR="00B7258E" w:rsidRPr="0078013E">
        <w:rPr>
          <w:rFonts w:ascii="Calibri" w:eastAsiaTheme="minorEastAsia" w:hAnsi="Calibri" w:cs="Calibri"/>
        </w:rPr>
        <w:t>8.69</w:t>
      </w:r>
      <w:r w:rsidR="00B7258E">
        <w:rPr>
          <w:rFonts w:ascii="Calibri" w:eastAsiaTheme="minorEastAsia" w:hAnsi="Calibri" w:cs="Calibri"/>
        </w:rPr>
        <w:t>).</w:t>
      </w:r>
    </w:p>
    <w:p w14:paraId="29A81296" w14:textId="52A0923C" w:rsidR="00764A34" w:rsidRDefault="00772769" w:rsidP="00D2210C">
      <w:pPr>
        <w:autoSpaceDE w:val="0"/>
        <w:autoSpaceDN w:val="0"/>
        <w:adjustRightInd w:val="0"/>
        <w:spacing w:line="480" w:lineRule="auto"/>
        <w:rPr>
          <w:rFonts w:ascii="Candara" w:hAnsi="Candara"/>
          <w:lang w:val="en-US"/>
        </w:rPr>
      </w:pPr>
      <w:r>
        <w:rPr>
          <w:rFonts w:ascii="Calibri" w:eastAsiaTheme="minorEastAsia" w:hAnsi="Calibri" w:cs="Calibri"/>
        </w:rPr>
        <w:t xml:space="preserve"> </w:t>
      </w:r>
      <w:r w:rsidR="00B7258E">
        <w:rPr>
          <w:rFonts w:ascii="Calibri" w:eastAsiaTheme="minorEastAsia" w:hAnsi="Calibri" w:cs="Calibri"/>
        </w:rPr>
        <w:t xml:space="preserve"> </w:t>
      </w:r>
    </w:p>
    <w:p w14:paraId="4360AC57" w14:textId="4D56F989" w:rsidR="00C31C8A" w:rsidRPr="000324B4" w:rsidRDefault="00C31C8A" w:rsidP="00D2210C">
      <w:pPr>
        <w:autoSpaceDE w:val="0"/>
        <w:autoSpaceDN w:val="0"/>
        <w:adjustRightInd w:val="0"/>
        <w:spacing w:line="480" w:lineRule="auto"/>
        <w:rPr>
          <w:rFonts w:ascii="Candara" w:hAnsi="Candara"/>
          <w:b/>
          <w:lang w:val="en-US"/>
        </w:rPr>
      </w:pPr>
      <w:r w:rsidRPr="000324B4">
        <w:rPr>
          <w:rFonts w:ascii="Candara" w:hAnsi="Candara"/>
          <w:b/>
          <w:lang w:val="en-US"/>
        </w:rPr>
        <w:t>Co</w:t>
      </w:r>
      <w:r w:rsidR="00883B15">
        <w:rPr>
          <w:rFonts w:ascii="Candara" w:hAnsi="Candara"/>
          <w:b/>
          <w:lang w:val="en-US"/>
        </w:rPr>
        <w:t>-</w:t>
      </w:r>
      <w:r w:rsidRPr="000324B4">
        <w:rPr>
          <w:rFonts w:ascii="Candara" w:hAnsi="Candara"/>
          <w:b/>
          <w:lang w:val="en-US"/>
        </w:rPr>
        <w:t>variables</w:t>
      </w:r>
      <w:r w:rsidR="00ED64B3">
        <w:rPr>
          <w:rFonts w:ascii="Candara" w:hAnsi="Candara"/>
          <w:b/>
          <w:lang w:val="en-US"/>
        </w:rPr>
        <w:t xml:space="preserve"> and missing information</w:t>
      </w:r>
    </w:p>
    <w:p w14:paraId="34E3C0D5" w14:textId="2996CAD5" w:rsidR="00C72E20" w:rsidRDefault="00C72E20" w:rsidP="00D2210C">
      <w:pPr>
        <w:autoSpaceDE w:val="0"/>
        <w:autoSpaceDN w:val="0"/>
        <w:adjustRightInd w:val="0"/>
        <w:spacing w:line="480" w:lineRule="auto"/>
        <w:rPr>
          <w:rFonts w:ascii="Candara" w:hAnsi="Candara"/>
          <w:lang w:val="en-US"/>
        </w:rPr>
      </w:pPr>
      <w:r w:rsidRPr="00A95987">
        <w:rPr>
          <w:rFonts w:ascii="Candara" w:hAnsi="Candara"/>
          <w:lang w:val="en-US"/>
        </w:rPr>
        <w:t>All a</w:t>
      </w:r>
      <w:r>
        <w:rPr>
          <w:rFonts w:ascii="Candara" w:hAnsi="Candara"/>
          <w:lang w:val="en-US"/>
        </w:rPr>
        <w:t xml:space="preserve">vailable information, including </w:t>
      </w:r>
      <w:r w:rsidRPr="00A95987">
        <w:rPr>
          <w:rFonts w:ascii="Candara" w:hAnsi="Candara"/>
          <w:lang w:val="en-US"/>
        </w:rPr>
        <w:t>demographic characteristics, self-reported comorbidities, and clinical measurements at the time</w:t>
      </w:r>
      <w:r>
        <w:rPr>
          <w:rFonts w:ascii="Candara" w:hAnsi="Candara"/>
          <w:lang w:val="en-US"/>
        </w:rPr>
        <w:t xml:space="preserve"> of patients initializing </w:t>
      </w:r>
      <w:r w:rsidR="00ED64B3">
        <w:rPr>
          <w:rFonts w:ascii="Candara" w:hAnsi="Candara"/>
          <w:lang w:val="en-US"/>
        </w:rPr>
        <w:t>the PD were evaluated</w:t>
      </w:r>
      <w:r w:rsidR="007A39F2">
        <w:rPr>
          <w:rFonts w:ascii="Candara" w:hAnsi="Candara"/>
          <w:lang w:val="en-US"/>
        </w:rPr>
        <w:t>.</w:t>
      </w:r>
      <w:r w:rsidR="006E1848">
        <w:rPr>
          <w:rFonts w:ascii="Candara" w:hAnsi="Candara"/>
          <w:lang w:val="en-US"/>
        </w:rPr>
        <w:fldChar w:fldCharType="begin"/>
      </w:r>
      <w:r w:rsidR="000337C7">
        <w:rPr>
          <w:rFonts w:ascii="Candara" w:hAnsi="Candara"/>
          <w:lang w:val="en-US"/>
        </w:rPr>
        <w:instrText>ADDIN RW.CITE{{2624 Yu,D. 2018}}</w:instrText>
      </w:r>
      <w:r w:rsidR="006E1848">
        <w:rPr>
          <w:rFonts w:ascii="Candara" w:hAnsi="Candara"/>
          <w:lang w:val="en-US"/>
        </w:rPr>
        <w:fldChar w:fldCharType="separate"/>
      </w:r>
      <w:r w:rsidR="00642D21" w:rsidRPr="00642D21">
        <w:rPr>
          <w:rFonts w:ascii="Candara" w:hAnsi="Candara"/>
          <w:lang w:val="en-US"/>
        </w:rPr>
        <w:t>(6)</w:t>
      </w:r>
      <w:r w:rsidR="006E1848">
        <w:rPr>
          <w:rFonts w:ascii="Candara" w:hAnsi="Candara"/>
          <w:lang w:val="en-US"/>
        </w:rPr>
        <w:fldChar w:fldCharType="end"/>
      </w:r>
      <w:r w:rsidR="0080687D">
        <w:rPr>
          <w:rFonts w:ascii="Candara" w:hAnsi="Candara"/>
          <w:lang w:val="en-US"/>
        </w:rPr>
        <w:t xml:space="preserve"> </w:t>
      </w:r>
      <w:r>
        <w:rPr>
          <w:rFonts w:ascii="Candara" w:hAnsi="Candara"/>
          <w:lang w:val="en-US"/>
        </w:rPr>
        <w:t xml:space="preserve">For </w:t>
      </w:r>
      <w:r w:rsidR="0080687D">
        <w:rPr>
          <w:rFonts w:ascii="Candara" w:hAnsi="Candara"/>
        </w:rPr>
        <w:t>co</w:t>
      </w:r>
      <w:r w:rsidR="00883B15">
        <w:rPr>
          <w:rFonts w:ascii="Candara" w:hAnsi="Candara"/>
        </w:rPr>
        <w:t>-</w:t>
      </w:r>
      <w:r w:rsidR="0080687D">
        <w:rPr>
          <w:rFonts w:ascii="Candara" w:hAnsi="Candara"/>
        </w:rPr>
        <w:t>variable</w:t>
      </w:r>
      <w:r w:rsidR="007A39F2">
        <w:rPr>
          <w:rFonts w:ascii="Candara" w:hAnsi="Candara"/>
          <w:lang w:val="en-US"/>
        </w:rPr>
        <w:t>s</w:t>
      </w:r>
      <w:r w:rsidR="0080687D">
        <w:rPr>
          <w:rFonts w:ascii="Candara" w:hAnsi="Candara"/>
          <w:lang w:val="en-US"/>
        </w:rPr>
        <w:t xml:space="preserve">, our </w:t>
      </w:r>
      <w:r w:rsidRPr="00A95987">
        <w:rPr>
          <w:rFonts w:ascii="Candara" w:hAnsi="Candara"/>
          <w:lang w:val="en-US"/>
        </w:rPr>
        <w:t>cohort had missing informati</w:t>
      </w:r>
      <w:r>
        <w:rPr>
          <w:rFonts w:ascii="Candara" w:hAnsi="Candara"/>
          <w:lang w:val="en-US"/>
        </w:rPr>
        <w:t xml:space="preserve">on on body mass index (13.51%), </w:t>
      </w:r>
      <w:r w:rsidRPr="00A95987">
        <w:rPr>
          <w:rFonts w:ascii="Candara" w:hAnsi="Candara"/>
          <w:lang w:val="en-US"/>
        </w:rPr>
        <w:t>phosphorus (20.92%), albumin (19.92%), total protein (22.57%), total cholesterol (2</w:t>
      </w:r>
      <w:r>
        <w:rPr>
          <w:rFonts w:ascii="Candara" w:hAnsi="Candara"/>
          <w:lang w:val="en-US"/>
        </w:rPr>
        <w:t xml:space="preserve">4.25%), low density lipoprotein </w:t>
      </w:r>
      <w:r w:rsidRPr="00A95987">
        <w:rPr>
          <w:rFonts w:ascii="Candara" w:hAnsi="Candara"/>
          <w:lang w:val="en-US"/>
        </w:rPr>
        <w:t>(24.58%), fasting glucose (15.92%), sodium (8.02%), systolic blood pressu</w:t>
      </w:r>
      <w:r>
        <w:rPr>
          <w:rFonts w:ascii="Candara" w:hAnsi="Candara"/>
          <w:lang w:val="en-US"/>
        </w:rPr>
        <w:t xml:space="preserve">re (4.82%), and diastolic blood </w:t>
      </w:r>
      <w:r w:rsidRPr="00A95987">
        <w:rPr>
          <w:rFonts w:ascii="Candara" w:hAnsi="Candara"/>
          <w:lang w:val="en-US"/>
        </w:rPr>
        <w:t>pressure (4.82%). We used multiple imputation to replace missing values by using</w:t>
      </w:r>
      <w:r>
        <w:rPr>
          <w:rFonts w:ascii="Candara" w:hAnsi="Candara"/>
          <w:lang w:val="en-US"/>
        </w:rPr>
        <w:t xml:space="preserve"> a chained equation approach </w:t>
      </w:r>
      <w:r w:rsidRPr="00A95987">
        <w:rPr>
          <w:rFonts w:ascii="Candara" w:hAnsi="Candara"/>
          <w:lang w:val="en-US"/>
        </w:rPr>
        <w:t>based on all candidate predictors. We created 30 imputed datasets for missing va</w:t>
      </w:r>
      <w:r>
        <w:rPr>
          <w:rFonts w:ascii="Candara" w:hAnsi="Candara"/>
          <w:lang w:val="en-US"/>
        </w:rPr>
        <w:t xml:space="preserve">riables that were then combined </w:t>
      </w:r>
      <w:r w:rsidRPr="00A95987">
        <w:rPr>
          <w:rFonts w:ascii="Candara" w:hAnsi="Candara"/>
          <w:lang w:val="en-US"/>
        </w:rPr>
        <w:t xml:space="preserve">across all datasets by using Rubin’s rule to obtain final estimates. </w:t>
      </w:r>
      <w:r w:rsidR="0080687D">
        <w:rPr>
          <w:rFonts w:ascii="Candara" w:hAnsi="Candara"/>
          <w:lang w:val="en-US"/>
        </w:rPr>
        <w:t xml:space="preserve"> </w:t>
      </w:r>
    </w:p>
    <w:p w14:paraId="4DE1154D" w14:textId="77777777" w:rsidR="00C31C8A" w:rsidRDefault="00C31C8A" w:rsidP="00D2210C">
      <w:pPr>
        <w:autoSpaceDE w:val="0"/>
        <w:autoSpaceDN w:val="0"/>
        <w:adjustRightInd w:val="0"/>
        <w:spacing w:line="480" w:lineRule="auto"/>
        <w:rPr>
          <w:rFonts w:ascii="Candara" w:hAnsi="Candara"/>
          <w:lang w:val="en-US"/>
        </w:rPr>
      </w:pPr>
    </w:p>
    <w:p w14:paraId="655C871C" w14:textId="19543D5D" w:rsidR="00C31C8A" w:rsidRPr="007A39F2" w:rsidRDefault="00C31C8A" w:rsidP="00D2210C">
      <w:pPr>
        <w:autoSpaceDE w:val="0"/>
        <w:autoSpaceDN w:val="0"/>
        <w:adjustRightInd w:val="0"/>
        <w:spacing w:line="480" w:lineRule="auto"/>
        <w:rPr>
          <w:rFonts w:ascii="Candara" w:hAnsi="Candara"/>
          <w:b/>
          <w:lang w:val="en-US"/>
        </w:rPr>
      </w:pPr>
      <w:r w:rsidRPr="007A39F2">
        <w:rPr>
          <w:rFonts w:ascii="Candara" w:hAnsi="Candara"/>
          <w:b/>
          <w:lang w:val="en-US"/>
        </w:rPr>
        <w:t>Statistical analysis</w:t>
      </w:r>
    </w:p>
    <w:p w14:paraId="5B744A2E" w14:textId="774FD113" w:rsidR="004C2E8D" w:rsidRDefault="007A39F2" w:rsidP="00D2210C">
      <w:pPr>
        <w:autoSpaceDE w:val="0"/>
        <w:autoSpaceDN w:val="0"/>
        <w:adjustRightInd w:val="0"/>
        <w:spacing w:line="480" w:lineRule="auto"/>
        <w:rPr>
          <w:rFonts w:ascii="Candara" w:hAnsi="Candara"/>
          <w:lang w:val="en-US"/>
        </w:rPr>
      </w:pPr>
      <w:r w:rsidRPr="007A39F2">
        <w:rPr>
          <w:rFonts w:ascii="Candara" w:hAnsi="Candara"/>
          <w:lang w:val="en-US"/>
        </w:rPr>
        <w:t>In descriptive analyses, differences</w:t>
      </w:r>
      <w:r>
        <w:rPr>
          <w:rFonts w:ascii="Candara" w:hAnsi="Candara"/>
          <w:lang w:val="en-US"/>
        </w:rPr>
        <w:t xml:space="preserve"> in participant characteristics </w:t>
      </w:r>
      <w:r w:rsidR="00667F71">
        <w:rPr>
          <w:rFonts w:ascii="Candara" w:hAnsi="Candara"/>
          <w:lang w:val="en-US"/>
        </w:rPr>
        <w:t xml:space="preserve">by TyG </w:t>
      </w:r>
      <w:r w:rsidR="000513BF">
        <w:rPr>
          <w:rFonts w:ascii="Candara" w:hAnsi="Candara"/>
          <w:lang w:val="en-US"/>
        </w:rPr>
        <w:t xml:space="preserve">index </w:t>
      </w:r>
      <w:r w:rsidR="00667F71">
        <w:rPr>
          <w:rFonts w:ascii="Candara" w:hAnsi="Candara"/>
          <w:lang w:val="en-US"/>
        </w:rPr>
        <w:t>categories</w:t>
      </w:r>
      <w:r>
        <w:rPr>
          <w:rFonts w:ascii="Candara" w:hAnsi="Candara"/>
          <w:lang w:val="en-US"/>
        </w:rPr>
        <w:t xml:space="preserve"> were assessed by </w:t>
      </w:r>
      <w:r w:rsidR="00AB3309">
        <w:rPr>
          <w:rFonts w:ascii="Candara" w:hAnsi="Candara"/>
          <w:lang w:val="en-US"/>
        </w:rPr>
        <w:t>l</w:t>
      </w:r>
      <w:r w:rsidRPr="007A39F2">
        <w:rPr>
          <w:rFonts w:ascii="Candara" w:hAnsi="Candara"/>
          <w:lang w:val="en-US"/>
        </w:rPr>
        <w:t>ogistic regress</w:t>
      </w:r>
      <w:r>
        <w:rPr>
          <w:rFonts w:ascii="Candara" w:hAnsi="Candara"/>
          <w:lang w:val="en-US"/>
        </w:rPr>
        <w:t>ion</w:t>
      </w:r>
      <w:r w:rsidR="00E80B26">
        <w:rPr>
          <w:rFonts w:ascii="Candara" w:hAnsi="Candara"/>
          <w:lang w:val="en-US"/>
        </w:rPr>
        <w:t xml:space="preserve"> model</w:t>
      </w:r>
      <w:r>
        <w:rPr>
          <w:rFonts w:ascii="Candara" w:hAnsi="Candara"/>
          <w:lang w:val="en-US"/>
        </w:rPr>
        <w:t xml:space="preserve"> </w:t>
      </w:r>
      <w:r w:rsidRPr="007A39F2">
        <w:rPr>
          <w:rFonts w:ascii="Candara" w:hAnsi="Candara"/>
          <w:lang w:val="en-US"/>
        </w:rPr>
        <w:t>for categorical va</w:t>
      </w:r>
      <w:r>
        <w:rPr>
          <w:rFonts w:ascii="Candara" w:hAnsi="Candara"/>
          <w:lang w:val="en-US"/>
        </w:rPr>
        <w:t xml:space="preserve">riables, and </w:t>
      </w:r>
      <w:r w:rsidR="00AB3309">
        <w:rPr>
          <w:rFonts w:ascii="Candara" w:hAnsi="Candara"/>
          <w:lang w:val="en-US"/>
        </w:rPr>
        <w:t>generalized</w:t>
      </w:r>
      <w:r w:rsidR="00E80B26">
        <w:rPr>
          <w:rFonts w:ascii="Candara" w:hAnsi="Candara"/>
          <w:lang w:val="en-US"/>
        </w:rPr>
        <w:t xml:space="preserve"> linear </w:t>
      </w:r>
      <w:r w:rsidRPr="007A39F2">
        <w:rPr>
          <w:rFonts w:ascii="Candara" w:hAnsi="Candara"/>
          <w:lang w:val="en-US"/>
        </w:rPr>
        <w:t>model for continu</w:t>
      </w:r>
      <w:r w:rsidR="00AB3309">
        <w:rPr>
          <w:rFonts w:ascii="Candara" w:hAnsi="Candara"/>
          <w:lang w:val="en-US"/>
        </w:rPr>
        <w:t>ous variables</w:t>
      </w:r>
      <w:r w:rsidRPr="007A39F2">
        <w:rPr>
          <w:rFonts w:ascii="Candara" w:hAnsi="Candara"/>
          <w:lang w:val="en-US"/>
        </w:rPr>
        <w:t>.</w:t>
      </w:r>
    </w:p>
    <w:p w14:paraId="4A36020E" w14:textId="3C34F5A7" w:rsidR="005E3BA8" w:rsidRDefault="008E6AE5" w:rsidP="00D2210C">
      <w:pPr>
        <w:autoSpaceDE w:val="0"/>
        <w:autoSpaceDN w:val="0"/>
        <w:adjustRightInd w:val="0"/>
        <w:spacing w:line="480" w:lineRule="auto"/>
        <w:rPr>
          <w:rFonts w:ascii="Candara" w:hAnsi="Candara"/>
        </w:rPr>
      </w:pPr>
      <w:r>
        <w:rPr>
          <w:rFonts w:ascii="Candara" w:hAnsi="Candara"/>
          <w:lang w:val="en-US"/>
        </w:rPr>
        <w:t xml:space="preserve">Logistic regression was used to estimate crude and adjusted incidence rates ratios </w:t>
      </w:r>
      <w:r w:rsidR="00DD63BE">
        <w:rPr>
          <w:rFonts w:ascii="Candara" w:hAnsi="Candara"/>
          <w:lang w:val="en-US"/>
        </w:rPr>
        <w:t>of cardiova</w:t>
      </w:r>
      <w:r w:rsidR="00CB2196">
        <w:rPr>
          <w:rFonts w:ascii="Candara" w:hAnsi="Candara"/>
          <w:lang w:val="en-US"/>
        </w:rPr>
        <w:t xml:space="preserve">scular mortality by TyG </w:t>
      </w:r>
      <w:r w:rsidR="000513BF">
        <w:rPr>
          <w:rFonts w:ascii="Candara" w:hAnsi="Candara"/>
          <w:lang w:val="en-US"/>
        </w:rPr>
        <w:t xml:space="preserve">index </w:t>
      </w:r>
      <w:r w:rsidR="00CB2196">
        <w:rPr>
          <w:rFonts w:ascii="Candara" w:hAnsi="Candara"/>
          <w:lang w:val="en-US"/>
        </w:rPr>
        <w:t>categories</w:t>
      </w:r>
      <w:r w:rsidR="00872F4A">
        <w:rPr>
          <w:rFonts w:ascii="Candara" w:hAnsi="Candara"/>
          <w:lang w:val="en-US"/>
        </w:rPr>
        <w:t xml:space="preserve"> with adjustment of covariables (including clinical measurements</w:t>
      </w:r>
      <w:r w:rsidR="00370EEC">
        <w:rPr>
          <w:rFonts w:ascii="Candara" w:hAnsi="Candara"/>
          <w:lang w:val="en-US"/>
        </w:rPr>
        <w:t>, comorbidities and treatments</w:t>
      </w:r>
      <w:r w:rsidR="00872F4A">
        <w:rPr>
          <w:rFonts w:ascii="Candara" w:hAnsi="Candara"/>
          <w:lang w:val="en-US"/>
        </w:rPr>
        <w:t>) presented in Table-1</w:t>
      </w:r>
      <w:r w:rsidR="00DD63BE">
        <w:rPr>
          <w:rFonts w:ascii="Candara" w:hAnsi="Candara"/>
          <w:lang w:val="en-US"/>
        </w:rPr>
        <w:t>.</w:t>
      </w:r>
      <w:r w:rsidR="005E3BA8">
        <w:rPr>
          <w:rFonts w:ascii="Candara" w:hAnsi="Candara"/>
          <w:lang w:val="en-US"/>
        </w:rPr>
        <w:t xml:space="preserve"> </w:t>
      </w:r>
      <w:r w:rsidR="00CB2196" w:rsidRPr="00CB2196">
        <w:rPr>
          <w:rFonts w:ascii="Candara" w:hAnsi="Candara"/>
          <w:lang w:val="en-US"/>
        </w:rPr>
        <w:t xml:space="preserve">The dose-response relationships between </w:t>
      </w:r>
      <w:r w:rsidR="00CB2196">
        <w:rPr>
          <w:rFonts w:ascii="Candara" w:hAnsi="Candara"/>
          <w:lang w:val="en-US"/>
        </w:rPr>
        <w:t>TyG</w:t>
      </w:r>
      <w:r w:rsidR="00CB2196" w:rsidRPr="00CB2196">
        <w:rPr>
          <w:rFonts w:ascii="Candara" w:hAnsi="Candara"/>
          <w:lang w:val="en-US"/>
        </w:rPr>
        <w:t xml:space="preserve"> </w:t>
      </w:r>
      <w:r w:rsidR="000513BF">
        <w:rPr>
          <w:rFonts w:ascii="Candara" w:hAnsi="Candara"/>
          <w:lang w:val="en-US"/>
        </w:rPr>
        <w:t xml:space="preserve">index </w:t>
      </w:r>
      <w:r w:rsidR="00CB2196" w:rsidRPr="00CB2196">
        <w:rPr>
          <w:rFonts w:ascii="Candara" w:hAnsi="Candara"/>
          <w:lang w:val="en-US"/>
        </w:rPr>
        <w:t xml:space="preserve">and risks of </w:t>
      </w:r>
      <w:r w:rsidR="00CB2196">
        <w:rPr>
          <w:rFonts w:ascii="Candara" w:hAnsi="Candara"/>
          <w:lang w:val="en-US"/>
        </w:rPr>
        <w:t>cardiovascular mortality</w:t>
      </w:r>
      <w:r w:rsidR="00CB2196" w:rsidRPr="00CB2196">
        <w:rPr>
          <w:rFonts w:ascii="Candara" w:hAnsi="Candara"/>
          <w:lang w:val="en-US"/>
        </w:rPr>
        <w:t xml:space="preserve"> were estimated using a linear model, a natural cubic spline model with three equally spaced knots determined from the levels of </w:t>
      </w:r>
      <w:r w:rsidR="00A41DC5">
        <w:rPr>
          <w:rFonts w:ascii="Candara" w:hAnsi="Candara"/>
          <w:lang w:val="en-US"/>
        </w:rPr>
        <w:t>TyG</w:t>
      </w:r>
      <w:r w:rsidR="00CB2196" w:rsidRPr="00CB2196">
        <w:rPr>
          <w:rFonts w:ascii="Candara" w:hAnsi="Candara"/>
          <w:lang w:val="en-US"/>
        </w:rPr>
        <w:t xml:space="preserve"> </w:t>
      </w:r>
      <w:r w:rsidR="000513BF">
        <w:rPr>
          <w:rFonts w:ascii="Candara" w:hAnsi="Candara"/>
          <w:lang w:val="en-US"/>
        </w:rPr>
        <w:t xml:space="preserve">index </w:t>
      </w:r>
      <w:r w:rsidR="00CB2196" w:rsidRPr="00CB2196">
        <w:rPr>
          <w:rFonts w:ascii="Candara" w:hAnsi="Candara"/>
          <w:lang w:val="en-US"/>
        </w:rPr>
        <w:t xml:space="preserve">measures, and a quadratic spline model. The natural cubic spline model was chosen as the best fit model for the relationship curve by its minimum Akaike information criterion (AIC) compared with the linear model or quadratic spline model. The linear test was used in the natural cubic spline model to test the linearity of the relationship. </w:t>
      </w:r>
      <w:r w:rsidR="005E3BA8">
        <w:rPr>
          <w:rFonts w:ascii="Candara" w:hAnsi="Candara"/>
          <w:lang w:val="en-US"/>
        </w:rPr>
        <w:t xml:space="preserve"> </w:t>
      </w:r>
      <w:r w:rsidR="00847993" w:rsidRPr="00A064D1">
        <w:rPr>
          <w:rFonts w:ascii="Candara" w:hAnsi="Candara"/>
        </w:rPr>
        <w:t>The break-point test</w:t>
      </w:r>
      <w:r w:rsidR="00883B15">
        <w:rPr>
          <w:rFonts w:ascii="Candara" w:hAnsi="Candara"/>
        </w:rPr>
        <w:t>(</w:t>
      </w:r>
      <w:r w:rsidR="00847993" w:rsidRPr="00A064D1">
        <w:rPr>
          <w:rFonts w:ascii="Candara" w:hAnsi="Candara"/>
        </w:rPr>
        <w:t>11</w:t>
      </w:r>
      <w:r w:rsidR="00883B15">
        <w:rPr>
          <w:rFonts w:ascii="Candara" w:hAnsi="Candara"/>
        </w:rPr>
        <w:t>)</w:t>
      </w:r>
      <w:r w:rsidR="00847993" w:rsidRPr="00A064D1">
        <w:rPr>
          <w:rFonts w:ascii="Candara" w:hAnsi="Candara"/>
        </w:rPr>
        <w:t xml:space="preserve"> was carried out to target the potential thresholds (P</w:t>
      </w:r>
      <w:r w:rsidR="00847993" w:rsidRPr="000B72EB">
        <w:rPr>
          <w:rFonts w:ascii="Candara" w:hAnsi="Candara"/>
          <w:vertAlign w:val="subscript"/>
        </w:rPr>
        <w:t>5</w:t>
      </w:r>
      <w:r w:rsidR="00847993" w:rsidRPr="00A064D1">
        <w:rPr>
          <w:rFonts w:ascii="Candara" w:hAnsi="Candara"/>
        </w:rPr>
        <w:t xml:space="preserve"> to P</w:t>
      </w:r>
      <w:r w:rsidR="00847993" w:rsidRPr="000B72EB">
        <w:rPr>
          <w:rFonts w:ascii="Candara" w:hAnsi="Candara"/>
          <w:vertAlign w:val="subscript"/>
        </w:rPr>
        <w:t>95</w:t>
      </w:r>
      <w:r w:rsidR="00847993" w:rsidRPr="00A064D1">
        <w:rPr>
          <w:rFonts w:ascii="Candara" w:hAnsi="Candara"/>
        </w:rPr>
        <w:t xml:space="preserve"> of </w:t>
      </w:r>
      <w:r w:rsidR="00847993">
        <w:rPr>
          <w:rFonts w:ascii="Candara" w:hAnsi="Candara"/>
        </w:rPr>
        <w:t>TyG</w:t>
      </w:r>
      <w:r w:rsidR="00847993" w:rsidRPr="00A064D1">
        <w:rPr>
          <w:rFonts w:ascii="Candara" w:hAnsi="Candara"/>
        </w:rPr>
        <w:t xml:space="preserve"> </w:t>
      </w:r>
      <w:r w:rsidR="000513BF">
        <w:rPr>
          <w:rFonts w:ascii="Candara" w:hAnsi="Candara"/>
        </w:rPr>
        <w:t xml:space="preserve">index </w:t>
      </w:r>
      <w:r w:rsidR="00847993" w:rsidRPr="00A064D1">
        <w:rPr>
          <w:rFonts w:ascii="Candara" w:hAnsi="Candara"/>
        </w:rPr>
        <w:t>measures) by incorporating the piecewise term into the cubic spline model. The threshold with a significant break in the regression coefficients and achieving the minimum AIC was chosen as the final threshold.</w:t>
      </w:r>
      <w:r w:rsidR="006E1848">
        <w:rPr>
          <w:rFonts w:ascii="Candara" w:hAnsi="Candara"/>
        </w:rPr>
        <w:fldChar w:fldCharType="begin"/>
      </w:r>
      <w:r w:rsidR="000337C7">
        <w:rPr>
          <w:rFonts w:ascii="Candara" w:hAnsi="Candara"/>
        </w:rPr>
        <w:instrText>ADDIN RW.CITE{{2642 Yu,D. 2014}}</w:instrText>
      </w:r>
      <w:r w:rsidR="006E1848">
        <w:rPr>
          <w:rFonts w:ascii="Candara" w:hAnsi="Candara"/>
        </w:rPr>
        <w:fldChar w:fldCharType="separate"/>
      </w:r>
      <w:r w:rsidR="00642D21" w:rsidRPr="00642D21">
        <w:rPr>
          <w:rFonts w:ascii="Candara" w:hAnsi="Candara"/>
        </w:rPr>
        <w:t>(22)</w:t>
      </w:r>
      <w:r w:rsidR="006E1848">
        <w:rPr>
          <w:rFonts w:ascii="Candara" w:hAnsi="Candara"/>
        </w:rPr>
        <w:fldChar w:fldCharType="end"/>
      </w:r>
      <w:r w:rsidR="00847993" w:rsidRPr="00A064D1">
        <w:rPr>
          <w:rFonts w:ascii="Candara" w:hAnsi="Candara"/>
        </w:rPr>
        <w:t xml:space="preserve"> The 95% CI of the threshold was obtained from 1000 bootstrap samples</w:t>
      </w:r>
      <w:r w:rsidR="00847993">
        <w:rPr>
          <w:rFonts w:ascii="Candara" w:hAnsi="Candara"/>
        </w:rPr>
        <w:t>.</w:t>
      </w:r>
    </w:p>
    <w:p w14:paraId="28C69767" w14:textId="236D2682" w:rsidR="00CB2196" w:rsidRDefault="00CB2196" w:rsidP="00D2210C">
      <w:pPr>
        <w:autoSpaceDE w:val="0"/>
        <w:autoSpaceDN w:val="0"/>
        <w:adjustRightInd w:val="0"/>
        <w:spacing w:line="480" w:lineRule="auto"/>
        <w:rPr>
          <w:rFonts w:ascii="Candara" w:hAnsi="Candara"/>
          <w:lang w:val="en-US"/>
        </w:rPr>
      </w:pPr>
      <w:r w:rsidRPr="00CB2196">
        <w:rPr>
          <w:rFonts w:ascii="Candara" w:hAnsi="Candara"/>
          <w:lang w:val="en-US"/>
        </w:rPr>
        <w:t xml:space="preserve">As the most important confounder, the role of the </w:t>
      </w:r>
      <w:r w:rsidR="00931755">
        <w:rPr>
          <w:rFonts w:ascii="Candara" w:hAnsi="Candara"/>
          <w:lang w:val="en-US"/>
        </w:rPr>
        <w:t>body mass index</w:t>
      </w:r>
      <w:r w:rsidRPr="00CB2196">
        <w:rPr>
          <w:rFonts w:ascii="Candara" w:hAnsi="Candara"/>
          <w:lang w:val="en-US"/>
        </w:rPr>
        <w:t xml:space="preserve"> in the association between </w:t>
      </w:r>
      <w:r w:rsidR="00931755">
        <w:rPr>
          <w:rFonts w:ascii="Candara" w:hAnsi="Candara"/>
          <w:lang w:val="en-US"/>
        </w:rPr>
        <w:t>TyG</w:t>
      </w:r>
      <w:r w:rsidRPr="00CB2196">
        <w:rPr>
          <w:rFonts w:ascii="Candara" w:hAnsi="Candara"/>
          <w:lang w:val="en-US"/>
        </w:rPr>
        <w:t xml:space="preserve"> </w:t>
      </w:r>
      <w:r w:rsidR="000513BF">
        <w:rPr>
          <w:rFonts w:ascii="Candara" w:hAnsi="Candara"/>
          <w:lang w:val="en-US"/>
        </w:rPr>
        <w:t xml:space="preserve">index </w:t>
      </w:r>
      <w:r w:rsidRPr="00CB2196">
        <w:rPr>
          <w:rFonts w:ascii="Candara" w:hAnsi="Candara"/>
          <w:lang w:val="en-US"/>
        </w:rPr>
        <w:t xml:space="preserve">and risks of </w:t>
      </w:r>
      <w:r w:rsidR="00EB1704">
        <w:rPr>
          <w:rFonts w:ascii="Candara" w:hAnsi="Candara"/>
          <w:lang w:val="en-US"/>
        </w:rPr>
        <w:t>cardiovascular mortality was examined by categorical analysis.</w:t>
      </w:r>
    </w:p>
    <w:p w14:paraId="5A031635" w14:textId="57AC6BC4" w:rsidR="008E6AE5" w:rsidRPr="00871CA8" w:rsidRDefault="00847993" w:rsidP="00D2210C">
      <w:pPr>
        <w:autoSpaceDE w:val="0"/>
        <w:autoSpaceDN w:val="0"/>
        <w:adjustRightInd w:val="0"/>
        <w:spacing w:line="480" w:lineRule="auto"/>
        <w:rPr>
          <w:rFonts w:ascii="Candara" w:hAnsi="Candara"/>
          <w:lang w:val="en-US"/>
        </w:rPr>
      </w:pPr>
      <w:r w:rsidRPr="00871CA8">
        <w:rPr>
          <w:rFonts w:ascii="Candara" w:hAnsi="Candara"/>
          <w:lang w:val="en-US"/>
        </w:rPr>
        <w:t xml:space="preserve">All analyses were performed using STATA (STATA/MP 15.0 StataCorp, College Station, TX, USA). All </w:t>
      </w:r>
      <w:r w:rsidRPr="000B72EB">
        <w:rPr>
          <w:rFonts w:ascii="Candara" w:hAnsi="Candara"/>
          <w:i/>
          <w:lang w:val="en-US"/>
        </w:rPr>
        <w:t>P</w:t>
      </w:r>
      <w:r w:rsidRPr="00871CA8">
        <w:rPr>
          <w:rFonts w:ascii="Candara" w:hAnsi="Candara"/>
          <w:lang w:val="en-US"/>
        </w:rPr>
        <w:t xml:space="preserve"> values were calculated using two-tailed tests and a </w:t>
      </w:r>
      <w:r w:rsidRPr="000B72EB">
        <w:rPr>
          <w:rFonts w:ascii="Candara" w:hAnsi="Candara"/>
          <w:i/>
          <w:lang w:val="en-US"/>
        </w:rPr>
        <w:t>P</w:t>
      </w:r>
      <w:r w:rsidRPr="00871CA8">
        <w:rPr>
          <w:rFonts w:ascii="Candara" w:hAnsi="Candara"/>
          <w:lang w:val="en-US"/>
        </w:rPr>
        <w:t xml:space="preserve"> value &lt; 0.05 was taken to indicate statistical significance.</w:t>
      </w:r>
    </w:p>
    <w:p w14:paraId="3CCAE475" w14:textId="77777777" w:rsidR="00AB3309" w:rsidRPr="00A95987" w:rsidRDefault="00AB3309" w:rsidP="00D2210C">
      <w:pPr>
        <w:autoSpaceDE w:val="0"/>
        <w:autoSpaceDN w:val="0"/>
        <w:adjustRightInd w:val="0"/>
        <w:spacing w:line="480" w:lineRule="auto"/>
        <w:rPr>
          <w:rFonts w:ascii="Candara" w:hAnsi="Candara"/>
          <w:lang w:val="en-US"/>
        </w:rPr>
      </w:pPr>
    </w:p>
    <w:p w14:paraId="174EB4B5" w14:textId="77777777" w:rsidR="004C2E8D" w:rsidRDefault="004C2E8D" w:rsidP="00D2210C">
      <w:pPr>
        <w:autoSpaceDE w:val="0"/>
        <w:autoSpaceDN w:val="0"/>
        <w:adjustRightInd w:val="0"/>
        <w:spacing w:line="480" w:lineRule="auto"/>
        <w:rPr>
          <w:rFonts w:ascii="Candara" w:hAnsi="Candara"/>
          <w:b/>
          <w:lang w:val="en-US"/>
        </w:rPr>
      </w:pPr>
      <w:r w:rsidRPr="00001BF1">
        <w:rPr>
          <w:rFonts w:ascii="Candara" w:hAnsi="Candara"/>
          <w:b/>
          <w:lang w:val="en-US"/>
        </w:rPr>
        <w:t>RESULTS</w:t>
      </w:r>
    </w:p>
    <w:p w14:paraId="4177501B" w14:textId="544AE0F0" w:rsidR="004C2E8D" w:rsidRDefault="00926608" w:rsidP="00D2210C">
      <w:pPr>
        <w:spacing w:line="480" w:lineRule="auto"/>
        <w:rPr>
          <w:rFonts w:ascii="Candara" w:eastAsiaTheme="minorEastAsia" w:hAnsi="Candara"/>
        </w:rPr>
      </w:pPr>
      <w:r w:rsidRPr="005B59D6">
        <w:rPr>
          <w:rFonts w:ascii="Candara" w:eastAsiaTheme="minorEastAsia" w:hAnsi="Candara" w:hint="eastAsia"/>
          <w:b/>
        </w:rPr>
        <w:t>Table</w:t>
      </w:r>
      <w:r w:rsidRPr="005B59D6">
        <w:rPr>
          <w:rFonts w:ascii="Candara" w:eastAsiaTheme="minorEastAsia" w:hAnsi="Candara"/>
          <w:b/>
        </w:rPr>
        <w:t xml:space="preserve"> 1</w:t>
      </w:r>
      <w:r>
        <w:rPr>
          <w:rFonts w:ascii="Candara" w:eastAsiaTheme="minorEastAsia" w:hAnsi="Candara"/>
        </w:rPr>
        <w:t xml:space="preserve"> shows patient characteristics among patients with </w:t>
      </w:r>
      <w:r w:rsidR="00DB41FD">
        <w:rPr>
          <w:rFonts w:ascii="Candara" w:eastAsiaTheme="minorEastAsia" w:hAnsi="Candara"/>
        </w:rPr>
        <w:t>initiated</w:t>
      </w:r>
      <w:r>
        <w:rPr>
          <w:rFonts w:ascii="Candara" w:eastAsiaTheme="minorEastAsia" w:hAnsi="Candara"/>
        </w:rPr>
        <w:t xml:space="preserve"> PD by TyG </w:t>
      </w:r>
      <w:r w:rsidR="000513BF">
        <w:rPr>
          <w:rFonts w:ascii="Candara" w:eastAsiaTheme="minorEastAsia" w:hAnsi="Candara"/>
        </w:rPr>
        <w:t xml:space="preserve">index </w:t>
      </w:r>
      <w:r>
        <w:rPr>
          <w:rFonts w:ascii="Candara" w:eastAsiaTheme="minorEastAsia" w:hAnsi="Candara"/>
        </w:rPr>
        <w:t xml:space="preserve">levels. </w:t>
      </w:r>
      <w:r w:rsidR="006B4D56">
        <w:rPr>
          <w:rFonts w:ascii="Candara" w:eastAsiaTheme="minorEastAsia" w:hAnsi="Candara"/>
        </w:rPr>
        <w:t>Compar</w:t>
      </w:r>
      <w:r w:rsidR="00883B15">
        <w:rPr>
          <w:rFonts w:ascii="Candara" w:eastAsiaTheme="minorEastAsia" w:hAnsi="Candara"/>
        </w:rPr>
        <w:t>ed</w:t>
      </w:r>
      <w:r w:rsidR="006B4D56">
        <w:rPr>
          <w:rFonts w:ascii="Candara" w:eastAsiaTheme="minorEastAsia" w:hAnsi="Candara"/>
        </w:rPr>
        <w:t xml:space="preserve"> with</w:t>
      </w:r>
      <w:r w:rsidR="00883B15">
        <w:rPr>
          <w:rFonts w:ascii="Candara" w:eastAsiaTheme="minorEastAsia" w:hAnsi="Candara"/>
        </w:rPr>
        <w:t xml:space="preserve"> those with a</w:t>
      </w:r>
      <w:r w:rsidR="006B4D56">
        <w:rPr>
          <w:rFonts w:ascii="Candara" w:eastAsiaTheme="minorEastAsia" w:hAnsi="Candara"/>
        </w:rPr>
        <w:t xml:space="preserve"> low level of TyG </w:t>
      </w:r>
      <w:r w:rsidR="00D87F95">
        <w:rPr>
          <w:rFonts w:ascii="Candara" w:eastAsiaTheme="minorEastAsia" w:hAnsi="Candara"/>
        </w:rPr>
        <w:t xml:space="preserve">index </w:t>
      </w:r>
      <w:r w:rsidR="006B4D56">
        <w:rPr>
          <w:rFonts w:ascii="Candara" w:eastAsiaTheme="minorEastAsia" w:hAnsi="Candara"/>
        </w:rPr>
        <w:t>(TyG</w:t>
      </w:r>
      <w:r w:rsidR="00D87F95">
        <w:rPr>
          <w:rFonts w:ascii="Candara" w:eastAsiaTheme="minorEastAsia" w:hAnsi="Candara"/>
        </w:rPr>
        <w:t xml:space="preserve"> index </w:t>
      </w:r>
      <w:r w:rsidR="006B4D56">
        <w:rPr>
          <w:rFonts w:ascii="Candara" w:eastAsiaTheme="minorEastAsia" w:hAnsi="Candara"/>
        </w:rPr>
        <w:t>&lt;</w:t>
      </w:r>
      <w:r w:rsidR="00D87F95">
        <w:rPr>
          <w:rFonts w:ascii="Candara" w:eastAsiaTheme="minorEastAsia" w:hAnsi="Candara"/>
        </w:rPr>
        <w:t xml:space="preserve"> </w:t>
      </w:r>
      <w:r w:rsidR="006B4D56">
        <w:rPr>
          <w:rFonts w:ascii="Candara" w:eastAsiaTheme="minorEastAsia" w:hAnsi="Candara"/>
        </w:rPr>
        <w:t xml:space="preserve">8.10), patients with high levels </w:t>
      </w:r>
      <w:r w:rsidR="00AF3F31">
        <w:rPr>
          <w:rFonts w:ascii="Candara" w:eastAsiaTheme="minorEastAsia" w:hAnsi="Candara"/>
        </w:rPr>
        <w:t xml:space="preserve">of TyG </w:t>
      </w:r>
      <w:r w:rsidR="00D87F95">
        <w:rPr>
          <w:rFonts w:ascii="Candara" w:eastAsiaTheme="minorEastAsia" w:hAnsi="Candara"/>
        </w:rPr>
        <w:t xml:space="preserve">index </w:t>
      </w:r>
      <w:r w:rsidR="00AF3F31">
        <w:rPr>
          <w:rFonts w:ascii="Candara" w:eastAsiaTheme="minorEastAsia" w:hAnsi="Candara"/>
        </w:rPr>
        <w:t xml:space="preserve">were </w:t>
      </w:r>
      <w:r w:rsidR="00D9331C">
        <w:rPr>
          <w:rFonts w:ascii="Candara" w:eastAsiaTheme="minorEastAsia" w:hAnsi="Candara"/>
        </w:rPr>
        <w:t xml:space="preserve">more likely to be </w:t>
      </w:r>
      <w:r w:rsidR="007E3737">
        <w:rPr>
          <w:rFonts w:ascii="Candara" w:eastAsiaTheme="minorEastAsia" w:hAnsi="Candara"/>
        </w:rPr>
        <w:t>female,</w:t>
      </w:r>
      <w:r w:rsidR="00471D0F">
        <w:rPr>
          <w:rFonts w:ascii="Candara" w:eastAsiaTheme="minorEastAsia" w:hAnsi="Candara"/>
        </w:rPr>
        <w:t xml:space="preserve"> </w:t>
      </w:r>
      <w:r w:rsidR="00883B15">
        <w:rPr>
          <w:rFonts w:ascii="Candara" w:eastAsiaTheme="minorEastAsia" w:hAnsi="Candara"/>
        </w:rPr>
        <w:t xml:space="preserve">have </w:t>
      </w:r>
      <w:r w:rsidR="00D9331C">
        <w:rPr>
          <w:rFonts w:ascii="Candara" w:eastAsiaTheme="minorEastAsia" w:hAnsi="Candara"/>
        </w:rPr>
        <w:t>existing cardiovascular disease</w:t>
      </w:r>
      <w:r w:rsidR="00883B15">
        <w:rPr>
          <w:rFonts w:ascii="Candara" w:eastAsiaTheme="minorEastAsia" w:hAnsi="Candara"/>
        </w:rPr>
        <w:t xml:space="preserve"> and/or</w:t>
      </w:r>
      <w:r w:rsidR="00D9331C">
        <w:rPr>
          <w:rFonts w:ascii="Candara" w:eastAsiaTheme="minorEastAsia" w:hAnsi="Candara"/>
        </w:rPr>
        <w:t xml:space="preserve"> </w:t>
      </w:r>
      <w:r w:rsidR="00471D0F">
        <w:rPr>
          <w:rFonts w:ascii="Candara" w:eastAsiaTheme="minorEastAsia" w:hAnsi="Candara"/>
        </w:rPr>
        <w:t xml:space="preserve">type 2 diabetes, </w:t>
      </w:r>
      <w:r w:rsidR="00F85414">
        <w:rPr>
          <w:rFonts w:ascii="Candara" w:eastAsiaTheme="minorEastAsia" w:hAnsi="Candara"/>
        </w:rPr>
        <w:t xml:space="preserve">taking </w:t>
      </w:r>
      <w:r w:rsidR="00883B15">
        <w:rPr>
          <w:rFonts w:ascii="Candara" w:eastAsiaTheme="minorEastAsia" w:hAnsi="Candara"/>
        </w:rPr>
        <w:t xml:space="preserve">an </w:t>
      </w:r>
      <w:r w:rsidR="00F85414">
        <w:rPr>
          <w:rFonts w:ascii="Candara" w:eastAsiaTheme="minorEastAsia" w:hAnsi="Candara"/>
        </w:rPr>
        <w:t>antidiabet</w:t>
      </w:r>
      <w:r w:rsidR="00883B15">
        <w:rPr>
          <w:rFonts w:ascii="Candara" w:eastAsiaTheme="minorEastAsia" w:hAnsi="Candara"/>
        </w:rPr>
        <w:t>es</w:t>
      </w:r>
      <w:r w:rsidR="00F85414">
        <w:rPr>
          <w:rFonts w:ascii="Candara" w:eastAsiaTheme="minorEastAsia" w:hAnsi="Candara"/>
        </w:rPr>
        <w:t xml:space="preserve"> agent and </w:t>
      </w:r>
      <w:r w:rsidR="00883B15">
        <w:rPr>
          <w:rFonts w:ascii="Candara" w:eastAsiaTheme="minorEastAsia" w:hAnsi="Candara"/>
        </w:rPr>
        <w:t xml:space="preserve">be less likely to be </w:t>
      </w:r>
      <w:r w:rsidR="00F85414">
        <w:rPr>
          <w:rFonts w:ascii="Candara" w:eastAsiaTheme="minorEastAsia" w:hAnsi="Candara"/>
        </w:rPr>
        <w:t xml:space="preserve">taking antihypertensive treatment. </w:t>
      </w:r>
      <w:r w:rsidR="00A22CC4">
        <w:rPr>
          <w:rFonts w:ascii="Candara" w:eastAsiaTheme="minorEastAsia" w:hAnsi="Candara"/>
        </w:rPr>
        <w:t>Patients with high level</w:t>
      </w:r>
      <w:r w:rsidR="00883B15">
        <w:rPr>
          <w:rFonts w:ascii="Candara" w:eastAsiaTheme="minorEastAsia" w:hAnsi="Candara"/>
        </w:rPr>
        <w:t>s</w:t>
      </w:r>
      <w:r w:rsidR="00A22CC4">
        <w:rPr>
          <w:rFonts w:ascii="Candara" w:eastAsiaTheme="minorEastAsia" w:hAnsi="Candara"/>
        </w:rPr>
        <w:t xml:space="preserve"> of TyG </w:t>
      </w:r>
      <w:r w:rsidR="00D87F95">
        <w:rPr>
          <w:rFonts w:ascii="Candara" w:eastAsiaTheme="minorEastAsia" w:hAnsi="Candara"/>
        </w:rPr>
        <w:t xml:space="preserve">index </w:t>
      </w:r>
      <w:r w:rsidR="00A22CC4">
        <w:rPr>
          <w:rFonts w:ascii="Candara" w:eastAsiaTheme="minorEastAsia" w:hAnsi="Candara"/>
        </w:rPr>
        <w:t>were also more likely to have higher level</w:t>
      </w:r>
      <w:r w:rsidR="00883B15">
        <w:rPr>
          <w:rFonts w:ascii="Candara" w:eastAsiaTheme="minorEastAsia" w:hAnsi="Candara"/>
        </w:rPr>
        <w:t>s</w:t>
      </w:r>
      <w:r w:rsidR="00A22CC4">
        <w:rPr>
          <w:rFonts w:ascii="Candara" w:eastAsiaTheme="minorEastAsia" w:hAnsi="Candara"/>
        </w:rPr>
        <w:t xml:space="preserve"> of </w:t>
      </w:r>
      <w:r w:rsidR="00AF3F31">
        <w:rPr>
          <w:rFonts w:ascii="Candara" w:eastAsiaTheme="minorEastAsia" w:hAnsi="Candara"/>
        </w:rPr>
        <w:t>haemoglobin, packed cell volume</w:t>
      </w:r>
      <w:r w:rsidR="00BD65B3">
        <w:rPr>
          <w:rFonts w:ascii="Candara" w:eastAsiaTheme="minorEastAsia" w:hAnsi="Candara"/>
        </w:rPr>
        <w:t xml:space="preserve">, reticulocytes, </w:t>
      </w:r>
      <w:r w:rsidR="008F0056">
        <w:rPr>
          <w:rFonts w:ascii="Candara" w:eastAsiaTheme="minorEastAsia" w:hAnsi="Candara"/>
        </w:rPr>
        <w:t>phosph</w:t>
      </w:r>
      <w:r w:rsidR="00883B15">
        <w:rPr>
          <w:rFonts w:ascii="Candara" w:eastAsiaTheme="minorEastAsia" w:hAnsi="Candara"/>
        </w:rPr>
        <w:t>ate</w:t>
      </w:r>
      <w:r w:rsidR="008F0056">
        <w:rPr>
          <w:rFonts w:ascii="Candara" w:eastAsiaTheme="minorEastAsia" w:hAnsi="Candara"/>
        </w:rPr>
        <w:t xml:space="preserve">, albumin, total iron binding capacity, </w:t>
      </w:r>
      <w:r w:rsidR="00CB6ADD">
        <w:rPr>
          <w:rFonts w:ascii="Candara" w:eastAsiaTheme="minorEastAsia" w:hAnsi="Candara"/>
        </w:rPr>
        <w:t>transferrin, total protein, pre</w:t>
      </w:r>
      <w:r w:rsidR="00883B15">
        <w:rPr>
          <w:rFonts w:ascii="Candara" w:eastAsiaTheme="minorEastAsia" w:hAnsi="Candara"/>
        </w:rPr>
        <w:t>-</w:t>
      </w:r>
      <w:r w:rsidR="00CB6ADD">
        <w:rPr>
          <w:rFonts w:ascii="Candara" w:eastAsiaTheme="minorEastAsia" w:hAnsi="Candara"/>
        </w:rPr>
        <w:t xml:space="preserve">albumin, </w:t>
      </w:r>
      <w:r w:rsidR="00F43685">
        <w:rPr>
          <w:rFonts w:ascii="Candara" w:eastAsiaTheme="minorEastAsia" w:hAnsi="Candara"/>
        </w:rPr>
        <w:t xml:space="preserve">total cholesterol, low density lipoprotein, fasting glucose, </w:t>
      </w:r>
      <w:r w:rsidR="001D2BF9">
        <w:rPr>
          <w:rFonts w:ascii="Candara" w:eastAsiaTheme="minorEastAsia" w:hAnsi="Candara"/>
        </w:rPr>
        <w:t>C-reaction protein</w:t>
      </w:r>
      <w:r w:rsidR="007E3737">
        <w:rPr>
          <w:rFonts w:ascii="Candara" w:eastAsiaTheme="minorEastAsia" w:hAnsi="Candara"/>
        </w:rPr>
        <w:t xml:space="preserve">, systolic blood pressure </w:t>
      </w:r>
      <w:r w:rsidR="00F43685">
        <w:rPr>
          <w:rFonts w:ascii="Candara" w:eastAsiaTheme="minorEastAsia" w:hAnsi="Candara"/>
        </w:rPr>
        <w:t>and body mass index</w:t>
      </w:r>
      <w:r w:rsidR="00883B15">
        <w:rPr>
          <w:rFonts w:ascii="Candara" w:eastAsiaTheme="minorEastAsia" w:hAnsi="Candara"/>
        </w:rPr>
        <w:t>,</w:t>
      </w:r>
      <w:r w:rsidR="001D2BF9">
        <w:rPr>
          <w:rFonts w:ascii="Candara" w:eastAsiaTheme="minorEastAsia" w:hAnsi="Candara"/>
        </w:rPr>
        <w:t xml:space="preserve"> and </w:t>
      </w:r>
      <w:r w:rsidR="00883B15">
        <w:rPr>
          <w:rFonts w:ascii="Candara" w:eastAsiaTheme="minorEastAsia" w:hAnsi="Candara"/>
        </w:rPr>
        <w:t xml:space="preserve">a </w:t>
      </w:r>
      <w:r w:rsidR="001D2BF9">
        <w:rPr>
          <w:rFonts w:ascii="Candara" w:eastAsiaTheme="minorEastAsia" w:hAnsi="Candara"/>
        </w:rPr>
        <w:t xml:space="preserve">lower level of FeTIBC, estimated glomerular filtration rate, </w:t>
      </w:r>
      <w:r w:rsidR="00F659B3">
        <w:rPr>
          <w:rFonts w:ascii="Candara" w:eastAsiaTheme="minorEastAsia" w:hAnsi="Candara"/>
        </w:rPr>
        <w:t xml:space="preserve">sodium, high density lipoprotein and diastolic blood pressure. </w:t>
      </w:r>
    </w:p>
    <w:p w14:paraId="3AD34DAD" w14:textId="77777777" w:rsidR="005B59D6" w:rsidRDefault="005B59D6" w:rsidP="00D2210C">
      <w:pPr>
        <w:spacing w:line="480" w:lineRule="auto"/>
        <w:rPr>
          <w:rFonts w:ascii="Candara" w:eastAsiaTheme="minorEastAsia" w:hAnsi="Candara"/>
        </w:rPr>
      </w:pPr>
    </w:p>
    <w:p w14:paraId="5B8D32C6" w14:textId="5237C61E" w:rsidR="00CD1C60" w:rsidRDefault="003424E5" w:rsidP="00D2210C">
      <w:pPr>
        <w:spacing w:line="480" w:lineRule="auto"/>
        <w:rPr>
          <w:rFonts w:ascii="Candara" w:eastAsiaTheme="minorEastAsia" w:hAnsi="Candara"/>
        </w:rPr>
      </w:pPr>
      <w:r w:rsidRPr="005B59D6">
        <w:rPr>
          <w:rFonts w:ascii="Candara" w:eastAsiaTheme="minorEastAsia" w:hAnsi="Candara" w:hint="eastAsia"/>
          <w:b/>
        </w:rPr>
        <w:t>Table</w:t>
      </w:r>
      <w:r w:rsidRPr="005B59D6">
        <w:rPr>
          <w:rFonts w:ascii="Candara" w:eastAsiaTheme="minorEastAsia" w:hAnsi="Candara"/>
          <w:b/>
        </w:rPr>
        <w:t xml:space="preserve"> </w:t>
      </w:r>
      <w:r w:rsidR="00226239">
        <w:rPr>
          <w:rFonts w:ascii="Candara" w:eastAsiaTheme="minorEastAsia" w:hAnsi="Candara"/>
          <w:b/>
        </w:rPr>
        <w:t>2</w:t>
      </w:r>
      <w:r>
        <w:rPr>
          <w:rFonts w:ascii="Candara" w:eastAsiaTheme="minorEastAsia" w:hAnsi="Candara"/>
        </w:rPr>
        <w:t xml:space="preserve"> shows the</w:t>
      </w:r>
      <w:r w:rsidR="00415A10">
        <w:rPr>
          <w:rFonts w:ascii="Candara" w:eastAsiaTheme="minorEastAsia" w:hAnsi="Candara"/>
        </w:rPr>
        <w:t xml:space="preserve"> cardiovascular mortality </w:t>
      </w:r>
      <w:r w:rsidR="008B6E04">
        <w:rPr>
          <w:rFonts w:ascii="Candara" w:eastAsiaTheme="minorEastAsia" w:hAnsi="Candara"/>
        </w:rPr>
        <w:t xml:space="preserve">rates </w:t>
      </w:r>
      <w:r w:rsidR="00415A10">
        <w:rPr>
          <w:rFonts w:ascii="Candara" w:eastAsiaTheme="minorEastAsia" w:hAnsi="Candara"/>
        </w:rPr>
        <w:t xml:space="preserve">by TyG </w:t>
      </w:r>
      <w:r w:rsidR="00D87F95">
        <w:rPr>
          <w:rFonts w:ascii="Candara" w:eastAsiaTheme="minorEastAsia" w:hAnsi="Candara"/>
        </w:rPr>
        <w:t xml:space="preserve">index </w:t>
      </w:r>
      <w:r w:rsidR="00415A10">
        <w:rPr>
          <w:rFonts w:ascii="Candara" w:eastAsiaTheme="minorEastAsia" w:hAnsi="Candara"/>
        </w:rPr>
        <w:t xml:space="preserve">groups. </w:t>
      </w:r>
      <w:r w:rsidR="00246BA6">
        <w:rPr>
          <w:rFonts w:ascii="Candara" w:eastAsiaTheme="minorEastAsia" w:hAnsi="Candara"/>
        </w:rPr>
        <w:t xml:space="preserve">Patients with higher levels of TyG </w:t>
      </w:r>
      <w:r w:rsidR="00D87F95">
        <w:rPr>
          <w:rFonts w:ascii="Candara" w:eastAsiaTheme="minorEastAsia" w:hAnsi="Candara"/>
        </w:rPr>
        <w:t xml:space="preserve">index </w:t>
      </w:r>
      <w:r w:rsidR="00246BA6">
        <w:rPr>
          <w:rFonts w:ascii="Candara" w:eastAsiaTheme="minorEastAsia" w:hAnsi="Candara"/>
        </w:rPr>
        <w:t xml:space="preserve">were more likely to have higher </w:t>
      </w:r>
      <w:r w:rsidR="008B6E04">
        <w:rPr>
          <w:rFonts w:ascii="Candara" w:eastAsiaTheme="minorEastAsia" w:hAnsi="Candara"/>
        </w:rPr>
        <w:t>cardiovascular mortality</w:t>
      </w:r>
      <w:r w:rsidR="00246BA6">
        <w:rPr>
          <w:rFonts w:ascii="Candara" w:eastAsiaTheme="minorEastAsia" w:hAnsi="Candara"/>
        </w:rPr>
        <w:t xml:space="preserve"> rates</w:t>
      </w:r>
      <w:r w:rsidR="007B53EE">
        <w:rPr>
          <w:rFonts w:ascii="Candara" w:eastAsiaTheme="minorEastAsia" w:hAnsi="Candara"/>
        </w:rPr>
        <w:t xml:space="preserve">, as 8.49% (of 766 patients), 12.63% (of 760 patients), 16.97% of (766 patients), </w:t>
      </w:r>
      <w:r w:rsidR="003D355D">
        <w:rPr>
          <w:rFonts w:ascii="Candara" w:eastAsiaTheme="minorEastAsia" w:hAnsi="Candara"/>
        </w:rPr>
        <w:t xml:space="preserve">and </w:t>
      </w:r>
      <w:r w:rsidR="007B53EE">
        <w:rPr>
          <w:rFonts w:ascii="Candara" w:eastAsiaTheme="minorEastAsia" w:hAnsi="Candara"/>
        </w:rPr>
        <w:t xml:space="preserve">19.16% (of 762 patients) </w:t>
      </w:r>
      <w:r w:rsidR="003D355D">
        <w:rPr>
          <w:rFonts w:ascii="Candara" w:eastAsiaTheme="minorEastAsia" w:hAnsi="Candara"/>
        </w:rPr>
        <w:t>for TyG</w:t>
      </w:r>
      <w:r w:rsidR="00D87F95">
        <w:rPr>
          <w:rFonts w:ascii="Candara" w:eastAsiaTheme="minorEastAsia" w:hAnsi="Candara"/>
        </w:rPr>
        <w:t xml:space="preserve"> index </w:t>
      </w:r>
      <w:r w:rsidR="003D355D">
        <w:rPr>
          <w:rFonts w:ascii="Candara" w:eastAsiaTheme="minorEastAsia" w:hAnsi="Candara"/>
        </w:rPr>
        <w:t>&lt;</w:t>
      </w:r>
      <w:r w:rsidR="00D87F95">
        <w:rPr>
          <w:rFonts w:ascii="Candara" w:eastAsiaTheme="minorEastAsia" w:hAnsi="Candara"/>
        </w:rPr>
        <w:t xml:space="preserve"> </w:t>
      </w:r>
      <w:r w:rsidR="003D355D">
        <w:rPr>
          <w:rFonts w:ascii="Candara" w:eastAsiaTheme="minorEastAsia" w:hAnsi="Candara"/>
        </w:rPr>
        <w:t xml:space="preserve">8.10, 8.10-8.38, 8.39-8.68 and ≥8.69, respectively. </w:t>
      </w:r>
    </w:p>
    <w:p w14:paraId="369FA642" w14:textId="33EFBB2C" w:rsidR="00692FCA" w:rsidRPr="0009042A" w:rsidRDefault="0004284D" w:rsidP="00D2210C">
      <w:pPr>
        <w:spacing w:line="480" w:lineRule="auto"/>
        <w:rPr>
          <w:rFonts w:ascii="Candara" w:eastAsiaTheme="minorEastAsia" w:hAnsi="Candara"/>
        </w:rPr>
      </w:pPr>
      <w:r>
        <w:rPr>
          <w:rFonts w:ascii="Candara" w:eastAsiaTheme="minorEastAsia" w:hAnsi="Candara"/>
        </w:rPr>
        <w:t xml:space="preserve">The cardiovascular mortality rates </w:t>
      </w:r>
      <w:r w:rsidR="005E11C6">
        <w:rPr>
          <w:rFonts w:ascii="Candara" w:eastAsiaTheme="minorEastAsia" w:hAnsi="Candara"/>
        </w:rPr>
        <w:t xml:space="preserve">by TyG </w:t>
      </w:r>
      <w:r w:rsidR="00D87F95">
        <w:rPr>
          <w:rFonts w:ascii="Candara" w:eastAsiaTheme="minorEastAsia" w:hAnsi="Candara"/>
        </w:rPr>
        <w:t xml:space="preserve">index </w:t>
      </w:r>
      <w:r w:rsidR="005E11C6">
        <w:rPr>
          <w:rFonts w:ascii="Candara" w:eastAsiaTheme="minorEastAsia" w:hAnsi="Candara"/>
        </w:rPr>
        <w:t xml:space="preserve">groups were </w:t>
      </w:r>
      <w:r w:rsidR="00921D23">
        <w:rPr>
          <w:rFonts w:ascii="Candara" w:eastAsiaTheme="minorEastAsia" w:hAnsi="Candara"/>
        </w:rPr>
        <w:t xml:space="preserve">the same pattern </w:t>
      </w:r>
      <w:r w:rsidR="009F126D">
        <w:rPr>
          <w:rFonts w:ascii="Candara" w:eastAsiaTheme="minorEastAsia" w:hAnsi="Candara"/>
        </w:rPr>
        <w:t xml:space="preserve">in patients with </w:t>
      </w:r>
      <w:r w:rsidR="005B3298">
        <w:rPr>
          <w:rFonts w:ascii="Candara" w:eastAsiaTheme="minorEastAsia" w:hAnsi="Candara"/>
        </w:rPr>
        <w:t xml:space="preserve">a </w:t>
      </w:r>
      <w:r w:rsidR="009F126D">
        <w:rPr>
          <w:rFonts w:ascii="Candara" w:eastAsiaTheme="minorEastAsia" w:hAnsi="Candara"/>
        </w:rPr>
        <w:t xml:space="preserve">body mass index </w:t>
      </w:r>
      <w:r>
        <w:rPr>
          <w:rFonts w:ascii="Candara" w:eastAsiaTheme="minorEastAsia" w:hAnsi="Candara"/>
        </w:rPr>
        <w:t>&lt;25 kg/m</w:t>
      </w:r>
      <w:r w:rsidRPr="0004284D">
        <w:rPr>
          <w:rFonts w:ascii="Candara" w:eastAsiaTheme="minorEastAsia" w:hAnsi="Candara"/>
          <w:vertAlign w:val="superscript"/>
        </w:rPr>
        <w:t>2</w:t>
      </w:r>
      <w:r>
        <w:rPr>
          <w:rFonts w:ascii="Candara" w:eastAsiaTheme="minorEastAsia" w:hAnsi="Candara"/>
        </w:rPr>
        <w:t xml:space="preserve"> and </w:t>
      </w:r>
      <w:r w:rsidR="009F126D">
        <w:rPr>
          <w:rFonts w:ascii="Candara" w:eastAsiaTheme="minorEastAsia" w:hAnsi="Candara"/>
        </w:rPr>
        <w:t xml:space="preserve">patients with body mass index </w:t>
      </w:r>
      <w:r w:rsidR="0009042A">
        <w:rPr>
          <w:rFonts w:ascii="Candara" w:eastAsiaTheme="minorEastAsia" w:hAnsi="Candara"/>
        </w:rPr>
        <w:t>≥</w:t>
      </w:r>
      <w:r w:rsidR="0009042A" w:rsidRPr="0009042A">
        <w:rPr>
          <w:rFonts w:ascii="Candara" w:eastAsiaTheme="minorEastAsia" w:hAnsi="Candara"/>
        </w:rPr>
        <w:t xml:space="preserve"> </w:t>
      </w:r>
      <w:r w:rsidR="0009042A">
        <w:rPr>
          <w:rFonts w:ascii="Candara" w:eastAsiaTheme="minorEastAsia" w:hAnsi="Candara"/>
        </w:rPr>
        <w:t>25 kg/m</w:t>
      </w:r>
      <w:r w:rsidR="0009042A" w:rsidRPr="0004284D">
        <w:rPr>
          <w:rFonts w:ascii="Candara" w:eastAsiaTheme="minorEastAsia" w:hAnsi="Candara"/>
          <w:vertAlign w:val="superscript"/>
        </w:rPr>
        <w:t>2</w:t>
      </w:r>
      <w:r w:rsidR="0009042A">
        <w:rPr>
          <w:rFonts w:ascii="Candara" w:eastAsiaTheme="minorEastAsia" w:hAnsi="Candara"/>
        </w:rPr>
        <w:t>. Among patients with body mass index &lt;25 kg/m</w:t>
      </w:r>
      <w:r w:rsidR="0009042A" w:rsidRPr="0004284D">
        <w:rPr>
          <w:rFonts w:ascii="Candara" w:eastAsiaTheme="minorEastAsia" w:hAnsi="Candara"/>
          <w:vertAlign w:val="superscript"/>
        </w:rPr>
        <w:t>2</w:t>
      </w:r>
      <w:r w:rsidR="0009042A">
        <w:rPr>
          <w:rFonts w:ascii="Candara" w:eastAsiaTheme="minorEastAsia" w:hAnsi="Candara"/>
        </w:rPr>
        <w:t xml:space="preserve">, cardiovascular mortality rate was </w:t>
      </w:r>
      <w:r w:rsidR="00692FCA">
        <w:rPr>
          <w:rFonts w:ascii="Candara" w:eastAsiaTheme="minorEastAsia" w:hAnsi="Candara"/>
        </w:rPr>
        <w:t>8.85% (of 610 patients), 13.76% (of 596 patients), 17.91% (of 603 patients), and 19.37% (of 542 patients) for TyG</w:t>
      </w:r>
      <w:r w:rsidR="00730D1B">
        <w:rPr>
          <w:rFonts w:ascii="Candara" w:eastAsiaTheme="minorEastAsia" w:hAnsi="Candara"/>
        </w:rPr>
        <w:t xml:space="preserve"> index </w:t>
      </w:r>
      <w:r w:rsidR="00692FCA">
        <w:rPr>
          <w:rFonts w:ascii="Candara" w:eastAsiaTheme="minorEastAsia" w:hAnsi="Candara"/>
        </w:rPr>
        <w:t>&lt;</w:t>
      </w:r>
      <w:r w:rsidR="00730D1B">
        <w:rPr>
          <w:rFonts w:ascii="Candara" w:eastAsiaTheme="minorEastAsia" w:hAnsi="Candara"/>
        </w:rPr>
        <w:t xml:space="preserve"> </w:t>
      </w:r>
      <w:r w:rsidR="00692FCA">
        <w:rPr>
          <w:rFonts w:ascii="Candara" w:eastAsiaTheme="minorEastAsia" w:hAnsi="Candara"/>
        </w:rPr>
        <w:t xml:space="preserve">8.10, 8.10-8.38, 8.39-8.68 and ≥8.69, respectively. Among patients with body mass index </w:t>
      </w:r>
      <w:r w:rsidR="00AC396E">
        <w:rPr>
          <w:rFonts w:ascii="Candara" w:eastAsiaTheme="minorEastAsia" w:hAnsi="Candara"/>
        </w:rPr>
        <w:t>≥</w:t>
      </w:r>
      <w:r w:rsidR="00692FCA">
        <w:rPr>
          <w:rFonts w:ascii="Candara" w:eastAsiaTheme="minorEastAsia" w:hAnsi="Candara"/>
        </w:rPr>
        <w:t>25 kg/m</w:t>
      </w:r>
      <w:r w:rsidR="00692FCA" w:rsidRPr="0004284D">
        <w:rPr>
          <w:rFonts w:ascii="Candara" w:eastAsiaTheme="minorEastAsia" w:hAnsi="Candara"/>
          <w:vertAlign w:val="superscript"/>
        </w:rPr>
        <w:t>2</w:t>
      </w:r>
      <w:r w:rsidR="00692FCA">
        <w:rPr>
          <w:rFonts w:ascii="Candara" w:eastAsiaTheme="minorEastAsia" w:hAnsi="Candara"/>
        </w:rPr>
        <w:t xml:space="preserve">, cardiovascular mortality rate was </w:t>
      </w:r>
      <w:r w:rsidR="00AC396E">
        <w:rPr>
          <w:rFonts w:ascii="Candara" w:eastAsiaTheme="minorEastAsia" w:hAnsi="Candara"/>
        </w:rPr>
        <w:t>7.05</w:t>
      </w:r>
      <w:r w:rsidR="00692FCA">
        <w:rPr>
          <w:rFonts w:ascii="Candara" w:eastAsiaTheme="minorEastAsia" w:hAnsi="Candara"/>
        </w:rPr>
        <w:t xml:space="preserve">% (of </w:t>
      </w:r>
      <w:r w:rsidR="00AC396E">
        <w:rPr>
          <w:rFonts w:ascii="Candara" w:eastAsiaTheme="minorEastAsia" w:hAnsi="Candara"/>
        </w:rPr>
        <w:t>156</w:t>
      </w:r>
      <w:r w:rsidR="00692FCA">
        <w:rPr>
          <w:rFonts w:ascii="Candara" w:eastAsiaTheme="minorEastAsia" w:hAnsi="Candara"/>
        </w:rPr>
        <w:t xml:space="preserve"> patients), </w:t>
      </w:r>
      <w:r w:rsidR="00AC396E">
        <w:rPr>
          <w:rFonts w:ascii="Candara" w:eastAsiaTheme="minorEastAsia" w:hAnsi="Candara"/>
        </w:rPr>
        <w:t>8.54</w:t>
      </w:r>
      <w:r w:rsidR="00692FCA">
        <w:rPr>
          <w:rFonts w:ascii="Candara" w:eastAsiaTheme="minorEastAsia" w:hAnsi="Candara"/>
        </w:rPr>
        <w:t xml:space="preserve">% (of </w:t>
      </w:r>
      <w:r w:rsidR="00AC396E">
        <w:rPr>
          <w:rFonts w:ascii="Candara" w:eastAsiaTheme="minorEastAsia" w:hAnsi="Candara"/>
        </w:rPr>
        <w:t>164</w:t>
      </w:r>
      <w:r w:rsidR="00692FCA">
        <w:rPr>
          <w:rFonts w:ascii="Candara" w:eastAsiaTheme="minorEastAsia" w:hAnsi="Candara"/>
        </w:rPr>
        <w:t xml:space="preserve"> patients), </w:t>
      </w:r>
      <w:r w:rsidR="00AC396E">
        <w:rPr>
          <w:rFonts w:ascii="Candara" w:eastAsiaTheme="minorEastAsia" w:hAnsi="Candara"/>
        </w:rPr>
        <w:t>14.20</w:t>
      </w:r>
      <w:r w:rsidR="00692FCA">
        <w:rPr>
          <w:rFonts w:ascii="Candara" w:eastAsiaTheme="minorEastAsia" w:hAnsi="Candara"/>
        </w:rPr>
        <w:t xml:space="preserve">% (of </w:t>
      </w:r>
      <w:r w:rsidR="00AC396E">
        <w:rPr>
          <w:rFonts w:ascii="Candara" w:eastAsiaTheme="minorEastAsia" w:hAnsi="Candara"/>
        </w:rPr>
        <w:t>162</w:t>
      </w:r>
      <w:r w:rsidR="00692FCA">
        <w:rPr>
          <w:rFonts w:ascii="Candara" w:eastAsiaTheme="minorEastAsia" w:hAnsi="Candara"/>
        </w:rPr>
        <w:t xml:space="preserve"> patients), and </w:t>
      </w:r>
      <w:r w:rsidR="00AC396E">
        <w:rPr>
          <w:rFonts w:ascii="Candara" w:eastAsiaTheme="minorEastAsia" w:hAnsi="Candara"/>
        </w:rPr>
        <w:t>18.10</w:t>
      </w:r>
      <w:r w:rsidR="00692FCA">
        <w:rPr>
          <w:rFonts w:ascii="Candara" w:eastAsiaTheme="minorEastAsia" w:hAnsi="Candara"/>
        </w:rPr>
        <w:t xml:space="preserve">% (of </w:t>
      </w:r>
      <w:r w:rsidR="00AC396E">
        <w:rPr>
          <w:rFonts w:ascii="Candara" w:eastAsiaTheme="minorEastAsia" w:hAnsi="Candara"/>
        </w:rPr>
        <w:t>221</w:t>
      </w:r>
      <w:r w:rsidR="00692FCA">
        <w:rPr>
          <w:rFonts w:ascii="Candara" w:eastAsiaTheme="minorEastAsia" w:hAnsi="Candara"/>
        </w:rPr>
        <w:t xml:space="preserve"> patients) for TyG</w:t>
      </w:r>
      <w:r w:rsidR="00730D1B">
        <w:rPr>
          <w:rFonts w:ascii="Candara" w:eastAsiaTheme="minorEastAsia" w:hAnsi="Candara"/>
        </w:rPr>
        <w:t xml:space="preserve"> index </w:t>
      </w:r>
      <w:r w:rsidR="00692FCA">
        <w:rPr>
          <w:rFonts w:ascii="Candara" w:eastAsiaTheme="minorEastAsia" w:hAnsi="Candara"/>
        </w:rPr>
        <w:t>&lt;</w:t>
      </w:r>
      <w:r w:rsidR="00730D1B">
        <w:rPr>
          <w:rFonts w:ascii="Candara" w:eastAsiaTheme="minorEastAsia" w:hAnsi="Candara"/>
        </w:rPr>
        <w:t xml:space="preserve"> </w:t>
      </w:r>
      <w:r w:rsidR="00692FCA">
        <w:rPr>
          <w:rFonts w:ascii="Candara" w:eastAsiaTheme="minorEastAsia" w:hAnsi="Candara"/>
        </w:rPr>
        <w:t xml:space="preserve">8.10, 8.10-8.38, 8.39-8.68 and ≥8.69, respectively. </w:t>
      </w:r>
    </w:p>
    <w:p w14:paraId="065A9F60" w14:textId="0EEC59C9" w:rsidR="002E7D09" w:rsidRDefault="006B4F4B" w:rsidP="00D2210C">
      <w:pPr>
        <w:spacing w:line="480" w:lineRule="auto"/>
        <w:rPr>
          <w:rFonts w:ascii="Candara" w:eastAsiaTheme="minorEastAsia" w:hAnsi="Candara"/>
        </w:rPr>
      </w:pPr>
      <w:r w:rsidRPr="00243A4C">
        <w:rPr>
          <w:rFonts w:ascii="Candara" w:hAnsi="Candara"/>
          <w:b/>
        </w:rPr>
        <w:t>Table 2</w:t>
      </w:r>
      <w:r>
        <w:rPr>
          <w:rFonts w:ascii="Candara" w:hAnsi="Candara"/>
        </w:rPr>
        <w:t xml:space="preserve"> also shows </w:t>
      </w:r>
      <w:r w:rsidR="005B3298">
        <w:rPr>
          <w:rFonts w:ascii="Candara" w:hAnsi="Candara"/>
        </w:rPr>
        <w:t xml:space="preserve">that </w:t>
      </w:r>
      <w:r>
        <w:rPr>
          <w:rFonts w:ascii="Candara" w:hAnsi="Candara"/>
        </w:rPr>
        <w:t>the risks of cardiovascular mortality increase</w:t>
      </w:r>
      <w:r w:rsidR="005B3298">
        <w:rPr>
          <w:rFonts w:ascii="Candara" w:hAnsi="Candara"/>
        </w:rPr>
        <w:t>d</w:t>
      </w:r>
      <w:r>
        <w:rPr>
          <w:rFonts w:ascii="Candara" w:hAnsi="Candara"/>
        </w:rPr>
        <w:t xml:space="preserve"> significantly with increas</w:t>
      </w:r>
      <w:r w:rsidR="005B3298">
        <w:rPr>
          <w:rFonts w:ascii="Candara" w:hAnsi="Candara"/>
        </w:rPr>
        <w:t>ing</w:t>
      </w:r>
      <w:r>
        <w:rPr>
          <w:rFonts w:ascii="Candara" w:hAnsi="Candara"/>
        </w:rPr>
        <w:t xml:space="preserve"> TyG</w:t>
      </w:r>
      <w:r w:rsidR="002E4193">
        <w:rPr>
          <w:rFonts w:ascii="Candara" w:hAnsi="Candara"/>
        </w:rPr>
        <w:t xml:space="preserve"> </w:t>
      </w:r>
      <w:r w:rsidR="00730D1B">
        <w:rPr>
          <w:rFonts w:ascii="Candara" w:hAnsi="Candara"/>
        </w:rPr>
        <w:t xml:space="preserve">index </w:t>
      </w:r>
      <w:r w:rsidR="002E4193">
        <w:rPr>
          <w:rFonts w:ascii="Candara" w:hAnsi="Candara"/>
        </w:rPr>
        <w:t>compar</w:t>
      </w:r>
      <w:r w:rsidR="005B3298">
        <w:rPr>
          <w:rFonts w:ascii="Candara" w:hAnsi="Candara"/>
        </w:rPr>
        <w:t>ed with those with</w:t>
      </w:r>
      <w:r w:rsidR="002E4193">
        <w:rPr>
          <w:rFonts w:ascii="Candara" w:hAnsi="Candara"/>
        </w:rPr>
        <w:t xml:space="preserve"> the lowest TyG </w:t>
      </w:r>
      <w:r w:rsidR="00730D1B">
        <w:rPr>
          <w:rFonts w:ascii="Candara" w:hAnsi="Candara"/>
        </w:rPr>
        <w:t xml:space="preserve">index </w:t>
      </w:r>
      <w:r w:rsidR="002E4193">
        <w:rPr>
          <w:rFonts w:ascii="Candara" w:hAnsi="Candara"/>
        </w:rPr>
        <w:t>group (TyG</w:t>
      </w:r>
      <w:r w:rsidR="00730D1B">
        <w:rPr>
          <w:rFonts w:ascii="Candara" w:hAnsi="Candara"/>
        </w:rPr>
        <w:t xml:space="preserve"> index </w:t>
      </w:r>
      <w:r w:rsidR="002E4193">
        <w:rPr>
          <w:rFonts w:ascii="Candara" w:hAnsi="Candara"/>
        </w:rPr>
        <w:t>&lt;</w:t>
      </w:r>
      <w:r w:rsidR="00730D1B">
        <w:rPr>
          <w:rFonts w:ascii="Candara" w:hAnsi="Candara"/>
        </w:rPr>
        <w:t xml:space="preserve"> </w:t>
      </w:r>
      <w:r w:rsidR="002E4193">
        <w:rPr>
          <w:rFonts w:ascii="Candara" w:hAnsi="Candara"/>
        </w:rPr>
        <w:t>8.10)</w:t>
      </w:r>
      <w:r>
        <w:rPr>
          <w:rFonts w:ascii="Candara" w:hAnsi="Candara"/>
        </w:rPr>
        <w:t>:</w:t>
      </w:r>
      <w:r>
        <w:rPr>
          <w:rFonts w:ascii="Candara" w:hAnsi="Candara"/>
          <w:b/>
        </w:rPr>
        <w:t xml:space="preserve"> </w:t>
      </w:r>
      <w:r>
        <w:rPr>
          <w:rFonts w:ascii="Candara" w:hAnsi="Candara"/>
        </w:rPr>
        <w:t xml:space="preserve">adjusted incidence rates ratio (IRR) for </w:t>
      </w:r>
      <w:r w:rsidR="002E4193">
        <w:rPr>
          <w:rFonts w:ascii="Candara" w:hAnsi="Candara"/>
        </w:rPr>
        <w:t>cardiovascular mortality</w:t>
      </w:r>
      <w:r w:rsidR="002817AC">
        <w:rPr>
          <w:rFonts w:ascii="Candara" w:hAnsi="Candara"/>
        </w:rPr>
        <w:t xml:space="preserve"> 1.62</w:t>
      </w:r>
      <w:r>
        <w:rPr>
          <w:rFonts w:ascii="Candara" w:hAnsi="Candara"/>
        </w:rPr>
        <w:t xml:space="preserve"> (95% CI: 1.</w:t>
      </w:r>
      <w:r w:rsidR="002817AC">
        <w:rPr>
          <w:rFonts w:ascii="Candara" w:hAnsi="Candara"/>
        </w:rPr>
        <w:t>4</w:t>
      </w:r>
      <w:r>
        <w:rPr>
          <w:rFonts w:ascii="Candara" w:hAnsi="Candara"/>
        </w:rPr>
        <w:t>7 to 1.</w:t>
      </w:r>
      <w:r w:rsidR="002817AC">
        <w:rPr>
          <w:rFonts w:ascii="Candara" w:hAnsi="Candara"/>
        </w:rPr>
        <w:t>78)</w:t>
      </w:r>
      <w:r>
        <w:rPr>
          <w:rFonts w:ascii="Candara" w:hAnsi="Candara"/>
        </w:rPr>
        <w:t xml:space="preserve">, </w:t>
      </w:r>
      <w:r w:rsidR="002817AC">
        <w:rPr>
          <w:rFonts w:ascii="Candara" w:hAnsi="Candara"/>
        </w:rPr>
        <w:t>1.96 (1.79 to 2.15) an</w:t>
      </w:r>
      <w:r w:rsidR="00CA7587">
        <w:rPr>
          <w:rFonts w:ascii="Candara" w:hAnsi="Candara"/>
        </w:rPr>
        <w:t xml:space="preserve">d 2.32 (2.12 to 2.55) for TyG </w:t>
      </w:r>
      <w:r w:rsidR="00730D1B">
        <w:rPr>
          <w:rFonts w:ascii="Candara" w:hAnsi="Candara"/>
        </w:rPr>
        <w:t xml:space="preserve">index </w:t>
      </w:r>
      <w:r w:rsidR="00CA7587">
        <w:rPr>
          <w:rFonts w:ascii="Candara" w:hAnsi="Candara"/>
        </w:rPr>
        <w:t xml:space="preserve">in 8.10-8.38, 8.39-8.68, and </w:t>
      </w:r>
      <w:r w:rsidR="00CA7587">
        <w:rPr>
          <w:rFonts w:ascii="Candara" w:eastAsiaTheme="minorEastAsia" w:hAnsi="Candara"/>
        </w:rPr>
        <w:t>≥8.69, respectively.</w:t>
      </w:r>
      <w:r w:rsidR="00741E82">
        <w:rPr>
          <w:rFonts w:ascii="Candara" w:eastAsiaTheme="minorEastAsia" w:hAnsi="Candara"/>
        </w:rPr>
        <w:t xml:space="preserve"> </w:t>
      </w:r>
      <w:r w:rsidR="00663DFB">
        <w:rPr>
          <w:rFonts w:ascii="Candara" w:eastAsiaTheme="minorEastAsia" w:hAnsi="Candara"/>
        </w:rPr>
        <w:t xml:space="preserve">The adjusted IRRs were </w:t>
      </w:r>
      <w:r w:rsidR="00921D23">
        <w:rPr>
          <w:rFonts w:ascii="Candara" w:eastAsiaTheme="minorEastAsia" w:hAnsi="Candara"/>
        </w:rPr>
        <w:t xml:space="preserve">the same pattern </w:t>
      </w:r>
      <w:r w:rsidR="00663DFB">
        <w:rPr>
          <w:rFonts w:ascii="Candara" w:eastAsiaTheme="minorEastAsia" w:hAnsi="Candara"/>
        </w:rPr>
        <w:t>in patients with body mass index &lt;25 kg/m</w:t>
      </w:r>
      <w:r w:rsidR="00663DFB" w:rsidRPr="0004284D">
        <w:rPr>
          <w:rFonts w:ascii="Candara" w:eastAsiaTheme="minorEastAsia" w:hAnsi="Candara"/>
          <w:vertAlign w:val="superscript"/>
        </w:rPr>
        <w:t>2</w:t>
      </w:r>
      <w:r w:rsidR="00663DFB">
        <w:rPr>
          <w:rFonts w:ascii="Candara" w:eastAsiaTheme="minorEastAsia" w:hAnsi="Candara"/>
        </w:rPr>
        <w:t xml:space="preserve"> and patients with body mass index ≥</w:t>
      </w:r>
      <w:r w:rsidR="00663DFB" w:rsidRPr="0009042A">
        <w:rPr>
          <w:rFonts w:ascii="Candara" w:eastAsiaTheme="minorEastAsia" w:hAnsi="Candara"/>
        </w:rPr>
        <w:t xml:space="preserve"> </w:t>
      </w:r>
      <w:r w:rsidR="00663DFB">
        <w:rPr>
          <w:rFonts w:ascii="Candara" w:eastAsiaTheme="minorEastAsia" w:hAnsi="Candara"/>
        </w:rPr>
        <w:t>25 kg/m</w:t>
      </w:r>
      <w:r w:rsidR="00663DFB" w:rsidRPr="0004284D">
        <w:rPr>
          <w:rFonts w:ascii="Candara" w:eastAsiaTheme="minorEastAsia" w:hAnsi="Candara"/>
          <w:vertAlign w:val="superscript"/>
        </w:rPr>
        <w:t>2</w:t>
      </w:r>
      <w:r w:rsidR="00663DFB">
        <w:rPr>
          <w:rFonts w:ascii="Candara" w:eastAsiaTheme="minorEastAsia" w:hAnsi="Candara"/>
        </w:rPr>
        <w:t>. Among patients with body mass index &lt;25 kg/m</w:t>
      </w:r>
      <w:r w:rsidR="00663DFB" w:rsidRPr="0004284D">
        <w:rPr>
          <w:rFonts w:ascii="Candara" w:eastAsiaTheme="minorEastAsia" w:hAnsi="Candara"/>
          <w:vertAlign w:val="superscript"/>
        </w:rPr>
        <w:t>2</w:t>
      </w:r>
      <w:r w:rsidR="00663DFB">
        <w:rPr>
          <w:rFonts w:ascii="Candara" w:eastAsiaTheme="minorEastAsia" w:hAnsi="Candara"/>
        </w:rPr>
        <w:t xml:space="preserve">, </w:t>
      </w:r>
      <w:r w:rsidR="00C6441C">
        <w:rPr>
          <w:rFonts w:ascii="Candara" w:eastAsiaTheme="minorEastAsia" w:hAnsi="Candara"/>
        </w:rPr>
        <w:t xml:space="preserve">the adjusted IRR was 1.48 (1.34 to 1.65), 1.74 (1.57 to 1.93) and 2.22 (2.01 to 2.46) </w:t>
      </w:r>
      <w:r w:rsidR="00C6441C">
        <w:rPr>
          <w:rFonts w:ascii="Candara" w:hAnsi="Candara"/>
        </w:rPr>
        <w:t>for TyG</w:t>
      </w:r>
      <w:r w:rsidR="00730D1B">
        <w:rPr>
          <w:rFonts w:ascii="Candara" w:hAnsi="Candara"/>
        </w:rPr>
        <w:t xml:space="preserve"> index</w:t>
      </w:r>
      <w:r w:rsidR="00C6441C">
        <w:rPr>
          <w:rFonts w:ascii="Candara" w:hAnsi="Candara"/>
        </w:rPr>
        <w:t xml:space="preserve"> in 8.10-8.38, 8.39-8.68, and </w:t>
      </w:r>
      <w:r w:rsidR="00C6441C">
        <w:rPr>
          <w:rFonts w:ascii="Candara" w:eastAsiaTheme="minorEastAsia" w:hAnsi="Candara"/>
        </w:rPr>
        <w:t>≥8.69, respectively.</w:t>
      </w:r>
      <w:r w:rsidR="002E7D09">
        <w:rPr>
          <w:rFonts w:ascii="Candara" w:eastAsiaTheme="minorEastAsia" w:hAnsi="Candara"/>
        </w:rPr>
        <w:t xml:space="preserve"> Among patients with body mass index ≥ 25 kg/m</w:t>
      </w:r>
      <w:r w:rsidR="002E7D09" w:rsidRPr="0004284D">
        <w:rPr>
          <w:rFonts w:ascii="Candara" w:eastAsiaTheme="minorEastAsia" w:hAnsi="Candara"/>
          <w:vertAlign w:val="superscript"/>
        </w:rPr>
        <w:t>2</w:t>
      </w:r>
      <w:r w:rsidR="002E7D09">
        <w:rPr>
          <w:rFonts w:ascii="Candara" w:eastAsiaTheme="minorEastAsia" w:hAnsi="Candara"/>
        </w:rPr>
        <w:t xml:space="preserve">, the adjusted IRR was 1.18 (0.92 to 1.51), 2.40 (1.90 to 3.03) and 2.82 (2.24 to </w:t>
      </w:r>
      <w:r w:rsidR="0055516B">
        <w:rPr>
          <w:rFonts w:ascii="Candara" w:eastAsiaTheme="minorEastAsia" w:hAnsi="Candara"/>
        </w:rPr>
        <w:t>3.54</w:t>
      </w:r>
      <w:r w:rsidR="002E7D09">
        <w:rPr>
          <w:rFonts w:ascii="Candara" w:eastAsiaTheme="minorEastAsia" w:hAnsi="Candara"/>
        </w:rPr>
        <w:t xml:space="preserve">) </w:t>
      </w:r>
      <w:r w:rsidR="002E7D09">
        <w:rPr>
          <w:rFonts w:ascii="Candara" w:hAnsi="Candara"/>
        </w:rPr>
        <w:t>for TyG</w:t>
      </w:r>
      <w:r w:rsidR="00730D1B">
        <w:rPr>
          <w:rFonts w:ascii="Candara" w:hAnsi="Candara"/>
        </w:rPr>
        <w:t xml:space="preserve"> index</w:t>
      </w:r>
      <w:r w:rsidR="002E7D09">
        <w:rPr>
          <w:rFonts w:ascii="Candara" w:hAnsi="Candara"/>
        </w:rPr>
        <w:t xml:space="preserve"> in 8.10-8.38, 8.39-8.68, and </w:t>
      </w:r>
      <w:r w:rsidR="002E7D09">
        <w:rPr>
          <w:rFonts w:ascii="Candara" w:eastAsiaTheme="minorEastAsia" w:hAnsi="Candara"/>
        </w:rPr>
        <w:t xml:space="preserve">≥8.69, respectively. </w:t>
      </w:r>
    </w:p>
    <w:p w14:paraId="582367E6" w14:textId="6A333168" w:rsidR="00100624" w:rsidRPr="00926608" w:rsidRDefault="005B3298" w:rsidP="00D2210C">
      <w:pPr>
        <w:spacing w:line="480" w:lineRule="auto"/>
        <w:rPr>
          <w:rFonts w:ascii="Candara" w:eastAsiaTheme="minorEastAsia" w:hAnsi="Candara"/>
        </w:rPr>
      </w:pPr>
      <w:r>
        <w:rPr>
          <w:rFonts w:ascii="Candara" w:eastAsiaTheme="minorEastAsia" w:hAnsi="Candara"/>
        </w:rPr>
        <w:t>A l</w:t>
      </w:r>
      <w:r w:rsidR="00022B2F">
        <w:rPr>
          <w:rFonts w:ascii="Candara" w:eastAsiaTheme="minorEastAsia" w:hAnsi="Candara"/>
        </w:rPr>
        <w:t xml:space="preserve">inear relationship between TyG </w:t>
      </w:r>
      <w:r w:rsidR="00730D1B">
        <w:rPr>
          <w:rFonts w:ascii="Candara" w:eastAsiaTheme="minorEastAsia" w:hAnsi="Candara"/>
        </w:rPr>
        <w:t xml:space="preserve">index </w:t>
      </w:r>
      <w:r w:rsidR="00022B2F">
        <w:rPr>
          <w:rFonts w:ascii="Candara" w:eastAsiaTheme="minorEastAsia" w:hAnsi="Candara"/>
        </w:rPr>
        <w:t xml:space="preserve">and cardiovascular mortality was found (P-values for linear test </w:t>
      </w:r>
      <w:r w:rsidR="007E3737">
        <w:rPr>
          <w:rFonts w:ascii="Candara" w:eastAsiaTheme="minorEastAsia" w:hAnsi="Candara"/>
        </w:rPr>
        <w:t>&gt; 0.05</w:t>
      </w:r>
      <w:r w:rsidR="00022B2F">
        <w:rPr>
          <w:rFonts w:ascii="Candara" w:eastAsiaTheme="minorEastAsia" w:hAnsi="Candara"/>
        </w:rPr>
        <w:t xml:space="preserve">). </w:t>
      </w:r>
      <w:r w:rsidR="00126EDA" w:rsidRPr="005E7E7C">
        <w:rPr>
          <w:rFonts w:ascii="Candara" w:hAnsi="Candara"/>
        </w:rPr>
        <w:t xml:space="preserve">Relationship curves were derived from the natural cubic spline models with adjustment of covariates in </w:t>
      </w:r>
      <w:r w:rsidR="00126EDA" w:rsidRPr="005E7E7C">
        <w:rPr>
          <w:rFonts w:ascii="Candara" w:hAnsi="Candara"/>
          <w:b/>
        </w:rPr>
        <w:t>Figure</w:t>
      </w:r>
      <w:r w:rsidR="00126EDA" w:rsidRPr="005E7E7C">
        <w:rPr>
          <w:rFonts w:ascii="Candara" w:hAnsi="Candara"/>
        </w:rPr>
        <w:t xml:space="preserve"> </w:t>
      </w:r>
      <w:r w:rsidR="00126EDA" w:rsidRPr="0026172A">
        <w:rPr>
          <w:rFonts w:ascii="Candara" w:hAnsi="Candara"/>
          <w:b/>
        </w:rPr>
        <w:t>1</w:t>
      </w:r>
      <w:r w:rsidR="00126EDA" w:rsidRPr="005E7E7C">
        <w:rPr>
          <w:rFonts w:ascii="Candara" w:hAnsi="Candara"/>
        </w:rPr>
        <w:t>.</w:t>
      </w:r>
      <w:r w:rsidR="00126EDA">
        <w:rPr>
          <w:rFonts w:ascii="Candara" w:hAnsi="Candara"/>
        </w:rPr>
        <w:t xml:space="preserve"> </w:t>
      </w:r>
      <w:r w:rsidR="00100624">
        <w:rPr>
          <w:rFonts w:ascii="Candara" w:hAnsi="Candara"/>
        </w:rPr>
        <w:t>Similar linear relationships were revealed in the sensitivity analyses modelling the associations in patients with body mass index &lt; 25kg/m</w:t>
      </w:r>
      <w:r w:rsidR="00100624" w:rsidRPr="002F6690">
        <w:rPr>
          <w:rFonts w:ascii="Candara" w:hAnsi="Candara"/>
          <w:vertAlign w:val="superscript"/>
        </w:rPr>
        <w:t>2</w:t>
      </w:r>
      <w:r w:rsidR="00100624">
        <w:rPr>
          <w:rFonts w:ascii="Candara" w:hAnsi="Candara"/>
        </w:rPr>
        <w:t xml:space="preserve"> </w:t>
      </w:r>
      <w:r w:rsidR="00B37DF2">
        <w:rPr>
          <w:rFonts w:ascii="Candara" w:hAnsi="Candara"/>
        </w:rPr>
        <w:t>(</w:t>
      </w:r>
      <w:r w:rsidR="00B37DF2">
        <w:rPr>
          <w:rFonts w:ascii="Candara" w:eastAsiaTheme="minorEastAsia" w:hAnsi="Candara"/>
        </w:rPr>
        <w:t xml:space="preserve">P-values for linear test </w:t>
      </w:r>
      <w:r w:rsidR="007E3737">
        <w:rPr>
          <w:rFonts w:ascii="Candara" w:eastAsiaTheme="minorEastAsia" w:hAnsi="Candara"/>
        </w:rPr>
        <w:t>&gt;0.05)</w:t>
      </w:r>
      <w:r w:rsidR="00B37DF2">
        <w:rPr>
          <w:rFonts w:ascii="Candara" w:eastAsiaTheme="minorEastAsia" w:hAnsi="Candara"/>
        </w:rPr>
        <w:t xml:space="preserve"> </w:t>
      </w:r>
      <w:r w:rsidR="00100624">
        <w:rPr>
          <w:rFonts w:ascii="Candara" w:hAnsi="Candara"/>
        </w:rPr>
        <w:t xml:space="preserve">as shown as </w:t>
      </w:r>
      <w:r w:rsidR="00100624" w:rsidRPr="00100624">
        <w:rPr>
          <w:rFonts w:ascii="Candara" w:hAnsi="Candara"/>
        </w:rPr>
        <w:t>the middle panel of</w:t>
      </w:r>
      <w:r w:rsidR="00100624">
        <w:rPr>
          <w:rFonts w:ascii="Candara" w:hAnsi="Candara"/>
          <w:b/>
        </w:rPr>
        <w:t xml:space="preserve"> </w:t>
      </w:r>
      <w:r w:rsidR="00100624" w:rsidRPr="00BB47FF">
        <w:rPr>
          <w:rFonts w:ascii="Candara" w:hAnsi="Candara"/>
          <w:b/>
        </w:rPr>
        <w:t>F</w:t>
      </w:r>
      <w:r w:rsidR="00100624">
        <w:rPr>
          <w:rFonts w:ascii="Candara" w:hAnsi="Candara"/>
          <w:b/>
        </w:rPr>
        <w:t xml:space="preserve">igure </w:t>
      </w:r>
      <w:r w:rsidR="00100624" w:rsidRPr="00EC66B4">
        <w:rPr>
          <w:rFonts w:ascii="Candara" w:hAnsi="Candara"/>
          <w:b/>
        </w:rPr>
        <w:t>1</w:t>
      </w:r>
      <w:r w:rsidR="00100624">
        <w:rPr>
          <w:rFonts w:ascii="Candara" w:hAnsi="Candara"/>
          <w:b/>
        </w:rPr>
        <w:t xml:space="preserve"> and </w:t>
      </w:r>
      <w:r w:rsidR="00100624">
        <w:rPr>
          <w:rFonts w:ascii="Candara" w:hAnsi="Candara"/>
        </w:rPr>
        <w:t xml:space="preserve">in patients with body mass index </w:t>
      </w:r>
      <w:r w:rsidR="00100624">
        <w:rPr>
          <w:rFonts w:ascii="Candara" w:eastAsiaTheme="minorEastAsia" w:hAnsi="Candara"/>
        </w:rPr>
        <w:t>≥</w:t>
      </w:r>
      <w:r w:rsidR="00100624">
        <w:rPr>
          <w:rFonts w:ascii="Candara" w:hAnsi="Candara"/>
        </w:rPr>
        <w:t xml:space="preserve"> 25kg/m</w:t>
      </w:r>
      <w:r w:rsidR="00100624" w:rsidRPr="002F6690">
        <w:rPr>
          <w:rFonts w:ascii="Candara" w:hAnsi="Candara"/>
          <w:vertAlign w:val="superscript"/>
        </w:rPr>
        <w:t>2</w:t>
      </w:r>
      <w:r w:rsidR="00100624">
        <w:rPr>
          <w:rFonts w:ascii="Candara" w:hAnsi="Candara"/>
        </w:rPr>
        <w:t xml:space="preserve"> (</w:t>
      </w:r>
      <w:r w:rsidR="00100624">
        <w:rPr>
          <w:rFonts w:ascii="Candara" w:eastAsiaTheme="minorEastAsia" w:hAnsi="Candara"/>
        </w:rPr>
        <w:t>P-values for linear test</w:t>
      </w:r>
      <w:r w:rsidR="007E3737">
        <w:rPr>
          <w:rFonts w:ascii="Candara" w:eastAsiaTheme="minorEastAsia" w:hAnsi="Candara"/>
        </w:rPr>
        <w:t>&gt; 0.05</w:t>
      </w:r>
      <w:r w:rsidR="00100624">
        <w:rPr>
          <w:rFonts w:ascii="Candara" w:hAnsi="Candara"/>
        </w:rPr>
        <w:t xml:space="preserve">) as shown as </w:t>
      </w:r>
      <w:r w:rsidR="00100624" w:rsidRPr="00100624">
        <w:rPr>
          <w:rFonts w:ascii="Candara" w:hAnsi="Candara"/>
        </w:rPr>
        <w:t>the right panel of</w:t>
      </w:r>
      <w:r w:rsidR="00100624">
        <w:rPr>
          <w:rFonts w:ascii="Candara" w:hAnsi="Candara"/>
          <w:b/>
        </w:rPr>
        <w:t xml:space="preserve"> </w:t>
      </w:r>
      <w:r w:rsidR="00100624" w:rsidRPr="00BB47FF">
        <w:rPr>
          <w:rFonts w:ascii="Candara" w:hAnsi="Candara"/>
          <w:b/>
        </w:rPr>
        <w:t>F</w:t>
      </w:r>
      <w:r w:rsidR="00100624">
        <w:rPr>
          <w:rFonts w:ascii="Candara" w:hAnsi="Candara"/>
          <w:b/>
        </w:rPr>
        <w:t xml:space="preserve">igure </w:t>
      </w:r>
      <w:r w:rsidR="00100624" w:rsidRPr="00EC66B4">
        <w:rPr>
          <w:rFonts w:ascii="Candara" w:hAnsi="Candara"/>
          <w:b/>
        </w:rPr>
        <w:t>1</w:t>
      </w:r>
      <w:r w:rsidR="00BD50BB" w:rsidRPr="00BD50BB">
        <w:rPr>
          <w:rFonts w:ascii="Candara" w:hAnsi="Candara"/>
        </w:rPr>
        <w:t>.</w:t>
      </w:r>
    </w:p>
    <w:p w14:paraId="28D60D16" w14:textId="73EC722E" w:rsidR="00001BF1" w:rsidRPr="00926608" w:rsidRDefault="00B37DF2" w:rsidP="00D2210C">
      <w:pPr>
        <w:spacing w:line="480" w:lineRule="auto"/>
        <w:rPr>
          <w:rFonts w:ascii="Candara" w:eastAsiaTheme="minorEastAsia" w:hAnsi="Candara"/>
        </w:rPr>
      </w:pPr>
      <w:r>
        <w:rPr>
          <w:rFonts w:ascii="Candara" w:hAnsi="Candara"/>
        </w:rPr>
        <w:t xml:space="preserve"> </w:t>
      </w:r>
    </w:p>
    <w:p w14:paraId="1948F92C" w14:textId="77777777" w:rsidR="004C2E8D" w:rsidRDefault="004C2E8D" w:rsidP="00D2210C">
      <w:pPr>
        <w:spacing w:line="480" w:lineRule="auto"/>
        <w:rPr>
          <w:rFonts w:ascii="Candara" w:hAnsi="Candara"/>
          <w:b/>
        </w:rPr>
      </w:pPr>
      <w:r w:rsidRPr="00B37DF2">
        <w:rPr>
          <w:rFonts w:ascii="Candara" w:hAnsi="Candara"/>
          <w:b/>
        </w:rPr>
        <w:t>DISCUSSION</w:t>
      </w:r>
    </w:p>
    <w:p w14:paraId="67D22C5C" w14:textId="406A1C6B" w:rsidR="0047425E" w:rsidRDefault="002E55DB" w:rsidP="00D2210C">
      <w:pPr>
        <w:spacing w:line="480" w:lineRule="auto"/>
        <w:rPr>
          <w:rFonts w:ascii="Candara" w:hAnsi="Candara"/>
        </w:rPr>
      </w:pPr>
      <w:r>
        <w:rPr>
          <w:rFonts w:ascii="Candara" w:hAnsi="Candara"/>
        </w:rPr>
        <w:t>In this</w:t>
      </w:r>
      <w:r w:rsidR="004B62F2">
        <w:rPr>
          <w:rFonts w:ascii="Candara" w:hAnsi="Candara"/>
        </w:rPr>
        <w:t xml:space="preserve"> </w:t>
      </w:r>
      <w:r w:rsidR="0047425E">
        <w:rPr>
          <w:rFonts w:ascii="Candara" w:hAnsi="Candara"/>
        </w:rPr>
        <w:t xml:space="preserve">large </w:t>
      </w:r>
      <w:r w:rsidR="004B62F2">
        <w:rPr>
          <w:rFonts w:ascii="Candara" w:hAnsi="Candara"/>
        </w:rPr>
        <w:t>prospective cohort</w:t>
      </w:r>
      <w:r w:rsidR="00D40A3C">
        <w:rPr>
          <w:rFonts w:ascii="Candara" w:hAnsi="Candara"/>
        </w:rPr>
        <w:t xml:space="preserve"> of patients </w:t>
      </w:r>
      <w:r w:rsidR="00D84FD4">
        <w:rPr>
          <w:rFonts w:ascii="Candara" w:hAnsi="Candara"/>
        </w:rPr>
        <w:t>initiating</w:t>
      </w:r>
      <w:r>
        <w:rPr>
          <w:rFonts w:ascii="Candara" w:hAnsi="Candara"/>
        </w:rPr>
        <w:t xml:space="preserve"> PD</w:t>
      </w:r>
      <w:r w:rsidR="005B3298">
        <w:rPr>
          <w:rFonts w:ascii="Candara" w:hAnsi="Candara"/>
        </w:rPr>
        <w:t xml:space="preserve"> in a province of China</w:t>
      </w:r>
      <w:r>
        <w:rPr>
          <w:rFonts w:ascii="Candara" w:hAnsi="Candara"/>
        </w:rPr>
        <w:t>, we provide evi</w:t>
      </w:r>
      <w:r w:rsidR="00CD1C60">
        <w:rPr>
          <w:rFonts w:ascii="Candara" w:hAnsi="Candara"/>
        </w:rPr>
        <w:t xml:space="preserve">dence that TyG </w:t>
      </w:r>
      <w:r w:rsidR="00F120EF">
        <w:rPr>
          <w:rFonts w:ascii="Candara" w:hAnsi="Candara"/>
        </w:rPr>
        <w:t xml:space="preserve">index </w:t>
      </w:r>
      <w:r w:rsidR="00CD1C60">
        <w:rPr>
          <w:rFonts w:ascii="Candara" w:hAnsi="Candara"/>
        </w:rPr>
        <w:t>may be a</w:t>
      </w:r>
      <w:r>
        <w:rPr>
          <w:rFonts w:ascii="Candara" w:hAnsi="Candara"/>
        </w:rPr>
        <w:t xml:space="preserve"> prognostic factor for subsequent risk of cardiovascular mortality, the most common reason </w:t>
      </w:r>
      <w:r w:rsidR="005B3298">
        <w:rPr>
          <w:rFonts w:ascii="Candara" w:hAnsi="Candara"/>
        </w:rPr>
        <w:t>for</w:t>
      </w:r>
      <w:r>
        <w:rPr>
          <w:rFonts w:ascii="Candara" w:hAnsi="Candara"/>
        </w:rPr>
        <w:t xml:space="preserve"> death </w:t>
      </w:r>
      <w:r w:rsidR="005B3298">
        <w:rPr>
          <w:rFonts w:ascii="Candara" w:hAnsi="Candara"/>
        </w:rPr>
        <w:t xml:space="preserve">among patients </w:t>
      </w:r>
      <w:r w:rsidR="007E3737">
        <w:rPr>
          <w:rFonts w:ascii="Candara" w:hAnsi="Candara"/>
        </w:rPr>
        <w:t xml:space="preserve">with </w:t>
      </w:r>
      <w:r>
        <w:rPr>
          <w:rFonts w:ascii="Candara" w:hAnsi="Candara"/>
        </w:rPr>
        <w:t xml:space="preserve">ESRD. </w:t>
      </w:r>
      <w:r w:rsidR="00D40A3C">
        <w:rPr>
          <w:rFonts w:ascii="Candara" w:hAnsi="Candara"/>
        </w:rPr>
        <w:t xml:space="preserve"> </w:t>
      </w:r>
      <w:r>
        <w:rPr>
          <w:rFonts w:ascii="Candara" w:hAnsi="Candara"/>
        </w:rPr>
        <w:t xml:space="preserve">To our knowledge, this is the first study to identify TyG </w:t>
      </w:r>
      <w:r w:rsidR="00F120EF">
        <w:rPr>
          <w:rFonts w:ascii="Candara" w:hAnsi="Candara"/>
        </w:rPr>
        <w:t xml:space="preserve">index </w:t>
      </w:r>
      <w:r>
        <w:rPr>
          <w:rFonts w:ascii="Candara" w:hAnsi="Candara"/>
        </w:rPr>
        <w:t xml:space="preserve">measured in the </w:t>
      </w:r>
      <w:r w:rsidR="00D84FD4">
        <w:rPr>
          <w:rFonts w:ascii="Candara" w:hAnsi="Candara"/>
        </w:rPr>
        <w:t>initiation</w:t>
      </w:r>
      <w:r>
        <w:rPr>
          <w:rFonts w:ascii="Candara" w:hAnsi="Candara"/>
        </w:rPr>
        <w:t xml:space="preserve"> of PD as an independent risk factor of cardiovascular mortality. Increased level</w:t>
      </w:r>
      <w:r w:rsidR="005B3298">
        <w:rPr>
          <w:rFonts w:ascii="Candara" w:hAnsi="Candara"/>
        </w:rPr>
        <w:t>s</w:t>
      </w:r>
      <w:r>
        <w:rPr>
          <w:rFonts w:ascii="Candara" w:hAnsi="Candara"/>
        </w:rPr>
        <w:t xml:space="preserve"> of T</w:t>
      </w:r>
      <w:r>
        <w:rPr>
          <w:rFonts w:ascii="Candara" w:hAnsi="Candara" w:hint="eastAsia"/>
        </w:rPr>
        <w:t>y</w:t>
      </w:r>
      <w:r>
        <w:rPr>
          <w:rFonts w:ascii="Candara" w:hAnsi="Candara"/>
        </w:rPr>
        <w:t xml:space="preserve">G </w:t>
      </w:r>
      <w:r w:rsidR="00F120EF">
        <w:rPr>
          <w:rFonts w:ascii="Candara" w:hAnsi="Candara"/>
        </w:rPr>
        <w:t xml:space="preserve">index </w:t>
      </w:r>
      <w:r>
        <w:rPr>
          <w:rFonts w:ascii="Candara" w:hAnsi="Candara"/>
        </w:rPr>
        <w:t>w</w:t>
      </w:r>
      <w:r w:rsidR="005B3298">
        <w:rPr>
          <w:rFonts w:ascii="Candara" w:hAnsi="Candara"/>
        </w:rPr>
        <w:t>ere</w:t>
      </w:r>
      <w:r>
        <w:rPr>
          <w:rFonts w:ascii="Candara" w:hAnsi="Candara"/>
        </w:rPr>
        <w:t xml:space="preserve"> associated with a greater risk of cardiovascular mortality, even after adjusting for potential confounders such as eGFR, comorbidities, </w:t>
      </w:r>
      <w:r w:rsidR="000B72EB">
        <w:rPr>
          <w:rFonts w:ascii="Candara" w:hAnsi="Candara"/>
        </w:rPr>
        <w:t>blood</w:t>
      </w:r>
      <w:r>
        <w:rPr>
          <w:rFonts w:ascii="Candara" w:hAnsi="Candara"/>
        </w:rPr>
        <w:t xml:space="preserve"> pressure, and other lipid measurements. The TyG</w:t>
      </w:r>
      <w:r w:rsidR="00F120EF">
        <w:rPr>
          <w:rFonts w:ascii="Candara" w:hAnsi="Candara"/>
        </w:rPr>
        <w:t xml:space="preserve"> index</w:t>
      </w:r>
      <w:r>
        <w:rPr>
          <w:rFonts w:ascii="Candara" w:hAnsi="Candara"/>
        </w:rPr>
        <w:t>,</w:t>
      </w:r>
      <w:r w:rsidR="00CD1C60">
        <w:rPr>
          <w:rFonts w:ascii="Candara" w:hAnsi="Candara"/>
        </w:rPr>
        <w:t xml:space="preserve"> a marker indicating the severity of </w:t>
      </w:r>
      <w:r w:rsidR="007C5693">
        <w:rPr>
          <w:rFonts w:ascii="Candara" w:hAnsi="Candara"/>
        </w:rPr>
        <w:t>IR</w:t>
      </w:r>
      <w:r w:rsidR="00CD1C60">
        <w:rPr>
          <w:rFonts w:ascii="Candara" w:hAnsi="Candara"/>
        </w:rPr>
        <w:t xml:space="preserve">, </w:t>
      </w:r>
      <w:r w:rsidR="005B3298">
        <w:rPr>
          <w:rFonts w:ascii="Candara" w:hAnsi="Candara"/>
        </w:rPr>
        <w:t>among</w:t>
      </w:r>
      <w:r w:rsidR="00CD1C60">
        <w:rPr>
          <w:rFonts w:ascii="Candara" w:hAnsi="Candara"/>
        </w:rPr>
        <w:t xml:space="preserve"> patients in the highest quartile show</w:t>
      </w:r>
      <w:r w:rsidR="005B3298">
        <w:rPr>
          <w:rFonts w:ascii="Candara" w:hAnsi="Candara"/>
        </w:rPr>
        <w:t xml:space="preserve">ed a </w:t>
      </w:r>
      <w:r w:rsidR="00CD1C60">
        <w:rPr>
          <w:rFonts w:ascii="Candara" w:hAnsi="Candara"/>
        </w:rPr>
        <w:t xml:space="preserve"> 2.32-fold increased risk of cardiovascular mortality compared with patients in the lowest quartile.</w:t>
      </w:r>
    </w:p>
    <w:p w14:paraId="2CBA98E6" w14:textId="77777777" w:rsidR="000B72EB" w:rsidRDefault="000B72EB" w:rsidP="00D2210C">
      <w:pPr>
        <w:spacing w:line="480" w:lineRule="auto"/>
        <w:rPr>
          <w:rFonts w:ascii="Candara" w:hAnsi="Candara"/>
        </w:rPr>
      </w:pPr>
    </w:p>
    <w:p w14:paraId="51406B12" w14:textId="5876910F" w:rsidR="004C2E8D" w:rsidRPr="00D25A88" w:rsidRDefault="00CD1C60" w:rsidP="00D2210C">
      <w:pPr>
        <w:autoSpaceDE w:val="0"/>
        <w:autoSpaceDN w:val="0"/>
        <w:adjustRightInd w:val="0"/>
        <w:spacing w:line="480" w:lineRule="auto"/>
        <w:rPr>
          <w:rFonts w:ascii="Candara" w:hAnsi="Candara"/>
          <w:lang w:val="en-US"/>
        </w:rPr>
      </w:pPr>
      <w:r w:rsidRPr="00D25A88">
        <w:rPr>
          <w:rFonts w:ascii="Candara" w:hAnsi="Candara"/>
          <w:lang w:val="en-US"/>
        </w:rPr>
        <w:t>Although TyG</w:t>
      </w:r>
      <w:r w:rsidR="00F120EF">
        <w:rPr>
          <w:rFonts w:ascii="Candara" w:hAnsi="Candara"/>
          <w:lang w:val="en-US"/>
        </w:rPr>
        <w:t xml:space="preserve"> index</w:t>
      </w:r>
      <w:r w:rsidRPr="00D25A88">
        <w:rPr>
          <w:rFonts w:ascii="Candara" w:hAnsi="Candara"/>
          <w:lang w:val="en-US"/>
        </w:rPr>
        <w:t xml:space="preserve"> is </w:t>
      </w:r>
      <w:r w:rsidR="005B3298">
        <w:rPr>
          <w:rFonts w:ascii="Candara" w:hAnsi="Candara"/>
          <w:lang w:val="en-US"/>
        </w:rPr>
        <w:t>a</w:t>
      </w:r>
      <w:r w:rsidRPr="00D25A88">
        <w:rPr>
          <w:rFonts w:ascii="Candara" w:hAnsi="Candara"/>
          <w:lang w:val="en-US"/>
        </w:rPr>
        <w:t xml:space="preserve"> </w:t>
      </w:r>
      <w:r w:rsidR="00AC7515" w:rsidRPr="00D25A88">
        <w:rPr>
          <w:rFonts w:ascii="Candara" w:hAnsi="Candara"/>
          <w:lang w:val="en-US"/>
        </w:rPr>
        <w:t xml:space="preserve">good surrogate of </w:t>
      </w:r>
      <w:r w:rsidR="007C5693">
        <w:rPr>
          <w:rFonts w:ascii="Candara" w:hAnsi="Candara"/>
          <w:lang w:val="en-US"/>
        </w:rPr>
        <w:t>IR</w:t>
      </w:r>
      <w:r w:rsidR="00AC7515" w:rsidRPr="00D25A88">
        <w:rPr>
          <w:rFonts w:ascii="Candara" w:hAnsi="Candara"/>
          <w:lang w:val="en-US"/>
        </w:rPr>
        <w:t>, prior studies have been most focused on its relationship to the risk of development of type 2 diabetes</w:t>
      </w:r>
      <w:r w:rsidR="00AE6254" w:rsidRPr="00D25A88">
        <w:rPr>
          <w:rFonts w:ascii="Candara" w:hAnsi="Candara"/>
          <w:lang w:val="en-US"/>
        </w:rPr>
        <w:t xml:space="preserve"> </w:t>
      </w:r>
      <w:r w:rsidR="00EC3117">
        <w:rPr>
          <w:rFonts w:ascii="Candara" w:hAnsi="Candara"/>
          <w:lang w:val="en-US"/>
        </w:rPr>
        <w:fldChar w:fldCharType="begin"/>
      </w:r>
      <w:r w:rsidR="000337C7">
        <w:rPr>
          <w:rFonts w:ascii="Candara" w:hAnsi="Candara"/>
          <w:lang w:val="en-US"/>
        </w:rPr>
        <w:instrText>ADDIN RW.CITE{{2626 Fortes,P.C. 2009; 2643 Low,S. 2018; 2644 Lee,D.Y. 2016; 2645 Navarro-Gonzalez,D. 2016}}</w:instrText>
      </w:r>
      <w:r w:rsidR="00EC3117">
        <w:rPr>
          <w:rFonts w:ascii="Candara" w:hAnsi="Candara"/>
          <w:lang w:val="en-US"/>
        </w:rPr>
        <w:fldChar w:fldCharType="separate"/>
      </w:r>
      <w:r w:rsidR="00642D21" w:rsidRPr="00642D21">
        <w:rPr>
          <w:rFonts w:ascii="Candara" w:hAnsi="Candara"/>
          <w:lang w:val="en-US"/>
        </w:rPr>
        <w:t>(8, 23-25)</w:t>
      </w:r>
      <w:r w:rsidR="00EC3117">
        <w:rPr>
          <w:rFonts w:ascii="Candara" w:hAnsi="Candara"/>
          <w:lang w:val="en-US"/>
        </w:rPr>
        <w:fldChar w:fldCharType="end"/>
      </w:r>
      <w:r w:rsidR="005B3298">
        <w:rPr>
          <w:rFonts w:ascii="Candara" w:hAnsi="Candara"/>
          <w:lang w:val="en-US"/>
        </w:rPr>
        <w:t>.  To</w:t>
      </w:r>
      <w:r w:rsidR="007B223B" w:rsidRPr="00D25A88">
        <w:rPr>
          <w:rFonts w:ascii="Candara" w:hAnsi="Candara"/>
          <w:lang w:val="en-US"/>
        </w:rPr>
        <w:t xml:space="preserve"> date</w:t>
      </w:r>
      <w:r w:rsidR="005B3298">
        <w:rPr>
          <w:rFonts w:ascii="Candara" w:hAnsi="Candara"/>
          <w:lang w:val="en-US"/>
        </w:rPr>
        <w:t>, these</w:t>
      </w:r>
      <w:r w:rsidR="007B223B" w:rsidRPr="00D25A88">
        <w:rPr>
          <w:rFonts w:ascii="Candara" w:hAnsi="Candara"/>
          <w:lang w:val="en-US"/>
        </w:rPr>
        <w:t xml:space="preserve"> have </w:t>
      </w:r>
      <w:r w:rsidR="00B22D4E" w:rsidRPr="00D25A88">
        <w:rPr>
          <w:rFonts w:ascii="Candara" w:hAnsi="Candara"/>
          <w:lang w:val="en-US"/>
        </w:rPr>
        <w:t xml:space="preserve">reported significant associations between </w:t>
      </w:r>
      <w:r w:rsidR="005B3298">
        <w:rPr>
          <w:rFonts w:ascii="Candara" w:hAnsi="Candara"/>
          <w:lang w:val="en-US"/>
        </w:rPr>
        <w:t xml:space="preserve">the </w:t>
      </w:r>
      <w:r w:rsidR="00B22D4E" w:rsidRPr="00D25A88">
        <w:rPr>
          <w:rFonts w:ascii="Candara" w:hAnsi="Candara"/>
          <w:lang w:val="en-US"/>
        </w:rPr>
        <w:t>TyG</w:t>
      </w:r>
      <w:r w:rsidR="00F120EF">
        <w:rPr>
          <w:rFonts w:ascii="Candara" w:hAnsi="Candara"/>
          <w:lang w:val="en-US"/>
        </w:rPr>
        <w:t xml:space="preserve"> index</w:t>
      </w:r>
      <w:r w:rsidR="00B22D4E" w:rsidRPr="00D25A88">
        <w:rPr>
          <w:rFonts w:ascii="Candara" w:hAnsi="Candara"/>
          <w:lang w:val="en-US"/>
        </w:rPr>
        <w:t xml:space="preserve"> level and risk of incident diabetes in </w:t>
      </w:r>
      <w:r w:rsidR="005B3298">
        <w:rPr>
          <w:rFonts w:ascii="Candara" w:hAnsi="Candara"/>
          <w:lang w:val="en-US"/>
        </w:rPr>
        <w:t xml:space="preserve">both </w:t>
      </w:r>
      <w:r w:rsidR="00F120EF">
        <w:rPr>
          <w:rFonts w:ascii="Candara" w:hAnsi="Candara"/>
          <w:lang w:val="en-US"/>
        </w:rPr>
        <w:t>general</w:t>
      </w:r>
      <w:r w:rsidR="00B22D4E" w:rsidRPr="00D25A88">
        <w:rPr>
          <w:rFonts w:ascii="Candara" w:hAnsi="Candara"/>
          <w:lang w:val="en-US"/>
        </w:rPr>
        <w:t xml:space="preserve"> and </w:t>
      </w:r>
      <w:r w:rsidR="00F120EF">
        <w:rPr>
          <w:rFonts w:ascii="Candara" w:hAnsi="Candara"/>
          <w:lang w:val="en-US"/>
        </w:rPr>
        <w:t>metabolic</w:t>
      </w:r>
      <w:r w:rsidR="005B3298">
        <w:rPr>
          <w:rFonts w:ascii="Candara" w:hAnsi="Candara"/>
          <w:lang w:val="en-US"/>
        </w:rPr>
        <w:t>ally</w:t>
      </w:r>
      <w:r w:rsidR="00F120EF">
        <w:rPr>
          <w:rFonts w:ascii="Candara" w:hAnsi="Candara"/>
          <w:lang w:val="en-US"/>
        </w:rPr>
        <w:t xml:space="preserve"> high-risk</w:t>
      </w:r>
      <w:r w:rsidR="00B22D4E" w:rsidRPr="00D25A88">
        <w:rPr>
          <w:rFonts w:ascii="Candara" w:hAnsi="Candara"/>
          <w:lang w:val="en-US"/>
        </w:rPr>
        <w:t xml:space="preserve"> population</w:t>
      </w:r>
      <w:r w:rsidR="005B3298">
        <w:rPr>
          <w:rFonts w:ascii="Candara" w:hAnsi="Candara"/>
          <w:lang w:val="en-US"/>
        </w:rPr>
        <w:t>s</w:t>
      </w:r>
      <w:r w:rsidR="000B72EB">
        <w:rPr>
          <w:rFonts w:ascii="Candara" w:hAnsi="Candara"/>
          <w:lang w:val="en-US"/>
        </w:rPr>
        <w:t xml:space="preserve"> (23-25)</w:t>
      </w:r>
      <w:r w:rsidR="00B22D4E" w:rsidRPr="00D25A88">
        <w:rPr>
          <w:rFonts w:ascii="Candara" w:hAnsi="Candara"/>
          <w:lang w:val="en-US"/>
        </w:rPr>
        <w:t xml:space="preserve">. Some other studies also reported significant associations between TyG </w:t>
      </w:r>
      <w:r w:rsidR="007028C1">
        <w:rPr>
          <w:rFonts w:ascii="Candara" w:hAnsi="Candara"/>
          <w:lang w:val="en-US"/>
        </w:rPr>
        <w:t xml:space="preserve">index </w:t>
      </w:r>
      <w:r w:rsidR="00B22D4E" w:rsidRPr="00D25A88">
        <w:rPr>
          <w:rFonts w:ascii="Candara" w:hAnsi="Candara"/>
          <w:lang w:val="en-US"/>
        </w:rPr>
        <w:t xml:space="preserve">and arterial stiffness </w:t>
      </w:r>
      <w:r w:rsidR="00EA6A80">
        <w:rPr>
          <w:rFonts w:ascii="Candara" w:hAnsi="Candara"/>
          <w:lang w:val="en-US"/>
        </w:rPr>
        <w:fldChar w:fldCharType="begin"/>
      </w:r>
      <w:r w:rsidR="000337C7">
        <w:rPr>
          <w:rFonts w:ascii="Candara" w:hAnsi="Candara"/>
          <w:lang w:val="en-US"/>
        </w:rPr>
        <w:instrText>ADDIN RW.CITE{{2646 Lee,S.B. 2018}}</w:instrText>
      </w:r>
      <w:r w:rsidR="00EA6A80">
        <w:rPr>
          <w:rFonts w:ascii="Candara" w:hAnsi="Candara"/>
          <w:lang w:val="en-US"/>
        </w:rPr>
        <w:fldChar w:fldCharType="separate"/>
      </w:r>
      <w:r w:rsidR="00642D21" w:rsidRPr="00642D21">
        <w:rPr>
          <w:rFonts w:ascii="Candara" w:hAnsi="Candara"/>
          <w:lang w:val="en-US"/>
        </w:rPr>
        <w:t>(26)</w:t>
      </w:r>
      <w:r w:rsidR="00EA6A80">
        <w:rPr>
          <w:rFonts w:ascii="Candara" w:hAnsi="Candara"/>
          <w:lang w:val="en-US"/>
        </w:rPr>
        <w:fldChar w:fldCharType="end"/>
      </w:r>
      <w:r w:rsidR="00B22D4E" w:rsidRPr="00D25A88">
        <w:rPr>
          <w:rFonts w:ascii="Candara" w:hAnsi="Candara"/>
          <w:lang w:val="en-US"/>
        </w:rPr>
        <w:t xml:space="preserve">, subclinical atherosclerosis </w:t>
      </w:r>
      <w:r w:rsidR="00EA6A80">
        <w:rPr>
          <w:rFonts w:ascii="Candara" w:hAnsi="Candara"/>
          <w:lang w:val="en-US"/>
        </w:rPr>
        <w:fldChar w:fldCharType="begin"/>
      </w:r>
      <w:r w:rsidR="000337C7">
        <w:rPr>
          <w:rFonts w:ascii="Candara" w:hAnsi="Candara"/>
          <w:lang w:val="en-US"/>
        </w:rPr>
        <w:instrText>ADDIN RW.CITE{{2647 Lambrinoudaki,I. 2018}}</w:instrText>
      </w:r>
      <w:r w:rsidR="00EA6A80">
        <w:rPr>
          <w:rFonts w:ascii="Candara" w:hAnsi="Candara"/>
          <w:lang w:val="en-US"/>
        </w:rPr>
        <w:fldChar w:fldCharType="separate"/>
      </w:r>
      <w:r w:rsidR="00642D21" w:rsidRPr="00642D21">
        <w:rPr>
          <w:rFonts w:ascii="Candara" w:hAnsi="Candara"/>
          <w:lang w:val="en-US"/>
        </w:rPr>
        <w:t>(27)</w:t>
      </w:r>
      <w:r w:rsidR="00EA6A80">
        <w:rPr>
          <w:rFonts w:ascii="Candara" w:hAnsi="Candara"/>
          <w:lang w:val="en-US"/>
        </w:rPr>
        <w:fldChar w:fldCharType="end"/>
      </w:r>
      <w:r w:rsidR="00B22D4E" w:rsidRPr="00D25A88">
        <w:rPr>
          <w:rFonts w:ascii="Candara" w:hAnsi="Candara"/>
          <w:lang w:val="en-US"/>
        </w:rPr>
        <w:t>, coronary artery calcification</w:t>
      </w:r>
      <w:r w:rsidR="0057523E">
        <w:rPr>
          <w:rFonts w:ascii="Candara" w:hAnsi="Candara"/>
          <w:lang w:val="en-US"/>
        </w:rPr>
        <w:t xml:space="preserve"> (CAC)</w:t>
      </w:r>
      <w:r w:rsidR="00B22D4E" w:rsidRPr="00D25A88">
        <w:rPr>
          <w:rFonts w:ascii="Candara" w:hAnsi="Candara"/>
          <w:lang w:val="en-US"/>
        </w:rPr>
        <w:t xml:space="preserve"> </w:t>
      </w:r>
      <w:r w:rsidR="00EA6A80">
        <w:rPr>
          <w:rFonts w:ascii="Candara" w:hAnsi="Candara"/>
          <w:lang w:val="en-US"/>
        </w:rPr>
        <w:fldChar w:fldCharType="begin"/>
      </w:r>
      <w:r w:rsidR="000337C7">
        <w:rPr>
          <w:rFonts w:ascii="Candara" w:hAnsi="Candara"/>
          <w:lang w:val="en-US"/>
        </w:rPr>
        <w:instrText>ADDIN RW.CITE{{2648 Kim,M.K. 2017}}</w:instrText>
      </w:r>
      <w:r w:rsidR="00EA6A80">
        <w:rPr>
          <w:rFonts w:ascii="Candara" w:hAnsi="Candara"/>
          <w:lang w:val="en-US"/>
        </w:rPr>
        <w:fldChar w:fldCharType="separate"/>
      </w:r>
      <w:r w:rsidR="00642D21" w:rsidRPr="00642D21">
        <w:rPr>
          <w:rFonts w:ascii="Candara" w:hAnsi="Candara"/>
          <w:lang w:val="en-US"/>
        </w:rPr>
        <w:t>(28)</w:t>
      </w:r>
      <w:r w:rsidR="00EA6A80">
        <w:rPr>
          <w:rFonts w:ascii="Candara" w:hAnsi="Candara"/>
          <w:lang w:val="en-US"/>
        </w:rPr>
        <w:fldChar w:fldCharType="end"/>
      </w:r>
      <w:r w:rsidR="00B22D4E" w:rsidRPr="00D25A88">
        <w:rPr>
          <w:rFonts w:ascii="Candara" w:hAnsi="Candara"/>
          <w:lang w:val="en-US"/>
        </w:rPr>
        <w:t xml:space="preserve">, and cardiac autonomic neuropathy </w:t>
      </w:r>
      <w:r w:rsidR="00EA6A80">
        <w:rPr>
          <w:rFonts w:ascii="Candara" w:hAnsi="Candara"/>
          <w:lang w:val="en-US"/>
        </w:rPr>
        <w:fldChar w:fldCharType="begin"/>
      </w:r>
      <w:r w:rsidR="000337C7">
        <w:rPr>
          <w:rFonts w:ascii="Candara" w:hAnsi="Candara"/>
          <w:lang w:val="en-US"/>
        </w:rPr>
        <w:instrText>ADDIN RW.CITE{{2649 Akbar,M. 2017}}</w:instrText>
      </w:r>
      <w:r w:rsidR="00EA6A80">
        <w:rPr>
          <w:rFonts w:ascii="Candara" w:hAnsi="Candara"/>
          <w:lang w:val="en-US"/>
        </w:rPr>
        <w:fldChar w:fldCharType="separate"/>
      </w:r>
      <w:r w:rsidR="00642D21" w:rsidRPr="00642D21">
        <w:rPr>
          <w:rFonts w:ascii="Candara" w:hAnsi="Candara"/>
          <w:lang w:val="en-US"/>
        </w:rPr>
        <w:t>(29)</w:t>
      </w:r>
      <w:r w:rsidR="00EA6A80">
        <w:rPr>
          <w:rFonts w:ascii="Candara" w:hAnsi="Candara"/>
          <w:lang w:val="en-US"/>
        </w:rPr>
        <w:fldChar w:fldCharType="end"/>
      </w:r>
      <w:r w:rsidR="00B22D4E" w:rsidRPr="00D25A88">
        <w:rPr>
          <w:rFonts w:ascii="Candara" w:hAnsi="Candara"/>
          <w:lang w:val="en-US"/>
        </w:rPr>
        <w:t xml:space="preserve">, which all suggest that </w:t>
      </w:r>
      <w:r w:rsidR="005B3298">
        <w:rPr>
          <w:rFonts w:ascii="Candara" w:hAnsi="Candara"/>
          <w:lang w:val="en-US"/>
        </w:rPr>
        <w:t xml:space="preserve">the </w:t>
      </w:r>
      <w:r w:rsidR="00B22D4E" w:rsidRPr="00D25A88">
        <w:rPr>
          <w:rFonts w:ascii="Candara" w:hAnsi="Candara"/>
          <w:lang w:val="en-US"/>
        </w:rPr>
        <w:t xml:space="preserve">TyG </w:t>
      </w:r>
      <w:r w:rsidR="007028C1">
        <w:rPr>
          <w:rFonts w:ascii="Candara" w:hAnsi="Candara"/>
          <w:lang w:val="en-US"/>
        </w:rPr>
        <w:t xml:space="preserve">index </w:t>
      </w:r>
      <w:r w:rsidR="005B3298">
        <w:rPr>
          <w:rFonts w:ascii="Candara" w:hAnsi="Candara"/>
          <w:lang w:val="en-US"/>
        </w:rPr>
        <w:t xml:space="preserve">is a </w:t>
      </w:r>
      <w:r w:rsidR="00B22D4E" w:rsidRPr="00D25A88">
        <w:rPr>
          <w:rFonts w:ascii="Candara" w:hAnsi="Candara"/>
          <w:lang w:val="en-US"/>
        </w:rPr>
        <w:t xml:space="preserve">surrogate </w:t>
      </w:r>
      <w:r w:rsidR="005B3298">
        <w:rPr>
          <w:rFonts w:ascii="Candara" w:hAnsi="Candara"/>
          <w:lang w:val="en-US"/>
        </w:rPr>
        <w:t>for</w:t>
      </w:r>
      <w:r w:rsidR="00B22D4E" w:rsidRPr="00D25A88">
        <w:rPr>
          <w:rFonts w:ascii="Candara" w:hAnsi="Candara"/>
          <w:lang w:val="en-US"/>
        </w:rPr>
        <w:t xml:space="preserve"> </w:t>
      </w:r>
      <w:r w:rsidR="007C5693">
        <w:rPr>
          <w:rFonts w:ascii="Candara" w:hAnsi="Candara"/>
          <w:lang w:val="en-US"/>
        </w:rPr>
        <w:t>IR</w:t>
      </w:r>
      <w:r w:rsidR="005B3298">
        <w:rPr>
          <w:rFonts w:ascii="Candara" w:hAnsi="Candara"/>
          <w:lang w:val="en-US"/>
        </w:rPr>
        <w:t>, which in turn</w:t>
      </w:r>
      <w:r w:rsidR="00B22D4E" w:rsidRPr="00D25A88">
        <w:rPr>
          <w:rFonts w:ascii="Candara" w:hAnsi="Candara"/>
          <w:lang w:val="en-US"/>
        </w:rPr>
        <w:t xml:space="preserve"> contributed </w:t>
      </w:r>
      <w:r w:rsidR="005B3298">
        <w:rPr>
          <w:rFonts w:ascii="Candara" w:hAnsi="Candara"/>
          <w:lang w:val="en-US"/>
        </w:rPr>
        <w:t xml:space="preserve">to </w:t>
      </w:r>
      <w:r w:rsidR="00B22D4E" w:rsidRPr="00D25A88">
        <w:rPr>
          <w:rFonts w:ascii="Candara" w:hAnsi="Candara"/>
          <w:lang w:val="en-US"/>
        </w:rPr>
        <w:t>the development and prognosis of cardiovascular diseases. Notably, in our study, we identified the TyG</w:t>
      </w:r>
      <w:r w:rsidR="007028C1">
        <w:rPr>
          <w:rFonts w:ascii="Candara" w:hAnsi="Candara"/>
          <w:lang w:val="en-US"/>
        </w:rPr>
        <w:t xml:space="preserve"> index</w:t>
      </w:r>
      <w:r w:rsidR="00B22D4E" w:rsidRPr="00D25A88">
        <w:rPr>
          <w:rFonts w:ascii="Candara" w:hAnsi="Candara"/>
          <w:lang w:val="en-US"/>
        </w:rPr>
        <w:t>, a commonly use</w:t>
      </w:r>
      <w:r w:rsidR="00BD50BB">
        <w:rPr>
          <w:rFonts w:ascii="Candara" w:hAnsi="Candara"/>
          <w:lang w:val="en-US"/>
        </w:rPr>
        <w:t xml:space="preserve">d proxy of </w:t>
      </w:r>
      <w:r w:rsidR="007C5693">
        <w:rPr>
          <w:rFonts w:ascii="Candara" w:hAnsi="Candara"/>
          <w:lang w:val="en-US"/>
        </w:rPr>
        <w:t>IR</w:t>
      </w:r>
      <w:r w:rsidR="00BD50BB">
        <w:rPr>
          <w:rFonts w:ascii="Candara" w:hAnsi="Candara"/>
          <w:lang w:val="en-US"/>
        </w:rPr>
        <w:t xml:space="preserve"> </w:t>
      </w:r>
      <w:r w:rsidR="00EA6A80">
        <w:rPr>
          <w:rFonts w:ascii="Candara" w:hAnsi="Candara"/>
          <w:lang w:val="en-US"/>
        </w:rPr>
        <w:fldChar w:fldCharType="begin"/>
      </w:r>
      <w:r w:rsidR="000337C7">
        <w:rPr>
          <w:rFonts w:ascii="Candara" w:hAnsi="Candara"/>
          <w:lang w:val="en-US"/>
        </w:rPr>
        <w:instrText>ADDIN RW.CITE{{2643 Low,S. 2018}}</w:instrText>
      </w:r>
      <w:r w:rsidR="00EA6A80">
        <w:rPr>
          <w:rFonts w:ascii="Candara" w:hAnsi="Candara"/>
          <w:lang w:val="en-US"/>
        </w:rPr>
        <w:fldChar w:fldCharType="separate"/>
      </w:r>
      <w:r w:rsidR="00642D21" w:rsidRPr="00642D21">
        <w:rPr>
          <w:rFonts w:ascii="Candara" w:hAnsi="Candara"/>
          <w:lang w:val="en-US"/>
        </w:rPr>
        <w:t>(23)</w:t>
      </w:r>
      <w:r w:rsidR="00EA6A80">
        <w:rPr>
          <w:rFonts w:ascii="Candara" w:hAnsi="Candara"/>
          <w:lang w:val="en-US"/>
        </w:rPr>
        <w:fldChar w:fldCharType="end"/>
      </w:r>
      <w:r w:rsidR="00B22D4E" w:rsidRPr="00D25A88">
        <w:rPr>
          <w:rFonts w:ascii="Candara" w:hAnsi="Candara"/>
          <w:lang w:val="en-US"/>
        </w:rPr>
        <w:t xml:space="preserve">, as a novel prognostic factor for cardiovascular mortality for </w:t>
      </w:r>
      <w:r w:rsidR="00D25A88" w:rsidRPr="00D25A88">
        <w:rPr>
          <w:rFonts w:ascii="Candara" w:hAnsi="Candara"/>
          <w:lang w:val="en-US"/>
        </w:rPr>
        <w:t xml:space="preserve">patients initializing PD. Although the TyG </w:t>
      </w:r>
      <w:r w:rsidR="007028C1">
        <w:rPr>
          <w:rFonts w:ascii="Candara" w:hAnsi="Candara"/>
          <w:lang w:val="en-US"/>
        </w:rPr>
        <w:t xml:space="preserve">index </w:t>
      </w:r>
      <w:r w:rsidR="00D25A88" w:rsidRPr="00D25A88">
        <w:rPr>
          <w:rFonts w:ascii="Candara" w:hAnsi="Candara"/>
          <w:lang w:val="en-US"/>
        </w:rPr>
        <w:t xml:space="preserve">has not previously been examined in </w:t>
      </w:r>
      <w:r w:rsidR="005B3298">
        <w:rPr>
          <w:rFonts w:ascii="Candara" w:hAnsi="Candara"/>
          <w:lang w:val="en-US"/>
        </w:rPr>
        <w:t xml:space="preserve">the </w:t>
      </w:r>
      <w:r w:rsidR="00D25A88" w:rsidRPr="00D25A88">
        <w:rPr>
          <w:rFonts w:ascii="Candara" w:hAnsi="Candara"/>
          <w:lang w:val="en-US"/>
        </w:rPr>
        <w:t xml:space="preserve">relationship </w:t>
      </w:r>
      <w:r w:rsidR="005B3298">
        <w:rPr>
          <w:rFonts w:ascii="Candara" w:hAnsi="Candara"/>
          <w:lang w:val="en-US"/>
        </w:rPr>
        <w:t xml:space="preserve">with </w:t>
      </w:r>
      <w:r w:rsidR="00D25A88" w:rsidRPr="00D25A88">
        <w:rPr>
          <w:rFonts w:ascii="Candara" w:hAnsi="Candara"/>
          <w:lang w:val="en-US"/>
        </w:rPr>
        <w:t xml:space="preserve">the risk of cardiovascular mortality </w:t>
      </w:r>
      <w:r w:rsidR="005B3298">
        <w:rPr>
          <w:rFonts w:ascii="Candara" w:hAnsi="Candara"/>
          <w:lang w:val="en-US"/>
        </w:rPr>
        <w:t>among</w:t>
      </w:r>
      <w:r w:rsidR="00D25A88" w:rsidRPr="00D25A88">
        <w:rPr>
          <w:rFonts w:ascii="Candara" w:hAnsi="Candara"/>
          <w:lang w:val="en-US"/>
        </w:rPr>
        <w:t xml:space="preserve"> PD patients, our findings are consistent with others showing an increased level of measures of glucose and cardiovascular risk factors </w:t>
      </w:r>
      <w:r w:rsidR="009D49EE">
        <w:rPr>
          <w:rFonts w:ascii="Candara" w:hAnsi="Candara"/>
          <w:lang w:val="en-US"/>
        </w:rPr>
        <w:t xml:space="preserve">(e.g., elevated fasting glucose, C-reaction protein) </w:t>
      </w:r>
      <w:r w:rsidR="00D25A88" w:rsidRPr="00D25A88">
        <w:rPr>
          <w:rFonts w:ascii="Candara" w:hAnsi="Candara"/>
          <w:lang w:val="en-US"/>
        </w:rPr>
        <w:t>among patients with higher level</w:t>
      </w:r>
      <w:r w:rsidR="005B3298">
        <w:rPr>
          <w:rFonts w:ascii="Candara" w:hAnsi="Candara"/>
          <w:lang w:val="en-US"/>
        </w:rPr>
        <w:t>s</w:t>
      </w:r>
      <w:r w:rsidR="00D25A88" w:rsidRPr="00D25A88">
        <w:rPr>
          <w:rFonts w:ascii="Candara" w:hAnsi="Candara"/>
          <w:lang w:val="en-US"/>
        </w:rPr>
        <w:t xml:space="preserve"> o</w:t>
      </w:r>
      <w:r w:rsidR="005B3298">
        <w:rPr>
          <w:rFonts w:ascii="Candara" w:hAnsi="Candara"/>
          <w:lang w:val="en-US"/>
        </w:rPr>
        <w:t>f</w:t>
      </w:r>
      <w:r w:rsidR="00D25A88" w:rsidRPr="00D25A88">
        <w:rPr>
          <w:rFonts w:ascii="Candara" w:hAnsi="Candara"/>
          <w:lang w:val="en-US"/>
        </w:rPr>
        <w:t xml:space="preserve"> </w:t>
      </w:r>
      <w:r w:rsidR="005B3298">
        <w:rPr>
          <w:rFonts w:ascii="Candara" w:hAnsi="Candara"/>
          <w:lang w:val="en-US"/>
        </w:rPr>
        <w:t xml:space="preserve">the </w:t>
      </w:r>
      <w:r w:rsidR="00D25A88" w:rsidRPr="00D25A88">
        <w:rPr>
          <w:rFonts w:ascii="Candara" w:hAnsi="Candara"/>
          <w:lang w:val="en-US"/>
        </w:rPr>
        <w:t>TyG</w:t>
      </w:r>
      <w:r w:rsidR="007028C1">
        <w:rPr>
          <w:rFonts w:ascii="Candara" w:hAnsi="Candara"/>
          <w:lang w:val="en-US"/>
        </w:rPr>
        <w:t xml:space="preserve"> index</w:t>
      </w:r>
      <w:r w:rsidR="00D25A88" w:rsidRPr="00D25A88">
        <w:rPr>
          <w:rFonts w:ascii="Candara" w:hAnsi="Candara"/>
          <w:lang w:val="en-US"/>
        </w:rPr>
        <w:t>. Taken together, these findings suggest that higher level of TyG</w:t>
      </w:r>
      <w:r w:rsidR="007028C1">
        <w:rPr>
          <w:rFonts w:ascii="Candara" w:hAnsi="Candara"/>
          <w:lang w:val="en-US"/>
        </w:rPr>
        <w:t xml:space="preserve"> index</w:t>
      </w:r>
      <w:r w:rsidR="00D25A88" w:rsidRPr="00D25A88">
        <w:rPr>
          <w:rFonts w:ascii="Candara" w:hAnsi="Candara"/>
          <w:lang w:val="en-US"/>
        </w:rPr>
        <w:t xml:space="preserve">, which could result from impaired insulin and metabolism status, could be related to the prognosis of cardiovascular diseases in patients with ESRD. </w:t>
      </w:r>
    </w:p>
    <w:p w14:paraId="2C4A5356" w14:textId="50C83D16" w:rsidR="004A178E" w:rsidRPr="000B72EB" w:rsidRDefault="00BD50BB" w:rsidP="00D2210C">
      <w:pPr>
        <w:autoSpaceDE w:val="0"/>
        <w:autoSpaceDN w:val="0"/>
        <w:adjustRightInd w:val="0"/>
        <w:spacing w:line="480" w:lineRule="auto"/>
        <w:rPr>
          <w:rFonts w:ascii="SimSun" w:eastAsia="SimSun" w:hAnsi="SimSun" w:cs="SimSun"/>
          <w:lang w:val="en-US"/>
        </w:rPr>
      </w:pPr>
      <w:r>
        <w:rPr>
          <w:rFonts w:ascii="SimSun" w:eastAsia="SimSun" w:hAnsi="SimSun" w:cs="SimSun" w:hint="eastAsia"/>
          <w:lang w:val="en-US"/>
        </w:rPr>
        <w:t xml:space="preserve"> </w:t>
      </w:r>
    </w:p>
    <w:p w14:paraId="793CCCE7" w14:textId="2AA35D47" w:rsidR="00D618C8" w:rsidRPr="00FD184C" w:rsidRDefault="00D618C8" w:rsidP="00D2210C">
      <w:pPr>
        <w:spacing w:line="480" w:lineRule="auto"/>
        <w:rPr>
          <w:rFonts w:ascii="Candara" w:eastAsiaTheme="minorEastAsia" w:hAnsi="Candara"/>
        </w:rPr>
      </w:pPr>
      <w:r w:rsidRPr="00FD184C">
        <w:rPr>
          <w:rFonts w:ascii="Candara" w:eastAsiaTheme="minorEastAsia" w:hAnsi="Candara"/>
        </w:rPr>
        <w:t xml:space="preserve">In prior studies, </w:t>
      </w:r>
      <w:r w:rsidR="007C5693">
        <w:rPr>
          <w:rFonts w:ascii="Candara" w:eastAsiaTheme="minorEastAsia" w:hAnsi="Candara"/>
        </w:rPr>
        <w:t>IR</w:t>
      </w:r>
      <w:r w:rsidRPr="00FD184C">
        <w:rPr>
          <w:rFonts w:ascii="Candara" w:eastAsiaTheme="minorEastAsia" w:hAnsi="Candara"/>
        </w:rPr>
        <w:t xml:space="preserve"> measured by HOMA-IR</w:t>
      </w:r>
      <w:r w:rsidR="00390551" w:rsidRPr="00FD184C">
        <w:rPr>
          <w:rFonts w:ascii="Candara" w:eastAsiaTheme="minorEastAsia" w:hAnsi="Candara"/>
        </w:rPr>
        <w:t xml:space="preserve"> was documented</w:t>
      </w:r>
      <w:r w:rsidRPr="00FD184C">
        <w:rPr>
          <w:rFonts w:ascii="Candara" w:eastAsiaTheme="minorEastAsia" w:hAnsi="Candara"/>
        </w:rPr>
        <w:t xml:space="preserve"> to be associated with </w:t>
      </w:r>
      <w:r w:rsidR="009F7545" w:rsidRPr="00FD184C">
        <w:rPr>
          <w:rFonts w:ascii="Candara" w:eastAsiaTheme="minorEastAsia" w:hAnsi="Candara"/>
        </w:rPr>
        <w:t>parameters of metabolic disorders such as body mass index, impaired fasting glucose, and triglyceride</w:t>
      </w:r>
      <w:r w:rsidR="00B31EB9" w:rsidRPr="00FD184C">
        <w:rPr>
          <w:rFonts w:ascii="Candara" w:eastAsiaTheme="minorEastAsia" w:hAnsi="Candara"/>
        </w:rPr>
        <w:t xml:space="preserve">, et al among patients with prevalent PD. </w:t>
      </w:r>
      <w:r w:rsidR="00CB6A15" w:rsidRPr="00FD184C">
        <w:rPr>
          <w:rFonts w:ascii="Candara" w:eastAsiaTheme="minorEastAsia" w:hAnsi="Candara"/>
        </w:rPr>
        <w:t>In addition, increased HOMA-IR was significantly associated with new-onset cardiovascular events</w:t>
      </w:r>
      <w:r w:rsidR="00B46D02" w:rsidRPr="00FD184C">
        <w:rPr>
          <w:rFonts w:ascii="Candara" w:eastAsiaTheme="minorEastAsia" w:hAnsi="Candara"/>
        </w:rPr>
        <w:t xml:space="preserve">. For example, </w:t>
      </w:r>
      <w:r w:rsidR="0066491E" w:rsidRPr="00FD184C">
        <w:rPr>
          <w:rFonts w:ascii="Candara" w:eastAsiaTheme="minorEastAsia" w:hAnsi="Candara"/>
        </w:rPr>
        <w:t>in a Chin</w:t>
      </w:r>
      <w:r w:rsidR="00340ECC" w:rsidRPr="00FD184C">
        <w:rPr>
          <w:rFonts w:ascii="Candara" w:eastAsiaTheme="minorEastAsia" w:hAnsi="Candara"/>
        </w:rPr>
        <w:t>ese PD case cohort</w:t>
      </w:r>
      <w:r w:rsidR="005B3298">
        <w:rPr>
          <w:rFonts w:ascii="Candara" w:eastAsiaTheme="minorEastAsia" w:hAnsi="Candara"/>
        </w:rPr>
        <w:t xml:space="preserve"> study</w:t>
      </w:r>
      <w:r w:rsidR="00340ECC" w:rsidRPr="00FD184C">
        <w:rPr>
          <w:rFonts w:ascii="Candara" w:eastAsiaTheme="minorEastAsia" w:hAnsi="Candara"/>
        </w:rPr>
        <w:t>, patient</w:t>
      </w:r>
      <w:r w:rsidR="005B3298">
        <w:rPr>
          <w:rFonts w:ascii="Candara" w:eastAsiaTheme="minorEastAsia" w:hAnsi="Candara"/>
        </w:rPr>
        <w:t>s</w:t>
      </w:r>
      <w:r w:rsidR="001F6E8B" w:rsidRPr="00FD184C">
        <w:rPr>
          <w:rFonts w:ascii="Candara" w:eastAsiaTheme="minorEastAsia" w:hAnsi="Candara"/>
        </w:rPr>
        <w:t xml:space="preserve"> with </w:t>
      </w:r>
      <w:r w:rsidR="00A56DB4">
        <w:rPr>
          <w:rFonts w:ascii="Candara" w:eastAsiaTheme="minorEastAsia" w:hAnsi="Candara"/>
        </w:rPr>
        <w:t xml:space="preserve">a </w:t>
      </w:r>
      <w:r w:rsidR="00340ECC" w:rsidRPr="00FD184C">
        <w:rPr>
          <w:rFonts w:ascii="Candara" w:eastAsiaTheme="minorEastAsia" w:hAnsi="Candara"/>
        </w:rPr>
        <w:t xml:space="preserve">HOMA-IR </w:t>
      </w:r>
      <w:r w:rsidR="00A56DB4">
        <w:rPr>
          <w:rFonts w:ascii="Candara" w:eastAsiaTheme="minorEastAsia" w:hAnsi="Candara"/>
        </w:rPr>
        <w:t>between</w:t>
      </w:r>
      <w:r w:rsidR="001F6E8B" w:rsidRPr="00FD184C">
        <w:rPr>
          <w:rFonts w:ascii="Candara" w:eastAsiaTheme="minorEastAsia" w:hAnsi="Candara"/>
        </w:rPr>
        <w:t xml:space="preserve"> 2.85-19.5 compar</w:t>
      </w:r>
      <w:r w:rsidR="00A56DB4">
        <w:rPr>
          <w:rFonts w:ascii="Candara" w:eastAsiaTheme="minorEastAsia" w:hAnsi="Candara"/>
        </w:rPr>
        <w:t>ed</w:t>
      </w:r>
      <w:r w:rsidR="001F6E8B" w:rsidRPr="00FD184C">
        <w:rPr>
          <w:rFonts w:ascii="Candara" w:eastAsiaTheme="minorEastAsia" w:hAnsi="Candara"/>
        </w:rPr>
        <w:t xml:space="preserve"> with those with HOMA-IR </w:t>
      </w:r>
      <w:r w:rsidR="00A56DB4">
        <w:rPr>
          <w:rFonts w:ascii="Candara" w:eastAsiaTheme="minorEastAsia" w:hAnsi="Candara"/>
        </w:rPr>
        <w:t>between</w:t>
      </w:r>
      <w:r w:rsidR="001F6E8B" w:rsidRPr="00FD184C">
        <w:rPr>
          <w:rFonts w:ascii="Candara" w:eastAsiaTheme="minorEastAsia" w:hAnsi="Candara"/>
        </w:rPr>
        <w:t xml:space="preserve"> 0.83-2.71 ha</w:t>
      </w:r>
      <w:r w:rsidR="00A56DB4">
        <w:rPr>
          <w:rFonts w:ascii="Candara" w:eastAsiaTheme="minorEastAsia" w:hAnsi="Candara"/>
        </w:rPr>
        <w:t xml:space="preserve">d a </w:t>
      </w:r>
      <w:r w:rsidR="001F6E8B" w:rsidRPr="00FD184C">
        <w:rPr>
          <w:rFonts w:ascii="Candara" w:eastAsiaTheme="minorEastAsia" w:hAnsi="Candara"/>
        </w:rPr>
        <w:t xml:space="preserve">17-fold increased risk of </w:t>
      </w:r>
      <w:r w:rsidR="00266488" w:rsidRPr="00FD184C">
        <w:rPr>
          <w:rFonts w:ascii="Candara" w:eastAsiaTheme="minorEastAsia" w:hAnsi="Candara"/>
        </w:rPr>
        <w:t xml:space="preserve">new-onset cardiovascular events </w:t>
      </w:r>
      <w:r w:rsidR="00EA6A80">
        <w:rPr>
          <w:rFonts w:ascii="Candara" w:eastAsiaTheme="minorEastAsia" w:hAnsi="Candara"/>
        </w:rPr>
        <w:fldChar w:fldCharType="begin"/>
      </w:r>
      <w:r w:rsidR="000337C7">
        <w:rPr>
          <w:rFonts w:ascii="Candara" w:eastAsiaTheme="minorEastAsia" w:hAnsi="Candara"/>
        </w:rPr>
        <w:instrText>ADDIN RW.CITE{{2651 Li,Y. 2013}}</w:instrText>
      </w:r>
      <w:r w:rsidR="00EA6A80">
        <w:rPr>
          <w:rFonts w:ascii="Candara" w:eastAsiaTheme="minorEastAsia" w:hAnsi="Candara"/>
        </w:rPr>
        <w:fldChar w:fldCharType="separate"/>
      </w:r>
      <w:r w:rsidR="00642D21" w:rsidRPr="00642D21">
        <w:rPr>
          <w:rFonts w:ascii="Candara" w:eastAsiaTheme="minorEastAsia" w:hAnsi="Candara"/>
        </w:rPr>
        <w:t>(30)</w:t>
      </w:r>
      <w:r w:rsidR="00EA6A80">
        <w:rPr>
          <w:rFonts w:ascii="Candara" w:eastAsiaTheme="minorEastAsia" w:hAnsi="Candara"/>
        </w:rPr>
        <w:fldChar w:fldCharType="end"/>
      </w:r>
      <w:r w:rsidR="00266488" w:rsidRPr="00FD184C">
        <w:rPr>
          <w:rFonts w:ascii="Candara" w:eastAsiaTheme="minorEastAsia" w:hAnsi="Candara"/>
        </w:rPr>
        <w:t>.</w:t>
      </w:r>
      <w:r w:rsidR="00072164" w:rsidRPr="00FD184C">
        <w:rPr>
          <w:rFonts w:ascii="Candara" w:eastAsiaTheme="minorEastAsia" w:hAnsi="Candara" w:hint="eastAsia"/>
        </w:rPr>
        <w:t xml:space="preserve"> In</w:t>
      </w:r>
      <w:r w:rsidR="00072164">
        <w:rPr>
          <w:rFonts w:ascii="Candara" w:eastAsiaTheme="minorEastAsia" w:hAnsi="Candara"/>
        </w:rPr>
        <w:t xml:space="preserve"> a Korean PD case cohort, </w:t>
      </w:r>
      <w:r w:rsidR="00A56DB4">
        <w:rPr>
          <w:rFonts w:ascii="Candara" w:eastAsiaTheme="minorEastAsia" w:hAnsi="Candara"/>
        </w:rPr>
        <w:t xml:space="preserve">there was an </w:t>
      </w:r>
      <w:r w:rsidR="00433580">
        <w:rPr>
          <w:rFonts w:ascii="Candara" w:eastAsiaTheme="minorEastAsia" w:hAnsi="Candara"/>
        </w:rPr>
        <w:t xml:space="preserve">18% increased risk of new-onset major cardiovascular events in </w:t>
      </w:r>
      <w:r w:rsidR="00072164">
        <w:rPr>
          <w:rFonts w:ascii="Candara" w:eastAsiaTheme="minorEastAsia" w:hAnsi="Candara"/>
        </w:rPr>
        <w:t xml:space="preserve">PD patients </w:t>
      </w:r>
      <w:r w:rsidR="008D10BC">
        <w:rPr>
          <w:rFonts w:ascii="Candara" w:eastAsiaTheme="minorEastAsia" w:hAnsi="Candara"/>
        </w:rPr>
        <w:t xml:space="preserve">with </w:t>
      </w:r>
      <w:r w:rsidR="00A56DB4">
        <w:rPr>
          <w:rFonts w:ascii="Candara" w:eastAsiaTheme="minorEastAsia" w:hAnsi="Candara"/>
        </w:rPr>
        <w:t xml:space="preserve">an </w:t>
      </w:r>
      <w:r w:rsidR="008D10BC">
        <w:rPr>
          <w:rFonts w:ascii="Candara" w:eastAsiaTheme="minorEastAsia" w:hAnsi="Candara"/>
        </w:rPr>
        <w:t>average HOMA-IR of 4.7 compar</w:t>
      </w:r>
      <w:r w:rsidR="00A56DB4">
        <w:rPr>
          <w:rFonts w:ascii="Candara" w:eastAsiaTheme="minorEastAsia" w:hAnsi="Candara"/>
        </w:rPr>
        <w:t>ed</w:t>
      </w:r>
      <w:r w:rsidR="008D10BC">
        <w:rPr>
          <w:rFonts w:ascii="Candara" w:eastAsiaTheme="minorEastAsia" w:hAnsi="Candara"/>
        </w:rPr>
        <w:t xml:space="preserve"> with PD patients with </w:t>
      </w:r>
      <w:r w:rsidR="00A56DB4">
        <w:rPr>
          <w:rFonts w:ascii="Candara" w:eastAsiaTheme="minorEastAsia" w:hAnsi="Candara"/>
        </w:rPr>
        <w:t xml:space="preserve">an </w:t>
      </w:r>
      <w:r w:rsidR="008D10BC">
        <w:rPr>
          <w:rFonts w:ascii="Candara" w:eastAsiaTheme="minorEastAsia" w:hAnsi="Candara"/>
        </w:rPr>
        <w:t>average HOMA-IR of 2.6</w:t>
      </w:r>
      <w:r w:rsidR="00433580">
        <w:rPr>
          <w:rFonts w:ascii="Candara" w:eastAsiaTheme="minorEastAsia" w:hAnsi="Candara"/>
        </w:rPr>
        <w:t xml:space="preserve"> </w:t>
      </w:r>
      <w:r w:rsidR="00EA6A80">
        <w:rPr>
          <w:rFonts w:ascii="Candara" w:eastAsiaTheme="minorEastAsia" w:hAnsi="Candara"/>
        </w:rPr>
        <w:fldChar w:fldCharType="begin"/>
      </w:r>
      <w:r w:rsidR="000337C7">
        <w:rPr>
          <w:rFonts w:ascii="Candara" w:eastAsiaTheme="minorEastAsia" w:hAnsi="Candara"/>
        </w:rPr>
        <w:instrText>ADDIN RW.CITE{{2652 Yoon,C.Y. 2014}}</w:instrText>
      </w:r>
      <w:r w:rsidR="00EA6A80">
        <w:rPr>
          <w:rFonts w:ascii="Candara" w:eastAsiaTheme="minorEastAsia" w:hAnsi="Candara"/>
        </w:rPr>
        <w:fldChar w:fldCharType="separate"/>
      </w:r>
      <w:r w:rsidR="00642D21" w:rsidRPr="00642D21">
        <w:rPr>
          <w:rFonts w:ascii="Candara" w:eastAsiaTheme="minorEastAsia" w:hAnsi="Candara"/>
        </w:rPr>
        <w:t>(31)</w:t>
      </w:r>
      <w:r w:rsidR="00EA6A80">
        <w:rPr>
          <w:rFonts w:ascii="Candara" w:eastAsiaTheme="minorEastAsia" w:hAnsi="Candara"/>
        </w:rPr>
        <w:fldChar w:fldCharType="end"/>
      </w:r>
      <w:r w:rsidR="00433580">
        <w:rPr>
          <w:rFonts w:ascii="Candara" w:eastAsiaTheme="minorEastAsia" w:hAnsi="Candara"/>
        </w:rPr>
        <w:t>.</w:t>
      </w:r>
      <w:r w:rsidR="00340ECC" w:rsidRPr="00FD184C">
        <w:rPr>
          <w:rFonts w:ascii="Candara" w:eastAsiaTheme="minorEastAsia" w:hAnsi="Candara"/>
        </w:rPr>
        <w:t xml:space="preserve"> </w:t>
      </w:r>
      <w:r w:rsidR="009E0AF2" w:rsidRPr="00FD184C">
        <w:rPr>
          <w:rFonts w:ascii="Candara" w:eastAsiaTheme="minorEastAsia" w:hAnsi="Candara"/>
        </w:rPr>
        <w:t xml:space="preserve">Consistent with previous findings, </w:t>
      </w:r>
      <w:r w:rsidR="00EA78B9" w:rsidRPr="00FD184C">
        <w:rPr>
          <w:rFonts w:ascii="Candara" w:eastAsiaTheme="minorEastAsia" w:hAnsi="Candara"/>
        </w:rPr>
        <w:t>among patients initia</w:t>
      </w:r>
      <w:r w:rsidR="00A56DB4">
        <w:rPr>
          <w:rFonts w:ascii="Candara" w:eastAsiaTheme="minorEastAsia" w:hAnsi="Candara"/>
        </w:rPr>
        <w:t>ting</w:t>
      </w:r>
      <w:r w:rsidR="00EA78B9" w:rsidRPr="00FD184C">
        <w:rPr>
          <w:rFonts w:ascii="Candara" w:eastAsiaTheme="minorEastAsia" w:hAnsi="Candara"/>
        </w:rPr>
        <w:t xml:space="preserve"> PD </w:t>
      </w:r>
      <w:r w:rsidR="009E0AF2" w:rsidRPr="00FD184C">
        <w:rPr>
          <w:rFonts w:ascii="Candara" w:eastAsiaTheme="minorEastAsia" w:hAnsi="Candara"/>
        </w:rPr>
        <w:t xml:space="preserve">we observed </w:t>
      </w:r>
      <w:r w:rsidR="00072E1D" w:rsidRPr="00FD184C">
        <w:rPr>
          <w:rFonts w:ascii="Candara" w:eastAsiaTheme="minorEastAsia" w:hAnsi="Candara"/>
        </w:rPr>
        <w:t xml:space="preserve">more severe </w:t>
      </w:r>
      <w:r w:rsidR="007C5693">
        <w:rPr>
          <w:rFonts w:ascii="Candara" w:eastAsiaTheme="minorEastAsia" w:hAnsi="Candara"/>
        </w:rPr>
        <w:t>IR</w:t>
      </w:r>
      <w:r w:rsidR="00072E1D" w:rsidRPr="00FD184C">
        <w:rPr>
          <w:rFonts w:ascii="Candara" w:eastAsiaTheme="minorEastAsia" w:hAnsi="Candara"/>
        </w:rPr>
        <w:t xml:space="preserve"> measured by </w:t>
      </w:r>
      <w:r w:rsidR="00A56DB4">
        <w:rPr>
          <w:rFonts w:ascii="Candara" w:eastAsiaTheme="minorEastAsia" w:hAnsi="Candara"/>
        </w:rPr>
        <w:t xml:space="preserve">the </w:t>
      </w:r>
      <w:r w:rsidR="00072E1D" w:rsidRPr="00FD184C">
        <w:rPr>
          <w:rFonts w:ascii="Candara" w:eastAsiaTheme="minorEastAsia" w:hAnsi="Candara"/>
        </w:rPr>
        <w:t xml:space="preserve">TyG </w:t>
      </w:r>
      <w:r w:rsidR="00E87B67" w:rsidRPr="00FD184C">
        <w:rPr>
          <w:rFonts w:ascii="Candara" w:eastAsiaTheme="minorEastAsia" w:hAnsi="Candara"/>
        </w:rPr>
        <w:t xml:space="preserve">index </w:t>
      </w:r>
      <w:r w:rsidR="00A56DB4">
        <w:rPr>
          <w:rFonts w:ascii="Candara" w:eastAsiaTheme="minorEastAsia" w:hAnsi="Candara"/>
        </w:rPr>
        <w:t xml:space="preserve">was </w:t>
      </w:r>
      <w:r w:rsidR="00E87B67" w:rsidRPr="00FD184C">
        <w:rPr>
          <w:rFonts w:ascii="Candara" w:eastAsiaTheme="minorEastAsia" w:hAnsi="Candara"/>
        </w:rPr>
        <w:t>significantly</w:t>
      </w:r>
      <w:r w:rsidR="003F5415" w:rsidRPr="00FD184C">
        <w:rPr>
          <w:rFonts w:ascii="Candara" w:eastAsiaTheme="minorEastAsia" w:hAnsi="Candara"/>
        </w:rPr>
        <w:t xml:space="preserve"> associated with higher risk of cardiovascular mortality after adju</w:t>
      </w:r>
      <w:r w:rsidR="00E87B67" w:rsidRPr="00FD184C">
        <w:rPr>
          <w:rFonts w:ascii="Candara" w:eastAsiaTheme="minorEastAsia" w:hAnsi="Candara"/>
        </w:rPr>
        <w:t>sting for pote</w:t>
      </w:r>
      <w:r w:rsidR="00EC72BA" w:rsidRPr="00FD184C">
        <w:rPr>
          <w:rFonts w:ascii="Candara" w:eastAsiaTheme="minorEastAsia" w:hAnsi="Candara"/>
        </w:rPr>
        <w:t>ntial confounders. In particular, compar</w:t>
      </w:r>
      <w:r w:rsidR="00A56DB4">
        <w:rPr>
          <w:rFonts w:ascii="Candara" w:eastAsiaTheme="minorEastAsia" w:hAnsi="Candara"/>
        </w:rPr>
        <w:t>ed with</w:t>
      </w:r>
      <w:r w:rsidR="00EC72BA" w:rsidRPr="00FD184C">
        <w:rPr>
          <w:rFonts w:ascii="Candara" w:eastAsiaTheme="minorEastAsia" w:hAnsi="Candara"/>
        </w:rPr>
        <w:t xml:space="preserve"> incident PD patients who ha</w:t>
      </w:r>
      <w:r w:rsidR="00D13338" w:rsidRPr="00FD184C">
        <w:rPr>
          <w:rFonts w:ascii="Candara" w:eastAsiaTheme="minorEastAsia" w:hAnsi="Candara"/>
        </w:rPr>
        <w:t>d</w:t>
      </w:r>
      <w:r w:rsidR="00EC72BA" w:rsidRPr="00FD184C">
        <w:rPr>
          <w:rFonts w:ascii="Candara" w:eastAsiaTheme="minorEastAsia" w:hAnsi="Candara"/>
        </w:rPr>
        <w:t xml:space="preserve"> </w:t>
      </w:r>
      <w:r w:rsidR="00A56DB4">
        <w:rPr>
          <w:rFonts w:ascii="Candara" w:eastAsiaTheme="minorEastAsia" w:hAnsi="Candara"/>
        </w:rPr>
        <w:t xml:space="preserve">a </w:t>
      </w:r>
      <w:r w:rsidR="00EC72BA" w:rsidRPr="00FD184C">
        <w:rPr>
          <w:rFonts w:ascii="Candara" w:eastAsiaTheme="minorEastAsia" w:hAnsi="Candara"/>
        </w:rPr>
        <w:t xml:space="preserve">TyG index </w:t>
      </w:r>
      <w:r w:rsidR="00D13338" w:rsidRPr="00FD184C">
        <w:rPr>
          <w:rFonts w:ascii="Candara" w:eastAsiaTheme="minorEastAsia" w:hAnsi="Candara"/>
        </w:rPr>
        <w:t>&lt; 8.10, incident PD patients who had TyG index &gt;</w:t>
      </w:r>
      <w:r w:rsidR="00AD4833" w:rsidRPr="00FD184C">
        <w:rPr>
          <w:rFonts w:ascii="Candara" w:eastAsiaTheme="minorEastAsia" w:hAnsi="Candara"/>
        </w:rPr>
        <w:t>8.69 ha</w:t>
      </w:r>
      <w:r w:rsidR="00A56DB4">
        <w:rPr>
          <w:rFonts w:ascii="Candara" w:eastAsiaTheme="minorEastAsia" w:hAnsi="Candara"/>
        </w:rPr>
        <w:t>d</w:t>
      </w:r>
      <w:r w:rsidR="00AD4833" w:rsidRPr="00FD184C">
        <w:rPr>
          <w:rFonts w:ascii="Candara" w:eastAsiaTheme="minorEastAsia" w:hAnsi="Candara"/>
        </w:rPr>
        <w:t xml:space="preserve"> an almost threefold greater risk of cardiovascular mortality.</w:t>
      </w:r>
    </w:p>
    <w:p w14:paraId="3A6BD16D" w14:textId="77777777" w:rsidR="004A178E" w:rsidRPr="0040109F" w:rsidRDefault="004A178E" w:rsidP="00D2210C">
      <w:pPr>
        <w:spacing w:line="480" w:lineRule="auto"/>
        <w:rPr>
          <w:rFonts w:ascii="Candara" w:eastAsiaTheme="minorEastAsia" w:hAnsi="Candara"/>
        </w:rPr>
      </w:pPr>
    </w:p>
    <w:p w14:paraId="67B1B175" w14:textId="7D75344F" w:rsidR="00D25A88" w:rsidRPr="0040109F" w:rsidRDefault="009D49EE" w:rsidP="00D2210C">
      <w:pPr>
        <w:spacing w:line="480" w:lineRule="auto"/>
        <w:rPr>
          <w:rFonts w:ascii="Candara" w:eastAsiaTheme="minorEastAsia" w:hAnsi="Candara"/>
        </w:rPr>
      </w:pPr>
      <w:r w:rsidRPr="0040109F">
        <w:rPr>
          <w:rFonts w:ascii="Candara" w:eastAsiaTheme="minorEastAsia" w:hAnsi="Candara"/>
        </w:rPr>
        <w:t>Although the mechanism underlying the relationship between the TyG index and CAC has not been c</w:t>
      </w:r>
      <w:r w:rsidR="0057523E">
        <w:rPr>
          <w:rFonts w:ascii="Candara" w:eastAsiaTheme="minorEastAsia" w:hAnsi="Candara"/>
        </w:rPr>
        <w:t xml:space="preserve">larified, it may be linked to </w:t>
      </w:r>
      <w:r w:rsidR="007C5693">
        <w:rPr>
          <w:rFonts w:ascii="Candara" w:eastAsiaTheme="minorEastAsia" w:hAnsi="Candara"/>
        </w:rPr>
        <w:t>IR</w:t>
      </w:r>
      <w:r w:rsidRPr="0040109F">
        <w:rPr>
          <w:rFonts w:ascii="Candara" w:eastAsiaTheme="minorEastAsia" w:hAnsi="Candara"/>
        </w:rPr>
        <w:t xml:space="preserve">. </w:t>
      </w:r>
      <w:r w:rsidR="007E3737">
        <w:rPr>
          <w:rFonts w:ascii="Candara" w:eastAsiaTheme="minorEastAsia" w:hAnsi="Candara"/>
        </w:rPr>
        <w:t>Some</w:t>
      </w:r>
      <w:r w:rsidR="0057523E">
        <w:rPr>
          <w:rFonts w:ascii="Candara" w:eastAsiaTheme="minorEastAsia" w:hAnsi="Candara"/>
        </w:rPr>
        <w:t xml:space="preserve"> studies have </w:t>
      </w:r>
      <w:r w:rsidR="007E3737">
        <w:rPr>
          <w:rFonts w:ascii="Candara" w:eastAsiaTheme="minorEastAsia" w:hAnsi="Candara"/>
        </w:rPr>
        <w:t>suggested</w:t>
      </w:r>
      <w:r w:rsidR="0057523E">
        <w:rPr>
          <w:rFonts w:ascii="Candara" w:eastAsiaTheme="minorEastAsia" w:hAnsi="Candara"/>
        </w:rPr>
        <w:t xml:space="preserve"> that </w:t>
      </w:r>
      <w:r w:rsidR="007C5693">
        <w:rPr>
          <w:rFonts w:ascii="Candara" w:eastAsiaTheme="minorEastAsia" w:hAnsi="Candara"/>
        </w:rPr>
        <w:t>IR</w:t>
      </w:r>
      <w:r w:rsidRPr="0040109F">
        <w:rPr>
          <w:rFonts w:ascii="Candara" w:eastAsiaTheme="minorEastAsia" w:hAnsi="Candara"/>
        </w:rPr>
        <w:t xml:space="preserve"> leads to </w:t>
      </w:r>
      <w:r w:rsidR="007E3737">
        <w:rPr>
          <w:rFonts w:ascii="Candara" w:eastAsiaTheme="minorEastAsia" w:hAnsi="Candara"/>
        </w:rPr>
        <w:t xml:space="preserve">chronic </w:t>
      </w:r>
      <w:r w:rsidRPr="0040109F">
        <w:rPr>
          <w:rFonts w:ascii="Candara" w:eastAsiaTheme="minorEastAsia" w:hAnsi="Candara"/>
        </w:rPr>
        <w:t xml:space="preserve">inflammation, altered coagulation and atherosclerosis </w:t>
      </w:r>
      <w:r w:rsidR="00A92056">
        <w:rPr>
          <w:rFonts w:ascii="Candara" w:eastAsiaTheme="minorEastAsia" w:hAnsi="Candara"/>
        </w:rPr>
        <w:fldChar w:fldCharType="begin"/>
      </w:r>
      <w:r w:rsidR="000337C7">
        <w:rPr>
          <w:rFonts w:ascii="Candara" w:eastAsiaTheme="minorEastAsia" w:hAnsi="Candara"/>
        </w:rPr>
        <w:instrText>ADDIN RW.CITE{{2656 Kahn,A.M. 2000; 2629 Defronzo,R.A. 2009}}</w:instrText>
      </w:r>
      <w:r w:rsidR="00A92056">
        <w:rPr>
          <w:rFonts w:ascii="Candara" w:eastAsiaTheme="minorEastAsia" w:hAnsi="Candara"/>
        </w:rPr>
        <w:fldChar w:fldCharType="separate"/>
      </w:r>
      <w:r w:rsidR="00642D21" w:rsidRPr="00642D21">
        <w:rPr>
          <w:rFonts w:ascii="Candara" w:eastAsiaTheme="minorEastAsia" w:hAnsi="Candara"/>
        </w:rPr>
        <w:t>(32, 33)</w:t>
      </w:r>
      <w:r w:rsidR="00A92056">
        <w:rPr>
          <w:rFonts w:ascii="Candara" w:eastAsiaTheme="minorEastAsia" w:hAnsi="Candara"/>
        </w:rPr>
        <w:fldChar w:fldCharType="end"/>
      </w:r>
      <w:r w:rsidRPr="0040109F">
        <w:rPr>
          <w:rFonts w:ascii="Candara" w:eastAsiaTheme="minorEastAsia" w:hAnsi="Candara"/>
        </w:rPr>
        <w:t>. Furthermore, an in</w:t>
      </w:r>
      <w:r w:rsidR="0057523E">
        <w:rPr>
          <w:rFonts w:ascii="Candara" w:eastAsiaTheme="minorEastAsia" w:hAnsi="Candara"/>
        </w:rPr>
        <w:t xml:space="preserve">dependent association between </w:t>
      </w:r>
      <w:r w:rsidR="007C5693">
        <w:rPr>
          <w:rFonts w:ascii="Candara" w:eastAsiaTheme="minorEastAsia" w:hAnsi="Candara"/>
        </w:rPr>
        <w:t>IR</w:t>
      </w:r>
      <w:r w:rsidRPr="0040109F">
        <w:rPr>
          <w:rFonts w:ascii="Candara" w:eastAsiaTheme="minorEastAsia" w:hAnsi="Candara"/>
        </w:rPr>
        <w:t xml:space="preserve"> and CAC has been reported </w:t>
      </w:r>
      <w:r w:rsidR="000656B4">
        <w:rPr>
          <w:rFonts w:ascii="Candara" w:eastAsiaTheme="minorEastAsia" w:hAnsi="Candara"/>
        </w:rPr>
        <w:fldChar w:fldCharType="begin"/>
      </w:r>
      <w:r w:rsidR="000337C7">
        <w:rPr>
          <w:rFonts w:ascii="Candara" w:eastAsiaTheme="minorEastAsia" w:hAnsi="Candara"/>
        </w:rPr>
        <w:instrText>ADDIN RW.CITE{{2658 Meigs,J.B. 2002; 2659 Yamazoe,M. 2016}}</w:instrText>
      </w:r>
      <w:r w:rsidR="000656B4">
        <w:rPr>
          <w:rFonts w:ascii="Candara" w:eastAsiaTheme="minorEastAsia" w:hAnsi="Candara"/>
        </w:rPr>
        <w:fldChar w:fldCharType="separate"/>
      </w:r>
      <w:r w:rsidR="00642D21" w:rsidRPr="00642D21">
        <w:rPr>
          <w:rFonts w:ascii="Candara" w:eastAsiaTheme="minorEastAsia" w:hAnsi="Candara"/>
        </w:rPr>
        <w:t>(34, 35)</w:t>
      </w:r>
      <w:r w:rsidR="000656B4">
        <w:rPr>
          <w:rFonts w:ascii="Candara" w:eastAsiaTheme="minorEastAsia" w:hAnsi="Candara"/>
        </w:rPr>
        <w:fldChar w:fldCharType="end"/>
      </w:r>
      <w:r w:rsidRPr="0040109F">
        <w:rPr>
          <w:rFonts w:ascii="Candara" w:eastAsiaTheme="minorEastAsia" w:hAnsi="Candara"/>
        </w:rPr>
        <w:t xml:space="preserve">. Both the </w:t>
      </w:r>
      <w:r w:rsidR="007E3737" w:rsidRPr="0040109F">
        <w:rPr>
          <w:rFonts w:ascii="Candara" w:eastAsiaTheme="minorEastAsia" w:hAnsi="Candara"/>
        </w:rPr>
        <w:t xml:space="preserve">HOMA-IR </w:t>
      </w:r>
      <w:r w:rsidR="007E3737">
        <w:rPr>
          <w:rFonts w:ascii="Candara" w:eastAsiaTheme="minorEastAsia" w:hAnsi="Candara"/>
        </w:rPr>
        <w:t xml:space="preserve">and the </w:t>
      </w:r>
      <w:r w:rsidRPr="0040109F">
        <w:rPr>
          <w:rFonts w:ascii="Candara" w:eastAsiaTheme="minorEastAsia" w:hAnsi="Candara"/>
        </w:rPr>
        <w:t>TyG index are well known representative markers of IR, and they are closely related to each other. However, our findings showed that the TyG index was better associated with the presence of coronary artery atherosclerosis than was HOMA-IR, and this result may be explained by the fact that the two indices</w:t>
      </w:r>
      <w:r w:rsidR="0057523E">
        <w:rPr>
          <w:rFonts w:ascii="Candara" w:eastAsiaTheme="minorEastAsia" w:hAnsi="Candara"/>
        </w:rPr>
        <w:t xml:space="preserve"> reflect different aspects of </w:t>
      </w:r>
      <w:r w:rsidR="007C5693">
        <w:rPr>
          <w:rFonts w:ascii="Candara" w:eastAsiaTheme="minorEastAsia" w:hAnsi="Candara"/>
        </w:rPr>
        <w:t>IR</w:t>
      </w:r>
      <w:r w:rsidR="0057523E">
        <w:rPr>
          <w:rFonts w:ascii="Candara" w:eastAsiaTheme="minorEastAsia" w:hAnsi="Candara"/>
        </w:rPr>
        <w:t xml:space="preserve">. </w:t>
      </w:r>
      <w:r w:rsidR="00A56DB4">
        <w:rPr>
          <w:rFonts w:ascii="Candara" w:eastAsiaTheme="minorEastAsia" w:hAnsi="Candara"/>
        </w:rPr>
        <w:t>While t</w:t>
      </w:r>
      <w:r w:rsidR="0057523E">
        <w:rPr>
          <w:rFonts w:ascii="Candara" w:eastAsiaTheme="minorEastAsia" w:hAnsi="Candara"/>
        </w:rPr>
        <w:t xml:space="preserve">he TyG index reflects </w:t>
      </w:r>
      <w:r w:rsidR="007C5693">
        <w:rPr>
          <w:rFonts w:ascii="Candara" w:eastAsiaTheme="minorEastAsia" w:hAnsi="Candara"/>
        </w:rPr>
        <w:t>IR</w:t>
      </w:r>
      <w:r w:rsidRPr="0040109F">
        <w:rPr>
          <w:rFonts w:ascii="Candara" w:eastAsiaTheme="minorEastAsia" w:hAnsi="Candara"/>
        </w:rPr>
        <w:t xml:space="preserve"> mainly in the muscle </w:t>
      </w:r>
      <w:r w:rsidR="000656B4">
        <w:rPr>
          <w:rFonts w:ascii="Candara" w:eastAsiaTheme="minorEastAsia" w:hAnsi="Candara"/>
        </w:rPr>
        <w:fldChar w:fldCharType="begin"/>
      </w:r>
      <w:r w:rsidR="000337C7">
        <w:rPr>
          <w:rFonts w:ascii="Candara" w:eastAsiaTheme="minorEastAsia" w:hAnsi="Candara"/>
        </w:rPr>
        <w:instrText>ADDIN RW.CITE{{2660 Han,T. 2016; 2661 Kelley,D.E. 2001}}</w:instrText>
      </w:r>
      <w:r w:rsidR="000656B4">
        <w:rPr>
          <w:rFonts w:ascii="Candara" w:eastAsiaTheme="minorEastAsia" w:hAnsi="Candara"/>
        </w:rPr>
        <w:fldChar w:fldCharType="separate"/>
      </w:r>
      <w:r w:rsidR="00642D21" w:rsidRPr="00642D21">
        <w:rPr>
          <w:rFonts w:ascii="Candara" w:eastAsiaTheme="minorEastAsia" w:hAnsi="Candara"/>
        </w:rPr>
        <w:t>(36, 37)</w:t>
      </w:r>
      <w:r w:rsidR="000656B4">
        <w:rPr>
          <w:rFonts w:ascii="Candara" w:eastAsiaTheme="minorEastAsia" w:hAnsi="Candara"/>
        </w:rPr>
        <w:fldChar w:fldCharType="end"/>
      </w:r>
      <w:r w:rsidRPr="0040109F">
        <w:rPr>
          <w:rFonts w:ascii="Candara" w:eastAsiaTheme="minorEastAsia" w:hAnsi="Candara"/>
        </w:rPr>
        <w:t xml:space="preserve">,  HOMA-IR </w:t>
      </w:r>
      <w:r w:rsidR="00043049">
        <w:rPr>
          <w:rFonts w:ascii="Candara" w:eastAsiaTheme="minorEastAsia" w:hAnsi="Candara"/>
        </w:rPr>
        <w:t>indicate</w:t>
      </w:r>
      <w:r w:rsidR="0057523E">
        <w:rPr>
          <w:rFonts w:ascii="Candara" w:eastAsiaTheme="minorEastAsia" w:hAnsi="Candara"/>
        </w:rPr>
        <w:t xml:space="preserve">s </w:t>
      </w:r>
      <w:r w:rsidR="007C5693">
        <w:rPr>
          <w:rFonts w:ascii="Candara" w:eastAsiaTheme="minorEastAsia" w:hAnsi="Candara"/>
        </w:rPr>
        <w:t>IR</w:t>
      </w:r>
      <w:r w:rsidRPr="0040109F">
        <w:rPr>
          <w:rFonts w:ascii="Candara" w:eastAsiaTheme="minorEastAsia" w:hAnsi="Candara"/>
        </w:rPr>
        <w:t xml:space="preserve"> mainly in the liver </w:t>
      </w:r>
      <w:r w:rsidR="00E640B1">
        <w:rPr>
          <w:rFonts w:ascii="Candara" w:eastAsiaTheme="minorEastAsia" w:hAnsi="Candara"/>
        </w:rPr>
        <w:fldChar w:fldCharType="begin"/>
      </w:r>
      <w:r w:rsidR="000337C7">
        <w:rPr>
          <w:rFonts w:ascii="Candara" w:eastAsiaTheme="minorEastAsia" w:hAnsi="Candara"/>
        </w:rPr>
        <w:instrText>ADDIN RW.CITE{{2662 Tripathy,D. 2004; 2663 Bonora,E. 2000}}</w:instrText>
      </w:r>
      <w:r w:rsidR="00E640B1">
        <w:rPr>
          <w:rFonts w:ascii="Candara" w:eastAsiaTheme="minorEastAsia" w:hAnsi="Candara"/>
        </w:rPr>
        <w:fldChar w:fldCharType="separate"/>
      </w:r>
      <w:r w:rsidR="00642D21" w:rsidRPr="00642D21">
        <w:rPr>
          <w:rFonts w:ascii="Candara" w:eastAsiaTheme="minorEastAsia" w:hAnsi="Candara"/>
        </w:rPr>
        <w:t>(38, 39)</w:t>
      </w:r>
      <w:r w:rsidR="00E640B1">
        <w:rPr>
          <w:rFonts w:ascii="Candara" w:eastAsiaTheme="minorEastAsia" w:hAnsi="Candara"/>
        </w:rPr>
        <w:fldChar w:fldCharType="end"/>
      </w:r>
      <w:r w:rsidRPr="0040109F">
        <w:rPr>
          <w:rFonts w:ascii="Candara" w:eastAsiaTheme="minorEastAsia" w:hAnsi="Candara"/>
        </w:rPr>
        <w:t xml:space="preserve">, which may have caused the difference. Peripheral </w:t>
      </w:r>
      <w:r w:rsidR="007C5693">
        <w:rPr>
          <w:rFonts w:ascii="Candara" w:eastAsiaTheme="minorEastAsia" w:hAnsi="Candara"/>
        </w:rPr>
        <w:t>IR</w:t>
      </w:r>
      <w:r w:rsidRPr="0040109F">
        <w:rPr>
          <w:rFonts w:ascii="Candara" w:eastAsiaTheme="minorEastAsia" w:hAnsi="Candara"/>
        </w:rPr>
        <w:t xml:space="preserve"> may be a </w:t>
      </w:r>
      <w:r w:rsidR="00043049">
        <w:rPr>
          <w:rFonts w:ascii="Candara" w:eastAsiaTheme="minorEastAsia" w:hAnsi="Candara"/>
        </w:rPr>
        <w:t xml:space="preserve">very </w:t>
      </w:r>
      <w:r w:rsidRPr="0040109F">
        <w:rPr>
          <w:rFonts w:ascii="Candara" w:eastAsiaTheme="minorEastAsia" w:hAnsi="Candara"/>
        </w:rPr>
        <w:t>useful</w:t>
      </w:r>
      <w:r w:rsidR="00043049">
        <w:rPr>
          <w:rFonts w:ascii="Candara" w:eastAsiaTheme="minorEastAsia" w:hAnsi="Candara"/>
        </w:rPr>
        <w:t xml:space="preserve"> surrogate</w:t>
      </w:r>
      <w:r w:rsidRPr="0040109F">
        <w:rPr>
          <w:rFonts w:ascii="Candara" w:eastAsiaTheme="minorEastAsia" w:hAnsi="Candara"/>
        </w:rPr>
        <w:t xml:space="preserve"> of coronary artery atherosclerosis </w:t>
      </w:r>
      <w:r w:rsidR="00E640B1">
        <w:rPr>
          <w:rFonts w:ascii="Candara" w:eastAsiaTheme="minorEastAsia" w:hAnsi="Candara"/>
        </w:rPr>
        <w:fldChar w:fldCharType="begin"/>
      </w:r>
      <w:r w:rsidR="000337C7">
        <w:rPr>
          <w:rFonts w:ascii="Candara" w:eastAsiaTheme="minorEastAsia" w:hAnsi="Candara"/>
        </w:rPr>
        <w:instrText>ADDIN RW.CITE{{2664 Irace,C. 2013}}</w:instrText>
      </w:r>
      <w:r w:rsidR="00E640B1">
        <w:rPr>
          <w:rFonts w:ascii="Candara" w:eastAsiaTheme="minorEastAsia" w:hAnsi="Candara"/>
        </w:rPr>
        <w:fldChar w:fldCharType="separate"/>
      </w:r>
      <w:r w:rsidR="00642D21" w:rsidRPr="00642D21">
        <w:rPr>
          <w:rFonts w:ascii="Candara" w:eastAsiaTheme="minorEastAsia" w:hAnsi="Candara"/>
        </w:rPr>
        <w:t>(40)</w:t>
      </w:r>
      <w:r w:rsidR="00E640B1">
        <w:rPr>
          <w:rFonts w:ascii="Candara" w:eastAsiaTheme="minorEastAsia" w:hAnsi="Candara"/>
        </w:rPr>
        <w:fldChar w:fldCharType="end"/>
      </w:r>
      <w:r w:rsidRPr="0040109F">
        <w:rPr>
          <w:rFonts w:ascii="Candara" w:eastAsiaTheme="minorEastAsia" w:hAnsi="Candara"/>
        </w:rPr>
        <w:t>.</w:t>
      </w:r>
      <w:r w:rsidR="009C62F0" w:rsidRPr="0040109F">
        <w:rPr>
          <w:rFonts w:ascii="Candara" w:eastAsiaTheme="minorEastAsia" w:hAnsi="Candara"/>
        </w:rPr>
        <w:t xml:space="preserve"> Moreover, </w:t>
      </w:r>
      <w:r w:rsidR="00E870BD" w:rsidRPr="0040109F">
        <w:rPr>
          <w:rFonts w:ascii="Candara" w:eastAsiaTheme="minorEastAsia" w:hAnsi="Candara"/>
        </w:rPr>
        <w:t>it has been suggested tha</w:t>
      </w:r>
      <w:r w:rsidR="00EA6A80">
        <w:rPr>
          <w:rFonts w:ascii="Candara" w:eastAsiaTheme="minorEastAsia" w:hAnsi="Candara"/>
        </w:rPr>
        <w:t>t</w:t>
      </w:r>
      <w:r w:rsidR="00E870BD" w:rsidRPr="0040109F">
        <w:rPr>
          <w:rFonts w:ascii="Candara" w:eastAsiaTheme="minorEastAsia" w:hAnsi="Candara"/>
        </w:rPr>
        <w:t xml:space="preserve"> </w:t>
      </w:r>
      <w:r w:rsidR="007C5693">
        <w:rPr>
          <w:rFonts w:ascii="Candara" w:eastAsiaTheme="minorEastAsia" w:hAnsi="Candara"/>
        </w:rPr>
        <w:t>IR</w:t>
      </w:r>
      <w:r w:rsidR="00E870BD" w:rsidRPr="0040109F">
        <w:rPr>
          <w:rFonts w:ascii="Candara" w:eastAsiaTheme="minorEastAsia" w:hAnsi="Candara"/>
        </w:rPr>
        <w:t xml:space="preserve">, inflammation and malnutrition complex </w:t>
      </w:r>
      <w:r w:rsidR="00043049">
        <w:rPr>
          <w:rFonts w:ascii="Candara" w:eastAsiaTheme="minorEastAsia" w:hAnsi="Candara"/>
        </w:rPr>
        <w:t>interact</w:t>
      </w:r>
      <w:r w:rsidR="00E870BD" w:rsidRPr="0040109F">
        <w:rPr>
          <w:rFonts w:ascii="Candara" w:eastAsiaTheme="minorEastAsia" w:hAnsi="Candara"/>
        </w:rPr>
        <w:t xml:space="preserve"> closely on the progress o</w:t>
      </w:r>
      <w:r w:rsidR="00EE08B8">
        <w:rPr>
          <w:rFonts w:ascii="Candara" w:eastAsiaTheme="minorEastAsia" w:hAnsi="Candara"/>
        </w:rPr>
        <w:t>f</w:t>
      </w:r>
      <w:r w:rsidR="00E870BD" w:rsidRPr="0040109F">
        <w:rPr>
          <w:rFonts w:ascii="Candara" w:eastAsiaTheme="minorEastAsia" w:hAnsi="Candara"/>
        </w:rPr>
        <w:t xml:space="preserve"> atherosclerosis </w:t>
      </w:r>
      <w:r w:rsidR="00043049">
        <w:rPr>
          <w:rFonts w:ascii="Candara" w:eastAsiaTheme="minorEastAsia" w:hAnsi="Candara"/>
        </w:rPr>
        <w:t>among</w:t>
      </w:r>
      <w:r w:rsidR="00E870BD" w:rsidRPr="0040109F">
        <w:rPr>
          <w:rFonts w:ascii="Candara" w:eastAsiaTheme="minorEastAsia" w:hAnsi="Candara"/>
        </w:rPr>
        <w:t xml:space="preserve"> dialysis patients </w:t>
      </w:r>
      <w:r w:rsidR="00EA6A80">
        <w:rPr>
          <w:rFonts w:ascii="Candara" w:eastAsiaTheme="minorEastAsia" w:hAnsi="Candara"/>
        </w:rPr>
        <w:fldChar w:fldCharType="begin"/>
      </w:r>
      <w:r w:rsidR="000337C7">
        <w:rPr>
          <w:rFonts w:ascii="Candara" w:eastAsiaTheme="minorEastAsia" w:hAnsi="Candara"/>
        </w:rPr>
        <w:instrText>ADDIN RW.CITE{{2653 Pecoits-Filho,R. 2002}}</w:instrText>
      </w:r>
      <w:r w:rsidR="00EA6A80">
        <w:rPr>
          <w:rFonts w:ascii="Candara" w:eastAsiaTheme="minorEastAsia" w:hAnsi="Candara"/>
        </w:rPr>
        <w:fldChar w:fldCharType="separate"/>
      </w:r>
      <w:r w:rsidR="00642D21" w:rsidRPr="00642D21">
        <w:rPr>
          <w:rFonts w:ascii="Candara" w:eastAsiaTheme="minorEastAsia" w:hAnsi="Candara"/>
        </w:rPr>
        <w:t>(41)</w:t>
      </w:r>
      <w:r w:rsidR="00EA6A80">
        <w:rPr>
          <w:rFonts w:ascii="Candara" w:eastAsiaTheme="minorEastAsia" w:hAnsi="Candara"/>
        </w:rPr>
        <w:fldChar w:fldCharType="end"/>
      </w:r>
      <w:r w:rsidR="00FD184C" w:rsidRPr="0040109F">
        <w:rPr>
          <w:rFonts w:ascii="Candara" w:eastAsiaTheme="minorEastAsia" w:hAnsi="Candara"/>
        </w:rPr>
        <w:t>.</w:t>
      </w:r>
    </w:p>
    <w:p w14:paraId="5619CCA4" w14:textId="3A22BE6B" w:rsidR="00AC7515" w:rsidRPr="00043049" w:rsidRDefault="00AC7515" w:rsidP="00D2210C">
      <w:pPr>
        <w:spacing w:line="480" w:lineRule="auto"/>
        <w:rPr>
          <w:rFonts w:ascii="Candara" w:hAnsi="Candara"/>
        </w:rPr>
      </w:pPr>
    </w:p>
    <w:p w14:paraId="11B09DC8" w14:textId="78855486" w:rsidR="009D49EE" w:rsidRPr="00EE08B8" w:rsidRDefault="00A56DB4" w:rsidP="00D2210C">
      <w:pPr>
        <w:spacing w:line="480" w:lineRule="auto"/>
        <w:rPr>
          <w:rFonts w:ascii="Candara" w:eastAsiaTheme="minorEastAsia" w:hAnsi="Candara"/>
        </w:rPr>
      </w:pPr>
      <w:r>
        <w:rPr>
          <w:rFonts w:ascii="Candara" w:eastAsiaTheme="minorEastAsia" w:hAnsi="Candara"/>
        </w:rPr>
        <w:t>As an observational study, i</w:t>
      </w:r>
      <w:r w:rsidR="003D72BD" w:rsidRPr="00EE08B8">
        <w:rPr>
          <w:rFonts w:ascii="Candara" w:eastAsiaTheme="minorEastAsia" w:hAnsi="Candara"/>
        </w:rPr>
        <w:t xml:space="preserve">t is difficult to </w:t>
      </w:r>
      <w:r>
        <w:rPr>
          <w:rFonts w:ascii="Candara" w:eastAsiaTheme="minorEastAsia" w:hAnsi="Candara"/>
        </w:rPr>
        <w:t>prove</w:t>
      </w:r>
      <w:r w:rsidR="003D72BD" w:rsidRPr="00EE08B8">
        <w:rPr>
          <w:rFonts w:ascii="Candara" w:eastAsiaTheme="minorEastAsia" w:hAnsi="Candara"/>
        </w:rPr>
        <w:t xml:space="preserve"> </w:t>
      </w:r>
      <w:r>
        <w:rPr>
          <w:rFonts w:ascii="Candara" w:eastAsiaTheme="minorEastAsia" w:hAnsi="Candara"/>
        </w:rPr>
        <w:t xml:space="preserve">a </w:t>
      </w:r>
      <w:r w:rsidR="003D72BD" w:rsidRPr="00EE08B8">
        <w:rPr>
          <w:rFonts w:ascii="Candara" w:eastAsiaTheme="minorEastAsia" w:hAnsi="Candara"/>
        </w:rPr>
        <w:t>ca</w:t>
      </w:r>
      <w:r>
        <w:rPr>
          <w:rFonts w:ascii="Candara" w:eastAsiaTheme="minorEastAsia" w:hAnsi="Candara"/>
        </w:rPr>
        <w:t>u</w:t>
      </w:r>
      <w:r w:rsidR="003D72BD" w:rsidRPr="00EE08B8">
        <w:rPr>
          <w:rFonts w:ascii="Candara" w:eastAsiaTheme="minorEastAsia" w:hAnsi="Candara"/>
        </w:rPr>
        <w:t>sal association between TyG index and cardiovascular mortality among incident PD patients</w:t>
      </w:r>
      <w:r>
        <w:rPr>
          <w:rFonts w:ascii="Candara" w:eastAsiaTheme="minorEastAsia" w:hAnsi="Candara"/>
        </w:rPr>
        <w:t>. However</w:t>
      </w:r>
      <w:r w:rsidR="00EE08B8" w:rsidRPr="00EE08B8">
        <w:rPr>
          <w:rFonts w:ascii="Candara" w:eastAsiaTheme="minorEastAsia" w:hAnsi="Candara"/>
        </w:rPr>
        <w:t xml:space="preserve">, </w:t>
      </w:r>
      <w:r w:rsidR="00954BC2">
        <w:rPr>
          <w:rFonts w:ascii="Candara" w:eastAsiaTheme="minorEastAsia" w:hAnsi="Candara"/>
        </w:rPr>
        <w:t xml:space="preserve">prior </w:t>
      </w:r>
      <w:r w:rsidR="00C53938">
        <w:rPr>
          <w:rFonts w:ascii="Candara" w:eastAsiaTheme="minorEastAsia" w:hAnsi="Candara"/>
        </w:rPr>
        <w:t>studies</w:t>
      </w:r>
      <w:r>
        <w:rPr>
          <w:rFonts w:ascii="Candara" w:eastAsiaTheme="minorEastAsia" w:hAnsi="Candara"/>
        </w:rPr>
        <w:t xml:space="preserve"> among dialysis patients</w:t>
      </w:r>
      <w:r w:rsidR="00C53938">
        <w:rPr>
          <w:rFonts w:ascii="Candara" w:eastAsiaTheme="minorEastAsia" w:hAnsi="Candara"/>
        </w:rPr>
        <w:t xml:space="preserve"> </w:t>
      </w:r>
      <w:r>
        <w:rPr>
          <w:rFonts w:ascii="Candara" w:eastAsiaTheme="minorEastAsia" w:hAnsi="Candara"/>
        </w:rPr>
        <w:t xml:space="preserve">have </w:t>
      </w:r>
      <w:r w:rsidR="00C53938">
        <w:rPr>
          <w:rFonts w:ascii="Candara" w:eastAsiaTheme="minorEastAsia" w:hAnsi="Candara"/>
        </w:rPr>
        <w:t xml:space="preserve">suggested that </w:t>
      </w:r>
      <w:r w:rsidR="0057523E">
        <w:rPr>
          <w:rFonts w:ascii="Candara" w:eastAsiaTheme="minorEastAsia" w:hAnsi="Candara"/>
        </w:rPr>
        <w:t xml:space="preserve">the progression of </w:t>
      </w:r>
      <w:r w:rsidR="007C5693">
        <w:rPr>
          <w:rFonts w:ascii="Candara" w:eastAsiaTheme="minorEastAsia" w:hAnsi="Candara"/>
        </w:rPr>
        <w:t>IR</w:t>
      </w:r>
      <w:r w:rsidR="00954BC2">
        <w:rPr>
          <w:rFonts w:ascii="Candara" w:eastAsiaTheme="minorEastAsia" w:hAnsi="Candara"/>
        </w:rPr>
        <w:t xml:space="preserve"> and </w:t>
      </w:r>
      <w:r>
        <w:rPr>
          <w:rFonts w:ascii="Candara" w:eastAsiaTheme="minorEastAsia" w:hAnsi="Candara"/>
        </w:rPr>
        <w:t>associated</w:t>
      </w:r>
      <w:r w:rsidR="00954BC2">
        <w:rPr>
          <w:rFonts w:ascii="Candara" w:eastAsiaTheme="minorEastAsia" w:hAnsi="Candara"/>
        </w:rPr>
        <w:t xml:space="preserve"> subsequent cardiovascular events could be </w:t>
      </w:r>
      <w:r w:rsidR="00DA61D9">
        <w:rPr>
          <w:rFonts w:ascii="Candara" w:eastAsiaTheme="minorEastAsia" w:hAnsi="Candara"/>
        </w:rPr>
        <w:t>altered by interven</w:t>
      </w:r>
      <w:r>
        <w:rPr>
          <w:rFonts w:ascii="Candara" w:eastAsiaTheme="minorEastAsia" w:hAnsi="Candara"/>
        </w:rPr>
        <w:t xml:space="preserve">ing with eg </w:t>
      </w:r>
      <w:r w:rsidR="00DA61D9">
        <w:rPr>
          <w:rFonts w:ascii="Candara" w:eastAsiaTheme="minorEastAsia" w:hAnsi="Candara"/>
        </w:rPr>
        <w:t>strict diet</w:t>
      </w:r>
      <w:r>
        <w:rPr>
          <w:rFonts w:ascii="Candara" w:eastAsiaTheme="minorEastAsia" w:hAnsi="Candara"/>
        </w:rPr>
        <w:t>ary</w:t>
      </w:r>
      <w:r w:rsidR="00DA61D9">
        <w:rPr>
          <w:rFonts w:ascii="Candara" w:eastAsiaTheme="minorEastAsia" w:hAnsi="Candara"/>
        </w:rPr>
        <w:t xml:space="preserve"> management, intense antihypertensive treatments, anti-diabet</w:t>
      </w:r>
      <w:r>
        <w:rPr>
          <w:rFonts w:ascii="Candara" w:eastAsiaTheme="minorEastAsia" w:hAnsi="Candara"/>
        </w:rPr>
        <w:t>es</w:t>
      </w:r>
      <w:r w:rsidR="00DA61D9">
        <w:rPr>
          <w:rFonts w:ascii="Candara" w:eastAsiaTheme="minorEastAsia" w:hAnsi="Candara"/>
        </w:rPr>
        <w:t xml:space="preserve"> treatments, and lipid lowering treatments</w:t>
      </w:r>
      <w:r w:rsidR="00B75EF8">
        <w:rPr>
          <w:rFonts w:ascii="Candara" w:eastAsiaTheme="minorEastAsia" w:hAnsi="Candara"/>
        </w:rPr>
        <w:t xml:space="preserve"> </w:t>
      </w:r>
      <w:r w:rsidR="008B6A3B">
        <w:rPr>
          <w:rFonts w:ascii="Candara" w:eastAsiaTheme="minorEastAsia" w:hAnsi="Candara"/>
        </w:rPr>
        <w:fldChar w:fldCharType="begin"/>
      </w:r>
      <w:r w:rsidR="000337C7">
        <w:rPr>
          <w:rFonts w:ascii="Candara" w:eastAsiaTheme="minorEastAsia" w:hAnsi="Candara"/>
        </w:rPr>
        <w:instrText>ADDIN RW.CITE{{2654 Cioni,A. 2010; 2655 Wong,T.Y. 2005}}</w:instrText>
      </w:r>
      <w:r w:rsidR="008B6A3B">
        <w:rPr>
          <w:rFonts w:ascii="Candara" w:eastAsiaTheme="minorEastAsia" w:hAnsi="Candara"/>
        </w:rPr>
        <w:fldChar w:fldCharType="separate"/>
      </w:r>
      <w:r w:rsidR="00642D21" w:rsidRPr="00642D21">
        <w:rPr>
          <w:rFonts w:ascii="Candara" w:eastAsiaTheme="minorEastAsia" w:hAnsi="Candara"/>
        </w:rPr>
        <w:t>(42, 43)</w:t>
      </w:r>
      <w:r w:rsidR="008B6A3B">
        <w:rPr>
          <w:rFonts w:ascii="Candara" w:eastAsiaTheme="minorEastAsia" w:hAnsi="Candara"/>
        </w:rPr>
        <w:fldChar w:fldCharType="end"/>
      </w:r>
      <w:r w:rsidR="00DA61D9">
        <w:rPr>
          <w:rFonts w:ascii="Candara" w:eastAsiaTheme="minorEastAsia" w:hAnsi="Candara"/>
        </w:rPr>
        <w:t xml:space="preserve">. </w:t>
      </w:r>
      <w:r w:rsidR="00C53938">
        <w:rPr>
          <w:rFonts w:ascii="Candara" w:eastAsiaTheme="minorEastAsia" w:hAnsi="Candara"/>
        </w:rPr>
        <w:t>As a useful prognostic factor, TyG index</w:t>
      </w:r>
      <w:r w:rsidR="00380FD8">
        <w:rPr>
          <w:rFonts w:ascii="Candara" w:eastAsiaTheme="minorEastAsia" w:hAnsi="Candara"/>
        </w:rPr>
        <w:t xml:space="preserve"> as the surrogate of </w:t>
      </w:r>
      <w:r w:rsidR="007C5693">
        <w:rPr>
          <w:rFonts w:ascii="Candara" w:eastAsiaTheme="minorEastAsia" w:hAnsi="Candara"/>
        </w:rPr>
        <w:t>IR</w:t>
      </w:r>
      <w:r w:rsidR="00380FD8">
        <w:rPr>
          <w:rFonts w:ascii="Candara" w:eastAsiaTheme="minorEastAsia" w:hAnsi="Candara"/>
        </w:rPr>
        <w:t xml:space="preserve"> might be used to routine</w:t>
      </w:r>
      <w:r>
        <w:rPr>
          <w:rFonts w:ascii="Candara" w:eastAsiaTheme="minorEastAsia" w:hAnsi="Candara"/>
        </w:rPr>
        <w:t>ly</w:t>
      </w:r>
      <w:r w:rsidR="00380FD8">
        <w:rPr>
          <w:rFonts w:ascii="Candara" w:eastAsiaTheme="minorEastAsia" w:hAnsi="Candara"/>
        </w:rPr>
        <w:t xml:space="preserve"> screen high </w:t>
      </w:r>
      <w:r w:rsidR="00B75EF8">
        <w:rPr>
          <w:rFonts w:ascii="Candara" w:eastAsiaTheme="minorEastAsia" w:hAnsi="Candara"/>
        </w:rPr>
        <w:t>cardiovascular risk patients for tailored interventions and treatments in the PD clinic.</w:t>
      </w:r>
    </w:p>
    <w:p w14:paraId="3A16265E" w14:textId="3D59FD13" w:rsidR="009D49EE" w:rsidRDefault="000D153C" w:rsidP="00D2210C">
      <w:pPr>
        <w:spacing w:line="480" w:lineRule="auto"/>
        <w:rPr>
          <w:rFonts w:ascii="SimSun" w:eastAsia="SimSun" w:hAnsi="SimSun" w:cs="SimSun"/>
        </w:rPr>
      </w:pPr>
      <w:r>
        <w:rPr>
          <w:rFonts w:ascii="SimSun" w:eastAsia="SimSun" w:hAnsi="SimSun" w:cs="SimSun" w:hint="eastAsia"/>
        </w:rPr>
        <w:t xml:space="preserve"> </w:t>
      </w:r>
    </w:p>
    <w:p w14:paraId="3294628A" w14:textId="58E58579" w:rsidR="009D49EE" w:rsidRDefault="00DB2D2E" w:rsidP="00D2210C">
      <w:pPr>
        <w:spacing w:line="480" w:lineRule="auto"/>
        <w:rPr>
          <w:rFonts w:ascii="Candara" w:eastAsiaTheme="minorEastAsia" w:hAnsi="Candara"/>
        </w:rPr>
      </w:pPr>
      <w:r w:rsidRPr="00DB2D2E">
        <w:rPr>
          <w:rFonts w:ascii="Candara" w:eastAsiaTheme="minorEastAsia" w:hAnsi="Candara"/>
        </w:rPr>
        <w:t>There are several strengths to our study. First,</w:t>
      </w:r>
      <w:r>
        <w:rPr>
          <w:rFonts w:ascii="Candara" w:eastAsiaTheme="minorEastAsia" w:hAnsi="Candara"/>
        </w:rPr>
        <w:t xml:space="preserve"> our study </w:t>
      </w:r>
      <w:r w:rsidR="00A56DB4">
        <w:rPr>
          <w:rFonts w:ascii="Candara" w:eastAsiaTheme="minorEastAsia" w:hAnsi="Candara"/>
        </w:rPr>
        <w:t>uses</w:t>
      </w:r>
      <w:r>
        <w:rPr>
          <w:rFonts w:ascii="Candara" w:eastAsiaTheme="minorEastAsia" w:hAnsi="Candara"/>
        </w:rPr>
        <w:t xml:space="preserve"> </w:t>
      </w:r>
      <w:r w:rsidR="00A56DB4">
        <w:rPr>
          <w:rFonts w:ascii="Candara" w:eastAsiaTheme="minorEastAsia" w:hAnsi="Candara"/>
        </w:rPr>
        <w:t xml:space="preserve">a </w:t>
      </w:r>
      <w:r>
        <w:rPr>
          <w:rFonts w:ascii="Candara" w:eastAsiaTheme="minorEastAsia" w:hAnsi="Candara"/>
        </w:rPr>
        <w:t>prospective case cohort</w:t>
      </w:r>
      <w:r w:rsidR="00A56DB4">
        <w:rPr>
          <w:rFonts w:ascii="Candara" w:eastAsiaTheme="minorEastAsia" w:hAnsi="Candara"/>
        </w:rPr>
        <w:t xml:space="preserve"> </w:t>
      </w:r>
      <w:r w:rsidR="00043049">
        <w:rPr>
          <w:rFonts w:ascii="Candara" w:eastAsiaTheme="minorEastAsia" w:hAnsi="Candara"/>
        </w:rPr>
        <w:t>design incorporating</w:t>
      </w:r>
      <w:r w:rsidR="00DF4C0F">
        <w:rPr>
          <w:rFonts w:ascii="Candara" w:eastAsiaTheme="minorEastAsia" w:hAnsi="Candara"/>
        </w:rPr>
        <w:t xml:space="preserve"> incident PD patients </w:t>
      </w:r>
      <w:r>
        <w:rPr>
          <w:rFonts w:ascii="Candara" w:eastAsiaTheme="minorEastAsia" w:hAnsi="Candara"/>
        </w:rPr>
        <w:t xml:space="preserve">with </w:t>
      </w:r>
      <w:r w:rsidR="00A56DB4">
        <w:rPr>
          <w:rFonts w:ascii="Candara" w:eastAsiaTheme="minorEastAsia" w:hAnsi="Candara"/>
        </w:rPr>
        <w:t xml:space="preserve">a </w:t>
      </w:r>
      <w:r>
        <w:rPr>
          <w:rFonts w:ascii="Candara" w:eastAsiaTheme="minorEastAsia" w:hAnsi="Candara"/>
        </w:rPr>
        <w:t>relative</w:t>
      </w:r>
      <w:r w:rsidR="00A56DB4">
        <w:rPr>
          <w:rFonts w:ascii="Candara" w:eastAsiaTheme="minorEastAsia" w:hAnsi="Candara"/>
        </w:rPr>
        <w:t>ly</w:t>
      </w:r>
      <w:r>
        <w:rPr>
          <w:rFonts w:ascii="Candara" w:eastAsiaTheme="minorEastAsia" w:hAnsi="Candara"/>
        </w:rPr>
        <w:t xml:space="preserve"> large sample size</w:t>
      </w:r>
      <w:r w:rsidR="00592607">
        <w:rPr>
          <w:rFonts w:ascii="Candara" w:eastAsiaTheme="minorEastAsia" w:hAnsi="Candara"/>
        </w:rPr>
        <w:t xml:space="preserve">. </w:t>
      </w:r>
      <w:r w:rsidR="00980230" w:rsidRPr="00980230">
        <w:rPr>
          <w:rFonts w:ascii="Candara" w:eastAsiaTheme="minorEastAsia" w:hAnsi="Candara"/>
        </w:rPr>
        <w:t>The HPRD is the only PD r</w:t>
      </w:r>
      <w:r w:rsidR="00980230">
        <w:rPr>
          <w:rFonts w:ascii="Candara" w:eastAsiaTheme="minorEastAsia" w:hAnsi="Candara"/>
        </w:rPr>
        <w:t xml:space="preserve">egistry data in Henan including </w:t>
      </w:r>
      <w:r w:rsidR="00980230" w:rsidRPr="00980230">
        <w:rPr>
          <w:rFonts w:ascii="Candara" w:eastAsiaTheme="minorEastAsia" w:hAnsi="Candara"/>
        </w:rPr>
        <w:t xml:space="preserve">all patients receiving PD care in Henan who will be followed up for their </w:t>
      </w:r>
      <w:r w:rsidR="00043049" w:rsidRPr="00980230">
        <w:rPr>
          <w:rFonts w:ascii="Candara" w:eastAsiaTheme="minorEastAsia" w:hAnsi="Candara"/>
        </w:rPr>
        <w:t>lifetim</w:t>
      </w:r>
      <w:r w:rsidR="00043049">
        <w:rPr>
          <w:rFonts w:ascii="Candara" w:eastAsiaTheme="minorEastAsia" w:hAnsi="Candara"/>
        </w:rPr>
        <w:t>e; therefore</w:t>
      </w:r>
      <w:r w:rsidR="00980230">
        <w:rPr>
          <w:rFonts w:ascii="Candara" w:eastAsiaTheme="minorEastAsia" w:hAnsi="Candara"/>
        </w:rPr>
        <w:t xml:space="preserve"> selection bias and </w:t>
      </w:r>
      <w:r w:rsidR="00980230" w:rsidRPr="00980230">
        <w:rPr>
          <w:rFonts w:ascii="Candara" w:eastAsiaTheme="minorEastAsia" w:hAnsi="Candara"/>
        </w:rPr>
        <w:t xml:space="preserve">respondent bias were relatively small in this study. </w:t>
      </w:r>
      <w:r w:rsidR="00592607">
        <w:rPr>
          <w:rFonts w:ascii="Candara" w:eastAsiaTheme="minorEastAsia" w:hAnsi="Candara"/>
        </w:rPr>
        <w:t>Second, t</w:t>
      </w:r>
      <w:r w:rsidR="00980230" w:rsidRPr="00980230">
        <w:rPr>
          <w:rFonts w:ascii="Candara" w:eastAsiaTheme="minorEastAsia" w:hAnsi="Candara"/>
        </w:rPr>
        <w:t>he HPRD is located in Henan</w:t>
      </w:r>
      <w:r w:rsidR="00980230">
        <w:rPr>
          <w:rFonts w:ascii="Candara" w:eastAsiaTheme="minorEastAsia" w:hAnsi="Candara"/>
        </w:rPr>
        <w:t xml:space="preserve">, the province with the largest </w:t>
      </w:r>
      <w:r w:rsidR="00980230" w:rsidRPr="00980230">
        <w:rPr>
          <w:rFonts w:ascii="Candara" w:eastAsiaTheme="minorEastAsia" w:hAnsi="Candara"/>
        </w:rPr>
        <w:t>population size in China, suggest</w:t>
      </w:r>
      <w:r w:rsidR="00980230">
        <w:rPr>
          <w:rFonts w:ascii="Candara" w:eastAsiaTheme="minorEastAsia" w:hAnsi="Candara"/>
        </w:rPr>
        <w:t xml:space="preserve">ing our study is likely to be a </w:t>
      </w:r>
      <w:r w:rsidR="00980230" w:rsidRPr="00980230">
        <w:rPr>
          <w:rFonts w:ascii="Candara" w:eastAsiaTheme="minorEastAsia" w:hAnsi="Candara"/>
        </w:rPr>
        <w:t>representative sample.</w:t>
      </w:r>
      <w:r w:rsidR="00A202CF">
        <w:rPr>
          <w:rFonts w:ascii="Candara" w:eastAsiaTheme="minorEastAsia" w:hAnsi="Candara"/>
        </w:rPr>
        <w:t xml:space="preserve"> </w:t>
      </w:r>
      <w:r w:rsidR="00063978">
        <w:rPr>
          <w:rFonts w:ascii="Candara" w:eastAsiaTheme="minorEastAsia" w:hAnsi="Candara"/>
        </w:rPr>
        <w:t>Third</w:t>
      </w:r>
      <w:r w:rsidR="00A202CF">
        <w:rPr>
          <w:rFonts w:ascii="Candara" w:eastAsiaTheme="minorEastAsia" w:hAnsi="Candara"/>
        </w:rPr>
        <w:t xml:space="preserve">, because other metabolic risk factors </w:t>
      </w:r>
      <w:r w:rsidR="00C242B5">
        <w:rPr>
          <w:rFonts w:ascii="Candara" w:eastAsiaTheme="minorEastAsia" w:hAnsi="Candara"/>
        </w:rPr>
        <w:t xml:space="preserve">may influence </w:t>
      </w:r>
      <w:r w:rsidR="007C5693">
        <w:rPr>
          <w:rFonts w:ascii="Candara" w:eastAsiaTheme="minorEastAsia" w:hAnsi="Candara"/>
        </w:rPr>
        <w:t>IR</w:t>
      </w:r>
      <w:r w:rsidR="00C242B5">
        <w:rPr>
          <w:rFonts w:ascii="Candara" w:eastAsiaTheme="minorEastAsia" w:hAnsi="Candara"/>
        </w:rPr>
        <w:t xml:space="preserve"> and the onset of cardiovascular events, an additional strength of this study was that most metabolic risk factors</w:t>
      </w:r>
      <w:r w:rsidR="000568DD">
        <w:rPr>
          <w:rFonts w:ascii="Candara" w:eastAsiaTheme="minorEastAsia" w:hAnsi="Candara"/>
        </w:rPr>
        <w:t xml:space="preserve"> were measured and accounted </w:t>
      </w:r>
      <w:r w:rsidR="00A56DB4">
        <w:rPr>
          <w:rFonts w:ascii="Candara" w:eastAsiaTheme="minorEastAsia" w:hAnsi="Candara"/>
        </w:rPr>
        <w:t xml:space="preserve">for </w:t>
      </w:r>
      <w:r w:rsidR="000568DD">
        <w:rPr>
          <w:rFonts w:ascii="Candara" w:eastAsiaTheme="minorEastAsia" w:hAnsi="Candara"/>
        </w:rPr>
        <w:t xml:space="preserve">in our primary analyses. </w:t>
      </w:r>
      <w:r w:rsidR="00063978">
        <w:rPr>
          <w:rFonts w:ascii="Candara" w:eastAsiaTheme="minorEastAsia" w:hAnsi="Candara"/>
        </w:rPr>
        <w:t xml:space="preserve">There are some limitations in our study. </w:t>
      </w:r>
      <w:r w:rsidR="005533A8">
        <w:rPr>
          <w:rFonts w:ascii="Candara" w:eastAsiaTheme="minorEastAsia" w:hAnsi="Candara"/>
        </w:rPr>
        <w:t xml:space="preserve">First, there was some distinctive differences between the patients in our study and </w:t>
      </w:r>
      <w:r w:rsidR="000B46B6">
        <w:rPr>
          <w:rFonts w:ascii="Candara" w:eastAsiaTheme="minorEastAsia" w:hAnsi="Candara"/>
        </w:rPr>
        <w:t xml:space="preserve">other non-Chinese ESRD patients, </w:t>
      </w:r>
      <w:r w:rsidR="00D7527A" w:rsidRPr="005533A8">
        <w:rPr>
          <w:rFonts w:ascii="Candara" w:eastAsiaTheme="minorEastAsia" w:hAnsi="Candara"/>
        </w:rPr>
        <w:t>typical European ESRD patients, for example, young age, lower BMI, lower prevalence of comorbidities and lower percentage of treatment, which suggest</w:t>
      </w:r>
      <w:r w:rsidR="00A56DB4">
        <w:rPr>
          <w:rFonts w:ascii="Candara" w:eastAsiaTheme="minorEastAsia" w:hAnsi="Candara"/>
        </w:rPr>
        <w:t>s</w:t>
      </w:r>
      <w:r w:rsidR="00D7527A" w:rsidRPr="005533A8">
        <w:rPr>
          <w:rFonts w:ascii="Candara" w:eastAsiaTheme="minorEastAsia" w:hAnsi="Candara"/>
        </w:rPr>
        <w:t xml:space="preserve"> potential adjustments might be needed when </w:t>
      </w:r>
      <w:r w:rsidR="00E95693">
        <w:rPr>
          <w:rFonts w:ascii="Candara" w:eastAsiaTheme="minorEastAsia" w:hAnsi="Candara"/>
        </w:rPr>
        <w:t>examin</w:t>
      </w:r>
      <w:r w:rsidR="00A56DB4">
        <w:rPr>
          <w:rFonts w:ascii="Candara" w:eastAsiaTheme="minorEastAsia" w:hAnsi="Candara"/>
        </w:rPr>
        <w:t>ing the</w:t>
      </w:r>
      <w:r w:rsidR="00E95693">
        <w:rPr>
          <w:rFonts w:ascii="Candara" w:eastAsiaTheme="minorEastAsia" w:hAnsi="Candara"/>
        </w:rPr>
        <w:t xml:space="preserve"> association between TyG index and cardiovascular mortality</w:t>
      </w:r>
      <w:r w:rsidR="00AE4BF0">
        <w:rPr>
          <w:rFonts w:ascii="Candara" w:eastAsiaTheme="minorEastAsia" w:hAnsi="Candara"/>
        </w:rPr>
        <w:t xml:space="preserve"> in</w:t>
      </w:r>
      <w:r w:rsidR="00D7527A" w:rsidRPr="005533A8">
        <w:rPr>
          <w:rFonts w:ascii="Candara" w:eastAsiaTheme="minorEastAsia" w:hAnsi="Candara"/>
        </w:rPr>
        <w:t xml:space="preserve"> external </w:t>
      </w:r>
      <w:r w:rsidR="000B46B6">
        <w:rPr>
          <w:rFonts w:ascii="Candara" w:eastAsiaTheme="minorEastAsia" w:hAnsi="Candara"/>
        </w:rPr>
        <w:t xml:space="preserve">non-Chinese </w:t>
      </w:r>
      <w:r w:rsidR="00D7527A" w:rsidRPr="005533A8">
        <w:rPr>
          <w:rFonts w:ascii="Candara" w:eastAsiaTheme="minorEastAsia" w:hAnsi="Candara"/>
        </w:rPr>
        <w:t>ESRD population</w:t>
      </w:r>
      <w:r w:rsidR="00A56DB4">
        <w:rPr>
          <w:rFonts w:ascii="Candara" w:eastAsiaTheme="minorEastAsia" w:hAnsi="Candara"/>
        </w:rPr>
        <w:t>s</w:t>
      </w:r>
      <w:r w:rsidR="00D7527A" w:rsidRPr="005533A8">
        <w:rPr>
          <w:rFonts w:ascii="Candara" w:eastAsiaTheme="minorEastAsia" w:hAnsi="Candara"/>
        </w:rPr>
        <w:t>, especially European ESRD populations. Second, some traditional risk factors, like smoking and prior health information were not accessible in our study. Third, the relative</w:t>
      </w:r>
      <w:r w:rsidR="00A56DB4">
        <w:rPr>
          <w:rFonts w:ascii="Candara" w:eastAsiaTheme="minorEastAsia" w:hAnsi="Candara"/>
        </w:rPr>
        <w:t>ly</w:t>
      </w:r>
      <w:r w:rsidR="00D7527A" w:rsidRPr="005533A8">
        <w:rPr>
          <w:rFonts w:ascii="Candara" w:eastAsiaTheme="minorEastAsia" w:hAnsi="Candara"/>
        </w:rPr>
        <w:t xml:space="preserve"> high missing percentage of some variables, for example, phosph</w:t>
      </w:r>
      <w:r w:rsidR="00A56DB4">
        <w:rPr>
          <w:rFonts w:ascii="Candara" w:eastAsiaTheme="minorEastAsia" w:hAnsi="Candara"/>
        </w:rPr>
        <w:t>ate</w:t>
      </w:r>
      <w:r w:rsidR="00D7527A" w:rsidRPr="005533A8">
        <w:rPr>
          <w:rFonts w:ascii="Candara" w:eastAsiaTheme="minorEastAsia" w:hAnsi="Candara"/>
        </w:rPr>
        <w:t xml:space="preserve"> and albumin might have some impact on extrapolation of our </w:t>
      </w:r>
      <w:r w:rsidR="00AE4BF0">
        <w:rPr>
          <w:rFonts w:ascii="Candara" w:eastAsiaTheme="minorEastAsia" w:hAnsi="Candara"/>
        </w:rPr>
        <w:t>findings</w:t>
      </w:r>
      <w:r w:rsidR="00D7527A" w:rsidRPr="005533A8">
        <w:rPr>
          <w:rFonts w:ascii="Candara" w:eastAsiaTheme="minorEastAsia" w:hAnsi="Candara"/>
        </w:rPr>
        <w:t xml:space="preserve"> especially in the external population</w:t>
      </w:r>
      <w:r w:rsidR="00AE4BF0">
        <w:rPr>
          <w:rFonts w:ascii="Candara" w:eastAsiaTheme="minorEastAsia" w:hAnsi="Candara"/>
        </w:rPr>
        <w:t>.</w:t>
      </w:r>
    </w:p>
    <w:p w14:paraId="4A7B3D02" w14:textId="3D7C0678" w:rsidR="00AE4BF0" w:rsidRPr="00D50EDE" w:rsidRDefault="00D50EDE" w:rsidP="00D2210C">
      <w:pPr>
        <w:spacing w:line="480" w:lineRule="auto"/>
        <w:rPr>
          <w:rFonts w:ascii="Candara" w:hAnsi="Candara"/>
          <w:b/>
        </w:rPr>
      </w:pPr>
      <w:r w:rsidRPr="00D50EDE">
        <w:rPr>
          <w:rFonts w:ascii="Candara" w:hAnsi="Candara"/>
          <w:b/>
        </w:rPr>
        <w:t>CONCLUSION</w:t>
      </w:r>
      <w:r>
        <w:rPr>
          <w:rFonts w:ascii="Candara" w:hAnsi="Candara"/>
          <w:b/>
        </w:rPr>
        <w:t>S</w:t>
      </w:r>
    </w:p>
    <w:p w14:paraId="37784B2F" w14:textId="7D511F74" w:rsidR="0014740C" w:rsidRDefault="0014740C" w:rsidP="00D2210C">
      <w:pPr>
        <w:spacing w:line="480" w:lineRule="auto"/>
        <w:rPr>
          <w:rFonts w:ascii="Candara" w:eastAsiaTheme="minorEastAsia" w:hAnsi="Candara"/>
        </w:rPr>
      </w:pPr>
      <w:r w:rsidRPr="0014740C">
        <w:rPr>
          <w:rFonts w:ascii="Candara" w:eastAsiaTheme="minorEastAsia" w:hAnsi="Candara" w:hint="eastAsia"/>
        </w:rPr>
        <w:t>In summary</w:t>
      </w:r>
      <w:r>
        <w:rPr>
          <w:rFonts w:ascii="Candara" w:eastAsiaTheme="minorEastAsia" w:hAnsi="Candara"/>
        </w:rPr>
        <w:t xml:space="preserve">, findings from this cohort study suggest that </w:t>
      </w:r>
      <w:r w:rsidR="004B162E">
        <w:rPr>
          <w:rFonts w:ascii="Candara" w:eastAsiaTheme="minorEastAsia" w:hAnsi="Candara"/>
        </w:rPr>
        <w:t xml:space="preserve">incident PD patients with </w:t>
      </w:r>
      <w:r w:rsidR="007C5693">
        <w:rPr>
          <w:rFonts w:ascii="Candara" w:eastAsiaTheme="minorEastAsia" w:hAnsi="Candara"/>
        </w:rPr>
        <w:t>IR</w:t>
      </w:r>
      <w:r w:rsidR="004B162E">
        <w:rPr>
          <w:rFonts w:ascii="Candara" w:eastAsiaTheme="minorEastAsia" w:hAnsi="Candara"/>
        </w:rPr>
        <w:t>, namely with higher TyG index levels</w:t>
      </w:r>
      <w:r w:rsidR="005369AE">
        <w:rPr>
          <w:rFonts w:ascii="Candara" w:eastAsiaTheme="minorEastAsia" w:hAnsi="Candara"/>
        </w:rPr>
        <w:t xml:space="preserve">, are more prone to suffer from cardiovascular events. </w:t>
      </w:r>
      <w:r>
        <w:rPr>
          <w:rFonts w:ascii="Candara" w:eastAsiaTheme="minorEastAsia" w:hAnsi="Candara"/>
        </w:rPr>
        <w:t xml:space="preserve">This study </w:t>
      </w:r>
      <w:r w:rsidR="005369AE">
        <w:rPr>
          <w:rFonts w:ascii="Candara" w:eastAsiaTheme="minorEastAsia" w:hAnsi="Candara"/>
        </w:rPr>
        <w:t xml:space="preserve">also </w:t>
      </w:r>
      <w:r>
        <w:rPr>
          <w:rFonts w:ascii="Candara" w:eastAsiaTheme="minorEastAsia" w:hAnsi="Candara"/>
        </w:rPr>
        <w:t xml:space="preserve">adds an important piece of evidence that TyG index might be a good prognostic factor in predicting cardiovascular deaths among patients </w:t>
      </w:r>
      <w:r w:rsidR="00D84FD4">
        <w:rPr>
          <w:rFonts w:ascii="Candara" w:eastAsiaTheme="minorEastAsia" w:hAnsi="Candara"/>
        </w:rPr>
        <w:t>initiating</w:t>
      </w:r>
      <w:r>
        <w:rPr>
          <w:rFonts w:ascii="Candara" w:eastAsiaTheme="minorEastAsia" w:hAnsi="Candara"/>
        </w:rPr>
        <w:t xml:space="preserve"> PD.</w:t>
      </w:r>
    </w:p>
    <w:p w14:paraId="5755C8B1" w14:textId="1B045B3D" w:rsidR="00D54633" w:rsidRDefault="00BD50BB" w:rsidP="00D2210C">
      <w:pPr>
        <w:spacing w:line="480" w:lineRule="auto"/>
        <w:rPr>
          <w:rFonts w:ascii="Candara" w:hAnsi="Candara"/>
        </w:rPr>
      </w:pPr>
      <w:r>
        <w:rPr>
          <w:rFonts w:eastAsiaTheme="minorEastAsia"/>
          <w:sz w:val="22"/>
          <w:szCs w:val="22"/>
          <w:lang w:val="en-US"/>
        </w:rPr>
        <w:t xml:space="preserve"> </w:t>
      </w:r>
      <w:r>
        <w:rPr>
          <w:rFonts w:ascii="Candara" w:hAnsi="Candara"/>
        </w:rPr>
        <w:t xml:space="preserve"> </w:t>
      </w:r>
    </w:p>
    <w:p w14:paraId="19D75755" w14:textId="6A65BB49" w:rsidR="00D54633" w:rsidRPr="00996B26" w:rsidRDefault="00D54633" w:rsidP="00F77A13">
      <w:pPr>
        <w:spacing w:line="480" w:lineRule="auto"/>
        <w:rPr>
          <w:rFonts w:ascii="Candara" w:hAnsi="Candara"/>
          <w:b/>
        </w:rPr>
      </w:pPr>
      <w:r w:rsidRPr="00996B26">
        <w:rPr>
          <w:rFonts w:ascii="Candara" w:hAnsi="Candara"/>
          <w:b/>
        </w:rPr>
        <w:t>ACKNOWLEDGEMENT</w:t>
      </w:r>
    </w:p>
    <w:p w14:paraId="3675C24B" w14:textId="3AFF87A6" w:rsidR="00452A6D" w:rsidRPr="00452A6D" w:rsidRDefault="00452A6D" w:rsidP="00452A6D">
      <w:pPr>
        <w:spacing w:line="360" w:lineRule="auto"/>
        <w:rPr>
          <w:rFonts w:ascii="Candara" w:eastAsiaTheme="minorEastAsia" w:hAnsi="Candara"/>
        </w:rPr>
      </w:pPr>
      <w:r w:rsidRPr="00452A6D">
        <w:rPr>
          <w:rFonts w:ascii="Candara" w:eastAsiaTheme="minorEastAsia" w:hAnsi="Candara"/>
        </w:rPr>
        <w:t>We thank the First Affiliated hospital of Zhengzhou University approved this study. We thank Henan Peritoneal Dialysis Registry (HPDR) to provide the data for this study.</w:t>
      </w:r>
    </w:p>
    <w:p w14:paraId="40EB57D5" w14:textId="7DBBEE4D" w:rsidR="006906CF" w:rsidRDefault="00FB4957" w:rsidP="006906CF">
      <w:pPr>
        <w:spacing w:line="360" w:lineRule="auto"/>
        <w:rPr>
          <w:rFonts w:ascii="Candara" w:eastAsiaTheme="minorEastAsia" w:hAnsi="Candara"/>
        </w:rPr>
      </w:pPr>
      <w:r w:rsidRPr="00452A6D">
        <w:rPr>
          <w:rFonts w:ascii="Candara" w:eastAsiaTheme="minorEastAsia" w:hAnsi="Candara"/>
        </w:rPr>
        <w:t>This work was supported by the National Natural Science Foundation of China (Grant Nos. 81570690, 81873611 and 81700633), Science and Technology Innovation Team of Henan (Grant No. 17IRTSTHN020); Foundation and Frontier Technology Research Program of Henan Province (Grant No.142300410211).</w:t>
      </w:r>
      <w:r w:rsidR="006906CF">
        <w:rPr>
          <w:rFonts w:ascii="Candara" w:eastAsiaTheme="minorEastAsia" w:hAnsi="Candara"/>
        </w:rPr>
        <w:t xml:space="preserve"> Dr Dahai Yu</w:t>
      </w:r>
      <w:r w:rsidR="006906CF" w:rsidRPr="006906CF">
        <w:rPr>
          <w:rFonts w:ascii="Candara" w:eastAsiaTheme="minorEastAsia" w:hAnsi="Candara"/>
        </w:rPr>
        <w:t xml:space="preserve"> would like to </w:t>
      </w:r>
      <w:r w:rsidR="006906CF">
        <w:rPr>
          <w:rFonts w:ascii="Candara" w:eastAsiaTheme="minorEastAsia" w:hAnsi="Candara"/>
        </w:rPr>
        <w:t>thank Public Health England for his</w:t>
      </w:r>
      <w:r w:rsidR="006906CF" w:rsidRPr="006906CF">
        <w:rPr>
          <w:rFonts w:ascii="Candara" w:eastAsiaTheme="minorEastAsia" w:hAnsi="Candara"/>
        </w:rPr>
        <w:t xml:space="preserve"> Honorary </w:t>
      </w:r>
      <w:r w:rsidR="006906CF">
        <w:rPr>
          <w:rFonts w:ascii="Candara" w:eastAsiaTheme="minorEastAsia" w:hAnsi="Candara"/>
        </w:rPr>
        <w:t>Public Health Academic Contract</w:t>
      </w:r>
      <w:r w:rsidR="006906CF" w:rsidRPr="006906CF">
        <w:rPr>
          <w:rFonts w:ascii="Candara" w:eastAsiaTheme="minorEastAsia" w:hAnsi="Candara"/>
        </w:rPr>
        <w:t>.</w:t>
      </w:r>
    </w:p>
    <w:p w14:paraId="7B89E3F1" w14:textId="77777777" w:rsidR="00D4287A" w:rsidRDefault="00D4287A" w:rsidP="00452A6D">
      <w:pPr>
        <w:spacing w:line="360" w:lineRule="auto"/>
        <w:rPr>
          <w:rFonts w:ascii="Candara" w:eastAsiaTheme="minorEastAsia" w:hAnsi="Candara"/>
        </w:rPr>
      </w:pPr>
    </w:p>
    <w:p w14:paraId="2246B9AC" w14:textId="77777777" w:rsidR="00D4287A" w:rsidRPr="00D4287A" w:rsidRDefault="00D4287A" w:rsidP="00D4287A">
      <w:pPr>
        <w:spacing w:line="480" w:lineRule="auto"/>
        <w:rPr>
          <w:rFonts w:ascii="Candara" w:hAnsi="Candara"/>
          <w:b/>
        </w:rPr>
      </w:pPr>
      <w:r w:rsidRPr="00D4287A">
        <w:rPr>
          <w:rFonts w:ascii="Candara" w:hAnsi="Candara"/>
          <w:b/>
        </w:rPr>
        <w:t>DISCLOSURE STATEMENT</w:t>
      </w:r>
    </w:p>
    <w:p w14:paraId="0EAC37EA" w14:textId="59263808" w:rsidR="00D4187C" w:rsidRDefault="00D4287A" w:rsidP="00D4287A">
      <w:pPr>
        <w:spacing w:line="360" w:lineRule="auto"/>
        <w:rPr>
          <w:rFonts w:ascii="Candara" w:eastAsiaTheme="minorEastAsia" w:hAnsi="Candara"/>
        </w:rPr>
      </w:pPr>
      <w:r w:rsidRPr="00D4287A">
        <w:rPr>
          <w:rFonts w:ascii="Candara" w:eastAsiaTheme="minorEastAsia" w:hAnsi="Candara"/>
        </w:rPr>
        <w:t>The authors declare that they have no competing interests.</w:t>
      </w:r>
    </w:p>
    <w:p w14:paraId="69A242A4" w14:textId="77777777" w:rsidR="00D4287A" w:rsidRDefault="00D4287A" w:rsidP="00D4287A">
      <w:pPr>
        <w:spacing w:line="360" w:lineRule="auto"/>
        <w:rPr>
          <w:rFonts w:ascii="Candara" w:eastAsiaTheme="minorEastAsia" w:hAnsi="Candara"/>
        </w:rPr>
      </w:pPr>
    </w:p>
    <w:p w14:paraId="10E37282" w14:textId="77777777" w:rsidR="00D4287A" w:rsidRDefault="00D4287A" w:rsidP="00D4287A">
      <w:pPr>
        <w:spacing w:line="360" w:lineRule="auto"/>
        <w:rPr>
          <w:rFonts w:ascii="Candara" w:eastAsiaTheme="minorEastAsia" w:hAnsi="Candara"/>
        </w:rPr>
      </w:pPr>
    </w:p>
    <w:p w14:paraId="72FCAC60" w14:textId="29E9CA64" w:rsidR="00642D21" w:rsidRPr="00642D21" w:rsidRDefault="00E640B1" w:rsidP="00642D21">
      <w:pPr>
        <w:pStyle w:val="NormalWeb"/>
        <w:spacing w:line="480" w:lineRule="auto"/>
        <w:jc w:val="center"/>
        <w:rPr>
          <w:rFonts w:ascii="Candara" w:hAnsi="Candara"/>
        </w:rPr>
      </w:pPr>
      <w:r>
        <w:rPr>
          <w:rFonts w:ascii="Candara" w:hAnsi="Candara"/>
          <w:b/>
        </w:rPr>
        <w:fldChar w:fldCharType="begin"/>
      </w:r>
      <w:r w:rsidR="00642D21">
        <w:rPr>
          <w:rFonts w:ascii="Candara" w:hAnsi="Candara"/>
          <w:b/>
        </w:rPr>
        <w:instrText>ADDIN RW.BIB</w:instrText>
      </w:r>
      <w:r>
        <w:rPr>
          <w:rFonts w:ascii="Candara" w:hAnsi="Candara"/>
          <w:b/>
        </w:rPr>
        <w:fldChar w:fldCharType="separate"/>
      </w:r>
      <w:r w:rsidR="00642D21" w:rsidRPr="00642D21">
        <w:rPr>
          <w:rFonts w:ascii="Candara" w:hAnsi="Candara"/>
        </w:rPr>
        <w:t>References</w:t>
      </w:r>
    </w:p>
    <w:p w14:paraId="626DCDFE" w14:textId="77777777" w:rsidR="00642D21" w:rsidRPr="00642D21" w:rsidRDefault="00642D21" w:rsidP="00642D21">
      <w:pPr>
        <w:pStyle w:val="NormalWeb"/>
        <w:spacing w:line="480" w:lineRule="auto"/>
        <w:rPr>
          <w:rFonts w:ascii="Candara" w:hAnsi="Candara"/>
        </w:rPr>
      </w:pPr>
      <w:r w:rsidRPr="00642D21">
        <w:rPr>
          <w:rFonts w:ascii="Candara" w:hAnsi="Candara"/>
        </w:rPr>
        <w:t>1. Ojo A: Addressing the global burden of chronic kidney disease through clinical and translational research. Trans Am Clin Climatol Assoc 2014;125:229-43; discussion 243-6.</w:t>
      </w:r>
    </w:p>
    <w:p w14:paraId="29847180" w14:textId="77777777" w:rsidR="00642D21" w:rsidRPr="00642D21" w:rsidRDefault="00642D21" w:rsidP="00642D21">
      <w:pPr>
        <w:pStyle w:val="NormalWeb"/>
        <w:spacing w:line="480" w:lineRule="auto"/>
        <w:rPr>
          <w:rFonts w:ascii="Candara" w:hAnsi="Candara"/>
        </w:rPr>
      </w:pPr>
      <w:r w:rsidRPr="00642D21">
        <w:rPr>
          <w:rFonts w:ascii="Candara" w:hAnsi="Candara"/>
        </w:rPr>
        <w:t>2. Li PK, Chow KM, Van de Luijtgaarden MW, Johnson DW, Jager KJ, Mehrotra R, Naicker S, Pecoits-Filho R, Yu XQ, Lameire N: Changes in the worldwide epidemiology of peritoneal dialysis. Nat Rev Nephrol 2017;13:90-103.</w:t>
      </w:r>
    </w:p>
    <w:p w14:paraId="59030860" w14:textId="77777777" w:rsidR="00642D21" w:rsidRPr="00642D21" w:rsidRDefault="00642D21" w:rsidP="00642D21">
      <w:pPr>
        <w:pStyle w:val="NormalWeb"/>
        <w:spacing w:line="480" w:lineRule="auto"/>
        <w:rPr>
          <w:rFonts w:ascii="Candara" w:hAnsi="Candara"/>
        </w:rPr>
      </w:pPr>
      <w:r w:rsidRPr="00642D21">
        <w:rPr>
          <w:rFonts w:ascii="Candara" w:hAnsi="Candara"/>
        </w:rPr>
        <w:t>3. Zhang X, Chen Y, Cai Y, Tian X, Xiao J, Zhao Z, Yu D: Characteristics of Patients Initializing Peritoneal Dialysis Treatment From 2007 to 2014: Analysis From Henan Peritoneal Dialysis Registry data. Iran J Kidney Dis 2018;12:178-184.</w:t>
      </w:r>
    </w:p>
    <w:p w14:paraId="646532A6" w14:textId="77777777" w:rsidR="00642D21" w:rsidRPr="00642D21" w:rsidRDefault="00642D21" w:rsidP="00642D21">
      <w:pPr>
        <w:pStyle w:val="NormalWeb"/>
        <w:spacing w:line="480" w:lineRule="auto"/>
        <w:rPr>
          <w:rFonts w:ascii="Candara" w:hAnsi="Candara"/>
        </w:rPr>
      </w:pPr>
      <w:r w:rsidRPr="00642D21">
        <w:rPr>
          <w:rFonts w:ascii="Candara" w:hAnsi="Candara"/>
        </w:rPr>
        <w:t>4. Vanholder R, Annemans L, Brown E, Gansevoort R, Gout-Zwart JJ, Lameire N, Morton RL, Oberbauer R, Postma MJ, Tonelli M, Biesen WV, Zoccali C, European Kidney Health Alliance: Reducing the costs of chronic kidney disease while delivering quality health care: a call to action. Nat Rev Nephrol 2017;13:393-409.</w:t>
      </w:r>
    </w:p>
    <w:p w14:paraId="1954FA1A" w14:textId="77777777" w:rsidR="00642D21" w:rsidRPr="00642D21" w:rsidRDefault="00642D21" w:rsidP="00642D21">
      <w:pPr>
        <w:pStyle w:val="NormalWeb"/>
        <w:spacing w:line="480" w:lineRule="auto"/>
        <w:rPr>
          <w:rFonts w:ascii="Candara" w:hAnsi="Candara"/>
        </w:rPr>
      </w:pPr>
      <w:r w:rsidRPr="00642D21">
        <w:rPr>
          <w:rFonts w:ascii="Candara" w:hAnsi="Candara"/>
        </w:rPr>
        <w:t>5. Krediet RT, Balafa O: Cardiovascular risk in the peritoneal dialysis patient. Nat Rev Nephrol 2010;6:451-460.</w:t>
      </w:r>
    </w:p>
    <w:p w14:paraId="6C0B6B38" w14:textId="77777777" w:rsidR="00642D21" w:rsidRPr="00642D21" w:rsidRDefault="00642D21" w:rsidP="00642D21">
      <w:pPr>
        <w:pStyle w:val="NormalWeb"/>
        <w:spacing w:line="480" w:lineRule="auto"/>
        <w:rPr>
          <w:rFonts w:ascii="Candara" w:hAnsi="Candara"/>
        </w:rPr>
      </w:pPr>
      <w:r w:rsidRPr="00642D21">
        <w:rPr>
          <w:rFonts w:ascii="Candara" w:hAnsi="Candara"/>
        </w:rPr>
        <w:t>6. Yu D, Cai Y, Chen Y, Chen T, Qin R, Zhao Z, Simmons D: Development and validation of risk prediction models for cardiovascular mortality in Chinese people initialising peritoneal dialysis: a cohort study. Sci Rep 2018;8:1966-018-20160-3.</w:t>
      </w:r>
    </w:p>
    <w:p w14:paraId="0D1D30E4" w14:textId="77777777" w:rsidR="00642D21" w:rsidRPr="00642D21" w:rsidRDefault="00642D21" w:rsidP="00642D21">
      <w:pPr>
        <w:pStyle w:val="NormalWeb"/>
        <w:spacing w:line="480" w:lineRule="auto"/>
        <w:rPr>
          <w:rFonts w:ascii="Candara" w:hAnsi="Candara"/>
        </w:rPr>
      </w:pPr>
      <w:r w:rsidRPr="00642D21">
        <w:rPr>
          <w:rFonts w:ascii="Candara" w:hAnsi="Candara"/>
        </w:rPr>
        <w:t>7. Rabbani N, Thornalley PJ: Advanced glycation end products in the pathogenesis of chronic kidney disease. Kidney Int 2018;93:803-813.</w:t>
      </w:r>
    </w:p>
    <w:p w14:paraId="33E963E2" w14:textId="77777777" w:rsidR="00642D21" w:rsidRPr="00642D21" w:rsidRDefault="00642D21" w:rsidP="00642D21">
      <w:pPr>
        <w:pStyle w:val="NormalWeb"/>
        <w:spacing w:line="480" w:lineRule="auto"/>
        <w:rPr>
          <w:rFonts w:ascii="Candara" w:hAnsi="Candara"/>
        </w:rPr>
      </w:pPr>
      <w:r w:rsidRPr="00642D21">
        <w:rPr>
          <w:rFonts w:ascii="Candara" w:hAnsi="Candara"/>
        </w:rPr>
        <w:t>8. Fortes PC, de Moraes TP, Mendes JG, Stinghen AE, Ribeiro SC, Pecoits-Filho R: Insulin resistance and glucose homeostasis in peritoneal dialysis. Perit Dial Int 2009;29 Suppl 2:S145-8.</w:t>
      </w:r>
    </w:p>
    <w:p w14:paraId="1BA9B2C4" w14:textId="77777777" w:rsidR="00642D21" w:rsidRPr="00642D21" w:rsidRDefault="00642D21" w:rsidP="00642D21">
      <w:pPr>
        <w:pStyle w:val="NormalWeb"/>
        <w:spacing w:line="480" w:lineRule="auto"/>
        <w:rPr>
          <w:rFonts w:ascii="Candara" w:hAnsi="Candara"/>
        </w:rPr>
      </w:pPr>
      <w:r w:rsidRPr="00642D21">
        <w:rPr>
          <w:rFonts w:ascii="Candara" w:hAnsi="Candara"/>
        </w:rPr>
        <w:t>9. Lo WK: Metabolic syndrome and obesity in peritoneal dialysis. Kidney Res Clin Pract 2016;35:10-14.</w:t>
      </w:r>
    </w:p>
    <w:p w14:paraId="583BBEA0" w14:textId="77777777" w:rsidR="00642D21" w:rsidRPr="00642D21" w:rsidRDefault="00642D21" w:rsidP="00642D21">
      <w:pPr>
        <w:pStyle w:val="NormalWeb"/>
        <w:spacing w:line="480" w:lineRule="auto"/>
        <w:rPr>
          <w:rFonts w:ascii="Candara" w:hAnsi="Candara"/>
        </w:rPr>
      </w:pPr>
      <w:r w:rsidRPr="00642D21">
        <w:rPr>
          <w:rFonts w:ascii="Candara" w:hAnsi="Candara"/>
        </w:rPr>
        <w:t>10. de Moraes TP, Pecoits-Filho R: Metabolic impact of peritoneal dialysis. Contrib Nephrol 2009;163:117-123.</w:t>
      </w:r>
    </w:p>
    <w:p w14:paraId="070CED86" w14:textId="77777777" w:rsidR="00642D21" w:rsidRPr="00642D21" w:rsidRDefault="00642D21" w:rsidP="00642D21">
      <w:pPr>
        <w:pStyle w:val="NormalWeb"/>
        <w:spacing w:line="480" w:lineRule="auto"/>
        <w:rPr>
          <w:rFonts w:ascii="Candara" w:hAnsi="Candara"/>
        </w:rPr>
      </w:pPr>
      <w:r w:rsidRPr="00642D21">
        <w:rPr>
          <w:rFonts w:ascii="Candara" w:hAnsi="Candara"/>
        </w:rPr>
        <w:t>11. Lee SH, Kwon HS, Park YM, Ha HS, Jeong SH, Yang HK, Lee JH, Yim HW, Kang MI, Lee WC, Son HY, Yoon KH: Predicting the development of diabetes using the product of triglycerides and glucose: the Chungju Metabolic Disease Cohort (CMC) study. PLoS One 2014;9:e90430.</w:t>
      </w:r>
    </w:p>
    <w:p w14:paraId="1600E8A7" w14:textId="77777777" w:rsidR="00642D21" w:rsidRPr="00642D21" w:rsidRDefault="00642D21" w:rsidP="00642D21">
      <w:pPr>
        <w:pStyle w:val="NormalWeb"/>
        <w:spacing w:line="480" w:lineRule="auto"/>
        <w:rPr>
          <w:rFonts w:ascii="Candara" w:hAnsi="Candara"/>
        </w:rPr>
      </w:pPr>
      <w:r w:rsidRPr="00642D21">
        <w:rPr>
          <w:rFonts w:ascii="Candara" w:hAnsi="Candara"/>
        </w:rPr>
        <w:t>12. Warram JH, Martin BC, Krolewski AS, Soeldner JS, Kahn CR: Slow glucose removal rate and hyperinsulinemia precede the development of type II diabetes in the offspring of diabetic parents. Ann Intern Med 1990;113:909-915.</w:t>
      </w:r>
    </w:p>
    <w:p w14:paraId="3BEA0045" w14:textId="77777777" w:rsidR="00642D21" w:rsidRPr="00642D21" w:rsidRDefault="00642D21" w:rsidP="00642D21">
      <w:pPr>
        <w:pStyle w:val="NormalWeb"/>
        <w:spacing w:line="480" w:lineRule="auto"/>
        <w:rPr>
          <w:rFonts w:ascii="Candara" w:hAnsi="Candara"/>
        </w:rPr>
      </w:pPr>
      <w:r w:rsidRPr="00642D21">
        <w:rPr>
          <w:rFonts w:ascii="Candara" w:hAnsi="Candara"/>
        </w:rPr>
        <w:t>13. Zhang M, Wang B, Liu Y, Sun X, Luo X, Wang C, Li L, Zhang L, Ren Y, Zhao Y, Zhou J, Han C, Zhao J, Hu D: Cumulative increased risk of incident type 2 diabetes mellitus with increasing triglyceride glucose index in normal-weight people: The Rural Chinese Cohort Study. Cardiovasc Diabetol 2017;16:30-017-0514-x.</w:t>
      </w:r>
    </w:p>
    <w:p w14:paraId="1B193A59" w14:textId="77777777" w:rsidR="00642D21" w:rsidRPr="00642D21" w:rsidRDefault="00642D21" w:rsidP="00642D21">
      <w:pPr>
        <w:pStyle w:val="NormalWeb"/>
        <w:spacing w:line="480" w:lineRule="auto"/>
        <w:rPr>
          <w:rFonts w:ascii="Candara" w:hAnsi="Candara"/>
        </w:rPr>
      </w:pPr>
      <w:r w:rsidRPr="00642D21">
        <w:rPr>
          <w:rFonts w:ascii="Candara" w:hAnsi="Candara"/>
        </w:rPr>
        <w:t>14. Guerrero-Romero F, Simental-Mendia LE, Gonzalez-Ortiz M, Martinez-Abundis E, Ramos-Zavala MG, Hernandez-Gonzalez SO, Jacques-Camarena O, Rodriguez-Moran M: The product of triglycerides and glucose, a simple measure of insulin sensitivity. Comparison with the euglycemic-hyperinsulinemic clamp. J Clin Endocrinol Metab 2010;95:3347-3351.</w:t>
      </w:r>
    </w:p>
    <w:p w14:paraId="31E035A9" w14:textId="77777777" w:rsidR="00642D21" w:rsidRPr="00642D21" w:rsidRDefault="00642D21" w:rsidP="00642D21">
      <w:pPr>
        <w:pStyle w:val="NormalWeb"/>
        <w:spacing w:line="480" w:lineRule="auto"/>
        <w:rPr>
          <w:rFonts w:ascii="Candara" w:hAnsi="Candara"/>
        </w:rPr>
      </w:pPr>
      <w:r w:rsidRPr="00642D21">
        <w:rPr>
          <w:rFonts w:ascii="Candara" w:hAnsi="Candara"/>
        </w:rPr>
        <w:t>15. Vasques AC, Novaes FS, de Oliveira Mda S, Souza JR, Yamanaka A, Pareja JC, Tambascia MA, Saad MJ, Geloneze B: TyG index performs better than HOMA in a Brazilian population: a hyperglycemic clamp validated study. Diabetes Res Clin Pract 2011;93:e98-e100.</w:t>
      </w:r>
    </w:p>
    <w:p w14:paraId="01775942" w14:textId="77777777" w:rsidR="00642D21" w:rsidRPr="00642D21" w:rsidRDefault="00642D21" w:rsidP="00642D21">
      <w:pPr>
        <w:pStyle w:val="NormalWeb"/>
        <w:spacing w:line="480" w:lineRule="auto"/>
        <w:rPr>
          <w:rFonts w:ascii="Candara" w:hAnsi="Candara"/>
        </w:rPr>
      </w:pPr>
      <w:r w:rsidRPr="00642D21">
        <w:rPr>
          <w:rFonts w:ascii="Candara" w:hAnsi="Candara"/>
        </w:rPr>
        <w:t>16. Mohd Nor NS, Lee S, Bacha F, Tfayli H, Arslanian S: Triglyceride glucose index as a surrogate measure of insulin sensitivity in obese adolescents with normoglycemia, prediabetes, and type 2 diabetes mellitus: comparison with the hyperinsulinemic-euglycemic clamp. Pediatr Diabetes 2016;17:458-465.</w:t>
      </w:r>
    </w:p>
    <w:p w14:paraId="5AA7E9AE" w14:textId="77777777" w:rsidR="00642D21" w:rsidRPr="00642D21" w:rsidRDefault="00642D21" w:rsidP="00642D21">
      <w:pPr>
        <w:pStyle w:val="NormalWeb"/>
        <w:spacing w:line="480" w:lineRule="auto"/>
        <w:rPr>
          <w:rFonts w:ascii="Candara" w:hAnsi="Candara"/>
        </w:rPr>
      </w:pPr>
      <w:r w:rsidRPr="00642D21">
        <w:rPr>
          <w:rFonts w:ascii="Candara" w:hAnsi="Candara"/>
        </w:rPr>
        <w:t>17. Song do K, Lee H, Sung YA, Oh JY: Triglycerides to High-Density Lipoprotein Cholesterol Ratio Can Predict Impaired Glucose Tolerance in Young Women with Polycystic Ovary Syndrome. Yonsei Med J 2016;57:1404-1411.</w:t>
      </w:r>
    </w:p>
    <w:p w14:paraId="76BC9498" w14:textId="77777777" w:rsidR="00642D21" w:rsidRPr="00642D21" w:rsidRDefault="00642D21" w:rsidP="00642D21">
      <w:pPr>
        <w:pStyle w:val="NormalWeb"/>
        <w:spacing w:line="480" w:lineRule="auto"/>
        <w:rPr>
          <w:rFonts w:ascii="Candara" w:hAnsi="Candara"/>
        </w:rPr>
      </w:pPr>
      <w:r w:rsidRPr="00642D21">
        <w:rPr>
          <w:rFonts w:ascii="Candara" w:hAnsi="Candara"/>
        </w:rPr>
        <w:t>18. Lee EY, Yang HK, Lee J, Kang B, Yang Y, Lee SH, Ko SH, Ahn YB, Cha BY, Yoon KH, Cho JH: Triglyceride glucose index, a marker of insulin resistance, is associated with coronary artery stenosis in asymptomatic subjects with type 2 diabetes. Lipids Health Dis 2016;15:155-016-0324-2.</w:t>
      </w:r>
    </w:p>
    <w:p w14:paraId="3B9D9576" w14:textId="77777777" w:rsidR="00642D21" w:rsidRPr="00642D21" w:rsidRDefault="00642D21" w:rsidP="00642D21">
      <w:pPr>
        <w:pStyle w:val="NormalWeb"/>
        <w:spacing w:line="480" w:lineRule="auto"/>
        <w:rPr>
          <w:rFonts w:ascii="Candara" w:hAnsi="Candara"/>
        </w:rPr>
      </w:pPr>
      <w:r w:rsidRPr="00642D21">
        <w:rPr>
          <w:rFonts w:ascii="Candara" w:hAnsi="Candara"/>
        </w:rPr>
        <w:t>19. Sanchez-Inigo L, Navarro-Gonzalez D, Fernandez-Montero A, Pastrana-Delgado J, Martinez JA: The TyG index may predict the development of cardiovascular events. Eur J Clin Invest 2016;46:189-197.</w:t>
      </w:r>
    </w:p>
    <w:p w14:paraId="277BAEA7" w14:textId="77777777" w:rsidR="00642D21" w:rsidRPr="00642D21" w:rsidRDefault="00642D21" w:rsidP="00642D21">
      <w:pPr>
        <w:pStyle w:val="NormalWeb"/>
        <w:spacing w:line="480" w:lineRule="auto"/>
        <w:rPr>
          <w:rFonts w:ascii="Candara" w:hAnsi="Candara"/>
        </w:rPr>
      </w:pPr>
      <w:r w:rsidRPr="00642D21">
        <w:rPr>
          <w:rFonts w:ascii="Candara" w:hAnsi="Candara"/>
        </w:rPr>
        <w:t>20. Vega GL, Barlow CE, Grundy SM, Leonard D, DeFina LF: Triglyceride-to-high-density-lipoprotein-cholesterol ratio is an index of heart disease mortality and of incidence of type 2 diabetes mellitus in men. J Investig Med 2014;62:345-349.</w:t>
      </w:r>
    </w:p>
    <w:p w14:paraId="4EE80DE4" w14:textId="77777777" w:rsidR="00642D21" w:rsidRPr="00642D21" w:rsidRDefault="00642D21" w:rsidP="00642D21">
      <w:pPr>
        <w:pStyle w:val="NormalWeb"/>
        <w:spacing w:line="480" w:lineRule="auto"/>
        <w:rPr>
          <w:rFonts w:ascii="Candara" w:hAnsi="Candara"/>
        </w:rPr>
      </w:pPr>
      <w:r w:rsidRPr="00642D21">
        <w:rPr>
          <w:rFonts w:ascii="Candara" w:hAnsi="Candara"/>
        </w:rPr>
        <w:t>21. Zhang X, Yu D, Cai Y, Shang J, Qin R, Xiao J, Tian X, Zhao Z, Simmons D: Dose-Response Between Cardiovascular Risk Factors and Cardiovascular Mortality Among Incident Peritoneal Dialysis Patients. Kidney Blood Press Res 2018;43:628-638.</w:t>
      </w:r>
    </w:p>
    <w:p w14:paraId="3769B9C6" w14:textId="77777777" w:rsidR="00642D21" w:rsidRPr="00642D21" w:rsidRDefault="00642D21" w:rsidP="00642D21">
      <w:pPr>
        <w:pStyle w:val="NormalWeb"/>
        <w:spacing w:line="480" w:lineRule="auto"/>
        <w:rPr>
          <w:rFonts w:ascii="Candara" w:hAnsi="Candara"/>
        </w:rPr>
      </w:pPr>
      <w:r w:rsidRPr="00642D21">
        <w:rPr>
          <w:rFonts w:ascii="Candara" w:hAnsi="Candara"/>
        </w:rPr>
        <w:t>22. Yu D, Simmons D: Association between blood pressure and risk of cardiovascular hospital admissions among people with type 2 diabetes. Heart 2014;100:1444-1449.</w:t>
      </w:r>
    </w:p>
    <w:p w14:paraId="6E08A184" w14:textId="77777777" w:rsidR="00642D21" w:rsidRPr="00642D21" w:rsidRDefault="00642D21" w:rsidP="00642D21">
      <w:pPr>
        <w:pStyle w:val="NormalWeb"/>
        <w:spacing w:line="480" w:lineRule="auto"/>
        <w:rPr>
          <w:rFonts w:ascii="Candara" w:hAnsi="Candara"/>
        </w:rPr>
      </w:pPr>
      <w:r w:rsidRPr="00642D21">
        <w:rPr>
          <w:rFonts w:ascii="Candara" w:hAnsi="Candara"/>
        </w:rPr>
        <w:t>23. Low S, Khoo KCJ, Irwan B, Sum CF, Subramaniam T, Lim SC, Wong TKM: The role of triglyceride glucose index in development of Type 2 diabetes mellitus. Diabetes Res Clin Pract 2018;143:43-49.</w:t>
      </w:r>
    </w:p>
    <w:p w14:paraId="5C2934D2" w14:textId="77777777" w:rsidR="00642D21" w:rsidRPr="00642D21" w:rsidRDefault="00642D21" w:rsidP="00642D21">
      <w:pPr>
        <w:pStyle w:val="NormalWeb"/>
        <w:spacing w:line="480" w:lineRule="auto"/>
        <w:rPr>
          <w:rFonts w:ascii="Candara" w:hAnsi="Candara"/>
        </w:rPr>
      </w:pPr>
      <w:r w:rsidRPr="00642D21">
        <w:rPr>
          <w:rFonts w:ascii="Candara" w:hAnsi="Candara"/>
        </w:rPr>
        <w:t>24. Lee DY, Lee ES, Kim JH, Park SE, Park CY, Oh KW, Park SW, Rhee EJ, Lee WY: Predictive Value of Triglyceride Glucose Index for the Risk of Incident Diabetes: A 4-Year Retrospective Longitudinal Study. PLoS One 2016;11:e0163465.</w:t>
      </w:r>
    </w:p>
    <w:p w14:paraId="33DC3D79" w14:textId="77777777" w:rsidR="00642D21" w:rsidRPr="00642D21" w:rsidRDefault="00642D21" w:rsidP="00642D21">
      <w:pPr>
        <w:pStyle w:val="NormalWeb"/>
        <w:spacing w:line="480" w:lineRule="auto"/>
        <w:rPr>
          <w:rFonts w:ascii="Candara" w:hAnsi="Candara"/>
        </w:rPr>
      </w:pPr>
      <w:r w:rsidRPr="00642D21">
        <w:rPr>
          <w:rFonts w:ascii="Candara" w:hAnsi="Candara"/>
        </w:rPr>
        <w:t>25. Navarro-Gonzalez D, Sanchez-Inigo L, Pastrana-Delgado J, Fernandez-Montero A, Martinez JA: Triglyceride-glucose index (TyG index) in comparison with fasting plasma glucose improved diabetes prediction in patients with normal fasting glucose: The Vascular-Metabolic CUN cohort. Prev Med 2016;86:99-105.</w:t>
      </w:r>
    </w:p>
    <w:p w14:paraId="232F14FD" w14:textId="77777777" w:rsidR="00642D21" w:rsidRPr="00642D21" w:rsidRDefault="00642D21" w:rsidP="00642D21">
      <w:pPr>
        <w:pStyle w:val="NormalWeb"/>
        <w:spacing w:line="480" w:lineRule="auto"/>
        <w:rPr>
          <w:rFonts w:ascii="Candara" w:hAnsi="Candara"/>
        </w:rPr>
      </w:pPr>
      <w:r w:rsidRPr="00642D21">
        <w:rPr>
          <w:rFonts w:ascii="Candara" w:hAnsi="Candara"/>
        </w:rPr>
        <w:t>26. Lee SB, Ahn CW, Lee BK, Kang S, Nam JS, You JH, Kim MJ, Kim MK, Park JS: Association between triglyceride glucose index and arterial stiffness in Korean adults. Cardiovasc Diabetol 2018;17:41-018-0692-1.</w:t>
      </w:r>
    </w:p>
    <w:p w14:paraId="6044F311" w14:textId="77777777" w:rsidR="00642D21" w:rsidRPr="00642D21" w:rsidRDefault="00642D21" w:rsidP="00642D21">
      <w:pPr>
        <w:pStyle w:val="NormalWeb"/>
        <w:spacing w:line="480" w:lineRule="auto"/>
        <w:rPr>
          <w:rFonts w:ascii="Candara" w:hAnsi="Candara"/>
        </w:rPr>
      </w:pPr>
      <w:r w:rsidRPr="00642D21">
        <w:rPr>
          <w:rFonts w:ascii="Candara" w:hAnsi="Candara"/>
        </w:rPr>
        <w:t>27. Lambrinoudaki I, Kazani MV, Armeni E, Georgiopoulos G, Tampakis K, Rizos D, Augoulea A, Kaparos G, Alexandrou A, Stamatelopoulos K: The TyG Index as a Marker of Subclinical Atherosclerosis and Arterial Stiffness in Lean and Overweight Postmenopausal Women. Heart Lung Circ 2018;27:716-724.</w:t>
      </w:r>
    </w:p>
    <w:p w14:paraId="502DC61D" w14:textId="77777777" w:rsidR="00642D21" w:rsidRPr="00642D21" w:rsidRDefault="00642D21" w:rsidP="00642D21">
      <w:pPr>
        <w:pStyle w:val="NormalWeb"/>
        <w:spacing w:line="480" w:lineRule="auto"/>
        <w:rPr>
          <w:rFonts w:ascii="Candara" w:hAnsi="Candara"/>
        </w:rPr>
      </w:pPr>
      <w:r w:rsidRPr="00642D21">
        <w:rPr>
          <w:rFonts w:ascii="Candara" w:hAnsi="Candara"/>
        </w:rPr>
        <w:t>28. Kim MK, Ahn CW, Kang S, Nam JS, Kim KR, Park JS: Relationship between the triglyceride glucose index and coronary artery calcification in Korean adults. Cardiovasc Diabetol 2017;16:108-017-0589-4.</w:t>
      </w:r>
    </w:p>
    <w:p w14:paraId="071638CE" w14:textId="77777777" w:rsidR="00642D21" w:rsidRPr="00642D21" w:rsidRDefault="00642D21" w:rsidP="00642D21">
      <w:pPr>
        <w:pStyle w:val="NormalWeb"/>
        <w:spacing w:line="480" w:lineRule="auto"/>
        <w:rPr>
          <w:rFonts w:ascii="Candara" w:hAnsi="Candara"/>
        </w:rPr>
      </w:pPr>
      <w:r w:rsidRPr="00642D21">
        <w:rPr>
          <w:rFonts w:ascii="Candara" w:hAnsi="Candara"/>
        </w:rPr>
        <w:t>29. Akbar M, Bhandari U, Habib A, Ahmad R: Potential Association of Triglyceride Glucose Index with Cardiac Autonomic Neuropathy in Type 2 Diabetes Mellitus Patients. J Korean Med Sci 2017;32:1131-1138.</w:t>
      </w:r>
    </w:p>
    <w:p w14:paraId="7A8DEA62" w14:textId="77777777" w:rsidR="00642D21" w:rsidRPr="00642D21" w:rsidRDefault="00642D21" w:rsidP="00642D21">
      <w:pPr>
        <w:pStyle w:val="NormalWeb"/>
        <w:spacing w:line="480" w:lineRule="auto"/>
        <w:rPr>
          <w:rFonts w:ascii="Candara" w:hAnsi="Candara"/>
        </w:rPr>
      </w:pPr>
      <w:r w:rsidRPr="00642D21">
        <w:rPr>
          <w:rFonts w:ascii="Candara" w:hAnsi="Candara"/>
        </w:rPr>
        <w:t>30. Li Y, Zhang L, Gu Y, Hao C, Zhu T: Insulin resistance as a predictor of cardiovascular disease in patients on peritoneal dialysis. Perit Dial Int 2013;33:411-418.</w:t>
      </w:r>
    </w:p>
    <w:p w14:paraId="3165B09B" w14:textId="77777777" w:rsidR="00642D21" w:rsidRPr="00642D21" w:rsidRDefault="00642D21" w:rsidP="00642D21">
      <w:pPr>
        <w:pStyle w:val="NormalWeb"/>
        <w:spacing w:line="480" w:lineRule="auto"/>
        <w:rPr>
          <w:rFonts w:ascii="Candara" w:hAnsi="Candara"/>
        </w:rPr>
      </w:pPr>
      <w:r w:rsidRPr="00642D21">
        <w:rPr>
          <w:rFonts w:ascii="Candara" w:hAnsi="Candara"/>
        </w:rPr>
        <w:t>31. Yoon CY, Lee MJ, Kee YK, Lee E, Joo YS, Han IM, Han SG, Oh HJ, Park JT, Han SH, Kang SW, Yoo TH: Insulin resistance is associated with new-onset cardiovascular events in nondiabetic patients undergoing peritoneal dialysis. Kidney Res Clin Pract 2014;33:192-198.</w:t>
      </w:r>
    </w:p>
    <w:p w14:paraId="2534FFA7" w14:textId="77777777" w:rsidR="00642D21" w:rsidRPr="00642D21" w:rsidRDefault="00642D21" w:rsidP="00642D21">
      <w:pPr>
        <w:pStyle w:val="NormalWeb"/>
        <w:spacing w:line="480" w:lineRule="auto"/>
        <w:rPr>
          <w:rFonts w:ascii="Candara" w:hAnsi="Candara"/>
        </w:rPr>
      </w:pPr>
      <w:r w:rsidRPr="00642D21">
        <w:rPr>
          <w:rFonts w:ascii="Candara" w:hAnsi="Candara"/>
        </w:rPr>
        <w:t>32. Kahn AM, Allen JC, Seidel CL, Zhang S: Insulin inhibits migration of vascular smooth muscle cells with inducible nitric oxide synthase. Hypertension 2000;35:303-306.</w:t>
      </w:r>
    </w:p>
    <w:p w14:paraId="7D407F3C" w14:textId="77777777" w:rsidR="00642D21" w:rsidRPr="00642D21" w:rsidRDefault="00642D21" w:rsidP="00642D21">
      <w:pPr>
        <w:pStyle w:val="NormalWeb"/>
        <w:spacing w:line="480" w:lineRule="auto"/>
        <w:rPr>
          <w:rFonts w:ascii="Candara" w:hAnsi="Candara"/>
        </w:rPr>
      </w:pPr>
      <w:r w:rsidRPr="00642D21">
        <w:rPr>
          <w:rFonts w:ascii="Candara" w:hAnsi="Candara"/>
        </w:rPr>
        <w:t>33. Defronzo RA: Banting Lecture. From the triumvirate to the ominous octet: a new paradigm for the treatment of type 2 diabetes mellitus. Diabetes 2009;58:773-795.</w:t>
      </w:r>
    </w:p>
    <w:p w14:paraId="2E5E0B45" w14:textId="77777777" w:rsidR="00642D21" w:rsidRPr="00642D21" w:rsidRDefault="00642D21" w:rsidP="00642D21">
      <w:pPr>
        <w:pStyle w:val="NormalWeb"/>
        <w:spacing w:line="480" w:lineRule="auto"/>
        <w:rPr>
          <w:rFonts w:ascii="Candara" w:hAnsi="Candara"/>
        </w:rPr>
      </w:pPr>
      <w:r w:rsidRPr="00642D21">
        <w:rPr>
          <w:rFonts w:ascii="Candara" w:hAnsi="Candara"/>
        </w:rPr>
        <w:t>34. Meigs JB, Larson MG, D'Agostino RB, Levy D, Clouse ME, Nathan DM, Wilson PW, O'Donnell CJ: Coronary artery calcification in type 2 diabetes and insulin resistance: the framingham offspring study. Diabetes Care 2002;25:1313-1319.</w:t>
      </w:r>
    </w:p>
    <w:p w14:paraId="68E33440" w14:textId="77777777" w:rsidR="00642D21" w:rsidRPr="00642D21" w:rsidRDefault="00642D21" w:rsidP="00642D21">
      <w:pPr>
        <w:pStyle w:val="NormalWeb"/>
        <w:spacing w:line="480" w:lineRule="auto"/>
        <w:rPr>
          <w:rFonts w:ascii="Candara" w:hAnsi="Candara"/>
        </w:rPr>
      </w:pPr>
      <w:r w:rsidRPr="00642D21">
        <w:rPr>
          <w:rFonts w:ascii="Candara" w:hAnsi="Candara"/>
        </w:rPr>
        <w:t>35. Yamazoe M, Hisamatsu T, Miura K, Kadowaki S, Zaid M, Kadota A, Torii S, Miyazawa I, Fujiyoshi A, Arima H, Sekikawa A, Maegawa H, Horie M, Ueshima H, SESSA Research Group: Relationship of Insulin Resistance to Prevalence and Progression of Coronary Artery Calcification Beyond Metabolic Syndrome Components: Shiga Epidemiological Study of Subclinical Atherosclerosis. Arterioscler Thromb Vasc Biol 2016;36:1703-1708.</w:t>
      </w:r>
    </w:p>
    <w:p w14:paraId="6F586173" w14:textId="77777777" w:rsidR="00642D21" w:rsidRPr="00642D21" w:rsidRDefault="00642D21" w:rsidP="00642D21">
      <w:pPr>
        <w:pStyle w:val="NormalWeb"/>
        <w:spacing w:line="480" w:lineRule="auto"/>
        <w:rPr>
          <w:rFonts w:ascii="Candara" w:hAnsi="Candara"/>
        </w:rPr>
      </w:pPr>
      <w:r w:rsidRPr="00642D21">
        <w:rPr>
          <w:rFonts w:ascii="Candara" w:hAnsi="Candara"/>
        </w:rPr>
        <w:t>36. Han T, Cheng Y, Tian S, Wang L, Liang X, Duan W, Na L, Sun C: Changes in triglycerides and high-density lipoprotein cholesterol may precede peripheral insulin resistance, with 2-h insulin partially mediating this unidirectional relationship: a prospective cohort study. Cardiovasc Diabetol 2016;15:154-016-0469-3.</w:t>
      </w:r>
    </w:p>
    <w:p w14:paraId="2C9F6FB1" w14:textId="77777777" w:rsidR="00642D21" w:rsidRPr="00642D21" w:rsidRDefault="00642D21" w:rsidP="00642D21">
      <w:pPr>
        <w:pStyle w:val="NormalWeb"/>
        <w:spacing w:line="480" w:lineRule="auto"/>
        <w:rPr>
          <w:rFonts w:ascii="Candara" w:hAnsi="Candara"/>
        </w:rPr>
      </w:pPr>
      <w:r w:rsidRPr="00642D21">
        <w:rPr>
          <w:rFonts w:ascii="Candara" w:hAnsi="Candara"/>
        </w:rPr>
        <w:t>37. Kelley DE, Goodpaster BH: Skeletal muscle triglyceride. An aspect of regional adiposity and insulin resistance. Diabetes Care 2001;24:933-941.</w:t>
      </w:r>
    </w:p>
    <w:p w14:paraId="7B8C96F7" w14:textId="77777777" w:rsidR="00642D21" w:rsidRPr="00642D21" w:rsidRDefault="00642D21" w:rsidP="00642D21">
      <w:pPr>
        <w:pStyle w:val="NormalWeb"/>
        <w:spacing w:line="480" w:lineRule="auto"/>
        <w:rPr>
          <w:rFonts w:ascii="Candara" w:hAnsi="Candara"/>
        </w:rPr>
      </w:pPr>
      <w:r w:rsidRPr="00642D21">
        <w:rPr>
          <w:rFonts w:ascii="Candara" w:hAnsi="Candara"/>
        </w:rPr>
        <w:t>38. Tripathy D, Almgren P, Tuomi T, Groop L: Contribution of insulin-stimulated glucose uptake and basal hepatic insulin sensitivity to surrogate measures of insulin sensitivity. Diabetes Care 2004;27:2204-2210.</w:t>
      </w:r>
    </w:p>
    <w:p w14:paraId="5B886E60" w14:textId="77777777" w:rsidR="00642D21" w:rsidRPr="00642D21" w:rsidRDefault="00642D21" w:rsidP="00642D21">
      <w:pPr>
        <w:pStyle w:val="NormalWeb"/>
        <w:spacing w:line="480" w:lineRule="auto"/>
        <w:rPr>
          <w:rFonts w:ascii="Candara" w:hAnsi="Candara"/>
        </w:rPr>
      </w:pPr>
      <w:r w:rsidRPr="00642D21">
        <w:rPr>
          <w:rFonts w:ascii="Candara" w:hAnsi="Candara"/>
        </w:rPr>
        <w:t>39. Bonora E, Targher G, Alberiche M, Bonadonna RC, Saggiani F, Zenere MB, Monauni T, Muggeo M: Homeostasis model assessment closely mirrors the glucose clamp technique in the assessment of insulin sensitivity: studies in subjects with various degrees of glucose tolerance and insulin sensitivity. Diabetes Care 2000;23:57-63.</w:t>
      </w:r>
    </w:p>
    <w:p w14:paraId="1BFF4167" w14:textId="77777777" w:rsidR="00642D21" w:rsidRPr="00642D21" w:rsidRDefault="00642D21" w:rsidP="00642D21">
      <w:pPr>
        <w:pStyle w:val="NormalWeb"/>
        <w:spacing w:line="480" w:lineRule="auto"/>
        <w:rPr>
          <w:rFonts w:ascii="Candara" w:hAnsi="Candara"/>
        </w:rPr>
      </w:pPr>
      <w:r w:rsidRPr="00642D21">
        <w:rPr>
          <w:rFonts w:ascii="Candara" w:hAnsi="Candara"/>
        </w:rPr>
        <w:t>40. Irace C, Carallo C, Scavelli FB, De Franceschi MS, Esposito T, Tripolino C, Gnasso A: Markers of insulin resistance and carotid atherosclerosis. A comparison of the homeostasis model assessment and triglyceride glucose index. Int J Clin Pract 2013;67:665-672.</w:t>
      </w:r>
    </w:p>
    <w:p w14:paraId="2A7CCECE" w14:textId="77777777" w:rsidR="00642D21" w:rsidRPr="00642D21" w:rsidRDefault="00642D21" w:rsidP="00642D21">
      <w:pPr>
        <w:pStyle w:val="NormalWeb"/>
        <w:spacing w:line="480" w:lineRule="auto"/>
        <w:rPr>
          <w:rFonts w:ascii="Candara" w:hAnsi="Candara"/>
        </w:rPr>
      </w:pPr>
      <w:r w:rsidRPr="00642D21">
        <w:rPr>
          <w:rFonts w:ascii="Candara" w:hAnsi="Candara"/>
        </w:rPr>
        <w:t>41. Pecoits-Filho R, Lindholm B, Stenvinkel P: The malnutrition, inflammation, and atherosclerosis (MIA) syndrome -- the heart of the matter. Nephrol Dial Transplant 2002;17 Suppl 11:28-31.</w:t>
      </w:r>
    </w:p>
    <w:p w14:paraId="11168C21" w14:textId="77777777" w:rsidR="00642D21" w:rsidRPr="00642D21" w:rsidRDefault="00642D21" w:rsidP="00642D21">
      <w:pPr>
        <w:pStyle w:val="NormalWeb"/>
        <w:spacing w:line="480" w:lineRule="auto"/>
        <w:rPr>
          <w:rFonts w:ascii="Candara" w:hAnsi="Candara"/>
        </w:rPr>
      </w:pPr>
      <w:r w:rsidRPr="00642D21">
        <w:rPr>
          <w:rFonts w:ascii="Candara" w:hAnsi="Candara"/>
        </w:rPr>
        <w:t>42. Cioni A, Sordini C, Cavallini I, Bigazzi R, Campese VM: Angiotensin receptor blocker telmisartan improves insulin sensitivity in peritoneal dialysis patients. Perit Dial Int 2010;30:66-71.</w:t>
      </w:r>
    </w:p>
    <w:p w14:paraId="290A98EB" w14:textId="77777777" w:rsidR="00642D21" w:rsidRPr="00642D21" w:rsidRDefault="00642D21" w:rsidP="00642D21">
      <w:pPr>
        <w:pStyle w:val="NormalWeb"/>
        <w:spacing w:line="480" w:lineRule="auto"/>
        <w:rPr>
          <w:rFonts w:ascii="Candara" w:hAnsi="Candara"/>
        </w:rPr>
      </w:pPr>
      <w:r w:rsidRPr="00642D21">
        <w:rPr>
          <w:rFonts w:ascii="Candara" w:hAnsi="Candara"/>
        </w:rPr>
        <w:t>43. Wong TY, Szeto CC, Chow KM, Leung CB, Lam CW, Li PK: Rosiglitazone reduces insulin requirement and C-reactive protein levels in type 2 diabetic patients receiving peritoneal dialysis. Am J Kidney Dis 2005;46:713-719.</w:t>
      </w:r>
    </w:p>
    <w:p w14:paraId="5E4A366B" w14:textId="77777777" w:rsidR="009B5FDE" w:rsidRDefault="00642D21" w:rsidP="0034066B">
      <w:pPr>
        <w:rPr>
          <w:rFonts w:ascii="Candara" w:hAnsi="Candara"/>
          <w:b/>
        </w:rPr>
      </w:pPr>
      <w:r w:rsidRPr="00642D21">
        <w:rPr>
          <w:rFonts w:ascii="Candara" w:hAnsi="Candara"/>
        </w:rPr>
        <w:t> </w:t>
      </w:r>
      <w:r w:rsidR="00E640B1">
        <w:rPr>
          <w:rFonts w:ascii="Candara" w:hAnsi="Candara"/>
          <w:b/>
        </w:rPr>
        <w:fldChar w:fldCharType="end"/>
      </w:r>
    </w:p>
    <w:p w14:paraId="5AB65364" w14:textId="77777777" w:rsidR="009B5FDE" w:rsidRDefault="009B5FDE" w:rsidP="0034066B">
      <w:pPr>
        <w:rPr>
          <w:rFonts w:ascii="Candara" w:hAnsi="Candara"/>
          <w:b/>
        </w:rPr>
      </w:pPr>
    </w:p>
    <w:p w14:paraId="1FAA0A0F" w14:textId="77777777" w:rsidR="009B5FDE" w:rsidRDefault="009B5FDE" w:rsidP="0034066B">
      <w:pPr>
        <w:rPr>
          <w:rFonts w:ascii="Candara" w:hAnsi="Candara"/>
          <w:b/>
        </w:rPr>
      </w:pPr>
    </w:p>
    <w:p w14:paraId="5950960C" w14:textId="77777777" w:rsidR="009B5FDE" w:rsidRDefault="009B5FDE" w:rsidP="0034066B">
      <w:pPr>
        <w:rPr>
          <w:rFonts w:ascii="Candara" w:hAnsi="Candara"/>
          <w:b/>
        </w:rPr>
      </w:pPr>
    </w:p>
    <w:p w14:paraId="039937D5" w14:textId="77777777" w:rsidR="009B5FDE" w:rsidRDefault="009B5FDE" w:rsidP="0034066B">
      <w:pPr>
        <w:rPr>
          <w:rFonts w:ascii="Candara" w:hAnsi="Candara"/>
          <w:b/>
        </w:rPr>
      </w:pPr>
    </w:p>
    <w:p w14:paraId="27FFA851" w14:textId="77777777" w:rsidR="009B5FDE" w:rsidRDefault="009B5FDE" w:rsidP="0034066B">
      <w:pPr>
        <w:rPr>
          <w:rFonts w:ascii="Candara" w:hAnsi="Candara"/>
          <w:b/>
        </w:rPr>
      </w:pPr>
    </w:p>
    <w:p w14:paraId="15E8FF46" w14:textId="77777777" w:rsidR="009B5FDE" w:rsidRDefault="009B5FDE" w:rsidP="0034066B">
      <w:pPr>
        <w:rPr>
          <w:rFonts w:ascii="Candara" w:hAnsi="Candara"/>
          <w:b/>
        </w:rPr>
      </w:pPr>
    </w:p>
    <w:p w14:paraId="2695DDB9" w14:textId="77777777" w:rsidR="009B5FDE" w:rsidRDefault="009B5FDE" w:rsidP="0034066B">
      <w:pPr>
        <w:rPr>
          <w:rFonts w:ascii="Candara" w:hAnsi="Candara"/>
          <w:b/>
        </w:rPr>
      </w:pPr>
    </w:p>
    <w:p w14:paraId="5E67CC03" w14:textId="77777777" w:rsidR="009B5FDE" w:rsidRDefault="009B5FDE" w:rsidP="0034066B">
      <w:pPr>
        <w:rPr>
          <w:rFonts w:ascii="Candara" w:hAnsi="Candara"/>
          <w:b/>
        </w:rPr>
      </w:pPr>
    </w:p>
    <w:p w14:paraId="4F0A65B5" w14:textId="77777777" w:rsidR="009B5FDE" w:rsidRDefault="009B5FDE" w:rsidP="0034066B">
      <w:pPr>
        <w:rPr>
          <w:rFonts w:ascii="Candara" w:hAnsi="Candara"/>
          <w:b/>
        </w:rPr>
      </w:pPr>
    </w:p>
    <w:p w14:paraId="5CECA9B1" w14:textId="77777777" w:rsidR="009B5FDE" w:rsidRDefault="009B5FDE" w:rsidP="0034066B">
      <w:pPr>
        <w:rPr>
          <w:rFonts w:ascii="Candara" w:hAnsi="Candara"/>
          <w:b/>
        </w:rPr>
      </w:pPr>
    </w:p>
    <w:p w14:paraId="7E36DC70" w14:textId="77777777" w:rsidR="009B5FDE" w:rsidRDefault="009B5FDE" w:rsidP="0034066B">
      <w:pPr>
        <w:rPr>
          <w:rFonts w:ascii="Candara" w:hAnsi="Candara"/>
          <w:b/>
        </w:rPr>
      </w:pPr>
    </w:p>
    <w:p w14:paraId="19B3BF88" w14:textId="77777777" w:rsidR="009B5FDE" w:rsidRDefault="009B5FDE" w:rsidP="0034066B">
      <w:pPr>
        <w:rPr>
          <w:rFonts w:ascii="Candara" w:hAnsi="Candara"/>
          <w:b/>
        </w:rPr>
      </w:pPr>
    </w:p>
    <w:p w14:paraId="1FC78E37" w14:textId="77777777" w:rsidR="009B5FDE" w:rsidRDefault="009B5FDE" w:rsidP="0034066B">
      <w:pPr>
        <w:rPr>
          <w:rFonts w:ascii="Candara" w:hAnsi="Candara"/>
          <w:b/>
        </w:rPr>
      </w:pPr>
    </w:p>
    <w:p w14:paraId="45A7843C" w14:textId="77777777" w:rsidR="009B5FDE" w:rsidRDefault="009B5FDE" w:rsidP="0034066B">
      <w:pPr>
        <w:rPr>
          <w:rFonts w:ascii="Candara" w:hAnsi="Candara"/>
          <w:b/>
        </w:rPr>
      </w:pPr>
    </w:p>
    <w:p w14:paraId="4688CABD" w14:textId="77777777" w:rsidR="009B5FDE" w:rsidRDefault="009B5FDE" w:rsidP="0034066B">
      <w:pPr>
        <w:rPr>
          <w:rFonts w:ascii="Candara" w:hAnsi="Candara"/>
          <w:b/>
        </w:rPr>
      </w:pPr>
    </w:p>
    <w:p w14:paraId="08D67F71" w14:textId="77777777" w:rsidR="009B5FDE" w:rsidRDefault="009B5FDE" w:rsidP="0034066B">
      <w:pPr>
        <w:rPr>
          <w:rFonts w:ascii="Candara" w:hAnsi="Candara"/>
          <w:b/>
        </w:rPr>
      </w:pPr>
    </w:p>
    <w:p w14:paraId="659938AC" w14:textId="60168342" w:rsidR="00996B26" w:rsidRPr="00696774" w:rsidRDefault="00696774" w:rsidP="0034066B">
      <w:pPr>
        <w:rPr>
          <w:rFonts w:ascii="Candara" w:eastAsiaTheme="minorEastAsia" w:hAnsi="Candara"/>
          <w:b/>
        </w:rPr>
      </w:pPr>
      <w:r>
        <w:rPr>
          <w:rFonts w:ascii="Candara" w:hAnsi="Candara"/>
          <w:b/>
        </w:rPr>
        <w:t>FIGURE LEGENDS</w:t>
      </w:r>
    </w:p>
    <w:p w14:paraId="0CE614D1" w14:textId="77777777" w:rsidR="00C21F4F" w:rsidRDefault="00C56775" w:rsidP="00F77A13">
      <w:pPr>
        <w:rPr>
          <w:rFonts w:ascii="Candara" w:hAnsi="Candara"/>
        </w:rPr>
      </w:pPr>
      <w:r w:rsidRPr="00996B26">
        <w:rPr>
          <w:rFonts w:ascii="Candara" w:hAnsi="Candara"/>
          <w:b/>
        </w:rPr>
        <w:t>Figure-1</w:t>
      </w:r>
      <w:r w:rsidRPr="00C274E9">
        <w:rPr>
          <w:rFonts w:ascii="Candara" w:hAnsi="Candara"/>
        </w:rPr>
        <w:t xml:space="preserve">. </w:t>
      </w:r>
      <w:r w:rsidR="00C274E9" w:rsidRPr="00C274E9">
        <w:rPr>
          <w:rFonts w:ascii="Candara" w:hAnsi="Candara"/>
        </w:rPr>
        <w:t>Dose-response association between TyG and adjusted incidence rates ratio of cardiovascular mortality in all and by body mass index</w:t>
      </w:r>
    </w:p>
    <w:p w14:paraId="77C12F6D" w14:textId="7476C368" w:rsidR="00C56775" w:rsidRPr="00C21F4F" w:rsidRDefault="00C56775" w:rsidP="00F77A13">
      <w:pPr>
        <w:rPr>
          <w:rFonts w:ascii="Candara" w:hAnsi="Candara"/>
          <w:i/>
          <w:sz w:val="22"/>
          <w:szCs w:val="22"/>
        </w:rPr>
      </w:pPr>
    </w:p>
    <w:p w14:paraId="49457371" w14:textId="4F9B0C66" w:rsidR="00C56775" w:rsidRDefault="007A1DED" w:rsidP="00F77A13">
      <w:pPr>
        <w:rPr>
          <w:rFonts w:ascii="Candara" w:hAnsi="Candara"/>
          <w:i/>
          <w:sz w:val="22"/>
          <w:szCs w:val="22"/>
        </w:rPr>
      </w:pPr>
      <w:r w:rsidRPr="00C21F4F">
        <w:rPr>
          <w:rFonts w:ascii="Candara" w:hAnsi="Candara"/>
          <w:i/>
          <w:sz w:val="22"/>
          <w:szCs w:val="22"/>
        </w:rPr>
        <w:t>BMI indicates body mass index. In the left panel, covariables presented in table-1 were adjusted. In the middle and the right panels, covariables presented in table-1 except for body mass index were adjusted.</w:t>
      </w:r>
    </w:p>
    <w:p w14:paraId="4E61A53C" w14:textId="77777777" w:rsidR="00591BF4" w:rsidRDefault="00591BF4" w:rsidP="00F77A13">
      <w:pPr>
        <w:rPr>
          <w:rFonts w:ascii="Candara" w:hAnsi="Candara"/>
          <w:sz w:val="22"/>
          <w:szCs w:val="22"/>
        </w:rPr>
      </w:pPr>
    </w:p>
    <w:p w14:paraId="5895AC57" w14:textId="751DCD97" w:rsidR="00591BF4" w:rsidRDefault="00591BF4" w:rsidP="00F77A13">
      <w:pPr>
        <w:rPr>
          <w:rFonts w:ascii="Candara" w:hAnsi="Candara"/>
          <w:sz w:val="22"/>
          <w:szCs w:val="22"/>
        </w:rPr>
      </w:pPr>
    </w:p>
    <w:p w14:paraId="2B6396B3" w14:textId="3784EC7B" w:rsidR="00696774" w:rsidRDefault="009B5FDE" w:rsidP="00696774">
      <w:pPr>
        <w:rPr>
          <w:rFonts w:ascii="Candara" w:hAnsi="Candara"/>
          <w:b/>
        </w:rPr>
        <w:sectPr w:rsidR="00696774" w:rsidSect="00E74B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bookmarkStart w:id="0" w:name="_GoBack"/>
      <w:r>
        <w:rPr>
          <w:rFonts w:ascii="Candara" w:hAnsi="Candara"/>
          <w:b/>
          <w:noProof/>
        </w:rPr>
        <w:drawing>
          <wp:inline distT="0" distB="0" distL="0" distR="0" wp14:anchorId="0171020E" wp14:editId="5126F322">
            <wp:extent cx="5731510" cy="1910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inal 20190519 rv.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bookmarkEnd w:id="0"/>
    </w:p>
    <w:p w14:paraId="009C7E46" w14:textId="30B503E8" w:rsidR="00696774" w:rsidRPr="00CB3381" w:rsidRDefault="00696774" w:rsidP="00696774">
      <w:pPr>
        <w:rPr>
          <w:rFonts w:ascii="Candara" w:hAnsi="Candara"/>
        </w:rPr>
      </w:pPr>
      <w:r w:rsidRPr="00996B26">
        <w:rPr>
          <w:rFonts w:ascii="Candara" w:hAnsi="Candara"/>
          <w:b/>
        </w:rPr>
        <w:t>Table-1</w:t>
      </w:r>
      <w:r w:rsidRPr="00CB3381">
        <w:rPr>
          <w:rFonts w:ascii="Candara" w:hAnsi="Candara"/>
        </w:rPr>
        <w:t>. Baseline characteristics and their comparisons according to TyG index quartiles.</w:t>
      </w:r>
    </w:p>
    <w:tbl>
      <w:tblPr>
        <w:tblStyle w:val="TableGrid"/>
        <w:tblW w:w="11624" w:type="dxa"/>
        <w:jc w:val="center"/>
        <w:tblLook w:val="04A0" w:firstRow="1" w:lastRow="0" w:firstColumn="1" w:lastColumn="0" w:noHBand="0" w:noVBand="1"/>
      </w:tblPr>
      <w:tblGrid>
        <w:gridCol w:w="3794"/>
        <w:gridCol w:w="1687"/>
        <w:gridCol w:w="1827"/>
        <w:gridCol w:w="1826"/>
        <w:gridCol w:w="1827"/>
        <w:gridCol w:w="663"/>
      </w:tblGrid>
      <w:tr w:rsidR="00696774" w14:paraId="73361721" w14:textId="77777777" w:rsidTr="000C0EE7">
        <w:trPr>
          <w:jc w:val="center"/>
        </w:trPr>
        <w:tc>
          <w:tcPr>
            <w:tcW w:w="3794" w:type="dxa"/>
          </w:tcPr>
          <w:p w14:paraId="0EA4E12E" w14:textId="77777777" w:rsidR="00696774" w:rsidRPr="0047321F" w:rsidRDefault="00696774" w:rsidP="000C0EE7">
            <w:pPr>
              <w:rPr>
                <w:rFonts w:ascii="Candara" w:hAnsi="Candara"/>
                <w:sz w:val="16"/>
                <w:szCs w:val="16"/>
              </w:rPr>
            </w:pPr>
          </w:p>
        </w:tc>
        <w:tc>
          <w:tcPr>
            <w:tcW w:w="1687" w:type="dxa"/>
          </w:tcPr>
          <w:p w14:paraId="665F5975" w14:textId="77777777" w:rsidR="00696774" w:rsidRPr="0047321F" w:rsidRDefault="00696774" w:rsidP="000C0EE7">
            <w:pPr>
              <w:rPr>
                <w:rFonts w:ascii="Candara" w:hAnsi="Candara"/>
                <w:sz w:val="16"/>
                <w:szCs w:val="16"/>
              </w:rPr>
            </w:pPr>
          </w:p>
        </w:tc>
        <w:tc>
          <w:tcPr>
            <w:tcW w:w="1827" w:type="dxa"/>
          </w:tcPr>
          <w:p w14:paraId="72F7C83D" w14:textId="77777777" w:rsidR="00696774" w:rsidRPr="0047321F" w:rsidRDefault="00696774" w:rsidP="000C0EE7">
            <w:pPr>
              <w:rPr>
                <w:rFonts w:ascii="Candara" w:hAnsi="Candara"/>
                <w:sz w:val="16"/>
                <w:szCs w:val="16"/>
              </w:rPr>
            </w:pPr>
          </w:p>
        </w:tc>
        <w:tc>
          <w:tcPr>
            <w:tcW w:w="1826" w:type="dxa"/>
          </w:tcPr>
          <w:p w14:paraId="26C9AF84" w14:textId="77777777" w:rsidR="00696774" w:rsidRPr="0047321F" w:rsidRDefault="00696774" w:rsidP="000C0EE7">
            <w:pPr>
              <w:rPr>
                <w:rFonts w:ascii="Candara" w:hAnsi="Candara"/>
                <w:sz w:val="16"/>
                <w:szCs w:val="16"/>
              </w:rPr>
            </w:pPr>
          </w:p>
        </w:tc>
        <w:tc>
          <w:tcPr>
            <w:tcW w:w="1827" w:type="dxa"/>
          </w:tcPr>
          <w:p w14:paraId="225F2F66" w14:textId="77777777" w:rsidR="00696774" w:rsidRPr="0047321F" w:rsidRDefault="00696774" w:rsidP="000C0EE7">
            <w:pPr>
              <w:rPr>
                <w:rFonts w:ascii="Candara" w:hAnsi="Candara"/>
                <w:sz w:val="16"/>
                <w:szCs w:val="16"/>
              </w:rPr>
            </w:pPr>
          </w:p>
        </w:tc>
        <w:tc>
          <w:tcPr>
            <w:tcW w:w="663" w:type="dxa"/>
          </w:tcPr>
          <w:p w14:paraId="38AA2ABB" w14:textId="77777777" w:rsidR="00696774" w:rsidRPr="0047321F" w:rsidRDefault="00696774" w:rsidP="000C0EE7">
            <w:pPr>
              <w:rPr>
                <w:rFonts w:ascii="Candara" w:hAnsi="Candara"/>
                <w:sz w:val="16"/>
                <w:szCs w:val="16"/>
              </w:rPr>
            </w:pPr>
          </w:p>
        </w:tc>
      </w:tr>
      <w:tr w:rsidR="00696774" w14:paraId="7484DE61" w14:textId="77777777" w:rsidTr="000C0EE7">
        <w:trPr>
          <w:jc w:val="center"/>
        </w:trPr>
        <w:tc>
          <w:tcPr>
            <w:tcW w:w="3794" w:type="dxa"/>
          </w:tcPr>
          <w:p w14:paraId="7D224CF6" w14:textId="77777777" w:rsidR="00696774" w:rsidRPr="0047321F" w:rsidRDefault="00696774" w:rsidP="000C0EE7">
            <w:pPr>
              <w:rPr>
                <w:rFonts w:ascii="Candara" w:hAnsi="Candara"/>
                <w:sz w:val="16"/>
                <w:szCs w:val="16"/>
              </w:rPr>
            </w:pPr>
          </w:p>
        </w:tc>
        <w:tc>
          <w:tcPr>
            <w:tcW w:w="1687" w:type="dxa"/>
          </w:tcPr>
          <w:p w14:paraId="27EF82DD" w14:textId="77777777" w:rsidR="00696774" w:rsidRDefault="00696774" w:rsidP="000C0EE7">
            <w:pPr>
              <w:jc w:val="center"/>
              <w:rPr>
                <w:rFonts w:ascii="Candara" w:hAnsi="Candara"/>
                <w:sz w:val="16"/>
                <w:szCs w:val="16"/>
              </w:rPr>
            </w:pPr>
            <w:r w:rsidRPr="0047321F">
              <w:rPr>
                <w:rFonts w:ascii="Candara" w:hAnsi="Candara"/>
                <w:sz w:val="16"/>
                <w:szCs w:val="16"/>
              </w:rPr>
              <w:t xml:space="preserve">Quartile 1 </w:t>
            </w:r>
          </w:p>
          <w:p w14:paraId="2A7C17C0" w14:textId="77777777" w:rsidR="00696774" w:rsidRPr="0047321F" w:rsidRDefault="00696774" w:rsidP="000C0EE7">
            <w:pPr>
              <w:jc w:val="center"/>
              <w:rPr>
                <w:rFonts w:ascii="Candara" w:hAnsi="Candara"/>
                <w:sz w:val="16"/>
                <w:szCs w:val="16"/>
              </w:rPr>
            </w:pPr>
            <w:r w:rsidRPr="0047321F">
              <w:rPr>
                <w:rFonts w:ascii="Candara" w:hAnsi="Candara"/>
                <w:sz w:val="16"/>
                <w:szCs w:val="16"/>
              </w:rPr>
              <w:t>(&lt;8.10)</w:t>
            </w:r>
          </w:p>
        </w:tc>
        <w:tc>
          <w:tcPr>
            <w:tcW w:w="1827" w:type="dxa"/>
          </w:tcPr>
          <w:p w14:paraId="75A7F4D1" w14:textId="77777777" w:rsidR="00696774" w:rsidRDefault="00696774" w:rsidP="000C0EE7">
            <w:pPr>
              <w:jc w:val="center"/>
              <w:rPr>
                <w:rFonts w:ascii="Candara" w:hAnsi="Candara"/>
                <w:sz w:val="16"/>
                <w:szCs w:val="16"/>
              </w:rPr>
            </w:pPr>
            <w:r w:rsidRPr="0047321F">
              <w:rPr>
                <w:rFonts w:ascii="Candara" w:hAnsi="Candara"/>
                <w:sz w:val="16"/>
                <w:szCs w:val="16"/>
              </w:rPr>
              <w:t xml:space="preserve">Quartile 2 </w:t>
            </w:r>
          </w:p>
          <w:p w14:paraId="4767EE7C" w14:textId="77777777" w:rsidR="00696774" w:rsidRPr="0047321F" w:rsidRDefault="00696774" w:rsidP="000C0EE7">
            <w:pPr>
              <w:jc w:val="center"/>
              <w:rPr>
                <w:rFonts w:ascii="Candara" w:hAnsi="Candara"/>
                <w:sz w:val="16"/>
                <w:szCs w:val="16"/>
              </w:rPr>
            </w:pPr>
            <w:r w:rsidRPr="0047321F">
              <w:rPr>
                <w:rFonts w:ascii="Candara" w:hAnsi="Candara"/>
                <w:sz w:val="16"/>
                <w:szCs w:val="16"/>
              </w:rPr>
              <w:t>(8.10-8.39)</w:t>
            </w:r>
          </w:p>
        </w:tc>
        <w:tc>
          <w:tcPr>
            <w:tcW w:w="1826" w:type="dxa"/>
          </w:tcPr>
          <w:p w14:paraId="7934EEEC" w14:textId="77777777" w:rsidR="00696774" w:rsidRDefault="00696774" w:rsidP="000C0EE7">
            <w:pPr>
              <w:jc w:val="center"/>
              <w:rPr>
                <w:rFonts w:ascii="Candara" w:hAnsi="Candara"/>
                <w:sz w:val="16"/>
                <w:szCs w:val="16"/>
              </w:rPr>
            </w:pPr>
            <w:r w:rsidRPr="0047321F">
              <w:rPr>
                <w:rFonts w:ascii="Candara" w:hAnsi="Candara"/>
                <w:sz w:val="16"/>
                <w:szCs w:val="16"/>
              </w:rPr>
              <w:t xml:space="preserve">Quartile 3 </w:t>
            </w:r>
          </w:p>
          <w:p w14:paraId="7EBED8CE" w14:textId="77777777" w:rsidR="00696774" w:rsidRPr="0047321F" w:rsidRDefault="00696774" w:rsidP="000C0EE7">
            <w:pPr>
              <w:jc w:val="center"/>
              <w:rPr>
                <w:rFonts w:ascii="Candara" w:hAnsi="Candara"/>
                <w:sz w:val="16"/>
                <w:szCs w:val="16"/>
              </w:rPr>
            </w:pPr>
            <w:r w:rsidRPr="0047321F">
              <w:rPr>
                <w:rFonts w:ascii="Candara" w:hAnsi="Candara"/>
                <w:sz w:val="16"/>
                <w:szCs w:val="16"/>
              </w:rPr>
              <w:t>(8.39-8.69)</w:t>
            </w:r>
          </w:p>
        </w:tc>
        <w:tc>
          <w:tcPr>
            <w:tcW w:w="1827" w:type="dxa"/>
          </w:tcPr>
          <w:p w14:paraId="7A904773" w14:textId="77777777" w:rsidR="00696774" w:rsidRDefault="00696774" w:rsidP="000C0EE7">
            <w:pPr>
              <w:jc w:val="center"/>
              <w:rPr>
                <w:rFonts w:ascii="Candara" w:hAnsi="Candara"/>
                <w:sz w:val="16"/>
                <w:szCs w:val="16"/>
              </w:rPr>
            </w:pPr>
            <w:r w:rsidRPr="0047321F">
              <w:rPr>
                <w:rFonts w:ascii="Candara" w:hAnsi="Candara"/>
                <w:sz w:val="16"/>
                <w:szCs w:val="16"/>
              </w:rPr>
              <w:t xml:space="preserve">Quartile 4 </w:t>
            </w:r>
          </w:p>
          <w:p w14:paraId="0C120748" w14:textId="77777777" w:rsidR="00696774" w:rsidRPr="0047321F" w:rsidRDefault="00696774" w:rsidP="000C0EE7">
            <w:pPr>
              <w:jc w:val="center"/>
              <w:rPr>
                <w:rFonts w:ascii="Candara" w:hAnsi="Candara"/>
                <w:sz w:val="16"/>
                <w:szCs w:val="16"/>
              </w:rPr>
            </w:pPr>
            <w:r w:rsidRPr="0047321F">
              <w:rPr>
                <w:rFonts w:ascii="Candara" w:hAnsi="Candara"/>
                <w:sz w:val="16"/>
                <w:szCs w:val="16"/>
              </w:rPr>
              <w:t>(≥8.69)</w:t>
            </w:r>
          </w:p>
        </w:tc>
        <w:tc>
          <w:tcPr>
            <w:tcW w:w="663" w:type="dxa"/>
          </w:tcPr>
          <w:p w14:paraId="2AAE1C6A" w14:textId="77777777" w:rsidR="00696774" w:rsidRPr="0047321F" w:rsidRDefault="00696774" w:rsidP="000C0EE7">
            <w:pPr>
              <w:jc w:val="center"/>
              <w:rPr>
                <w:rFonts w:ascii="Candara" w:hAnsi="Candara"/>
                <w:sz w:val="16"/>
                <w:szCs w:val="16"/>
              </w:rPr>
            </w:pPr>
            <w:r w:rsidRPr="0047321F">
              <w:rPr>
                <w:rFonts w:ascii="Candara" w:hAnsi="Candara"/>
                <w:sz w:val="16"/>
                <w:szCs w:val="16"/>
              </w:rPr>
              <w:t>P</w:t>
            </w:r>
          </w:p>
        </w:tc>
      </w:tr>
      <w:tr w:rsidR="00696774" w14:paraId="234C1FD8" w14:textId="77777777" w:rsidTr="000C0EE7">
        <w:trPr>
          <w:jc w:val="center"/>
        </w:trPr>
        <w:tc>
          <w:tcPr>
            <w:tcW w:w="3794" w:type="dxa"/>
          </w:tcPr>
          <w:p w14:paraId="28542135" w14:textId="77777777" w:rsidR="00696774" w:rsidRPr="0047321F" w:rsidRDefault="00696774" w:rsidP="000C0EE7">
            <w:pPr>
              <w:rPr>
                <w:rFonts w:ascii="Candara" w:hAnsi="Candara"/>
                <w:sz w:val="16"/>
                <w:szCs w:val="16"/>
              </w:rPr>
            </w:pPr>
            <w:r w:rsidRPr="0047321F">
              <w:rPr>
                <w:rFonts w:ascii="Candara" w:hAnsi="Candara"/>
                <w:sz w:val="16"/>
                <w:szCs w:val="16"/>
              </w:rPr>
              <w:t>N</w:t>
            </w:r>
          </w:p>
        </w:tc>
        <w:tc>
          <w:tcPr>
            <w:tcW w:w="1687" w:type="dxa"/>
          </w:tcPr>
          <w:p w14:paraId="3E8AAC5F" w14:textId="77777777" w:rsidR="00696774" w:rsidRPr="0047321F" w:rsidRDefault="00696774" w:rsidP="000C0EE7">
            <w:pPr>
              <w:rPr>
                <w:rFonts w:ascii="Candara" w:hAnsi="Candara"/>
                <w:sz w:val="16"/>
                <w:szCs w:val="16"/>
              </w:rPr>
            </w:pPr>
            <w:r>
              <w:rPr>
                <w:rFonts w:ascii="Candara" w:hAnsi="Candara"/>
                <w:sz w:val="16"/>
                <w:szCs w:val="16"/>
              </w:rPr>
              <w:t>766</w:t>
            </w:r>
          </w:p>
        </w:tc>
        <w:tc>
          <w:tcPr>
            <w:tcW w:w="1827" w:type="dxa"/>
          </w:tcPr>
          <w:p w14:paraId="6903823D" w14:textId="77777777" w:rsidR="00696774" w:rsidRPr="0047321F" w:rsidRDefault="00696774" w:rsidP="000C0EE7">
            <w:pPr>
              <w:rPr>
                <w:rFonts w:ascii="Candara" w:hAnsi="Candara"/>
                <w:sz w:val="16"/>
                <w:szCs w:val="16"/>
              </w:rPr>
            </w:pPr>
            <w:r>
              <w:rPr>
                <w:rFonts w:ascii="Candara" w:hAnsi="Candara"/>
                <w:sz w:val="16"/>
                <w:szCs w:val="16"/>
              </w:rPr>
              <w:t>760</w:t>
            </w:r>
          </w:p>
        </w:tc>
        <w:tc>
          <w:tcPr>
            <w:tcW w:w="1826" w:type="dxa"/>
          </w:tcPr>
          <w:p w14:paraId="46A8542C" w14:textId="77777777" w:rsidR="00696774" w:rsidRPr="0047321F" w:rsidRDefault="00696774" w:rsidP="000C0EE7">
            <w:pPr>
              <w:rPr>
                <w:rFonts w:ascii="Candara" w:hAnsi="Candara"/>
                <w:sz w:val="16"/>
                <w:szCs w:val="16"/>
              </w:rPr>
            </w:pPr>
            <w:r>
              <w:rPr>
                <w:rFonts w:ascii="Candara" w:hAnsi="Candara"/>
                <w:sz w:val="16"/>
                <w:szCs w:val="16"/>
              </w:rPr>
              <w:t>766</w:t>
            </w:r>
          </w:p>
        </w:tc>
        <w:tc>
          <w:tcPr>
            <w:tcW w:w="1827" w:type="dxa"/>
          </w:tcPr>
          <w:p w14:paraId="42B1F90C" w14:textId="77777777" w:rsidR="00696774" w:rsidRPr="0047321F" w:rsidRDefault="00696774" w:rsidP="000C0EE7">
            <w:pPr>
              <w:rPr>
                <w:rFonts w:ascii="Candara" w:hAnsi="Candara"/>
                <w:sz w:val="16"/>
                <w:szCs w:val="16"/>
              </w:rPr>
            </w:pPr>
            <w:r>
              <w:rPr>
                <w:rFonts w:ascii="Candara" w:hAnsi="Candara"/>
                <w:sz w:val="16"/>
                <w:szCs w:val="16"/>
              </w:rPr>
              <w:t>762</w:t>
            </w:r>
          </w:p>
        </w:tc>
        <w:tc>
          <w:tcPr>
            <w:tcW w:w="663" w:type="dxa"/>
          </w:tcPr>
          <w:p w14:paraId="40AC0BC3" w14:textId="77777777" w:rsidR="00696774" w:rsidRPr="0047321F" w:rsidRDefault="00696774" w:rsidP="000C0EE7">
            <w:pPr>
              <w:rPr>
                <w:rFonts w:ascii="Candara" w:hAnsi="Candara"/>
                <w:sz w:val="16"/>
                <w:szCs w:val="16"/>
              </w:rPr>
            </w:pPr>
            <w:r>
              <w:rPr>
                <w:rFonts w:ascii="Candara" w:hAnsi="Candara"/>
                <w:sz w:val="16"/>
                <w:szCs w:val="16"/>
              </w:rPr>
              <w:t>-</w:t>
            </w:r>
          </w:p>
        </w:tc>
      </w:tr>
      <w:tr w:rsidR="00696774" w14:paraId="5834FD25" w14:textId="77777777" w:rsidTr="000C0EE7">
        <w:trPr>
          <w:jc w:val="center"/>
        </w:trPr>
        <w:tc>
          <w:tcPr>
            <w:tcW w:w="3794" w:type="dxa"/>
            <w:vAlign w:val="bottom"/>
          </w:tcPr>
          <w:p w14:paraId="3A6E5971"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Age, years</w:t>
            </w:r>
          </w:p>
        </w:tc>
        <w:tc>
          <w:tcPr>
            <w:tcW w:w="1687" w:type="dxa"/>
          </w:tcPr>
          <w:p w14:paraId="366A11D4" w14:textId="77777777" w:rsidR="00696774" w:rsidRPr="0047321F" w:rsidRDefault="00696774" w:rsidP="000C0EE7">
            <w:pPr>
              <w:rPr>
                <w:rFonts w:ascii="Candara" w:hAnsi="Candara"/>
                <w:sz w:val="16"/>
                <w:szCs w:val="16"/>
              </w:rPr>
            </w:pPr>
            <w:r>
              <w:rPr>
                <w:rFonts w:ascii="Candara" w:hAnsi="Candara"/>
                <w:sz w:val="16"/>
                <w:szCs w:val="16"/>
              </w:rPr>
              <w:t>46 (35 to 56)</w:t>
            </w:r>
          </w:p>
        </w:tc>
        <w:tc>
          <w:tcPr>
            <w:tcW w:w="1827" w:type="dxa"/>
          </w:tcPr>
          <w:p w14:paraId="1E3ABA53" w14:textId="77777777" w:rsidR="00696774" w:rsidRPr="0047321F" w:rsidRDefault="00696774" w:rsidP="000C0EE7">
            <w:pPr>
              <w:rPr>
                <w:rFonts w:ascii="Candara" w:hAnsi="Candara"/>
                <w:sz w:val="16"/>
                <w:szCs w:val="16"/>
              </w:rPr>
            </w:pPr>
            <w:r>
              <w:rPr>
                <w:rFonts w:ascii="Candara" w:hAnsi="Candara"/>
                <w:sz w:val="16"/>
                <w:szCs w:val="16"/>
              </w:rPr>
              <w:t>47 (37 to 56)</w:t>
            </w:r>
          </w:p>
        </w:tc>
        <w:tc>
          <w:tcPr>
            <w:tcW w:w="1826" w:type="dxa"/>
          </w:tcPr>
          <w:p w14:paraId="4E0AC07E" w14:textId="77777777" w:rsidR="00696774" w:rsidRPr="0047321F" w:rsidRDefault="00696774" w:rsidP="000C0EE7">
            <w:pPr>
              <w:rPr>
                <w:rFonts w:ascii="Candara" w:hAnsi="Candara"/>
                <w:sz w:val="16"/>
                <w:szCs w:val="16"/>
              </w:rPr>
            </w:pPr>
            <w:r>
              <w:rPr>
                <w:rFonts w:ascii="Candara" w:hAnsi="Candara"/>
                <w:sz w:val="16"/>
                <w:szCs w:val="16"/>
              </w:rPr>
              <w:t>48 (39 to 61)</w:t>
            </w:r>
          </w:p>
        </w:tc>
        <w:tc>
          <w:tcPr>
            <w:tcW w:w="1827" w:type="dxa"/>
          </w:tcPr>
          <w:p w14:paraId="0D878069" w14:textId="77777777" w:rsidR="00696774" w:rsidRPr="0047321F" w:rsidRDefault="00696774" w:rsidP="000C0EE7">
            <w:pPr>
              <w:rPr>
                <w:rFonts w:ascii="Candara" w:hAnsi="Candara"/>
                <w:sz w:val="16"/>
                <w:szCs w:val="16"/>
              </w:rPr>
            </w:pPr>
            <w:r>
              <w:rPr>
                <w:rFonts w:ascii="Candara" w:hAnsi="Candara"/>
                <w:sz w:val="16"/>
                <w:szCs w:val="16"/>
              </w:rPr>
              <w:t>48 (39 to 60)</w:t>
            </w:r>
          </w:p>
        </w:tc>
        <w:tc>
          <w:tcPr>
            <w:tcW w:w="663" w:type="dxa"/>
          </w:tcPr>
          <w:p w14:paraId="2255FF6F" w14:textId="77777777" w:rsidR="00696774" w:rsidRPr="0047321F" w:rsidRDefault="00696774" w:rsidP="000C0EE7">
            <w:pPr>
              <w:rPr>
                <w:rFonts w:ascii="Candara" w:hAnsi="Candara"/>
                <w:sz w:val="16"/>
                <w:szCs w:val="16"/>
              </w:rPr>
            </w:pPr>
            <w:r>
              <w:rPr>
                <w:rFonts w:ascii="Candara" w:hAnsi="Candara"/>
                <w:sz w:val="16"/>
                <w:szCs w:val="16"/>
              </w:rPr>
              <w:t>0.2356</w:t>
            </w:r>
          </w:p>
        </w:tc>
      </w:tr>
      <w:tr w:rsidR="00696774" w14:paraId="2C1D06D7" w14:textId="77777777" w:rsidTr="000C0EE7">
        <w:trPr>
          <w:jc w:val="center"/>
        </w:trPr>
        <w:tc>
          <w:tcPr>
            <w:tcW w:w="3794" w:type="dxa"/>
            <w:vAlign w:val="bottom"/>
          </w:tcPr>
          <w:p w14:paraId="03E05AA6" w14:textId="77777777" w:rsidR="00696774" w:rsidRPr="0047321F" w:rsidRDefault="00696774" w:rsidP="000C0EE7">
            <w:pPr>
              <w:rPr>
                <w:rFonts w:ascii="Candara" w:hAnsi="Candara"/>
                <w:color w:val="000000"/>
                <w:sz w:val="16"/>
                <w:szCs w:val="16"/>
              </w:rPr>
            </w:pPr>
            <w:r>
              <w:rPr>
                <w:rFonts w:ascii="Candara" w:hAnsi="Candara"/>
                <w:color w:val="000000"/>
                <w:sz w:val="16"/>
                <w:szCs w:val="16"/>
              </w:rPr>
              <w:t>Male gender, n (%)</w:t>
            </w:r>
          </w:p>
        </w:tc>
        <w:tc>
          <w:tcPr>
            <w:tcW w:w="1687" w:type="dxa"/>
            <w:vAlign w:val="bottom"/>
          </w:tcPr>
          <w:p w14:paraId="51023C7D" w14:textId="77777777" w:rsidR="00696774" w:rsidRPr="00E126B3" w:rsidRDefault="00696774" w:rsidP="000C0EE7">
            <w:pPr>
              <w:rPr>
                <w:rFonts w:ascii="Candara" w:hAnsi="Candara"/>
                <w:sz w:val="16"/>
                <w:szCs w:val="16"/>
              </w:rPr>
            </w:pPr>
            <w:r w:rsidRPr="006B7C2C">
              <w:rPr>
                <w:rFonts w:ascii="Candara" w:hAnsi="Candara"/>
                <w:sz w:val="16"/>
                <w:szCs w:val="16"/>
              </w:rPr>
              <w:t>502 (65.5)</w:t>
            </w:r>
          </w:p>
        </w:tc>
        <w:tc>
          <w:tcPr>
            <w:tcW w:w="1827" w:type="dxa"/>
            <w:vAlign w:val="bottom"/>
          </w:tcPr>
          <w:p w14:paraId="5DD76B5D" w14:textId="77777777" w:rsidR="00696774" w:rsidRDefault="00696774" w:rsidP="000C0EE7">
            <w:pPr>
              <w:rPr>
                <w:rFonts w:ascii="Candara" w:hAnsi="Candara"/>
                <w:sz w:val="16"/>
                <w:szCs w:val="16"/>
              </w:rPr>
            </w:pPr>
            <w:r w:rsidRPr="006B7C2C">
              <w:rPr>
                <w:rFonts w:ascii="Candara" w:hAnsi="Candara"/>
                <w:sz w:val="16"/>
                <w:szCs w:val="16"/>
              </w:rPr>
              <w:t>419 (55.1)</w:t>
            </w:r>
          </w:p>
        </w:tc>
        <w:tc>
          <w:tcPr>
            <w:tcW w:w="1826" w:type="dxa"/>
            <w:vAlign w:val="bottom"/>
          </w:tcPr>
          <w:p w14:paraId="2C3EB477" w14:textId="77777777" w:rsidR="00696774" w:rsidRDefault="00696774" w:rsidP="000C0EE7">
            <w:pPr>
              <w:rPr>
                <w:rFonts w:ascii="Candara" w:hAnsi="Candara"/>
                <w:sz w:val="16"/>
                <w:szCs w:val="16"/>
              </w:rPr>
            </w:pPr>
            <w:r w:rsidRPr="006B7C2C">
              <w:rPr>
                <w:rFonts w:ascii="Candara" w:hAnsi="Candara"/>
                <w:sz w:val="16"/>
                <w:szCs w:val="16"/>
              </w:rPr>
              <w:t>432 (56.4)</w:t>
            </w:r>
          </w:p>
        </w:tc>
        <w:tc>
          <w:tcPr>
            <w:tcW w:w="1827" w:type="dxa"/>
            <w:vAlign w:val="bottom"/>
          </w:tcPr>
          <w:p w14:paraId="7C9DFF5C" w14:textId="77777777" w:rsidR="00696774" w:rsidRDefault="00696774" w:rsidP="000C0EE7">
            <w:pPr>
              <w:rPr>
                <w:rFonts w:ascii="Candara" w:hAnsi="Candara"/>
                <w:sz w:val="16"/>
                <w:szCs w:val="16"/>
              </w:rPr>
            </w:pPr>
            <w:r w:rsidRPr="006B7C2C">
              <w:rPr>
                <w:rFonts w:ascii="Candara" w:hAnsi="Candara"/>
                <w:sz w:val="16"/>
                <w:szCs w:val="16"/>
              </w:rPr>
              <w:t>437 (57.3)</w:t>
            </w:r>
          </w:p>
        </w:tc>
        <w:tc>
          <w:tcPr>
            <w:tcW w:w="663" w:type="dxa"/>
          </w:tcPr>
          <w:p w14:paraId="545A6D39"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7EC7C7B8" w14:textId="77777777" w:rsidTr="000C0EE7">
        <w:trPr>
          <w:jc w:val="center"/>
        </w:trPr>
        <w:tc>
          <w:tcPr>
            <w:tcW w:w="3794" w:type="dxa"/>
            <w:vAlign w:val="bottom"/>
          </w:tcPr>
          <w:p w14:paraId="709C257E"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Haemoglobin, g/L</w:t>
            </w:r>
          </w:p>
        </w:tc>
        <w:tc>
          <w:tcPr>
            <w:tcW w:w="1687" w:type="dxa"/>
          </w:tcPr>
          <w:p w14:paraId="3157463D" w14:textId="77777777" w:rsidR="00696774" w:rsidRPr="00E126B3" w:rsidRDefault="00696774" w:rsidP="000C0EE7">
            <w:pPr>
              <w:rPr>
                <w:rFonts w:ascii="Candara" w:hAnsi="Candara"/>
                <w:sz w:val="16"/>
                <w:szCs w:val="16"/>
              </w:rPr>
            </w:pPr>
            <w:r w:rsidRPr="00E126B3">
              <w:rPr>
                <w:rFonts w:ascii="Candara" w:hAnsi="Candara"/>
                <w:sz w:val="16"/>
                <w:szCs w:val="16"/>
              </w:rPr>
              <w:t>88.7 (74.0 to 103.0)</w:t>
            </w:r>
          </w:p>
        </w:tc>
        <w:tc>
          <w:tcPr>
            <w:tcW w:w="1827" w:type="dxa"/>
          </w:tcPr>
          <w:p w14:paraId="7C2E688D" w14:textId="77777777" w:rsidR="00696774" w:rsidRPr="0047321F" w:rsidRDefault="00696774" w:rsidP="000C0EE7">
            <w:pPr>
              <w:rPr>
                <w:rFonts w:ascii="Candara" w:hAnsi="Candara"/>
                <w:sz w:val="16"/>
                <w:szCs w:val="16"/>
              </w:rPr>
            </w:pPr>
            <w:r>
              <w:rPr>
                <w:rFonts w:ascii="Candara" w:hAnsi="Candara"/>
                <w:sz w:val="16"/>
                <w:szCs w:val="16"/>
              </w:rPr>
              <w:t>93.0 (80.0 to 102.0)</w:t>
            </w:r>
          </w:p>
        </w:tc>
        <w:tc>
          <w:tcPr>
            <w:tcW w:w="1826" w:type="dxa"/>
          </w:tcPr>
          <w:p w14:paraId="1B6DD3A0" w14:textId="77777777" w:rsidR="00696774" w:rsidRPr="0047321F" w:rsidRDefault="00696774" w:rsidP="000C0EE7">
            <w:pPr>
              <w:rPr>
                <w:rFonts w:ascii="Candara" w:hAnsi="Candara"/>
                <w:sz w:val="16"/>
                <w:szCs w:val="16"/>
              </w:rPr>
            </w:pPr>
            <w:r>
              <w:rPr>
                <w:rFonts w:ascii="Candara" w:hAnsi="Candara"/>
                <w:sz w:val="16"/>
                <w:szCs w:val="16"/>
              </w:rPr>
              <w:t>95.0 (81.0 to 107.0)</w:t>
            </w:r>
          </w:p>
        </w:tc>
        <w:tc>
          <w:tcPr>
            <w:tcW w:w="1827" w:type="dxa"/>
          </w:tcPr>
          <w:p w14:paraId="5F5C51E7" w14:textId="77777777" w:rsidR="00696774" w:rsidRPr="0047321F" w:rsidRDefault="00696774" w:rsidP="000C0EE7">
            <w:pPr>
              <w:rPr>
                <w:rFonts w:ascii="Candara" w:hAnsi="Candara"/>
                <w:sz w:val="16"/>
                <w:szCs w:val="16"/>
              </w:rPr>
            </w:pPr>
            <w:r>
              <w:rPr>
                <w:rFonts w:ascii="Candara" w:hAnsi="Candara"/>
                <w:sz w:val="16"/>
                <w:szCs w:val="16"/>
              </w:rPr>
              <w:t>94.0 (81.0 to 108.0)</w:t>
            </w:r>
          </w:p>
        </w:tc>
        <w:tc>
          <w:tcPr>
            <w:tcW w:w="663" w:type="dxa"/>
          </w:tcPr>
          <w:p w14:paraId="73BEEE45"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67905240" w14:textId="77777777" w:rsidTr="000C0EE7">
        <w:trPr>
          <w:jc w:val="center"/>
        </w:trPr>
        <w:tc>
          <w:tcPr>
            <w:tcW w:w="3794" w:type="dxa"/>
            <w:vAlign w:val="bottom"/>
          </w:tcPr>
          <w:p w14:paraId="5145EB62"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Packed cell volume</w:t>
            </w:r>
            <w:r w:rsidRPr="0047321F">
              <w:rPr>
                <w:rStyle w:val="apple-converted-space"/>
                <w:rFonts w:ascii="Candara" w:hAnsi="Candara" w:cs="Arial"/>
                <w:color w:val="545454"/>
                <w:sz w:val="16"/>
                <w:szCs w:val="16"/>
                <w:shd w:val="clear" w:color="auto" w:fill="FFFFFF"/>
              </w:rPr>
              <w:t> </w:t>
            </w:r>
          </w:p>
        </w:tc>
        <w:tc>
          <w:tcPr>
            <w:tcW w:w="1687" w:type="dxa"/>
          </w:tcPr>
          <w:p w14:paraId="0263ED17" w14:textId="77777777" w:rsidR="00696774" w:rsidRPr="00E126B3" w:rsidRDefault="00696774" w:rsidP="000C0EE7">
            <w:pPr>
              <w:rPr>
                <w:rFonts w:ascii="Candara" w:hAnsi="Candara"/>
                <w:sz w:val="16"/>
                <w:szCs w:val="16"/>
              </w:rPr>
            </w:pPr>
            <w:r w:rsidRPr="00E126B3">
              <w:rPr>
                <w:rFonts w:ascii="Candara" w:hAnsi="Candara"/>
                <w:sz w:val="16"/>
                <w:szCs w:val="16"/>
              </w:rPr>
              <w:t>19.0 (1.7 to 28.0)</w:t>
            </w:r>
          </w:p>
        </w:tc>
        <w:tc>
          <w:tcPr>
            <w:tcW w:w="1827" w:type="dxa"/>
          </w:tcPr>
          <w:p w14:paraId="4E8B40B4" w14:textId="77777777" w:rsidR="00696774" w:rsidRPr="0047321F" w:rsidRDefault="00696774" w:rsidP="000C0EE7">
            <w:pPr>
              <w:rPr>
                <w:rFonts w:ascii="Candara" w:hAnsi="Candara"/>
                <w:sz w:val="16"/>
                <w:szCs w:val="16"/>
              </w:rPr>
            </w:pPr>
            <w:r>
              <w:rPr>
                <w:rFonts w:ascii="Candara" w:hAnsi="Candara"/>
                <w:sz w:val="16"/>
                <w:szCs w:val="16"/>
              </w:rPr>
              <w:t>0.3 (0.2 to 25.1)</w:t>
            </w:r>
          </w:p>
        </w:tc>
        <w:tc>
          <w:tcPr>
            <w:tcW w:w="1826" w:type="dxa"/>
          </w:tcPr>
          <w:p w14:paraId="4F3E1FD2" w14:textId="77777777" w:rsidR="00696774" w:rsidRPr="0047321F" w:rsidRDefault="00696774" w:rsidP="000C0EE7">
            <w:pPr>
              <w:rPr>
                <w:rFonts w:ascii="Candara" w:hAnsi="Candara"/>
                <w:sz w:val="16"/>
                <w:szCs w:val="16"/>
              </w:rPr>
            </w:pPr>
            <w:r>
              <w:rPr>
                <w:rFonts w:ascii="Candara" w:hAnsi="Candara"/>
                <w:sz w:val="16"/>
                <w:szCs w:val="16"/>
              </w:rPr>
              <w:t>14.5 (0.3 to 28.5)</w:t>
            </w:r>
          </w:p>
        </w:tc>
        <w:tc>
          <w:tcPr>
            <w:tcW w:w="1827" w:type="dxa"/>
          </w:tcPr>
          <w:p w14:paraId="1D579162" w14:textId="77777777" w:rsidR="00696774" w:rsidRPr="0047321F" w:rsidRDefault="00696774" w:rsidP="000C0EE7">
            <w:pPr>
              <w:rPr>
                <w:rFonts w:ascii="Candara" w:hAnsi="Candara"/>
                <w:sz w:val="16"/>
                <w:szCs w:val="16"/>
              </w:rPr>
            </w:pPr>
            <w:r>
              <w:rPr>
                <w:rFonts w:ascii="Candara" w:hAnsi="Candara"/>
                <w:sz w:val="16"/>
                <w:szCs w:val="16"/>
              </w:rPr>
              <w:t>20.5 (0.3 to 30.1)</w:t>
            </w:r>
          </w:p>
        </w:tc>
        <w:tc>
          <w:tcPr>
            <w:tcW w:w="663" w:type="dxa"/>
          </w:tcPr>
          <w:p w14:paraId="43712B20"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09F417DC" w14:textId="77777777" w:rsidTr="000C0EE7">
        <w:trPr>
          <w:jc w:val="center"/>
        </w:trPr>
        <w:tc>
          <w:tcPr>
            <w:tcW w:w="3794" w:type="dxa"/>
            <w:vAlign w:val="bottom"/>
          </w:tcPr>
          <w:p w14:paraId="26B0431C"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Reticulocyte</w:t>
            </w:r>
            <w:r>
              <w:rPr>
                <w:rFonts w:ascii="Candara" w:hAnsi="Candara"/>
                <w:color w:val="000000"/>
                <w:sz w:val="16"/>
                <w:szCs w:val="16"/>
              </w:rPr>
              <w:t>s</w:t>
            </w:r>
            <w:r w:rsidRPr="0047321F">
              <w:rPr>
                <w:rFonts w:ascii="Candara" w:hAnsi="Candara"/>
                <w:color w:val="000000"/>
                <w:sz w:val="16"/>
                <w:szCs w:val="16"/>
              </w:rPr>
              <w:t xml:space="preserve">, % </w:t>
            </w:r>
          </w:p>
        </w:tc>
        <w:tc>
          <w:tcPr>
            <w:tcW w:w="1687" w:type="dxa"/>
          </w:tcPr>
          <w:p w14:paraId="530B4530" w14:textId="77777777" w:rsidR="00696774" w:rsidRPr="00E126B3" w:rsidRDefault="00696774" w:rsidP="000C0EE7">
            <w:pPr>
              <w:rPr>
                <w:rFonts w:ascii="Candara" w:hAnsi="Candara"/>
                <w:sz w:val="16"/>
                <w:szCs w:val="16"/>
              </w:rPr>
            </w:pPr>
            <w:r>
              <w:rPr>
                <w:rFonts w:ascii="Candara" w:hAnsi="Candara"/>
                <w:sz w:val="16"/>
                <w:szCs w:val="16"/>
              </w:rPr>
              <w:t>34.0 (2.8 to 58.0)</w:t>
            </w:r>
          </w:p>
        </w:tc>
        <w:tc>
          <w:tcPr>
            <w:tcW w:w="1827" w:type="dxa"/>
          </w:tcPr>
          <w:p w14:paraId="726A2F3B" w14:textId="77777777" w:rsidR="00696774" w:rsidRPr="0047321F" w:rsidRDefault="00696774" w:rsidP="000C0EE7">
            <w:pPr>
              <w:rPr>
                <w:rFonts w:ascii="Candara" w:hAnsi="Candara"/>
                <w:sz w:val="16"/>
                <w:szCs w:val="16"/>
              </w:rPr>
            </w:pPr>
            <w:r>
              <w:rPr>
                <w:rFonts w:ascii="Candara" w:hAnsi="Candara"/>
                <w:sz w:val="16"/>
                <w:szCs w:val="16"/>
              </w:rPr>
              <w:t>58.0 (31.6 to 85.0)</w:t>
            </w:r>
          </w:p>
        </w:tc>
        <w:tc>
          <w:tcPr>
            <w:tcW w:w="1826" w:type="dxa"/>
          </w:tcPr>
          <w:p w14:paraId="6EA2E0BE" w14:textId="77777777" w:rsidR="00696774" w:rsidRPr="0047321F" w:rsidRDefault="00696774" w:rsidP="000C0EE7">
            <w:pPr>
              <w:rPr>
                <w:rFonts w:ascii="Candara" w:hAnsi="Candara"/>
                <w:sz w:val="16"/>
                <w:szCs w:val="16"/>
              </w:rPr>
            </w:pPr>
            <w:r>
              <w:rPr>
                <w:rFonts w:ascii="Candara" w:hAnsi="Candara"/>
                <w:sz w:val="16"/>
                <w:szCs w:val="16"/>
              </w:rPr>
              <w:t>49.5 (21.0 to 83.5)</w:t>
            </w:r>
          </w:p>
        </w:tc>
        <w:tc>
          <w:tcPr>
            <w:tcW w:w="1827" w:type="dxa"/>
          </w:tcPr>
          <w:p w14:paraId="7994D208" w14:textId="77777777" w:rsidR="00696774" w:rsidRPr="0047321F" w:rsidRDefault="00696774" w:rsidP="000C0EE7">
            <w:pPr>
              <w:rPr>
                <w:rFonts w:ascii="Candara" w:hAnsi="Candara"/>
                <w:sz w:val="16"/>
                <w:szCs w:val="16"/>
              </w:rPr>
            </w:pPr>
            <w:r>
              <w:rPr>
                <w:rFonts w:ascii="Candara" w:hAnsi="Candara"/>
                <w:sz w:val="16"/>
                <w:szCs w:val="16"/>
              </w:rPr>
              <w:t>55.0 (24.1 to 79.0)</w:t>
            </w:r>
          </w:p>
        </w:tc>
        <w:tc>
          <w:tcPr>
            <w:tcW w:w="663" w:type="dxa"/>
          </w:tcPr>
          <w:p w14:paraId="5D4A643B"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00F84C8B" w14:textId="77777777" w:rsidTr="000C0EE7">
        <w:trPr>
          <w:jc w:val="center"/>
        </w:trPr>
        <w:tc>
          <w:tcPr>
            <w:tcW w:w="3794" w:type="dxa"/>
            <w:vAlign w:val="bottom"/>
          </w:tcPr>
          <w:p w14:paraId="74440007"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Phosph</w:t>
            </w:r>
            <w:r>
              <w:rPr>
                <w:rFonts w:ascii="Candara" w:hAnsi="Candara"/>
                <w:color w:val="000000"/>
                <w:sz w:val="16"/>
                <w:szCs w:val="16"/>
              </w:rPr>
              <w:t>ate</w:t>
            </w:r>
            <w:r w:rsidRPr="0047321F">
              <w:rPr>
                <w:rFonts w:ascii="Candara" w:hAnsi="Candara"/>
                <w:color w:val="000000"/>
                <w:sz w:val="16"/>
                <w:szCs w:val="16"/>
              </w:rPr>
              <w:t>, mg/dl</w:t>
            </w:r>
          </w:p>
        </w:tc>
        <w:tc>
          <w:tcPr>
            <w:tcW w:w="1687" w:type="dxa"/>
          </w:tcPr>
          <w:p w14:paraId="6FC1F3B7" w14:textId="77777777" w:rsidR="00696774" w:rsidRPr="00E126B3" w:rsidRDefault="00696774" w:rsidP="000C0EE7">
            <w:pPr>
              <w:rPr>
                <w:rFonts w:ascii="Candara" w:hAnsi="Candara"/>
                <w:sz w:val="16"/>
                <w:szCs w:val="16"/>
              </w:rPr>
            </w:pPr>
            <w:r w:rsidRPr="00E126B3">
              <w:rPr>
                <w:rFonts w:ascii="Candara" w:hAnsi="Candara"/>
                <w:sz w:val="16"/>
                <w:szCs w:val="16"/>
              </w:rPr>
              <w:t>1.7 (1.4 to 2.1)</w:t>
            </w:r>
          </w:p>
        </w:tc>
        <w:tc>
          <w:tcPr>
            <w:tcW w:w="1827" w:type="dxa"/>
          </w:tcPr>
          <w:p w14:paraId="7EAFB853" w14:textId="77777777" w:rsidR="00696774" w:rsidRPr="0047321F" w:rsidRDefault="00696774" w:rsidP="000C0EE7">
            <w:pPr>
              <w:rPr>
                <w:rFonts w:ascii="Candara" w:hAnsi="Candara"/>
                <w:sz w:val="16"/>
                <w:szCs w:val="16"/>
              </w:rPr>
            </w:pPr>
            <w:r>
              <w:rPr>
                <w:rFonts w:ascii="Candara" w:hAnsi="Candara"/>
                <w:sz w:val="16"/>
                <w:szCs w:val="16"/>
              </w:rPr>
              <w:t>1.8 (1.4 to 2.1)</w:t>
            </w:r>
          </w:p>
        </w:tc>
        <w:tc>
          <w:tcPr>
            <w:tcW w:w="1826" w:type="dxa"/>
          </w:tcPr>
          <w:p w14:paraId="363F4A4E" w14:textId="77777777" w:rsidR="00696774" w:rsidRPr="0047321F" w:rsidRDefault="00696774" w:rsidP="000C0EE7">
            <w:pPr>
              <w:rPr>
                <w:rFonts w:ascii="Candara" w:hAnsi="Candara"/>
                <w:sz w:val="16"/>
                <w:szCs w:val="16"/>
              </w:rPr>
            </w:pPr>
            <w:r>
              <w:rPr>
                <w:rFonts w:ascii="Candara" w:hAnsi="Candara"/>
                <w:sz w:val="16"/>
                <w:szCs w:val="16"/>
              </w:rPr>
              <w:t>1.7 (1.4 to 2.0)</w:t>
            </w:r>
          </w:p>
        </w:tc>
        <w:tc>
          <w:tcPr>
            <w:tcW w:w="1827" w:type="dxa"/>
          </w:tcPr>
          <w:p w14:paraId="35125972" w14:textId="77777777" w:rsidR="00696774" w:rsidRPr="0047321F" w:rsidRDefault="00696774" w:rsidP="000C0EE7">
            <w:pPr>
              <w:rPr>
                <w:rFonts w:ascii="Candara" w:hAnsi="Candara"/>
                <w:sz w:val="16"/>
                <w:szCs w:val="16"/>
              </w:rPr>
            </w:pPr>
            <w:r>
              <w:rPr>
                <w:rFonts w:ascii="Candara" w:hAnsi="Candara"/>
                <w:sz w:val="16"/>
                <w:szCs w:val="16"/>
              </w:rPr>
              <w:t>1.7 (1.4 to 2.1)</w:t>
            </w:r>
          </w:p>
        </w:tc>
        <w:tc>
          <w:tcPr>
            <w:tcW w:w="663" w:type="dxa"/>
          </w:tcPr>
          <w:p w14:paraId="1BFE2C5A"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4681E741" w14:textId="77777777" w:rsidTr="000C0EE7">
        <w:trPr>
          <w:jc w:val="center"/>
        </w:trPr>
        <w:tc>
          <w:tcPr>
            <w:tcW w:w="3794" w:type="dxa"/>
            <w:vAlign w:val="bottom"/>
          </w:tcPr>
          <w:p w14:paraId="509D2DC9"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Albumin, g/L</w:t>
            </w:r>
          </w:p>
        </w:tc>
        <w:tc>
          <w:tcPr>
            <w:tcW w:w="1687" w:type="dxa"/>
          </w:tcPr>
          <w:p w14:paraId="38F26830" w14:textId="77777777" w:rsidR="00696774" w:rsidRPr="00E126B3" w:rsidRDefault="00696774" w:rsidP="000C0EE7">
            <w:pPr>
              <w:rPr>
                <w:rFonts w:ascii="Candara" w:hAnsi="Candara"/>
                <w:sz w:val="16"/>
                <w:szCs w:val="16"/>
              </w:rPr>
            </w:pPr>
            <w:r w:rsidRPr="00E126B3">
              <w:rPr>
                <w:rFonts w:ascii="Candara" w:hAnsi="Candara"/>
                <w:sz w:val="16"/>
                <w:szCs w:val="16"/>
              </w:rPr>
              <w:t>33.2 (29.5 to 36.5)</w:t>
            </w:r>
          </w:p>
        </w:tc>
        <w:tc>
          <w:tcPr>
            <w:tcW w:w="1827" w:type="dxa"/>
          </w:tcPr>
          <w:p w14:paraId="4693DB85" w14:textId="77777777" w:rsidR="00696774" w:rsidRPr="0047321F" w:rsidRDefault="00696774" w:rsidP="000C0EE7">
            <w:pPr>
              <w:rPr>
                <w:rFonts w:ascii="Candara" w:hAnsi="Candara"/>
                <w:sz w:val="16"/>
                <w:szCs w:val="16"/>
              </w:rPr>
            </w:pPr>
            <w:r>
              <w:rPr>
                <w:rFonts w:ascii="Candara" w:hAnsi="Candara"/>
                <w:sz w:val="16"/>
                <w:szCs w:val="16"/>
              </w:rPr>
              <w:t>32.5 (30.1 to 36.8)</w:t>
            </w:r>
          </w:p>
        </w:tc>
        <w:tc>
          <w:tcPr>
            <w:tcW w:w="1826" w:type="dxa"/>
          </w:tcPr>
          <w:p w14:paraId="31594E3D" w14:textId="77777777" w:rsidR="00696774" w:rsidRPr="0047321F" w:rsidRDefault="00696774" w:rsidP="000C0EE7">
            <w:pPr>
              <w:rPr>
                <w:rFonts w:ascii="Candara" w:hAnsi="Candara"/>
                <w:sz w:val="16"/>
                <w:szCs w:val="16"/>
              </w:rPr>
            </w:pPr>
            <w:r>
              <w:rPr>
                <w:rFonts w:ascii="Candara" w:hAnsi="Candara"/>
                <w:sz w:val="16"/>
                <w:szCs w:val="16"/>
              </w:rPr>
              <w:t>34.0 (30.2 to 37.0)</w:t>
            </w:r>
          </w:p>
        </w:tc>
        <w:tc>
          <w:tcPr>
            <w:tcW w:w="1827" w:type="dxa"/>
          </w:tcPr>
          <w:p w14:paraId="4A1B5A98" w14:textId="77777777" w:rsidR="00696774" w:rsidRPr="0047321F" w:rsidRDefault="00696774" w:rsidP="000C0EE7">
            <w:pPr>
              <w:rPr>
                <w:rFonts w:ascii="Candara" w:hAnsi="Candara"/>
                <w:sz w:val="16"/>
                <w:szCs w:val="16"/>
              </w:rPr>
            </w:pPr>
            <w:r>
              <w:rPr>
                <w:rFonts w:ascii="Candara" w:hAnsi="Candara"/>
                <w:sz w:val="16"/>
                <w:szCs w:val="16"/>
              </w:rPr>
              <w:t>34.2 (30.9 to 38.7)</w:t>
            </w:r>
          </w:p>
        </w:tc>
        <w:tc>
          <w:tcPr>
            <w:tcW w:w="663" w:type="dxa"/>
          </w:tcPr>
          <w:p w14:paraId="166F4A4B"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7F809188" w14:textId="77777777" w:rsidTr="000C0EE7">
        <w:trPr>
          <w:jc w:val="center"/>
        </w:trPr>
        <w:tc>
          <w:tcPr>
            <w:tcW w:w="3794" w:type="dxa"/>
            <w:vAlign w:val="bottom"/>
          </w:tcPr>
          <w:p w14:paraId="00917173" w14:textId="77777777" w:rsidR="00696774" w:rsidRPr="0047321F" w:rsidRDefault="00696774" w:rsidP="000C0EE7">
            <w:pPr>
              <w:rPr>
                <w:rFonts w:ascii="Candara" w:hAnsi="Candara"/>
                <w:sz w:val="16"/>
                <w:szCs w:val="16"/>
              </w:rPr>
            </w:pPr>
            <w:r w:rsidRPr="0047321F">
              <w:rPr>
                <w:rFonts w:ascii="Candara" w:hAnsi="Candara"/>
                <w:color w:val="000000"/>
                <w:sz w:val="16"/>
                <w:szCs w:val="16"/>
              </w:rPr>
              <w:t>Total iron binding capacity , μmol/L</w:t>
            </w:r>
          </w:p>
        </w:tc>
        <w:tc>
          <w:tcPr>
            <w:tcW w:w="1687" w:type="dxa"/>
          </w:tcPr>
          <w:p w14:paraId="66B9EB2B" w14:textId="77777777" w:rsidR="00696774" w:rsidRPr="00E126B3" w:rsidRDefault="00696774" w:rsidP="000C0EE7">
            <w:pPr>
              <w:rPr>
                <w:rFonts w:ascii="Candara" w:hAnsi="Candara"/>
                <w:sz w:val="16"/>
                <w:szCs w:val="16"/>
              </w:rPr>
            </w:pPr>
            <w:r w:rsidRPr="00E126B3">
              <w:rPr>
                <w:rFonts w:ascii="Candara" w:hAnsi="Candara"/>
                <w:sz w:val="16"/>
                <w:szCs w:val="16"/>
              </w:rPr>
              <w:t>42.2 (33.5 to 52.0)</w:t>
            </w:r>
          </w:p>
        </w:tc>
        <w:tc>
          <w:tcPr>
            <w:tcW w:w="1827" w:type="dxa"/>
          </w:tcPr>
          <w:p w14:paraId="057FB8C7" w14:textId="77777777" w:rsidR="00696774" w:rsidRPr="0047321F" w:rsidRDefault="00696774" w:rsidP="000C0EE7">
            <w:pPr>
              <w:rPr>
                <w:rFonts w:ascii="Candara" w:hAnsi="Candara"/>
                <w:sz w:val="16"/>
                <w:szCs w:val="16"/>
              </w:rPr>
            </w:pPr>
            <w:r>
              <w:rPr>
                <w:rFonts w:ascii="Candara" w:hAnsi="Candara"/>
                <w:sz w:val="16"/>
                <w:szCs w:val="16"/>
              </w:rPr>
              <w:t>52.0 (40.9 to 52.0)</w:t>
            </w:r>
          </w:p>
        </w:tc>
        <w:tc>
          <w:tcPr>
            <w:tcW w:w="1826" w:type="dxa"/>
          </w:tcPr>
          <w:p w14:paraId="0FE0554E" w14:textId="77777777" w:rsidR="00696774" w:rsidRPr="0047321F" w:rsidRDefault="00696774" w:rsidP="000C0EE7">
            <w:pPr>
              <w:rPr>
                <w:rFonts w:ascii="Candara" w:hAnsi="Candara"/>
                <w:sz w:val="16"/>
                <w:szCs w:val="16"/>
              </w:rPr>
            </w:pPr>
            <w:r>
              <w:rPr>
                <w:rFonts w:ascii="Candara" w:hAnsi="Candara"/>
                <w:sz w:val="16"/>
                <w:szCs w:val="16"/>
              </w:rPr>
              <w:t>52.0 (41.4 to 53.0)</w:t>
            </w:r>
          </w:p>
        </w:tc>
        <w:tc>
          <w:tcPr>
            <w:tcW w:w="1827" w:type="dxa"/>
          </w:tcPr>
          <w:p w14:paraId="2C354EDB" w14:textId="77777777" w:rsidR="00696774" w:rsidRPr="0047321F" w:rsidRDefault="00696774" w:rsidP="000C0EE7">
            <w:pPr>
              <w:rPr>
                <w:rFonts w:ascii="Candara" w:hAnsi="Candara"/>
                <w:sz w:val="16"/>
                <w:szCs w:val="16"/>
              </w:rPr>
            </w:pPr>
            <w:r>
              <w:rPr>
                <w:rFonts w:ascii="Candara" w:hAnsi="Candara"/>
                <w:sz w:val="16"/>
                <w:szCs w:val="16"/>
              </w:rPr>
              <w:t>47.1 (34.4 to 52.1)</w:t>
            </w:r>
          </w:p>
        </w:tc>
        <w:tc>
          <w:tcPr>
            <w:tcW w:w="663" w:type="dxa"/>
          </w:tcPr>
          <w:p w14:paraId="141EDFE8"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104A2A29" w14:textId="77777777" w:rsidTr="000C0EE7">
        <w:trPr>
          <w:jc w:val="center"/>
        </w:trPr>
        <w:tc>
          <w:tcPr>
            <w:tcW w:w="3794" w:type="dxa"/>
            <w:vAlign w:val="bottom"/>
          </w:tcPr>
          <w:p w14:paraId="025C0ED6"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FeTIBC, mmol/L</w:t>
            </w:r>
          </w:p>
        </w:tc>
        <w:tc>
          <w:tcPr>
            <w:tcW w:w="1687" w:type="dxa"/>
          </w:tcPr>
          <w:p w14:paraId="20B1E81C" w14:textId="77777777" w:rsidR="00696774" w:rsidRPr="00E126B3" w:rsidRDefault="00696774" w:rsidP="000C0EE7">
            <w:pPr>
              <w:rPr>
                <w:rFonts w:ascii="Candara" w:hAnsi="Candara"/>
                <w:sz w:val="16"/>
                <w:szCs w:val="16"/>
              </w:rPr>
            </w:pPr>
            <w:r w:rsidRPr="00E126B3">
              <w:rPr>
                <w:rFonts w:ascii="Candara" w:hAnsi="Candara"/>
                <w:sz w:val="16"/>
                <w:szCs w:val="16"/>
              </w:rPr>
              <w:t>26.0 (21.1 to 40.1)</w:t>
            </w:r>
          </w:p>
        </w:tc>
        <w:tc>
          <w:tcPr>
            <w:tcW w:w="1827" w:type="dxa"/>
          </w:tcPr>
          <w:p w14:paraId="64222EC6" w14:textId="77777777" w:rsidR="00696774" w:rsidRPr="0047321F" w:rsidRDefault="00696774" w:rsidP="000C0EE7">
            <w:pPr>
              <w:rPr>
                <w:rFonts w:ascii="Candara" w:hAnsi="Candara"/>
                <w:sz w:val="16"/>
                <w:szCs w:val="16"/>
              </w:rPr>
            </w:pPr>
            <w:r>
              <w:rPr>
                <w:rFonts w:ascii="Candara" w:hAnsi="Candara"/>
                <w:sz w:val="16"/>
                <w:szCs w:val="16"/>
              </w:rPr>
              <w:t>23.1 (22.6 to 37.3)</w:t>
            </w:r>
          </w:p>
        </w:tc>
        <w:tc>
          <w:tcPr>
            <w:tcW w:w="1826" w:type="dxa"/>
          </w:tcPr>
          <w:p w14:paraId="0E69400B" w14:textId="77777777" w:rsidR="00696774" w:rsidRPr="0047321F" w:rsidRDefault="00696774" w:rsidP="000C0EE7">
            <w:pPr>
              <w:rPr>
                <w:rFonts w:ascii="Candara" w:hAnsi="Candara"/>
                <w:sz w:val="16"/>
                <w:szCs w:val="16"/>
              </w:rPr>
            </w:pPr>
            <w:r>
              <w:rPr>
                <w:rFonts w:ascii="Candara" w:hAnsi="Candara"/>
                <w:sz w:val="16"/>
                <w:szCs w:val="16"/>
              </w:rPr>
              <w:t>23.1 (20.0 to 36.0)</w:t>
            </w:r>
          </w:p>
        </w:tc>
        <w:tc>
          <w:tcPr>
            <w:tcW w:w="1827" w:type="dxa"/>
          </w:tcPr>
          <w:p w14:paraId="76CA9EDD" w14:textId="77777777" w:rsidR="00696774" w:rsidRPr="0047321F" w:rsidRDefault="00696774" w:rsidP="000C0EE7">
            <w:pPr>
              <w:rPr>
                <w:rFonts w:ascii="Candara" w:hAnsi="Candara"/>
                <w:sz w:val="16"/>
                <w:szCs w:val="16"/>
              </w:rPr>
            </w:pPr>
            <w:r>
              <w:rPr>
                <w:rFonts w:ascii="Candara" w:hAnsi="Candara"/>
                <w:sz w:val="16"/>
                <w:szCs w:val="16"/>
              </w:rPr>
              <w:t>23.1 (20.3 to 31.3)</w:t>
            </w:r>
          </w:p>
        </w:tc>
        <w:tc>
          <w:tcPr>
            <w:tcW w:w="663" w:type="dxa"/>
          </w:tcPr>
          <w:p w14:paraId="563D7F51"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4A0EF8D5" w14:textId="77777777" w:rsidTr="000C0EE7">
        <w:trPr>
          <w:jc w:val="center"/>
        </w:trPr>
        <w:tc>
          <w:tcPr>
            <w:tcW w:w="3794" w:type="dxa"/>
            <w:vAlign w:val="center"/>
          </w:tcPr>
          <w:p w14:paraId="0840114F" w14:textId="77777777" w:rsidR="00696774" w:rsidRPr="0047321F" w:rsidRDefault="00696774" w:rsidP="000C0EE7">
            <w:pPr>
              <w:rPr>
                <w:rFonts w:ascii="Candara" w:hAnsi="Candara"/>
                <w:sz w:val="16"/>
                <w:szCs w:val="16"/>
              </w:rPr>
            </w:pPr>
            <w:r>
              <w:rPr>
                <w:rFonts w:ascii="Candara" w:hAnsi="Candara"/>
                <w:color w:val="000000"/>
                <w:sz w:val="16"/>
                <w:szCs w:val="16"/>
              </w:rPr>
              <w:t>E</w:t>
            </w:r>
            <w:r w:rsidRPr="0047321F">
              <w:rPr>
                <w:rFonts w:ascii="Candara" w:hAnsi="Candara"/>
                <w:color w:val="000000"/>
                <w:sz w:val="16"/>
                <w:szCs w:val="16"/>
              </w:rPr>
              <w:t>stimated Glomerular Filtration rate, mL/min/1.73 m</w:t>
            </w:r>
            <w:r w:rsidRPr="0047321F">
              <w:rPr>
                <w:rFonts w:ascii="Candara" w:hAnsi="Candara"/>
                <w:color w:val="000000"/>
                <w:sz w:val="16"/>
                <w:szCs w:val="16"/>
                <w:vertAlign w:val="superscript"/>
              </w:rPr>
              <w:t>2</w:t>
            </w:r>
          </w:p>
        </w:tc>
        <w:tc>
          <w:tcPr>
            <w:tcW w:w="1687" w:type="dxa"/>
          </w:tcPr>
          <w:p w14:paraId="1CE4AFD6" w14:textId="77777777" w:rsidR="00696774" w:rsidRPr="00E126B3" w:rsidRDefault="00696774" w:rsidP="000C0EE7">
            <w:pPr>
              <w:rPr>
                <w:rFonts w:ascii="Candara" w:hAnsi="Candara"/>
                <w:sz w:val="16"/>
                <w:szCs w:val="16"/>
              </w:rPr>
            </w:pPr>
            <w:r>
              <w:rPr>
                <w:rFonts w:ascii="Candara" w:hAnsi="Candara"/>
                <w:sz w:val="16"/>
                <w:szCs w:val="16"/>
              </w:rPr>
              <w:t>1.6 (0.4 to 3.7)</w:t>
            </w:r>
          </w:p>
        </w:tc>
        <w:tc>
          <w:tcPr>
            <w:tcW w:w="1827" w:type="dxa"/>
          </w:tcPr>
          <w:p w14:paraId="0C3A57B2" w14:textId="77777777" w:rsidR="00696774" w:rsidRPr="0047321F" w:rsidRDefault="00696774" w:rsidP="000C0EE7">
            <w:pPr>
              <w:rPr>
                <w:rFonts w:ascii="Candara" w:hAnsi="Candara"/>
                <w:sz w:val="16"/>
                <w:szCs w:val="16"/>
              </w:rPr>
            </w:pPr>
            <w:r>
              <w:rPr>
                <w:rFonts w:ascii="Candara" w:hAnsi="Candara"/>
                <w:sz w:val="16"/>
                <w:szCs w:val="16"/>
              </w:rPr>
              <w:t>1.5 (0.6 to 3.1)</w:t>
            </w:r>
          </w:p>
        </w:tc>
        <w:tc>
          <w:tcPr>
            <w:tcW w:w="1826" w:type="dxa"/>
          </w:tcPr>
          <w:p w14:paraId="35430EEC" w14:textId="77777777" w:rsidR="00696774" w:rsidRPr="0047321F" w:rsidRDefault="00696774" w:rsidP="000C0EE7">
            <w:pPr>
              <w:rPr>
                <w:rFonts w:ascii="Candara" w:hAnsi="Candara"/>
                <w:sz w:val="16"/>
                <w:szCs w:val="16"/>
              </w:rPr>
            </w:pPr>
            <w:r>
              <w:rPr>
                <w:rFonts w:ascii="Candara" w:hAnsi="Candara"/>
                <w:sz w:val="16"/>
                <w:szCs w:val="16"/>
              </w:rPr>
              <w:t>1.4 (0.5 to 3.8)</w:t>
            </w:r>
          </w:p>
        </w:tc>
        <w:tc>
          <w:tcPr>
            <w:tcW w:w="1827" w:type="dxa"/>
          </w:tcPr>
          <w:p w14:paraId="68A0439B" w14:textId="77777777" w:rsidR="00696774" w:rsidRPr="0047321F" w:rsidRDefault="00696774" w:rsidP="000C0EE7">
            <w:pPr>
              <w:rPr>
                <w:rFonts w:ascii="Candara" w:hAnsi="Candara"/>
                <w:sz w:val="16"/>
                <w:szCs w:val="16"/>
              </w:rPr>
            </w:pPr>
            <w:r>
              <w:rPr>
                <w:rFonts w:ascii="Candara" w:hAnsi="Candara"/>
                <w:sz w:val="16"/>
                <w:szCs w:val="16"/>
              </w:rPr>
              <w:t>1.5 (0.5 to 3.0)</w:t>
            </w:r>
          </w:p>
        </w:tc>
        <w:tc>
          <w:tcPr>
            <w:tcW w:w="663" w:type="dxa"/>
          </w:tcPr>
          <w:p w14:paraId="674E8346"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0FD3423A" w14:textId="77777777" w:rsidTr="000C0EE7">
        <w:trPr>
          <w:jc w:val="center"/>
        </w:trPr>
        <w:tc>
          <w:tcPr>
            <w:tcW w:w="3794" w:type="dxa"/>
            <w:vAlign w:val="bottom"/>
          </w:tcPr>
          <w:p w14:paraId="3B6CEC81"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Transferrin, mg/dl</w:t>
            </w:r>
          </w:p>
        </w:tc>
        <w:tc>
          <w:tcPr>
            <w:tcW w:w="1687" w:type="dxa"/>
          </w:tcPr>
          <w:p w14:paraId="5CB9E4A2" w14:textId="77777777" w:rsidR="00696774" w:rsidRPr="00E126B3" w:rsidRDefault="00696774" w:rsidP="000C0EE7">
            <w:pPr>
              <w:rPr>
                <w:rFonts w:ascii="Candara" w:hAnsi="Candara"/>
                <w:sz w:val="16"/>
                <w:szCs w:val="16"/>
              </w:rPr>
            </w:pPr>
            <w:r w:rsidRPr="00E126B3">
              <w:rPr>
                <w:rFonts w:ascii="Candara" w:hAnsi="Candara"/>
                <w:sz w:val="16"/>
                <w:szCs w:val="16"/>
              </w:rPr>
              <w:t>181.1 (75.1 to 36.5)</w:t>
            </w:r>
          </w:p>
        </w:tc>
        <w:tc>
          <w:tcPr>
            <w:tcW w:w="1827" w:type="dxa"/>
          </w:tcPr>
          <w:p w14:paraId="6284F789" w14:textId="77777777" w:rsidR="00696774" w:rsidRPr="0047321F" w:rsidRDefault="00696774" w:rsidP="000C0EE7">
            <w:pPr>
              <w:rPr>
                <w:rFonts w:ascii="Candara" w:hAnsi="Candara"/>
                <w:sz w:val="16"/>
                <w:szCs w:val="16"/>
              </w:rPr>
            </w:pPr>
            <w:r>
              <w:rPr>
                <w:rFonts w:ascii="Candara" w:hAnsi="Candara"/>
                <w:sz w:val="16"/>
                <w:szCs w:val="16"/>
              </w:rPr>
              <w:t>164.2 (106.0 to 258.0)</w:t>
            </w:r>
          </w:p>
        </w:tc>
        <w:tc>
          <w:tcPr>
            <w:tcW w:w="1826" w:type="dxa"/>
          </w:tcPr>
          <w:p w14:paraId="2219370F" w14:textId="77777777" w:rsidR="00696774" w:rsidRPr="0047321F" w:rsidRDefault="00696774" w:rsidP="000C0EE7">
            <w:pPr>
              <w:rPr>
                <w:rFonts w:ascii="Candara" w:hAnsi="Candara"/>
                <w:sz w:val="16"/>
                <w:szCs w:val="16"/>
              </w:rPr>
            </w:pPr>
            <w:r>
              <w:rPr>
                <w:rFonts w:ascii="Candara" w:hAnsi="Candara"/>
                <w:sz w:val="16"/>
                <w:szCs w:val="16"/>
              </w:rPr>
              <w:t>167.0 (100.4 to 308.3)</w:t>
            </w:r>
          </w:p>
        </w:tc>
        <w:tc>
          <w:tcPr>
            <w:tcW w:w="1827" w:type="dxa"/>
          </w:tcPr>
          <w:p w14:paraId="3C6210B1" w14:textId="77777777" w:rsidR="00696774" w:rsidRPr="0047321F" w:rsidRDefault="00696774" w:rsidP="000C0EE7">
            <w:pPr>
              <w:rPr>
                <w:rFonts w:ascii="Candara" w:hAnsi="Candara"/>
                <w:sz w:val="16"/>
                <w:szCs w:val="16"/>
              </w:rPr>
            </w:pPr>
            <w:r>
              <w:rPr>
                <w:rFonts w:ascii="Candara" w:hAnsi="Candara"/>
                <w:sz w:val="16"/>
                <w:szCs w:val="16"/>
              </w:rPr>
              <w:t>238.0 (154.0 to 405.4)</w:t>
            </w:r>
          </w:p>
        </w:tc>
        <w:tc>
          <w:tcPr>
            <w:tcW w:w="663" w:type="dxa"/>
          </w:tcPr>
          <w:p w14:paraId="192732C4"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3D85D610" w14:textId="77777777" w:rsidTr="000C0EE7">
        <w:trPr>
          <w:jc w:val="center"/>
        </w:trPr>
        <w:tc>
          <w:tcPr>
            <w:tcW w:w="3794" w:type="dxa"/>
            <w:vAlign w:val="bottom"/>
          </w:tcPr>
          <w:p w14:paraId="36A06750"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Total protein, g/L</w:t>
            </w:r>
          </w:p>
        </w:tc>
        <w:tc>
          <w:tcPr>
            <w:tcW w:w="1687" w:type="dxa"/>
          </w:tcPr>
          <w:p w14:paraId="42A84366" w14:textId="77777777" w:rsidR="00696774" w:rsidRPr="00E126B3" w:rsidRDefault="00696774" w:rsidP="000C0EE7">
            <w:pPr>
              <w:rPr>
                <w:rFonts w:ascii="Candara" w:hAnsi="Candara"/>
                <w:sz w:val="16"/>
                <w:szCs w:val="16"/>
              </w:rPr>
            </w:pPr>
            <w:r w:rsidRPr="00E126B3">
              <w:rPr>
                <w:rFonts w:ascii="Candara" w:hAnsi="Candara"/>
                <w:sz w:val="16"/>
                <w:szCs w:val="16"/>
              </w:rPr>
              <w:t>54.8 (50.4 to 60.1)</w:t>
            </w:r>
          </w:p>
        </w:tc>
        <w:tc>
          <w:tcPr>
            <w:tcW w:w="1827" w:type="dxa"/>
          </w:tcPr>
          <w:p w14:paraId="4C2E8A01" w14:textId="77777777" w:rsidR="00696774" w:rsidRPr="0047321F" w:rsidRDefault="00696774" w:rsidP="000C0EE7">
            <w:pPr>
              <w:rPr>
                <w:rFonts w:ascii="Candara" w:hAnsi="Candara"/>
                <w:sz w:val="16"/>
                <w:szCs w:val="16"/>
              </w:rPr>
            </w:pPr>
            <w:r>
              <w:rPr>
                <w:rFonts w:ascii="Candara" w:hAnsi="Candara"/>
                <w:sz w:val="16"/>
                <w:szCs w:val="16"/>
              </w:rPr>
              <w:t>57.6 (52.2 to 60.4)</w:t>
            </w:r>
          </w:p>
        </w:tc>
        <w:tc>
          <w:tcPr>
            <w:tcW w:w="1826" w:type="dxa"/>
          </w:tcPr>
          <w:p w14:paraId="30711C0F" w14:textId="77777777" w:rsidR="00696774" w:rsidRPr="0047321F" w:rsidRDefault="00696774" w:rsidP="000C0EE7">
            <w:pPr>
              <w:rPr>
                <w:rFonts w:ascii="Candara" w:hAnsi="Candara"/>
                <w:sz w:val="16"/>
                <w:szCs w:val="16"/>
              </w:rPr>
            </w:pPr>
            <w:r>
              <w:rPr>
                <w:rFonts w:ascii="Candara" w:hAnsi="Candara"/>
                <w:sz w:val="16"/>
                <w:szCs w:val="16"/>
              </w:rPr>
              <w:t>58.0 (53.6 to 62.3)</w:t>
            </w:r>
          </w:p>
        </w:tc>
        <w:tc>
          <w:tcPr>
            <w:tcW w:w="1827" w:type="dxa"/>
          </w:tcPr>
          <w:p w14:paraId="7E4E412A" w14:textId="77777777" w:rsidR="00696774" w:rsidRPr="0047321F" w:rsidRDefault="00696774" w:rsidP="000C0EE7">
            <w:pPr>
              <w:rPr>
                <w:rFonts w:ascii="Candara" w:hAnsi="Candara"/>
                <w:sz w:val="16"/>
                <w:szCs w:val="16"/>
              </w:rPr>
            </w:pPr>
            <w:r>
              <w:rPr>
                <w:rFonts w:ascii="Candara" w:hAnsi="Candara"/>
                <w:sz w:val="16"/>
                <w:szCs w:val="16"/>
              </w:rPr>
              <w:t>59.0 (54.5 to 64.4)</w:t>
            </w:r>
          </w:p>
        </w:tc>
        <w:tc>
          <w:tcPr>
            <w:tcW w:w="663" w:type="dxa"/>
          </w:tcPr>
          <w:p w14:paraId="1B26E0AC"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55FED895" w14:textId="77777777" w:rsidTr="000C0EE7">
        <w:trPr>
          <w:jc w:val="center"/>
        </w:trPr>
        <w:tc>
          <w:tcPr>
            <w:tcW w:w="3794" w:type="dxa"/>
            <w:vAlign w:val="bottom"/>
          </w:tcPr>
          <w:p w14:paraId="52720AC3"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Pre</w:t>
            </w:r>
            <w:r>
              <w:rPr>
                <w:rFonts w:ascii="Candara" w:hAnsi="Candara"/>
                <w:color w:val="000000"/>
                <w:sz w:val="16"/>
                <w:szCs w:val="16"/>
              </w:rPr>
              <w:t>-</w:t>
            </w:r>
            <w:r w:rsidRPr="0047321F">
              <w:rPr>
                <w:rFonts w:ascii="Candara" w:hAnsi="Candara"/>
                <w:color w:val="000000"/>
                <w:sz w:val="16"/>
                <w:szCs w:val="16"/>
              </w:rPr>
              <w:t>albumin, mg/L</w:t>
            </w:r>
          </w:p>
        </w:tc>
        <w:tc>
          <w:tcPr>
            <w:tcW w:w="1687" w:type="dxa"/>
          </w:tcPr>
          <w:p w14:paraId="7C13CAB4" w14:textId="77777777" w:rsidR="00696774" w:rsidRPr="00E126B3" w:rsidRDefault="00696774" w:rsidP="000C0EE7">
            <w:pPr>
              <w:rPr>
                <w:rFonts w:ascii="Candara" w:hAnsi="Candara"/>
                <w:sz w:val="16"/>
                <w:szCs w:val="16"/>
              </w:rPr>
            </w:pPr>
            <w:r w:rsidRPr="00E126B3">
              <w:rPr>
                <w:rFonts w:ascii="Candara" w:hAnsi="Candara"/>
                <w:sz w:val="16"/>
                <w:szCs w:val="16"/>
              </w:rPr>
              <w:t>304.2 (221.0 to 350.0)</w:t>
            </w:r>
          </w:p>
        </w:tc>
        <w:tc>
          <w:tcPr>
            <w:tcW w:w="1827" w:type="dxa"/>
          </w:tcPr>
          <w:p w14:paraId="1E5462DD" w14:textId="77777777" w:rsidR="00696774" w:rsidRPr="0047321F" w:rsidRDefault="00696774" w:rsidP="000C0EE7">
            <w:pPr>
              <w:rPr>
                <w:rFonts w:ascii="Candara" w:hAnsi="Candara"/>
                <w:sz w:val="16"/>
                <w:szCs w:val="16"/>
              </w:rPr>
            </w:pPr>
            <w:r>
              <w:rPr>
                <w:rFonts w:ascii="Candara" w:hAnsi="Candara"/>
                <w:sz w:val="16"/>
                <w:szCs w:val="16"/>
              </w:rPr>
              <w:t>345.0 (246.0 to 409.0)</w:t>
            </w:r>
          </w:p>
        </w:tc>
        <w:tc>
          <w:tcPr>
            <w:tcW w:w="1826" w:type="dxa"/>
          </w:tcPr>
          <w:p w14:paraId="26617B59" w14:textId="77777777" w:rsidR="00696774" w:rsidRPr="0047321F" w:rsidRDefault="00696774" w:rsidP="000C0EE7">
            <w:pPr>
              <w:rPr>
                <w:rFonts w:ascii="Candara" w:hAnsi="Candara"/>
                <w:sz w:val="16"/>
                <w:szCs w:val="16"/>
              </w:rPr>
            </w:pPr>
            <w:r>
              <w:rPr>
                <w:rFonts w:ascii="Candara" w:hAnsi="Candara"/>
                <w:sz w:val="16"/>
                <w:szCs w:val="16"/>
              </w:rPr>
              <w:t>313.0 (250.0 to 406.0)</w:t>
            </w:r>
          </w:p>
        </w:tc>
        <w:tc>
          <w:tcPr>
            <w:tcW w:w="1827" w:type="dxa"/>
          </w:tcPr>
          <w:p w14:paraId="04C5CE9E" w14:textId="77777777" w:rsidR="00696774" w:rsidRPr="0047321F" w:rsidRDefault="00696774" w:rsidP="000C0EE7">
            <w:pPr>
              <w:rPr>
                <w:rFonts w:ascii="Candara" w:hAnsi="Candara"/>
                <w:sz w:val="16"/>
                <w:szCs w:val="16"/>
              </w:rPr>
            </w:pPr>
            <w:r>
              <w:rPr>
                <w:rFonts w:ascii="Candara" w:hAnsi="Candara"/>
                <w:sz w:val="16"/>
                <w:szCs w:val="16"/>
              </w:rPr>
              <w:t>342.0 (257.0 to 395.0)</w:t>
            </w:r>
          </w:p>
        </w:tc>
        <w:tc>
          <w:tcPr>
            <w:tcW w:w="663" w:type="dxa"/>
          </w:tcPr>
          <w:p w14:paraId="3394293D"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4E62E818" w14:textId="77777777" w:rsidTr="000C0EE7">
        <w:trPr>
          <w:jc w:val="center"/>
        </w:trPr>
        <w:tc>
          <w:tcPr>
            <w:tcW w:w="3794" w:type="dxa"/>
            <w:vAlign w:val="bottom"/>
          </w:tcPr>
          <w:p w14:paraId="2CC7BAA6"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Total Cholesterol, mmol/L</w:t>
            </w:r>
          </w:p>
        </w:tc>
        <w:tc>
          <w:tcPr>
            <w:tcW w:w="1687" w:type="dxa"/>
          </w:tcPr>
          <w:p w14:paraId="05504913" w14:textId="77777777" w:rsidR="00696774" w:rsidRPr="00E126B3" w:rsidRDefault="00696774" w:rsidP="000C0EE7">
            <w:pPr>
              <w:rPr>
                <w:rFonts w:ascii="Candara" w:hAnsi="Candara"/>
                <w:sz w:val="16"/>
                <w:szCs w:val="16"/>
              </w:rPr>
            </w:pPr>
            <w:r w:rsidRPr="00E126B3">
              <w:rPr>
                <w:rFonts w:ascii="Candara" w:hAnsi="Candara"/>
                <w:sz w:val="16"/>
                <w:szCs w:val="16"/>
              </w:rPr>
              <w:t>3.9 (3.3 to 4.6)</w:t>
            </w:r>
          </w:p>
        </w:tc>
        <w:tc>
          <w:tcPr>
            <w:tcW w:w="1827" w:type="dxa"/>
          </w:tcPr>
          <w:p w14:paraId="74101E6A" w14:textId="77777777" w:rsidR="00696774" w:rsidRPr="0047321F" w:rsidRDefault="00696774" w:rsidP="000C0EE7">
            <w:pPr>
              <w:rPr>
                <w:rFonts w:ascii="Candara" w:hAnsi="Candara"/>
                <w:sz w:val="16"/>
                <w:szCs w:val="16"/>
              </w:rPr>
            </w:pPr>
            <w:r>
              <w:rPr>
                <w:rFonts w:ascii="Candara" w:hAnsi="Candara"/>
                <w:sz w:val="16"/>
                <w:szCs w:val="16"/>
              </w:rPr>
              <w:t>4.3 (3.6 to 5.0)</w:t>
            </w:r>
          </w:p>
        </w:tc>
        <w:tc>
          <w:tcPr>
            <w:tcW w:w="1826" w:type="dxa"/>
          </w:tcPr>
          <w:p w14:paraId="296BB169" w14:textId="77777777" w:rsidR="00696774" w:rsidRPr="0047321F" w:rsidRDefault="00696774" w:rsidP="000C0EE7">
            <w:pPr>
              <w:rPr>
                <w:rFonts w:ascii="Candara" w:hAnsi="Candara"/>
                <w:sz w:val="16"/>
                <w:szCs w:val="16"/>
              </w:rPr>
            </w:pPr>
            <w:r>
              <w:rPr>
                <w:rFonts w:ascii="Candara" w:hAnsi="Candara"/>
                <w:sz w:val="16"/>
                <w:szCs w:val="16"/>
              </w:rPr>
              <w:t>4.5 (3.7 to 5.1)</w:t>
            </w:r>
          </w:p>
        </w:tc>
        <w:tc>
          <w:tcPr>
            <w:tcW w:w="1827" w:type="dxa"/>
          </w:tcPr>
          <w:p w14:paraId="2381C803" w14:textId="77777777" w:rsidR="00696774" w:rsidRPr="0047321F" w:rsidRDefault="00696774" w:rsidP="000C0EE7">
            <w:pPr>
              <w:rPr>
                <w:rFonts w:ascii="Candara" w:hAnsi="Candara"/>
                <w:sz w:val="16"/>
                <w:szCs w:val="16"/>
              </w:rPr>
            </w:pPr>
            <w:r>
              <w:rPr>
                <w:rFonts w:ascii="Candara" w:hAnsi="Candara"/>
                <w:sz w:val="16"/>
                <w:szCs w:val="16"/>
              </w:rPr>
              <w:t>4.9 (4.1 to 5.1)</w:t>
            </w:r>
          </w:p>
        </w:tc>
        <w:tc>
          <w:tcPr>
            <w:tcW w:w="663" w:type="dxa"/>
          </w:tcPr>
          <w:p w14:paraId="44E2DDC7"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500C3E93" w14:textId="77777777" w:rsidTr="000C0EE7">
        <w:trPr>
          <w:jc w:val="center"/>
        </w:trPr>
        <w:tc>
          <w:tcPr>
            <w:tcW w:w="3794" w:type="dxa"/>
            <w:vAlign w:val="bottom"/>
          </w:tcPr>
          <w:p w14:paraId="436EC187" w14:textId="77777777" w:rsidR="00696774" w:rsidRPr="0047321F" w:rsidRDefault="00696774" w:rsidP="000C0EE7">
            <w:pPr>
              <w:rPr>
                <w:rFonts w:ascii="Candara" w:hAnsi="Candara"/>
                <w:color w:val="000000"/>
                <w:sz w:val="16"/>
                <w:szCs w:val="16"/>
              </w:rPr>
            </w:pPr>
            <w:r>
              <w:rPr>
                <w:rFonts w:ascii="Candara" w:hAnsi="Candara"/>
                <w:color w:val="000000"/>
                <w:sz w:val="16"/>
                <w:szCs w:val="16"/>
              </w:rPr>
              <w:t>Triglyceride, mmol/L</w:t>
            </w:r>
          </w:p>
        </w:tc>
        <w:tc>
          <w:tcPr>
            <w:tcW w:w="1687" w:type="dxa"/>
          </w:tcPr>
          <w:p w14:paraId="0B032599" w14:textId="77777777" w:rsidR="00696774" w:rsidRPr="00E126B3" w:rsidRDefault="00696774" w:rsidP="000C0EE7">
            <w:pPr>
              <w:rPr>
                <w:rFonts w:ascii="Candara" w:hAnsi="Candara"/>
                <w:sz w:val="16"/>
                <w:szCs w:val="16"/>
              </w:rPr>
            </w:pPr>
            <w:r w:rsidRPr="00E126B3">
              <w:rPr>
                <w:rFonts w:ascii="Candara" w:hAnsi="Candara"/>
                <w:sz w:val="16"/>
                <w:szCs w:val="16"/>
              </w:rPr>
              <w:t>0.8 (0.6 to 0.9)</w:t>
            </w:r>
          </w:p>
        </w:tc>
        <w:tc>
          <w:tcPr>
            <w:tcW w:w="1827" w:type="dxa"/>
          </w:tcPr>
          <w:p w14:paraId="12C611FC" w14:textId="77777777" w:rsidR="00696774" w:rsidRPr="0047321F" w:rsidRDefault="00696774" w:rsidP="000C0EE7">
            <w:pPr>
              <w:rPr>
                <w:rFonts w:ascii="Candara" w:hAnsi="Candara"/>
                <w:sz w:val="16"/>
                <w:szCs w:val="16"/>
              </w:rPr>
            </w:pPr>
            <w:r>
              <w:rPr>
                <w:rFonts w:ascii="Candara" w:hAnsi="Candara"/>
                <w:sz w:val="16"/>
                <w:szCs w:val="16"/>
              </w:rPr>
              <w:t>1.0 (0.9 to 1.1)</w:t>
            </w:r>
          </w:p>
        </w:tc>
        <w:tc>
          <w:tcPr>
            <w:tcW w:w="1826" w:type="dxa"/>
          </w:tcPr>
          <w:p w14:paraId="53ACBB40" w14:textId="77777777" w:rsidR="00696774" w:rsidRPr="0047321F" w:rsidRDefault="00696774" w:rsidP="000C0EE7">
            <w:pPr>
              <w:rPr>
                <w:rFonts w:ascii="Candara" w:hAnsi="Candara"/>
                <w:sz w:val="16"/>
                <w:szCs w:val="16"/>
              </w:rPr>
            </w:pPr>
            <w:r>
              <w:rPr>
                <w:rFonts w:ascii="Candara" w:hAnsi="Candara"/>
                <w:sz w:val="16"/>
                <w:szCs w:val="16"/>
              </w:rPr>
              <w:t>1.1 (0.6 to 1.5)</w:t>
            </w:r>
          </w:p>
        </w:tc>
        <w:tc>
          <w:tcPr>
            <w:tcW w:w="1827" w:type="dxa"/>
          </w:tcPr>
          <w:p w14:paraId="249863C3" w14:textId="77777777" w:rsidR="00696774" w:rsidRPr="0047321F" w:rsidRDefault="00696774" w:rsidP="000C0EE7">
            <w:pPr>
              <w:rPr>
                <w:rFonts w:ascii="Candara" w:hAnsi="Candara"/>
                <w:sz w:val="16"/>
                <w:szCs w:val="16"/>
              </w:rPr>
            </w:pPr>
            <w:r>
              <w:rPr>
                <w:rFonts w:ascii="Candara" w:hAnsi="Candara"/>
                <w:sz w:val="16"/>
                <w:szCs w:val="16"/>
              </w:rPr>
              <w:t>1.8 (1.5 to 2.1)</w:t>
            </w:r>
          </w:p>
        </w:tc>
        <w:tc>
          <w:tcPr>
            <w:tcW w:w="663" w:type="dxa"/>
          </w:tcPr>
          <w:p w14:paraId="0537FDB2"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2C7DFA4D" w14:textId="77777777" w:rsidTr="000C0EE7">
        <w:trPr>
          <w:jc w:val="center"/>
        </w:trPr>
        <w:tc>
          <w:tcPr>
            <w:tcW w:w="3794" w:type="dxa"/>
            <w:vAlign w:val="bottom"/>
          </w:tcPr>
          <w:p w14:paraId="00C96DFD"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Low density lipoprotein, mmol/L</w:t>
            </w:r>
          </w:p>
        </w:tc>
        <w:tc>
          <w:tcPr>
            <w:tcW w:w="1687" w:type="dxa"/>
          </w:tcPr>
          <w:p w14:paraId="4A8D3B8E" w14:textId="77777777" w:rsidR="00696774" w:rsidRPr="00E126B3" w:rsidRDefault="00696774" w:rsidP="000C0EE7">
            <w:pPr>
              <w:rPr>
                <w:rFonts w:ascii="Candara" w:hAnsi="Candara"/>
                <w:sz w:val="16"/>
                <w:szCs w:val="16"/>
              </w:rPr>
            </w:pPr>
            <w:r w:rsidRPr="00E126B3">
              <w:rPr>
                <w:rFonts w:ascii="Candara" w:hAnsi="Candara"/>
                <w:sz w:val="16"/>
                <w:szCs w:val="16"/>
              </w:rPr>
              <w:t>2.3 (1.3 to 2.8)</w:t>
            </w:r>
          </w:p>
        </w:tc>
        <w:tc>
          <w:tcPr>
            <w:tcW w:w="1827" w:type="dxa"/>
          </w:tcPr>
          <w:p w14:paraId="27329CB7" w14:textId="77777777" w:rsidR="00696774" w:rsidRPr="0047321F" w:rsidRDefault="00696774" w:rsidP="000C0EE7">
            <w:pPr>
              <w:rPr>
                <w:rFonts w:ascii="Candara" w:hAnsi="Candara"/>
                <w:sz w:val="16"/>
                <w:szCs w:val="16"/>
              </w:rPr>
            </w:pPr>
            <w:r>
              <w:rPr>
                <w:rFonts w:ascii="Candara" w:hAnsi="Candara"/>
                <w:sz w:val="16"/>
                <w:szCs w:val="16"/>
              </w:rPr>
              <w:t>2.6 (2.0 to 3.1)</w:t>
            </w:r>
          </w:p>
        </w:tc>
        <w:tc>
          <w:tcPr>
            <w:tcW w:w="1826" w:type="dxa"/>
          </w:tcPr>
          <w:p w14:paraId="5BB2ED86" w14:textId="77777777" w:rsidR="00696774" w:rsidRPr="0047321F" w:rsidRDefault="00696774" w:rsidP="000C0EE7">
            <w:pPr>
              <w:rPr>
                <w:rFonts w:ascii="Candara" w:hAnsi="Candara"/>
                <w:sz w:val="16"/>
                <w:szCs w:val="16"/>
              </w:rPr>
            </w:pPr>
            <w:r>
              <w:rPr>
                <w:rFonts w:ascii="Candara" w:hAnsi="Candara"/>
                <w:sz w:val="16"/>
                <w:szCs w:val="16"/>
              </w:rPr>
              <w:t>2.6 (2.0 to 3.2)</w:t>
            </w:r>
          </w:p>
        </w:tc>
        <w:tc>
          <w:tcPr>
            <w:tcW w:w="1827" w:type="dxa"/>
          </w:tcPr>
          <w:p w14:paraId="7A4F0DBC" w14:textId="77777777" w:rsidR="00696774" w:rsidRPr="0047321F" w:rsidRDefault="00696774" w:rsidP="000C0EE7">
            <w:pPr>
              <w:rPr>
                <w:rFonts w:ascii="Candara" w:hAnsi="Candara"/>
                <w:sz w:val="16"/>
                <w:szCs w:val="16"/>
              </w:rPr>
            </w:pPr>
            <w:r>
              <w:rPr>
                <w:rFonts w:ascii="Candara" w:hAnsi="Candara"/>
                <w:sz w:val="16"/>
                <w:szCs w:val="16"/>
              </w:rPr>
              <w:t>2.8 (2.1 to 3.4)</w:t>
            </w:r>
          </w:p>
        </w:tc>
        <w:tc>
          <w:tcPr>
            <w:tcW w:w="663" w:type="dxa"/>
          </w:tcPr>
          <w:p w14:paraId="45CEE041"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35239C27" w14:textId="77777777" w:rsidTr="000C0EE7">
        <w:trPr>
          <w:jc w:val="center"/>
        </w:trPr>
        <w:tc>
          <w:tcPr>
            <w:tcW w:w="3794" w:type="dxa"/>
            <w:vAlign w:val="bottom"/>
          </w:tcPr>
          <w:p w14:paraId="77F829E5" w14:textId="77777777" w:rsidR="00696774" w:rsidRPr="0047321F" w:rsidRDefault="00696774" w:rsidP="000C0EE7">
            <w:pPr>
              <w:rPr>
                <w:rFonts w:ascii="Candara" w:hAnsi="Candara"/>
                <w:color w:val="000000"/>
                <w:sz w:val="16"/>
                <w:szCs w:val="16"/>
              </w:rPr>
            </w:pPr>
            <w:r>
              <w:rPr>
                <w:rFonts w:ascii="Candara" w:hAnsi="Candara"/>
                <w:color w:val="000000"/>
                <w:sz w:val="16"/>
                <w:szCs w:val="16"/>
              </w:rPr>
              <w:t>High</w:t>
            </w:r>
            <w:r w:rsidRPr="0047321F">
              <w:rPr>
                <w:rFonts w:ascii="Candara" w:hAnsi="Candara"/>
                <w:color w:val="000000"/>
                <w:sz w:val="16"/>
                <w:szCs w:val="16"/>
              </w:rPr>
              <w:t xml:space="preserve"> density lipoprotein, mmol/L</w:t>
            </w:r>
          </w:p>
        </w:tc>
        <w:tc>
          <w:tcPr>
            <w:tcW w:w="1687" w:type="dxa"/>
          </w:tcPr>
          <w:p w14:paraId="066C32CD" w14:textId="77777777" w:rsidR="00696774" w:rsidRPr="00E126B3" w:rsidRDefault="00696774" w:rsidP="000C0EE7">
            <w:pPr>
              <w:rPr>
                <w:rFonts w:ascii="Candara" w:hAnsi="Candara"/>
                <w:sz w:val="16"/>
                <w:szCs w:val="16"/>
              </w:rPr>
            </w:pPr>
            <w:r w:rsidRPr="00E126B3">
              <w:rPr>
                <w:rFonts w:ascii="Candara" w:hAnsi="Candara"/>
                <w:sz w:val="16"/>
                <w:szCs w:val="16"/>
              </w:rPr>
              <w:t>1.2 (1.0 to 1.4)</w:t>
            </w:r>
          </w:p>
        </w:tc>
        <w:tc>
          <w:tcPr>
            <w:tcW w:w="1827" w:type="dxa"/>
          </w:tcPr>
          <w:p w14:paraId="7FE598A4" w14:textId="77777777" w:rsidR="00696774" w:rsidRPr="0047321F" w:rsidRDefault="00696774" w:rsidP="000C0EE7">
            <w:pPr>
              <w:rPr>
                <w:rFonts w:ascii="Candara" w:hAnsi="Candara"/>
                <w:sz w:val="16"/>
                <w:szCs w:val="16"/>
              </w:rPr>
            </w:pPr>
            <w:r>
              <w:rPr>
                <w:rFonts w:ascii="Candara" w:hAnsi="Candara"/>
                <w:sz w:val="16"/>
                <w:szCs w:val="16"/>
              </w:rPr>
              <w:t>1.1 (1.0 to 1.3)</w:t>
            </w:r>
          </w:p>
        </w:tc>
        <w:tc>
          <w:tcPr>
            <w:tcW w:w="1826" w:type="dxa"/>
          </w:tcPr>
          <w:p w14:paraId="261DD84C" w14:textId="77777777" w:rsidR="00696774" w:rsidRPr="0047321F" w:rsidRDefault="00696774" w:rsidP="000C0EE7">
            <w:pPr>
              <w:rPr>
                <w:rFonts w:ascii="Candara" w:hAnsi="Candara"/>
                <w:sz w:val="16"/>
                <w:szCs w:val="16"/>
              </w:rPr>
            </w:pPr>
            <w:r>
              <w:rPr>
                <w:rFonts w:ascii="Candara" w:hAnsi="Candara"/>
                <w:sz w:val="16"/>
                <w:szCs w:val="16"/>
              </w:rPr>
              <w:t>1.2 (1.0 to 1.3)</w:t>
            </w:r>
          </w:p>
        </w:tc>
        <w:tc>
          <w:tcPr>
            <w:tcW w:w="1827" w:type="dxa"/>
          </w:tcPr>
          <w:p w14:paraId="61FF93E1" w14:textId="77777777" w:rsidR="00696774" w:rsidRPr="0047321F" w:rsidRDefault="00696774" w:rsidP="000C0EE7">
            <w:pPr>
              <w:rPr>
                <w:rFonts w:ascii="Candara" w:hAnsi="Candara"/>
                <w:sz w:val="16"/>
                <w:szCs w:val="16"/>
              </w:rPr>
            </w:pPr>
            <w:r>
              <w:rPr>
                <w:rFonts w:ascii="Candara" w:hAnsi="Candara"/>
                <w:sz w:val="16"/>
                <w:szCs w:val="16"/>
              </w:rPr>
              <w:t>1.1 (0.9 to 1.3)</w:t>
            </w:r>
          </w:p>
        </w:tc>
        <w:tc>
          <w:tcPr>
            <w:tcW w:w="663" w:type="dxa"/>
          </w:tcPr>
          <w:p w14:paraId="24D90864"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184160D9" w14:textId="77777777" w:rsidTr="000C0EE7">
        <w:trPr>
          <w:jc w:val="center"/>
        </w:trPr>
        <w:tc>
          <w:tcPr>
            <w:tcW w:w="3794" w:type="dxa"/>
            <w:vAlign w:val="bottom"/>
          </w:tcPr>
          <w:p w14:paraId="322A4402"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Fasting glucose, mmol/L</w:t>
            </w:r>
          </w:p>
        </w:tc>
        <w:tc>
          <w:tcPr>
            <w:tcW w:w="1687" w:type="dxa"/>
          </w:tcPr>
          <w:p w14:paraId="1A7FD147" w14:textId="77777777" w:rsidR="00696774" w:rsidRPr="00E126B3" w:rsidRDefault="00696774" w:rsidP="000C0EE7">
            <w:pPr>
              <w:rPr>
                <w:rFonts w:ascii="Candara" w:hAnsi="Candara"/>
                <w:sz w:val="16"/>
                <w:szCs w:val="16"/>
              </w:rPr>
            </w:pPr>
            <w:r w:rsidRPr="00E126B3">
              <w:rPr>
                <w:rFonts w:ascii="Candara" w:hAnsi="Candara"/>
                <w:sz w:val="16"/>
                <w:szCs w:val="16"/>
              </w:rPr>
              <w:t>4.2 (3.9 to 4.6)</w:t>
            </w:r>
          </w:p>
        </w:tc>
        <w:tc>
          <w:tcPr>
            <w:tcW w:w="1827" w:type="dxa"/>
          </w:tcPr>
          <w:p w14:paraId="348C4E63" w14:textId="77777777" w:rsidR="00696774" w:rsidRPr="0047321F" w:rsidRDefault="00696774" w:rsidP="000C0EE7">
            <w:pPr>
              <w:rPr>
                <w:rFonts w:ascii="Candara" w:hAnsi="Candara"/>
                <w:sz w:val="16"/>
                <w:szCs w:val="16"/>
              </w:rPr>
            </w:pPr>
            <w:r>
              <w:rPr>
                <w:rFonts w:ascii="Candara" w:hAnsi="Candara"/>
                <w:sz w:val="16"/>
                <w:szCs w:val="16"/>
              </w:rPr>
              <w:t>4.6 (4.3 to 5.1)</w:t>
            </w:r>
          </w:p>
        </w:tc>
        <w:tc>
          <w:tcPr>
            <w:tcW w:w="1826" w:type="dxa"/>
          </w:tcPr>
          <w:p w14:paraId="05A7EB48" w14:textId="77777777" w:rsidR="00696774" w:rsidRPr="0047321F" w:rsidRDefault="00696774" w:rsidP="000C0EE7">
            <w:pPr>
              <w:rPr>
                <w:rFonts w:ascii="Candara" w:hAnsi="Candara"/>
                <w:sz w:val="16"/>
                <w:szCs w:val="16"/>
              </w:rPr>
            </w:pPr>
            <w:r>
              <w:rPr>
                <w:rFonts w:ascii="Candara" w:hAnsi="Candara"/>
                <w:sz w:val="16"/>
                <w:szCs w:val="16"/>
              </w:rPr>
              <w:t>4.9 (4.4 to 5.3)</w:t>
            </w:r>
          </w:p>
        </w:tc>
        <w:tc>
          <w:tcPr>
            <w:tcW w:w="1827" w:type="dxa"/>
          </w:tcPr>
          <w:p w14:paraId="15F9EF4B" w14:textId="77777777" w:rsidR="00696774" w:rsidRPr="0047321F" w:rsidRDefault="00696774" w:rsidP="000C0EE7">
            <w:pPr>
              <w:rPr>
                <w:rFonts w:ascii="Candara" w:hAnsi="Candara"/>
                <w:sz w:val="16"/>
                <w:szCs w:val="16"/>
              </w:rPr>
            </w:pPr>
            <w:r>
              <w:rPr>
                <w:rFonts w:ascii="Candara" w:hAnsi="Candara"/>
                <w:sz w:val="16"/>
                <w:szCs w:val="16"/>
              </w:rPr>
              <w:t>5.0 (4.5 to 5.6)</w:t>
            </w:r>
          </w:p>
        </w:tc>
        <w:tc>
          <w:tcPr>
            <w:tcW w:w="663" w:type="dxa"/>
          </w:tcPr>
          <w:p w14:paraId="305DC453"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2B5F2228" w14:textId="77777777" w:rsidTr="000C0EE7">
        <w:trPr>
          <w:jc w:val="center"/>
        </w:trPr>
        <w:tc>
          <w:tcPr>
            <w:tcW w:w="3794" w:type="dxa"/>
            <w:vAlign w:val="bottom"/>
          </w:tcPr>
          <w:p w14:paraId="1F2D1D41"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Sodium, mEq/L</w:t>
            </w:r>
          </w:p>
        </w:tc>
        <w:tc>
          <w:tcPr>
            <w:tcW w:w="1687" w:type="dxa"/>
          </w:tcPr>
          <w:p w14:paraId="20C817D6" w14:textId="77777777" w:rsidR="00696774" w:rsidRPr="00E126B3" w:rsidRDefault="00696774" w:rsidP="000C0EE7">
            <w:pPr>
              <w:rPr>
                <w:rFonts w:ascii="Candara" w:hAnsi="Candara"/>
                <w:sz w:val="16"/>
                <w:szCs w:val="16"/>
              </w:rPr>
            </w:pPr>
            <w:r w:rsidRPr="00E126B3">
              <w:rPr>
                <w:rFonts w:ascii="Candara" w:hAnsi="Candara"/>
                <w:sz w:val="16"/>
                <w:szCs w:val="16"/>
              </w:rPr>
              <w:t xml:space="preserve">141.0 (138.0 </w:t>
            </w:r>
            <w:r w:rsidRPr="00E126B3">
              <w:rPr>
                <w:rFonts w:ascii="Candara" w:hAnsi="Candara" w:hint="eastAsia"/>
                <w:sz w:val="16"/>
                <w:szCs w:val="16"/>
              </w:rPr>
              <w:t>to 143.2)</w:t>
            </w:r>
          </w:p>
        </w:tc>
        <w:tc>
          <w:tcPr>
            <w:tcW w:w="1827" w:type="dxa"/>
          </w:tcPr>
          <w:p w14:paraId="374742B0" w14:textId="77777777" w:rsidR="00696774" w:rsidRPr="0047321F" w:rsidRDefault="00696774" w:rsidP="000C0EE7">
            <w:pPr>
              <w:rPr>
                <w:rFonts w:ascii="Candara" w:hAnsi="Candara"/>
                <w:sz w:val="16"/>
                <w:szCs w:val="16"/>
              </w:rPr>
            </w:pPr>
            <w:r>
              <w:rPr>
                <w:rFonts w:ascii="Candara" w:hAnsi="Candara"/>
                <w:sz w:val="16"/>
                <w:szCs w:val="16"/>
              </w:rPr>
              <w:t>141.0 (138.0 to 144.0)</w:t>
            </w:r>
          </w:p>
        </w:tc>
        <w:tc>
          <w:tcPr>
            <w:tcW w:w="1826" w:type="dxa"/>
          </w:tcPr>
          <w:p w14:paraId="43D61A87" w14:textId="77777777" w:rsidR="00696774" w:rsidRPr="0047321F" w:rsidRDefault="00696774" w:rsidP="000C0EE7">
            <w:pPr>
              <w:rPr>
                <w:rFonts w:ascii="Candara" w:hAnsi="Candara"/>
                <w:sz w:val="16"/>
                <w:szCs w:val="16"/>
              </w:rPr>
            </w:pPr>
            <w:r>
              <w:rPr>
                <w:rFonts w:ascii="Candara" w:hAnsi="Candara"/>
                <w:sz w:val="16"/>
                <w:szCs w:val="16"/>
              </w:rPr>
              <w:t>140.3 (138.0 to 143.0)</w:t>
            </w:r>
          </w:p>
        </w:tc>
        <w:tc>
          <w:tcPr>
            <w:tcW w:w="1827" w:type="dxa"/>
          </w:tcPr>
          <w:p w14:paraId="07C4768D" w14:textId="77777777" w:rsidR="00696774" w:rsidRPr="0047321F" w:rsidRDefault="00696774" w:rsidP="000C0EE7">
            <w:pPr>
              <w:rPr>
                <w:rFonts w:ascii="Candara" w:hAnsi="Candara"/>
                <w:sz w:val="16"/>
                <w:szCs w:val="16"/>
              </w:rPr>
            </w:pPr>
            <w:r>
              <w:rPr>
                <w:rFonts w:ascii="Candara" w:hAnsi="Candara"/>
                <w:sz w:val="16"/>
                <w:szCs w:val="16"/>
              </w:rPr>
              <w:t>140.0 (137.2 to 142.5)</w:t>
            </w:r>
          </w:p>
        </w:tc>
        <w:tc>
          <w:tcPr>
            <w:tcW w:w="663" w:type="dxa"/>
          </w:tcPr>
          <w:p w14:paraId="1704B9F8"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6DD7F8A0" w14:textId="77777777" w:rsidTr="000C0EE7">
        <w:trPr>
          <w:jc w:val="center"/>
        </w:trPr>
        <w:tc>
          <w:tcPr>
            <w:tcW w:w="3794" w:type="dxa"/>
            <w:vAlign w:val="bottom"/>
          </w:tcPr>
          <w:p w14:paraId="7BAE21CF"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C-reacti</w:t>
            </w:r>
            <w:r>
              <w:rPr>
                <w:rFonts w:ascii="Candara" w:hAnsi="Candara"/>
                <w:color w:val="000000"/>
                <w:sz w:val="16"/>
                <w:szCs w:val="16"/>
              </w:rPr>
              <w:t>ve</w:t>
            </w:r>
            <w:r w:rsidRPr="0047321F">
              <w:rPr>
                <w:rFonts w:ascii="Candara" w:hAnsi="Candara"/>
                <w:color w:val="000000"/>
                <w:sz w:val="16"/>
                <w:szCs w:val="16"/>
              </w:rPr>
              <w:t xml:space="preserve"> protein, mg/dl</w:t>
            </w:r>
          </w:p>
        </w:tc>
        <w:tc>
          <w:tcPr>
            <w:tcW w:w="1687" w:type="dxa"/>
          </w:tcPr>
          <w:p w14:paraId="6253F4C3" w14:textId="77777777" w:rsidR="00696774" w:rsidRPr="00E126B3" w:rsidRDefault="00696774" w:rsidP="000C0EE7">
            <w:pPr>
              <w:rPr>
                <w:rFonts w:ascii="Candara" w:hAnsi="Candara"/>
                <w:sz w:val="16"/>
                <w:szCs w:val="16"/>
              </w:rPr>
            </w:pPr>
            <w:r w:rsidRPr="00E126B3">
              <w:rPr>
                <w:rFonts w:ascii="Candara" w:hAnsi="Candara"/>
                <w:sz w:val="16"/>
                <w:szCs w:val="16"/>
              </w:rPr>
              <w:t>2.0 (1.0 to 6.1)</w:t>
            </w:r>
          </w:p>
        </w:tc>
        <w:tc>
          <w:tcPr>
            <w:tcW w:w="1827" w:type="dxa"/>
          </w:tcPr>
          <w:p w14:paraId="49E1D2B4" w14:textId="77777777" w:rsidR="00696774" w:rsidRPr="0047321F" w:rsidRDefault="00696774" w:rsidP="000C0EE7">
            <w:pPr>
              <w:rPr>
                <w:rFonts w:ascii="Candara" w:hAnsi="Candara"/>
                <w:sz w:val="16"/>
                <w:szCs w:val="16"/>
              </w:rPr>
            </w:pPr>
            <w:r>
              <w:rPr>
                <w:rFonts w:ascii="Candara" w:hAnsi="Candara"/>
                <w:sz w:val="16"/>
                <w:szCs w:val="16"/>
              </w:rPr>
              <w:t>1.2 (0.6 to 2.8)</w:t>
            </w:r>
          </w:p>
        </w:tc>
        <w:tc>
          <w:tcPr>
            <w:tcW w:w="1826" w:type="dxa"/>
          </w:tcPr>
          <w:p w14:paraId="775D1283" w14:textId="77777777" w:rsidR="00696774" w:rsidRPr="0047321F" w:rsidRDefault="00696774" w:rsidP="000C0EE7">
            <w:pPr>
              <w:rPr>
                <w:rFonts w:ascii="Candara" w:hAnsi="Candara"/>
                <w:sz w:val="16"/>
                <w:szCs w:val="16"/>
              </w:rPr>
            </w:pPr>
            <w:r>
              <w:rPr>
                <w:rFonts w:ascii="Candara" w:hAnsi="Candara"/>
                <w:sz w:val="16"/>
                <w:szCs w:val="16"/>
              </w:rPr>
              <w:t>2.3 (1.0 to 5.8)</w:t>
            </w:r>
          </w:p>
        </w:tc>
        <w:tc>
          <w:tcPr>
            <w:tcW w:w="1827" w:type="dxa"/>
          </w:tcPr>
          <w:p w14:paraId="489C2499" w14:textId="77777777" w:rsidR="00696774" w:rsidRPr="0047321F" w:rsidRDefault="00696774" w:rsidP="000C0EE7">
            <w:pPr>
              <w:rPr>
                <w:rFonts w:ascii="Candara" w:hAnsi="Candara"/>
                <w:sz w:val="16"/>
                <w:szCs w:val="16"/>
              </w:rPr>
            </w:pPr>
            <w:r>
              <w:rPr>
                <w:rFonts w:ascii="Candara" w:hAnsi="Candara"/>
                <w:sz w:val="16"/>
                <w:szCs w:val="16"/>
              </w:rPr>
              <w:t>3.0 (1.3 to 5.2)</w:t>
            </w:r>
          </w:p>
        </w:tc>
        <w:tc>
          <w:tcPr>
            <w:tcW w:w="663" w:type="dxa"/>
          </w:tcPr>
          <w:p w14:paraId="2934E8E9"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25F623C1" w14:textId="77777777" w:rsidTr="000C0EE7">
        <w:trPr>
          <w:jc w:val="center"/>
        </w:trPr>
        <w:tc>
          <w:tcPr>
            <w:tcW w:w="3794" w:type="dxa"/>
            <w:vAlign w:val="bottom"/>
          </w:tcPr>
          <w:p w14:paraId="116A04FE"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Body mass index, kg/m</w:t>
            </w:r>
            <w:r w:rsidRPr="0047321F">
              <w:rPr>
                <w:rFonts w:ascii="Candara" w:hAnsi="Candara"/>
                <w:color w:val="000000"/>
                <w:sz w:val="16"/>
                <w:szCs w:val="16"/>
                <w:vertAlign w:val="superscript"/>
              </w:rPr>
              <w:t>2</w:t>
            </w:r>
          </w:p>
        </w:tc>
        <w:tc>
          <w:tcPr>
            <w:tcW w:w="1687" w:type="dxa"/>
          </w:tcPr>
          <w:p w14:paraId="2B4E4949" w14:textId="77777777" w:rsidR="00696774" w:rsidRPr="00E126B3" w:rsidRDefault="00696774" w:rsidP="000C0EE7">
            <w:pPr>
              <w:rPr>
                <w:rFonts w:ascii="Candara" w:hAnsi="Candara"/>
                <w:sz w:val="16"/>
                <w:szCs w:val="16"/>
              </w:rPr>
            </w:pPr>
            <w:r w:rsidRPr="00E126B3">
              <w:rPr>
                <w:rFonts w:ascii="Candara" w:hAnsi="Candara"/>
                <w:sz w:val="16"/>
                <w:szCs w:val="16"/>
              </w:rPr>
              <w:t>22.2 (20.6 to 24.1)</w:t>
            </w:r>
          </w:p>
        </w:tc>
        <w:tc>
          <w:tcPr>
            <w:tcW w:w="1827" w:type="dxa"/>
          </w:tcPr>
          <w:p w14:paraId="755E3428" w14:textId="77777777" w:rsidR="00696774" w:rsidRPr="0047321F" w:rsidRDefault="00696774" w:rsidP="000C0EE7">
            <w:pPr>
              <w:rPr>
                <w:rFonts w:ascii="Candara" w:hAnsi="Candara"/>
                <w:sz w:val="16"/>
                <w:szCs w:val="16"/>
              </w:rPr>
            </w:pPr>
            <w:r>
              <w:rPr>
                <w:rFonts w:ascii="Candara" w:hAnsi="Candara"/>
                <w:sz w:val="16"/>
                <w:szCs w:val="16"/>
              </w:rPr>
              <w:t>22.5 (20.8 to 24.6)</w:t>
            </w:r>
          </w:p>
        </w:tc>
        <w:tc>
          <w:tcPr>
            <w:tcW w:w="1826" w:type="dxa"/>
          </w:tcPr>
          <w:p w14:paraId="3A03DD0A" w14:textId="77777777" w:rsidR="00696774" w:rsidRPr="0047321F" w:rsidRDefault="00696774" w:rsidP="000C0EE7">
            <w:pPr>
              <w:rPr>
                <w:rFonts w:ascii="Candara" w:hAnsi="Candara"/>
                <w:sz w:val="16"/>
                <w:szCs w:val="16"/>
              </w:rPr>
            </w:pPr>
            <w:r>
              <w:rPr>
                <w:rFonts w:ascii="Candara" w:hAnsi="Candara"/>
                <w:sz w:val="16"/>
                <w:szCs w:val="16"/>
              </w:rPr>
              <w:t>22.7 (20.8 to 25.1)</w:t>
            </w:r>
          </w:p>
        </w:tc>
        <w:tc>
          <w:tcPr>
            <w:tcW w:w="1827" w:type="dxa"/>
          </w:tcPr>
          <w:p w14:paraId="4143A1DF" w14:textId="77777777" w:rsidR="00696774" w:rsidRPr="0047321F" w:rsidRDefault="00696774" w:rsidP="000C0EE7">
            <w:pPr>
              <w:rPr>
                <w:rFonts w:ascii="Candara" w:hAnsi="Candara"/>
                <w:sz w:val="16"/>
                <w:szCs w:val="16"/>
              </w:rPr>
            </w:pPr>
            <w:r>
              <w:rPr>
                <w:rFonts w:ascii="Candara" w:hAnsi="Candara"/>
                <w:sz w:val="16"/>
                <w:szCs w:val="16"/>
              </w:rPr>
              <w:t>23.3 (21.1 to 25.2)</w:t>
            </w:r>
          </w:p>
        </w:tc>
        <w:tc>
          <w:tcPr>
            <w:tcW w:w="663" w:type="dxa"/>
          </w:tcPr>
          <w:p w14:paraId="5AA5CEAA"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6354D531" w14:textId="77777777" w:rsidTr="000C0EE7">
        <w:trPr>
          <w:jc w:val="center"/>
        </w:trPr>
        <w:tc>
          <w:tcPr>
            <w:tcW w:w="3794" w:type="dxa"/>
            <w:vAlign w:val="bottom"/>
          </w:tcPr>
          <w:p w14:paraId="6EC66E57"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Systolic blood pressure, mmHg</w:t>
            </w:r>
          </w:p>
        </w:tc>
        <w:tc>
          <w:tcPr>
            <w:tcW w:w="1687" w:type="dxa"/>
          </w:tcPr>
          <w:p w14:paraId="4D83E788" w14:textId="77777777" w:rsidR="00696774" w:rsidRPr="00E126B3" w:rsidRDefault="00696774" w:rsidP="000C0EE7">
            <w:pPr>
              <w:rPr>
                <w:rFonts w:ascii="Candara" w:hAnsi="Candara"/>
                <w:sz w:val="16"/>
                <w:szCs w:val="16"/>
              </w:rPr>
            </w:pPr>
            <w:r>
              <w:rPr>
                <w:rFonts w:ascii="Candara" w:hAnsi="Candara"/>
                <w:sz w:val="16"/>
                <w:szCs w:val="16"/>
              </w:rPr>
              <w:t>140.0 (132.0 to 154.0)</w:t>
            </w:r>
          </w:p>
        </w:tc>
        <w:tc>
          <w:tcPr>
            <w:tcW w:w="1827" w:type="dxa"/>
          </w:tcPr>
          <w:p w14:paraId="585623D9" w14:textId="77777777" w:rsidR="00696774" w:rsidRPr="0047321F" w:rsidRDefault="00696774" w:rsidP="000C0EE7">
            <w:pPr>
              <w:rPr>
                <w:rFonts w:ascii="Candara" w:hAnsi="Candara"/>
                <w:sz w:val="16"/>
                <w:szCs w:val="16"/>
              </w:rPr>
            </w:pPr>
            <w:r>
              <w:rPr>
                <w:rFonts w:ascii="Candara" w:hAnsi="Candara"/>
                <w:sz w:val="16"/>
                <w:szCs w:val="16"/>
              </w:rPr>
              <w:t>142.0 (135.0 to 155.0)</w:t>
            </w:r>
          </w:p>
        </w:tc>
        <w:tc>
          <w:tcPr>
            <w:tcW w:w="1826" w:type="dxa"/>
          </w:tcPr>
          <w:p w14:paraId="7BAA14B2" w14:textId="77777777" w:rsidR="00696774" w:rsidRPr="0047321F" w:rsidRDefault="00696774" w:rsidP="000C0EE7">
            <w:pPr>
              <w:rPr>
                <w:rFonts w:ascii="Candara" w:hAnsi="Candara"/>
                <w:sz w:val="16"/>
                <w:szCs w:val="16"/>
              </w:rPr>
            </w:pPr>
            <w:r w:rsidRPr="00E126B3">
              <w:rPr>
                <w:rFonts w:ascii="Candara" w:hAnsi="Candara"/>
                <w:sz w:val="16"/>
                <w:szCs w:val="16"/>
              </w:rPr>
              <w:t>145.0 (135.0 to 156.0)</w:t>
            </w:r>
          </w:p>
        </w:tc>
        <w:tc>
          <w:tcPr>
            <w:tcW w:w="1827" w:type="dxa"/>
          </w:tcPr>
          <w:p w14:paraId="46E8DAD6" w14:textId="77777777" w:rsidR="00696774" w:rsidRPr="0047321F" w:rsidRDefault="00696774" w:rsidP="000C0EE7">
            <w:pPr>
              <w:rPr>
                <w:rFonts w:ascii="Candara" w:hAnsi="Candara"/>
                <w:sz w:val="16"/>
                <w:szCs w:val="16"/>
              </w:rPr>
            </w:pPr>
            <w:r>
              <w:rPr>
                <w:rFonts w:ascii="Candara" w:hAnsi="Candara"/>
                <w:sz w:val="16"/>
                <w:szCs w:val="16"/>
              </w:rPr>
              <w:t>145.0 (135.0 to 155.0)</w:t>
            </w:r>
          </w:p>
        </w:tc>
        <w:tc>
          <w:tcPr>
            <w:tcW w:w="663" w:type="dxa"/>
          </w:tcPr>
          <w:p w14:paraId="6E202C6A"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7826234D" w14:textId="77777777" w:rsidTr="000C0EE7">
        <w:trPr>
          <w:jc w:val="center"/>
        </w:trPr>
        <w:tc>
          <w:tcPr>
            <w:tcW w:w="3794" w:type="dxa"/>
            <w:vAlign w:val="bottom"/>
          </w:tcPr>
          <w:p w14:paraId="4883AE37"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Diastolic blood pressure, mmHg</w:t>
            </w:r>
          </w:p>
        </w:tc>
        <w:tc>
          <w:tcPr>
            <w:tcW w:w="1687" w:type="dxa"/>
          </w:tcPr>
          <w:p w14:paraId="7EBF3FA8" w14:textId="77777777" w:rsidR="00696774" w:rsidRPr="00E126B3" w:rsidRDefault="00696774" w:rsidP="000C0EE7">
            <w:pPr>
              <w:rPr>
                <w:rFonts w:ascii="Candara" w:hAnsi="Candara"/>
                <w:sz w:val="16"/>
                <w:szCs w:val="16"/>
              </w:rPr>
            </w:pPr>
            <w:r w:rsidRPr="00E126B3">
              <w:rPr>
                <w:rFonts w:ascii="Candara" w:hAnsi="Candara"/>
                <w:sz w:val="16"/>
                <w:szCs w:val="16"/>
              </w:rPr>
              <w:t>89.0 (80.0 to 98.0)</w:t>
            </w:r>
          </w:p>
        </w:tc>
        <w:tc>
          <w:tcPr>
            <w:tcW w:w="1827" w:type="dxa"/>
          </w:tcPr>
          <w:p w14:paraId="09F9FB68" w14:textId="77777777" w:rsidR="00696774" w:rsidRPr="0047321F" w:rsidRDefault="00696774" w:rsidP="000C0EE7">
            <w:pPr>
              <w:rPr>
                <w:rFonts w:ascii="Candara" w:hAnsi="Candara"/>
                <w:sz w:val="16"/>
                <w:szCs w:val="16"/>
              </w:rPr>
            </w:pPr>
            <w:r>
              <w:rPr>
                <w:rFonts w:ascii="Candara" w:hAnsi="Candara"/>
                <w:sz w:val="16"/>
                <w:szCs w:val="16"/>
              </w:rPr>
              <w:t>86.0 (80.0 to 92.0)</w:t>
            </w:r>
          </w:p>
        </w:tc>
        <w:tc>
          <w:tcPr>
            <w:tcW w:w="1826" w:type="dxa"/>
          </w:tcPr>
          <w:p w14:paraId="562E837F" w14:textId="77777777" w:rsidR="00696774" w:rsidRPr="0047321F" w:rsidRDefault="00696774" w:rsidP="000C0EE7">
            <w:pPr>
              <w:rPr>
                <w:rFonts w:ascii="Candara" w:hAnsi="Candara"/>
                <w:sz w:val="16"/>
                <w:szCs w:val="16"/>
              </w:rPr>
            </w:pPr>
            <w:r>
              <w:rPr>
                <w:rFonts w:ascii="Candara" w:hAnsi="Candara"/>
                <w:sz w:val="16"/>
                <w:szCs w:val="16"/>
              </w:rPr>
              <w:t>85.0 (80.0 to 93.0)</w:t>
            </w:r>
          </w:p>
        </w:tc>
        <w:tc>
          <w:tcPr>
            <w:tcW w:w="1827" w:type="dxa"/>
          </w:tcPr>
          <w:p w14:paraId="51777A40" w14:textId="77777777" w:rsidR="00696774" w:rsidRPr="0047321F" w:rsidRDefault="00696774" w:rsidP="000C0EE7">
            <w:pPr>
              <w:rPr>
                <w:rFonts w:ascii="Candara" w:hAnsi="Candara"/>
                <w:sz w:val="16"/>
                <w:szCs w:val="16"/>
              </w:rPr>
            </w:pPr>
            <w:r>
              <w:rPr>
                <w:rFonts w:ascii="Candara" w:hAnsi="Candara"/>
                <w:sz w:val="16"/>
                <w:szCs w:val="16"/>
              </w:rPr>
              <w:t>85.0 (80.0 to 92.0)</w:t>
            </w:r>
          </w:p>
        </w:tc>
        <w:tc>
          <w:tcPr>
            <w:tcW w:w="663" w:type="dxa"/>
          </w:tcPr>
          <w:p w14:paraId="6F99BE4B"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1DAF2E1F" w14:textId="77777777" w:rsidTr="000C0EE7">
        <w:trPr>
          <w:jc w:val="center"/>
        </w:trPr>
        <w:tc>
          <w:tcPr>
            <w:tcW w:w="3794" w:type="dxa"/>
            <w:vAlign w:val="bottom"/>
          </w:tcPr>
          <w:p w14:paraId="6A253C14"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Cardiovascular diseases, n (%)</w:t>
            </w:r>
          </w:p>
        </w:tc>
        <w:tc>
          <w:tcPr>
            <w:tcW w:w="1687" w:type="dxa"/>
            <w:vAlign w:val="bottom"/>
          </w:tcPr>
          <w:p w14:paraId="317EB5E4" w14:textId="77777777" w:rsidR="00696774" w:rsidRPr="004C7C22" w:rsidRDefault="00696774" w:rsidP="000C0EE7">
            <w:pPr>
              <w:rPr>
                <w:rFonts w:ascii="Candara" w:hAnsi="Candara"/>
                <w:sz w:val="16"/>
                <w:szCs w:val="16"/>
              </w:rPr>
            </w:pPr>
            <w:r w:rsidRPr="004C7C22">
              <w:rPr>
                <w:rFonts w:ascii="Candara" w:hAnsi="Candara"/>
                <w:sz w:val="16"/>
                <w:szCs w:val="16"/>
              </w:rPr>
              <w:t>310 (40.5)</w:t>
            </w:r>
          </w:p>
        </w:tc>
        <w:tc>
          <w:tcPr>
            <w:tcW w:w="1827" w:type="dxa"/>
            <w:vAlign w:val="bottom"/>
          </w:tcPr>
          <w:p w14:paraId="6514B182" w14:textId="77777777" w:rsidR="00696774" w:rsidRPr="0047321F" w:rsidRDefault="00696774" w:rsidP="000C0EE7">
            <w:pPr>
              <w:rPr>
                <w:rFonts w:ascii="Candara" w:hAnsi="Candara"/>
                <w:sz w:val="16"/>
                <w:szCs w:val="16"/>
              </w:rPr>
            </w:pPr>
            <w:r w:rsidRPr="004C7C22">
              <w:rPr>
                <w:rFonts w:ascii="Candara" w:hAnsi="Candara"/>
                <w:sz w:val="16"/>
                <w:szCs w:val="16"/>
              </w:rPr>
              <w:t>327 (43.0)</w:t>
            </w:r>
          </w:p>
        </w:tc>
        <w:tc>
          <w:tcPr>
            <w:tcW w:w="1826" w:type="dxa"/>
            <w:vAlign w:val="bottom"/>
          </w:tcPr>
          <w:p w14:paraId="65EAC594" w14:textId="77777777" w:rsidR="00696774" w:rsidRPr="0047321F" w:rsidRDefault="00696774" w:rsidP="000C0EE7">
            <w:pPr>
              <w:rPr>
                <w:rFonts w:ascii="Candara" w:hAnsi="Candara"/>
                <w:sz w:val="16"/>
                <w:szCs w:val="16"/>
              </w:rPr>
            </w:pPr>
            <w:r w:rsidRPr="004C7C22">
              <w:rPr>
                <w:rFonts w:ascii="Candara" w:hAnsi="Candara"/>
                <w:sz w:val="16"/>
                <w:szCs w:val="16"/>
              </w:rPr>
              <w:t>336 (43.9)</w:t>
            </w:r>
          </w:p>
        </w:tc>
        <w:tc>
          <w:tcPr>
            <w:tcW w:w="1827" w:type="dxa"/>
            <w:vAlign w:val="bottom"/>
          </w:tcPr>
          <w:p w14:paraId="7AAABA8B" w14:textId="77777777" w:rsidR="00696774" w:rsidRPr="0047321F" w:rsidRDefault="00696774" w:rsidP="000C0EE7">
            <w:pPr>
              <w:rPr>
                <w:rFonts w:ascii="Candara" w:hAnsi="Candara"/>
                <w:sz w:val="16"/>
                <w:szCs w:val="16"/>
              </w:rPr>
            </w:pPr>
            <w:r w:rsidRPr="004C7C22">
              <w:rPr>
                <w:rFonts w:ascii="Candara" w:hAnsi="Candara"/>
                <w:sz w:val="16"/>
                <w:szCs w:val="16"/>
              </w:rPr>
              <w:t>411 (53.9)</w:t>
            </w:r>
          </w:p>
        </w:tc>
        <w:tc>
          <w:tcPr>
            <w:tcW w:w="663" w:type="dxa"/>
          </w:tcPr>
          <w:p w14:paraId="02C36966"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67255703" w14:textId="77777777" w:rsidTr="000C0EE7">
        <w:trPr>
          <w:jc w:val="center"/>
        </w:trPr>
        <w:tc>
          <w:tcPr>
            <w:tcW w:w="3794" w:type="dxa"/>
            <w:vAlign w:val="bottom"/>
          </w:tcPr>
          <w:p w14:paraId="64891A5A"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Type 2 Diabetes, n (%)</w:t>
            </w:r>
          </w:p>
        </w:tc>
        <w:tc>
          <w:tcPr>
            <w:tcW w:w="1687" w:type="dxa"/>
            <w:vAlign w:val="bottom"/>
          </w:tcPr>
          <w:p w14:paraId="7AC4DD49" w14:textId="77777777" w:rsidR="00696774" w:rsidRPr="00D77C3A" w:rsidRDefault="00696774" w:rsidP="000C0EE7">
            <w:pPr>
              <w:rPr>
                <w:rFonts w:ascii="Candara" w:hAnsi="Candara"/>
                <w:sz w:val="16"/>
                <w:szCs w:val="16"/>
              </w:rPr>
            </w:pPr>
            <w:r w:rsidRPr="00D77C3A">
              <w:rPr>
                <w:rFonts w:ascii="Candara" w:hAnsi="Candara"/>
                <w:sz w:val="16"/>
                <w:szCs w:val="16"/>
              </w:rPr>
              <w:t>99 (12.9)</w:t>
            </w:r>
          </w:p>
        </w:tc>
        <w:tc>
          <w:tcPr>
            <w:tcW w:w="1827" w:type="dxa"/>
            <w:vAlign w:val="bottom"/>
          </w:tcPr>
          <w:p w14:paraId="6D6A3D9E" w14:textId="77777777" w:rsidR="00696774" w:rsidRPr="0047321F" w:rsidRDefault="00696774" w:rsidP="000C0EE7">
            <w:pPr>
              <w:rPr>
                <w:rFonts w:ascii="Candara" w:hAnsi="Candara"/>
                <w:sz w:val="16"/>
                <w:szCs w:val="16"/>
              </w:rPr>
            </w:pPr>
            <w:r w:rsidRPr="00D77C3A">
              <w:rPr>
                <w:rFonts w:ascii="Candara" w:hAnsi="Candara"/>
                <w:sz w:val="16"/>
                <w:szCs w:val="16"/>
              </w:rPr>
              <w:t>108 (14.2)</w:t>
            </w:r>
          </w:p>
        </w:tc>
        <w:tc>
          <w:tcPr>
            <w:tcW w:w="1826" w:type="dxa"/>
            <w:vAlign w:val="bottom"/>
          </w:tcPr>
          <w:p w14:paraId="1FCAB93B" w14:textId="77777777" w:rsidR="00696774" w:rsidRPr="0047321F" w:rsidRDefault="00696774" w:rsidP="000C0EE7">
            <w:pPr>
              <w:rPr>
                <w:rFonts w:ascii="Candara" w:hAnsi="Candara"/>
                <w:sz w:val="16"/>
                <w:szCs w:val="16"/>
              </w:rPr>
            </w:pPr>
            <w:r w:rsidRPr="00D77C3A">
              <w:rPr>
                <w:rFonts w:ascii="Candara" w:hAnsi="Candara"/>
                <w:sz w:val="16"/>
                <w:szCs w:val="16"/>
              </w:rPr>
              <w:t>113 (14.8)</w:t>
            </w:r>
          </w:p>
        </w:tc>
        <w:tc>
          <w:tcPr>
            <w:tcW w:w="1827" w:type="dxa"/>
            <w:vAlign w:val="bottom"/>
          </w:tcPr>
          <w:p w14:paraId="3F30D663" w14:textId="77777777" w:rsidR="00696774" w:rsidRPr="0047321F" w:rsidRDefault="00696774" w:rsidP="000C0EE7">
            <w:pPr>
              <w:rPr>
                <w:rFonts w:ascii="Candara" w:hAnsi="Candara"/>
                <w:sz w:val="16"/>
                <w:szCs w:val="16"/>
              </w:rPr>
            </w:pPr>
            <w:r w:rsidRPr="00D77C3A">
              <w:rPr>
                <w:rFonts w:ascii="Candara" w:hAnsi="Candara"/>
                <w:sz w:val="16"/>
                <w:szCs w:val="16"/>
              </w:rPr>
              <w:t>129 (16.9)</w:t>
            </w:r>
          </w:p>
        </w:tc>
        <w:tc>
          <w:tcPr>
            <w:tcW w:w="663" w:type="dxa"/>
          </w:tcPr>
          <w:p w14:paraId="4F9D7885"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0F350012" w14:textId="77777777" w:rsidTr="000C0EE7">
        <w:trPr>
          <w:jc w:val="center"/>
        </w:trPr>
        <w:tc>
          <w:tcPr>
            <w:tcW w:w="3794" w:type="dxa"/>
            <w:vAlign w:val="bottom"/>
          </w:tcPr>
          <w:p w14:paraId="1E87FFFC" w14:textId="77777777" w:rsidR="00696774" w:rsidRPr="0047321F" w:rsidRDefault="00696774" w:rsidP="000C0EE7">
            <w:pPr>
              <w:rPr>
                <w:rFonts w:ascii="Candara" w:hAnsi="Candara"/>
                <w:color w:val="000000"/>
                <w:sz w:val="16"/>
                <w:szCs w:val="16"/>
              </w:rPr>
            </w:pPr>
            <w:r w:rsidRPr="0047321F">
              <w:rPr>
                <w:rFonts w:ascii="Candara" w:hAnsi="Candara"/>
                <w:color w:val="000000"/>
                <w:sz w:val="16"/>
                <w:szCs w:val="16"/>
              </w:rPr>
              <w:t>Taking antihypertensive treatment, n (%)</w:t>
            </w:r>
          </w:p>
        </w:tc>
        <w:tc>
          <w:tcPr>
            <w:tcW w:w="1687" w:type="dxa"/>
            <w:vAlign w:val="bottom"/>
          </w:tcPr>
          <w:p w14:paraId="62741D9E" w14:textId="77777777" w:rsidR="00696774" w:rsidRPr="00966E9A" w:rsidRDefault="00696774" w:rsidP="000C0EE7">
            <w:pPr>
              <w:rPr>
                <w:rFonts w:ascii="Candara" w:hAnsi="Candara"/>
                <w:sz w:val="16"/>
                <w:szCs w:val="16"/>
              </w:rPr>
            </w:pPr>
            <w:r w:rsidRPr="00966E9A">
              <w:rPr>
                <w:rFonts w:ascii="Candara" w:hAnsi="Candara"/>
                <w:sz w:val="16"/>
                <w:szCs w:val="16"/>
              </w:rPr>
              <w:t>333 (43.5)</w:t>
            </w:r>
          </w:p>
        </w:tc>
        <w:tc>
          <w:tcPr>
            <w:tcW w:w="1827" w:type="dxa"/>
            <w:vAlign w:val="bottom"/>
          </w:tcPr>
          <w:p w14:paraId="1BA123A5" w14:textId="77777777" w:rsidR="00696774" w:rsidRPr="0047321F" w:rsidRDefault="00696774" w:rsidP="000C0EE7">
            <w:pPr>
              <w:rPr>
                <w:rFonts w:ascii="Candara" w:hAnsi="Candara"/>
                <w:sz w:val="16"/>
                <w:szCs w:val="16"/>
              </w:rPr>
            </w:pPr>
            <w:r w:rsidRPr="00966E9A">
              <w:rPr>
                <w:rFonts w:ascii="Candara" w:hAnsi="Candara"/>
                <w:sz w:val="16"/>
                <w:szCs w:val="16"/>
              </w:rPr>
              <w:t>320 (42.1)</w:t>
            </w:r>
          </w:p>
        </w:tc>
        <w:tc>
          <w:tcPr>
            <w:tcW w:w="1826" w:type="dxa"/>
            <w:vAlign w:val="bottom"/>
          </w:tcPr>
          <w:p w14:paraId="0FE14457" w14:textId="77777777" w:rsidR="00696774" w:rsidRPr="0047321F" w:rsidRDefault="00696774" w:rsidP="000C0EE7">
            <w:pPr>
              <w:rPr>
                <w:rFonts w:ascii="Candara" w:hAnsi="Candara"/>
                <w:sz w:val="16"/>
                <w:szCs w:val="16"/>
              </w:rPr>
            </w:pPr>
            <w:r w:rsidRPr="00966E9A">
              <w:rPr>
                <w:rFonts w:ascii="Candara" w:hAnsi="Candara"/>
                <w:sz w:val="16"/>
                <w:szCs w:val="16"/>
              </w:rPr>
              <w:t>315 (41.1)</w:t>
            </w:r>
          </w:p>
        </w:tc>
        <w:tc>
          <w:tcPr>
            <w:tcW w:w="1827" w:type="dxa"/>
            <w:vAlign w:val="bottom"/>
          </w:tcPr>
          <w:p w14:paraId="50077773" w14:textId="77777777" w:rsidR="00696774" w:rsidRPr="0047321F" w:rsidRDefault="00696774" w:rsidP="000C0EE7">
            <w:pPr>
              <w:rPr>
                <w:rFonts w:ascii="Candara" w:hAnsi="Candara"/>
                <w:sz w:val="16"/>
                <w:szCs w:val="16"/>
              </w:rPr>
            </w:pPr>
            <w:r w:rsidRPr="00966E9A">
              <w:rPr>
                <w:rFonts w:ascii="Candara" w:hAnsi="Candara"/>
                <w:sz w:val="16"/>
                <w:szCs w:val="16"/>
              </w:rPr>
              <w:t>289 (37.9)</w:t>
            </w:r>
          </w:p>
        </w:tc>
        <w:tc>
          <w:tcPr>
            <w:tcW w:w="663" w:type="dxa"/>
          </w:tcPr>
          <w:p w14:paraId="497E594F"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r w:rsidR="00696774" w14:paraId="6D86E856" w14:textId="77777777" w:rsidTr="000C0EE7">
        <w:trPr>
          <w:jc w:val="center"/>
        </w:trPr>
        <w:tc>
          <w:tcPr>
            <w:tcW w:w="3794" w:type="dxa"/>
            <w:vAlign w:val="bottom"/>
          </w:tcPr>
          <w:p w14:paraId="7F507A3E" w14:textId="77777777" w:rsidR="00696774" w:rsidRPr="0047321F" w:rsidRDefault="00696774" w:rsidP="000C0EE7">
            <w:pPr>
              <w:rPr>
                <w:rFonts w:ascii="Candara" w:hAnsi="Candara"/>
                <w:color w:val="000000"/>
                <w:sz w:val="16"/>
                <w:szCs w:val="16"/>
              </w:rPr>
            </w:pPr>
            <w:r>
              <w:rPr>
                <w:rFonts w:ascii="Candara" w:hAnsi="Candara"/>
                <w:color w:val="000000"/>
                <w:sz w:val="16"/>
                <w:szCs w:val="16"/>
              </w:rPr>
              <w:t>Taking antidiabetes agent, n (%)</w:t>
            </w:r>
          </w:p>
        </w:tc>
        <w:tc>
          <w:tcPr>
            <w:tcW w:w="1687" w:type="dxa"/>
            <w:vAlign w:val="bottom"/>
          </w:tcPr>
          <w:p w14:paraId="4D6E9635" w14:textId="77777777" w:rsidR="00696774" w:rsidRPr="00966E9A" w:rsidRDefault="00696774" w:rsidP="000C0EE7">
            <w:pPr>
              <w:rPr>
                <w:rFonts w:ascii="Candara" w:hAnsi="Candara"/>
                <w:sz w:val="16"/>
                <w:szCs w:val="16"/>
              </w:rPr>
            </w:pPr>
            <w:r w:rsidRPr="00997DC2">
              <w:rPr>
                <w:rFonts w:ascii="Candara" w:hAnsi="Candara"/>
                <w:sz w:val="16"/>
                <w:szCs w:val="16"/>
              </w:rPr>
              <w:t>96 (12.5)</w:t>
            </w:r>
          </w:p>
        </w:tc>
        <w:tc>
          <w:tcPr>
            <w:tcW w:w="1827" w:type="dxa"/>
            <w:vAlign w:val="bottom"/>
          </w:tcPr>
          <w:p w14:paraId="2685487F" w14:textId="77777777" w:rsidR="00696774" w:rsidRPr="0047321F" w:rsidRDefault="00696774" w:rsidP="000C0EE7">
            <w:pPr>
              <w:rPr>
                <w:rFonts w:ascii="Candara" w:hAnsi="Candara"/>
                <w:sz w:val="16"/>
                <w:szCs w:val="16"/>
              </w:rPr>
            </w:pPr>
            <w:r w:rsidRPr="00997DC2">
              <w:rPr>
                <w:rFonts w:ascii="Candara" w:hAnsi="Candara"/>
                <w:sz w:val="16"/>
                <w:szCs w:val="16"/>
              </w:rPr>
              <w:t>105 (13.8)</w:t>
            </w:r>
          </w:p>
        </w:tc>
        <w:tc>
          <w:tcPr>
            <w:tcW w:w="1826" w:type="dxa"/>
            <w:vAlign w:val="bottom"/>
          </w:tcPr>
          <w:p w14:paraId="623AF06C" w14:textId="77777777" w:rsidR="00696774" w:rsidRPr="0047321F" w:rsidRDefault="00696774" w:rsidP="000C0EE7">
            <w:pPr>
              <w:rPr>
                <w:rFonts w:ascii="Candara" w:hAnsi="Candara"/>
                <w:sz w:val="16"/>
                <w:szCs w:val="16"/>
              </w:rPr>
            </w:pPr>
            <w:r w:rsidRPr="00997DC2">
              <w:rPr>
                <w:rFonts w:ascii="Candara" w:hAnsi="Candara"/>
                <w:sz w:val="16"/>
                <w:szCs w:val="16"/>
              </w:rPr>
              <w:t>108 (14.1)</w:t>
            </w:r>
          </w:p>
        </w:tc>
        <w:tc>
          <w:tcPr>
            <w:tcW w:w="1827" w:type="dxa"/>
            <w:vAlign w:val="bottom"/>
          </w:tcPr>
          <w:p w14:paraId="0A265999" w14:textId="77777777" w:rsidR="00696774" w:rsidRPr="0047321F" w:rsidRDefault="00696774" w:rsidP="000C0EE7">
            <w:pPr>
              <w:rPr>
                <w:rFonts w:ascii="Candara" w:hAnsi="Candara"/>
                <w:sz w:val="16"/>
                <w:szCs w:val="16"/>
              </w:rPr>
            </w:pPr>
            <w:r w:rsidRPr="00997DC2">
              <w:rPr>
                <w:rFonts w:ascii="Candara" w:hAnsi="Candara"/>
                <w:sz w:val="16"/>
                <w:szCs w:val="16"/>
              </w:rPr>
              <w:t>120 (15.7)</w:t>
            </w:r>
          </w:p>
        </w:tc>
        <w:tc>
          <w:tcPr>
            <w:tcW w:w="663" w:type="dxa"/>
          </w:tcPr>
          <w:p w14:paraId="7C47E772" w14:textId="77777777" w:rsidR="00696774" w:rsidRPr="0047321F" w:rsidRDefault="00696774" w:rsidP="000C0EE7">
            <w:pPr>
              <w:rPr>
                <w:rFonts w:ascii="Candara" w:hAnsi="Candara"/>
                <w:sz w:val="16"/>
                <w:szCs w:val="16"/>
              </w:rPr>
            </w:pPr>
            <w:r w:rsidRPr="00AF21DA">
              <w:rPr>
                <w:rFonts w:ascii="Candara" w:hAnsi="Candara"/>
                <w:sz w:val="16"/>
                <w:szCs w:val="16"/>
              </w:rPr>
              <w:t>&lt;0.001</w:t>
            </w:r>
          </w:p>
        </w:tc>
      </w:tr>
    </w:tbl>
    <w:p w14:paraId="6B8C290B" w14:textId="77777777" w:rsidR="00696774" w:rsidRDefault="00696774" w:rsidP="00696774">
      <w:pPr>
        <w:rPr>
          <w:rFonts w:ascii="Candara" w:hAnsi="Candara"/>
        </w:rPr>
      </w:pPr>
    </w:p>
    <w:p w14:paraId="7B0F8A4C" w14:textId="77777777" w:rsidR="00696774" w:rsidRDefault="00696774" w:rsidP="00696774">
      <w:pPr>
        <w:rPr>
          <w:rFonts w:ascii="Candara" w:hAnsi="Candara"/>
        </w:rPr>
      </w:pPr>
    </w:p>
    <w:p w14:paraId="1E3976D4" w14:textId="77777777" w:rsidR="00696774" w:rsidRDefault="00696774" w:rsidP="00696774">
      <w:pPr>
        <w:rPr>
          <w:rFonts w:ascii="Candara" w:hAnsi="Candara"/>
        </w:rPr>
      </w:pPr>
    </w:p>
    <w:p w14:paraId="1D90682D" w14:textId="77777777" w:rsidR="00696774" w:rsidRDefault="00696774" w:rsidP="00696774">
      <w:pPr>
        <w:rPr>
          <w:rFonts w:ascii="Candara" w:hAnsi="Candara"/>
        </w:rPr>
      </w:pPr>
    </w:p>
    <w:p w14:paraId="47F952ED" w14:textId="77777777" w:rsidR="00696774" w:rsidRDefault="00696774" w:rsidP="00696774">
      <w:pPr>
        <w:rPr>
          <w:rFonts w:ascii="Candara" w:hAnsi="Candara"/>
        </w:rPr>
      </w:pPr>
    </w:p>
    <w:p w14:paraId="42EF1A00" w14:textId="77777777" w:rsidR="00696774" w:rsidRPr="00CB3381" w:rsidRDefault="00696774" w:rsidP="00696774">
      <w:pPr>
        <w:rPr>
          <w:rFonts w:ascii="Candara" w:hAnsi="Candara"/>
        </w:rPr>
      </w:pPr>
      <w:r w:rsidRPr="00996B26">
        <w:rPr>
          <w:rFonts w:ascii="Candara" w:hAnsi="Candara"/>
          <w:b/>
        </w:rPr>
        <w:t>Table-2</w:t>
      </w:r>
      <w:r w:rsidRPr="00CB3381">
        <w:rPr>
          <w:rFonts w:ascii="Candara" w:hAnsi="Candara"/>
        </w:rPr>
        <w:t>. Incidence and incidence rates ratio of cardiovascular mortality according to TyG Index quartiles in all and by body mass index status</w:t>
      </w:r>
    </w:p>
    <w:tbl>
      <w:tblPr>
        <w:tblStyle w:val="TableGrid"/>
        <w:tblW w:w="11052" w:type="dxa"/>
        <w:jc w:val="center"/>
        <w:tblLayout w:type="fixed"/>
        <w:tblLook w:val="04A0" w:firstRow="1" w:lastRow="0" w:firstColumn="1" w:lastColumn="0" w:noHBand="0" w:noVBand="1"/>
      </w:tblPr>
      <w:tblGrid>
        <w:gridCol w:w="1702"/>
        <w:gridCol w:w="921"/>
        <w:gridCol w:w="1112"/>
        <w:gridCol w:w="1930"/>
        <w:gridCol w:w="1701"/>
        <w:gridCol w:w="1843"/>
        <w:gridCol w:w="1843"/>
      </w:tblGrid>
      <w:tr w:rsidR="00696774" w14:paraId="0F194BD7" w14:textId="77777777" w:rsidTr="000C0EE7">
        <w:trPr>
          <w:jc w:val="center"/>
        </w:trPr>
        <w:tc>
          <w:tcPr>
            <w:tcW w:w="1702" w:type="dxa"/>
            <w:vAlign w:val="center"/>
          </w:tcPr>
          <w:p w14:paraId="69C54BE9" w14:textId="77777777" w:rsidR="00696774" w:rsidRPr="0047321F" w:rsidRDefault="00696774" w:rsidP="000C0EE7">
            <w:pPr>
              <w:rPr>
                <w:rFonts w:ascii="Candara" w:hAnsi="Candara"/>
                <w:sz w:val="16"/>
                <w:szCs w:val="16"/>
              </w:rPr>
            </w:pPr>
          </w:p>
        </w:tc>
        <w:tc>
          <w:tcPr>
            <w:tcW w:w="921" w:type="dxa"/>
            <w:vAlign w:val="center"/>
          </w:tcPr>
          <w:p w14:paraId="50FE28A6" w14:textId="77777777" w:rsidR="00696774" w:rsidRPr="0047321F" w:rsidRDefault="00696774" w:rsidP="000C0EE7">
            <w:pPr>
              <w:rPr>
                <w:rFonts w:ascii="Candara" w:hAnsi="Candara"/>
                <w:sz w:val="16"/>
                <w:szCs w:val="16"/>
              </w:rPr>
            </w:pPr>
            <w:r>
              <w:rPr>
                <w:rFonts w:ascii="Candara" w:hAnsi="Candara"/>
                <w:sz w:val="16"/>
                <w:szCs w:val="16"/>
              </w:rPr>
              <w:t>Outcome</w:t>
            </w:r>
          </w:p>
        </w:tc>
        <w:tc>
          <w:tcPr>
            <w:tcW w:w="1112" w:type="dxa"/>
            <w:vAlign w:val="center"/>
          </w:tcPr>
          <w:p w14:paraId="416A3D93" w14:textId="77777777" w:rsidR="00696774" w:rsidRPr="0047321F" w:rsidRDefault="00696774" w:rsidP="000C0EE7">
            <w:pPr>
              <w:rPr>
                <w:rFonts w:ascii="Candara" w:hAnsi="Candara"/>
                <w:sz w:val="16"/>
                <w:szCs w:val="16"/>
              </w:rPr>
            </w:pPr>
            <w:r>
              <w:rPr>
                <w:rFonts w:ascii="Candara" w:hAnsi="Candara"/>
                <w:sz w:val="16"/>
                <w:szCs w:val="16"/>
              </w:rPr>
              <w:t>Denominator</w:t>
            </w:r>
          </w:p>
        </w:tc>
        <w:tc>
          <w:tcPr>
            <w:tcW w:w="1930" w:type="dxa"/>
            <w:vAlign w:val="center"/>
          </w:tcPr>
          <w:p w14:paraId="23C8FF01" w14:textId="77777777" w:rsidR="00696774" w:rsidRPr="0047321F" w:rsidRDefault="00696774" w:rsidP="000C0EE7">
            <w:pPr>
              <w:rPr>
                <w:rFonts w:ascii="Candara" w:hAnsi="Candara"/>
                <w:sz w:val="16"/>
                <w:szCs w:val="16"/>
              </w:rPr>
            </w:pPr>
            <w:r>
              <w:rPr>
                <w:rFonts w:ascii="Candara" w:hAnsi="Candara"/>
                <w:sz w:val="16"/>
                <w:szCs w:val="16"/>
              </w:rPr>
              <w:t>Incidence Rates (95% CI)</w:t>
            </w:r>
          </w:p>
        </w:tc>
        <w:tc>
          <w:tcPr>
            <w:tcW w:w="1701" w:type="dxa"/>
            <w:vAlign w:val="center"/>
          </w:tcPr>
          <w:p w14:paraId="70EB9197" w14:textId="77777777" w:rsidR="00696774" w:rsidRPr="0047321F" w:rsidRDefault="00696774" w:rsidP="000C0EE7">
            <w:pPr>
              <w:rPr>
                <w:rFonts w:ascii="Candara" w:hAnsi="Candara"/>
                <w:sz w:val="16"/>
                <w:szCs w:val="16"/>
              </w:rPr>
            </w:pPr>
            <w:r>
              <w:rPr>
                <w:rFonts w:ascii="Candara" w:hAnsi="Candara"/>
                <w:sz w:val="16"/>
                <w:szCs w:val="16"/>
              </w:rPr>
              <w:t>Incidence rates ratio 1 (95%CI)</w:t>
            </w:r>
            <w:r w:rsidRPr="00A10751">
              <w:rPr>
                <w:rFonts w:ascii="Candara" w:hAnsi="Candara"/>
                <w:sz w:val="16"/>
                <w:szCs w:val="16"/>
                <w:vertAlign w:val="superscript"/>
              </w:rPr>
              <w:t>‡</w:t>
            </w:r>
          </w:p>
        </w:tc>
        <w:tc>
          <w:tcPr>
            <w:tcW w:w="1843" w:type="dxa"/>
            <w:vAlign w:val="center"/>
          </w:tcPr>
          <w:p w14:paraId="183D51F5" w14:textId="77777777" w:rsidR="00696774" w:rsidRPr="0047321F" w:rsidRDefault="00696774" w:rsidP="000C0EE7">
            <w:pPr>
              <w:rPr>
                <w:rFonts w:ascii="Candara" w:hAnsi="Candara"/>
                <w:sz w:val="16"/>
                <w:szCs w:val="16"/>
              </w:rPr>
            </w:pPr>
            <w:r>
              <w:rPr>
                <w:rFonts w:ascii="Candara" w:hAnsi="Candara"/>
                <w:sz w:val="16"/>
                <w:szCs w:val="16"/>
              </w:rPr>
              <w:t>Incidence rates ratio 2 (95%CI)</w:t>
            </w:r>
            <w:r w:rsidRPr="00A10751">
              <w:rPr>
                <w:rFonts w:ascii="Candara" w:hAnsi="Candara"/>
                <w:sz w:val="16"/>
                <w:szCs w:val="16"/>
                <w:vertAlign w:val="superscript"/>
              </w:rPr>
              <w:t>§</w:t>
            </w:r>
          </w:p>
        </w:tc>
        <w:tc>
          <w:tcPr>
            <w:tcW w:w="1843" w:type="dxa"/>
            <w:vAlign w:val="center"/>
          </w:tcPr>
          <w:p w14:paraId="037DE07A" w14:textId="77777777" w:rsidR="00696774" w:rsidRPr="0047321F" w:rsidRDefault="00696774" w:rsidP="000C0EE7">
            <w:pPr>
              <w:rPr>
                <w:rFonts w:ascii="Candara" w:hAnsi="Candara"/>
                <w:sz w:val="16"/>
                <w:szCs w:val="16"/>
              </w:rPr>
            </w:pPr>
            <w:r>
              <w:rPr>
                <w:rFonts w:ascii="Candara" w:hAnsi="Candara"/>
                <w:sz w:val="16"/>
                <w:szCs w:val="16"/>
              </w:rPr>
              <w:t>Incidence rates ratio 3 (95%CI)</w:t>
            </w:r>
            <w:r w:rsidRPr="00A10751">
              <w:rPr>
                <w:rFonts w:ascii="Candara" w:hAnsi="Candara"/>
                <w:sz w:val="16"/>
                <w:szCs w:val="16"/>
                <w:vertAlign w:val="superscript"/>
              </w:rPr>
              <w:t>¶</w:t>
            </w:r>
          </w:p>
        </w:tc>
      </w:tr>
      <w:tr w:rsidR="00696774" w14:paraId="6C08AB65" w14:textId="77777777" w:rsidTr="000C0EE7">
        <w:trPr>
          <w:jc w:val="center"/>
        </w:trPr>
        <w:tc>
          <w:tcPr>
            <w:tcW w:w="1702" w:type="dxa"/>
            <w:vAlign w:val="center"/>
          </w:tcPr>
          <w:p w14:paraId="587F2E54" w14:textId="77777777" w:rsidR="00696774" w:rsidRPr="0047321F" w:rsidRDefault="00696774" w:rsidP="000C0EE7">
            <w:pPr>
              <w:rPr>
                <w:rFonts w:ascii="Candara" w:hAnsi="Candara"/>
                <w:sz w:val="16"/>
                <w:szCs w:val="16"/>
              </w:rPr>
            </w:pPr>
          </w:p>
        </w:tc>
        <w:tc>
          <w:tcPr>
            <w:tcW w:w="9350" w:type="dxa"/>
            <w:gridSpan w:val="6"/>
            <w:vAlign w:val="center"/>
          </w:tcPr>
          <w:p w14:paraId="22212156" w14:textId="77777777" w:rsidR="00696774" w:rsidRPr="00AD642D" w:rsidRDefault="00696774" w:rsidP="000C0EE7">
            <w:pPr>
              <w:jc w:val="center"/>
              <w:rPr>
                <w:rFonts w:ascii="Candara" w:hAnsi="Candara"/>
                <w:sz w:val="16"/>
                <w:szCs w:val="16"/>
              </w:rPr>
            </w:pPr>
            <w:r>
              <w:rPr>
                <w:rFonts w:ascii="Candara" w:hAnsi="Candara"/>
                <w:sz w:val="16"/>
                <w:szCs w:val="16"/>
              </w:rPr>
              <w:t>All</w:t>
            </w:r>
          </w:p>
        </w:tc>
      </w:tr>
      <w:tr w:rsidR="00696774" w14:paraId="5521C24E" w14:textId="77777777" w:rsidTr="000C0EE7">
        <w:trPr>
          <w:jc w:val="center"/>
        </w:trPr>
        <w:tc>
          <w:tcPr>
            <w:tcW w:w="1702" w:type="dxa"/>
            <w:vAlign w:val="center"/>
          </w:tcPr>
          <w:p w14:paraId="23A422A7"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1 (&lt;8.10)</w:t>
            </w:r>
          </w:p>
        </w:tc>
        <w:tc>
          <w:tcPr>
            <w:tcW w:w="921" w:type="dxa"/>
            <w:vAlign w:val="center"/>
          </w:tcPr>
          <w:p w14:paraId="6AD215F1" w14:textId="77777777" w:rsidR="00696774" w:rsidRPr="00AD642D" w:rsidRDefault="00696774" w:rsidP="000C0EE7">
            <w:pPr>
              <w:jc w:val="center"/>
              <w:rPr>
                <w:rFonts w:ascii="Candara" w:hAnsi="Candara"/>
                <w:sz w:val="16"/>
                <w:szCs w:val="16"/>
              </w:rPr>
            </w:pPr>
            <w:r>
              <w:rPr>
                <w:rFonts w:ascii="Candara" w:hAnsi="Candara"/>
                <w:sz w:val="16"/>
                <w:szCs w:val="16"/>
              </w:rPr>
              <w:t>65</w:t>
            </w:r>
          </w:p>
        </w:tc>
        <w:tc>
          <w:tcPr>
            <w:tcW w:w="1112" w:type="dxa"/>
            <w:vAlign w:val="center"/>
          </w:tcPr>
          <w:p w14:paraId="18A09E03" w14:textId="77777777" w:rsidR="00696774" w:rsidRPr="00AD642D" w:rsidRDefault="00696774" w:rsidP="000C0EE7">
            <w:pPr>
              <w:jc w:val="center"/>
              <w:rPr>
                <w:rFonts w:ascii="Candara" w:hAnsi="Candara"/>
                <w:sz w:val="16"/>
                <w:szCs w:val="16"/>
              </w:rPr>
            </w:pPr>
            <w:r>
              <w:rPr>
                <w:rFonts w:ascii="Candara" w:hAnsi="Candara"/>
                <w:sz w:val="16"/>
                <w:szCs w:val="16"/>
              </w:rPr>
              <w:t>766</w:t>
            </w:r>
          </w:p>
        </w:tc>
        <w:tc>
          <w:tcPr>
            <w:tcW w:w="1930" w:type="dxa"/>
            <w:vAlign w:val="center"/>
          </w:tcPr>
          <w:p w14:paraId="64DA9C73" w14:textId="77777777" w:rsidR="00696774" w:rsidRPr="00AD642D" w:rsidRDefault="00696774" w:rsidP="000C0EE7">
            <w:pPr>
              <w:jc w:val="center"/>
              <w:rPr>
                <w:rFonts w:ascii="Candara" w:hAnsi="Candara"/>
                <w:sz w:val="16"/>
                <w:szCs w:val="16"/>
              </w:rPr>
            </w:pPr>
            <w:r>
              <w:rPr>
                <w:rFonts w:ascii="Candara" w:hAnsi="Candara"/>
                <w:sz w:val="16"/>
                <w:szCs w:val="16"/>
              </w:rPr>
              <w:t>8.49 (6.55 to 10.82)</w:t>
            </w:r>
          </w:p>
        </w:tc>
        <w:tc>
          <w:tcPr>
            <w:tcW w:w="1701" w:type="dxa"/>
            <w:vAlign w:val="center"/>
          </w:tcPr>
          <w:p w14:paraId="31B0CCEF"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c>
          <w:tcPr>
            <w:tcW w:w="1843" w:type="dxa"/>
            <w:vAlign w:val="center"/>
          </w:tcPr>
          <w:p w14:paraId="66B2A88A"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c>
          <w:tcPr>
            <w:tcW w:w="1843" w:type="dxa"/>
            <w:vAlign w:val="center"/>
          </w:tcPr>
          <w:p w14:paraId="6EF8AD6B"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r>
      <w:tr w:rsidR="00696774" w14:paraId="65E80D04" w14:textId="77777777" w:rsidTr="000C0EE7">
        <w:trPr>
          <w:jc w:val="center"/>
        </w:trPr>
        <w:tc>
          <w:tcPr>
            <w:tcW w:w="1702" w:type="dxa"/>
            <w:vAlign w:val="center"/>
          </w:tcPr>
          <w:p w14:paraId="0B27FB7D"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2 (8.10-8.3</w:t>
            </w:r>
            <w:r>
              <w:rPr>
                <w:rFonts w:ascii="Candara" w:hAnsi="Candara"/>
                <w:sz w:val="16"/>
                <w:szCs w:val="16"/>
              </w:rPr>
              <w:t>8</w:t>
            </w:r>
            <w:r w:rsidRPr="0047321F">
              <w:rPr>
                <w:rFonts w:ascii="Candara" w:hAnsi="Candara"/>
                <w:sz w:val="16"/>
                <w:szCs w:val="16"/>
              </w:rPr>
              <w:t>)</w:t>
            </w:r>
          </w:p>
        </w:tc>
        <w:tc>
          <w:tcPr>
            <w:tcW w:w="921" w:type="dxa"/>
            <w:vAlign w:val="center"/>
          </w:tcPr>
          <w:p w14:paraId="17E79306" w14:textId="77777777" w:rsidR="00696774" w:rsidRPr="00AD642D" w:rsidRDefault="00696774" w:rsidP="000C0EE7">
            <w:pPr>
              <w:jc w:val="center"/>
              <w:rPr>
                <w:rFonts w:ascii="Candara" w:hAnsi="Candara"/>
                <w:sz w:val="16"/>
                <w:szCs w:val="16"/>
              </w:rPr>
            </w:pPr>
            <w:r>
              <w:rPr>
                <w:rFonts w:ascii="Candara" w:hAnsi="Candara"/>
                <w:sz w:val="16"/>
                <w:szCs w:val="16"/>
              </w:rPr>
              <w:t>96</w:t>
            </w:r>
          </w:p>
        </w:tc>
        <w:tc>
          <w:tcPr>
            <w:tcW w:w="1112" w:type="dxa"/>
            <w:vAlign w:val="center"/>
          </w:tcPr>
          <w:p w14:paraId="2A0011E4" w14:textId="77777777" w:rsidR="00696774" w:rsidRPr="00AD642D" w:rsidRDefault="00696774" w:rsidP="000C0EE7">
            <w:pPr>
              <w:jc w:val="center"/>
              <w:rPr>
                <w:rFonts w:ascii="Candara" w:hAnsi="Candara"/>
                <w:sz w:val="16"/>
                <w:szCs w:val="16"/>
              </w:rPr>
            </w:pPr>
            <w:r>
              <w:rPr>
                <w:rFonts w:ascii="Candara" w:hAnsi="Candara"/>
                <w:sz w:val="16"/>
                <w:szCs w:val="16"/>
              </w:rPr>
              <w:t>760</w:t>
            </w:r>
          </w:p>
        </w:tc>
        <w:tc>
          <w:tcPr>
            <w:tcW w:w="1930" w:type="dxa"/>
            <w:vAlign w:val="center"/>
          </w:tcPr>
          <w:p w14:paraId="5FBB20F5" w14:textId="77777777" w:rsidR="00696774" w:rsidRPr="00AD642D" w:rsidRDefault="00696774" w:rsidP="000C0EE7">
            <w:pPr>
              <w:jc w:val="center"/>
              <w:rPr>
                <w:rFonts w:ascii="Candara" w:hAnsi="Candara"/>
                <w:sz w:val="16"/>
                <w:szCs w:val="16"/>
              </w:rPr>
            </w:pPr>
            <w:r>
              <w:rPr>
                <w:rFonts w:ascii="Candara" w:hAnsi="Candara"/>
                <w:sz w:val="16"/>
                <w:szCs w:val="16"/>
              </w:rPr>
              <w:t>12.63 (10.23 to 15.43)</w:t>
            </w:r>
          </w:p>
        </w:tc>
        <w:tc>
          <w:tcPr>
            <w:tcW w:w="1701" w:type="dxa"/>
            <w:vAlign w:val="bottom"/>
          </w:tcPr>
          <w:p w14:paraId="28EC3BA2" w14:textId="77777777" w:rsidR="00696774" w:rsidRPr="00AD642D" w:rsidRDefault="00696774" w:rsidP="000C0EE7">
            <w:pPr>
              <w:jc w:val="center"/>
              <w:rPr>
                <w:rFonts w:ascii="Candara" w:hAnsi="Candara"/>
                <w:sz w:val="16"/>
                <w:szCs w:val="16"/>
              </w:rPr>
            </w:pPr>
            <w:r w:rsidRPr="00A03ABC">
              <w:rPr>
                <w:rFonts w:ascii="Candara" w:hAnsi="Candara"/>
                <w:sz w:val="16"/>
                <w:szCs w:val="16"/>
              </w:rPr>
              <w:t>1.49 (1.43 to 1.56)</w:t>
            </w:r>
          </w:p>
        </w:tc>
        <w:tc>
          <w:tcPr>
            <w:tcW w:w="1843" w:type="dxa"/>
            <w:vAlign w:val="center"/>
          </w:tcPr>
          <w:p w14:paraId="09B88D85" w14:textId="77777777" w:rsidR="00696774" w:rsidRPr="00AD642D" w:rsidRDefault="00696774" w:rsidP="000C0EE7">
            <w:pPr>
              <w:jc w:val="center"/>
              <w:rPr>
                <w:rFonts w:ascii="Candara" w:hAnsi="Candara"/>
                <w:sz w:val="16"/>
                <w:szCs w:val="16"/>
              </w:rPr>
            </w:pPr>
            <w:r>
              <w:rPr>
                <w:rFonts w:ascii="Candara" w:hAnsi="Candara"/>
                <w:sz w:val="16"/>
                <w:szCs w:val="16"/>
              </w:rPr>
              <w:t>1.63 (1.48 to 1.79)</w:t>
            </w:r>
          </w:p>
        </w:tc>
        <w:tc>
          <w:tcPr>
            <w:tcW w:w="1843" w:type="dxa"/>
            <w:vAlign w:val="center"/>
          </w:tcPr>
          <w:p w14:paraId="0819EEBA" w14:textId="77777777" w:rsidR="00696774" w:rsidRPr="00AD642D" w:rsidRDefault="00696774" w:rsidP="000C0EE7">
            <w:pPr>
              <w:jc w:val="center"/>
              <w:rPr>
                <w:rFonts w:ascii="Candara" w:hAnsi="Candara"/>
                <w:sz w:val="16"/>
                <w:szCs w:val="16"/>
              </w:rPr>
            </w:pPr>
            <w:r>
              <w:rPr>
                <w:rFonts w:ascii="Candara" w:hAnsi="Candara"/>
                <w:sz w:val="16"/>
                <w:szCs w:val="16"/>
              </w:rPr>
              <w:t>1.62 (1.47 to 1.78)</w:t>
            </w:r>
          </w:p>
        </w:tc>
      </w:tr>
      <w:tr w:rsidR="00696774" w14:paraId="77A2FF9F" w14:textId="77777777" w:rsidTr="000C0EE7">
        <w:trPr>
          <w:jc w:val="center"/>
        </w:trPr>
        <w:tc>
          <w:tcPr>
            <w:tcW w:w="1702" w:type="dxa"/>
            <w:vAlign w:val="center"/>
          </w:tcPr>
          <w:p w14:paraId="12483C2E"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3 (8.39-8.6</w:t>
            </w:r>
            <w:r>
              <w:rPr>
                <w:rFonts w:ascii="Candara" w:hAnsi="Candara"/>
                <w:sz w:val="16"/>
                <w:szCs w:val="16"/>
              </w:rPr>
              <w:t>8</w:t>
            </w:r>
            <w:r w:rsidRPr="0047321F">
              <w:rPr>
                <w:rFonts w:ascii="Candara" w:hAnsi="Candara"/>
                <w:sz w:val="16"/>
                <w:szCs w:val="16"/>
              </w:rPr>
              <w:t>)</w:t>
            </w:r>
          </w:p>
        </w:tc>
        <w:tc>
          <w:tcPr>
            <w:tcW w:w="921" w:type="dxa"/>
            <w:vAlign w:val="center"/>
          </w:tcPr>
          <w:p w14:paraId="78396F7F" w14:textId="77777777" w:rsidR="00696774" w:rsidRPr="00AD642D" w:rsidRDefault="00696774" w:rsidP="000C0EE7">
            <w:pPr>
              <w:jc w:val="center"/>
              <w:rPr>
                <w:rFonts w:ascii="Candara" w:hAnsi="Candara"/>
                <w:sz w:val="16"/>
                <w:szCs w:val="16"/>
              </w:rPr>
            </w:pPr>
            <w:r>
              <w:rPr>
                <w:rFonts w:ascii="Candara" w:hAnsi="Candara"/>
                <w:sz w:val="16"/>
                <w:szCs w:val="16"/>
              </w:rPr>
              <w:t>130</w:t>
            </w:r>
          </w:p>
        </w:tc>
        <w:tc>
          <w:tcPr>
            <w:tcW w:w="1112" w:type="dxa"/>
            <w:vAlign w:val="center"/>
          </w:tcPr>
          <w:p w14:paraId="4E776395" w14:textId="77777777" w:rsidR="00696774" w:rsidRPr="00AD642D" w:rsidRDefault="00696774" w:rsidP="000C0EE7">
            <w:pPr>
              <w:jc w:val="center"/>
              <w:rPr>
                <w:rFonts w:ascii="Candara" w:hAnsi="Candara"/>
                <w:sz w:val="16"/>
                <w:szCs w:val="16"/>
              </w:rPr>
            </w:pPr>
            <w:r>
              <w:rPr>
                <w:rFonts w:ascii="Candara" w:hAnsi="Candara"/>
                <w:sz w:val="16"/>
                <w:szCs w:val="16"/>
              </w:rPr>
              <w:t>766</w:t>
            </w:r>
          </w:p>
        </w:tc>
        <w:tc>
          <w:tcPr>
            <w:tcW w:w="1930" w:type="dxa"/>
            <w:vAlign w:val="center"/>
          </w:tcPr>
          <w:p w14:paraId="55341C20" w14:textId="77777777" w:rsidR="00696774" w:rsidRPr="00AD642D" w:rsidRDefault="00696774" w:rsidP="000C0EE7">
            <w:pPr>
              <w:jc w:val="center"/>
              <w:rPr>
                <w:rFonts w:ascii="Candara" w:hAnsi="Candara"/>
                <w:sz w:val="16"/>
                <w:szCs w:val="16"/>
              </w:rPr>
            </w:pPr>
            <w:r>
              <w:rPr>
                <w:rFonts w:ascii="Candara" w:hAnsi="Candara"/>
                <w:sz w:val="16"/>
                <w:szCs w:val="16"/>
              </w:rPr>
              <w:t>16.97 (14.18 to 20.15)</w:t>
            </w:r>
          </w:p>
        </w:tc>
        <w:tc>
          <w:tcPr>
            <w:tcW w:w="1701" w:type="dxa"/>
            <w:vAlign w:val="bottom"/>
          </w:tcPr>
          <w:p w14:paraId="4B27DF07" w14:textId="77777777" w:rsidR="00696774" w:rsidRPr="00AD642D" w:rsidRDefault="00696774" w:rsidP="000C0EE7">
            <w:pPr>
              <w:jc w:val="center"/>
              <w:rPr>
                <w:rFonts w:ascii="Candara" w:hAnsi="Candara"/>
                <w:sz w:val="16"/>
                <w:szCs w:val="16"/>
              </w:rPr>
            </w:pPr>
            <w:r w:rsidRPr="00A03ABC">
              <w:rPr>
                <w:rFonts w:ascii="Candara" w:hAnsi="Candara"/>
                <w:sz w:val="16"/>
                <w:szCs w:val="16"/>
              </w:rPr>
              <w:t>2.00 (1.86 to 2.16)</w:t>
            </w:r>
          </w:p>
        </w:tc>
        <w:tc>
          <w:tcPr>
            <w:tcW w:w="1843" w:type="dxa"/>
            <w:vAlign w:val="center"/>
          </w:tcPr>
          <w:p w14:paraId="53A3DC7E" w14:textId="77777777" w:rsidR="00696774" w:rsidRPr="00AD642D" w:rsidRDefault="00696774" w:rsidP="000C0EE7">
            <w:pPr>
              <w:jc w:val="center"/>
              <w:rPr>
                <w:rFonts w:ascii="Candara" w:hAnsi="Candara"/>
                <w:sz w:val="16"/>
                <w:szCs w:val="16"/>
              </w:rPr>
            </w:pPr>
            <w:r>
              <w:rPr>
                <w:rFonts w:ascii="Candara" w:hAnsi="Candara"/>
                <w:sz w:val="16"/>
                <w:szCs w:val="16"/>
              </w:rPr>
              <w:t>1.95 (1.78 to 2.14)</w:t>
            </w:r>
          </w:p>
        </w:tc>
        <w:tc>
          <w:tcPr>
            <w:tcW w:w="1843" w:type="dxa"/>
            <w:vAlign w:val="center"/>
          </w:tcPr>
          <w:p w14:paraId="504EBC84" w14:textId="77777777" w:rsidR="00696774" w:rsidRPr="00AD642D" w:rsidRDefault="00696774" w:rsidP="000C0EE7">
            <w:pPr>
              <w:jc w:val="center"/>
              <w:rPr>
                <w:rFonts w:ascii="Candara" w:hAnsi="Candara"/>
                <w:sz w:val="16"/>
                <w:szCs w:val="16"/>
              </w:rPr>
            </w:pPr>
            <w:r>
              <w:rPr>
                <w:rFonts w:ascii="Candara" w:hAnsi="Candara"/>
                <w:sz w:val="16"/>
                <w:szCs w:val="16"/>
              </w:rPr>
              <w:t>1.96 (1.79 to 2.15)</w:t>
            </w:r>
          </w:p>
        </w:tc>
      </w:tr>
      <w:tr w:rsidR="00696774" w14:paraId="1857EBB7" w14:textId="77777777" w:rsidTr="000C0EE7">
        <w:trPr>
          <w:jc w:val="center"/>
        </w:trPr>
        <w:tc>
          <w:tcPr>
            <w:tcW w:w="1702" w:type="dxa"/>
            <w:vAlign w:val="center"/>
          </w:tcPr>
          <w:p w14:paraId="433577A3"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4 (≥8.69)</w:t>
            </w:r>
          </w:p>
        </w:tc>
        <w:tc>
          <w:tcPr>
            <w:tcW w:w="921" w:type="dxa"/>
            <w:vAlign w:val="center"/>
          </w:tcPr>
          <w:p w14:paraId="753B923C" w14:textId="77777777" w:rsidR="00696774" w:rsidRPr="00AD642D" w:rsidRDefault="00696774" w:rsidP="000C0EE7">
            <w:pPr>
              <w:jc w:val="center"/>
              <w:rPr>
                <w:rFonts w:ascii="Candara" w:hAnsi="Candara"/>
                <w:sz w:val="16"/>
                <w:szCs w:val="16"/>
              </w:rPr>
            </w:pPr>
            <w:r>
              <w:rPr>
                <w:rFonts w:ascii="Candara" w:hAnsi="Candara"/>
                <w:sz w:val="16"/>
                <w:szCs w:val="16"/>
              </w:rPr>
              <w:t>146</w:t>
            </w:r>
          </w:p>
        </w:tc>
        <w:tc>
          <w:tcPr>
            <w:tcW w:w="1112" w:type="dxa"/>
            <w:vAlign w:val="center"/>
          </w:tcPr>
          <w:p w14:paraId="096608D4" w14:textId="77777777" w:rsidR="00696774" w:rsidRPr="00AD642D" w:rsidRDefault="00696774" w:rsidP="000C0EE7">
            <w:pPr>
              <w:jc w:val="center"/>
              <w:rPr>
                <w:rFonts w:ascii="Candara" w:hAnsi="Candara"/>
                <w:sz w:val="16"/>
                <w:szCs w:val="16"/>
              </w:rPr>
            </w:pPr>
            <w:r>
              <w:rPr>
                <w:rFonts w:ascii="Candara" w:hAnsi="Candara"/>
                <w:sz w:val="16"/>
                <w:szCs w:val="16"/>
              </w:rPr>
              <w:t>762</w:t>
            </w:r>
          </w:p>
        </w:tc>
        <w:tc>
          <w:tcPr>
            <w:tcW w:w="1930" w:type="dxa"/>
            <w:vAlign w:val="center"/>
          </w:tcPr>
          <w:p w14:paraId="2A6D5867" w14:textId="77777777" w:rsidR="00696774" w:rsidRPr="00AD642D" w:rsidRDefault="00696774" w:rsidP="000C0EE7">
            <w:pPr>
              <w:jc w:val="center"/>
              <w:rPr>
                <w:rFonts w:ascii="Candara" w:hAnsi="Candara"/>
                <w:sz w:val="16"/>
                <w:szCs w:val="16"/>
              </w:rPr>
            </w:pPr>
            <w:r>
              <w:rPr>
                <w:rFonts w:ascii="Candara" w:hAnsi="Candara"/>
                <w:sz w:val="16"/>
                <w:szCs w:val="16"/>
              </w:rPr>
              <w:t>19.16 (16.18 to 22.53)</w:t>
            </w:r>
          </w:p>
        </w:tc>
        <w:tc>
          <w:tcPr>
            <w:tcW w:w="1701" w:type="dxa"/>
            <w:vAlign w:val="bottom"/>
          </w:tcPr>
          <w:p w14:paraId="3FE5216A" w14:textId="77777777" w:rsidR="00696774" w:rsidRPr="00AD642D" w:rsidRDefault="00696774" w:rsidP="000C0EE7">
            <w:pPr>
              <w:jc w:val="center"/>
              <w:rPr>
                <w:rFonts w:ascii="Candara" w:hAnsi="Candara"/>
                <w:sz w:val="16"/>
                <w:szCs w:val="16"/>
              </w:rPr>
            </w:pPr>
            <w:r w:rsidRPr="00A03ABC">
              <w:rPr>
                <w:rFonts w:ascii="Candara" w:hAnsi="Candara"/>
                <w:sz w:val="16"/>
                <w:szCs w:val="16"/>
              </w:rPr>
              <w:t>2.26 (2.08 to 2.47)</w:t>
            </w:r>
          </w:p>
        </w:tc>
        <w:tc>
          <w:tcPr>
            <w:tcW w:w="1843" w:type="dxa"/>
            <w:vAlign w:val="center"/>
          </w:tcPr>
          <w:p w14:paraId="543FA99C" w14:textId="77777777" w:rsidR="00696774" w:rsidRPr="00AD642D" w:rsidRDefault="00696774" w:rsidP="000C0EE7">
            <w:pPr>
              <w:jc w:val="center"/>
              <w:rPr>
                <w:rFonts w:ascii="Candara" w:hAnsi="Candara"/>
                <w:sz w:val="16"/>
                <w:szCs w:val="16"/>
              </w:rPr>
            </w:pPr>
            <w:r>
              <w:rPr>
                <w:rFonts w:ascii="Candara" w:hAnsi="Candara"/>
                <w:sz w:val="16"/>
                <w:szCs w:val="16"/>
              </w:rPr>
              <w:t>2.34 (2.13 to 2.56)</w:t>
            </w:r>
          </w:p>
        </w:tc>
        <w:tc>
          <w:tcPr>
            <w:tcW w:w="1843" w:type="dxa"/>
            <w:vAlign w:val="center"/>
          </w:tcPr>
          <w:p w14:paraId="295AB82A" w14:textId="77777777" w:rsidR="00696774" w:rsidRPr="00AD642D" w:rsidRDefault="00696774" w:rsidP="000C0EE7">
            <w:pPr>
              <w:jc w:val="center"/>
              <w:rPr>
                <w:rFonts w:ascii="Candara" w:hAnsi="Candara"/>
                <w:sz w:val="16"/>
                <w:szCs w:val="16"/>
              </w:rPr>
            </w:pPr>
            <w:r>
              <w:rPr>
                <w:rFonts w:ascii="Candara" w:hAnsi="Candara"/>
                <w:sz w:val="16"/>
                <w:szCs w:val="16"/>
              </w:rPr>
              <w:t>2.32 (2.12 to 2.55)</w:t>
            </w:r>
          </w:p>
        </w:tc>
      </w:tr>
      <w:tr w:rsidR="00696774" w14:paraId="5813061F" w14:textId="77777777" w:rsidTr="000C0EE7">
        <w:trPr>
          <w:jc w:val="center"/>
        </w:trPr>
        <w:tc>
          <w:tcPr>
            <w:tcW w:w="1702" w:type="dxa"/>
            <w:vAlign w:val="center"/>
          </w:tcPr>
          <w:p w14:paraId="7FFA97C1" w14:textId="77777777" w:rsidR="00696774" w:rsidRPr="0047321F" w:rsidRDefault="00696774" w:rsidP="000C0EE7">
            <w:pPr>
              <w:rPr>
                <w:rFonts w:ascii="Candara" w:hAnsi="Candara"/>
                <w:sz w:val="16"/>
                <w:szCs w:val="16"/>
              </w:rPr>
            </w:pPr>
          </w:p>
        </w:tc>
        <w:tc>
          <w:tcPr>
            <w:tcW w:w="9350" w:type="dxa"/>
            <w:gridSpan w:val="6"/>
            <w:vAlign w:val="center"/>
          </w:tcPr>
          <w:p w14:paraId="4B9CC3DE" w14:textId="77777777" w:rsidR="00696774" w:rsidRDefault="00696774" w:rsidP="000C0EE7">
            <w:pPr>
              <w:jc w:val="center"/>
              <w:rPr>
                <w:rFonts w:ascii="Candara" w:hAnsi="Candara"/>
                <w:sz w:val="16"/>
                <w:szCs w:val="16"/>
              </w:rPr>
            </w:pPr>
            <w:r>
              <w:rPr>
                <w:rFonts w:ascii="Candara" w:hAnsi="Candara"/>
                <w:sz w:val="16"/>
                <w:szCs w:val="16"/>
              </w:rPr>
              <w:t>Body mass index &lt; 25 kg/m</w:t>
            </w:r>
            <w:r w:rsidRPr="00B05D20">
              <w:rPr>
                <w:rFonts w:ascii="Candara" w:hAnsi="Candara"/>
                <w:sz w:val="16"/>
                <w:szCs w:val="16"/>
                <w:vertAlign w:val="superscript"/>
              </w:rPr>
              <w:t>2</w:t>
            </w:r>
          </w:p>
        </w:tc>
      </w:tr>
      <w:tr w:rsidR="00696774" w14:paraId="3C1BCA78" w14:textId="77777777" w:rsidTr="000C0EE7">
        <w:trPr>
          <w:jc w:val="center"/>
        </w:trPr>
        <w:tc>
          <w:tcPr>
            <w:tcW w:w="1702" w:type="dxa"/>
            <w:vAlign w:val="center"/>
          </w:tcPr>
          <w:p w14:paraId="6CDEB15F"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1 (&lt;8.10)</w:t>
            </w:r>
          </w:p>
        </w:tc>
        <w:tc>
          <w:tcPr>
            <w:tcW w:w="921" w:type="dxa"/>
            <w:vAlign w:val="center"/>
          </w:tcPr>
          <w:p w14:paraId="364768BF" w14:textId="77777777" w:rsidR="00696774" w:rsidRPr="00AD642D" w:rsidRDefault="00696774" w:rsidP="000C0EE7">
            <w:pPr>
              <w:jc w:val="center"/>
              <w:rPr>
                <w:rFonts w:ascii="Candara" w:hAnsi="Candara"/>
                <w:sz w:val="16"/>
                <w:szCs w:val="16"/>
              </w:rPr>
            </w:pPr>
            <w:r>
              <w:rPr>
                <w:rFonts w:ascii="Candara" w:hAnsi="Candara"/>
                <w:sz w:val="16"/>
                <w:szCs w:val="16"/>
              </w:rPr>
              <w:t>54</w:t>
            </w:r>
          </w:p>
        </w:tc>
        <w:tc>
          <w:tcPr>
            <w:tcW w:w="1112" w:type="dxa"/>
            <w:vAlign w:val="center"/>
          </w:tcPr>
          <w:p w14:paraId="6C8A3C21" w14:textId="77777777" w:rsidR="00696774" w:rsidRPr="00AD642D" w:rsidRDefault="00696774" w:rsidP="000C0EE7">
            <w:pPr>
              <w:jc w:val="center"/>
              <w:rPr>
                <w:rFonts w:ascii="Candara" w:hAnsi="Candara"/>
                <w:sz w:val="16"/>
                <w:szCs w:val="16"/>
              </w:rPr>
            </w:pPr>
            <w:r>
              <w:rPr>
                <w:rFonts w:ascii="Candara" w:hAnsi="Candara"/>
                <w:sz w:val="16"/>
                <w:szCs w:val="16"/>
              </w:rPr>
              <w:t>610</w:t>
            </w:r>
          </w:p>
        </w:tc>
        <w:tc>
          <w:tcPr>
            <w:tcW w:w="1930" w:type="dxa"/>
            <w:vAlign w:val="center"/>
          </w:tcPr>
          <w:p w14:paraId="0E31A88A" w14:textId="77777777" w:rsidR="00696774" w:rsidRPr="00AD642D" w:rsidRDefault="00696774" w:rsidP="000C0EE7">
            <w:pPr>
              <w:jc w:val="center"/>
              <w:rPr>
                <w:rFonts w:ascii="Candara" w:hAnsi="Candara"/>
                <w:sz w:val="16"/>
                <w:szCs w:val="16"/>
              </w:rPr>
            </w:pPr>
            <w:r>
              <w:rPr>
                <w:rFonts w:ascii="Candara" w:hAnsi="Candara"/>
                <w:sz w:val="16"/>
                <w:szCs w:val="16"/>
              </w:rPr>
              <w:t>8.85 (6.65 to 11.55)</w:t>
            </w:r>
          </w:p>
        </w:tc>
        <w:tc>
          <w:tcPr>
            <w:tcW w:w="1701" w:type="dxa"/>
            <w:vAlign w:val="center"/>
          </w:tcPr>
          <w:p w14:paraId="221B7500" w14:textId="77777777" w:rsidR="00696774" w:rsidRDefault="00696774" w:rsidP="000C0EE7">
            <w:pPr>
              <w:jc w:val="center"/>
              <w:rPr>
                <w:rFonts w:ascii="Candara" w:hAnsi="Candara"/>
                <w:sz w:val="16"/>
                <w:szCs w:val="16"/>
              </w:rPr>
            </w:pPr>
            <w:r w:rsidRPr="00AD642D">
              <w:rPr>
                <w:rFonts w:ascii="Candara" w:hAnsi="Candara"/>
                <w:sz w:val="16"/>
                <w:szCs w:val="16"/>
              </w:rPr>
              <w:t>Reference</w:t>
            </w:r>
          </w:p>
        </w:tc>
        <w:tc>
          <w:tcPr>
            <w:tcW w:w="1843" w:type="dxa"/>
            <w:vAlign w:val="center"/>
          </w:tcPr>
          <w:p w14:paraId="126443B0"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c>
          <w:tcPr>
            <w:tcW w:w="1843" w:type="dxa"/>
            <w:vAlign w:val="center"/>
          </w:tcPr>
          <w:p w14:paraId="2B8583BE"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r>
      <w:tr w:rsidR="00696774" w14:paraId="00550A7F" w14:textId="77777777" w:rsidTr="000C0EE7">
        <w:trPr>
          <w:jc w:val="center"/>
        </w:trPr>
        <w:tc>
          <w:tcPr>
            <w:tcW w:w="1702" w:type="dxa"/>
            <w:vAlign w:val="center"/>
          </w:tcPr>
          <w:p w14:paraId="11332B26"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2 (8.10-8.3</w:t>
            </w:r>
            <w:r>
              <w:rPr>
                <w:rFonts w:ascii="Candara" w:hAnsi="Candara"/>
                <w:sz w:val="16"/>
                <w:szCs w:val="16"/>
              </w:rPr>
              <w:t>8</w:t>
            </w:r>
            <w:r w:rsidRPr="0047321F">
              <w:rPr>
                <w:rFonts w:ascii="Candara" w:hAnsi="Candara"/>
                <w:sz w:val="16"/>
                <w:szCs w:val="16"/>
              </w:rPr>
              <w:t>)</w:t>
            </w:r>
          </w:p>
        </w:tc>
        <w:tc>
          <w:tcPr>
            <w:tcW w:w="921" w:type="dxa"/>
            <w:vAlign w:val="center"/>
          </w:tcPr>
          <w:p w14:paraId="730B0434" w14:textId="77777777" w:rsidR="00696774" w:rsidRPr="00AD642D" w:rsidRDefault="00696774" w:rsidP="000C0EE7">
            <w:pPr>
              <w:jc w:val="center"/>
              <w:rPr>
                <w:rFonts w:ascii="Candara" w:hAnsi="Candara"/>
                <w:sz w:val="16"/>
                <w:szCs w:val="16"/>
              </w:rPr>
            </w:pPr>
            <w:r>
              <w:rPr>
                <w:rFonts w:ascii="Candara" w:hAnsi="Candara"/>
                <w:sz w:val="16"/>
                <w:szCs w:val="16"/>
              </w:rPr>
              <w:t>82</w:t>
            </w:r>
          </w:p>
        </w:tc>
        <w:tc>
          <w:tcPr>
            <w:tcW w:w="1112" w:type="dxa"/>
            <w:vAlign w:val="center"/>
          </w:tcPr>
          <w:p w14:paraId="08AD2FF6" w14:textId="77777777" w:rsidR="00696774" w:rsidRPr="00AD642D" w:rsidRDefault="00696774" w:rsidP="000C0EE7">
            <w:pPr>
              <w:jc w:val="center"/>
              <w:rPr>
                <w:rFonts w:ascii="Candara" w:hAnsi="Candara"/>
                <w:sz w:val="16"/>
                <w:szCs w:val="16"/>
              </w:rPr>
            </w:pPr>
            <w:r>
              <w:rPr>
                <w:rFonts w:ascii="Candara" w:hAnsi="Candara"/>
                <w:sz w:val="16"/>
                <w:szCs w:val="16"/>
              </w:rPr>
              <w:t>596</w:t>
            </w:r>
          </w:p>
        </w:tc>
        <w:tc>
          <w:tcPr>
            <w:tcW w:w="1930" w:type="dxa"/>
            <w:vAlign w:val="center"/>
          </w:tcPr>
          <w:p w14:paraId="7715A796" w14:textId="77777777" w:rsidR="00696774" w:rsidRPr="00AD642D" w:rsidRDefault="00696774" w:rsidP="000C0EE7">
            <w:pPr>
              <w:jc w:val="center"/>
              <w:rPr>
                <w:rFonts w:ascii="Candara" w:hAnsi="Candara"/>
                <w:sz w:val="16"/>
                <w:szCs w:val="16"/>
              </w:rPr>
            </w:pPr>
            <w:r>
              <w:rPr>
                <w:rFonts w:ascii="Candara" w:hAnsi="Candara"/>
                <w:sz w:val="16"/>
                <w:szCs w:val="16"/>
              </w:rPr>
              <w:t>13.76 (10.94 to 17.08)</w:t>
            </w:r>
          </w:p>
        </w:tc>
        <w:tc>
          <w:tcPr>
            <w:tcW w:w="1701" w:type="dxa"/>
            <w:vAlign w:val="bottom"/>
          </w:tcPr>
          <w:p w14:paraId="14CB20AD" w14:textId="77777777" w:rsidR="00696774" w:rsidRDefault="00696774" w:rsidP="000C0EE7">
            <w:pPr>
              <w:jc w:val="center"/>
              <w:rPr>
                <w:rFonts w:ascii="Candara" w:hAnsi="Candara"/>
                <w:sz w:val="16"/>
                <w:szCs w:val="16"/>
              </w:rPr>
            </w:pPr>
            <w:r w:rsidRPr="00A03ABC">
              <w:rPr>
                <w:rFonts w:ascii="Candara" w:hAnsi="Candara"/>
                <w:sz w:val="16"/>
                <w:szCs w:val="16"/>
              </w:rPr>
              <w:t>1.55 (1.48 to 1.65)</w:t>
            </w:r>
          </w:p>
        </w:tc>
        <w:tc>
          <w:tcPr>
            <w:tcW w:w="1843" w:type="dxa"/>
            <w:vAlign w:val="center"/>
          </w:tcPr>
          <w:p w14:paraId="4FB15800" w14:textId="77777777" w:rsidR="00696774" w:rsidRDefault="00696774" w:rsidP="000C0EE7">
            <w:pPr>
              <w:jc w:val="center"/>
              <w:rPr>
                <w:rFonts w:ascii="Candara" w:hAnsi="Candara"/>
                <w:sz w:val="16"/>
                <w:szCs w:val="16"/>
              </w:rPr>
            </w:pPr>
            <w:r>
              <w:rPr>
                <w:rFonts w:ascii="Candara" w:hAnsi="Candara"/>
                <w:sz w:val="16"/>
                <w:szCs w:val="16"/>
              </w:rPr>
              <w:t>1.48 (1.33 to 1.64)</w:t>
            </w:r>
          </w:p>
        </w:tc>
        <w:tc>
          <w:tcPr>
            <w:tcW w:w="1843" w:type="dxa"/>
            <w:vAlign w:val="center"/>
          </w:tcPr>
          <w:p w14:paraId="6189D8F5" w14:textId="77777777" w:rsidR="00696774" w:rsidRDefault="00696774" w:rsidP="000C0EE7">
            <w:pPr>
              <w:jc w:val="center"/>
              <w:rPr>
                <w:rFonts w:ascii="Candara" w:hAnsi="Candara"/>
                <w:sz w:val="16"/>
                <w:szCs w:val="16"/>
              </w:rPr>
            </w:pPr>
            <w:r>
              <w:rPr>
                <w:rFonts w:ascii="Candara" w:hAnsi="Candara"/>
                <w:sz w:val="16"/>
                <w:szCs w:val="16"/>
              </w:rPr>
              <w:t>1.48 (1.34 to 1.65)</w:t>
            </w:r>
          </w:p>
        </w:tc>
      </w:tr>
      <w:tr w:rsidR="00696774" w14:paraId="74543BF3" w14:textId="77777777" w:rsidTr="000C0EE7">
        <w:trPr>
          <w:jc w:val="center"/>
        </w:trPr>
        <w:tc>
          <w:tcPr>
            <w:tcW w:w="1702" w:type="dxa"/>
            <w:vAlign w:val="center"/>
          </w:tcPr>
          <w:p w14:paraId="5980554B"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3 (8.39-8.6</w:t>
            </w:r>
            <w:r>
              <w:rPr>
                <w:rFonts w:ascii="Candara" w:hAnsi="Candara"/>
                <w:sz w:val="16"/>
                <w:szCs w:val="16"/>
              </w:rPr>
              <w:t>8</w:t>
            </w:r>
            <w:r w:rsidRPr="0047321F">
              <w:rPr>
                <w:rFonts w:ascii="Candara" w:hAnsi="Candara"/>
                <w:sz w:val="16"/>
                <w:szCs w:val="16"/>
              </w:rPr>
              <w:t>)</w:t>
            </w:r>
          </w:p>
        </w:tc>
        <w:tc>
          <w:tcPr>
            <w:tcW w:w="921" w:type="dxa"/>
            <w:vAlign w:val="center"/>
          </w:tcPr>
          <w:p w14:paraId="2B551011" w14:textId="77777777" w:rsidR="00696774" w:rsidRPr="00AD642D" w:rsidRDefault="00696774" w:rsidP="000C0EE7">
            <w:pPr>
              <w:jc w:val="center"/>
              <w:rPr>
                <w:rFonts w:ascii="Candara" w:hAnsi="Candara"/>
                <w:sz w:val="16"/>
                <w:szCs w:val="16"/>
              </w:rPr>
            </w:pPr>
            <w:r>
              <w:rPr>
                <w:rFonts w:ascii="Candara" w:hAnsi="Candara"/>
                <w:sz w:val="16"/>
                <w:szCs w:val="16"/>
              </w:rPr>
              <w:t>108</w:t>
            </w:r>
          </w:p>
        </w:tc>
        <w:tc>
          <w:tcPr>
            <w:tcW w:w="1112" w:type="dxa"/>
            <w:vAlign w:val="center"/>
          </w:tcPr>
          <w:p w14:paraId="79561AAA" w14:textId="77777777" w:rsidR="00696774" w:rsidRPr="00AD642D" w:rsidRDefault="00696774" w:rsidP="000C0EE7">
            <w:pPr>
              <w:jc w:val="center"/>
              <w:rPr>
                <w:rFonts w:ascii="Candara" w:hAnsi="Candara"/>
                <w:sz w:val="16"/>
                <w:szCs w:val="16"/>
              </w:rPr>
            </w:pPr>
            <w:r>
              <w:rPr>
                <w:rFonts w:ascii="Candara" w:hAnsi="Candara"/>
                <w:sz w:val="16"/>
                <w:szCs w:val="16"/>
              </w:rPr>
              <w:t>603</w:t>
            </w:r>
          </w:p>
        </w:tc>
        <w:tc>
          <w:tcPr>
            <w:tcW w:w="1930" w:type="dxa"/>
            <w:vAlign w:val="center"/>
          </w:tcPr>
          <w:p w14:paraId="7749D853" w14:textId="77777777" w:rsidR="00696774" w:rsidRPr="00AD642D" w:rsidRDefault="00696774" w:rsidP="000C0EE7">
            <w:pPr>
              <w:jc w:val="center"/>
              <w:rPr>
                <w:rFonts w:ascii="Candara" w:hAnsi="Candara"/>
                <w:sz w:val="16"/>
                <w:szCs w:val="16"/>
              </w:rPr>
            </w:pPr>
            <w:r>
              <w:rPr>
                <w:rFonts w:ascii="Candara" w:hAnsi="Candara"/>
                <w:sz w:val="16"/>
                <w:szCs w:val="16"/>
              </w:rPr>
              <w:t>17.91 (14.69 to 21.62)</w:t>
            </w:r>
          </w:p>
        </w:tc>
        <w:tc>
          <w:tcPr>
            <w:tcW w:w="1701" w:type="dxa"/>
            <w:vAlign w:val="bottom"/>
          </w:tcPr>
          <w:p w14:paraId="66FCEFFF" w14:textId="77777777" w:rsidR="00696774" w:rsidRDefault="00696774" w:rsidP="000C0EE7">
            <w:pPr>
              <w:jc w:val="center"/>
              <w:rPr>
                <w:rFonts w:ascii="Candara" w:hAnsi="Candara"/>
                <w:sz w:val="16"/>
                <w:szCs w:val="16"/>
              </w:rPr>
            </w:pPr>
            <w:r w:rsidRPr="00A03ABC">
              <w:rPr>
                <w:rFonts w:ascii="Candara" w:hAnsi="Candara"/>
                <w:sz w:val="16"/>
                <w:szCs w:val="16"/>
              </w:rPr>
              <w:t>2.02 (1.87 to 2.21)</w:t>
            </w:r>
          </w:p>
        </w:tc>
        <w:tc>
          <w:tcPr>
            <w:tcW w:w="1843" w:type="dxa"/>
            <w:vAlign w:val="center"/>
          </w:tcPr>
          <w:p w14:paraId="108FEF9E" w14:textId="77777777" w:rsidR="00696774" w:rsidRDefault="00696774" w:rsidP="000C0EE7">
            <w:pPr>
              <w:jc w:val="center"/>
              <w:rPr>
                <w:rFonts w:ascii="Candara" w:hAnsi="Candara"/>
                <w:sz w:val="16"/>
                <w:szCs w:val="16"/>
              </w:rPr>
            </w:pPr>
            <w:r>
              <w:rPr>
                <w:rFonts w:ascii="Candara" w:hAnsi="Candara"/>
                <w:sz w:val="16"/>
                <w:szCs w:val="16"/>
              </w:rPr>
              <w:t>1.72 (1.55 to 1.91)</w:t>
            </w:r>
          </w:p>
        </w:tc>
        <w:tc>
          <w:tcPr>
            <w:tcW w:w="1843" w:type="dxa"/>
            <w:vAlign w:val="center"/>
          </w:tcPr>
          <w:p w14:paraId="7CE83C0A" w14:textId="77777777" w:rsidR="00696774" w:rsidRDefault="00696774" w:rsidP="000C0EE7">
            <w:pPr>
              <w:jc w:val="center"/>
              <w:rPr>
                <w:rFonts w:ascii="Candara" w:hAnsi="Candara"/>
                <w:sz w:val="16"/>
                <w:szCs w:val="16"/>
              </w:rPr>
            </w:pPr>
            <w:r>
              <w:rPr>
                <w:rFonts w:ascii="Candara" w:hAnsi="Candara"/>
                <w:sz w:val="16"/>
                <w:szCs w:val="16"/>
              </w:rPr>
              <w:t>1.74 (1.57 to 1.93)</w:t>
            </w:r>
          </w:p>
        </w:tc>
      </w:tr>
      <w:tr w:rsidR="00696774" w14:paraId="17AA05D2" w14:textId="77777777" w:rsidTr="000C0EE7">
        <w:trPr>
          <w:jc w:val="center"/>
        </w:trPr>
        <w:tc>
          <w:tcPr>
            <w:tcW w:w="1702" w:type="dxa"/>
            <w:vAlign w:val="center"/>
          </w:tcPr>
          <w:p w14:paraId="5E8CBDE8"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4 (≥8.69)</w:t>
            </w:r>
          </w:p>
        </w:tc>
        <w:tc>
          <w:tcPr>
            <w:tcW w:w="921" w:type="dxa"/>
            <w:vAlign w:val="center"/>
          </w:tcPr>
          <w:p w14:paraId="585E4505" w14:textId="77777777" w:rsidR="00696774" w:rsidRPr="00AD642D" w:rsidRDefault="00696774" w:rsidP="000C0EE7">
            <w:pPr>
              <w:jc w:val="center"/>
              <w:rPr>
                <w:rFonts w:ascii="Candara" w:hAnsi="Candara"/>
                <w:sz w:val="16"/>
                <w:szCs w:val="16"/>
              </w:rPr>
            </w:pPr>
            <w:r>
              <w:rPr>
                <w:rFonts w:ascii="Candara" w:hAnsi="Candara"/>
                <w:sz w:val="16"/>
                <w:szCs w:val="16"/>
              </w:rPr>
              <w:t>105</w:t>
            </w:r>
          </w:p>
        </w:tc>
        <w:tc>
          <w:tcPr>
            <w:tcW w:w="1112" w:type="dxa"/>
            <w:vAlign w:val="center"/>
          </w:tcPr>
          <w:p w14:paraId="338AC58E" w14:textId="77777777" w:rsidR="00696774" w:rsidRPr="00AD642D" w:rsidRDefault="00696774" w:rsidP="000C0EE7">
            <w:pPr>
              <w:jc w:val="center"/>
              <w:rPr>
                <w:rFonts w:ascii="Candara" w:hAnsi="Candara"/>
                <w:sz w:val="16"/>
                <w:szCs w:val="16"/>
              </w:rPr>
            </w:pPr>
            <w:r>
              <w:rPr>
                <w:rFonts w:ascii="Candara" w:hAnsi="Candara"/>
                <w:sz w:val="16"/>
                <w:szCs w:val="16"/>
              </w:rPr>
              <w:t>542</w:t>
            </w:r>
          </w:p>
        </w:tc>
        <w:tc>
          <w:tcPr>
            <w:tcW w:w="1930" w:type="dxa"/>
            <w:vAlign w:val="center"/>
          </w:tcPr>
          <w:p w14:paraId="6DC9B246" w14:textId="77777777" w:rsidR="00696774" w:rsidRPr="00AD642D" w:rsidRDefault="00696774" w:rsidP="000C0EE7">
            <w:pPr>
              <w:jc w:val="center"/>
              <w:rPr>
                <w:rFonts w:ascii="Candara" w:hAnsi="Candara"/>
                <w:sz w:val="16"/>
                <w:szCs w:val="16"/>
              </w:rPr>
            </w:pPr>
            <w:r>
              <w:rPr>
                <w:rFonts w:ascii="Candara" w:hAnsi="Candara"/>
                <w:sz w:val="16"/>
                <w:szCs w:val="16"/>
              </w:rPr>
              <w:t>19.37 (15.84 to 23.45)</w:t>
            </w:r>
          </w:p>
        </w:tc>
        <w:tc>
          <w:tcPr>
            <w:tcW w:w="1701" w:type="dxa"/>
            <w:vAlign w:val="bottom"/>
          </w:tcPr>
          <w:p w14:paraId="6DC91187" w14:textId="77777777" w:rsidR="00696774" w:rsidRDefault="00696774" w:rsidP="000C0EE7">
            <w:pPr>
              <w:jc w:val="center"/>
              <w:rPr>
                <w:rFonts w:ascii="Candara" w:hAnsi="Candara"/>
                <w:sz w:val="16"/>
                <w:szCs w:val="16"/>
              </w:rPr>
            </w:pPr>
            <w:r w:rsidRPr="00A03ABC">
              <w:rPr>
                <w:rFonts w:ascii="Candara" w:hAnsi="Candara"/>
                <w:sz w:val="16"/>
                <w:szCs w:val="16"/>
              </w:rPr>
              <w:t>2.19 (2.03 to 2.38)</w:t>
            </w:r>
          </w:p>
        </w:tc>
        <w:tc>
          <w:tcPr>
            <w:tcW w:w="1843" w:type="dxa"/>
            <w:vAlign w:val="center"/>
          </w:tcPr>
          <w:p w14:paraId="55B249AC" w14:textId="77777777" w:rsidR="00696774" w:rsidRDefault="00696774" w:rsidP="000C0EE7">
            <w:pPr>
              <w:jc w:val="center"/>
              <w:rPr>
                <w:rFonts w:ascii="Candara" w:hAnsi="Candara"/>
                <w:sz w:val="16"/>
                <w:szCs w:val="16"/>
              </w:rPr>
            </w:pPr>
            <w:r>
              <w:rPr>
                <w:rFonts w:ascii="Candara" w:hAnsi="Candara"/>
                <w:sz w:val="16"/>
                <w:szCs w:val="16"/>
              </w:rPr>
              <w:t>2.23 (2.01 to 2.46)</w:t>
            </w:r>
          </w:p>
        </w:tc>
        <w:tc>
          <w:tcPr>
            <w:tcW w:w="1843" w:type="dxa"/>
            <w:vAlign w:val="center"/>
          </w:tcPr>
          <w:p w14:paraId="33C13F66" w14:textId="77777777" w:rsidR="00696774" w:rsidRDefault="00696774" w:rsidP="000C0EE7">
            <w:pPr>
              <w:jc w:val="center"/>
              <w:rPr>
                <w:rFonts w:ascii="Candara" w:hAnsi="Candara"/>
                <w:sz w:val="16"/>
                <w:szCs w:val="16"/>
              </w:rPr>
            </w:pPr>
            <w:r>
              <w:rPr>
                <w:rFonts w:ascii="Candara" w:hAnsi="Candara"/>
                <w:sz w:val="16"/>
                <w:szCs w:val="16"/>
              </w:rPr>
              <w:t>2.22 (2.01 to 2.46)</w:t>
            </w:r>
          </w:p>
        </w:tc>
      </w:tr>
      <w:tr w:rsidR="00696774" w14:paraId="358CF0DF" w14:textId="77777777" w:rsidTr="000C0EE7">
        <w:trPr>
          <w:jc w:val="center"/>
        </w:trPr>
        <w:tc>
          <w:tcPr>
            <w:tcW w:w="1702" w:type="dxa"/>
            <w:vAlign w:val="center"/>
          </w:tcPr>
          <w:p w14:paraId="70AE13FD" w14:textId="77777777" w:rsidR="00696774" w:rsidRPr="0047321F" w:rsidRDefault="00696774" w:rsidP="000C0EE7">
            <w:pPr>
              <w:rPr>
                <w:rFonts w:ascii="Candara" w:hAnsi="Candara"/>
                <w:sz w:val="16"/>
                <w:szCs w:val="16"/>
              </w:rPr>
            </w:pPr>
          </w:p>
        </w:tc>
        <w:tc>
          <w:tcPr>
            <w:tcW w:w="9350" w:type="dxa"/>
            <w:gridSpan w:val="6"/>
            <w:vAlign w:val="center"/>
          </w:tcPr>
          <w:p w14:paraId="6141D4C8" w14:textId="77777777" w:rsidR="00696774" w:rsidRDefault="00696774" w:rsidP="000C0EE7">
            <w:pPr>
              <w:jc w:val="center"/>
              <w:rPr>
                <w:rFonts w:ascii="Candara" w:hAnsi="Candara"/>
                <w:sz w:val="16"/>
                <w:szCs w:val="16"/>
              </w:rPr>
            </w:pPr>
            <w:r>
              <w:rPr>
                <w:rFonts w:ascii="Candara" w:hAnsi="Candara"/>
                <w:sz w:val="16"/>
                <w:szCs w:val="16"/>
              </w:rPr>
              <w:t>Body mass index ≥ 25 kg/m</w:t>
            </w:r>
            <w:r w:rsidRPr="00B05D20">
              <w:rPr>
                <w:rFonts w:ascii="Candara" w:hAnsi="Candara"/>
                <w:sz w:val="16"/>
                <w:szCs w:val="16"/>
                <w:vertAlign w:val="superscript"/>
              </w:rPr>
              <w:t>2</w:t>
            </w:r>
          </w:p>
        </w:tc>
      </w:tr>
      <w:tr w:rsidR="00696774" w14:paraId="251E34F8" w14:textId="77777777" w:rsidTr="000C0EE7">
        <w:trPr>
          <w:jc w:val="center"/>
        </w:trPr>
        <w:tc>
          <w:tcPr>
            <w:tcW w:w="1702" w:type="dxa"/>
            <w:vAlign w:val="center"/>
          </w:tcPr>
          <w:p w14:paraId="7B016A48"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1 (&lt;8.10)</w:t>
            </w:r>
          </w:p>
        </w:tc>
        <w:tc>
          <w:tcPr>
            <w:tcW w:w="921" w:type="dxa"/>
            <w:vAlign w:val="center"/>
          </w:tcPr>
          <w:p w14:paraId="0057531B" w14:textId="77777777" w:rsidR="00696774" w:rsidRPr="00AD642D" w:rsidRDefault="00696774" w:rsidP="000C0EE7">
            <w:pPr>
              <w:jc w:val="center"/>
              <w:rPr>
                <w:rFonts w:ascii="Candara" w:hAnsi="Candara"/>
                <w:sz w:val="16"/>
                <w:szCs w:val="16"/>
              </w:rPr>
            </w:pPr>
            <w:r>
              <w:rPr>
                <w:rFonts w:ascii="Candara" w:hAnsi="Candara"/>
                <w:sz w:val="16"/>
                <w:szCs w:val="16"/>
              </w:rPr>
              <w:t>11</w:t>
            </w:r>
          </w:p>
        </w:tc>
        <w:tc>
          <w:tcPr>
            <w:tcW w:w="1112" w:type="dxa"/>
            <w:vAlign w:val="center"/>
          </w:tcPr>
          <w:p w14:paraId="311BEB88" w14:textId="77777777" w:rsidR="00696774" w:rsidRPr="00AD642D" w:rsidRDefault="00696774" w:rsidP="000C0EE7">
            <w:pPr>
              <w:jc w:val="center"/>
              <w:rPr>
                <w:rFonts w:ascii="Candara" w:hAnsi="Candara"/>
                <w:sz w:val="16"/>
                <w:szCs w:val="16"/>
              </w:rPr>
            </w:pPr>
            <w:r>
              <w:rPr>
                <w:rFonts w:ascii="Candara" w:hAnsi="Candara"/>
                <w:sz w:val="16"/>
                <w:szCs w:val="16"/>
              </w:rPr>
              <w:t>156</w:t>
            </w:r>
          </w:p>
        </w:tc>
        <w:tc>
          <w:tcPr>
            <w:tcW w:w="1930" w:type="dxa"/>
            <w:vAlign w:val="center"/>
          </w:tcPr>
          <w:p w14:paraId="17278725" w14:textId="77777777" w:rsidR="00696774" w:rsidRPr="00AD642D" w:rsidRDefault="00696774" w:rsidP="000C0EE7">
            <w:pPr>
              <w:jc w:val="center"/>
              <w:rPr>
                <w:rFonts w:ascii="Candara" w:hAnsi="Candara"/>
                <w:sz w:val="16"/>
                <w:szCs w:val="16"/>
              </w:rPr>
            </w:pPr>
            <w:r>
              <w:rPr>
                <w:rFonts w:ascii="Candara" w:hAnsi="Candara"/>
                <w:sz w:val="16"/>
                <w:szCs w:val="16"/>
              </w:rPr>
              <w:t>7.05 (3.52 to 12.62)</w:t>
            </w:r>
          </w:p>
        </w:tc>
        <w:tc>
          <w:tcPr>
            <w:tcW w:w="1701" w:type="dxa"/>
            <w:vAlign w:val="center"/>
          </w:tcPr>
          <w:p w14:paraId="627843EC" w14:textId="77777777" w:rsidR="00696774" w:rsidRDefault="00696774" w:rsidP="000C0EE7">
            <w:pPr>
              <w:jc w:val="center"/>
              <w:rPr>
                <w:rFonts w:ascii="Candara" w:hAnsi="Candara"/>
                <w:sz w:val="16"/>
                <w:szCs w:val="16"/>
              </w:rPr>
            </w:pPr>
            <w:r>
              <w:rPr>
                <w:rFonts w:ascii="Candara" w:hAnsi="Candara"/>
                <w:sz w:val="16"/>
                <w:szCs w:val="16"/>
              </w:rPr>
              <w:t>Reference</w:t>
            </w:r>
          </w:p>
        </w:tc>
        <w:tc>
          <w:tcPr>
            <w:tcW w:w="1843" w:type="dxa"/>
            <w:vAlign w:val="center"/>
          </w:tcPr>
          <w:p w14:paraId="3AD29864"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c>
          <w:tcPr>
            <w:tcW w:w="1843" w:type="dxa"/>
            <w:vAlign w:val="center"/>
          </w:tcPr>
          <w:p w14:paraId="3C2CFE22" w14:textId="77777777" w:rsidR="00696774" w:rsidRPr="00AD642D" w:rsidRDefault="00696774" w:rsidP="000C0EE7">
            <w:pPr>
              <w:jc w:val="center"/>
              <w:rPr>
                <w:rFonts w:ascii="Candara" w:hAnsi="Candara"/>
                <w:sz w:val="16"/>
                <w:szCs w:val="16"/>
              </w:rPr>
            </w:pPr>
            <w:r w:rsidRPr="00AD642D">
              <w:rPr>
                <w:rFonts w:ascii="Candara" w:hAnsi="Candara"/>
                <w:sz w:val="16"/>
                <w:szCs w:val="16"/>
              </w:rPr>
              <w:t>Reference</w:t>
            </w:r>
          </w:p>
        </w:tc>
      </w:tr>
      <w:tr w:rsidR="00696774" w14:paraId="25E3D9F0" w14:textId="77777777" w:rsidTr="000C0EE7">
        <w:trPr>
          <w:jc w:val="center"/>
        </w:trPr>
        <w:tc>
          <w:tcPr>
            <w:tcW w:w="1702" w:type="dxa"/>
            <w:vAlign w:val="center"/>
          </w:tcPr>
          <w:p w14:paraId="12E2E709"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2 (8.10-8.3</w:t>
            </w:r>
            <w:r>
              <w:rPr>
                <w:rFonts w:ascii="Candara" w:hAnsi="Candara"/>
                <w:sz w:val="16"/>
                <w:szCs w:val="16"/>
              </w:rPr>
              <w:t>8</w:t>
            </w:r>
            <w:r w:rsidRPr="0047321F">
              <w:rPr>
                <w:rFonts w:ascii="Candara" w:hAnsi="Candara"/>
                <w:sz w:val="16"/>
                <w:szCs w:val="16"/>
              </w:rPr>
              <w:t>)</w:t>
            </w:r>
          </w:p>
        </w:tc>
        <w:tc>
          <w:tcPr>
            <w:tcW w:w="921" w:type="dxa"/>
            <w:vAlign w:val="center"/>
          </w:tcPr>
          <w:p w14:paraId="25C60F0D" w14:textId="77777777" w:rsidR="00696774" w:rsidRPr="00AD642D" w:rsidRDefault="00696774" w:rsidP="000C0EE7">
            <w:pPr>
              <w:jc w:val="center"/>
              <w:rPr>
                <w:rFonts w:ascii="Candara" w:hAnsi="Candara"/>
                <w:sz w:val="16"/>
                <w:szCs w:val="16"/>
              </w:rPr>
            </w:pPr>
            <w:r>
              <w:rPr>
                <w:rFonts w:ascii="Candara" w:hAnsi="Candara"/>
                <w:sz w:val="16"/>
                <w:szCs w:val="16"/>
              </w:rPr>
              <w:t>14</w:t>
            </w:r>
          </w:p>
        </w:tc>
        <w:tc>
          <w:tcPr>
            <w:tcW w:w="1112" w:type="dxa"/>
            <w:vAlign w:val="center"/>
          </w:tcPr>
          <w:p w14:paraId="3A3C23D7" w14:textId="77777777" w:rsidR="00696774" w:rsidRPr="00AD642D" w:rsidRDefault="00696774" w:rsidP="000C0EE7">
            <w:pPr>
              <w:jc w:val="center"/>
              <w:rPr>
                <w:rFonts w:ascii="Candara" w:hAnsi="Candara"/>
                <w:sz w:val="16"/>
                <w:szCs w:val="16"/>
              </w:rPr>
            </w:pPr>
            <w:r>
              <w:rPr>
                <w:rFonts w:ascii="Candara" w:hAnsi="Candara"/>
                <w:sz w:val="16"/>
                <w:szCs w:val="16"/>
              </w:rPr>
              <w:t>164</w:t>
            </w:r>
          </w:p>
        </w:tc>
        <w:tc>
          <w:tcPr>
            <w:tcW w:w="1930" w:type="dxa"/>
            <w:vAlign w:val="center"/>
          </w:tcPr>
          <w:p w14:paraId="3037B8D6" w14:textId="77777777" w:rsidR="00696774" w:rsidRPr="00AD642D" w:rsidRDefault="00696774" w:rsidP="000C0EE7">
            <w:pPr>
              <w:jc w:val="center"/>
              <w:rPr>
                <w:rFonts w:ascii="Candara" w:hAnsi="Candara"/>
                <w:sz w:val="16"/>
                <w:szCs w:val="16"/>
              </w:rPr>
            </w:pPr>
            <w:r>
              <w:rPr>
                <w:rFonts w:ascii="Candara" w:hAnsi="Candara"/>
                <w:sz w:val="16"/>
                <w:szCs w:val="16"/>
              </w:rPr>
              <w:t>8.54 (4.67 to 14.32)</w:t>
            </w:r>
          </w:p>
        </w:tc>
        <w:tc>
          <w:tcPr>
            <w:tcW w:w="1701" w:type="dxa"/>
            <w:vAlign w:val="bottom"/>
          </w:tcPr>
          <w:p w14:paraId="64BAB964" w14:textId="77777777" w:rsidR="00696774" w:rsidRDefault="00696774" w:rsidP="000C0EE7">
            <w:pPr>
              <w:jc w:val="center"/>
              <w:rPr>
                <w:rFonts w:ascii="Candara" w:hAnsi="Candara"/>
                <w:sz w:val="16"/>
                <w:szCs w:val="16"/>
              </w:rPr>
            </w:pPr>
            <w:r w:rsidRPr="002A2C94">
              <w:rPr>
                <w:rFonts w:ascii="Candara" w:hAnsi="Candara"/>
                <w:sz w:val="16"/>
                <w:szCs w:val="16"/>
              </w:rPr>
              <w:t>1.21 (1.13 to 1.33)</w:t>
            </w:r>
          </w:p>
        </w:tc>
        <w:tc>
          <w:tcPr>
            <w:tcW w:w="1843" w:type="dxa"/>
            <w:vAlign w:val="center"/>
          </w:tcPr>
          <w:p w14:paraId="6A670E63" w14:textId="77777777" w:rsidR="00696774" w:rsidRDefault="00696774" w:rsidP="000C0EE7">
            <w:pPr>
              <w:jc w:val="center"/>
              <w:rPr>
                <w:rFonts w:ascii="Candara" w:hAnsi="Candara"/>
                <w:sz w:val="16"/>
                <w:szCs w:val="16"/>
              </w:rPr>
            </w:pPr>
            <w:r>
              <w:rPr>
                <w:rFonts w:ascii="Candara" w:hAnsi="Candara"/>
                <w:sz w:val="16"/>
                <w:szCs w:val="16"/>
              </w:rPr>
              <w:t>1.19 (0.93  to 1.52)</w:t>
            </w:r>
          </w:p>
        </w:tc>
        <w:tc>
          <w:tcPr>
            <w:tcW w:w="1843" w:type="dxa"/>
            <w:vAlign w:val="center"/>
          </w:tcPr>
          <w:p w14:paraId="0E9FDCBC" w14:textId="77777777" w:rsidR="00696774" w:rsidRDefault="00696774" w:rsidP="000C0EE7">
            <w:pPr>
              <w:jc w:val="center"/>
              <w:rPr>
                <w:rFonts w:ascii="Candara" w:hAnsi="Candara"/>
                <w:sz w:val="16"/>
                <w:szCs w:val="16"/>
              </w:rPr>
            </w:pPr>
            <w:r>
              <w:rPr>
                <w:rFonts w:ascii="Candara" w:hAnsi="Candara"/>
                <w:sz w:val="16"/>
                <w:szCs w:val="16"/>
              </w:rPr>
              <w:t>1.18 (0.92 to 1.51)</w:t>
            </w:r>
          </w:p>
        </w:tc>
      </w:tr>
      <w:tr w:rsidR="00696774" w14:paraId="44AE638E" w14:textId="77777777" w:rsidTr="000C0EE7">
        <w:trPr>
          <w:jc w:val="center"/>
        </w:trPr>
        <w:tc>
          <w:tcPr>
            <w:tcW w:w="1702" w:type="dxa"/>
            <w:vAlign w:val="center"/>
          </w:tcPr>
          <w:p w14:paraId="312C8429"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3 (8.39-8.6</w:t>
            </w:r>
            <w:r>
              <w:rPr>
                <w:rFonts w:ascii="Candara" w:hAnsi="Candara"/>
                <w:sz w:val="16"/>
                <w:szCs w:val="16"/>
              </w:rPr>
              <w:t>8</w:t>
            </w:r>
            <w:r w:rsidRPr="0047321F">
              <w:rPr>
                <w:rFonts w:ascii="Candara" w:hAnsi="Candara"/>
                <w:sz w:val="16"/>
                <w:szCs w:val="16"/>
              </w:rPr>
              <w:t>)</w:t>
            </w:r>
          </w:p>
        </w:tc>
        <w:tc>
          <w:tcPr>
            <w:tcW w:w="921" w:type="dxa"/>
            <w:vAlign w:val="center"/>
          </w:tcPr>
          <w:p w14:paraId="13D6E6AC" w14:textId="77777777" w:rsidR="00696774" w:rsidRPr="00AD642D" w:rsidRDefault="00696774" w:rsidP="000C0EE7">
            <w:pPr>
              <w:jc w:val="center"/>
              <w:rPr>
                <w:rFonts w:ascii="Candara" w:hAnsi="Candara"/>
                <w:sz w:val="16"/>
                <w:szCs w:val="16"/>
              </w:rPr>
            </w:pPr>
            <w:r>
              <w:rPr>
                <w:rFonts w:ascii="Candara" w:hAnsi="Candara"/>
                <w:sz w:val="16"/>
                <w:szCs w:val="16"/>
              </w:rPr>
              <w:t>23</w:t>
            </w:r>
          </w:p>
        </w:tc>
        <w:tc>
          <w:tcPr>
            <w:tcW w:w="1112" w:type="dxa"/>
            <w:vAlign w:val="center"/>
          </w:tcPr>
          <w:p w14:paraId="365C1CCB" w14:textId="77777777" w:rsidR="00696774" w:rsidRPr="00AD642D" w:rsidRDefault="00696774" w:rsidP="000C0EE7">
            <w:pPr>
              <w:jc w:val="center"/>
              <w:rPr>
                <w:rFonts w:ascii="Candara" w:hAnsi="Candara"/>
                <w:sz w:val="16"/>
                <w:szCs w:val="16"/>
              </w:rPr>
            </w:pPr>
            <w:r>
              <w:rPr>
                <w:rFonts w:ascii="Candara" w:hAnsi="Candara"/>
                <w:sz w:val="16"/>
                <w:szCs w:val="16"/>
              </w:rPr>
              <w:t>162</w:t>
            </w:r>
          </w:p>
        </w:tc>
        <w:tc>
          <w:tcPr>
            <w:tcW w:w="1930" w:type="dxa"/>
            <w:vAlign w:val="center"/>
          </w:tcPr>
          <w:p w14:paraId="06C95617" w14:textId="77777777" w:rsidR="00696774" w:rsidRPr="00AD642D" w:rsidRDefault="00696774" w:rsidP="000C0EE7">
            <w:pPr>
              <w:jc w:val="center"/>
              <w:rPr>
                <w:rFonts w:ascii="Candara" w:hAnsi="Candara"/>
                <w:sz w:val="16"/>
                <w:szCs w:val="16"/>
              </w:rPr>
            </w:pPr>
            <w:r>
              <w:rPr>
                <w:rFonts w:ascii="Candara" w:hAnsi="Candara"/>
                <w:sz w:val="16"/>
                <w:szCs w:val="16"/>
              </w:rPr>
              <w:t>14.20 (9.00 to 21.30)</w:t>
            </w:r>
          </w:p>
        </w:tc>
        <w:tc>
          <w:tcPr>
            <w:tcW w:w="1701" w:type="dxa"/>
            <w:vAlign w:val="bottom"/>
          </w:tcPr>
          <w:p w14:paraId="74F868A0" w14:textId="77777777" w:rsidR="00696774" w:rsidRDefault="00696774" w:rsidP="000C0EE7">
            <w:pPr>
              <w:jc w:val="center"/>
              <w:rPr>
                <w:rFonts w:ascii="Candara" w:hAnsi="Candara"/>
                <w:sz w:val="16"/>
                <w:szCs w:val="16"/>
              </w:rPr>
            </w:pPr>
            <w:r w:rsidRPr="002A2C94">
              <w:rPr>
                <w:rFonts w:ascii="Candara" w:hAnsi="Candara"/>
                <w:sz w:val="16"/>
                <w:szCs w:val="16"/>
              </w:rPr>
              <w:t>2.01 (1.69 to 2.56)</w:t>
            </w:r>
          </w:p>
        </w:tc>
        <w:tc>
          <w:tcPr>
            <w:tcW w:w="1843" w:type="dxa"/>
            <w:vAlign w:val="center"/>
          </w:tcPr>
          <w:p w14:paraId="78D2ABC5" w14:textId="77777777" w:rsidR="00696774" w:rsidRDefault="00696774" w:rsidP="000C0EE7">
            <w:pPr>
              <w:jc w:val="center"/>
              <w:rPr>
                <w:rFonts w:ascii="Candara" w:hAnsi="Candara"/>
                <w:sz w:val="16"/>
                <w:szCs w:val="16"/>
              </w:rPr>
            </w:pPr>
            <w:r>
              <w:rPr>
                <w:rFonts w:ascii="Candara" w:hAnsi="Candara"/>
                <w:sz w:val="16"/>
                <w:szCs w:val="16"/>
              </w:rPr>
              <w:t>2.44 (1.93 to 3.07)</w:t>
            </w:r>
          </w:p>
        </w:tc>
        <w:tc>
          <w:tcPr>
            <w:tcW w:w="1843" w:type="dxa"/>
            <w:vAlign w:val="center"/>
          </w:tcPr>
          <w:p w14:paraId="4514A944" w14:textId="77777777" w:rsidR="00696774" w:rsidRDefault="00696774" w:rsidP="000C0EE7">
            <w:pPr>
              <w:jc w:val="center"/>
              <w:rPr>
                <w:rFonts w:ascii="Candara" w:hAnsi="Candara"/>
                <w:sz w:val="16"/>
                <w:szCs w:val="16"/>
              </w:rPr>
            </w:pPr>
            <w:r>
              <w:rPr>
                <w:rFonts w:ascii="Candara" w:hAnsi="Candara"/>
                <w:sz w:val="16"/>
                <w:szCs w:val="16"/>
              </w:rPr>
              <w:t>2.40 (1.90 to 3.03)</w:t>
            </w:r>
          </w:p>
        </w:tc>
      </w:tr>
      <w:tr w:rsidR="00696774" w14:paraId="66CC3FFC" w14:textId="77777777" w:rsidTr="000C0EE7">
        <w:trPr>
          <w:jc w:val="center"/>
        </w:trPr>
        <w:tc>
          <w:tcPr>
            <w:tcW w:w="1702" w:type="dxa"/>
            <w:vAlign w:val="center"/>
          </w:tcPr>
          <w:p w14:paraId="712E0DDB" w14:textId="77777777" w:rsidR="00696774" w:rsidRPr="0047321F" w:rsidRDefault="00696774" w:rsidP="000C0EE7">
            <w:pPr>
              <w:rPr>
                <w:rFonts w:ascii="Candara" w:hAnsi="Candara"/>
                <w:color w:val="000000"/>
                <w:sz w:val="16"/>
                <w:szCs w:val="16"/>
              </w:rPr>
            </w:pPr>
            <w:r w:rsidRPr="0047321F">
              <w:rPr>
                <w:rFonts w:ascii="Candara" w:hAnsi="Candara"/>
                <w:sz w:val="16"/>
                <w:szCs w:val="16"/>
              </w:rPr>
              <w:t>Quartile 4 (≥8.69)</w:t>
            </w:r>
          </w:p>
        </w:tc>
        <w:tc>
          <w:tcPr>
            <w:tcW w:w="921" w:type="dxa"/>
            <w:vAlign w:val="center"/>
          </w:tcPr>
          <w:p w14:paraId="0ED69182" w14:textId="77777777" w:rsidR="00696774" w:rsidRPr="00AD642D" w:rsidRDefault="00696774" w:rsidP="000C0EE7">
            <w:pPr>
              <w:jc w:val="center"/>
              <w:rPr>
                <w:rFonts w:ascii="Candara" w:hAnsi="Candara"/>
                <w:sz w:val="16"/>
                <w:szCs w:val="16"/>
              </w:rPr>
            </w:pPr>
            <w:r>
              <w:rPr>
                <w:rFonts w:ascii="Candara" w:hAnsi="Candara"/>
                <w:sz w:val="16"/>
                <w:szCs w:val="16"/>
              </w:rPr>
              <w:t>40</w:t>
            </w:r>
          </w:p>
        </w:tc>
        <w:tc>
          <w:tcPr>
            <w:tcW w:w="1112" w:type="dxa"/>
            <w:vAlign w:val="center"/>
          </w:tcPr>
          <w:p w14:paraId="5898E0F2" w14:textId="77777777" w:rsidR="00696774" w:rsidRPr="00AD642D" w:rsidRDefault="00696774" w:rsidP="000C0EE7">
            <w:pPr>
              <w:jc w:val="center"/>
              <w:rPr>
                <w:rFonts w:ascii="Candara" w:hAnsi="Candara"/>
                <w:sz w:val="16"/>
                <w:szCs w:val="16"/>
              </w:rPr>
            </w:pPr>
            <w:r>
              <w:rPr>
                <w:rFonts w:ascii="Candara" w:hAnsi="Candara"/>
                <w:sz w:val="16"/>
                <w:szCs w:val="16"/>
              </w:rPr>
              <w:t>221</w:t>
            </w:r>
          </w:p>
        </w:tc>
        <w:tc>
          <w:tcPr>
            <w:tcW w:w="1930" w:type="dxa"/>
            <w:vAlign w:val="center"/>
          </w:tcPr>
          <w:p w14:paraId="7BFA9102" w14:textId="77777777" w:rsidR="00696774" w:rsidRPr="00AD642D" w:rsidRDefault="00696774" w:rsidP="000C0EE7">
            <w:pPr>
              <w:jc w:val="center"/>
              <w:rPr>
                <w:rFonts w:ascii="Candara" w:hAnsi="Candara"/>
                <w:sz w:val="16"/>
                <w:szCs w:val="16"/>
              </w:rPr>
            </w:pPr>
            <w:r>
              <w:rPr>
                <w:rFonts w:ascii="Candara" w:hAnsi="Candara"/>
                <w:sz w:val="16"/>
                <w:szCs w:val="16"/>
              </w:rPr>
              <w:t>18.10 (12.93 to 24.65)</w:t>
            </w:r>
          </w:p>
        </w:tc>
        <w:tc>
          <w:tcPr>
            <w:tcW w:w="1701" w:type="dxa"/>
            <w:vAlign w:val="bottom"/>
          </w:tcPr>
          <w:p w14:paraId="5699E58C" w14:textId="77777777" w:rsidR="00696774" w:rsidRDefault="00696774" w:rsidP="000C0EE7">
            <w:pPr>
              <w:jc w:val="center"/>
              <w:rPr>
                <w:rFonts w:ascii="Candara" w:hAnsi="Candara"/>
                <w:sz w:val="16"/>
                <w:szCs w:val="16"/>
              </w:rPr>
            </w:pPr>
            <w:r w:rsidRPr="002A2C94">
              <w:rPr>
                <w:rFonts w:ascii="Candara" w:hAnsi="Candara"/>
                <w:sz w:val="16"/>
                <w:szCs w:val="16"/>
              </w:rPr>
              <w:t>2.57 (1.95 to 3.67)</w:t>
            </w:r>
          </w:p>
        </w:tc>
        <w:tc>
          <w:tcPr>
            <w:tcW w:w="1843" w:type="dxa"/>
            <w:vAlign w:val="center"/>
          </w:tcPr>
          <w:p w14:paraId="69081462" w14:textId="77777777" w:rsidR="00696774" w:rsidRDefault="00696774" w:rsidP="000C0EE7">
            <w:pPr>
              <w:jc w:val="center"/>
              <w:rPr>
                <w:rFonts w:ascii="Candara" w:hAnsi="Candara"/>
                <w:sz w:val="16"/>
                <w:szCs w:val="16"/>
              </w:rPr>
            </w:pPr>
            <w:r>
              <w:rPr>
                <w:rFonts w:ascii="Candara" w:hAnsi="Candara"/>
                <w:sz w:val="16"/>
                <w:szCs w:val="16"/>
              </w:rPr>
              <w:t>2.81 (2.23 to 3.53)</w:t>
            </w:r>
          </w:p>
        </w:tc>
        <w:tc>
          <w:tcPr>
            <w:tcW w:w="1843" w:type="dxa"/>
            <w:vAlign w:val="center"/>
          </w:tcPr>
          <w:p w14:paraId="7602DC59" w14:textId="77777777" w:rsidR="00696774" w:rsidRDefault="00696774" w:rsidP="000C0EE7">
            <w:pPr>
              <w:jc w:val="center"/>
              <w:rPr>
                <w:rFonts w:ascii="Candara" w:hAnsi="Candara"/>
                <w:sz w:val="16"/>
                <w:szCs w:val="16"/>
              </w:rPr>
            </w:pPr>
            <w:r>
              <w:rPr>
                <w:rFonts w:ascii="Candara" w:hAnsi="Candara"/>
                <w:sz w:val="16"/>
                <w:szCs w:val="16"/>
              </w:rPr>
              <w:t>2.82 (2.24 to 3.54)</w:t>
            </w:r>
          </w:p>
        </w:tc>
      </w:tr>
    </w:tbl>
    <w:p w14:paraId="0571FA50" w14:textId="1B1D1DAB" w:rsidR="00696774" w:rsidRPr="00591BF4" w:rsidRDefault="00696774" w:rsidP="00F77A13">
      <w:pPr>
        <w:rPr>
          <w:rFonts w:ascii="Candara" w:hAnsi="Candara"/>
          <w:sz w:val="22"/>
          <w:szCs w:val="22"/>
        </w:rPr>
      </w:pPr>
      <w:r>
        <w:rPr>
          <w:rFonts w:ascii="Candara" w:hAnsi="Candara"/>
          <w:sz w:val="16"/>
          <w:szCs w:val="16"/>
        </w:rPr>
        <w:t xml:space="preserve">‡ indicates unadjusted incidence rates ratio.  § indicates adjusted incidence rates ratio in the model with adjustment of age and gender.   ¶ indicates adjusted incidence rates ratio in the model with adjustment of baseline characteristics presented in the Table-1. </w:t>
      </w:r>
    </w:p>
    <w:sectPr w:rsidR="00696774" w:rsidRPr="00591BF4" w:rsidSect="00E74B9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DEDE" w14:textId="77777777" w:rsidR="00521CE9" w:rsidRDefault="00521CE9" w:rsidP="006B4D56">
      <w:r>
        <w:separator/>
      </w:r>
    </w:p>
  </w:endnote>
  <w:endnote w:type="continuationSeparator" w:id="0">
    <w:p w14:paraId="3BE07DAA" w14:textId="77777777" w:rsidR="00521CE9" w:rsidRDefault="00521CE9" w:rsidP="006B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A72E" w14:textId="77777777" w:rsidR="00A60294" w:rsidRDefault="00A6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27108"/>
      <w:docPartObj>
        <w:docPartGallery w:val="Page Numbers (Bottom of Page)"/>
        <w:docPartUnique/>
      </w:docPartObj>
    </w:sdtPr>
    <w:sdtEndPr>
      <w:rPr>
        <w:noProof/>
      </w:rPr>
    </w:sdtEndPr>
    <w:sdtContent>
      <w:p w14:paraId="6671CF13" w14:textId="0CA559C5" w:rsidR="00A60294" w:rsidRDefault="00A60294">
        <w:pPr>
          <w:pStyle w:val="Footer"/>
          <w:jc w:val="right"/>
        </w:pPr>
        <w:r>
          <w:fldChar w:fldCharType="begin"/>
        </w:r>
        <w:r>
          <w:instrText xml:space="preserve"> PAGE   \* MERGEFORMAT </w:instrText>
        </w:r>
        <w:r>
          <w:fldChar w:fldCharType="separate"/>
        </w:r>
        <w:r w:rsidR="00521CE9">
          <w:rPr>
            <w:noProof/>
          </w:rPr>
          <w:t>1</w:t>
        </w:r>
        <w:r>
          <w:rPr>
            <w:noProof/>
          </w:rPr>
          <w:fldChar w:fldCharType="end"/>
        </w:r>
      </w:p>
    </w:sdtContent>
  </w:sdt>
  <w:p w14:paraId="32DFB729" w14:textId="77777777" w:rsidR="00A60294" w:rsidRDefault="00A60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3F14" w14:textId="77777777" w:rsidR="00A60294" w:rsidRDefault="00A60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4DB8" w14:textId="77777777" w:rsidR="00521CE9" w:rsidRDefault="00521CE9" w:rsidP="006B4D56">
      <w:r>
        <w:separator/>
      </w:r>
    </w:p>
  </w:footnote>
  <w:footnote w:type="continuationSeparator" w:id="0">
    <w:p w14:paraId="4438BD56" w14:textId="77777777" w:rsidR="00521CE9" w:rsidRDefault="00521CE9" w:rsidP="006B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CDB2" w14:textId="77777777" w:rsidR="00A60294" w:rsidRDefault="00A60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EFDF" w14:textId="77777777" w:rsidR="00A60294" w:rsidRDefault="00A60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8417" w14:textId="77777777" w:rsidR="00A60294" w:rsidRDefault="00A60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13"/>
    <w:rsid w:val="0000094F"/>
    <w:rsid w:val="00000A09"/>
    <w:rsid w:val="00001BF1"/>
    <w:rsid w:val="00003693"/>
    <w:rsid w:val="00003D8C"/>
    <w:rsid w:val="0000666E"/>
    <w:rsid w:val="000178F9"/>
    <w:rsid w:val="0002109F"/>
    <w:rsid w:val="000215F3"/>
    <w:rsid w:val="00022B2F"/>
    <w:rsid w:val="000234D1"/>
    <w:rsid w:val="00027AE4"/>
    <w:rsid w:val="00031414"/>
    <w:rsid w:val="000324B4"/>
    <w:rsid w:val="00032698"/>
    <w:rsid w:val="00033281"/>
    <w:rsid w:val="000337C7"/>
    <w:rsid w:val="0003472A"/>
    <w:rsid w:val="000361B7"/>
    <w:rsid w:val="000368EB"/>
    <w:rsid w:val="00037F9F"/>
    <w:rsid w:val="00040838"/>
    <w:rsid w:val="00040CF7"/>
    <w:rsid w:val="00040D35"/>
    <w:rsid w:val="0004284D"/>
    <w:rsid w:val="00043049"/>
    <w:rsid w:val="000447D4"/>
    <w:rsid w:val="000455B2"/>
    <w:rsid w:val="00045CC0"/>
    <w:rsid w:val="00045EA3"/>
    <w:rsid w:val="00046239"/>
    <w:rsid w:val="0004649C"/>
    <w:rsid w:val="000513BF"/>
    <w:rsid w:val="00052851"/>
    <w:rsid w:val="000532BF"/>
    <w:rsid w:val="000536AA"/>
    <w:rsid w:val="00055216"/>
    <w:rsid w:val="000568DD"/>
    <w:rsid w:val="00056E0D"/>
    <w:rsid w:val="000627B0"/>
    <w:rsid w:val="00063978"/>
    <w:rsid w:val="000640B6"/>
    <w:rsid w:val="00064EF1"/>
    <w:rsid w:val="000656B4"/>
    <w:rsid w:val="00065FBA"/>
    <w:rsid w:val="00066244"/>
    <w:rsid w:val="00067652"/>
    <w:rsid w:val="00071DAB"/>
    <w:rsid w:val="00072164"/>
    <w:rsid w:val="00072AD2"/>
    <w:rsid w:val="00072E1D"/>
    <w:rsid w:val="00075A58"/>
    <w:rsid w:val="00076736"/>
    <w:rsid w:val="00077772"/>
    <w:rsid w:val="00077BB2"/>
    <w:rsid w:val="00077EFB"/>
    <w:rsid w:val="000832E5"/>
    <w:rsid w:val="0008534F"/>
    <w:rsid w:val="00085AF2"/>
    <w:rsid w:val="00085BE1"/>
    <w:rsid w:val="00085CAC"/>
    <w:rsid w:val="0008780B"/>
    <w:rsid w:val="0009042A"/>
    <w:rsid w:val="000910B9"/>
    <w:rsid w:val="00091152"/>
    <w:rsid w:val="00092E39"/>
    <w:rsid w:val="000A156E"/>
    <w:rsid w:val="000A235C"/>
    <w:rsid w:val="000A5170"/>
    <w:rsid w:val="000A5B82"/>
    <w:rsid w:val="000A78AC"/>
    <w:rsid w:val="000A7B9D"/>
    <w:rsid w:val="000B0313"/>
    <w:rsid w:val="000B1338"/>
    <w:rsid w:val="000B1607"/>
    <w:rsid w:val="000B2A21"/>
    <w:rsid w:val="000B38A7"/>
    <w:rsid w:val="000B3EA6"/>
    <w:rsid w:val="000B46B6"/>
    <w:rsid w:val="000B5B22"/>
    <w:rsid w:val="000B65BD"/>
    <w:rsid w:val="000B72EB"/>
    <w:rsid w:val="000C0EE7"/>
    <w:rsid w:val="000C203B"/>
    <w:rsid w:val="000C32FD"/>
    <w:rsid w:val="000C4A7D"/>
    <w:rsid w:val="000C55BB"/>
    <w:rsid w:val="000C5B86"/>
    <w:rsid w:val="000C5BCB"/>
    <w:rsid w:val="000D05C1"/>
    <w:rsid w:val="000D153C"/>
    <w:rsid w:val="000D180F"/>
    <w:rsid w:val="000D36FA"/>
    <w:rsid w:val="000D54B5"/>
    <w:rsid w:val="000D6A94"/>
    <w:rsid w:val="000D7882"/>
    <w:rsid w:val="000E6109"/>
    <w:rsid w:val="000F0D6E"/>
    <w:rsid w:val="000F13E6"/>
    <w:rsid w:val="000F233C"/>
    <w:rsid w:val="000F2DEF"/>
    <w:rsid w:val="000F310B"/>
    <w:rsid w:val="000F3714"/>
    <w:rsid w:val="000F7351"/>
    <w:rsid w:val="000F75F5"/>
    <w:rsid w:val="000F7A33"/>
    <w:rsid w:val="00100624"/>
    <w:rsid w:val="00100805"/>
    <w:rsid w:val="001045E1"/>
    <w:rsid w:val="001055CD"/>
    <w:rsid w:val="001066C3"/>
    <w:rsid w:val="00107F53"/>
    <w:rsid w:val="00111C7B"/>
    <w:rsid w:val="001143D3"/>
    <w:rsid w:val="001160B3"/>
    <w:rsid w:val="00116F7F"/>
    <w:rsid w:val="0012040C"/>
    <w:rsid w:val="0012108A"/>
    <w:rsid w:val="001230D4"/>
    <w:rsid w:val="00126EDA"/>
    <w:rsid w:val="001273CD"/>
    <w:rsid w:val="00130432"/>
    <w:rsid w:val="00130F2B"/>
    <w:rsid w:val="00131152"/>
    <w:rsid w:val="00133303"/>
    <w:rsid w:val="0013379C"/>
    <w:rsid w:val="00133DE6"/>
    <w:rsid w:val="00137020"/>
    <w:rsid w:val="001411D7"/>
    <w:rsid w:val="00141869"/>
    <w:rsid w:val="001427B3"/>
    <w:rsid w:val="00142B56"/>
    <w:rsid w:val="00142C23"/>
    <w:rsid w:val="00143D78"/>
    <w:rsid w:val="0014740C"/>
    <w:rsid w:val="00151314"/>
    <w:rsid w:val="0015151A"/>
    <w:rsid w:val="0015217B"/>
    <w:rsid w:val="0015331F"/>
    <w:rsid w:val="0015431F"/>
    <w:rsid w:val="001569A8"/>
    <w:rsid w:val="00160FFF"/>
    <w:rsid w:val="00162BEF"/>
    <w:rsid w:val="00163904"/>
    <w:rsid w:val="001708D5"/>
    <w:rsid w:val="001719D1"/>
    <w:rsid w:val="00174801"/>
    <w:rsid w:val="001755BD"/>
    <w:rsid w:val="00177946"/>
    <w:rsid w:val="0018195B"/>
    <w:rsid w:val="00185C3B"/>
    <w:rsid w:val="00190EC3"/>
    <w:rsid w:val="001952EE"/>
    <w:rsid w:val="00196246"/>
    <w:rsid w:val="00197F5D"/>
    <w:rsid w:val="001A161E"/>
    <w:rsid w:val="001A1776"/>
    <w:rsid w:val="001A3948"/>
    <w:rsid w:val="001A43B7"/>
    <w:rsid w:val="001A4D44"/>
    <w:rsid w:val="001A6CD1"/>
    <w:rsid w:val="001A79BD"/>
    <w:rsid w:val="001B05D2"/>
    <w:rsid w:val="001B0702"/>
    <w:rsid w:val="001B43DE"/>
    <w:rsid w:val="001B4CD0"/>
    <w:rsid w:val="001B64A1"/>
    <w:rsid w:val="001B7421"/>
    <w:rsid w:val="001C0CF6"/>
    <w:rsid w:val="001C159C"/>
    <w:rsid w:val="001C2E14"/>
    <w:rsid w:val="001C4533"/>
    <w:rsid w:val="001C492F"/>
    <w:rsid w:val="001C7140"/>
    <w:rsid w:val="001C73D6"/>
    <w:rsid w:val="001D1B7E"/>
    <w:rsid w:val="001D2321"/>
    <w:rsid w:val="001D2BF9"/>
    <w:rsid w:val="001D53EB"/>
    <w:rsid w:val="001E01E5"/>
    <w:rsid w:val="001E1082"/>
    <w:rsid w:val="001E12D1"/>
    <w:rsid w:val="001E42E4"/>
    <w:rsid w:val="001E5436"/>
    <w:rsid w:val="001E76B5"/>
    <w:rsid w:val="001F01B6"/>
    <w:rsid w:val="001F0295"/>
    <w:rsid w:val="001F0EA8"/>
    <w:rsid w:val="001F31E8"/>
    <w:rsid w:val="001F3DC5"/>
    <w:rsid w:val="001F401C"/>
    <w:rsid w:val="001F6E8B"/>
    <w:rsid w:val="001F777B"/>
    <w:rsid w:val="001F7849"/>
    <w:rsid w:val="001F7D7B"/>
    <w:rsid w:val="0020070C"/>
    <w:rsid w:val="002008B0"/>
    <w:rsid w:val="00202835"/>
    <w:rsid w:val="002029DE"/>
    <w:rsid w:val="00205202"/>
    <w:rsid w:val="00207398"/>
    <w:rsid w:val="0021014E"/>
    <w:rsid w:val="0021034D"/>
    <w:rsid w:val="002135C8"/>
    <w:rsid w:val="002143DC"/>
    <w:rsid w:val="0021743D"/>
    <w:rsid w:val="00222D8E"/>
    <w:rsid w:val="00224962"/>
    <w:rsid w:val="00225428"/>
    <w:rsid w:val="00225BD4"/>
    <w:rsid w:val="00226239"/>
    <w:rsid w:val="002334E8"/>
    <w:rsid w:val="00242760"/>
    <w:rsid w:val="002427C4"/>
    <w:rsid w:val="00242BD6"/>
    <w:rsid w:val="00242D63"/>
    <w:rsid w:val="0024518A"/>
    <w:rsid w:val="00246BA6"/>
    <w:rsid w:val="0024781F"/>
    <w:rsid w:val="00251BC5"/>
    <w:rsid w:val="00252427"/>
    <w:rsid w:val="00254C28"/>
    <w:rsid w:val="00255043"/>
    <w:rsid w:val="002606BF"/>
    <w:rsid w:val="00261963"/>
    <w:rsid w:val="002620A7"/>
    <w:rsid w:val="0026573B"/>
    <w:rsid w:val="00266488"/>
    <w:rsid w:val="002671D6"/>
    <w:rsid w:val="0027026A"/>
    <w:rsid w:val="00270FB7"/>
    <w:rsid w:val="00272AD9"/>
    <w:rsid w:val="002731AD"/>
    <w:rsid w:val="002740E8"/>
    <w:rsid w:val="00274CBE"/>
    <w:rsid w:val="00277143"/>
    <w:rsid w:val="002801C2"/>
    <w:rsid w:val="00280D59"/>
    <w:rsid w:val="002817AC"/>
    <w:rsid w:val="002859C6"/>
    <w:rsid w:val="0028646D"/>
    <w:rsid w:val="00286716"/>
    <w:rsid w:val="0029040D"/>
    <w:rsid w:val="002916F3"/>
    <w:rsid w:val="0029361D"/>
    <w:rsid w:val="00293A1F"/>
    <w:rsid w:val="0029411C"/>
    <w:rsid w:val="00295325"/>
    <w:rsid w:val="00296468"/>
    <w:rsid w:val="00297498"/>
    <w:rsid w:val="002A0895"/>
    <w:rsid w:val="002A186E"/>
    <w:rsid w:val="002A2254"/>
    <w:rsid w:val="002A2C94"/>
    <w:rsid w:val="002A38F4"/>
    <w:rsid w:val="002A5D0C"/>
    <w:rsid w:val="002A6FC4"/>
    <w:rsid w:val="002A7178"/>
    <w:rsid w:val="002A7F10"/>
    <w:rsid w:val="002B187C"/>
    <w:rsid w:val="002B1C7B"/>
    <w:rsid w:val="002B4BD2"/>
    <w:rsid w:val="002B60C1"/>
    <w:rsid w:val="002B6D03"/>
    <w:rsid w:val="002B778D"/>
    <w:rsid w:val="002C07CF"/>
    <w:rsid w:val="002C2633"/>
    <w:rsid w:val="002C5040"/>
    <w:rsid w:val="002C5E28"/>
    <w:rsid w:val="002C5FE5"/>
    <w:rsid w:val="002C69FB"/>
    <w:rsid w:val="002D000F"/>
    <w:rsid w:val="002D1124"/>
    <w:rsid w:val="002D2AEA"/>
    <w:rsid w:val="002D2B94"/>
    <w:rsid w:val="002D311C"/>
    <w:rsid w:val="002D3AAB"/>
    <w:rsid w:val="002D5EEC"/>
    <w:rsid w:val="002D63CC"/>
    <w:rsid w:val="002D7DD5"/>
    <w:rsid w:val="002E1B47"/>
    <w:rsid w:val="002E243A"/>
    <w:rsid w:val="002E2D37"/>
    <w:rsid w:val="002E2D97"/>
    <w:rsid w:val="002E3984"/>
    <w:rsid w:val="002E4193"/>
    <w:rsid w:val="002E4F7A"/>
    <w:rsid w:val="002E55DB"/>
    <w:rsid w:val="002E7D09"/>
    <w:rsid w:val="002E7EBE"/>
    <w:rsid w:val="002F36F7"/>
    <w:rsid w:val="002F6690"/>
    <w:rsid w:val="002F7DD7"/>
    <w:rsid w:val="00304B4C"/>
    <w:rsid w:val="0030528C"/>
    <w:rsid w:val="003064F6"/>
    <w:rsid w:val="00306845"/>
    <w:rsid w:val="00307CA2"/>
    <w:rsid w:val="00310EBC"/>
    <w:rsid w:val="00312BC7"/>
    <w:rsid w:val="0031574F"/>
    <w:rsid w:val="00317A88"/>
    <w:rsid w:val="0032107A"/>
    <w:rsid w:val="00321A24"/>
    <w:rsid w:val="00323AC0"/>
    <w:rsid w:val="003265D5"/>
    <w:rsid w:val="00327675"/>
    <w:rsid w:val="00327EDC"/>
    <w:rsid w:val="003307F3"/>
    <w:rsid w:val="003335B3"/>
    <w:rsid w:val="00333F6A"/>
    <w:rsid w:val="0033456D"/>
    <w:rsid w:val="00334B30"/>
    <w:rsid w:val="00335BEF"/>
    <w:rsid w:val="003369F6"/>
    <w:rsid w:val="00337950"/>
    <w:rsid w:val="0034066B"/>
    <w:rsid w:val="003407E5"/>
    <w:rsid w:val="00340E32"/>
    <w:rsid w:val="00340ECC"/>
    <w:rsid w:val="003424E5"/>
    <w:rsid w:val="00342F03"/>
    <w:rsid w:val="003436F1"/>
    <w:rsid w:val="003438C7"/>
    <w:rsid w:val="00344798"/>
    <w:rsid w:val="00344887"/>
    <w:rsid w:val="003525A5"/>
    <w:rsid w:val="00354CC9"/>
    <w:rsid w:val="003551A0"/>
    <w:rsid w:val="003552A3"/>
    <w:rsid w:val="00356ACD"/>
    <w:rsid w:val="00360E40"/>
    <w:rsid w:val="00361727"/>
    <w:rsid w:val="00362353"/>
    <w:rsid w:val="0036386D"/>
    <w:rsid w:val="0036387E"/>
    <w:rsid w:val="00364202"/>
    <w:rsid w:val="00365122"/>
    <w:rsid w:val="00366C0B"/>
    <w:rsid w:val="00370EEC"/>
    <w:rsid w:val="00371174"/>
    <w:rsid w:val="00371647"/>
    <w:rsid w:val="00371AD2"/>
    <w:rsid w:val="003728AE"/>
    <w:rsid w:val="00373AEF"/>
    <w:rsid w:val="00377272"/>
    <w:rsid w:val="00377808"/>
    <w:rsid w:val="0038023A"/>
    <w:rsid w:val="00380FD8"/>
    <w:rsid w:val="00383253"/>
    <w:rsid w:val="003838E6"/>
    <w:rsid w:val="00385DC4"/>
    <w:rsid w:val="00385ECE"/>
    <w:rsid w:val="00390551"/>
    <w:rsid w:val="003912D1"/>
    <w:rsid w:val="003946D7"/>
    <w:rsid w:val="003948C6"/>
    <w:rsid w:val="00395588"/>
    <w:rsid w:val="00395D7F"/>
    <w:rsid w:val="00397924"/>
    <w:rsid w:val="003A0D9B"/>
    <w:rsid w:val="003A0FE4"/>
    <w:rsid w:val="003A159C"/>
    <w:rsid w:val="003A27FA"/>
    <w:rsid w:val="003A380B"/>
    <w:rsid w:val="003A3848"/>
    <w:rsid w:val="003A38E0"/>
    <w:rsid w:val="003A3CE9"/>
    <w:rsid w:val="003B011F"/>
    <w:rsid w:val="003B30C4"/>
    <w:rsid w:val="003B5933"/>
    <w:rsid w:val="003B62C5"/>
    <w:rsid w:val="003C1ABC"/>
    <w:rsid w:val="003C4509"/>
    <w:rsid w:val="003C559E"/>
    <w:rsid w:val="003C7960"/>
    <w:rsid w:val="003C7C99"/>
    <w:rsid w:val="003C7CBC"/>
    <w:rsid w:val="003C7DE1"/>
    <w:rsid w:val="003D090C"/>
    <w:rsid w:val="003D10C0"/>
    <w:rsid w:val="003D316C"/>
    <w:rsid w:val="003D355D"/>
    <w:rsid w:val="003D3ABC"/>
    <w:rsid w:val="003D3C01"/>
    <w:rsid w:val="003D6224"/>
    <w:rsid w:val="003D66C2"/>
    <w:rsid w:val="003D6ECC"/>
    <w:rsid w:val="003D72BD"/>
    <w:rsid w:val="003E1B76"/>
    <w:rsid w:val="003E4AD2"/>
    <w:rsid w:val="003E7705"/>
    <w:rsid w:val="003F062C"/>
    <w:rsid w:val="003F211F"/>
    <w:rsid w:val="003F3009"/>
    <w:rsid w:val="003F5415"/>
    <w:rsid w:val="0040109F"/>
    <w:rsid w:val="0040183A"/>
    <w:rsid w:val="0040198C"/>
    <w:rsid w:val="0040254F"/>
    <w:rsid w:val="004029AB"/>
    <w:rsid w:val="00403705"/>
    <w:rsid w:val="00405212"/>
    <w:rsid w:val="00406B6F"/>
    <w:rsid w:val="0041361B"/>
    <w:rsid w:val="00415A10"/>
    <w:rsid w:val="0041649F"/>
    <w:rsid w:val="00416906"/>
    <w:rsid w:val="00416A77"/>
    <w:rsid w:val="00420CD4"/>
    <w:rsid w:val="00430F47"/>
    <w:rsid w:val="004317BC"/>
    <w:rsid w:val="00433580"/>
    <w:rsid w:val="004338EB"/>
    <w:rsid w:val="004362BD"/>
    <w:rsid w:val="00440686"/>
    <w:rsid w:val="00442759"/>
    <w:rsid w:val="00444301"/>
    <w:rsid w:val="004470C3"/>
    <w:rsid w:val="00450A96"/>
    <w:rsid w:val="00452A6D"/>
    <w:rsid w:val="00454464"/>
    <w:rsid w:val="00455356"/>
    <w:rsid w:val="00457642"/>
    <w:rsid w:val="0046079A"/>
    <w:rsid w:val="004611C1"/>
    <w:rsid w:val="004622E3"/>
    <w:rsid w:val="00462A72"/>
    <w:rsid w:val="004632C4"/>
    <w:rsid w:val="0046439A"/>
    <w:rsid w:val="004643E1"/>
    <w:rsid w:val="004648E4"/>
    <w:rsid w:val="004650F7"/>
    <w:rsid w:val="00465368"/>
    <w:rsid w:val="00470F79"/>
    <w:rsid w:val="00471D0F"/>
    <w:rsid w:val="0047237F"/>
    <w:rsid w:val="0047321F"/>
    <w:rsid w:val="0047365C"/>
    <w:rsid w:val="00474184"/>
    <w:rsid w:val="0047425E"/>
    <w:rsid w:val="00475FCD"/>
    <w:rsid w:val="00476CF5"/>
    <w:rsid w:val="00483EA6"/>
    <w:rsid w:val="00483F2C"/>
    <w:rsid w:val="00484044"/>
    <w:rsid w:val="00485757"/>
    <w:rsid w:val="00486E2C"/>
    <w:rsid w:val="00487F56"/>
    <w:rsid w:val="00490912"/>
    <w:rsid w:val="00496F22"/>
    <w:rsid w:val="004A13FE"/>
    <w:rsid w:val="004A1641"/>
    <w:rsid w:val="004A178E"/>
    <w:rsid w:val="004A2960"/>
    <w:rsid w:val="004A3152"/>
    <w:rsid w:val="004A362E"/>
    <w:rsid w:val="004A47FE"/>
    <w:rsid w:val="004A733D"/>
    <w:rsid w:val="004B00DA"/>
    <w:rsid w:val="004B162E"/>
    <w:rsid w:val="004B177E"/>
    <w:rsid w:val="004B3A47"/>
    <w:rsid w:val="004B422F"/>
    <w:rsid w:val="004B5099"/>
    <w:rsid w:val="004B5468"/>
    <w:rsid w:val="004B62F2"/>
    <w:rsid w:val="004B6595"/>
    <w:rsid w:val="004B7A0F"/>
    <w:rsid w:val="004C1287"/>
    <w:rsid w:val="004C2E8D"/>
    <w:rsid w:val="004C334F"/>
    <w:rsid w:val="004C3622"/>
    <w:rsid w:val="004C7C22"/>
    <w:rsid w:val="004D086B"/>
    <w:rsid w:val="004D0F8A"/>
    <w:rsid w:val="004D32D7"/>
    <w:rsid w:val="004D39D4"/>
    <w:rsid w:val="004D7AAD"/>
    <w:rsid w:val="004E12F8"/>
    <w:rsid w:val="004E2BC3"/>
    <w:rsid w:val="004E3FAF"/>
    <w:rsid w:val="004E4B3E"/>
    <w:rsid w:val="004E4CCD"/>
    <w:rsid w:val="004E6464"/>
    <w:rsid w:val="004F2D9F"/>
    <w:rsid w:val="004F3A40"/>
    <w:rsid w:val="004F4181"/>
    <w:rsid w:val="0050261D"/>
    <w:rsid w:val="00505717"/>
    <w:rsid w:val="0050585F"/>
    <w:rsid w:val="00505E38"/>
    <w:rsid w:val="005070D6"/>
    <w:rsid w:val="005103D0"/>
    <w:rsid w:val="00511263"/>
    <w:rsid w:val="0051718C"/>
    <w:rsid w:val="00517A77"/>
    <w:rsid w:val="00521CE9"/>
    <w:rsid w:val="005226C9"/>
    <w:rsid w:val="00523E55"/>
    <w:rsid w:val="00524B9F"/>
    <w:rsid w:val="00524E2C"/>
    <w:rsid w:val="00527716"/>
    <w:rsid w:val="00527C7C"/>
    <w:rsid w:val="005319A4"/>
    <w:rsid w:val="005320C1"/>
    <w:rsid w:val="00532FD6"/>
    <w:rsid w:val="00533FBE"/>
    <w:rsid w:val="005352B7"/>
    <w:rsid w:val="00535AF4"/>
    <w:rsid w:val="005369AE"/>
    <w:rsid w:val="00537A0B"/>
    <w:rsid w:val="00540364"/>
    <w:rsid w:val="0054064F"/>
    <w:rsid w:val="0054151D"/>
    <w:rsid w:val="005415FF"/>
    <w:rsid w:val="00541CDB"/>
    <w:rsid w:val="00541FA9"/>
    <w:rsid w:val="00542CCB"/>
    <w:rsid w:val="00542F07"/>
    <w:rsid w:val="00543138"/>
    <w:rsid w:val="00543766"/>
    <w:rsid w:val="005454AF"/>
    <w:rsid w:val="00550757"/>
    <w:rsid w:val="00550C3F"/>
    <w:rsid w:val="005533A8"/>
    <w:rsid w:val="00553603"/>
    <w:rsid w:val="0055405F"/>
    <w:rsid w:val="0055480D"/>
    <w:rsid w:val="0055516B"/>
    <w:rsid w:val="00555EA4"/>
    <w:rsid w:val="00556A43"/>
    <w:rsid w:val="00557F9B"/>
    <w:rsid w:val="00560EE6"/>
    <w:rsid w:val="00561D2C"/>
    <w:rsid w:val="0056292C"/>
    <w:rsid w:val="00562CF2"/>
    <w:rsid w:val="00564054"/>
    <w:rsid w:val="0056427F"/>
    <w:rsid w:val="00564550"/>
    <w:rsid w:val="00564689"/>
    <w:rsid w:val="0056514B"/>
    <w:rsid w:val="00566B59"/>
    <w:rsid w:val="00573B7E"/>
    <w:rsid w:val="00573E91"/>
    <w:rsid w:val="005750B5"/>
    <w:rsid w:val="0057523E"/>
    <w:rsid w:val="00581FE1"/>
    <w:rsid w:val="005831D4"/>
    <w:rsid w:val="00584225"/>
    <w:rsid w:val="005853EE"/>
    <w:rsid w:val="00587602"/>
    <w:rsid w:val="00590C9A"/>
    <w:rsid w:val="00591BF4"/>
    <w:rsid w:val="005921F9"/>
    <w:rsid w:val="00592607"/>
    <w:rsid w:val="00592E74"/>
    <w:rsid w:val="00593165"/>
    <w:rsid w:val="00593E6F"/>
    <w:rsid w:val="00595CF0"/>
    <w:rsid w:val="00596502"/>
    <w:rsid w:val="0059655A"/>
    <w:rsid w:val="005A1016"/>
    <w:rsid w:val="005A241E"/>
    <w:rsid w:val="005A39EF"/>
    <w:rsid w:val="005A4CAD"/>
    <w:rsid w:val="005A6EA3"/>
    <w:rsid w:val="005B156F"/>
    <w:rsid w:val="005B24D9"/>
    <w:rsid w:val="005B3298"/>
    <w:rsid w:val="005B3C5F"/>
    <w:rsid w:val="005B59D6"/>
    <w:rsid w:val="005B627D"/>
    <w:rsid w:val="005C07E5"/>
    <w:rsid w:val="005C0A9A"/>
    <w:rsid w:val="005C0C84"/>
    <w:rsid w:val="005C0E76"/>
    <w:rsid w:val="005C1E62"/>
    <w:rsid w:val="005C1FF0"/>
    <w:rsid w:val="005C3287"/>
    <w:rsid w:val="005C3BE7"/>
    <w:rsid w:val="005C4124"/>
    <w:rsid w:val="005C45B4"/>
    <w:rsid w:val="005C47D1"/>
    <w:rsid w:val="005C522D"/>
    <w:rsid w:val="005C5230"/>
    <w:rsid w:val="005C576D"/>
    <w:rsid w:val="005C5F06"/>
    <w:rsid w:val="005C663A"/>
    <w:rsid w:val="005D0DA1"/>
    <w:rsid w:val="005D0E77"/>
    <w:rsid w:val="005D14BE"/>
    <w:rsid w:val="005D1D91"/>
    <w:rsid w:val="005D2CFD"/>
    <w:rsid w:val="005D3066"/>
    <w:rsid w:val="005D5B61"/>
    <w:rsid w:val="005D5D56"/>
    <w:rsid w:val="005D66A9"/>
    <w:rsid w:val="005E11C6"/>
    <w:rsid w:val="005E1528"/>
    <w:rsid w:val="005E209C"/>
    <w:rsid w:val="005E3BA8"/>
    <w:rsid w:val="005E4B8A"/>
    <w:rsid w:val="005E4CFD"/>
    <w:rsid w:val="005E6385"/>
    <w:rsid w:val="005E669A"/>
    <w:rsid w:val="005E7A89"/>
    <w:rsid w:val="005E7F5B"/>
    <w:rsid w:val="005F217A"/>
    <w:rsid w:val="005F28DA"/>
    <w:rsid w:val="005F38BA"/>
    <w:rsid w:val="005F4097"/>
    <w:rsid w:val="00601AAB"/>
    <w:rsid w:val="00604A3F"/>
    <w:rsid w:val="00605003"/>
    <w:rsid w:val="00605BF0"/>
    <w:rsid w:val="00606370"/>
    <w:rsid w:val="006142D7"/>
    <w:rsid w:val="00621AB0"/>
    <w:rsid w:val="006232CD"/>
    <w:rsid w:val="006240B2"/>
    <w:rsid w:val="00624439"/>
    <w:rsid w:val="006261E6"/>
    <w:rsid w:val="00626A5C"/>
    <w:rsid w:val="00626B07"/>
    <w:rsid w:val="006277D1"/>
    <w:rsid w:val="006310E8"/>
    <w:rsid w:val="00633495"/>
    <w:rsid w:val="00634991"/>
    <w:rsid w:val="00634F0F"/>
    <w:rsid w:val="00635523"/>
    <w:rsid w:val="00635C8F"/>
    <w:rsid w:val="00635F36"/>
    <w:rsid w:val="00636303"/>
    <w:rsid w:val="00642D21"/>
    <w:rsid w:val="00643467"/>
    <w:rsid w:val="00644C93"/>
    <w:rsid w:val="00646A56"/>
    <w:rsid w:val="0065090B"/>
    <w:rsid w:val="00651DD2"/>
    <w:rsid w:val="006610E6"/>
    <w:rsid w:val="00661555"/>
    <w:rsid w:val="00661850"/>
    <w:rsid w:val="00662FC3"/>
    <w:rsid w:val="00663DFB"/>
    <w:rsid w:val="0066491E"/>
    <w:rsid w:val="006663AC"/>
    <w:rsid w:val="00667F71"/>
    <w:rsid w:val="00670684"/>
    <w:rsid w:val="00671DE5"/>
    <w:rsid w:val="00672180"/>
    <w:rsid w:val="00677265"/>
    <w:rsid w:val="00681A77"/>
    <w:rsid w:val="00682221"/>
    <w:rsid w:val="00682BB1"/>
    <w:rsid w:val="006904D8"/>
    <w:rsid w:val="006906CF"/>
    <w:rsid w:val="00690929"/>
    <w:rsid w:val="00690B2D"/>
    <w:rsid w:val="00691E9C"/>
    <w:rsid w:val="00692531"/>
    <w:rsid w:val="00692667"/>
    <w:rsid w:val="00692FCA"/>
    <w:rsid w:val="0069431F"/>
    <w:rsid w:val="006957BD"/>
    <w:rsid w:val="00696774"/>
    <w:rsid w:val="006A01DF"/>
    <w:rsid w:val="006A409F"/>
    <w:rsid w:val="006A6449"/>
    <w:rsid w:val="006B1CC0"/>
    <w:rsid w:val="006B276B"/>
    <w:rsid w:val="006B27F4"/>
    <w:rsid w:val="006B2ECF"/>
    <w:rsid w:val="006B3211"/>
    <w:rsid w:val="006B44EA"/>
    <w:rsid w:val="006B4D56"/>
    <w:rsid w:val="006B4F4B"/>
    <w:rsid w:val="006B604E"/>
    <w:rsid w:val="006B7C2C"/>
    <w:rsid w:val="006C218A"/>
    <w:rsid w:val="006C37B3"/>
    <w:rsid w:val="006C3F0D"/>
    <w:rsid w:val="006D043D"/>
    <w:rsid w:val="006D07BC"/>
    <w:rsid w:val="006D0F09"/>
    <w:rsid w:val="006D1140"/>
    <w:rsid w:val="006D1B3B"/>
    <w:rsid w:val="006D1E02"/>
    <w:rsid w:val="006D3C77"/>
    <w:rsid w:val="006D7369"/>
    <w:rsid w:val="006D7446"/>
    <w:rsid w:val="006E0EAB"/>
    <w:rsid w:val="006E17EE"/>
    <w:rsid w:val="006E1848"/>
    <w:rsid w:val="006E1BD4"/>
    <w:rsid w:val="006E2250"/>
    <w:rsid w:val="006E352E"/>
    <w:rsid w:val="006E429B"/>
    <w:rsid w:val="006E637C"/>
    <w:rsid w:val="006E68BF"/>
    <w:rsid w:val="006E6DE5"/>
    <w:rsid w:val="006F0186"/>
    <w:rsid w:val="006F03CD"/>
    <w:rsid w:val="006F34E2"/>
    <w:rsid w:val="006F3E52"/>
    <w:rsid w:val="006F4944"/>
    <w:rsid w:val="006F59D5"/>
    <w:rsid w:val="007004F2"/>
    <w:rsid w:val="00700683"/>
    <w:rsid w:val="007006E9"/>
    <w:rsid w:val="0070263E"/>
    <w:rsid w:val="007028C1"/>
    <w:rsid w:val="0070335B"/>
    <w:rsid w:val="00703503"/>
    <w:rsid w:val="0070461C"/>
    <w:rsid w:val="007046CC"/>
    <w:rsid w:val="00705776"/>
    <w:rsid w:val="00706FD1"/>
    <w:rsid w:val="0070796F"/>
    <w:rsid w:val="0071468A"/>
    <w:rsid w:val="007151C5"/>
    <w:rsid w:val="007155E1"/>
    <w:rsid w:val="00717187"/>
    <w:rsid w:val="0072011B"/>
    <w:rsid w:val="00720A7A"/>
    <w:rsid w:val="007259FF"/>
    <w:rsid w:val="00726FA1"/>
    <w:rsid w:val="00727596"/>
    <w:rsid w:val="00727758"/>
    <w:rsid w:val="007277A2"/>
    <w:rsid w:val="00727ED0"/>
    <w:rsid w:val="00727F82"/>
    <w:rsid w:val="00730D1B"/>
    <w:rsid w:val="00731DEF"/>
    <w:rsid w:val="00732AF8"/>
    <w:rsid w:val="00733580"/>
    <w:rsid w:val="00734D8F"/>
    <w:rsid w:val="00735DBA"/>
    <w:rsid w:val="0074040C"/>
    <w:rsid w:val="00740D14"/>
    <w:rsid w:val="00741E82"/>
    <w:rsid w:val="00742AEA"/>
    <w:rsid w:val="00742F60"/>
    <w:rsid w:val="00743CA0"/>
    <w:rsid w:val="00744F20"/>
    <w:rsid w:val="0074694C"/>
    <w:rsid w:val="00746FF3"/>
    <w:rsid w:val="00751B1D"/>
    <w:rsid w:val="007533F3"/>
    <w:rsid w:val="0075528B"/>
    <w:rsid w:val="0075552F"/>
    <w:rsid w:val="0075574B"/>
    <w:rsid w:val="007562EE"/>
    <w:rsid w:val="007605E8"/>
    <w:rsid w:val="007613F0"/>
    <w:rsid w:val="0076460D"/>
    <w:rsid w:val="00764A34"/>
    <w:rsid w:val="00766AD9"/>
    <w:rsid w:val="00767D2D"/>
    <w:rsid w:val="007703B6"/>
    <w:rsid w:val="007705C8"/>
    <w:rsid w:val="0077137B"/>
    <w:rsid w:val="007721C7"/>
    <w:rsid w:val="00772769"/>
    <w:rsid w:val="00774096"/>
    <w:rsid w:val="007764CB"/>
    <w:rsid w:val="00776654"/>
    <w:rsid w:val="00776A39"/>
    <w:rsid w:val="00777071"/>
    <w:rsid w:val="00777647"/>
    <w:rsid w:val="00777721"/>
    <w:rsid w:val="0078013E"/>
    <w:rsid w:val="00780334"/>
    <w:rsid w:val="00783195"/>
    <w:rsid w:val="0078563B"/>
    <w:rsid w:val="00785DED"/>
    <w:rsid w:val="007867FA"/>
    <w:rsid w:val="007878C4"/>
    <w:rsid w:val="0079055F"/>
    <w:rsid w:val="00790F05"/>
    <w:rsid w:val="007940E9"/>
    <w:rsid w:val="007A1DED"/>
    <w:rsid w:val="007A273E"/>
    <w:rsid w:val="007A39F2"/>
    <w:rsid w:val="007A542A"/>
    <w:rsid w:val="007B0CE9"/>
    <w:rsid w:val="007B129B"/>
    <w:rsid w:val="007B223B"/>
    <w:rsid w:val="007B2A90"/>
    <w:rsid w:val="007B2C01"/>
    <w:rsid w:val="007B53EE"/>
    <w:rsid w:val="007B6A28"/>
    <w:rsid w:val="007B7115"/>
    <w:rsid w:val="007B754A"/>
    <w:rsid w:val="007B77D3"/>
    <w:rsid w:val="007C1FCA"/>
    <w:rsid w:val="007C2B5B"/>
    <w:rsid w:val="007C403A"/>
    <w:rsid w:val="007C45B5"/>
    <w:rsid w:val="007C5693"/>
    <w:rsid w:val="007D20FE"/>
    <w:rsid w:val="007D2584"/>
    <w:rsid w:val="007D2CE7"/>
    <w:rsid w:val="007D2D82"/>
    <w:rsid w:val="007D3198"/>
    <w:rsid w:val="007D44B5"/>
    <w:rsid w:val="007D51F3"/>
    <w:rsid w:val="007D54A9"/>
    <w:rsid w:val="007D72FE"/>
    <w:rsid w:val="007D745F"/>
    <w:rsid w:val="007E0874"/>
    <w:rsid w:val="007E09D8"/>
    <w:rsid w:val="007E3737"/>
    <w:rsid w:val="007E387A"/>
    <w:rsid w:val="007E3FBD"/>
    <w:rsid w:val="007E3FD0"/>
    <w:rsid w:val="007E4AA5"/>
    <w:rsid w:val="007F0E30"/>
    <w:rsid w:val="007F1C25"/>
    <w:rsid w:val="007F3680"/>
    <w:rsid w:val="007F59FC"/>
    <w:rsid w:val="007F7893"/>
    <w:rsid w:val="00800954"/>
    <w:rsid w:val="00801C51"/>
    <w:rsid w:val="00802947"/>
    <w:rsid w:val="008055CF"/>
    <w:rsid w:val="0080687D"/>
    <w:rsid w:val="00806E39"/>
    <w:rsid w:val="0080756C"/>
    <w:rsid w:val="00810F46"/>
    <w:rsid w:val="00811C28"/>
    <w:rsid w:val="00813F90"/>
    <w:rsid w:val="008149FD"/>
    <w:rsid w:val="0081509E"/>
    <w:rsid w:val="008155C8"/>
    <w:rsid w:val="00815984"/>
    <w:rsid w:val="00816450"/>
    <w:rsid w:val="00817872"/>
    <w:rsid w:val="00817F59"/>
    <w:rsid w:val="008215DE"/>
    <w:rsid w:val="00821C1A"/>
    <w:rsid w:val="00822178"/>
    <w:rsid w:val="0082414F"/>
    <w:rsid w:val="00824587"/>
    <w:rsid w:val="008245D6"/>
    <w:rsid w:val="00827567"/>
    <w:rsid w:val="00831586"/>
    <w:rsid w:val="00832245"/>
    <w:rsid w:val="00833292"/>
    <w:rsid w:val="0083435E"/>
    <w:rsid w:val="008347F2"/>
    <w:rsid w:val="00835191"/>
    <w:rsid w:val="008355A5"/>
    <w:rsid w:val="008368DD"/>
    <w:rsid w:val="00840E62"/>
    <w:rsid w:val="00841ED9"/>
    <w:rsid w:val="00843487"/>
    <w:rsid w:val="00844B05"/>
    <w:rsid w:val="0084655F"/>
    <w:rsid w:val="00846EB0"/>
    <w:rsid w:val="0084713E"/>
    <w:rsid w:val="00847993"/>
    <w:rsid w:val="00850368"/>
    <w:rsid w:val="008510A0"/>
    <w:rsid w:val="0085152D"/>
    <w:rsid w:val="008537E0"/>
    <w:rsid w:val="00853C4D"/>
    <w:rsid w:val="0085496B"/>
    <w:rsid w:val="00857EE5"/>
    <w:rsid w:val="00862186"/>
    <w:rsid w:val="00863B3E"/>
    <w:rsid w:val="00863E4B"/>
    <w:rsid w:val="008659C1"/>
    <w:rsid w:val="008666BC"/>
    <w:rsid w:val="00867392"/>
    <w:rsid w:val="0086785B"/>
    <w:rsid w:val="00867BFE"/>
    <w:rsid w:val="00870E1B"/>
    <w:rsid w:val="00871CA8"/>
    <w:rsid w:val="008727CD"/>
    <w:rsid w:val="00872F4A"/>
    <w:rsid w:val="00873C57"/>
    <w:rsid w:val="0087492B"/>
    <w:rsid w:val="0087694F"/>
    <w:rsid w:val="00877ED3"/>
    <w:rsid w:val="00877EFA"/>
    <w:rsid w:val="008805EA"/>
    <w:rsid w:val="00881270"/>
    <w:rsid w:val="0088149F"/>
    <w:rsid w:val="008819B2"/>
    <w:rsid w:val="00883145"/>
    <w:rsid w:val="00883B15"/>
    <w:rsid w:val="00886489"/>
    <w:rsid w:val="00886A5E"/>
    <w:rsid w:val="00886D3D"/>
    <w:rsid w:val="00887436"/>
    <w:rsid w:val="00887576"/>
    <w:rsid w:val="00891BCA"/>
    <w:rsid w:val="00893FE6"/>
    <w:rsid w:val="00894DC6"/>
    <w:rsid w:val="00895076"/>
    <w:rsid w:val="008A2924"/>
    <w:rsid w:val="008A3CD4"/>
    <w:rsid w:val="008A4D29"/>
    <w:rsid w:val="008A6502"/>
    <w:rsid w:val="008A7791"/>
    <w:rsid w:val="008B0DC9"/>
    <w:rsid w:val="008B0F02"/>
    <w:rsid w:val="008B17CA"/>
    <w:rsid w:val="008B27F9"/>
    <w:rsid w:val="008B2C9A"/>
    <w:rsid w:val="008B5C5E"/>
    <w:rsid w:val="008B6A3B"/>
    <w:rsid w:val="008B6E04"/>
    <w:rsid w:val="008B79F1"/>
    <w:rsid w:val="008C09D5"/>
    <w:rsid w:val="008C5A7D"/>
    <w:rsid w:val="008C6588"/>
    <w:rsid w:val="008D0277"/>
    <w:rsid w:val="008D0A7C"/>
    <w:rsid w:val="008D10BC"/>
    <w:rsid w:val="008D1FFD"/>
    <w:rsid w:val="008D4601"/>
    <w:rsid w:val="008D6CCF"/>
    <w:rsid w:val="008D78CD"/>
    <w:rsid w:val="008E13B3"/>
    <w:rsid w:val="008E27CA"/>
    <w:rsid w:val="008E6AE5"/>
    <w:rsid w:val="008F0056"/>
    <w:rsid w:val="008F0DBF"/>
    <w:rsid w:val="008F1227"/>
    <w:rsid w:val="008F1B72"/>
    <w:rsid w:val="008F1F2B"/>
    <w:rsid w:val="008F200E"/>
    <w:rsid w:val="008F28D5"/>
    <w:rsid w:val="008F3553"/>
    <w:rsid w:val="009003DD"/>
    <w:rsid w:val="009008D4"/>
    <w:rsid w:val="00901104"/>
    <w:rsid w:val="0090768E"/>
    <w:rsid w:val="00911638"/>
    <w:rsid w:val="009124E3"/>
    <w:rsid w:val="00914783"/>
    <w:rsid w:val="0091794F"/>
    <w:rsid w:val="00921D23"/>
    <w:rsid w:val="00921F20"/>
    <w:rsid w:val="0092245C"/>
    <w:rsid w:val="0092267B"/>
    <w:rsid w:val="009246ED"/>
    <w:rsid w:val="009265E0"/>
    <w:rsid w:val="00926608"/>
    <w:rsid w:val="00930911"/>
    <w:rsid w:val="009310B6"/>
    <w:rsid w:val="009315B6"/>
    <w:rsid w:val="00931755"/>
    <w:rsid w:val="00932240"/>
    <w:rsid w:val="00932D11"/>
    <w:rsid w:val="0093336E"/>
    <w:rsid w:val="009356ED"/>
    <w:rsid w:val="009365CA"/>
    <w:rsid w:val="0093786B"/>
    <w:rsid w:val="0094170D"/>
    <w:rsid w:val="00945AEE"/>
    <w:rsid w:val="009464E5"/>
    <w:rsid w:val="00947D9D"/>
    <w:rsid w:val="00950A10"/>
    <w:rsid w:val="00950B62"/>
    <w:rsid w:val="00952604"/>
    <w:rsid w:val="009526B7"/>
    <w:rsid w:val="00954888"/>
    <w:rsid w:val="00954BC2"/>
    <w:rsid w:val="00955594"/>
    <w:rsid w:val="009555C4"/>
    <w:rsid w:val="00962559"/>
    <w:rsid w:val="0096294B"/>
    <w:rsid w:val="00965257"/>
    <w:rsid w:val="009653C2"/>
    <w:rsid w:val="00965E01"/>
    <w:rsid w:val="009666A8"/>
    <w:rsid w:val="00966941"/>
    <w:rsid w:val="00966E9A"/>
    <w:rsid w:val="00967EC4"/>
    <w:rsid w:val="009705A6"/>
    <w:rsid w:val="00971BA6"/>
    <w:rsid w:val="00973E61"/>
    <w:rsid w:val="00974777"/>
    <w:rsid w:val="00975FA9"/>
    <w:rsid w:val="00980230"/>
    <w:rsid w:val="00980723"/>
    <w:rsid w:val="00980CB9"/>
    <w:rsid w:val="0098126C"/>
    <w:rsid w:val="00981A5B"/>
    <w:rsid w:val="00983924"/>
    <w:rsid w:val="0098497E"/>
    <w:rsid w:val="00984E2B"/>
    <w:rsid w:val="0098591F"/>
    <w:rsid w:val="009866D6"/>
    <w:rsid w:val="009875E8"/>
    <w:rsid w:val="0099012E"/>
    <w:rsid w:val="00990435"/>
    <w:rsid w:val="00990C4D"/>
    <w:rsid w:val="0099266E"/>
    <w:rsid w:val="009927DC"/>
    <w:rsid w:val="00996736"/>
    <w:rsid w:val="00996B26"/>
    <w:rsid w:val="00997DC2"/>
    <w:rsid w:val="009A0ECA"/>
    <w:rsid w:val="009A180E"/>
    <w:rsid w:val="009A1C58"/>
    <w:rsid w:val="009A2B28"/>
    <w:rsid w:val="009A2EAB"/>
    <w:rsid w:val="009A3102"/>
    <w:rsid w:val="009A64AE"/>
    <w:rsid w:val="009A79FB"/>
    <w:rsid w:val="009B13AE"/>
    <w:rsid w:val="009B5FDE"/>
    <w:rsid w:val="009B6397"/>
    <w:rsid w:val="009C0312"/>
    <w:rsid w:val="009C06A4"/>
    <w:rsid w:val="009C43C6"/>
    <w:rsid w:val="009C4F06"/>
    <w:rsid w:val="009C62F0"/>
    <w:rsid w:val="009C64CD"/>
    <w:rsid w:val="009C670D"/>
    <w:rsid w:val="009C6D9C"/>
    <w:rsid w:val="009D255C"/>
    <w:rsid w:val="009D3A90"/>
    <w:rsid w:val="009D4753"/>
    <w:rsid w:val="009D49EE"/>
    <w:rsid w:val="009D589C"/>
    <w:rsid w:val="009E0AF2"/>
    <w:rsid w:val="009E0D9B"/>
    <w:rsid w:val="009E2203"/>
    <w:rsid w:val="009E30BB"/>
    <w:rsid w:val="009E41A2"/>
    <w:rsid w:val="009E5519"/>
    <w:rsid w:val="009F00BA"/>
    <w:rsid w:val="009F1211"/>
    <w:rsid w:val="009F126D"/>
    <w:rsid w:val="009F132E"/>
    <w:rsid w:val="009F6166"/>
    <w:rsid w:val="009F7545"/>
    <w:rsid w:val="00A00D97"/>
    <w:rsid w:val="00A0301C"/>
    <w:rsid w:val="00A0326F"/>
    <w:rsid w:val="00A033FB"/>
    <w:rsid w:val="00A03ABC"/>
    <w:rsid w:val="00A04234"/>
    <w:rsid w:val="00A05D37"/>
    <w:rsid w:val="00A0642E"/>
    <w:rsid w:val="00A06813"/>
    <w:rsid w:val="00A075E9"/>
    <w:rsid w:val="00A10751"/>
    <w:rsid w:val="00A11026"/>
    <w:rsid w:val="00A12107"/>
    <w:rsid w:val="00A12375"/>
    <w:rsid w:val="00A125FD"/>
    <w:rsid w:val="00A153A9"/>
    <w:rsid w:val="00A15418"/>
    <w:rsid w:val="00A156A3"/>
    <w:rsid w:val="00A16108"/>
    <w:rsid w:val="00A17911"/>
    <w:rsid w:val="00A202CF"/>
    <w:rsid w:val="00A209F0"/>
    <w:rsid w:val="00A21110"/>
    <w:rsid w:val="00A2239F"/>
    <w:rsid w:val="00A22CC4"/>
    <w:rsid w:val="00A249FA"/>
    <w:rsid w:val="00A253E3"/>
    <w:rsid w:val="00A257A2"/>
    <w:rsid w:val="00A269AC"/>
    <w:rsid w:val="00A32563"/>
    <w:rsid w:val="00A325C4"/>
    <w:rsid w:val="00A35295"/>
    <w:rsid w:val="00A372FA"/>
    <w:rsid w:val="00A37A5D"/>
    <w:rsid w:val="00A37BDA"/>
    <w:rsid w:val="00A40572"/>
    <w:rsid w:val="00A412C1"/>
    <w:rsid w:val="00A41DC5"/>
    <w:rsid w:val="00A43017"/>
    <w:rsid w:val="00A45E90"/>
    <w:rsid w:val="00A53609"/>
    <w:rsid w:val="00A54DE4"/>
    <w:rsid w:val="00A54F66"/>
    <w:rsid w:val="00A56076"/>
    <w:rsid w:val="00A56DB4"/>
    <w:rsid w:val="00A60294"/>
    <w:rsid w:val="00A60673"/>
    <w:rsid w:val="00A60BD7"/>
    <w:rsid w:val="00A62155"/>
    <w:rsid w:val="00A64977"/>
    <w:rsid w:val="00A65D87"/>
    <w:rsid w:val="00A6654E"/>
    <w:rsid w:val="00A713B6"/>
    <w:rsid w:val="00A71B86"/>
    <w:rsid w:val="00A72FD9"/>
    <w:rsid w:val="00A73382"/>
    <w:rsid w:val="00A75873"/>
    <w:rsid w:val="00A75E0D"/>
    <w:rsid w:val="00A75F30"/>
    <w:rsid w:val="00A8183B"/>
    <w:rsid w:val="00A81911"/>
    <w:rsid w:val="00A81F7C"/>
    <w:rsid w:val="00A82E0D"/>
    <w:rsid w:val="00A830D0"/>
    <w:rsid w:val="00A8368E"/>
    <w:rsid w:val="00A8425F"/>
    <w:rsid w:val="00A84640"/>
    <w:rsid w:val="00A862FA"/>
    <w:rsid w:val="00A8645A"/>
    <w:rsid w:val="00A91027"/>
    <w:rsid w:val="00A92056"/>
    <w:rsid w:val="00A92CB4"/>
    <w:rsid w:val="00A9528F"/>
    <w:rsid w:val="00A95987"/>
    <w:rsid w:val="00A95DA6"/>
    <w:rsid w:val="00A97051"/>
    <w:rsid w:val="00AA06D3"/>
    <w:rsid w:val="00AA3496"/>
    <w:rsid w:val="00AA4EA2"/>
    <w:rsid w:val="00AA56FA"/>
    <w:rsid w:val="00AA64C1"/>
    <w:rsid w:val="00AA7ED6"/>
    <w:rsid w:val="00AB0EC3"/>
    <w:rsid w:val="00AB17A8"/>
    <w:rsid w:val="00AB1A92"/>
    <w:rsid w:val="00AB239A"/>
    <w:rsid w:val="00AB2789"/>
    <w:rsid w:val="00AB3309"/>
    <w:rsid w:val="00AB4055"/>
    <w:rsid w:val="00AB52D9"/>
    <w:rsid w:val="00AB60C3"/>
    <w:rsid w:val="00AB61C8"/>
    <w:rsid w:val="00AC0A32"/>
    <w:rsid w:val="00AC396E"/>
    <w:rsid w:val="00AC39AE"/>
    <w:rsid w:val="00AC4F86"/>
    <w:rsid w:val="00AC7515"/>
    <w:rsid w:val="00AD1158"/>
    <w:rsid w:val="00AD130A"/>
    <w:rsid w:val="00AD15A7"/>
    <w:rsid w:val="00AD2329"/>
    <w:rsid w:val="00AD3F1E"/>
    <w:rsid w:val="00AD4833"/>
    <w:rsid w:val="00AD642D"/>
    <w:rsid w:val="00AD714F"/>
    <w:rsid w:val="00AD7DD3"/>
    <w:rsid w:val="00AE2BEE"/>
    <w:rsid w:val="00AE3066"/>
    <w:rsid w:val="00AE4BF0"/>
    <w:rsid w:val="00AE6254"/>
    <w:rsid w:val="00AE6FD9"/>
    <w:rsid w:val="00AE7CD7"/>
    <w:rsid w:val="00AF0065"/>
    <w:rsid w:val="00AF02EA"/>
    <w:rsid w:val="00AF0358"/>
    <w:rsid w:val="00AF3A23"/>
    <w:rsid w:val="00AF3F31"/>
    <w:rsid w:val="00AF4A3B"/>
    <w:rsid w:val="00AF579E"/>
    <w:rsid w:val="00AF7A11"/>
    <w:rsid w:val="00B0004E"/>
    <w:rsid w:val="00B0019A"/>
    <w:rsid w:val="00B0066F"/>
    <w:rsid w:val="00B0261B"/>
    <w:rsid w:val="00B028F0"/>
    <w:rsid w:val="00B052AC"/>
    <w:rsid w:val="00B05D20"/>
    <w:rsid w:val="00B07614"/>
    <w:rsid w:val="00B07732"/>
    <w:rsid w:val="00B117EC"/>
    <w:rsid w:val="00B13AAA"/>
    <w:rsid w:val="00B14D41"/>
    <w:rsid w:val="00B1509C"/>
    <w:rsid w:val="00B16C9D"/>
    <w:rsid w:val="00B22D4E"/>
    <w:rsid w:val="00B23BFD"/>
    <w:rsid w:val="00B24106"/>
    <w:rsid w:val="00B24FA0"/>
    <w:rsid w:val="00B27858"/>
    <w:rsid w:val="00B31EB9"/>
    <w:rsid w:val="00B34887"/>
    <w:rsid w:val="00B379AE"/>
    <w:rsid w:val="00B37DF2"/>
    <w:rsid w:val="00B417DF"/>
    <w:rsid w:val="00B41E22"/>
    <w:rsid w:val="00B4323D"/>
    <w:rsid w:val="00B44260"/>
    <w:rsid w:val="00B44877"/>
    <w:rsid w:val="00B44AF0"/>
    <w:rsid w:val="00B44FBE"/>
    <w:rsid w:val="00B467E1"/>
    <w:rsid w:val="00B46D02"/>
    <w:rsid w:val="00B46D0D"/>
    <w:rsid w:val="00B4700C"/>
    <w:rsid w:val="00B47FDC"/>
    <w:rsid w:val="00B54333"/>
    <w:rsid w:val="00B54C52"/>
    <w:rsid w:val="00B551D9"/>
    <w:rsid w:val="00B55C1F"/>
    <w:rsid w:val="00B55C6D"/>
    <w:rsid w:val="00B574F5"/>
    <w:rsid w:val="00B60335"/>
    <w:rsid w:val="00B606D2"/>
    <w:rsid w:val="00B6127A"/>
    <w:rsid w:val="00B62A52"/>
    <w:rsid w:val="00B65DAE"/>
    <w:rsid w:val="00B67C08"/>
    <w:rsid w:val="00B70610"/>
    <w:rsid w:val="00B70A45"/>
    <w:rsid w:val="00B7258E"/>
    <w:rsid w:val="00B73247"/>
    <w:rsid w:val="00B748A0"/>
    <w:rsid w:val="00B75EF8"/>
    <w:rsid w:val="00B76E2F"/>
    <w:rsid w:val="00B805E8"/>
    <w:rsid w:val="00B8134F"/>
    <w:rsid w:val="00B815BA"/>
    <w:rsid w:val="00B817C5"/>
    <w:rsid w:val="00B82F7A"/>
    <w:rsid w:val="00B8436D"/>
    <w:rsid w:val="00B90D3D"/>
    <w:rsid w:val="00B91A44"/>
    <w:rsid w:val="00B91D92"/>
    <w:rsid w:val="00B922BD"/>
    <w:rsid w:val="00B94B3F"/>
    <w:rsid w:val="00B96994"/>
    <w:rsid w:val="00B96E01"/>
    <w:rsid w:val="00B9744C"/>
    <w:rsid w:val="00BA2161"/>
    <w:rsid w:val="00BA280C"/>
    <w:rsid w:val="00BA2941"/>
    <w:rsid w:val="00BA2B82"/>
    <w:rsid w:val="00BA4215"/>
    <w:rsid w:val="00BA7417"/>
    <w:rsid w:val="00BB0408"/>
    <w:rsid w:val="00BB0C22"/>
    <w:rsid w:val="00BB2B9B"/>
    <w:rsid w:val="00BB2DA9"/>
    <w:rsid w:val="00BB3027"/>
    <w:rsid w:val="00BB5473"/>
    <w:rsid w:val="00BB752A"/>
    <w:rsid w:val="00BB7611"/>
    <w:rsid w:val="00BB76AC"/>
    <w:rsid w:val="00BC017B"/>
    <w:rsid w:val="00BC1F42"/>
    <w:rsid w:val="00BC3364"/>
    <w:rsid w:val="00BC42AB"/>
    <w:rsid w:val="00BC467D"/>
    <w:rsid w:val="00BC5EB1"/>
    <w:rsid w:val="00BC66E7"/>
    <w:rsid w:val="00BC7DC6"/>
    <w:rsid w:val="00BD06AA"/>
    <w:rsid w:val="00BD23E3"/>
    <w:rsid w:val="00BD50BB"/>
    <w:rsid w:val="00BD5BB8"/>
    <w:rsid w:val="00BD6315"/>
    <w:rsid w:val="00BD65B3"/>
    <w:rsid w:val="00BD7692"/>
    <w:rsid w:val="00BD7E05"/>
    <w:rsid w:val="00BE121A"/>
    <w:rsid w:val="00BE2C8B"/>
    <w:rsid w:val="00BE3141"/>
    <w:rsid w:val="00BE3C2D"/>
    <w:rsid w:val="00BE41C9"/>
    <w:rsid w:val="00BE596E"/>
    <w:rsid w:val="00BE677B"/>
    <w:rsid w:val="00BE755F"/>
    <w:rsid w:val="00BF2418"/>
    <w:rsid w:val="00BF26DD"/>
    <w:rsid w:val="00BF3EBE"/>
    <w:rsid w:val="00BF485E"/>
    <w:rsid w:val="00BF7A48"/>
    <w:rsid w:val="00C00589"/>
    <w:rsid w:val="00C0364E"/>
    <w:rsid w:val="00C03CA6"/>
    <w:rsid w:val="00C07FCF"/>
    <w:rsid w:val="00C10239"/>
    <w:rsid w:val="00C1156A"/>
    <w:rsid w:val="00C116F6"/>
    <w:rsid w:val="00C11841"/>
    <w:rsid w:val="00C13BFC"/>
    <w:rsid w:val="00C2032B"/>
    <w:rsid w:val="00C21F4F"/>
    <w:rsid w:val="00C22EC3"/>
    <w:rsid w:val="00C235AE"/>
    <w:rsid w:val="00C242B5"/>
    <w:rsid w:val="00C24C18"/>
    <w:rsid w:val="00C2628F"/>
    <w:rsid w:val="00C26B91"/>
    <w:rsid w:val="00C274E9"/>
    <w:rsid w:val="00C31C8A"/>
    <w:rsid w:val="00C32B25"/>
    <w:rsid w:val="00C35205"/>
    <w:rsid w:val="00C367BC"/>
    <w:rsid w:val="00C3730A"/>
    <w:rsid w:val="00C376F2"/>
    <w:rsid w:val="00C40A0A"/>
    <w:rsid w:val="00C41DFD"/>
    <w:rsid w:val="00C41FCF"/>
    <w:rsid w:val="00C4206A"/>
    <w:rsid w:val="00C42276"/>
    <w:rsid w:val="00C436B3"/>
    <w:rsid w:val="00C43CEB"/>
    <w:rsid w:val="00C44CFC"/>
    <w:rsid w:val="00C46EC8"/>
    <w:rsid w:val="00C523AD"/>
    <w:rsid w:val="00C52733"/>
    <w:rsid w:val="00C53938"/>
    <w:rsid w:val="00C55C33"/>
    <w:rsid w:val="00C56463"/>
    <w:rsid w:val="00C56775"/>
    <w:rsid w:val="00C57A76"/>
    <w:rsid w:val="00C609A9"/>
    <w:rsid w:val="00C609FB"/>
    <w:rsid w:val="00C6131F"/>
    <w:rsid w:val="00C61F6A"/>
    <w:rsid w:val="00C626CF"/>
    <w:rsid w:val="00C6441C"/>
    <w:rsid w:val="00C656FC"/>
    <w:rsid w:val="00C672A6"/>
    <w:rsid w:val="00C67FC6"/>
    <w:rsid w:val="00C7200A"/>
    <w:rsid w:val="00C7298B"/>
    <w:rsid w:val="00C72E20"/>
    <w:rsid w:val="00C74AF0"/>
    <w:rsid w:val="00C7517A"/>
    <w:rsid w:val="00C76A78"/>
    <w:rsid w:val="00C81D43"/>
    <w:rsid w:val="00C833AF"/>
    <w:rsid w:val="00C9090D"/>
    <w:rsid w:val="00C93B34"/>
    <w:rsid w:val="00C94200"/>
    <w:rsid w:val="00C95BCB"/>
    <w:rsid w:val="00CA0407"/>
    <w:rsid w:val="00CA0B9C"/>
    <w:rsid w:val="00CA1F1F"/>
    <w:rsid w:val="00CA2BD1"/>
    <w:rsid w:val="00CA402D"/>
    <w:rsid w:val="00CA6674"/>
    <w:rsid w:val="00CA7587"/>
    <w:rsid w:val="00CA7FAD"/>
    <w:rsid w:val="00CB0A9D"/>
    <w:rsid w:val="00CB2183"/>
    <w:rsid w:val="00CB2196"/>
    <w:rsid w:val="00CB24A9"/>
    <w:rsid w:val="00CB2AE5"/>
    <w:rsid w:val="00CB3381"/>
    <w:rsid w:val="00CB43AD"/>
    <w:rsid w:val="00CB4E62"/>
    <w:rsid w:val="00CB6A15"/>
    <w:rsid w:val="00CB6ADD"/>
    <w:rsid w:val="00CB7D70"/>
    <w:rsid w:val="00CC04AD"/>
    <w:rsid w:val="00CC1CA1"/>
    <w:rsid w:val="00CC22D2"/>
    <w:rsid w:val="00CC2C03"/>
    <w:rsid w:val="00CC4585"/>
    <w:rsid w:val="00CC476F"/>
    <w:rsid w:val="00CC535A"/>
    <w:rsid w:val="00CD08B4"/>
    <w:rsid w:val="00CD0B12"/>
    <w:rsid w:val="00CD1438"/>
    <w:rsid w:val="00CD1C60"/>
    <w:rsid w:val="00CD3945"/>
    <w:rsid w:val="00CE04B5"/>
    <w:rsid w:val="00CE07EE"/>
    <w:rsid w:val="00CE11F2"/>
    <w:rsid w:val="00CE2943"/>
    <w:rsid w:val="00CE3EC4"/>
    <w:rsid w:val="00CE44E3"/>
    <w:rsid w:val="00CE5B0C"/>
    <w:rsid w:val="00CE695E"/>
    <w:rsid w:val="00CE6A86"/>
    <w:rsid w:val="00CF2044"/>
    <w:rsid w:val="00CF22CB"/>
    <w:rsid w:val="00CF725A"/>
    <w:rsid w:val="00CF7428"/>
    <w:rsid w:val="00D00EA5"/>
    <w:rsid w:val="00D02634"/>
    <w:rsid w:val="00D02729"/>
    <w:rsid w:val="00D04126"/>
    <w:rsid w:val="00D06FD2"/>
    <w:rsid w:val="00D128A6"/>
    <w:rsid w:val="00D12C5A"/>
    <w:rsid w:val="00D13338"/>
    <w:rsid w:val="00D13FCA"/>
    <w:rsid w:val="00D14E2C"/>
    <w:rsid w:val="00D15C29"/>
    <w:rsid w:val="00D17175"/>
    <w:rsid w:val="00D21153"/>
    <w:rsid w:val="00D219E9"/>
    <w:rsid w:val="00D2210C"/>
    <w:rsid w:val="00D2230B"/>
    <w:rsid w:val="00D256CD"/>
    <w:rsid w:val="00D25A88"/>
    <w:rsid w:val="00D26ECE"/>
    <w:rsid w:val="00D32B8A"/>
    <w:rsid w:val="00D356BB"/>
    <w:rsid w:val="00D35CB7"/>
    <w:rsid w:val="00D362AD"/>
    <w:rsid w:val="00D36D43"/>
    <w:rsid w:val="00D37592"/>
    <w:rsid w:val="00D37BBB"/>
    <w:rsid w:val="00D40A3C"/>
    <w:rsid w:val="00D414DE"/>
    <w:rsid w:val="00D4187C"/>
    <w:rsid w:val="00D41942"/>
    <w:rsid w:val="00D41A0B"/>
    <w:rsid w:val="00D4287A"/>
    <w:rsid w:val="00D44FDC"/>
    <w:rsid w:val="00D47160"/>
    <w:rsid w:val="00D50D72"/>
    <w:rsid w:val="00D50EDE"/>
    <w:rsid w:val="00D5101C"/>
    <w:rsid w:val="00D54633"/>
    <w:rsid w:val="00D56E2B"/>
    <w:rsid w:val="00D57143"/>
    <w:rsid w:val="00D60ADF"/>
    <w:rsid w:val="00D618C8"/>
    <w:rsid w:val="00D61FB7"/>
    <w:rsid w:val="00D65003"/>
    <w:rsid w:val="00D66793"/>
    <w:rsid w:val="00D748A2"/>
    <w:rsid w:val="00D74CC0"/>
    <w:rsid w:val="00D7527A"/>
    <w:rsid w:val="00D76713"/>
    <w:rsid w:val="00D76D83"/>
    <w:rsid w:val="00D76EB7"/>
    <w:rsid w:val="00D7701B"/>
    <w:rsid w:val="00D77C3A"/>
    <w:rsid w:val="00D80EA1"/>
    <w:rsid w:val="00D82199"/>
    <w:rsid w:val="00D8251D"/>
    <w:rsid w:val="00D8488C"/>
    <w:rsid w:val="00D84FD4"/>
    <w:rsid w:val="00D85550"/>
    <w:rsid w:val="00D863A1"/>
    <w:rsid w:val="00D86A98"/>
    <w:rsid w:val="00D87F95"/>
    <w:rsid w:val="00D923BC"/>
    <w:rsid w:val="00D92777"/>
    <w:rsid w:val="00D9331C"/>
    <w:rsid w:val="00D934B9"/>
    <w:rsid w:val="00D93BD3"/>
    <w:rsid w:val="00D97C21"/>
    <w:rsid w:val="00DA1A41"/>
    <w:rsid w:val="00DA1F40"/>
    <w:rsid w:val="00DA23E8"/>
    <w:rsid w:val="00DA39CA"/>
    <w:rsid w:val="00DA5E36"/>
    <w:rsid w:val="00DA61B8"/>
    <w:rsid w:val="00DA61D9"/>
    <w:rsid w:val="00DA6479"/>
    <w:rsid w:val="00DB04CD"/>
    <w:rsid w:val="00DB2D2E"/>
    <w:rsid w:val="00DB3FFC"/>
    <w:rsid w:val="00DB41FD"/>
    <w:rsid w:val="00DB4DFF"/>
    <w:rsid w:val="00DB5620"/>
    <w:rsid w:val="00DB56B7"/>
    <w:rsid w:val="00DC2604"/>
    <w:rsid w:val="00DC2651"/>
    <w:rsid w:val="00DC2B93"/>
    <w:rsid w:val="00DC3225"/>
    <w:rsid w:val="00DC326D"/>
    <w:rsid w:val="00DC390F"/>
    <w:rsid w:val="00DC3B5C"/>
    <w:rsid w:val="00DC3B66"/>
    <w:rsid w:val="00DC52DE"/>
    <w:rsid w:val="00DC65F2"/>
    <w:rsid w:val="00DC67C2"/>
    <w:rsid w:val="00DC6D21"/>
    <w:rsid w:val="00DD0A94"/>
    <w:rsid w:val="00DD0FF0"/>
    <w:rsid w:val="00DD1DFA"/>
    <w:rsid w:val="00DD20DD"/>
    <w:rsid w:val="00DD46B9"/>
    <w:rsid w:val="00DD63BE"/>
    <w:rsid w:val="00DE1527"/>
    <w:rsid w:val="00DE1902"/>
    <w:rsid w:val="00DE2493"/>
    <w:rsid w:val="00DE460C"/>
    <w:rsid w:val="00DE4C67"/>
    <w:rsid w:val="00DE4C8F"/>
    <w:rsid w:val="00DE61C1"/>
    <w:rsid w:val="00DE68DF"/>
    <w:rsid w:val="00DE6C4E"/>
    <w:rsid w:val="00DE773A"/>
    <w:rsid w:val="00DF46A5"/>
    <w:rsid w:val="00DF4C0F"/>
    <w:rsid w:val="00DF5747"/>
    <w:rsid w:val="00DF6DBB"/>
    <w:rsid w:val="00DF7B86"/>
    <w:rsid w:val="00E01EC3"/>
    <w:rsid w:val="00E0271D"/>
    <w:rsid w:val="00E02756"/>
    <w:rsid w:val="00E07396"/>
    <w:rsid w:val="00E1141F"/>
    <w:rsid w:val="00E126B3"/>
    <w:rsid w:val="00E140E2"/>
    <w:rsid w:val="00E146BB"/>
    <w:rsid w:val="00E165BE"/>
    <w:rsid w:val="00E17F93"/>
    <w:rsid w:val="00E222C4"/>
    <w:rsid w:val="00E23E44"/>
    <w:rsid w:val="00E30ECB"/>
    <w:rsid w:val="00E31D1E"/>
    <w:rsid w:val="00E33300"/>
    <w:rsid w:val="00E33523"/>
    <w:rsid w:val="00E33B63"/>
    <w:rsid w:val="00E34286"/>
    <w:rsid w:val="00E34CF3"/>
    <w:rsid w:val="00E423FA"/>
    <w:rsid w:val="00E44C76"/>
    <w:rsid w:val="00E45AF1"/>
    <w:rsid w:val="00E46C77"/>
    <w:rsid w:val="00E478B5"/>
    <w:rsid w:val="00E4793E"/>
    <w:rsid w:val="00E5613B"/>
    <w:rsid w:val="00E615F9"/>
    <w:rsid w:val="00E616D7"/>
    <w:rsid w:val="00E62E77"/>
    <w:rsid w:val="00E6357C"/>
    <w:rsid w:val="00E639CD"/>
    <w:rsid w:val="00E639EC"/>
    <w:rsid w:val="00E63DA2"/>
    <w:rsid w:val="00E640B1"/>
    <w:rsid w:val="00E652B5"/>
    <w:rsid w:val="00E65657"/>
    <w:rsid w:val="00E6589F"/>
    <w:rsid w:val="00E65AED"/>
    <w:rsid w:val="00E65B37"/>
    <w:rsid w:val="00E74B9D"/>
    <w:rsid w:val="00E754A2"/>
    <w:rsid w:val="00E76CF5"/>
    <w:rsid w:val="00E8045D"/>
    <w:rsid w:val="00E80B26"/>
    <w:rsid w:val="00E812FD"/>
    <w:rsid w:val="00E8272D"/>
    <w:rsid w:val="00E870BD"/>
    <w:rsid w:val="00E8760A"/>
    <w:rsid w:val="00E87B57"/>
    <w:rsid w:val="00E87B67"/>
    <w:rsid w:val="00E94C3D"/>
    <w:rsid w:val="00E95693"/>
    <w:rsid w:val="00EA0F34"/>
    <w:rsid w:val="00EA16C5"/>
    <w:rsid w:val="00EA53EF"/>
    <w:rsid w:val="00EA6A80"/>
    <w:rsid w:val="00EA78B9"/>
    <w:rsid w:val="00EB0A80"/>
    <w:rsid w:val="00EB0F64"/>
    <w:rsid w:val="00EB13F7"/>
    <w:rsid w:val="00EB1704"/>
    <w:rsid w:val="00EB5DDF"/>
    <w:rsid w:val="00EB601A"/>
    <w:rsid w:val="00EB6CF9"/>
    <w:rsid w:val="00EB7036"/>
    <w:rsid w:val="00EC11D3"/>
    <w:rsid w:val="00EC1F42"/>
    <w:rsid w:val="00EC252B"/>
    <w:rsid w:val="00EC3117"/>
    <w:rsid w:val="00EC7006"/>
    <w:rsid w:val="00EC72BA"/>
    <w:rsid w:val="00ED1921"/>
    <w:rsid w:val="00ED263F"/>
    <w:rsid w:val="00ED5109"/>
    <w:rsid w:val="00ED57FA"/>
    <w:rsid w:val="00ED599B"/>
    <w:rsid w:val="00ED64B3"/>
    <w:rsid w:val="00EE04F6"/>
    <w:rsid w:val="00EE08B8"/>
    <w:rsid w:val="00EE276B"/>
    <w:rsid w:val="00EE285E"/>
    <w:rsid w:val="00EE2ADA"/>
    <w:rsid w:val="00EE3106"/>
    <w:rsid w:val="00EF082C"/>
    <w:rsid w:val="00EF3FD7"/>
    <w:rsid w:val="00EF5A43"/>
    <w:rsid w:val="00EF696F"/>
    <w:rsid w:val="00EF7414"/>
    <w:rsid w:val="00F00797"/>
    <w:rsid w:val="00F04CC7"/>
    <w:rsid w:val="00F05016"/>
    <w:rsid w:val="00F06685"/>
    <w:rsid w:val="00F11759"/>
    <w:rsid w:val="00F120EF"/>
    <w:rsid w:val="00F14532"/>
    <w:rsid w:val="00F14622"/>
    <w:rsid w:val="00F16F0A"/>
    <w:rsid w:val="00F17F4D"/>
    <w:rsid w:val="00F215F7"/>
    <w:rsid w:val="00F22FED"/>
    <w:rsid w:val="00F24D13"/>
    <w:rsid w:val="00F25469"/>
    <w:rsid w:val="00F2558F"/>
    <w:rsid w:val="00F265D1"/>
    <w:rsid w:val="00F26EA3"/>
    <w:rsid w:val="00F272C4"/>
    <w:rsid w:val="00F32113"/>
    <w:rsid w:val="00F36543"/>
    <w:rsid w:val="00F366A2"/>
    <w:rsid w:val="00F4045E"/>
    <w:rsid w:val="00F43685"/>
    <w:rsid w:val="00F438C6"/>
    <w:rsid w:val="00F44089"/>
    <w:rsid w:val="00F44E45"/>
    <w:rsid w:val="00F454C8"/>
    <w:rsid w:val="00F52FAE"/>
    <w:rsid w:val="00F52FE9"/>
    <w:rsid w:val="00F53AD7"/>
    <w:rsid w:val="00F60785"/>
    <w:rsid w:val="00F63049"/>
    <w:rsid w:val="00F655EE"/>
    <w:rsid w:val="00F659B3"/>
    <w:rsid w:val="00F6758C"/>
    <w:rsid w:val="00F67B26"/>
    <w:rsid w:val="00F67BB3"/>
    <w:rsid w:val="00F70050"/>
    <w:rsid w:val="00F74E92"/>
    <w:rsid w:val="00F76702"/>
    <w:rsid w:val="00F767FC"/>
    <w:rsid w:val="00F77A13"/>
    <w:rsid w:val="00F80D7B"/>
    <w:rsid w:val="00F8191D"/>
    <w:rsid w:val="00F84333"/>
    <w:rsid w:val="00F847D7"/>
    <w:rsid w:val="00F85414"/>
    <w:rsid w:val="00F862E0"/>
    <w:rsid w:val="00F86803"/>
    <w:rsid w:val="00F8762C"/>
    <w:rsid w:val="00F93047"/>
    <w:rsid w:val="00F93179"/>
    <w:rsid w:val="00F94160"/>
    <w:rsid w:val="00F94801"/>
    <w:rsid w:val="00F94A03"/>
    <w:rsid w:val="00F96F41"/>
    <w:rsid w:val="00F979FB"/>
    <w:rsid w:val="00FA047F"/>
    <w:rsid w:val="00FA0D8D"/>
    <w:rsid w:val="00FA4140"/>
    <w:rsid w:val="00FA4941"/>
    <w:rsid w:val="00FB1798"/>
    <w:rsid w:val="00FB2D94"/>
    <w:rsid w:val="00FB3F4D"/>
    <w:rsid w:val="00FB4957"/>
    <w:rsid w:val="00FC1196"/>
    <w:rsid w:val="00FC1339"/>
    <w:rsid w:val="00FC2083"/>
    <w:rsid w:val="00FC22FA"/>
    <w:rsid w:val="00FC3A4F"/>
    <w:rsid w:val="00FC409A"/>
    <w:rsid w:val="00FC48C4"/>
    <w:rsid w:val="00FC6C7B"/>
    <w:rsid w:val="00FC712F"/>
    <w:rsid w:val="00FC7BC9"/>
    <w:rsid w:val="00FD11B8"/>
    <w:rsid w:val="00FD184C"/>
    <w:rsid w:val="00FD21AC"/>
    <w:rsid w:val="00FD38ED"/>
    <w:rsid w:val="00FD4DDE"/>
    <w:rsid w:val="00FD5295"/>
    <w:rsid w:val="00FD62E2"/>
    <w:rsid w:val="00FD77CA"/>
    <w:rsid w:val="00FE07FA"/>
    <w:rsid w:val="00FE144B"/>
    <w:rsid w:val="00FE1DDE"/>
    <w:rsid w:val="00FE2E40"/>
    <w:rsid w:val="00FE3BCA"/>
    <w:rsid w:val="00FF1519"/>
    <w:rsid w:val="00FF24E9"/>
    <w:rsid w:val="00FF37EB"/>
    <w:rsid w:val="00FF6047"/>
    <w:rsid w:val="00FF7052"/>
    <w:rsid w:val="00FF725C"/>
    <w:rsid w:val="00FF7F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FBC"/>
  <w15:chartTrackingRefBased/>
  <w15:docId w15:val="{DC303726-32E4-47BA-A71A-44715AC6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8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71B8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7A1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Default">
    <w:name w:val="Default"/>
    <w:rsid w:val="00F77A13"/>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character" w:customStyle="1" w:styleId="Hyperlink0">
    <w:name w:val="Hyperlink.0"/>
    <w:basedOn w:val="Hyperlink"/>
    <w:rsid w:val="00F77A13"/>
    <w:rPr>
      <w:color w:val="0563C1" w:themeColor="hyperlink"/>
      <w:u w:val="single"/>
    </w:rPr>
  </w:style>
  <w:style w:type="character" w:styleId="Hyperlink">
    <w:name w:val="Hyperlink"/>
    <w:basedOn w:val="DefaultParagraphFont"/>
    <w:uiPriority w:val="99"/>
    <w:unhideWhenUsed/>
    <w:rsid w:val="00F77A13"/>
    <w:rPr>
      <w:color w:val="0563C1" w:themeColor="hyperlink"/>
      <w:u w:val="single"/>
    </w:rPr>
  </w:style>
  <w:style w:type="table" w:styleId="TableGrid">
    <w:name w:val="Table Grid"/>
    <w:basedOn w:val="TableNormal"/>
    <w:uiPriority w:val="39"/>
    <w:rsid w:val="00BB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713E"/>
  </w:style>
  <w:style w:type="paragraph" w:styleId="BalloonText">
    <w:name w:val="Balloon Text"/>
    <w:basedOn w:val="Normal"/>
    <w:link w:val="BalloonTextChar"/>
    <w:uiPriority w:val="99"/>
    <w:semiHidden/>
    <w:unhideWhenUsed/>
    <w:rsid w:val="005E6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385"/>
    <w:rPr>
      <w:rFonts w:ascii="Segoe UI" w:hAnsi="Segoe UI" w:cs="Segoe UI"/>
      <w:sz w:val="18"/>
      <w:szCs w:val="18"/>
    </w:rPr>
  </w:style>
  <w:style w:type="character" w:styleId="FollowedHyperlink">
    <w:name w:val="FollowedHyperlink"/>
    <w:basedOn w:val="DefaultParagraphFont"/>
    <w:uiPriority w:val="99"/>
    <w:semiHidden/>
    <w:unhideWhenUsed/>
    <w:rsid w:val="004C2E8D"/>
    <w:rPr>
      <w:color w:val="954F72" w:themeColor="followedHyperlink"/>
      <w:u w:val="single"/>
    </w:rPr>
  </w:style>
  <w:style w:type="paragraph" w:styleId="Header">
    <w:name w:val="header"/>
    <w:basedOn w:val="Normal"/>
    <w:link w:val="HeaderChar"/>
    <w:uiPriority w:val="99"/>
    <w:unhideWhenUsed/>
    <w:rsid w:val="006B4D56"/>
    <w:pPr>
      <w:tabs>
        <w:tab w:val="center" w:pos="4513"/>
        <w:tab w:val="right" w:pos="9026"/>
      </w:tabs>
    </w:pPr>
  </w:style>
  <w:style w:type="character" w:customStyle="1" w:styleId="HeaderChar">
    <w:name w:val="Header Char"/>
    <w:basedOn w:val="DefaultParagraphFont"/>
    <w:link w:val="Header"/>
    <w:uiPriority w:val="99"/>
    <w:rsid w:val="006B4D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D56"/>
    <w:pPr>
      <w:tabs>
        <w:tab w:val="center" w:pos="4513"/>
        <w:tab w:val="right" w:pos="9026"/>
      </w:tabs>
    </w:pPr>
  </w:style>
  <w:style w:type="character" w:customStyle="1" w:styleId="FooterChar">
    <w:name w:val="Footer Char"/>
    <w:basedOn w:val="DefaultParagraphFont"/>
    <w:link w:val="Footer"/>
    <w:uiPriority w:val="99"/>
    <w:rsid w:val="006B4D56"/>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40B1"/>
    <w:pPr>
      <w:spacing w:before="100" w:beforeAutospacing="1" w:after="100" w:afterAutospacing="1"/>
    </w:pPr>
    <w:rPr>
      <w:rFonts w:eastAsiaTheme="minorEastAsia"/>
    </w:rPr>
  </w:style>
  <w:style w:type="character" w:styleId="LineNumber">
    <w:name w:val="line number"/>
    <w:basedOn w:val="DefaultParagraphFont"/>
    <w:uiPriority w:val="99"/>
    <w:semiHidden/>
    <w:unhideWhenUsed/>
    <w:rsid w:val="00D2210C"/>
  </w:style>
  <w:style w:type="character" w:styleId="CommentReference">
    <w:name w:val="annotation reference"/>
    <w:basedOn w:val="DefaultParagraphFont"/>
    <w:uiPriority w:val="99"/>
    <w:semiHidden/>
    <w:unhideWhenUsed/>
    <w:rsid w:val="008D4601"/>
    <w:rPr>
      <w:sz w:val="16"/>
      <w:szCs w:val="16"/>
    </w:rPr>
  </w:style>
  <w:style w:type="paragraph" w:styleId="CommentText">
    <w:name w:val="annotation text"/>
    <w:basedOn w:val="Normal"/>
    <w:link w:val="CommentTextChar"/>
    <w:uiPriority w:val="99"/>
    <w:semiHidden/>
    <w:unhideWhenUsed/>
    <w:rsid w:val="008D4601"/>
    <w:rPr>
      <w:sz w:val="20"/>
      <w:szCs w:val="20"/>
    </w:rPr>
  </w:style>
  <w:style w:type="character" w:customStyle="1" w:styleId="CommentTextChar">
    <w:name w:val="Comment Text Char"/>
    <w:basedOn w:val="DefaultParagraphFont"/>
    <w:link w:val="CommentText"/>
    <w:uiPriority w:val="99"/>
    <w:semiHidden/>
    <w:rsid w:val="008D4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601"/>
    <w:rPr>
      <w:b/>
      <w:bCs/>
    </w:rPr>
  </w:style>
  <w:style w:type="character" w:customStyle="1" w:styleId="CommentSubjectChar">
    <w:name w:val="Comment Subject Char"/>
    <w:basedOn w:val="CommentTextChar"/>
    <w:link w:val="CommentSubject"/>
    <w:uiPriority w:val="99"/>
    <w:semiHidden/>
    <w:rsid w:val="008D4601"/>
    <w:rPr>
      <w:rFonts w:ascii="Times New Roman" w:eastAsia="Times New Roman" w:hAnsi="Times New Roman" w:cs="Times New Roman"/>
      <w:b/>
      <w:bCs/>
      <w:sz w:val="20"/>
      <w:szCs w:val="20"/>
    </w:rPr>
  </w:style>
  <w:style w:type="character" w:styleId="Strong">
    <w:name w:val="Strong"/>
    <w:basedOn w:val="DefaultParagraphFont"/>
    <w:uiPriority w:val="22"/>
    <w:qFormat/>
    <w:rsid w:val="00C10239"/>
    <w:rPr>
      <w:b/>
      <w:bCs/>
    </w:rPr>
  </w:style>
  <w:style w:type="character" w:customStyle="1" w:styleId="Heading4Char">
    <w:name w:val="Heading 4 Char"/>
    <w:basedOn w:val="DefaultParagraphFont"/>
    <w:link w:val="Heading4"/>
    <w:uiPriority w:val="9"/>
    <w:rsid w:val="00A71B8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080">
      <w:bodyDiv w:val="1"/>
      <w:marLeft w:val="0"/>
      <w:marRight w:val="0"/>
      <w:marTop w:val="0"/>
      <w:marBottom w:val="0"/>
      <w:divBdr>
        <w:top w:val="none" w:sz="0" w:space="0" w:color="auto"/>
        <w:left w:val="none" w:sz="0" w:space="0" w:color="auto"/>
        <w:bottom w:val="none" w:sz="0" w:space="0" w:color="auto"/>
        <w:right w:val="none" w:sz="0" w:space="0" w:color="auto"/>
      </w:divBdr>
    </w:div>
    <w:div w:id="497303998">
      <w:bodyDiv w:val="1"/>
      <w:marLeft w:val="0"/>
      <w:marRight w:val="0"/>
      <w:marTop w:val="0"/>
      <w:marBottom w:val="0"/>
      <w:divBdr>
        <w:top w:val="none" w:sz="0" w:space="0" w:color="auto"/>
        <w:left w:val="none" w:sz="0" w:space="0" w:color="auto"/>
        <w:bottom w:val="none" w:sz="0" w:space="0" w:color="auto"/>
        <w:right w:val="none" w:sz="0" w:space="0" w:color="auto"/>
      </w:divBdr>
    </w:div>
    <w:div w:id="844398310">
      <w:bodyDiv w:val="1"/>
      <w:marLeft w:val="0"/>
      <w:marRight w:val="0"/>
      <w:marTop w:val="0"/>
      <w:marBottom w:val="0"/>
      <w:divBdr>
        <w:top w:val="none" w:sz="0" w:space="0" w:color="auto"/>
        <w:left w:val="none" w:sz="0" w:space="0" w:color="auto"/>
        <w:bottom w:val="none" w:sz="0" w:space="0" w:color="auto"/>
        <w:right w:val="none" w:sz="0" w:space="0" w:color="auto"/>
      </w:divBdr>
    </w:div>
    <w:div w:id="914321829">
      <w:bodyDiv w:val="1"/>
      <w:marLeft w:val="0"/>
      <w:marRight w:val="0"/>
      <w:marTop w:val="0"/>
      <w:marBottom w:val="0"/>
      <w:divBdr>
        <w:top w:val="none" w:sz="0" w:space="0" w:color="auto"/>
        <w:left w:val="none" w:sz="0" w:space="0" w:color="auto"/>
        <w:bottom w:val="none" w:sz="0" w:space="0" w:color="auto"/>
        <w:right w:val="none" w:sz="0" w:space="0" w:color="auto"/>
      </w:divBdr>
    </w:div>
    <w:div w:id="923758927">
      <w:bodyDiv w:val="1"/>
      <w:marLeft w:val="0"/>
      <w:marRight w:val="0"/>
      <w:marTop w:val="0"/>
      <w:marBottom w:val="0"/>
      <w:divBdr>
        <w:top w:val="none" w:sz="0" w:space="0" w:color="auto"/>
        <w:left w:val="none" w:sz="0" w:space="0" w:color="auto"/>
        <w:bottom w:val="none" w:sz="0" w:space="0" w:color="auto"/>
        <w:right w:val="none" w:sz="0" w:space="0" w:color="auto"/>
      </w:divBdr>
    </w:div>
    <w:div w:id="1318923771">
      <w:bodyDiv w:val="1"/>
      <w:marLeft w:val="0"/>
      <w:marRight w:val="0"/>
      <w:marTop w:val="0"/>
      <w:marBottom w:val="0"/>
      <w:divBdr>
        <w:top w:val="none" w:sz="0" w:space="0" w:color="auto"/>
        <w:left w:val="none" w:sz="0" w:space="0" w:color="auto"/>
        <w:bottom w:val="none" w:sz="0" w:space="0" w:color="auto"/>
        <w:right w:val="none" w:sz="0" w:space="0" w:color="auto"/>
      </w:divBdr>
    </w:div>
    <w:div w:id="1411805150">
      <w:bodyDiv w:val="1"/>
      <w:marLeft w:val="0"/>
      <w:marRight w:val="0"/>
      <w:marTop w:val="0"/>
      <w:marBottom w:val="0"/>
      <w:divBdr>
        <w:top w:val="none" w:sz="0" w:space="0" w:color="auto"/>
        <w:left w:val="none" w:sz="0" w:space="0" w:color="auto"/>
        <w:bottom w:val="none" w:sz="0" w:space="0" w:color="auto"/>
        <w:right w:val="none" w:sz="0" w:space="0" w:color="auto"/>
      </w:divBdr>
    </w:div>
    <w:div w:id="1722679427">
      <w:bodyDiv w:val="1"/>
      <w:marLeft w:val="0"/>
      <w:marRight w:val="0"/>
      <w:marTop w:val="0"/>
      <w:marBottom w:val="0"/>
      <w:divBdr>
        <w:top w:val="none" w:sz="0" w:space="0" w:color="auto"/>
        <w:left w:val="none" w:sz="0" w:space="0" w:color="auto"/>
        <w:bottom w:val="none" w:sz="0" w:space="0" w:color="auto"/>
        <w:right w:val="none" w:sz="0" w:space="0" w:color="auto"/>
      </w:divBdr>
    </w:div>
    <w:div w:id="1950965135">
      <w:bodyDiv w:val="1"/>
      <w:marLeft w:val="0"/>
      <w:marRight w:val="0"/>
      <w:marTop w:val="0"/>
      <w:marBottom w:val="0"/>
      <w:divBdr>
        <w:top w:val="none" w:sz="0" w:space="0" w:color="auto"/>
        <w:left w:val="none" w:sz="0" w:space="0" w:color="auto"/>
        <w:bottom w:val="none" w:sz="0" w:space="0" w:color="auto"/>
        <w:right w:val="none" w:sz="0" w:space="0" w:color="auto"/>
      </w:divBdr>
    </w:div>
    <w:div w:id="20711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iaojing5123@139.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3259-300A-4640-881D-E150BED6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5744</Words>
  <Characters>32743</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_</vt:lpstr>
      <vt:lpstr/>
      <vt:lpstr>Email: zhanzhengzhao@zzu.edu.cn</vt:lpstr>
      <vt:lpstr>TEL: +86 139 3852 5666</vt:lpstr>
      <vt:lpstr>TEL: +86 136 5386 5123</vt:lpstr>
      <vt:lpstr>Key words: Triglyceride glucose index; Cardiovascular diseases; Mortality; Perit</vt:lpstr>
      <vt:lpstr/>
    </vt:vector>
  </TitlesOfParts>
  <Company>Primary Care Sciences</Company>
  <LinksUpToDate>false</LinksUpToDate>
  <CharactersWithSpaces>38411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Dahai Yu</dc:creator>
  <cp:keywords/>
  <dc:description/>
  <cp:lastModifiedBy>Dahai Yu</cp:lastModifiedBy>
  <cp:revision>4</cp:revision>
  <cp:lastPrinted>2019-01-09T13:39:00Z</cp:lastPrinted>
  <dcterms:created xsi:type="dcterms:W3CDTF">2019-05-15T09:28:00Z</dcterms:created>
  <dcterms:modified xsi:type="dcterms:W3CDTF">2019-07-19T07:42:00Z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3639</vt:lpwstr>
  </property>
  <property fmtid="{D5CDD505-2E9C-101B-9397-08002B2CF9AE}" pid="3" name="WnCSubscriberId">
    <vt:lpwstr>5428</vt:lpwstr>
  </property>
  <property fmtid="{D5CDD505-2E9C-101B-9397-08002B2CF9AE}" pid="4" name="WnCOutputStyleId">
    <vt:lpwstr>3175</vt:lpwstr>
  </property>
  <property fmtid="{D5CDD505-2E9C-101B-9397-08002B2CF9AE}" pid="5" name="RWProductId">
    <vt:lpwstr>WnC</vt:lpwstr>
  </property>
  <property fmtid="{D5CDD505-2E9C-101B-9397-08002B2CF9AE}" pid="6" name="WnC4Folder">
    <vt:lpwstr>Documents///TyG and CVD death in PD clean copy 20190515(1)</vt:lpwstr>
  </property>
</Properties>
</file>