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3F071" w14:textId="08384956" w:rsidR="00EE0169" w:rsidRPr="000E51C9" w:rsidRDefault="00CB0A9A" w:rsidP="002A2184">
      <w:pPr>
        <w:spacing w:line="360" w:lineRule="auto"/>
        <w:rPr>
          <w:rFonts w:eastAsia="Malgun Gothic"/>
          <w:b/>
          <w:color w:val="000000" w:themeColor="text1"/>
          <w:sz w:val="32"/>
          <w:lang w:eastAsia="ko-KR"/>
        </w:rPr>
      </w:pPr>
      <w:proofErr w:type="gramStart"/>
      <w:r w:rsidRPr="000E51C9">
        <w:rPr>
          <w:rFonts w:eastAsia="Malgun Gothic"/>
          <w:b/>
          <w:color w:val="000000" w:themeColor="text1"/>
          <w:sz w:val="32"/>
          <w:lang w:eastAsia="ko-KR"/>
        </w:rPr>
        <w:t>Chapter X.</w:t>
      </w:r>
      <w:proofErr w:type="gramEnd"/>
      <w:r w:rsidRPr="000E51C9">
        <w:rPr>
          <w:rFonts w:eastAsia="Malgun Gothic"/>
          <w:b/>
          <w:color w:val="000000" w:themeColor="text1"/>
          <w:sz w:val="32"/>
          <w:lang w:eastAsia="ko-KR"/>
        </w:rPr>
        <w:t xml:space="preserve"> </w:t>
      </w:r>
      <w:r w:rsidR="00616C7D" w:rsidRPr="000E51C9">
        <w:rPr>
          <w:rFonts w:eastAsia="Malgun Gothic"/>
          <w:b/>
          <w:color w:val="000000" w:themeColor="text1"/>
          <w:sz w:val="32"/>
          <w:lang w:eastAsia="ko-KR"/>
        </w:rPr>
        <w:t>The Growing Tendency</w:t>
      </w:r>
      <w:r w:rsidR="007F5307" w:rsidRPr="000E51C9">
        <w:rPr>
          <w:rFonts w:eastAsia="Malgun Gothic"/>
          <w:b/>
          <w:color w:val="000000" w:themeColor="text1"/>
          <w:sz w:val="32"/>
          <w:lang w:eastAsia="ko-KR"/>
        </w:rPr>
        <w:t xml:space="preserve"> of Including Investment Chapters into PTAs</w:t>
      </w:r>
    </w:p>
    <w:p w14:paraId="77FCB80B" w14:textId="132AA08B" w:rsidR="00232A46" w:rsidRPr="000E51C9" w:rsidRDefault="00232A46" w:rsidP="002A2184">
      <w:pPr>
        <w:spacing w:line="360" w:lineRule="auto"/>
        <w:rPr>
          <w:rFonts w:eastAsia="Malgun Gothic"/>
          <w:color w:val="000000" w:themeColor="text1"/>
          <w:lang w:eastAsia="ko-KR"/>
        </w:rPr>
      </w:pPr>
      <w:r w:rsidRPr="000E51C9">
        <w:rPr>
          <w:rFonts w:eastAsia="Malgun Gothic"/>
          <w:color w:val="000000" w:themeColor="text1"/>
          <w:lang w:eastAsia="ko-KR"/>
        </w:rPr>
        <w:t xml:space="preserve">Maksim </w:t>
      </w:r>
      <w:proofErr w:type="spellStart"/>
      <w:r w:rsidRPr="000E51C9">
        <w:rPr>
          <w:rFonts w:eastAsia="Malgun Gothic"/>
          <w:color w:val="000000" w:themeColor="text1"/>
          <w:lang w:eastAsia="ko-KR"/>
        </w:rPr>
        <w:t>Usynin</w:t>
      </w:r>
      <w:proofErr w:type="spellEnd"/>
      <w:r w:rsidRPr="000E51C9">
        <w:rPr>
          <w:rFonts w:eastAsia="Malgun Gothic"/>
          <w:color w:val="000000" w:themeColor="text1"/>
          <w:lang w:eastAsia="ko-KR"/>
        </w:rPr>
        <w:t xml:space="preserve"> and </w:t>
      </w:r>
      <w:proofErr w:type="spellStart"/>
      <w:r w:rsidRPr="000E51C9">
        <w:rPr>
          <w:rFonts w:eastAsia="Malgun Gothic"/>
          <w:color w:val="000000" w:themeColor="text1"/>
          <w:lang w:eastAsia="ko-KR"/>
        </w:rPr>
        <w:t>Szilárd</w:t>
      </w:r>
      <w:proofErr w:type="spellEnd"/>
      <w:r w:rsidRPr="000E51C9">
        <w:rPr>
          <w:rFonts w:eastAsia="Malgun Gothic"/>
          <w:color w:val="000000" w:themeColor="text1"/>
          <w:lang w:eastAsia="ko-KR"/>
        </w:rPr>
        <w:t xml:space="preserve"> </w:t>
      </w:r>
      <w:proofErr w:type="spellStart"/>
      <w:r w:rsidRPr="000E51C9">
        <w:rPr>
          <w:rFonts w:eastAsia="Malgun Gothic"/>
          <w:color w:val="000000" w:themeColor="text1"/>
          <w:lang w:eastAsia="ko-KR"/>
        </w:rPr>
        <w:t>Gáspár-Szilágyi</w:t>
      </w:r>
      <w:proofErr w:type="spellEnd"/>
      <w:r w:rsidRPr="000E51C9">
        <w:rPr>
          <w:rStyle w:val="Funotenzeichen"/>
          <w:rFonts w:eastAsia="Malgun Gothic"/>
          <w:color w:val="000000" w:themeColor="text1"/>
          <w:lang w:eastAsia="ko-KR"/>
        </w:rPr>
        <w:footnoteReference w:customMarkFollows="1" w:id="1"/>
        <w:t>*</w:t>
      </w:r>
    </w:p>
    <w:p w14:paraId="512BE6D5" w14:textId="77777777" w:rsidR="00EE0169" w:rsidRPr="000E51C9" w:rsidRDefault="00EE0169" w:rsidP="007D559F">
      <w:pPr>
        <w:spacing w:line="360" w:lineRule="auto"/>
        <w:jc w:val="both"/>
        <w:rPr>
          <w:rFonts w:eastAsia="Malgun Gothic"/>
          <w:b/>
          <w:color w:val="000000" w:themeColor="text1"/>
          <w:lang w:eastAsia="ko-KR"/>
        </w:rPr>
      </w:pPr>
    </w:p>
    <w:p w14:paraId="2B9A54BB" w14:textId="0027CC63" w:rsidR="00077B1B" w:rsidRPr="000E51C9" w:rsidRDefault="00077B1B" w:rsidP="007D559F">
      <w:pPr>
        <w:spacing w:line="360" w:lineRule="auto"/>
        <w:jc w:val="both"/>
        <w:rPr>
          <w:rFonts w:eastAsia="Malgun Gothic"/>
          <w:color w:val="000000" w:themeColor="text1"/>
          <w:lang w:eastAsia="ko-KR"/>
        </w:rPr>
      </w:pPr>
      <w:r w:rsidRPr="000E51C9">
        <w:rPr>
          <w:rFonts w:eastAsia="Malgun Gothic"/>
          <w:b/>
          <w:color w:val="000000" w:themeColor="text1"/>
          <w:lang w:eastAsia="ko-KR"/>
        </w:rPr>
        <w:t xml:space="preserve">Abstract </w:t>
      </w:r>
      <w:r w:rsidRPr="000E51C9">
        <w:rPr>
          <w:rFonts w:eastAsia="Malgun Gothic"/>
          <w:color w:val="000000" w:themeColor="text1"/>
          <w:lang w:eastAsia="ko-KR"/>
        </w:rPr>
        <w:t xml:space="preserve">In the context of a rising number of </w:t>
      </w:r>
      <w:r w:rsidR="00DC50D8" w:rsidRPr="000E51C9">
        <w:rPr>
          <w:rFonts w:eastAsia="Malgun Gothic"/>
          <w:color w:val="000000" w:themeColor="text1"/>
          <w:lang w:eastAsia="ko-KR"/>
        </w:rPr>
        <w:t>preferential trade agreements (</w:t>
      </w:r>
      <w:r w:rsidRPr="000E51C9">
        <w:rPr>
          <w:rFonts w:eastAsia="Malgun Gothic"/>
          <w:color w:val="000000" w:themeColor="text1"/>
          <w:lang w:eastAsia="ko-KR"/>
        </w:rPr>
        <w:t>PTAs</w:t>
      </w:r>
      <w:r w:rsidR="00DC50D8" w:rsidRPr="000E51C9">
        <w:rPr>
          <w:rFonts w:eastAsia="Malgun Gothic"/>
          <w:color w:val="000000" w:themeColor="text1"/>
          <w:lang w:eastAsia="ko-KR"/>
        </w:rPr>
        <w:t>)</w:t>
      </w:r>
      <w:r w:rsidRPr="000E51C9">
        <w:rPr>
          <w:rFonts w:eastAsia="Malgun Gothic"/>
          <w:color w:val="000000" w:themeColor="text1"/>
          <w:lang w:eastAsia="ko-KR"/>
        </w:rPr>
        <w:t xml:space="preserve"> that include investment protection provisions traditionally found in </w:t>
      </w:r>
      <w:r w:rsidR="00DC50D8" w:rsidRPr="000E51C9">
        <w:rPr>
          <w:rFonts w:eastAsia="Malgun Gothic"/>
          <w:color w:val="000000" w:themeColor="text1"/>
          <w:lang w:eastAsia="ko-KR"/>
        </w:rPr>
        <w:t>bilateral investment treaties (</w:t>
      </w:r>
      <w:r w:rsidRPr="000E51C9">
        <w:rPr>
          <w:rFonts w:eastAsia="Malgun Gothic"/>
          <w:color w:val="000000" w:themeColor="text1"/>
          <w:lang w:eastAsia="ko-KR"/>
        </w:rPr>
        <w:t>BITs</w:t>
      </w:r>
      <w:r w:rsidR="00DC50D8" w:rsidRPr="000E51C9">
        <w:rPr>
          <w:rFonts w:eastAsia="Malgun Gothic"/>
          <w:color w:val="000000" w:themeColor="text1"/>
          <w:lang w:eastAsia="ko-KR"/>
        </w:rPr>
        <w:t>),</w:t>
      </w:r>
      <w:r w:rsidRPr="000E51C9">
        <w:rPr>
          <w:rFonts w:eastAsia="Malgun Gothic"/>
          <w:color w:val="000000" w:themeColor="text1"/>
          <w:lang w:eastAsia="ko-KR"/>
        </w:rPr>
        <w:t xml:space="preserve"> this </w:t>
      </w:r>
      <w:r w:rsidR="00DC50D8" w:rsidRPr="000E51C9">
        <w:rPr>
          <w:rFonts w:eastAsia="Malgun Gothic"/>
          <w:color w:val="000000" w:themeColor="text1"/>
          <w:lang w:eastAsia="ko-KR"/>
        </w:rPr>
        <w:t xml:space="preserve">chapter </w:t>
      </w:r>
      <w:r w:rsidRPr="000E51C9">
        <w:rPr>
          <w:rFonts w:eastAsia="Malgun Gothic"/>
          <w:color w:val="000000" w:themeColor="text1"/>
          <w:lang w:eastAsia="ko-KR"/>
        </w:rPr>
        <w:t>has a double purpose. First, based on an empirical analysis of 158 post-</w:t>
      </w:r>
      <w:r w:rsidR="00DC50D8" w:rsidRPr="000E51C9">
        <w:rPr>
          <w:rFonts w:eastAsia="Malgun Gothic"/>
          <w:color w:val="000000" w:themeColor="text1"/>
          <w:lang w:eastAsia="ko-KR"/>
        </w:rPr>
        <w:t>North American Free Trade Agreement (</w:t>
      </w:r>
      <w:r w:rsidRPr="000E51C9">
        <w:rPr>
          <w:rFonts w:eastAsia="Malgun Gothic"/>
          <w:color w:val="000000" w:themeColor="text1"/>
          <w:lang w:eastAsia="ko-KR"/>
        </w:rPr>
        <w:t>NAFTA</w:t>
      </w:r>
      <w:r w:rsidR="00DC50D8" w:rsidRPr="000E51C9">
        <w:rPr>
          <w:rFonts w:eastAsia="Malgun Gothic"/>
          <w:color w:val="000000" w:themeColor="text1"/>
          <w:lang w:eastAsia="ko-KR"/>
        </w:rPr>
        <w:t>)</w:t>
      </w:r>
      <w:r w:rsidRPr="000E51C9">
        <w:rPr>
          <w:rFonts w:eastAsia="Malgun Gothic"/>
          <w:color w:val="000000" w:themeColor="text1"/>
          <w:lang w:eastAsia="ko-KR"/>
        </w:rPr>
        <w:t xml:space="preserve"> PTAs</w:t>
      </w:r>
      <w:r w:rsidR="00DC50D8" w:rsidRPr="000E51C9">
        <w:rPr>
          <w:rFonts w:eastAsia="Malgun Gothic"/>
          <w:color w:val="000000" w:themeColor="text1"/>
          <w:lang w:eastAsia="ko-KR"/>
        </w:rPr>
        <w:t>,</w:t>
      </w:r>
      <w:r w:rsidRPr="000E51C9">
        <w:rPr>
          <w:rFonts w:eastAsia="Malgun Gothic"/>
          <w:color w:val="000000" w:themeColor="text1"/>
          <w:lang w:eastAsia="ko-KR"/>
        </w:rPr>
        <w:t xml:space="preserve"> we conclude that three categories of countries/</w:t>
      </w:r>
      <w:r w:rsidR="00DC50D8" w:rsidRPr="000E51C9">
        <w:rPr>
          <w:rFonts w:eastAsia="Malgun Gothic"/>
          <w:color w:val="000000" w:themeColor="text1"/>
          <w:lang w:eastAsia="ko-KR"/>
        </w:rPr>
        <w:t>regional economic integration organisations (</w:t>
      </w:r>
      <w:r w:rsidRPr="000E51C9">
        <w:rPr>
          <w:rFonts w:eastAsia="Malgun Gothic"/>
          <w:color w:val="000000" w:themeColor="text1"/>
          <w:lang w:eastAsia="ko-KR"/>
        </w:rPr>
        <w:t>REIOs</w:t>
      </w:r>
      <w:r w:rsidR="00DC50D8" w:rsidRPr="000E51C9">
        <w:rPr>
          <w:rFonts w:eastAsia="Malgun Gothic"/>
          <w:color w:val="000000" w:themeColor="text1"/>
          <w:lang w:eastAsia="ko-KR"/>
        </w:rPr>
        <w:t>)</w:t>
      </w:r>
      <w:r w:rsidRPr="000E51C9">
        <w:rPr>
          <w:rFonts w:eastAsia="Malgun Gothic"/>
          <w:color w:val="000000" w:themeColor="text1"/>
          <w:lang w:eastAsia="ko-KR"/>
        </w:rPr>
        <w:t xml:space="preserve"> exist: those that regularly include investment chapters into their PTAs (Japan,</w:t>
      </w:r>
      <w:r w:rsidR="0073413F" w:rsidRPr="000E51C9">
        <w:rPr>
          <w:rFonts w:eastAsia="Malgun Gothic"/>
          <w:color w:val="000000" w:themeColor="text1"/>
          <w:lang w:eastAsia="ko-KR"/>
        </w:rPr>
        <w:t xml:space="preserve"> </w:t>
      </w:r>
      <w:r w:rsidR="00D64D15" w:rsidRPr="000E51C9">
        <w:rPr>
          <w:rFonts w:eastAsia="Malgun Gothic"/>
          <w:color w:val="000000" w:themeColor="text1"/>
          <w:lang w:eastAsia="ko-KR"/>
        </w:rPr>
        <w:t xml:space="preserve">the </w:t>
      </w:r>
      <w:r w:rsidRPr="000E51C9">
        <w:rPr>
          <w:rFonts w:eastAsia="Malgun Gothic"/>
          <w:color w:val="000000" w:themeColor="text1"/>
          <w:lang w:eastAsia="ko-KR"/>
        </w:rPr>
        <w:t>U</w:t>
      </w:r>
      <w:r w:rsidR="0071458F" w:rsidRPr="000E51C9">
        <w:rPr>
          <w:rFonts w:eastAsia="Malgun Gothic"/>
          <w:color w:val="000000" w:themeColor="text1"/>
          <w:lang w:eastAsia="ko-KR"/>
        </w:rPr>
        <w:t xml:space="preserve">nited </w:t>
      </w:r>
      <w:r w:rsidRPr="000E51C9">
        <w:rPr>
          <w:rFonts w:eastAsia="Malgun Gothic"/>
          <w:color w:val="000000" w:themeColor="text1"/>
          <w:lang w:eastAsia="ko-KR"/>
        </w:rPr>
        <w:t>S</w:t>
      </w:r>
      <w:r w:rsidR="0071458F" w:rsidRPr="000E51C9">
        <w:rPr>
          <w:rFonts w:eastAsia="Malgun Gothic"/>
          <w:color w:val="000000" w:themeColor="text1"/>
          <w:lang w:eastAsia="ko-KR"/>
        </w:rPr>
        <w:t>tates</w:t>
      </w:r>
      <w:r w:rsidRPr="000E51C9">
        <w:rPr>
          <w:rFonts w:eastAsia="Malgun Gothic"/>
          <w:color w:val="000000" w:themeColor="text1"/>
          <w:lang w:eastAsia="ko-KR"/>
        </w:rPr>
        <w:t xml:space="preserve">, Canada, </w:t>
      </w:r>
      <w:r w:rsidR="00D64D15" w:rsidRPr="000E51C9">
        <w:rPr>
          <w:rFonts w:eastAsia="Malgun Gothic"/>
          <w:color w:val="000000" w:themeColor="text1"/>
          <w:lang w:eastAsia="ko-KR"/>
        </w:rPr>
        <w:t xml:space="preserve">the </w:t>
      </w:r>
      <w:r w:rsidR="0071458F" w:rsidRPr="000E51C9">
        <w:rPr>
          <w:rFonts w:eastAsia="Malgun Gothic"/>
          <w:color w:val="000000" w:themeColor="text1"/>
          <w:lang w:eastAsia="ko-KR"/>
        </w:rPr>
        <w:t>Association of Southeast Asian Nations (</w:t>
      </w:r>
      <w:r w:rsidRPr="000E51C9">
        <w:rPr>
          <w:rFonts w:eastAsia="Malgun Gothic"/>
          <w:color w:val="000000" w:themeColor="text1"/>
          <w:lang w:eastAsia="ko-KR"/>
        </w:rPr>
        <w:t>ASEAN</w:t>
      </w:r>
      <w:r w:rsidR="0071458F" w:rsidRPr="000E51C9">
        <w:rPr>
          <w:rFonts w:eastAsia="Malgun Gothic"/>
          <w:color w:val="000000" w:themeColor="text1"/>
          <w:lang w:eastAsia="ko-KR"/>
        </w:rPr>
        <w:t>)</w:t>
      </w:r>
      <w:r w:rsidRPr="000E51C9">
        <w:rPr>
          <w:rFonts w:eastAsia="Malgun Gothic"/>
          <w:color w:val="000000" w:themeColor="text1"/>
          <w:lang w:eastAsia="ko-KR"/>
        </w:rPr>
        <w:t>, Australia</w:t>
      </w:r>
      <w:r w:rsidR="00E7232C" w:rsidRPr="000E51C9">
        <w:rPr>
          <w:rFonts w:eastAsia="Malgun Gothic"/>
          <w:color w:val="000000" w:themeColor="text1"/>
          <w:lang w:eastAsia="ko-KR"/>
        </w:rPr>
        <w:t xml:space="preserve"> and</w:t>
      </w:r>
      <w:r w:rsidRPr="000E51C9">
        <w:rPr>
          <w:rFonts w:eastAsia="Malgun Gothic"/>
          <w:color w:val="000000" w:themeColor="text1"/>
          <w:lang w:eastAsia="ko-KR"/>
        </w:rPr>
        <w:t xml:space="preserve"> </w:t>
      </w:r>
      <w:r w:rsidR="00D64D15" w:rsidRPr="000E51C9">
        <w:rPr>
          <w:rFonts w:eastAsia="Malgun Gothic"/>
          <w:color w:val="000000" w:themeColor="text1"/>
          <w:lang w:eastAsia="ko-KR"/>
        </w:rPr>
        <w:t xml:space="preserve">the </w:t>
      </w:r>
      <w:r w:rsidR="0073413F" w:rsidRPr="000E51C9">
        <w:rPr>
          <w:rFonts w:eastAsia="Malgun Gothic"/>
          <w:color w:val="000000" w:themeColor="text1"/>
          <w:lang w:eastAsia="ko-KR"/>
        </w:rPr>
        <w:t>Caribbean Community (</w:t>
      </w:r>
      <w:r w:rsidRPr="000E51C9">
        <w:rPr>
          <w:rFonts w:eastAsia="Malgun Gothic"/>
          <w:color w:val="000000" w:themeColor="text1"/>
          <w:lang w:eastAsia="ko-KR"/>
        </w:rPr>
        <w:t>CARICOM</w:t>
      </w:r>
      <w:r w:rsidR="0073413F" w:rsidRPr="000E51C9">
        <w:rPr>
          <w:rFonts w:eastAsia="Malgun Gothic"/>
          <w:color w:val="000000" w:themeColor="text1"/>
          <w:lang w:eastAsia="ko-KR"/>
        </w:rPr>
        <w:t>)</w:t>
      </w:r>
      <w:r w:rsidRPr="000E51C9">
        <w:rPr>
          <w:rFonts w:eastAsia="Malgun Gothic"/>
          <w:color w:val="000000" w:themeColor="text1"/>
          <w:lang w:eastAsia="ko-KR"/>
        </w:rPr>
        <w:t xml:space="preserve">), those that are finding their voice in international investment law and increasingly include such chapters (India, China, </w:t>
      </w:r>
      <w:r w:rsidR="00D64D15" w:rsidRPr="000E51C9">
        <w:rPr>
          <w:rFonts w:eastAsia="Malgun Gothic"/>
          <w:color w:val="000000" w:themeColor="text1"/>
          <w:lang w:eastAsia="ko-KR"/>
        </w:rPr>
        <w:t xml:space="preserve">the </w:t>
      </w:r>
      <w:r w:rsidRPr="000E51C9">
        <w:rPr>
          <w:rFonts w:eastAsia="Malgun Gothic"/>
          <w:color w:val="000000" w:themeColor="text1"/>
          <w:lang w:eastAsia="ko-KR"/>
        </w:rPr>
        <w:t>E</w:t>
      </w:r>
      <w:r w:rsidR="0073413F" w:rsidRPr="000E51C9">
        <w:rPr>
          <w:rFonts w:eastAsia="Malgun Gothic"/>
          <w:color w:val="000000" w:themeColor="text1"/>
          <w:lang w:eastAsia="ko-KR"/>
        </w:rPr>
        <w:t xml:space="preserve">uropean </w:t>
      </w:r>
      <w:r w:rsidRPr="000E51C9">
        <w:rPr>
          <w:rFonts w:eastAsia="Malgun Gothic"/>
          <w:color w:val="000000" w:themeColor="text1"/>
          <w:lang w:eastAsia="ko-KR"/>
        </w:rPr>
        <w:t>U</w:t>
      </w:r>
      <w:r w:rsidR="0073413F" w:rsidRPr="000E51C9">
        <w:rPr>
          <w:rFonts w:eastAsia="Malgun Gothic"/>
          <w:color w:val="000000" w:themeColor="text1"/>
          <w:lang w:eastAsia="ko-KR"/>
        </w:rPr>
        <w:t>nion</w:t>
      </w:r>
      <w:r w:rsidR="00E7232C" w:rsidRPr="000E51C9">
        <w:rPr>
          <w:rFonts w:eastAsia="Malgun Gothic"/>
          <w:color w:val="000000" w:themeColor="text1"/>
          <w:lang w:eastAsia="ko-KR"/>
        </w:rPr>
        <w:t xml:space="preserve"> and</w:t>
      </w:r>
      <w:r w:rsidRPr="000E51C9">
        <w:rPr>
          <w:rFonts w:eastAsia="Malgun Gothic"/>
          <w:color w:val="000000" w:themeColor="text1"/>
          <w:lang w:eastAsia="ko-KR"/>
        </w:rPr>
        <w:t xml:space="preserve"> Chile) and those that have an adverse position towards it (Brazil</w:t>
      </w:r>
      <w:r w:rsidR="00E7232C" w:rsidRPr="000E51C9">
        <w:rPr>
          <w:rFonts w:eastAsia="Malgun Gothic"/>
          <w:color w:val="000000" w:themeColor="text1"/>
          <w:lang w:eastAsia="ko-KR"/>
        </w:rPr>
        <w:t xml:space="preserve"> and</w:t>
      </w:r>
      <w:r w:rsidRPr="000E51C9">
        <w:rPr>
          <w:rFonts w:eastAsia="Malgun Gothic"/>
          <w:color w:val="000000" w:themeColor="text1"/>
          <w:lang w:eastAsia="ko-KR"/>
        </w:rPr>
        <w:t xml:space="preserve"> </w:t>
      </w:r>
      <w:r w:rsidR="00D64D15" w:rsidRPr="000E51C9">
        <w:rPr>
          <w:rFonts w:eastAsia="Malgun Gothic"/>
          <w:color w:val="000000" w:themeColor="text1"/>
          <w:lang w:eastAsia="ko-KR"/>
        </w:rPr>
        <w:t xml:space="preserve">the </w:t>
      </w:r>
      <w:r w:rsidR="0073413F" w:rsidRPr="000E51C9">
        <w:rPr>
          <w:rFonts w:eastAsia="Malgun Gothic"/>
          <w:color w:val="000000" w:themeColor="text1"/>
          <w:lang w:eastAsia="ko-KR"/>
        </w:rPr>
        <w:t>Southern Common Market (</w:t>
      </w:r>
      <w:r w:rsidRPr="000E51C9">
        <w:rPr>
          <w:rFonts w:eastAsia="Malgun Gothic"/>
          <w:color w:val="000000" w:themeColor="text1"/>
          <w:lang w:eastAsia="ko-KR"/>
        </w:rPr>
        <w:t>MERCOSUR</w:t>
      </w:r>
      <w:r w:rsidR="0073413F" w:rsidRPr="000E51C9">
        <w:rPr>
          <w:rFonts w:eastAsia="Malgun Gothic"/>
          <w:color w:val="000000" w:themeColor="text1"/>
          <w:lang w:eastAsia="ko-KR"/>
        </w:rPr>
        <w:t>)</w:t>
      </w:r>
      <w:r w:rsidRPr="000E51C9">
        <w:rPr>
          <w:rFonts w:eastAsia="Malgun Gothic"/>
          <w:color w:val="000000" w:themeColor="text1"/>
          <w:lang w:eastAsia="ko-KR"/>
        </w:rPr>
        <w:t xml:space="preserve">) or defer the inclusion of such provisions to further negotiations (African </w:t>
      </w:r>
      <w:proofErr w:type="spellStart"/>
      <w:r w:rsidRPr="000E51C9">
        <w:rPr>
          <w:rFonts w:eastAsia="Malgun Gothic"/>
          <w:color w:val="000000" w:themeColor="text1"/>
          <w:lang w:eastAsia="ko-KR"/>
        </w:rPr>
        <w:t>Plurilaterals</w:t>
      </w:r>
      <w:proofErr w:type="spellEnd"/>
      <w:r w:rsidRPr="000E51C9">
        <w:rPr>
          <w:rFonts w:eastAsia="Malgun Gothic"/>
          <w:color w:val="000000" w:themeColor="text1"/>
          <w:lang w:eastAsia="ko-KR"/>
        </w:rPr>
        <w:t>, Morocco</w:t>
      </w:r>
      <w:r w:rsidR="00E7232C" w:rsidRPr="000E51C9">
        <w:rPr>
          <w:rFonts w:eastAsia="Malgun Gothic"/>
          <w:color w:val="000000" w:themeColor="text1"/>
          <w:lang w:eastAsia="ko-KR"/>
        </w:rPr>
        <w:t xml:space="preserve"> and</w:t>
      </w:r>
      <w:r w:rsidRPr="000E51C9">
        <w:rPr>
          <w:rFonts w:eastAsia="Malgun Gothic"/>
          <w:color w:val="000000" w:themeColor="text1"/>
          <w:lang w:eastAsia="ko-KR"/>
        </w:rPr>
        <w:t xml:space="preserve"> South Africa). Second, we look at the drivers behind including/excluding investment protection provisions into/from PTAs. Some drivers will be readily apparent from the data collected for the purpose of answering the first question, while other drivers will need a more detailed discussion. These drivers are: (a) the weaker party accepts/uses templates of more powerful states; (b) states/REIOs wish to pursue more comprehensive and resource-friendly negotiations; (c) states/REIOs want to achieve a more coherent application of international economic law.</w:t>
      </w:r>
    </w:p>
    <w:p w14:paraId="21C1A9D8" w14:textId="77777777" w:rsidR="00077B1B" w:rsidRPr="000E51C9" w:rsidRDefault="00077B1B" w:rsidP="007D559F">
      <w:pPr>
        <w:spacing w:line="360" w:lineRule="auto"/>
        <w:jc w:val="both"/>
        <w:rPr>
          <w:rFonts w:eastAsia="Malgun Gothic"/>
          <w:b/>
          <w:color w:val="000000" w:themeColor="text1"/>
          <w:lang w:eastAsia="ko-KR"/>
        </w:rPr>
      </w:pPr>
    </w:p>
    <w:p w14:paraId="1D9D75E6" w14:textId="1CB4420D" w:rsidR="00077B1B" w:rsidRPr="000E51C9" w:rsidRDefault="00077B1B" w:rsidP="007D559F">
      <w:pPr>
        <w:spacing w:line="360" w:lineRule="auto"/>
        <w:jc w:val="both"/>
        <w:rPr>
          <w:rFonts w:eastAsia="Malgun Gothic"/>
          <w:b/>
          <w:color w:val="000000" w:themeColor="text1"/>
          <w:lang w:eastAsia="ko-KR"/>
        </w:rPr>
      </w:pPr>
      <w:r w:rsidRPr="000E51C9">
        <w:rPr>
          <w:rFonts w:eastAsia="Malgun Gothic"/>
          <w:b/>
          <w:color w:val="000000" w:themeColor="text1"/>
          <w:lang w:eastAsia="ko-KR"/>
        </w:rPr>
        <w:lastRenderedPageBreak/>
        <w:t xml:space="preserve">Keywords </w:t>
      </w:r>
      <w:r w:rsidRPr="000E51C9">
        <w:rPr>
          <w:rFonts w:eastAsia="Malgun Gothic"/>
          <w:color w:val="000000" w:themeColor="text1"/>
          <w:lang w:eastAsia="ko-KR"/>
        </w:rPr>
        <w:t xml:space="preserve">Preferential </w:t>
      </w:r>
      <w:r w:rsidR="00E7232C" w:rsidRPr="000E51C9">
        <w:rPr>
          <w:rFonts w:eastAsia="Malgun Gothic"/>
          <w:color w:val="000000" w:themeColor="text1"/>
          <w:lang w:eastAsia="ko-KR"/>
        </w:rPr>
        <w:t>t</w:t>
      </w:r>
      <w:r w:rsidRPr="000E51C9">
        <w:rPr>
          <w:rFonts w:eastAsia="Malgun Gothic"/>
          <w:color w:val="000000" w:themeColor="text1"/>
          <w:lang w:eastAsia="ko-KR"/>
        </w:rPr>
        <w:t xml:space="preserve">rade </w:t>
      </w:r>
      <w:r w:rsidR="00E7232C" w:rsidRPr="000E51C9">
        <w:rPr>
          <w:rFonts w:eastAsia="Malgun Gothic"/>
          <w:color w:val="000000" w:themeColor="text1"/>
          <w:lang w:eastAsia="ko-KR"/>
        </w:rPr>
        <w:t>a</w:t>
      </w:r>
      <w:r w:rsidRPr="000E51C9">
        <w:rPr>
          <w:rFonts w:eastAsia="Malgun Gothic"/>
          <w:color w:val="000000" w:themeColor="text1"/>
          <w:lang w:eastAsia="ko-KR"/>
        </w:rPr>
        <w:t>greements</w:t>
      </w:r>
      <w:r w:rsidRPr="000E51C9">
        <w:t xml:space="preserve"> ∙ </w:t>
      </w:r>
      <w:r w:rsidRPr="000E51C9">
        <w:rPr>
          <w:rFonts w:eastAsia="Malgun Gothic"/>
          <w:color w:val="000000" w:themeColor="text1"/>
          <w:lang w:eastAsia="ko-KR"/>
        </w:rPr>
        <w:t xml:space="preserve">Investment </w:t>
      </w:r>
      <w:r w:rsidR="00E7232C" w:rsidRPr="000E51C9">
        <w:rPr>
          <w:rFonts w:eastAsia="Malgun Gothic"/>
          <w:color w:val="000000" w:themeColor="text1"/>
          <w:lang w:eastAsia="ko-KR"/>
        </w:rPr>
        <w:t>c</w:t>
      </w:r>
      <w:r w:rsidRPr="000E51C9">
        <w:rPr>
          <w:rFonts w:eastAsia="Malgun Gothic"/>
          <w:color w:val="000000" w:themeColor="text1"/>
          <w:lang w:eastAsia="ko-KR"/>
        </w:rPr>
        <w:t>hapters</w:t>
      </w:r>
      <w:r w:rsidRPr="000E51C9">
        <w:t xml:space="preserve"> ∙ </w:t>
      </w:r>
      <w:r w:rsidR="0087135B" w:rsidRPr="000E51C9">
        <w:t xml:space="preserve">ISDS ∙ </w:t>
      </w:r>
      <w:r w:rsidRPr="000E51C9">
        <w:rPr>
          <w:rFonts w:eastAsia="Malgun Gothic"/>
          <w:color w:val="000000" w:themeColor="text1"/>
          <w:lang w:eastAsia="ko-KR"/>
        </w:rPr>
        <w:t xml:space="preserve">Global and </w:t>
      </w:r>
      <w:r w:rsidR="00E7232C" w:rsidRPr="000E51C9">
        <w:rPr>
          <w:rFonts w:eastAsia="Malgun Gothic"/>
          <w:color w:val="000000" w:themeColor="text1"/>
          <w:lang w:eastAsia="ko-KR"/>
        </w:rPr>
        <w:t>r</w:t>
      </w:r>
      <w:r w:rsidRPr="000E51C9">
        <w:rPr>
          <w:rFonts w:eastAsia="Malgun Gothic"/>
          <w:color w:val="000000" w:themeColor="text1"/>
          <w:lang w:eastAsia="ko-KR"/>
        </w:rPr>
        <w:t xml:space="preserve">egional </w:t>
      </w:r>
      <w:r w:rsidR="00E7232C" w:rsidRPr="000E51C9">
        <w:rPr>
          <w:rFonts w:eastAsia="Malgun Gothic"/>
          <w:color w:val="000000" w:themeColor="text1"/>
          <w:lang w:eastAsia="ko-KR"/>
        </w:rPr>
        <w:t>t</w:t>
      </w:r>
      <w:r w:rsidRPr="000E51C9">
        <w:rPr>
          <w:rFonts w:eastAsia="Malgun Gothic"/>
          <w:color w:val="000000" w:themeColor="text1"/>
          <w:lang w:eastAsia="ko-KR"/>
        </w:rPr>
        <w:t>rends</w:t>
      </w:r>
      <w:r w:rsidRPr="000E51C9">
        <w:t xml:space="preserve"> ∙ </w:t>
      </w:r>
      <w:r w:rsidRPr="000E51C9">
        <w:rPr>
          <w:rFonts w:eastAsia="Malgun Gothic"/>
          <w:color w:val="000000" w:themeColor="text1"/>
          <w:lang w:eastAsia="ko-KR"/>
        </w:rPr>
        <w:t>Drivers</w:t>
      </w:r>
      <w:r w:rsidR="0087135B" w:rsidRPr="000E51C9">
        <w:rPr>
          <w:rFonts w:eastAsia="Malgun Gothic"/>
          <w:color w:val="000000" w:themeColor="text1"/>
          <w:lang w:eastAsia="ko-KR"/>
        </w:rPr>
        <w:t xml:space="preserve"> </w:t>
      </w:r>
      <w:r w:rsidR="0087135B" w:rsidRPr="000E51C9">
        <w:t>∙ Coherency</w:t>
      </w:r>
      <w:r w:rsidR="0087135B" w:rsidRPr="000E51C9">
        <w:rPr>
          <w:lang w:val="en-US"/>
        </w:rPr>
        <w:t xml:space="preserve"> </w:t>
      </w:r>
      <w:r w:rsidR="0087135B" w:rsidRPr="000E51C9">
        <w:t xml:space="preserve">∙ Existing Templates ∙ </w:t>
      </w:r>
      <w:r w:rsidRPr="000E51C9">
        <w:rPr>
          <w:rFonts w:eastAsia="Malgun Gothic"/>
          <w:b/>
          <w:color w:val="000000" w:themeColor="text1"/>
          <w:lang w:eastAsia="ko-KR"/>
        </w:rPr>
        <w:t xml:space="preserve">  </w:t>
      </w:r>
    </w:p>
    <w:p w14:paraId="36E69BE8" w14:textId="77777777" w:rsidR="00093893" w:rsidRPr="000E51C9" w:rsidRDefault="00093893" w:rsidP="00163F2E">
      <w:pPr>
        <w:spacing w:line="360" w:lineRule="auto"/>
        <w:jc w:val="center"/>
        <w:rPr>
          <w:i/>
        </w:rPr>
      </w:pPr>
    </w:p>
    <w:p w14:paraId="38EEB90B" w14:textId="77777777" w:rsidR="00B73C99" w:rsidRPr="000E51C9" w:rsidRDefault="00B73C99" w:rsidP="00163F2E">
      <w:pPr>
        <w:spacing w:line="360" w:lineRule="auto"/>
        <w:jc w:val="center"/>
        <w:rPr>
          <w:i/>
        </w:rPr>
      </w:pPr>
    </w:p>
    <w:sdt>
      <w:sdtPr>
        <w:rPr>
          <w:rFonts w:eastAsiaTheme="minorEastAsia" w:cs="Times New Roman"/>
          <w:b w:val="0"/>
          <w:szCs w:val="24"/>
          <w:lang w:val="en-GB" w:eastAsia="en-GB"/>
        </w:rPr>
        <w:id w:val="1223720372"/>
        <w:docPartObj>
          <w:docPartGallery w:val="Table of Contents"/>
          <w:docPartUnique/>
        </w:docPartObj>
      </w:sdtPr>
      <w:sdtEndPr>
        <w:rPr>
          <w:bCs/>
          <w:noProof/>
        </w:rPr>
      </w:sdtEndPr>
      <w:sdtContent>
        <w:p w14:paraId="6855C96D" w14:textId="0192A8AE" w:rsidR="004420D6" w:rsidRPr="000E51C9" w:rsidRDefault="009647E9" w:rsidP="007D559F">
          <w:pPr>
            <w:pStyle w:val="Inhaltsverzeichnisberschrift"/>
            <w:numPr>
              <w:ilvl w:val="0"/>
              <w:numId w:val="0"/>
            </w:numPr>
            <w:spacing w:before="0" w:after="0" w:line="360" w:lineRule="auto"/>
            <w:rPr>
              <w:lang w:val="en-GB"/>
            </w:rPr>
          </w:pPr>
          <w:r w:rsidRPr="000E51C9">
            <w:rPr>
              <w:rFonts w:cs="Times New Roman"/>
              <w:lang w:val="en-GB"/>
            </w:rPr>
            <w:t>Contents</w:t>
          </w:r>
        </w:p>
        <w:p w14:paraId="055C4557" w14:textId="77777777" w:rsidR="007D559F" w:rsidRPr="000E51C9" w:rsidRDefault="009647E9" w:rsidP="007D559F">
          <w:pPr>
            <w:pStyle w:val="Verzeichnis1"/>
            <w:tabs>
              <w:tab w:val="right" w:leader="dot" w:pos="9170"/>
            </w:tabs>
            <w:spacing w:line="240" w:lineRule="auto"/>
            <w:rPr>
              <w:rFonts w:asciiTheme="minorHAnsi" w:hAnsiTheme="minorHAnsi" w:cstheme="minorBidi"/>
              <w:noProof/>
              <w:sz w:val="22"/>
              <w:szCs w:val="22"/>
              <w:lang w:eastAsia="zh-CN"/>
            </w:rPr>
          </w:pPr>
          <w:r w:rsidRPr="000E51C9">
            <w:fldChar w:fldCharType="begin"/>
          </w:r>
          <w:r w:rsidRPr="000E51C9">
            <w:instrText xml:space="preserve"> TOC \o "1-3" \h \z \u </w:instrText>
          </w:r>
          <w:r w:rsidRPr="000E51C9">
            <w:fldChar w:fldCharType="separate"/>
          </w:r>
          <w:hyperlink w:anchor="_Toc497733677" w:history="1">
            <w:r w:rsidR="007D559F" w:rsidRPr="000E51C9">
              <w:rPr>
                <w:rStyle w:val="Hyperlink"/>
                <w:noProof/>
              </w:rPr>
              <w:t>X.1 Introduction</w:t>
            </w:r>
            <w:r w:rsidR="007D559F" w:rsidRPr="000E51C9">
              <w:rPr>
                <w:noProof/>
                <w:webHidden/>
              </w:rPr>
              <w:tab/>
            </w:r>
            <w:r w:rsidR="007D559F" w:rsidRPr="000E51C9">
              <w:rPr>
                <w:noProof/>
                <w:webHidden/>
              </w:rPr>
              <w:fldChar w:fldCharType="begin"/>
            </w:r>
            <w:r w:rsidR="007D559F" w:rsidRPr="000E51C9">
              <w:rPr>
                <w:noProof/>
                <w:webHidden/>
              </w:rPr>
              <w:instrText xml:space="preserve"> PAGEREF _Toc497733677 \h </w:instrText>
            </w:r>
            <w:r w:rsidR="007D559F" w:rsidRPr="000E51C9">
              <w:rPr>
                <w:noProof/>
                <w:webHidden/>
              </w:rPr>
            </w:r>
            <w:r w:rsidR="007D559F" w:rsidRPr="000E51C9">
              <w:rPr>
                <w:noProof/>
                <w:webHidden/>
              </w:rPr>
              <w:fldChar w:fldCharType="separate"/>
            </w:r>
            <w:r w:rsidR="007D559F" w:rsidRPr="000E51C9">
              <w:rPr>
                <w:noProof/>
                <w:webHidden/>
              </w:rPr>
              <w:t>2</w:t>
            </w:r>
            <w:r w:rsidR="007D559F" w:rsidRPr="000E51C9">
              <w:rPr>
                <w:noProof/>
                <w:webHidden/>
              </w:rPr>
              <w:fldChar w:fldCharType="end"/>
            </w:r>
          </w:hyperlink>
        </w:p>
        <w:p w14:paraId="3FDCCE9B" w14:textId="77777777" w:rsidR="007D559F" w:rsidRPr="000E51C9" w:rsidRDefault="007D559F" w:rsidP="007D559F">
          <w:pPr>
            <w:pStyle w:val="Verzeichnis1"/>
            <w:tabs>
              <w:tab w:val="right" w:leader="dot" w:pos="9170"/>
            </w:tabs>
            <w:spacing w:line="240" w:lineRule="auto"/>
            <w:rPr>
              <w:rFonts w:asciiTheme="minorHAnsi" w:hAnsiTheme="minorHAnsi" w:cstheme="minorBidi"/>
              <w:noProof/>
              <w:sz w:val="22"/>
              <w:szCs w:val="22"/>
              <w:lang w:eastAsia="zh-CN"/>
            </w:rPr>
          </w:pPr>
          <w:hyperlink w:anchor="_Toc497733678" w:history="1">
            <w:r w:rsidRPr="000E51C9">
              <w:rPr>
                <w:rStyle w:val="Hyperlink"/>
                <w:noProof/>
              </w:rPr>
              <w:t>X.2 Is There a Growing Tendency of Including Investment Chapters into PTAs?</w:t>
            </w:r>
            <w:r w:rsidRPr="000E51C9">
              <w:rPr>
                <w:noProof/>
                <w:webHidden/>
              </w:rPr>
              <w:tab/>
            </w:r>
            <w:r w:rsidRPr="000E51C9">
              <w:rPr>
                <w:noProof/>
                <w:webHidden/>
              </w:rPr>
              <w:fldChar w:fldCharType="begin"/>
            </w:r>
            <w:r w:rsidRPr="000E51C9">
              <w:rPr>
                <w:noProof/>
                <w:webHidden/>
              </w:rPr>
              <w:instrText xml:space="preserve"> PAGEREF _Toc497733678 \h </w:instrText>
            </w:r>
            <w:r w:rsidRPr="000E51C9">
              <w:rPr>
                <w:noProof/>
                <w:webHidden/>
              </w:rPr>
            </w:r>
            <w:r w:rsidRPr="000E51C9">
              <w:rPr>
                <w:noProof/>
                <w:webHidden/>
              </w:rPr>
              <w:fldChar w:fldCharType="separate"/>
            </w:r>
            <w:r w:rsidRPr="000E51C9">
              <w:rPr>
                <w:noProof/>
                <w:webHidden/>
              </w:rPr>
              <w:t>4</w:t>
            </w:r>
            <w:r w:rsidRPr="000E51C9">
              <w:rPr>
                <w:noProof/>
                <w:webHidden/>
              </w:rPr>
              <w:fldChar w:fldCharType="end"/>
            </w:r>
          </w:hyperlink>
        </w:p>
        <w:p w14:paraId="14EEEC66" w14:textId="77777777" w:rsidR="007D559F" w:rsidRPr="000E51C9" w:rsidRDefault="007D559F" w:rsidP="007D559F">
          <w:pPr>
            <w:pStyle w:val="Verzeichnis2"/>
            <w:tabs>
              <w:tab w:val="right" w:leader="dot" w:pos="9170"/>
            </w:tabs>
            <w:spacing w:line="240" w:lineRule="auto"/>
            <w:rPr>
              <w:rFonts w:asciiTheme="minorHAnsi" w:hAnsiTheme="minorHAnsi" w:cstheme="minorBidi"/>
              <w:noProof/>
              <w:sz w:val="22"/>
              <w:szCs w:val="22"/>
              <w:lang w:eastAsia="zh-CN"/>
            </w:rPr>
          </w:pPr>
          <w:hyperlink w:anchor="_Toc497733679" w:history="1">
            <w:r w:rsidRPr="000E51C9">
              <w:rPr>
                <w:rStyle w:val="Hyperlink"/>
                <w:noProof/>
              </w:rPr>
              <w:t>X.2.1 How is the Data Gathered?</w:t>
            </w:r>
            <w:r w:rsidRPr="000E51C9">
              <w:rPr>
                <w:noProof/>
                <w:webHidden/>
              </w:rPr>
              <w:tab/>
            </w:r>
            <w:r w:rsidRPr="000E51C9">
              <w:rPr>
                <w:noProof/>
                <w:webHidden/>
              </w:rPr>
              <w:fldChar w:fldCharType="begin"/>
            </w:r>
            <w:r w:rsidRPr="000E51C9">
              <w:rPr>
                <w:noProof/>
                <w:webHidden/>
              </w:rPr>
              <w:instrText xml:space="preserve"> PAGEREF _Toc497733679 \h </w:instrText>
            </w:r>
            <w:r w:rsidRPr="000E51C9">
              <w:rPr>
                <w:noProof/>
                <w:webHidden/>
              </w:rPr>
            </w:r>
            <w:r w:rsidRPr="000E51C9">
              <w:rPr>
                <w:noProof/>
                <w:webHidden/>
              </w:rPr>
              <w:fldChar w:fldCharType="separate"/>
            </w:r>
            <w:r w:rsidRPr="000E51C9">
              <w:rPr>
                <w:noProof/>
                <w:webHidden/>
              </w:rPr>
              <w:t>4</w:t>
            </w:r>
            <w:r w:rsidRPr="000E51C9">
              <w:rPr>
                <w:noProof/>
                <w:webHidden/>
              </w:rPr>
              <w:fldChar w:fldCharType="end"/>
            </w:r>
          </w:hyperlink>
        </w:p>
        <w:p w14:paraId="2CEFC199" w14:textId="77777777" w:rsidR="007D559F" w:rsidRPr="000E51C9" w:rsidRDefault="007D559F" w:rsidP="007D559F">
          <w:pPr>
            <w:pStyle w:val="Verzeichnis2"/>
            <w:tabs>
              <w:tab w:val="right" w:leader="dot" w:pos="9170"/>
            </w:tabs>
            <w:spacing w:line="240" w:lineRule="auto"/>
            <w:rPr>
              <w:rFonts w:asciiTheme="minorHAnsi" w:hAnsiTheme="minorHAnsi" w:cstheme="minorBidi"/>
              <w:noProof/>
              <w:sz w:val="22"/>
              <w:szCs w:val="22"/>
              <w:lang w:eastAsia="zh-CN"/>
            </w:rPr>
          </w:pPr>
          <w:hyperlink w:anchor="_Toc497733680" w:history="1">
            <w:r w:rsidRPr="000E51C9">
              <w:rPr>
                <w:rStyle w:val="Hyperlink"/>
                <w:noProof/>
              </w:rPr>
              <w:t>X.2.2 The North-Atlantic</w:t>
            </w:r>
            <w:r w:rsidRPr="000E51C9">
              <w:rPr>
                <w:noProof/>
                <w:webHidden/>
              </w:rPr>
              <w:tab/>
            </w:r>
            <w:r w:rsidRPr="000E51C9">
              <w:rPr>
                <w:noProof/>
                <w:webHidden/>
              </w:rPr>
              <w:fldChar w:fldCharType="begin"/>
            </w:r>
            <w:r w:rsidRPr="000E51C9">
              <w:rPr>
                <w:noProof/>
                <w:webHidden/>
              </w:rPr>
              <w:instrText xml:space="preserve"> PAGEREF _Toc497733680 \h </w:instrText>
            </w:r>
            <w:r w:rsidRPr="000E51C9">
              <w:rPr>
                <w:noProof/>
                <w:webHidden/>
              </w:rPr>
            </w:r>
            <w:r w:rsidRPr="000E51C9">
              <w:rPr>
                <w:noProof/>
                <w:webHidden/>
              </w:rPr>
              <w:fldChar w:fldCharType="separate"/>
            </w:r>
            <w:r w:rsidRPr="000E51C9">
              <w:rPr>
                <w:noProof/>
                <w:webHidden/>
              </w:rPr>
              <w:t>6</w:t>
            </w:r>
            <w:r w:rsidRPr="000E51C9">
              <w:rPr>
                <w:noProof/>
                <w:webHidden/>
              </w:rPr>
              <w:fldChar w:fldCharType="end"/>
            </w:r>
          </w:hyperlink>
        </w:p>
        <w:p w14:paraId="04E2DB6F" w14:textId="77777777" w:rsidR="007D559F" w:rsidRPr="000E51C9" w:rsidRDefault="007D559F" w:rsidP="007D559F">
          <w:pPr>
            <w:pStyle w:val="Verzeichnis2"/>
            <w:tabs>
              <w:tab w:val="right" w:leader="dot" w:pos="9170"/>
            </w:tabs>
            <w:spacing w:line="240" w:lineRule="auto"/>
            <w:rPr>
              <w:rFonts w:asciiTheme="minorHAnsi" w:hAnsiTheme="minorHAnsi" w:cstheme="minorBidi"/>
              <w:noProof/>
              <w:sz w:val="22"/>
              <w:szCs w:val="22"/>
              <w:lang w:eastAsia="zh-CN"/>
            </w:rPr>
          </w:pPr>
          <w:hyperlink w:anchor="_Toc497733681" w:history="1">
            <w:r w:rsidRPr="000E51C9">
              <w:rPr>
                <w:rStyle w:val="Hyperlink"/>
                <w:noProof/>
              </w:rPr>
              <w:t>X.2.3 Asia-Pacific</w:t>
            </w:r>
            <w:r w:rsidRPr="000E51C9">
              <w:rPr>
                <w:noProof/>
                <w:webHidden/>
              </w:rPr>
              <w:tab/>
            </w:r>
            <w:r w:rsidRPr="000E51C9">
              <w:rPr>
                <w:noProof/>
                <w:webHidden/>
              </w:rPr>
              <w:fldChar w:fldCharType="begin"/>
            </w:r>
            <w:r w:rsidRPr="000E51C9">
              <w:rPr>
                <w:noProof/>
                <w:webHidden/>
              </w:rPr>
              <w:instrText xml:space="preserve"> PAGEREF _Toc497733681 \h </w:instrText>
            </w:r>
            <w:r w:rsidRPr="000E51C9">
              <w:rPr>
                <w:noProof/>
                <w:webHidden/>
              </w:rPr>
            </w:r>
            <w:r w:rsidRPr="000E51C9">
              <w:rPr>
                <w:noProof/>
                <w:webHidden/>
              </w:rPr>
              <w:fldChar w:fldCharType="separate"/>
            </w:r>
            <w:r w:rsidRPr="000E51C9">
              <w:rPr>
                <w:noProof/>
                <w:webHidden/>
              </w:rPr>
              <w:t>11</w:t>
            </w:r>
            <w:r w:rsidRPr="000E51C9">
              <w:rPr>
                <w:noProof/>
                <w:webHidden/>
              </w:rPr>
              <w:fldChar w:fldCharType="end"/>
            </w:r>
          </w:hyperlink>
        </w:p>
        <w:p w14:paraId="0E08E46E" w14:textId="77777777" w:rsidR="007D559F" w:rsidRPr="000E51C9" w:rsidRDefault="007D559F" w:rsidP="007D559F">
          <w:pPr>
            <w:pStyle w:val="Verzeichnis2"/>
            <w:tabs>
              <w:tab w:val="right" w:leader="dot" w:pos="9170"/>
            </w:tabs>
            <w:spacing w:line="240" w:lineRule="auto"/>
            <w:rPr>
              <w:rFonts w:asciiTheme="minorHAnsi" w:hAnsiTheme="minorHAnsi" w:cstheme="minorBidi"/>
              <w:noProof/>
              <w:sz w:val="22"/>
              <w:szCs w:val="22"/>
              <w:lang w:eastAsia="zh-CN"/>
            </w:rPr>
          </w:pPr>
          <w:hyperlink w:anchor="_Toc497733682" w:history="1">
            <w:r w:rsidRPr="000E51C9">
              <w:rPr>
                <w:rStyle w:val="Hyperlink"/>
                <w:noProof/>
              </w:rPr>
              <w:t>X.2.4 Latin America</w:t>
            </w:r>
            <w:r w:rsidRPr="000E51C9">
              <w:rPr>
                <w:noProof/>
                <w:webHidden/>
              </w:rPr>
              <w:tab/>
            </w:r>
            <w:r w:rsidRPr="000E51C9">
              <w:rPr>
                <w:noProof/>
                <w:webHidden/>
              </w:rPr>
              <w:fldChar w:fldCharType="begin"/>
            </w:r>
            <w:r w:rsidRPr="000E51C9">
              <w:rPr>
                <w:noProof/>
                <w:webHidden/>
              </w:rPr>
              <w:instrText xml:space="preserve"> PAGEREF _Toc497733682 \h </w:instrText>
            </w:r>
            <w:r w:rsidRPr="000E51C9">
              <w:rPr>
                <w:noProof/>
                <w:webHidden/>
              </w:rPr>
            </w:r>
            <w:r w:rsidRPr="000E51C9">
              <w:rPr>
                <w:noProof/>
                <w:webHidden/>
              </w:rPr>
              <w:fldChar w:fldCharType="separate"/>
            </w:r>
            <w:r w:rsidRPr="000E51C9">
              <w:rPr>
                <w:noProof/>
                <w:webHidden/>
              </w:rPr>
              <w:t>15</w:t>
            </w:r>
            <w:r w:rsidRPr="000E51C9">
              <w:rPr>
                <w:noProof/>
                <w:webHidden/>
              </w:rPr>
              <w:fldChar w:fldCharType="end"/>
            </w:r>
          </w:hyperlink>
        </w:p>
        <w:p w14:paraId="062FFECC" w14:textId="77777777" w:rsidR="007D559F" w:rsidRPr="000E51C9" w:rsidRDefault="007D559F" w:rsidP="007D559F">
          <w:pPr>
            <w:pStyle w:val="Verzeichnis2"/>
            <w:tabs>
              <w:tab w:val="right" w:leader="dot" w:pos="9170"/>
            </w:tabs>
            <w:spacing w:line="240" w:lineRule="auto"/>
            <w:rPr>
              <w:rFonts w:asciiTheme="minorHAnsi" w:hAnsiTheme="minorHAnsi" w:cstheme="minorBidi"/>
              <w:noProof/>
              <w:sz w:val="22"/>
              <w:szCs w:val="22"/>
              <w:lang w:eastAsia="zh-CN"/>
            </w:rPr>
          </w:pPr>
          <w:hyperlink w:anchor="_Toc497733683" w:history="1">
            <w:r w:rsidRPr="000E51C9">
              <w:rPr>
                <w:rStyle w:val="Hyperlink"/>
                <w:noProof/>
              </w:rPr>
              <w:t>X.2.5 Africa</w:t>
            </w:r>
            <w:r w:rsidRPr="000E51C9">
              <w:rPr>
                <w:noProof/>
                <w:webHidden/>
              </w:rPr>
              <w:tab/>
            </w:r>
            <w:r w:rsidRPr="000E51C9">
              <w:rPr>
                <w:noProof/>
                <w:webHidden/>
              </w:rPr>
              <w:fldChar w:fldCharType="begin"/>
            </w:r>
            <w:r w:rsidRPr="000E51C9">
              <w:rPr>
                <w:noProof/>
                <w:webHidden/>
              </w:rPr>
              <w:instrText xml:space="preserve"> PAGEREF _Toc497733683 \h </w:instrText>
            </w:r>
            <w:r w:rsidRPr="000E51C9">
              <w:rPr>
                <w:noProof/>
                <w:webHidden/>
              </w:rPr>
            </w:r>
            <w:r w:rsidRPr="000E51C9">
              <w:rPr>
                <w:noProof/>
                <w:webHidden/>
              </w:rPr>
              <w:fldChar w:fldCharType="separate"/>
            </w:r>
            <w:r w:rsidRPr="000E51C9">
              <w:rPr>
                <w:noProof/>
                <w:webHidden/>
              </w:rPr>
              <w:t>18</w:t>
            </w:r>
            <w:r w:rsidRPr="000E51C9">
              <w:rPr>
                <w:noProof/>
                <w:webHidden/>
              </w:rPr>
              <w:fldChar w:fldCharType="end"/>
            </w:r>
          </w:hyperlink>
        </w:p>
        <w:p w14:paraId="7A4E7960" w14:textId="77777777" w:rsidR="007D559F" w:rsidRPr="000E51C9" w:rsidRDefault="007D559F" w:rsidP="007D559F">
          <w:pPr>
            <w:pStyle w:val="Verzeichnis2"/>
            <w:tabs>
              <w:tab w:val="right" w:leader="dot" w:pos="9170"/>
            </w:tabs>
            <w:spacing w:line="240" w:lineRule="auto"/>
            <w:rPr>
              <w:rFonts w:asciiTheme="minorHAnsi" w:hAnsiTheme="minorHAnsi" w:cstheme="minorBidi"/>
              <w:noProof/>
              <w:sz w:val="22"/>
              <w:szCs w:val="22"/>
              <w:lang w:eastAsia="zh-CN"/>
            </w:rPr>
          </w:pPr>
          <w:hyperlink w:anchor="_Toc497733684" w:history="1">
            <w:r w:rsidRPr="000E51C9">
              <w:rPr>
                <w:rStyle w:val="Hyperlink"/>
                <w:noProof/>
              </w:rPr>
              <w:t>X.2.6 Interim Conclusions</w:t>
            </w:r>
            <w:r w:rsidRPr="000E51C9">
              <w:rPr>
                <w:noProof/>
                <w:webHidden/>
              </w:rPr>
              <w:tab/>
            </w:r>
            <w:r w:rsidRPr="000E51C9">
              <w:rPr>
                <w:noProof/>
                <w:webHidden/>
              </w:rPr>
              <w:fldChar w:fldCharType="begin"/>
            </w:r>
            <w:r w:rsidRPr="000E51C9">
              <w:rPr>
                <w:noProof/>
                <w:webHidden/>
              </w:rPr>
              <w:instrText xml:space="preserve"> PAGEREF _Toc497733684 \h </w:instrText>
            </w:r>
            <w:r w:rsidRPr="000E51C9">
              <w:rPr>
                <w:noProof/>
                <w:webHidden/>
              </w:rPr>
            </w:r>
            <w:r w:rsidRPr="000E51C9">
              <w:rPr>
                <w:noProof/>
                <w:webHidden/>
              </w:rPr>
              <w:fldChar w:fldCharType="separate"/>
            </w:r>
            <w:r w:rsidRPr="000E51C9">
              <w:rPr>
                <w:noProof/>
                <w:webHidden/>
              </w:rPr>
              <w:t>21</w:t>
            </w:r>
            <w:r w:rsidRPr="000E51C9">
              <w:rPr>
                <w:noProof/>
                <w:webHidden/>
              </w:rPr>
              <w:fldChar w:fldCharType="end"/>
            </w:r>
          </w:hyperlink>
        </w:p>
        <w:p w14:paraId="2F934A97" w14:textId="77777777" w:rsidR="007D559F" w:rsidRPr="000E51C9" w:rsidRDefault="007D559F" w:rsidP="007D559F">
          <w:pPr>
            <w:pStyle w:val="Verzeichnis1"/>
            <w:tabs>
              <w:tab w:val="right" w:leader="dot" w:pos="9170"/>
            </w:tabs>
            <w:spacing w:line="240" w:lineRule="auto"/>
            <w:rPr>
              <w:rFonts w:asciiTheme="minorHAnsi" w:hAnsiTheme="minorHAnsi" w:cstheme="minorBidi"/>
              <w:noProof/>
              <w:sz w:val="22"/>
              <w:szCs w:val="22"/>
              <w:lang w:eastAsia="zh-CN"/>
            </w:rPr>
          </w:pPr>
          <w:hyperlink w:anchor="_Toc497733685" w:history="1">
            <w:r w:rsidRPr="000E51C9">
              <w:rPr>
                <w:rStyle w:val="Hyperlink"/>
                <w:noProof/>
              </w:rPr>
              <w:t>X.3 Potential Drivers behind the Inclusion/Exclusion of Investment Chapters into/from PTAs and Their Implications.</w:t>
            </w:r>
            <w:r w:rsidRPr="000E51C9">
              <w:rPr>
                <w:noProof/>
                <w:webHidden/>
              </w:rPr>
              <w:tab/>
            </w:r>
            <w:r w:rsidRPr="000E51C9">
              <w:rPr>
                <w:noProof/>
                <w:webHidden/>
              </w:rPr>
              <w:fldChar w:fldCharType="begin"/>
            </w:r>
            <w:r w:rsidRPr="000E51C9">
              <w:rPr>
                <w:noProof/>
                <w:webHidden/>
              </w:rPr>
              <w:instrText xml:space="preserve"> PAGEREF _Toc497733685 \h </w:instrText>
            </w:r>
            <w:r w:rsidRPr="000E51C9">
              <w:rPr>
                <w:noProof/>
                <w:webHidden/>
              </w:rPr>
            </w:r>
            <w:r w:rsidRPr="000E51C9">
              <w:rPr>
                <w:noProof/>
                <w:webHidden/>
              </w:rPr>
              <w:fldChar w:fldCharType="separate"/>
            </w:r>
            <w:r w:rsidRPr="000E51C9">
              <w:rPr>
                <w:noProof/>
                <w:webHidden/>
              </w:rPr>
              <w:t>21</w:t>
            </w:r>
            <w:r w:rsidRPr="000E51C9">
              <w:rPr>
                <w:noProof/>
                <w:webHidden/>
              </w:rPr>
              <w:fldChar w:fldCharType="end"/>
            </w:r>
          </w:hyperlink>
        </w:p>
        <w:p w14:paraId="40A1604B" w14:textId="77777777" w:rsidR="007D559F" w:rsidRPr="000E51C9" w:rsidRDefault="007D559F" w:rsidP="007D559F">
          <w:pPr>
            <w:pStyle w:val="Verzeichnis2"/>
            <w:tabs>
              <w:tab w:val="right" w:leader="dot" w:pos="9170"/>
            </w:tabs>
            <w:spacing w:line="240" w:lineRule="auto"/>
            <w:rPr>
              <w:rFonts w:asciiTheme="minorHAnsi" w:hAnsiTheme="minorHAnsi" w:cstheme="minorBidi"/>
              <w:noProof/>
              <w:sz w:val="22"/>
              <w:szCs w:val="22"/>
              <w:lang w:eastAsia="zh-CN"/>
            </w:rPr>
          </w:pPr>
          <w:hyperlink w:anchor="_Toc497733686" w:history="1">
            <w:r w:rsidRPr="000E51C9">
              <w:rPr>
                <w:rStyle w:val="Hyperlink"/>
                <w:noProof/>
              </w:rPr>
              <w:t>X.3.1 Readily Apparent Drivers</w:t>
            </w:r>
            <w:r w:rsidRPr="000E51C9">
              <w:rPr>
                <w:noProof/>
                <w:webHidden/>
              </w:rPr>
              <w:tab/>
            </w:r>
            <w:r w:rsidRPr="000E51C9">
              <w:rPr>
                <w:noProof/>
                <w:webHidden/>
              </w:rPr>
              <w:fldChar w:fldCharType="begin"/>
            </w:r>
            <w:r w:rsidRPr="000E51C9">
              <w:rPr>
                <w:noProof/>
                <w:webHidden/>
              </w:rPr>
              <w:instrText xml:space="preserve"> PAGEREF _Toc497733686 \h </w:instrText>
            </w:r>
            <w:r w:rsidRPr="000E51C9">
              <w:rPr>
                <w:noProof/>
                <w:webHidden/>
              </w:rPr>
            </w:r>
            <w:r w:rsidRPr="000E51C9">
              <w:rPr>
                <w:noProof/>
                <w:webHidden/>
              </w:rPr>
              <w:fldChar w:fldCharType="separate"/>
            </w:r>
            <w:r w:rsidRPr="000E51C9">
              <w:rPr>
                <w:noProof/>
                <w:webHidden/>
              </w:rPr>
              <w:t>22</w:t>
            </w:r>
            <w:r w:rsidRPr="000E51C9">
              <w:rPr>
                <w:noProof/>
                <w:webHidden/>
              </w:rPr>
              <w:fldChar w:fldCharType="end"/>
            </w:r>
          </w:hyperlink>
        </w:p>
        <w:p w14:paraId="09F7E422" w14:textId="77777777" w:rsidR="007D559F" w:rsidRPr="000E51C9" w:rsidRDefault="007D559F" w:rsidP="007D559F">
          <w:pPr>
            <w:pStyle w:val="Verzeichnis2"/>
            <w:tabs>
              <w:tab w:val="right" w:leader="dot" w:pos="9170"/>
            </w:tabs>
            <w:spacing w:line="240" w:lineRule="auto"/>
            <w:rPr>
              <w:rFonts w:asciiTheme="minorHAnsi" w:hAnsiTheme="minorHAnsi" w:cstheme="minorBidi"/>
              <w:noProof/>
              <w:sz w:val="22"/>
              <w:szCs w:val="22"/>
              <w:lang w:eastAsia="zh-CN"/>
            </w:rPr>
          </w:pPr>
          <w:hyperlink w:anchor="_Toc497733687" w:history="1">
            <w:r w:rsidRPr="000E51C9">
              <w:rPr>
                <w:rStyle w:val="Hyperlink"/>
                <w:noProof/>
              </w:rPr>
              <w:t>X.3.2 Drivers that Require a More Thorough Discussion</w:t>
            </w:r>
            <w:r w:rsidRPr="000E51C9">
              <w:rPr>
                <w:noProof/>
                <w:webHidden/>
              </w:rPr>
              <w:tab/>
            </w:r>
            <w:r w:rsidRPr="000E51C9">
              <w:rPr>
                <w:noProof/>
                <w:webHidden/>
              </w:rPr>
              <w:fldChar w:fldCharType="begin"/>
            </w:r>
            <w:r w:rsidRPr="000E51C9">
              <w:rPr>
                <w:noProof/>
                <w:webHidden/>
              </w:rPr>
              <w:instrText xml:space="preserve"> PAGEREF _Toc497733687 \h </w:instrText>
            </w:r>
            <w:r w:rsidRPr="000E51C9">
              <w:rPr>
                <w:noProof/>
                <w:webHidden/>
              </w:rPr>
            </w:r>
            <w:r w:rsidRPr="000E51C9">
              <w:rPr>
                <w:noProof/>
                <w:webHidden/>
              </w:rPr>
              <w:fldChar w:fldCharType="separate"/>
            </w:r>
            <w:r w:rsidRPr="000E51C9">
              <w:rPr>
                <w:noProof/>
                <w:webHidden/>
              </w:rPr>
              <w:t>23</w:t>
            </w:r>
            <w:r w:rsidRPr="000E51C9">
              <w:rPr>
                <w:noProof/>
                <w:webHidden/>
              </w:rPr>
              <w:fldChar w:fldCharType="end"/>
            </w:r>
          </w:hyperlink>
        </w:p>
        <w:p w14:paraId="05F79963" w14:textId="77777777" w:rsidR="007D559F" w:rsidRPr="000E51C9" w:rsidRDefault="007D559F" w:rsidP="000E51C9">
          <w:pPr>
            <w:pStyle w:val="Verzeichnis3"/>
            <w:rPr>
              <w:rFonts w:asciiTheme="minorHAnsi" w:hAnsiTheme="minorHAnsi" w:cstheme="minorBidi"/>
              <w:noProof/>
              <w:sz w:val="22"/>
              <w:szCs w:val="22"/>
              <w:lang w:eastAsia="zh-CN"/>
            </w:rPr>
          </w:pPr>
          <w:hyperlink w:anchor="_Toc497733688" w:history="1">
            <w:r w:rsidRPr="000E51C9">
              <w:rPr>
                <w:rStyle w:val="Hyperlink"/>
                <w:noProof/>
              </w:rPr>
              <w:t>X.3.2.1 Low-Capacity Governments Accepting/Using Existing Templates</w:t>
            </w:r>
            <w:r w:rsidRPr="000E51C9">
              <w:rPr>
                <w:noProof/>
                <w:webHidden/>
              </w:rPr>
              <w:tab/>
            </w:r>
            <w:r w:rsidRPr="000E51C9">
              <w:rPr>
                <w:noProof/>
                <w:webHidden/>
              </w:rPr>
              <w:fldChar w:fldCharType="begin"/>
            </w:r>
            <w:r w:rsidRPr="000E51C9">
              <w:rPr>
                <w:noProof/>
                <w:webHidden/>
              </w:rPr>
              <w:instrText xml:space="preserve"> PAGEREF _Toc497733688 \h </w:instrText>
            </w:r>
            <w:r w:rsidRPr="000E51C9">
              <w:rPr>
                <w:noProof/>
                <w:webHidden/>
              </w:rPr>
            </w:r>
            <w:r w:rsidRPr="000E51C9">
              <w:rPr>
                <w:noProof/>
                <w:webHidden/>
              </w:rPr>
              <w:fldChar w:fldCharType="separate"/>
            </w:r>
            <w:r w:rsidRPr="000E51C9">
              <w:rPr>
                <w:noProof/>
                <w:webHidden/>
              </w:rPr>
              <w:t>24</w:t>
            </w:r>
            <w:r w:rsidRPr="000E51C9">
              <w:rPr>
                <w:noProof/>
                <w:webHidden/>
              </w:rPr>
              <w:fldChar w:fldCharType="end"/>
            </w:r>
          </w:hyperlink>
        </w:p>
        <w:p w14:paraId="06C424D0" w14:textId="77777777" w:rsidR="007D559F" w:rsidRPr="000E51C9" w:rsidRDefault="007D559F" w:rsidP="000E51C9">
          <w:pPr>
            <w:pStyle w:val="Verzeichnis3"/>
            <w:rPr>
              <w:rFonts w:asciiTheme="minorHAnsi" w:hAnsiTheme="minorHAnsi" w:cstheme="minorBidi"/>
              <w:noProof/>
              <w:sz w:val="22"/>
              <w:szCs w:val="22"/>
              <w:lang w:eastAsia="zh-CN"/>
            </w:rPr>
          </w:pPr>
          <w:hyperlink w:anchor="_Toc497733689" w:history="1">
            <w:r w:rsidRPr="000E51C9">
              <w:rPr>
                <w:rStyle w:val="Hyperlink"/>
                <w:noProof/>
              </w:rPr>
              <w:t>X.3.2.2 Pursuing More Comprehensive and Resource-Friendly Negotiations</w:t>
            </w:r>
            <w:r w:rsidRPr="000E51C9">
              <w:rPr>
                <w:noProof/>
                <w:webHidden/>
              </w:rPr>
              <w:tab/>
            </w:r>
            <w:r w:rsidRPr="000E51C9">
              <w:rPr>
                <w:noProof/>
                <w:webHidden/>
              </w:rPr>
              <w:fldChar w:fldCharType="begin"/>
            </w:r>
            <w:r w:rsidRPr="000E51C9">
              <w:rPr>
                <w:noProof/>
                <w:webHidden/>
              </w:rPr>
              <w:instrText xml:space="preserve"> PAGEREF _Toc497733689 \h </w:instrText>
            </w:r>
            <w:r w:rsidRPr="000E51C9">
              <w:rPr>
                <w:noProof/>
                <w:webHidden/>
              </w:rPr>
            </w:r>
            <w:r w:rsidRPr="000E51C9">
              <w:rPr>
                <w:noProof/>
                <w:webHidden/>
              </w:rPr>
              <w:fldChar w:fldCharType="separate"/>
            </w:r>
            <w:r w:rsidRPr="000E51C9">
              <w:rPr>
                <w:noProof/>
                <w:webHidden/>
              </w:rPr>
              <w:t>26</w:t>
            </w:r>
            <w:r w:rsidRPr="000E51C9">
              <w:rPr>
                <w:noProof/>
                <w:webHidden/>
              </w:rPr>
              <w:fldChar w:fldCharType="end"/>
            </w:r>
          </w:hyperlink>
        </w:p>
        <w:p w14:paraId="2DC4FBBB" w14:textId="77777777" w:rsidR="007D559F" w:rsidRPr="000E51C9" w:rsidRDefault="007D559F" w:rsidP="000E51C9">
          <w:pPr>
            <w:pStyle w:val="Verzeichnis3"/>
            <w:rPr>
              <w:rFonts w:asciiTheme="minorHAnsi" w:hAnsiTheme="minorHAnsi" w:cstheme="minorBidi"/>
              <w:noProof/>
              <w:sz w:val="22"/>
              <w:szCs w:val="22"/>
              <w:lang w:eastAsia="zh-CN"/>
            </w:rPr>
          </w:pPr>
          <w:hyperlink w:anchor="_Toc497733690" w:history="1">
            <w:r w:rsidRPr="000E51C9">
              <w:rPr>
                <w:rStyle w:val="Hyperlink"/>
                <w:noProof/>
              </w:rPr>
              <w:t>X.3.2.3 A More Coherent Application of International Economic Law?</w:t>
            </w:r>
            <w:r w:rsidRPr="000E51C9">
              <w:rPr>
                <w:noProof/>
                <w:webHidden/>
              </w:rPr>
              <w:tab/>
            </w:r>
            <w:r w:rsidRPr="000E51C9">
              <w:rPr>
                <w:noProof/>
                <w:webHidden/>
              </w:rPr>
              <w:fldChar w:fldCharType="begin"/>
            </w:r>
            <w:r w:rsidRPr="000E51C9">
              <w:rPr>
                <w:noProof/>
                <w:webHidden/>
              </w:rPr>
              <w:instrText xml:space="preserve"> PAGEREF _Toc497733690 \h </w:instrText>
            </w:r>
            <w:r w:rsidRPr="000E51C9">
              <w:rPr>
                <w:noProof/>
                <w:webHidden/>
              </w:rPr>
            </w:r>
            <w:r w:rsidRPr="000E51C9">
              <w:rPr>
                <w:noProof/>
                <w:webHidden/>
              </w:rPr>
              <w:fldChar w:fldCharType="separate"/>
            </w:r>
            <w:r w:rsidRPr="000E51C9">
              <w:rPr>
                <w:noProof/>
                <w:webHidden/>
              </w:rPr>
              <w:t>29</w:t>
            </w:r>
            <w:r w:rsidRPr="000E51C9">
              <w:rPr>
                <w:noProof/>
                <w:webHidden/>
              </w:rPr>
              <w:fldChar w:fldCharType="end"/>
            </w:r>
          </w:hyperlink>
        </w:p>
        <w:p w14:paraId="78FA094D" w14:textId="77777777" w:rsidR="007D559F" w:rsidRPr="000E51C9" w:rsidRDefault="007D559F" w:rsidP="007D559F">
          <w:pPr>
            <w:pStyle w:val="Verzeichnis1"/>
            <w:tabs>
              <w:tab w:val="right" w:leader="dot" w:pos="9170"/>
            </w:tabs>
            <w:spacing w:line="240" w:lineRule="auto"/>
            <w:rPr>
              <w:rFonts w:asciiTheme="minorHAnsi" w:hAnsiTheme="minorHAnsi" w:cstheme="minorBidi"/>
              <w:noProof/>
              <w:sz w:val="22"/>
              <w:szCs w:val="22"/>
              <w:lang w:eastAsia="zh-CN"/>
            </w:rPr>
          </w:pPr>
          <w:hyperlink w:anchor="_Toc497733691" w:history="1">
            <w:r w:rsidRPr="000E51C9">
              <w:rPr>
                <w:rStyle w:val="Hyperlink"/>
                <w:noProof/>
              </w:rPr>
              <w:t>X.4 Conclusions</w:t>
            </w:r>
            <w:r w:rsidRPr="000E51C9">
              <w:rPr>
                <w:noProof/>
                <w:webHidden/>
              </w:rPr>
              <w:tab/>
            </w:r>
            <w:r w:rsidRPr="000E51C9">
              <w:rPr>
                <w:noProof/>
                <w:webHidden/>
              </w:rPr>
              <w:fldChar w:fldCharType="begin"/>
            </w:r>
            <w:r w:rsidRPr="000E51C9">
              <w:rPr>
                <w:noProof/>
                <w:webHidden/>
              </w:rPr>
              <w:instrText xml:space="preserve"> PAGEREF _Toc497733691 \h </w:instrText>
            </w:r>
            <w:r w:rsidRPr="000E51C9">
              <w:rPr>
                <w:noProof/>
                <w:webHidden/>
              </w:rPr>
            </w:r>
            <w:r w:rsidRPr="000E51C9">
              <w:rPr>
                <w:noProof/>
                <w:webHidden/>
              </w:rPr>
              <w:fldChar w:fldCharType="separate"/>
            </w:r>
            <w:r w:rsidRPr="000E51C9">
              <w:rPr>
                <w:noProof/>
                <w:webHidden/>
              </w:rPr>
              <w:t>33</w:t>
            </w:r>
            <w:r w:rsidRPr="000E51C9">
              <w:rPr>
                <w:noProof/>
                <w:webHidden/>
              </w:rPr>
              <w:fldChar w:fldCharType="end"/>
            </w:r>
          </w:hyperlink>
        </w:p>
        <w:p w14:paraId="52F83583" w14:textId="1D405F5A" w:rsidR="009647E9" w:rsidRPr="000E51C9" w:rsidRDefault="009647E9" w:rsidP="007D559F">
          <w:pPr>
            <w:spacing w:line="240" w:lineRule="auto"/>
          </w:pPr>
          <w:r w:rsidRPr="000E51C9">
            <w:rPr>
              <w:b/>
              <w:bCs/>
              <w:noProof/>
            </w:rPr>
            <w:fldChar w:fldCharType="end"/>
          </w:r>
        </w:p>
      </w:sdtContent>
    </w:sdt>
    <w:p w14:paraId="204A5735" w14:textId="77777777" w:rsidR="001021D9" w:rsidRPr="000E51C9" w:rsidRDefault="001021D9" w:rsidP="00163F2E">
      <w:pPr>
        <w:spacing w:line="360" w:lineRule="auto"/>
      </w:pPr>
    </w:p>
    <w:p w14:paraId="5F0059CE" w14:textId="27DFD6F9" w:rsidR="001021D9" w:rsidRPr="000E51C9" w:rsidRDefault="00077B1B" w:rsidP="007D559F">
      <w:pPr>
        <w:pStyle w:val="berschrift1"/>
        <w:numPr>
          <w:ilvl w:val="0"/>
          <w:numId w:val="0"/>
        </w:numPr>
        <w:spacing w:before="0" w:after="0" w:line="360" w:lineRule="auto"/>
        <w:rPr>
          <w:lang w:val="en-GB"/>
        </w:rPr>
      </w:pPr>
      <w:bookmarkStart w:id="0" w:name="_Toc475435341"/>
      <w:bookmarkStart w:id="1" w:name="_Toc497733677"/>
      <w:r w:rsidRPr="000E51C9">
        <w:rPr>
          <w:rFonts w:cs="Times New Roman"/>
          <w:lang w:val="en-GB"/>
        </w:rPr>
        <w:t xml:space="preserve">X.1 </w:t>
      </w:r>
      <w:r w:rsidR="006E2DE0" w:rsidRPr="000E51C9">
        <w:rPr>
          <w:rFonts w:cs="Times New Roman"/>
          <w:lang w:val="en-GB"/>
        </w:rPr>
        <w:t>Introduction</w:t>
      </w:r>
      <w:bookmarkEnd w:id="0"/>
      <w:bookmarkEnd w:id="1"/>
      <w:r w:rsidR="006E2DE0" w:rsidRPr="000E51C9">
        <w:rPr>
          <w:rFonts w:cs="Times New Roman"/>
          <w:lang w:val="en-GB"/>
        </w:rPr>
        <w:t xml:space="preserve"> </w:t>
      </w:r>
    </w:p>
    <w:p w14:paraId="0AD040A4" w14:textId="2985083E" w:rsidR="008178E9" w:rsidRPr="000E51C9" w:rsidRDefault="008178E9" w:rsidP="00163F2E">
      <w:pPr>
        <w:spacing w:line="360" w:lineRule="auto"/>
        <w:jc w:val="both"/>
      </w:pPr>
      <w:r w:rsidRPr="000E51C9">
        <w:t xml:space="preserve">The breakdown of the multilateral </w:t>
      </w:r>
      <w:r w:rsidR="001E44DF" w:rsidRPr="000E51C9">
        <w:t>World Trade Organization (</w:t>
      </w:r>
      <w:r w:rsidRPr="000E51C9">
        <w:t>WTO</w:t>
      </w:r>
      <w:r w:rsidR="001E44DF" w:rsidRPr="000E51C9">
        <w:t>)</w:t>
      </w:r>
      <w:r w:rsidRPr="000E51C9">
        <w:t xml:space="preserve"> talks has led to the proliferation of bilateral and regional preferential trade agreements (PTAs).</w:t>
      </w:r>
      <w:r w:rsidRPr="000E51C9">
        <w:rPr>
          <w:rStyle w:val="Funotenzeichen"/>
        </w:rPr>
        <w:footnoteReference w:id="2"/>
      </w:r>
      <w:r w:rsidRPr="000E51C9">
        <w:t xml:space="preserve"> From </w:t>
      </w:r>
      <w:r w:rsidRPr="000E51C9">
        <w:rPr>
          <w:rFonts w:eastAsia="Malgun Gothic"/>
          <w:lang w:eastAsia="ko-KR"/>
        </w:rPr>
        <w:t xml:space="preserve">the mid-1990s onwards PTAs began </w:t>
      </w:r>
      <w:r w:rsidR="001F100C" w:rsidRPr="000E51C9">
        <w:rPr>
          <w:rFonts w:eastAsia="Malgun Gothic"/>
          <w:lang w:eastAsia="ko-KR"/>
        </w:rPr>
        <w:t xml:space="preserve">to </w:t>
      </w:r>
      <w:r w:rsidRPr="000E51C9">
        <w:rPr>
          <w:rFonts w:eastAsia="Malgun Gothic"/>
          <w:lang w:eastAsia="ko-KR"/>
        </w:rPr>
        <w:t>includ</w:t>
      </w:r>
      <w:r w:rsidR="001F100C" w:rsidRPr="000E51C9">
        <w:rPr>
          <w:rFonts w:eastAsia="Malgun Gothic"/>
          <w:lang w:eastAsia="ko-KR"/>
        </w:rPr>
        <w:t>e</w:t>
      </w:r>
      <w:r w:rsidRPr="000E51C9">
        <w:rPr>
          <w:rFonts w:eastAsia="Malgun Gothic"/>
          <w:lang w:eastAsia="ko-KR"/>
        </w:rPr>
        <w:t xml:space="preserve"> </w:t>
      </w:r>
      <w:r w:rsidR="009A0D32" w:rsidRPr="000E51C9">
        <w:rPr>
          <w:rFonts w:eastAsia="Malgun Gothic"/>
          <w:lang w:eastAsia="ko-KR"/>
        </w:rPr>
        <w:t>non</w:t>
      </w:r>
      <w:r w:rsidR="00E3610D" w:rsidRPr="000E51C9">
        <w:rPr>
          <w:rFonts w:eastAsia="Malgun Gothic"/>
          <w:lang w:eastAsia="ko-KR"/>
        </w:rPr>
        <w:noBreakHyphen/>
      </w:r>
      <w:r w:rsidR="009A0D32" w:rsidRPr="000E51C9">
        <w:rPr>
          <w:rFonts w:eastAsia="Malgun Gothic"/>
          <w:lang w:eastAsia="ko-KR"/>
        </w:rPr>
        <w:t>trade related fields</w:t>
      </w:r>
      <w:r w:rsidRPr="000E51C9">
        <w:rPr>
          <w:rFonts w:eastAsia="Malgun Gothic"/>
          <w:lang w:eastAsia="ko-KR"/>
        </w:rPr>
        <w:t>, such as labour standards, human rights, intellectual property or environmental protection.</w:t>
      </w:r>
      <w:r w:rsidRPr="000E51C9">
        <w:rPr>
          <w:rStyle w:val="Funotenzeichen"/>
        </w:rPr>
        <w:footnoteReference w:id="3"/>
      </w:r>
      <w:r w:rsidRPr="000E51C9">
        <w:rPr>
          <w:rFonts w:eastAsia="Malgun Gothic"/>
          <w:lang w:eastAsia="ko-KR"/>
        </w:rPr>
        <w:t xml:space="preserve"> Following the coming into force of the North </w:t>
      </w:r>
      <w:r w:rsidR="00AE4A7E" w:rsidRPr="000E51C9">
        <w:rPr>
          <w:rFonts w:eastAsia="Malgun Gothic"/>
          <w:lang w:eastAsia="ko-KR"/>
        </w:rPr>
        <w:t xml:space="preserve">American </w:t>
      </w:r>
      <w:r w:rsidRPr="000E51C9">
        <w:rPr>
          <w:rFonts w:eastAsia="Malgun Gothic"/>
          <w:lang w:eastAsia="ko-KR"/>
        </w:rPr>
        <w:t>Free Trade Agreement (NAFTA, 1994)</w:t>
      </w:r>
      <w:r w:rsidR="00AE4A7E" w:rsidRPr="000E51C9">
        <w:rPr>
          <w:rFonts w:eastAsia="Malgun Gothic"/>
          <w:lang w:eastAsia="ko-KR"/>
        </w:rPr>
        <w:t>,</w:t>
      </w:r>
      <w:r w:rsidRPr="000E51C9">
        <w:rPr>
          <w:rFonts w:eastAsia="Malgun Gothic"/>
          <w:lang w:eastAsia="ko-KR"/>
        </w:rPr>
        <w:t xml:space="preserve"> investment protection standards and investor-state dispute settlement (ISDS), traditionally the domain of bilateral investment treaties (BITs), have also come under the am</w:t>
      </w:r>
      <w:r w:rsidR="00014374" w:rsidRPr="000E51C9">
        <w:rPr>
          <w:rFonts w:eastAsia="Malgun Gothic"/>
          <w:lang w:eastAsia="ko-KR"/>
        </w:rPr>
        <w:t>bit of a growing number of PTA</w:t>
      </w:r>
      <w:r w:rsidR="00014374" w:rsidRPr="000E51C9">
        <w:t>s.</w:t>
      </w:r>
      <w:r w:rsidRPr="000E51C9">
        <w:rPr>
          <w:rFonts w:eastAsia="Malgun Gothic"/>
          <w:lang w:eastAsia="ko-KR"/>
        </w:rPr>
        <w:t xml:space="preserve"> </w:t>
      </w:r>
      <w:r w:rsidR="00057B2B" w:rsidRPr="000E51C9">
        <w:rPr>
          <w:rFonts w:eastAsia="Malgun Gothic"/>
          <w:lang w:eastAsia="ko-KR"/>
        </w:rPr>
        <w:lastRenderedPageBreak/>
        <w:t>More recent mega</w:t>
      </w:r>
      <w:r w:rsidR="00057B2B" w:rsidRPr="000E51C9">
        <w:rPr>
          <w:rFonts w:eastAsia="Malgun Gothic"/>
          <w:lang w:eastAsia="ko-KR"/>
        </w:rPr>
        <w:noBreakHyphen/>
      </w:r>
      <w:r w:rsidRPr="000E51C9">
        <w:rPr>
          <w:rFonts w:eastAsia="Malgun Gothic"/>
          <w:lang w:eastAsia="ko-KR"/>
        </w:rPr>
        <w:t xml:space="preserve">regionals, such as </w:t>
      </w:r>
      <w:r w:rsidR="00057B2B" w:rsidRPr="000E51C9">
        <w:rPr>
          <w:rFonts w:eastAsia="Malgun Gothic"/>
          <w:lang w:eastAsia="ko-KR"/>
        </w:rPr>
        <w:t xml:space="preserve">the </w:t>
      </w:r>
      <w:r w:rsidRPr="000E51C9">
        <w:t>Trans Pacific Partnership (TPP), the proposed Transatlantic Trade and Investment Agreement (TTIP) or the EU-Canada Comprehensive Economic and Trade Agreement (CETA)</w:t>
      </w:r>
      <w:r w:rsidRPr="000E51C9">
        <w:rPr>
          <w:rStyle w:val="Funotenzeichen"/>
        </w:rPr>
        <w:footnoteReference w:id="4"/>
      </w:r>
      <w:r w:rsidR="00AE4A7E" w:rsidRPr="000E51C9">
        <w:t>,</w:t>
      </w:r>
      <w:r w:rsidR="00057B2B" w:rsidRPr="000E51C9">
        <w:t xml:space="preserve"> also include investment chapters.</w:t>
      </w:r>
    </w:p>
    <w:p w14:paraId="6A677607" w14:textId="3F2A0F8A" w:rsidR="002D5618" w:rsidRPr="000E51C9" w:rsidRDefault="00057B2B" w:rsidP="007D559F">
      <w:pPr>
        <w:spacing w:line="360" w:lineRule="auto"/>
        <w:ind w:firstLine="288"/>
        <w:jc w:val="both"/>
      </w:pPr>
      <w:r w:rsidRPr="000E51C9">
        <w:t>The practice of including investment chapters has also prompted a growing volume of scholarship on the matter.</w:t>
      </w:r>
      <w:r w:rsidRPr="000E51C9">
        <w:rPr>
          <w:rStyle w:val="Funotenzeichen"/>
        </w:rPr>
        <w:footnoteReference w:id="5"/>
      </w:r>
      <w:r w:rsidRPr="000E51C9">
        <w:t xml:space="preserve"> The purpose of this </w:t>
      </w:r>
      <w:r w:rsidR="00AE4A7E" w:rsidRPr="000E51C9">
        <w:t xml:space="preserve">chapter </w:t>
      </w:r>
      <w:r w:rsidRPr="000E51C9">
        <w:t xml:space="preserve">is to take this scholarship further in a manner that addresses </w:t>
      </w:r>
      <w:r w:rsidR="00AA0B97" w:rsidRPr="000E51C9">
        <w:t>the topics of interest for</w:t>
      </w:r>
      <w:r w:rsidR="002D5618" w:rsidRPr="000E51C9">
        <w:t xml:space="preserve"> this year’s </w:t>
      </w:r>
      <w:r w:rsidR="00AE4A7E" w:rsidRPr="000E51C9">
        <w:t>V</w:t>
      </w:r>
      <w:r w:rsidR="002D5618" w:rsidRPr="000E51C9">
        <w:t xml:space="preserve">olume of the </w:t>
      </w:r>
      <w:r w:rsidR="002D5618" w:rsidRPr="000E51C9">
        <w:rPr>
          <w:i/>
        </w:rPr>
        <w:t>Netherland</w:t>
      </w:r>
      <w:r w:rsidR="00F01D87" w:rsidRPr="000E51C9">
        <w:rPr>
          <w:i/>
        </w:rPr>
        <w:t>s Yearbook of International Law</w:t>
      </w:r>
      <w:r w:rsidR="00267C0B" w:rsidRPr="000E51C9">
        <w:t xml:space="preserve">. The 2017 </w:t>
      </w:r>
      <w:r w:rsidR="00AE4A7E" w:rsidRPr="000E51C9">
        <w:t>V</w:t>
      </w:r>
      <w:r w:rsidR="00267C0B" w:rsidRPr="000E51C9">
        <w:t>olume, among others, aims to explore ‘emerging trends’ in selected fields of international economic</w:t>
      </w:r>
      <w:r w:rsidR="001603A5" w:rsidRPr="000E51C9">
        <w:t xml:space="preserve"> law</w:t>
      </w:r>
      <w:r w:rsidR="00267C0B" w:rsidRPr="000E51C9">
        <w:t>, such as trade and investment la</w:t>
      </w:r>
      <w:r w:rsidR="00C24B00" w:rsidRPr="000E51C9">
        <w:t>w</w:t>
      </w:r>
      <w:r w:rsidR="002D5618" w:rsidRPr="000E51C9">
        <w:t>.</w:t>
      </w:r>
      <w:r w:rsidR="00D243A6" w:rsidRPr="000E51C9">
        <w:rPr>
          <w:rStyle w:val="Funotenzeichen"/>
        </w:rPr>
        <w:footnoteReference w:id="6"/>
      </w:r>
      <w:r w:rsidR="0024751A" w:rsidRPr="000E51C9">
        <w:t xml:space="preserve"> </w:t>
      </w:r>
      <w:r w:rsidR="003A1DE9" w:rsidRPr="000E51C9">
        <w:t>In an effort to add</w:t>
      </w:r>
      <w:r w:rsidR="006D5F4B" w:rsidRPr="000E51C9">
        <w:t>ress the Yearbook’</w:t>
      </w:r>
      <w:r w:rsidR="00810E01" w:rsidRPr="000E51C9">
        <w:t>s broader topic and t</w:t>
      </w:r>
      <w:r w:rsidR="006D5F4B" w:rsidRPr="000E51C9">
        <w:t>o answer t</w:t>
      </w:r>
      <w:r w:rsidR="00810E01" w:rsidRPr="000E51C9">
        <w:t>he</w:t>
      </w:r>
      <w:r w:rsidR="006D5F4B" w:rsidRPr="000E51C9">
        <w:t xml:space="preserve"> questions posed in this </w:t>
      </w:r>
      <w:r w:rsidR="001133E7" w:rsidRPr="000E51C9">
        <w:t>chapter</w:t>
      </w:r>
      <w:r w:rsidR="00877EFC" w:rsidRPr="000E51C9">
        <w:t xml:space="preserve">, the </w:t>
      </w:r>
      <w:r w:rsidR="002D5618" w:rsidRPr="000E51C9">
        <w:t>traditional doctrinal method</w:t>
      </w:r>
      <w:r w:rsidR="00C97FC9" w:rsidRPr="000E51C9">
        <w:t xml:space="preserve"> </w:t>
      </w:r>
      <w:r w:rsidR="006D5F4B" w:rsidRPr="000E51C9">
        <w:t>was replaced with</w:t>
      </w:r>
      <w:r w:rsidR="00C97FC9" w:rsidRPr="000E51C9">
        <w:t xml:space="preserve"> </w:t>
      </w:r>
      <w:r w:rsidR="002D5618" w:rsidRPr="000E51C9">
        <w:t>an interdisciplinary approach.</w:t>
      </w:r>
    </w:p>
    <w:p w14:paraId="67CC2220" w14:textId="665F709A" w:rsidR="008178E9" w:rsidRPr="000E51C9" w:rsidRDefault="002D5618" w:rsidP="007D559F">
      <w:pPr>
        <w:spacing w:line="360" w:lineRule="auto"/>
        <w:ind w:firstLine="288"/>
        <w:jc w:val="both"/>
      </w:pPr>
      <w:r w:rsidRPr="000E51C9">
        <w:t xml:space="preserve">The first question </w:t>
      </w:r>
      <w:r w:rsidR="00101769" w:rsidRPr="000E51C9">
        <w:t>(</w:t>
      </w:r>
      <w:r w:rsidR="00BB0FCB" w:rsidRPr="000E51C9">
        <w:t>section X.</w:t>
      </w:r>
      <w:r w:rsidR="00101769" w:rsidRPr="000E51C9">
        <w:t xml:space="preserve">2) </w:t>
      </w:r>
      <w:r w:rsidRPr="000E51C9">
        <w:t xml:space="preserve">is whether </w:t>
      </w:r>
      <w:r w:rsidR="00267C0B" w:rsidRPr="000E51C9">
        <w:t>a growing tendency</w:t>
      </w:r>
      <w:r w:rsidRPr="000E51C9">
        <w:t xml:space="preserve"> of including </w:t>
      </w:r>
      <w:r w:rsidR="009D53C9" w:rsidRPr="000E51C9">
        <w:t>BIT-like</w:t>
      </w:r>
      <w:r w:rsidR="005A226C" w:rsidRPr="000E51C9">
        <w:t xml:space="preserve"> chapters</w:t>
      </w:r>
      <w:r w:rsidRPr="000E51C9">
        <w:t xml:space="preserve"> into PTAs</w:t>
      </w:r>
      <w:r w:rsidR="008806B0" w:rsidRPr="000E51C9">
        <w:t xml:space="preserve"> exists</w:t>
      </w:r>
      <w:r w:rsidRPr="000E51C9">
        <w:t xml:space="preserve">. If so, in which countries or regions is this phenomenon more prevalent? Furthermore, what types of investment protection clauses are preferred: substantive standards, ISDS or both? </w:t>
      </w:r>
      <w:r w:rsidR="00004EE9" w:rsidRPr="000E51C9">
        <w:t>An</w:t>
      </w:r>
      <w:r w:rsidRPr="000E51C9">
        <w:t xml:space="preserve"> empirical analysis of </w:t>
      </w:r>
      <w:r w:rsidR="007C365A" w:rsidRPr="000E51C9">
        <w:t>158</w:t>
      </w:r>
      <w:r w:rsidRPr="000E51C9">
        <w:t xml:space="preserve"> post</w:t>
      </w:r>
      <w:r w:rsidRPr="000E51C9">
        <w:noBreakHyphen/>
        <w:t xml:space="preserve">NAFTA PTAs from ‘all four </w:t>
      </w:r>
      <w:proofErr w:type="gramStart"/>
      <w:r w:rsidRPr="000E51C9">
        <w:t>corners’</w:t>
      </w:r>
      <w:proofErr w:type="gramEnd"/>
      <w:r w:rsidRPr="000E51C9">
        <w:t xml:space="preserve"> of the Earth</w:t>
      </w:r>
      <w:r w:rsidR="00004EE9" w:rsidRPr="000E51C9">
        <w:t xml:space="preserve"> will provide the answers to these questions</w:t>
      </w:r>
      <w:r w:rsidRPr="000E51C9">
        <w:t xml:space="preserve">. The methodology for choosing and examining the PTAs is explained in </w:t>
      </w:r>
      <w:r w:rsidR="00BB0FCB" w:rsidRPr="000E51C9">
        <w:t>section X.</w:t>
      </w:r>
      <w:r w:rsidRPr="000E51C9">
        <w:t>2.1.</w:t>
      </w:r>
    </w:p>
    <w:p w14:paraId="62099912" w14:textId="350268FB" w:rsidR="00A11B87" w:rsidRPr="000E51C9" w:rsidRDefault="001A7E6E" w:rsidP="007D559F">
      <w:pPr>
        <w:spacing w:line="360" w:lineRule="auto"/>
        <w:ind w:firstLine="288"/>
        <w:jc w:val="both"/>
      </w:pPr>
      <w:r w:rsidRPr="000E51C9">
        <w:t xml:space="preserve">The second </w:t>
      </w:r>
      <w:r w:rsidR="00CC406E" w:rsidRPr="000E51C9">
        <w:t>ques</w:t>
      </w:r>
      <w:r w:rsidR="003C5804" w:rsidRPr="000E51C9">
        <w:t>tion</w:t>
      </w:r>
      <w:r w:rsidR="00101769" w:rsidRPr="000E51C9">
        <w:t xml:space="preserve"> (</w:t>
      </w:r>
      <w:r w:rsidR="00BB0FCB" w:rsidRPr="000E51C9">
        <w:t>section X.</w:t>
      </w:r>
      <w:r w:rsidR="00101769" w:rsidRPr="000E51C9">
        <w:t>3)</w:t>
      </w:r>
      <w:r w:rsidR="00EF2BD0" w:rsidRPr="000E51C9">
        <w:t xml:space="preserve"> concerns the </w:t>
      </w:r>
      <w:r w:rsidR="00CC406E" w:rsidRPr="000E51C9">
        <w:t xml:space="preserve">drivers behind the growing </w:t>
      </w:r>
      <w:r w:rsidR="00267C0B" w:rsidRPr="000E51C9">
        <w:t xml:space="preserve">tendency </w:t>
      </w:r>
      <w:r w:rsidR="00CC406E" w:rsidRPr="000E51C9">
        <w:t>of including BIT-like investment chapters into PTAs</w:t>
      </w:r>
      <w:r w:rsidR="00426ADF" w:rsidRPr="000E51C9">
        <w:t xml:space="preserve"> </w:t>
      </w:r>
      <w:r w:rsidR="00EF2BD0" w:rsidRPr="000E51C9">
        <w:t>and their potential implications</w:t>
      </w:r>
      <w:r w:rsidR="00CC406E" w:rsidRPr="000E51C9">
        <w:t xml:space="preserve">. </w:t>
      </w:r>
      <w:r w:rsidR="008E2B00" w:rsidRPr="000E51C9">
        <w:t xml:space="preserve">Some drivers </w:t>
      </w:r>
      <w:r w:rsidR="000D43CE" w:rsidRPr="000E51C9">
        <w:t xml:space="preserve">will be readily apparent from the data collected in </w:t>
      </w:r>
      <w:r w:rsidR="00BB0FCB" w:rsidRPr="000E51C9">
        <w:t>section X.</w:t>
      </w:r>
      <w:r w:rsidR="000D43CE" w:rsidRPr="000E51C9">
        <w:t>2</w:t>
      </w:r>
      <w:r w:rsidR="008E2B00" w:rsidRPr="000E51C9">
        <w:t xml:space="preserve"> (</w:t>
      </w:r>
      <w:r w:rsidR="00BB0FCB" w:rsidRPr="000E51C9">
        <w:t>section X.</w:t>
      </w:r>
      <w:r w:rsidR="008E2B00" w:rsidRPr="000E51C9">
        <w:t>3.1)</w:t>
      </w:r>
      <w:r w:rsidR="000D43CE" w:rsidRPr="000E51C9">
        <w:t>, while other drivers will need a more detaile</w:t>
      </w:r>
      <w:r w:rsidR="008E2B00" w:rsidRPr="000E51C9">
        <w:t>d discussion (</w:t>
      </w:r>
      <w:r w:rsidR="00BB0FCB" w:rsidRPr="000E51C9">
        <w:t>section X.</w:t>
      </w:r>
      <w:r w:rsidR="005A7CC4" w:rsidRPr="000E51C9">
        <w:t>3.2</w:t>
      </w:r>
      <w:r w:rsidR="008E2B00" w:rsidRPr="000E51C9">
        <w:t>)</w:t>
      </w:r>
      <w:r w:rsidR="000D43CE" w:rsidRPr="000E51C9">
        <w:t>. For the latter</w:t>
      </w:r>
      <w:r w:rsidR="007D494E" w:rsidRPr="000E51C9">
        <w:t>,</w:t>
      </w:r>
      <w:r w:rsidR="000D43CE" w:rsidRPr="000E51C9">
        <w:t xml:space="preserve"> the data gathered in </w:t>
      </w:r>
      <w:r w:rsidR="00BB0FCB" w:rsidRPr="000E51C9">
        <w:t>section X.</w:t>
      </w:r>
      <w:r w:rsidR="000D43CE" w:rsidRPr="000E51C9">
        <w:t>2 is not sufficient. Therefore, academic literature from various fields of the social sciences, such as law, political science and negotiation theory</w:t>
      </w:r>
      <w:r w:rsidR="00B934B2" w:rsidRPr="000E51C9">
        <w:t xml:space="preserve"> shall als</w:t>
      </w:r>
      <w:r w:rsidR="004B449C" w:rsidRPr="000E51C9">
        <w:t>o be consulted</w:t>
      </w:r>
      <w:r w:rsidR="000D43CE" w:rsidRPr="000E51C9">
        <w:t>.</w:t>
      </w:r>
      <w:r w:rsidR="00AF3544" w:rsidRPr="000E51C9">
        <w:t xml:space="preserve"> </w:t>
      </w:r>
    </w:p>
    <w:p w14:paraId="006EE981" w14:textId="7AC7CDE7" w:rsidR="002D0785" w:rsidRPr="000E51C9" w:rsidRDefault="00AF3544" w:rsidP="007D559F">
      <w:pPr>
        <w:spacing w:line="360" w:lineRule="auto"/>
        <w:ind w:firstLine="288"/>
        <w:jc w:val="both"/>
      </w:pPr>
      <w:r w:rsidRPr="000E51C9">
        <w:t>Some potential drivers, such as the rise of production networks,</w:t>
      </w:r>
      <w:r w:rsidRPr="000E51C9">
        <w:rPr>
          <w:rStyle w:val="Funotenzeichen"/>
        </w:rPr>
        <w:footnoteReference w:id="7"/>
      </w:r>
      <w:r w:rsidRPr="000E51C9">
        <w:t xml:space="preserve"> will not be discussed since they would require expertise in fields unfamiliar to the authors.</w:t>
      </w:r>
      <w:r w:rsidR="000D43CE" w:rsidRPr="000E51C9">
        <w:t xml:space="preserve"> </w:t>
      </w:r>
      <w:r w:rsidRPr="000E51C9">
        <w:t xml:space="preserve">Furthermore, </w:t>
      </w:r>
      <w:r w:rsidRPr="000E51C9">
        <w:rPr>
          <w:rFonts w:eastAsia="Malgun Gothic"/>
          <w:lang w:eastAsia="ko-KR"/>
        </w:rPr>
        <w:t>t</w:t>
      </w:r>
      <w:r w:rsidR="00B7720B" w:rsidRPr="000E51C9">
        <w:t>he second</w:t>
      </w:r>
      <w:r w:rsidR="002D0785" w:rsidRPr="000E51C9">
        <w:t xml:space="preserve"> question is not to be confused with the broader question of why s</w:t>
      </w:r>
      <w:r w:rsidR="00FB6EE9" w:rsidRPr="000E51C9">
        <w:t>tates/</w:t>
      </w:r>
      <w:r w:rsidR="000A42FD" w:rsidRPr="000E51C9">
        <w:rPr>
          <w:rFonts w:eastAsia="Malgun Gothic"/>
          <w:color w:val="000000" w:themeColor="text1"/>
          <w:lang w:eastAsia="ko-KR"/>
        </w:rPr>
        <w:t>regional economic integration organisations (</w:t>
      </w:r>
      <w:r w:rsidR="00FB6EE9" w:rsidRPr="000E51C9">
        <w:t>REIOs</w:t>
      </w:r>
      <w:r w:rsidR="000A42FD" w:rsidRPr="000E51C9">
        <w:t>)</w:t>
      </w:r>
      <w:r w:rsidR="00FB6EE9" w:rsidRPr="000E51C9">
        <w:t xml:space="preserve"> choose to conclude P</w:t>
      </w:r>
      <w:r w:rsidR="002D0785" w:rsidRPr="000E51C9">
        <w:t xml:space="preserve">TAs in the first place. The </w:t>
      </w:r>
      <w:r w:rsidR="002D0785" w:rsidRPr="000E51C9">
        <w:lastRenderedPageBreak/>
        <w:t>considerations for doing so can be numerous, ranging from economic aspects to strengthening political ties with the partner countries or geopolitical aspirations.</w:t>
      </w:r>
      <w:r w:rsidR="002D0785" w:rsidRPr="000E51C9">
        <w:rPr>
          <w:rStyle w:val="Funotenzeichen"/>
        </w:rPr>
        <w:footnoteReference w:id="8"/>
      </w:r>
    </w:p>
    <w:p w14:paraId="69607A47" w14:textId="77777777" w:rsidR="00837D06" w:rsidRPr="000E51C9" w:rsidRDefault="00837D06" w:rsidP="00163F2E">
      <w:pPr>
        <w:spacing w:line="360" w:lineRule="auto"/>
        <w:jc w:val="both"/>
        <w:rPr>
          <w:rFonts w:eastAsia="Malgun Gothic"/>
          <w:lang w:eastAsia="ko-KR"/>
        </w:rPr>
      </w:pPr>
    </w:p>
    <w:p w14:paraId="5025BF20" w14:textId="60FB77BA" w:rsidR="00837D06" w:rsidRPr="000E51C9" w:rsidRDefault="00077B1B" w:rsidP="007D559F">
      <w:pPr>
        <w:pStyle w:val="berschrift1"/>
        <w:numPr>
          <w:ilvl w:val="0"/>
          <w:numId w:val="0"/>
        </w:numPr>
        <w:spacing w:before="0" w:after="0" w:line="360" w:lineRule="auto"/>
        <w:rPr>
          <w:lang w:val="en-GB"/>
        </w:rPr>
      </w:pPr>
      <w:bookmarkStart w:id="2" w:name="_Toc475435342"/>
      <w:bookmarkStart w:id="3" w:name="_Toc497733678"/>
      <w:r w:rsidRPr="000E51C9">
        <w:rPr>
          <w:rFonts w:cs="Times New Roman"/>
          <w:lang w:val="en-GB"/>
        </w:rPr>
        <w:t xml:space="preserve">X.2 </w:t>
      </w:r>
      <w:r w:rsidR="00656A89" w:rsidRPr="000E51C9">
        <w:rPr>
          <w:rFonts w:cs="Times New Roman"/>
          <w:lang w:val="en-GB"/>
        </w:rPr>
        <w:t xml:space="preserve">Is There </w:t>
      </w:r>
      <w:r w:rsidR="00F508EB" w:rsidRPr="000E51C9">
        <w:rPr>
          <w:rFonts w:cs="Times New Roman"/>
          <w:lang w:val="en-GB"/>
        </w:rPr>
        <w:t>a Growing Tendency</w:t>
      </w:r>
      <w:r w:rsidR="00433A69" w:rsidRPr="000E51C9">
        <w:rPr>
          <w:rFonts w:cs="Times New Roman"/>
          <w:lang w:val="en-GB"/>
        </w:rPr>
        <w:t xml:space="preserve"> of Including Investment Chapters into PTA</w:t>
      </w:r>
      <w:r w:rsidR="00F17AD2" w:rsidRPr="000E51C9">
        <w:rPr>
          <w:rFonts w:cs="Times New Roman"/>
          <w:lang w:val="en-GB"/>
        </w:rPr>
        <w:t>s</w:t>
      </w:r>
      <w:r w:rsidR="006E2DE0" w:rsidRPr="000E51C9">
        <w:rPr>
          <w:rFonts w:cs="Times New Roman"/>
          <w:lang w:val="en-GB"/>
        </w:rPr>
        <w:t>?</w:t>
      </w:r>
      <w:bookmarkEnd w:id="2"/>
      <w:bookmarkEnd w:id="3"/>
    </w:p>
    <w:p w14:paraId="3ED01DF9" w14:textId="789D036F" w:rsidR="0072716B" w:rsidRPr="000E51C9" w:rsidRDefault="00C65F8B" w:rsidP="00163F2E">
      <w:pPr>
        <w:spacing w:line="360" w:lineRule="auto"/>
        <w:jc w:val="both"/>
        <w:rPr>
          <w:lang w:eastAsia="zh-CN"/>
        </w:rPr>
      </w:pPr>
      <w:r w:rsidRPr="000E51C9">
        <w:rPr>
          <w:lang w:eastAsia="zh-CN"/>
        </w:rPr>
        <w:t>Section X.</w:t>
      </w:r>
      <w:r w:rsidR="00500503" w:rsidRPr="000E51C9">
        <w:rPr>
          <w:lang w:eastAsia="zh-CN"/>
        </w:rPr>
        <w:t xml:space="preserve">2 is meant to answer the question </w:t>
      </w:r>
      <w:r w:rsidR="00E34145" w:rsidRPr="000E51C9">
        <w:t xml:space="preserve">whether </w:t>
      </w:r>
      <w:r w:rsidR="00267C0B" w:rsidRPr="000E51C9">
        <w:t>a growing tendency</w:t>
      </w:r>
      <w:r w:rsidR="00E34145" w:rsidRPr="000E51C9">
        <w:t xml:space="preserve"> of including </w:t>
      </w:r>
      <w:r w:rsidR="006A36C7" w:rsidRPr="000E51C9">
        <w:t xml:space="preserve">investment </w:t>
      </w:r>
      <w:r w:rsidR="00E34145" w:rsidRPr="000E51C9">
        <w:t>chapters into PTAs</w:t>
      </w:r>
      <w:r w:rsidR="000A2A35" w:rsidRPr="000E51C9">
        <w:t xml:space="preserve"> exists</w:t>
      </w:r>
      <w:r w:rsidR="00E34145" w:rsidRPr="000E51C9">
        <w:t>. If so, in which countries or regions is this phenomenon more prevalent? Furthermore, what types of investment protection clauses are preferred: substantive standards, ISDS or both?</w:t>
      </w:r>
      <w:r w:rsidR="00500503" w:rsidRPr="000E51C9">
        <w:t xml:space="preserve"> </w:t>
      </w:r>
      <w:r w:rsidR="004B449C" w:rsidRPr="000E51C9">
        <w:t xml:space="preserve">This </w:t>
      </w:r>
      <w:r w:rsidR="009522D2" w:rsidRPr="000E51C9">
        <w:t xml:space="preserve">section </w:t>
      </w:r>
      <w:r w:rsidR="004B449C" w:rsidRPr="000E51C9">
        <w:t>begins with</w:t>
      </w:r>
      <w:r w:rsidR="00500503" w:rsidRPr="000E51C9">
        <w:t xml:space="preserve"> a description of the methodology used in gathering the data, followed by an examination of various countries and regions of the world.</w:t>
      </w:r>
    </w:p>
    <w:p w14:paraId="7FF7C8DC" w14:textId="72FC53AF" w:rsidR="00837D06" w:rsidRPr="000E51C9" w:rsidRDefault="00837D06" w:rsidP="00163F2E">
      <w:pPr>
        <w:spacing w:line="360" w:lineRule="auto"/>
        <w:jc w:val="both"/>
      </w:pPr>
      <w:r w:rsidRPr="000E51C9">
        <w:t xml:space="preserve"> </w:t>
      </w:r>
    </w:p>
    <w:p w14:paraId="3DE4ECE2" w14:textId="2B57C3B3" w:rsidR="006A0DE3" w:rsidRPr="000E51C9" w:rsidRDefault="00077B1B" w:rsidP="007D559F">
      <w:pPr>
        <w:pStyle w:val="berschrift2"/>
        <w:spacing w:before="0" w:after="0" w:line="360" w:lineRule="auto"/>
        <w:rPr>
          <w:lang w:val="en-GB"/>
        </w:rPr>
      </w:pPr>
      <w:bookmarkStart w:id="4" w:name="_Toc497733679"/>
      <w:r w:rsidRPr="000E51C9">
        <w:rPr>
          <w:rFonts w:cs="Times New Roman"/>
          <w:i/>
          <w:lang w:val="en-GB"/>
        </w:rPr>
        <w:t>X.2.1</w:t>
      </w:r>
      <w:r w:rsidR="00837D06" w:rsidRPr="000E51C9">
        <w:rPr>
          <w:rFonts w:cs="Times New Roman"/>
          <w:i/>
          <w:lang w:val="en-GB"/>
        </w:rPr>
        <w:t xml:space="preserve"> </w:t>
      </w:r>
      <w:proofErr w:type="gramStart"/>
      <w:r w:rsidR="00C15462" w:rsidRPr="000E51C9">
        <w:rPr>
          <w:rFonts w:cs="Times New Roman"/>
          <w:i/>
          <w:lang w:val="en-GB"/>
        </w:rPr>
        <w:t>How</w:t>
      </w:r>
      <w:proofErr w:type="gramEnd"/>
      <w:r w:rsidR="00C15462" w:rsidRPr="000E51C9">
        <w:rPr>
          <w:rFonts w:cs="Times New Roman"/>
          <w:i/>
          <w:lang w:val="en-GB"/>
        </w:rPr>
        <w:t xml:space="preserve"> </w:t>
      </w:r>
      <w:r w:rsidR="004317AA" w:rsidRPr="000E51C9">
        <w:rPr>
          <w:rFonts w:cs="Times New Roman"/>
          <w:i/>
          <w:lang w:val="en-GB"/>
        </w:rPr>
        <w:t>is the Data</w:t>
      </w:r>
      <w:r w:rsidR="007C77AA" w:rsidRPr="000E51C9">
        <w:rPr>
          <w:rFonts w:cs="Times New Roman"/>
          <w:i/>
          <w:lang w:val="en-GB"/>
        </w:rPr>
        <w:t xml:space="preserve"> Gather</w:t>
      </w:r>
      <w:r w:rsidR="00C15462" w:rsidRPr="000E51C9">
        <w:rPr>
          <w:rFonts w:cs="Times New Roman"/>
          <w:i/>
          <w:lang w:val="en-GB"/>
        </w:rPr>
        <w:t>ed</w:t>
      </w:r>
      <w:r w:rsidR="007C77AA" w:rsidRPr="000E51C9">
        <w:rPr>
          <w:rFonts w:cs="Times New Roman"/>
          <w:i/>
          <w:lang w:val="en-GB"/>
        </w:rPr>
        <w:t>?</w:t>
      </w:r>
      <w:bookmarkEnd w:id="4"/>
    </w:p>
    <w:p w14:paraId="06FEAD3A" w14:textId="3475588D" w:rsidR="00463119" w:rsidRPr="000E51C9" w:rsidRDefault="009E41C5" w:rsidP="00163F2E">
      <w:pPr>
        <w:spacing w:line="360" w:lineRule="auto"/>
        <w:jc w:val="both"/>
      </w:pPr>
      <w:r w:rsidRPr="000E51C9">
        <w:rPr>
          <w:lang w:eastAsia="zh-CN"/>
        </w:rPr>
        <w:t>For this study</w:t>
      </w:r>
      <w:r w:rsidR="00F32EEA" w:rsidRPr="000E51C9">
        <w:rPr>
          <w:lang w:eastAsia="zh-CN"/>
        </w:rPr>
        <w:t xml:space="preserve"> 1</w:t>
      </w:r>
      <w:r w:rsidR="00EF6301" w:rsidRPr="000E51C9">
        <w:rPr>
          <w:lang w:eastAsia="zh-CN"/>
        </w:rPr>
        <w:t>58</w:t>
      </w:r>
      <w:r w:rsidR="006A0DE3" w:rsidRPr="000E51C9">
        <w:rPr>
          <w:lang w:eastAsia="zh-CN"/>
        </w:rPr>
        <w:t xml:space="preserve"> </w:t>
      </w:r>
      <w:r w:rsidR="00F32EEA" w:rsidRPr="000E51C9">
        <w:rPr>
          <w:lang w:eastAsia="zh-CN"/>
        </w:rPr>
        <w:t>post-NAFTA</w:t>
      </w:r>
      <w:r w:rsidR="0005604D" w:rsidRPr="000E51C9">
        <w:rPr>
          <w:lang w:eastAsia="zh-CN"/>
        </w:rPr>
        <w:t xml:space="preserve"> </w:t>
      </w:r>
      <w:r w:rsidR="006A0DE3" w:rsidRPr="000E51C9">
        <w:rPr>
          <w:lang w:eastAsia="zh-CN"/>
        </w:rPr>
        <w:t>PTAs were selected</w:t>
      </w:r>
      <w:r w:rsidR="000810A9" w:rsidRPr="000E51C9">
        <w:t xml:space="preserve"> from the WTO </w:t>
      </w:r>
      <w:r w:rsidR="000810A9" w:rsidRPr="000E51C9">
        <w:rPr>
          <w:color w:val="000000" w:themeColor="text1"/>
        </w:rPr>
        <w:t>Regional Trade Agreement Information System (RTA-IS)</w:t>
      </w:r>
      <w:r w:rsidR="00D14D77" w:rsidRPr="000E51C9">
        <w:t>,</w:t>
      </w:r>
      <w:r w:rsidR="00574C9E" w:rsidRPr="000E51C9">
        <w:rPr>
          <w:color w:val="000000" w:themeColor="text1"/>
        </w:rPr>
        <w:t xml:space="preserve"> </w:t>
      </w:r>
      <w:r w:rsidR="0072187A" w:rsidRPr="000E51C9">
        <w:rPr>
          <w:color w:val="000000" w:themeColor="text1"/>
        </w:rPr>
        <w:t xml:space="preserve">the </w:t>
      </w:r>
      <w:r w:rsidR="000A42FD" w:rsidRPr="000E51C9">
        <w:rPr>
          <w:color w:val="000000" w:themeColor="text1"/>
        </w:rPr>
        <w:t>United Nations Conference on Trade and Development (</w:t>
      </w:r>
      <w:r w:rsidR="000810A9" w:rsidRPr="000E51C9">
        <w:rPr>
          <w:color w:val="000000" w:themeColor="text1"/>
        </w:rPr>
        <w:t>UNCTAD</w:t>
      </w:r>
      <w:r w:rsidR="000A42FD" w:rsidRPr="000E51C9">
        <w:rPr>
          <w:color w:val="000000" w:themeColor="text1"/>
        </w:rPr>
        <w:t>)</w:t>
      </w:r>
      <w:r w:rsidR="000810A9" w:rsidRPr="000E51C9">
        <w:rPr>
          <w:color w:val="000000" w:themeColor="text1"/>
        </w:rPr>
        <w:t>’s International Investment Agreements Navigator</w:t>
      </w:r>
      <w:r w:rsidR="000810A9" w:rsidRPr="000E51C9">
        <w:rPr>
          <w:rStyle w:val="Funotenzeichen"/>
        </w:rPr>
        <w:footnoteReference w:id="9"/>
      </w:r>
      <w:r w:rsidR="000810A9" w:rsidRPr="000E51C9">
        <w:rPr>
          <w:color w:val="000000" w:themeColor="text1"/>
        </w:rPr>
        <w:t xml:space="preserve"> </w:t>
      </w:r>
      <w:r w:rsidR="007236B3" w:rsidRPr="000E51C9">
        <w:rPr>
          <w:color w:val="000000" w:themeColor="text1"/>
        </w:rPr>
        <w:t>and</w:t>
      </w:r>
      <w:r w:rsidR="000810A9" w:rsidRPr="000E51C9">
        <w:rPr>
          <w:color w:val="000000" w:themeColor="text1"/>
        </w:rPr>
        <w:t xml:space="preserve"> the official websites of governments and REIOs</w:t>
      </w:r>
      <w:r w:rsidR="008911E7" w:rsidRPr="000E51C9">
        <w:rPr>
          <w:color w:val="000000" w:themeColor="text1"/>
        </w:rPr>
        <w:t>.</w:t>
      </w:r>
      <w:r w:rsidR="000810A9" w:rsidRPr="000E51C9">
        <w:t xml:space="preserve"> </w:t>
      </w:r>
      <w:r w:rsidR="006D03BE" w:rsidRPr="000E51C9">
        <w:t xml:space="preserve">The starting point is the entry into force of NAFTA (1994), since </w:t>
      </w:r>
      <w:r w:rsidR="000F1CFA" w:rsidRPr="000E51C9">
        <w:t>this</w:t>
      </w:r>
      <w:r w:rsidR="006D03BE" w:rsidRPr="000E51C9">
        <w:t xml:space="preserve"> was the first agreement to merge </w:t>
      </w:r>
      <w:proofErr w:type="gramStart"/>
      <w:r w:rsidR="006D03BE" w:rsidRPr="000E51C9">
        <w:t>under</w:t>
      </w:r>
      <w:proofErr w:type="gramEnd"/>
      <w:r w:rsidR="006D03BE" w:rsidRPr="000E51C9">
        <w:t xml:space="preserve"> one roof comprehensive trade and investment provisions</w:t>
      </w:r>
      <w:r w:rsidR="00790246" w:rsidRPr="000E51C9">
        <w:t>.</w:t>
      </w:r>
      <w:r w:rsidR="006D03BE" w:rsidRPr="000E51C9">
        <w:rPr>
          <w:rStyle w:val="Funotenzeichen"/>
        </w:rPr>
        <w:footnoteReference w:id="10"/>
      </w:r>
      <w:r w:rsidR="006D03BE" w:rsidRPr="000E51C9">
        <w:t xml:space="preserve"> </w:t>
      </w:r>
      <w:r w:rsidR="00790246" w:rsidRPr="000E51C9">
        <w:t>Thus,</w:t>
      </w:r>
      <w:r w:rsidR="006D03BE" w:rsidRPr="000E51C9">
        <w:t xml:space="preserve"> </w:t>
      </w:r>
      <w:r w:rsidR="00592FEB" w:rsidRPr="000E51C9">
        <w:t xml:space="preserve">it </w:t>
      </w:r>
      <w:r w:rsidR="006D03BE" w:rsidRPr="000E51C9">
        <w:t>can be regarded as a ‘trendsetter’.</w:t>
      </w:r>
      <w:r w:rsidR="006D03BE" w:rsidRPr="000E51C9">
        <w:rPr>
          <w:rStyle w:val="Funotenzeichen"/>
        </w:rPr>
        <w:footnoteReference w:id="11"/>
      </w:r>
      <w:r w:rsidR="00F91AF4" w:rsidRPr="000E51C9">
        <w:t xml:space="preserve"> The</w:t>
      </w:r>
      <w:r w:rsidR="00B460F0" w:rsidRPr="000E51C9">
        <w:t xml:space="preserve"> number</w:t>
      </w:r>
      <w:r w:rsidR="00BB0296" w:rsidRPr="000E51C9">
        <w:t xml:space="preserve"> </w:t>
      </w:r>
      <w:r w:rsidR="00506B6D" w:rsidRPr="000E51C9">
        <w:t xml:space="preserve">of PTAs selected represents </w:t>
      </w:r>
      <w:r w:rsidR="00B460F0" w:rsidRPr="000E51C9">
        <w:t>over</w:t>
      </w:r>
      <w:r w:rsidR="00597FA4" w:rsidRPr="000E51C9">
        <w:t xml:space="preserve"> half of </w:t>
      </w:r>
      <w:r w:rsidR="00597FA4" w:rsidRPr="000E51C9">
        <w:rPr>
          <w:i/>
        </w:rPr>
        <w:t>all</w:t>
      </w:r>
      <w:r w:rsidR="00597FA4" w:rsidRPr="000E51C9">
        <w:t xml:space="preserve"> </w:t>
      </w:r>
      <w:r w:rsidR="00B460F0" w:rsidRPr="000E51C9">
        <w:t xml:space="preserve">PTAs </w:t>
      </w:r>
      <w:r w:rsidR="00474465" w:rsidRPr="000E51C9">
        <w:t xml:space="preserve">(pre- and post-NAFTA) </w:t>
      </w:r>
      <w:r w:rsidR="00B460F0" w:rsidRPr="000E51C9">
        <w:t>registered in the</w:t>
      </w:r>
      <w:r w:rsidR="00F00921" w:rsidRPr="000E51C9">
        <w:t xml:space="preserve"> WTO</w:t>
      </w:r>
      <w:r w:rsidR="00474465" w:rsidRPr="000E51C9">
        <w:t xml:space="preserve"> RTA-IS that have entered into force.</w:t>
      </w:r>
      <w:r w:rsidR="00B460F0" w:rsidRPr="000E51C9">
        <w:rPr>
          <w:rStyle w:val="Funotenzeichen"/>
          <w:color w:val="000000" w:themeColor="text1"/>
        </w:rPr>
        <w:footnoteReference w:id="12"/>
      </w:r>
      <w:r w:rsidR="00BB0296" w:rsidRPr="000E51C9">
        <w:t xml:space="preserve"> </w:t>
      </w:r>
      <w:r w:rsidR="00DD2103" w:rsidRPr="000E51C9">
        <w:rPr>
          <w:color w:val="000000" w:themeColor="text1"/>
        </w:rPr>
        <w:t>Besides the</w:t>
      </w:r>
      <w:r w:rsidR="002124AC" w:rsidRPr="000E51C9">
        <w:rPr>
          <w:color w:val="000000" w:themeColor="text1"/>
        </w:rPr>
        <w:t xml:space="preserve"> treaty</w:t>
      </w:r>
      <w:r w:rsidR="00DD2103" w:rsidRPr="000E51C9">
        <w:rPr>
          <w:color w:val="000000" w:themeColor="text1"/>
        </w:rPr>
        <w:t xml:space="preserve"> texts</w:t>
      </w:r>
      <w:r w:rsidR="007372B6" w:rsidRPr="000E51C9">
        <w:rPr>
          <w:color w:val="000000" w:themeColor="text1"/>
        </w:rPr>
        <w:t>,</w:t>
      </w:r>
      <w:r w:rsidR="00DD2103" w:rsidRPr="000E51C9">
        <w:rPr>
          <w:color w:val="000000" w:themeColor="text1"/>
        </w:rPr>
        <w:t xml:space="preserve"> policy documents, </w:t>
      </w:r>
      <w:r w:rsidR="006E5FFE" w:rsidRPr="000E51C9">
        <w:rPr>
          <w:color w:val="000000" w:themeColor="text1"/>
        </w:rPr>
        <w:t>model agreements</w:t>
      </w:r>
      <w:r w:rsidR="00DD2103" w:rsidRPr="000E51C9">
        <w:rPr>
          <w:color w:val="000000" w:themeColor="text1"/>
        </w:rPr>
        <w:t xml:space="preserve"> and academic literature</w:t>
      </w:r>
      <w:r w:rsidR="00827626" w:rsidRPr="000E51C9">
        <w:rPr>
          <w:color w:val="000000" w:themeColor="text1"/>
        </w:rPr>
        <w:t xml:space="preserve"> were also consulted</w:t>
      </w:r>
      <w:r w:rsidR="00DD2103" w:rsidRPr="000E51C9">
        <w:rPr>
          <w:color w:val="000000" w:themeColor="text1"/>
        </w:rPr>
        <w:t>.</w:t>
      </w:r>
      <w:r w:rsidR="005A2E3E" w:rsidRPr="000E51C9">
        <w:rPr>
          <w:rStyle w:val="Funotenzeichen"/>
          <w:color w:val="000000" w:themeColor="text1"/>
        </w:rPr>
        <w:footnoteReference w:id="13"/>
      </w:r>
      <w:r w:rsidR="001173A9" w:rsidRPr="000E51C9">
        <w:rPr>
          <w:color w:val="000000" w:themeColor="text1"/>
        </w:rPr>
        <w:t xml:space="preserve"> </w:t>
      </w:r>
    </w:p>
    <w:p w14:paraId="2FF700A2" w14:textId="14D2F5FD" w:rsidR="00837D06" w:rsidRPr="000E51C9" w:rsidRDefault="00463119" w:rsidP="007D559F">
      <w:pPr>
        <w:spacing w:line="360" w:lineRule="auto"/>
        <w:ind w:firstLine="288"/>
        <w:jc w:val="both"/>
      </w:pPr>
      <w:r w:rsidRPr="000E51C9">
        <w:lastRenderedPageBreak/>
        <w:t>S</w:t>
      </w:r>
      <w:r w:rsidR="00837D06" w:rsidRPr="000E51C9">
        <w:t xml:space="preserve">ome parameters </w:t>
      </w:r>
      <w:r w:rsidRPr="000E51C9">
        <w:t>also need to</w:t>
      </w:r>
      <w:r w:rsidR="00837D06" w:rsidRPr="000E51C9">
        <w:t xml:space="preserve"> be set. First, the determining factor in the selection of the treaties is not the</w:t>
      </w:r>
      <w:r w:rsidR="000F3F73" w:rsidRPr="000E51C9">
        <w:t>ir names but their contents.</w:t>
      </w:r>
      <w:r w:rsidR="00837D06" w:rsidRPr="000E51C9">
        <w:t xml:space="preserve"> </w:t>
      </w:r>
      <w:r w:rsidR="001E227A" w:rsidRPr="000E51C9">
        <w:t xml:space="preserve">The agreements must include clear </w:t>
      </w:r>
      <w:r w:rsidR="00837D06" w:rsidRPr="000E51C9">
        <w:t>obligations and legal commitments to liberali</w:t>
      </w:r>
      <w:r w:rsidR="000A42FD" w:rsidRPr="000E51C9">
        <w:t>s</w:t>
      </w:r>
      <w:r w:rsidR="00837D06" w:rsidRPr="000E51C9">
        <w:t xml:space="preserve">e trade between </w:t>
      </w:r>
      <w:r w:rsidR="002124AC" w:rsidRPr="000E51C9">
        <w:t>the parties</w:t>
      </w:r>
      <w:r w:rsidR="00837D06" w:rsidRPr="000E51C9">
        <w:t xml:space="preserve"> and not just hortatory or promissory language</w:t>
      </w:r>
      <w:r w:rsidR="00FC4FE9" w:rsidRPr="000E51C9">
        <w:t>, common for so-called framework agreements.</w:t>
      </w:r>
      <w:r w:rsidR="00FC4FE9" w:rsidRPr="000E51C9">
        <w:rPr>
          <w:rStyle w:val="Funotenzeichen"/>
        </w:rPr>
        <w:t xml:space="preserve"> </w:t>
      </w:r>
      <w:r w:rsidR="00FC4FE9" w:rsidRPr="000E51C9">
        <w:rPr>
          <w:rStyle w:val="Funotenzeichen"/>
        </w:rPr>
        <w:footnoteReference w:id="14"/>
      </w:r>
      <w:r w:rsidR="00837D06" w:rsidRPr="000E51C9">
        <w:t xml:space="preserve"> </w:t>
      </w:r>
    </w:p>
    <w:p w14:paraId="31E0087D" w14:textId="0BEBEF31" w:rsidR="00837D06" w:rsidRPr="000E51C9" w:rsidRDefault="00837D06" w:rsidP="007D559F">
      <w:pPr>
        <w:spacing w:line="360" w:lineRule="auto"/>
        <w:ind w:firstLine="288"/>
        <w:jc w:val="both"/>
      </w:pPr>
      <w:r w:rsidRPr="000E51C9">
        <w:t xml:space="preserve">Second, </w:t>
      </w:r>
      <w:r w:rsidR="00895129" w:rsidRPr="000E51C9">
        <w:t xml:space="preserve">the sample includes both bilateral and </w:t>
      </w:r>
      <w:proofErr w:type="spellStart"/>
      <w:r w:rsidR="00895129" w:rsidRPr="000E51C9">
        <w:t>plurilateral</w:t>
      </w:r>
      <w:proofErr w:type="spellEnd"/>
      <w:r w:rsidR="00895129" w:rsidRPr="000E51C9">
        <w:t xml:space="preserve"> agreements (the latter being popular among Afr</w:t>
      </w:r>
      <w:r w:rsidR="00EE6931" w:rsidRPr="000E51C9">
        <w:t>ican and Asian countries) for which</w:t>
      </w:r>
      <w:r w:rsidR="00895129" w:rsidRPr="000E51C9">
        <w:t xml:space="preserve"> a final version of the text exists</w:t>
      </w:r>
      <w:r w:rsidRPr="000E51C9">
        <w:t xml:space="preserve">. </w:t>
      </w:r>
      <w:r w:rsidR="00E420CA" w:rsidRPr="000E51C9">
        <w:t>Treaties that are being negotiated at the moment of writing are excluded from the statisti</w:t>
      </w:r>
      <w:r w:rsidR="009B74E8" w:rsidRPr="000E51C9">
        <w:t>cs; however, they are discussed if they carry a high normative force, such as TTIP.</w:t>
      </w:r>
      <w:r w:rsidR="00E420CA" w:rsidRPr="000E51C9">
        <w:t xml:space="preserve"> </w:t>
      </w:r>
    </w:p>
    <w:p w14:paraId="02159D75" w14:textId="2300B2D3" w:rsidR="00F273C9" w:rsidRPr="000E51C9" w:rsidRDefault="00B95F28" w:rsidP="007D559F">
      <w:pPr>
        <w:spacing w:line="360" w:lineRule="auto"/>
        <w:ind w:firstLine="288"/>
        <w:jc w:val="both"/>
      </w:pPr>
      <w:r w:rsidRPr="000E51C9">
        <w:t>Third</w:t>
      </w:r>
      <w:r w:rsidR="00584B1C" w:rsidRPr="000E51C9">
        <w:t xml:space="preserve">, </w:t>
      </w:r>
      <w:r w:rsidR="00381114" w:rsidRPr="000E51C9">
        <w:t>we selected</w:t>
      </w:r>
      <w:r w:rsidR="006657AD" w:rsidRPr="000E51C9">
        <w:t xml:space="preserve"> 15 countries and REIOs</w:t>
      </w:r>
      <w:r w:rsidR="00381114" w:rsidRPr="000E51C9">
        <w:t xml:space="preserve"> from around the world</w:t>
      </w:r>
      <w:r w:rsidR="006657AD" w:rsidRPr="000E51C9">
        <w:t xml:space="preserve">, namely: the </w:t>
      </w:r>
      <w:r w:rsidR="0071458F" w:rsidRPr="000E51C9">
        <w:t>United States (</w:t>
      </w:r>
      <w:r w:rsidR="006657AD" w:rsidRPr="000E51C9">
        <w:t>US</w:t>
      </w:r>
      <w:r w:rsidR="0071458F" w:rsidRPr="000E51C9">
        <w:t>)</w:t>
      </w:r>
      <w:r w:rsidR="006657AD" w:rsidRPr="000E51C9">
        <w:t xml:space="preserve">, Canada, the </w:t>
      </w:r>
      <w:r w:rsidR="00D64D15" w:rsidRPr="000E51C9">
        <w:t>European Union (</w:t>
      </w:r>
      <w:r w:rsidR="006657AD" w:rsidRPr="000E51C9">
        <w:t>EU</w:t>
      </w:r>
      <w:r w:rsidR="00D64D15" w:rsidRPr="000E51C9">
        <w:t>)</w:t>
      </w:r>
      <w:r w:rsidR="006657AD" w:rsidRPr="000E51C9">
        <w:t xml:space="preserve">, China, India, Japan, </w:t>
      </w:r>
      <w:r w:rsidR="00D64D15" w:rsidRPr="000E51C9">
        <w:t xml:space="preserve">the </w:t>
      </w:r>
      <w:r w:rsidR="00D64D15" w:rsidRPr="000E51C9">
        <w:rPr>
          <w:rFonts w:eastAsia="Malgun Gothic"/>
          <w:color w:val="000000" w:themeColor="text1"/>
          <w:lang w:eastAsia="ko-KR"/>
        </w:rPr>
        <w:t>Association of Southeast Asian Nations</w:t>
      </w:r>
      <w:r w:rsidR="00D64D15" w:rsidRPr="000E51C9">
        <w:t xml:space="preserve"> (</w:t>
      </w:r>
      <w:r w:rsidR="006657AD" w:rsidRPr="000E51C9">
        <w:t>ASEAN</w:t>
      </w:r>
      <w:r w:rsidR="00D64D15" w:rsidRPr="000E51C9">
        <w:t>)</w:t>
      </w:r>
      <w:r w:rsidR="006657AD" w:rsidRPr="000E51C9">
        <w:t xml:space="preserve">, Australia, Brazil, Chile, </w:t>
      </w:r>
      <w:r w:rsidR="00D64D15" w:rsidRPr="000E51C9">
        <w:t>the Southern Common Market (</w:t>
      </w:r>
      <w:r w:rsidR="006657AD" w:rsidRPr="000E51C9">
        <w:t>MERCOSUR</w:t>
      </w:r>
      <w:r w:rsidR="00D64D15" w:rsidRPr="000E51C9">
        <w:t>)</w:t>
      </w:r>
      <w:r w:rsidR="006657AD" w:rsidRPr="000E51C9">
        <w:t xml:space="preserve">, </w:t>
      </w:r>
      <w:r w:rsidR="00D64D15" w:rsidRPr="000E51C9">
        <w:t>the Caribbean Community (</w:t>
      </w:r>
      <w:r w:rsidR="006657AD" w:rsidRPr="000E51C9">
        <w:t>CARICOM</w:t>
      </w:r>
      <w:r w:rsidR="00D64D15" w:rsidRPr="000E51C9">
        <w:t>)</w:t>
      </w:r>
      <w:r w:rsidR="006657AD" w:rsidRPr="000E51C9">
        <w:t xml:space="preserve">, Morocco, South Africa and several inter-African regional agreements. </w:t>
      </w:r>
      <w:r w:rsidR="00531E7E" w:rsidRPr="000E51C9">
        <w:t xml:space="preserve">When </w:t>
      </w:r>
      <w:r w:rsidR="000412B2" w:rsidRPr="000E51C9">
        <w:t>selecting</w:t>
      </w:r>
      <w:r w:rsidR="00531E7E" w:rsidRPr="000E51C9">
        <w:t xml:space="preserve"> the representative countries/REIOs</w:t>
      </w:r>
      <w:r w:rsidR="00D64D15" w:rsidRPr="000E51C9">
        <w:t>,</w:t>
      </w:r>
      <w:r w:rsidR="00531E7E" w:rsidRPr="000E51C9">
        <w:t xml:space="preserve"> </w:t>
      </w:r>
      <w:r w:rsidR="002F4867" w:rsidRPr="000E51C9">
        <w:t>various</w:t>
      </w:r>
      <w:r w:rsidR="000412B2" w:rsidRPr="000E51C9">
        <w:t xml:space="preserve"> factors were </w:t>
      </w:r>
      <w:r w:rsidR="00A446BF" w:rsidRPr="000E51C9">
        <w:t>considered</w:t>
      </w:r>
      <w:r w:rsidR="000412B2" w:rsidRPr="000E51C9">
        <w:t>,</w:t>
      </w:r>
      <w:r w:rsidR="002201A3" w:rsidRPr="000E51C9">
        <w:t xml:space="preserve"> such as the number of PTAs concluded, the ability of a country/REIO to be a rule-maker, </w:t>
      </w:r>
      <w:r w:rsidR="00A91763" w:rsidRPr="000E51C9">
        <w:t xml:space="preserve">its </w:t>
      </w:r>
      <w:r w:rsidR="002201A3" w:rsidRPr="000E51C9">
        <w:t xml:space="preserve">economic might, </w:t>
      </w:r>
      <w:r w:rsidR="00A91763" w:rsidRPr="000E51C9">
        <w:t xml:space="preserve">the need to have a balanced geographical representation, </w:t>
      </w:r>
      <w:r w:rsidR="002201A3" w:rsidRPr="000E51C9">
        <w:t>etc.</w:t>
      </w:r>
      <w:r w:rsidR="006F1C40" w:rsidRPr="000E51C9">
        <w:t xml:space="preserve"> For example</w:t>
      </w:r>
      <w:r w:rsidR="00F15864" w:rsidRPr="000E51C9">
        <w:t xml:space="preserve">, when selecting the US or the EU, one </w:t>
      </w:r>
      <w:r w:rsidR="00A446BF" w:rsidRPr="000E51C9">
        <w:t>must</w:t>
      </w:r>
      <w:r w:rsidR="00F15864" w:rsidRPr="000E51C9">
        <w:t xml:space="preserve"> take into account the normative force exerted by their agreements</w:t>
      </w:r>
      <w:r w:rsidR="002201A3" w:rsidRPr="000E51C9">
        <w:rPr>
          <w:rStyle w:val="Funotenzeichen"/>
        </w:rPr>
        <w:footnoteReference w:id="15"/>
      </w:r>
      <w:r w:rsidR="00F15864" w:rsidRPr="000E51C9">
        <w:t xml:space="preserve"> and </w:t>
      </w:r>
      <w:r w:rsidR="002201A3" w:rsidRPr="000E51C9">
        <w:t xml:space="preserve">their </w:t>
      </w:r>
      <w:r w:rsidR="00F15864" w:rsidRPr="000E51C9">
        <w:t>sheer economic might.</w:t>
      </w:r>
      <w:r w:rsidR="005950BC" w:rsidRPr="000E51C9">
        <w:t xml:space="preserve"> </w:t>
      </w:r>
      <w:r w:rsidR="00F15864" w:rsidRPr="000E51C9">
        <w:t xml:space="preserve">Similar </w:t>
      </w:r>
      <w:r w:rsidR="002201A3" w:rsidRPr="000E51C9">
        <w:t xml:space="preserve">factors were also taken into consideration when choosing Japan, China and India. </w:t>
      </w:r>
      <w:r w:rsidR="004954C3" w:rsidRPr="000E51C9">
        <w:t xml:space="preserve">For </w:t>
      </w:r>
      <w:r w:rsidR="002201A3" w:rsidRPr="000E51C9">
        <w:t>the latter two, recent academic discussions on the goal of China and India to become rule-makers and not rule-takers</w:t>
      </w:r>
      <w:r w:rsidR="00F273C9" w:rsidRPr="000E51C9">
        <w:t xml:space="preserve"> were also consulted</w:t>
      </w:r>
      <w:r w:rsidR="002201A3" w:rsidRPr="000E51C9">
        <w:t>.</w:t>
      </w:r>
      <w:r w:rsidR="002201A3" w:rsidRPr="000E51C9">
        <w:rPr>
          <w:rStyle w:val="Funotenzeichen"/>
        </w:rPr>
        <w:footnoteReference w:id="16"/>
      </w:r>
      <w:r w:rsidR="002201A3" w:rsidRPr="000E51C9">
        <w:t xml:space="preserve"> </w:t>
      </w:r>
    </w:p>
    <w:p w14:paraId="7DB1F58F" w14:textId="61630AE8" w:rsidR="00837D06" w:rsidRPr="000E51C9" w:rsidRDefault="00F273C9" w:rsidP="007D559F">
      <w:pPr>
        <w:spacing w:line="360" w:lineRule="auto"/>
        <w:ind w:firstLine="288"/>
        <w:jc w:val="both"/>
      </w:pPr>
      <w:r w:rsidRPr="000E51C9">
        <w:t xml:space="preserve">It was also necessary to ensure an </w:t>
      </w:r>
      <w:r w:rsidR="002201A3" w:rsidRPr="000E51C9">
        <w:t xml:space="preserve">adequate geographical and ideological balance as well as a balance between countries and REIOs. </w:t>
      </w:r>
      <w:r w:rsidR="00A446BF" w:rsidRPr="000E51C9">
        <w:t>Thus,</w:t>
      </w:r>
      <w:r w:rsidR="002201A3" w:rsidRPr="000E51C9">
        <w:t xml:space="preserve"> for the Latin American region</w:t>
      </w:r>
      <w:r w:rsidR="00AD6FC9" w:rsidRPr="000E51C9">
        <w:t>,</w:t>
      </w:r>
      <w:r w:rsidR="002201A3" w:rsidRPr="000E51C9">
        <w:t xml:space="preserve"> Chile, a country with an open </w:t>
      </w:r>
      <w:r w:rsidR="00D84EC0" w:rsidRPr="000E51C9">
        <w:t>investment policy</w:t>
      </w:r>
      <w:r w:rsidR="002201A3" w:rsidRPr="000E51C9">
        <w:t>, and Brazil, a country known for its aversion towards main-</w:t>
      </w:r>
      <w:r w:rsidR="002201A3" w:rsidRPr="000E51C9">
        <w:lastRenderedPageBreak/>
        <w:t>stream investment law and policy</w:t>
      </w:r>
      <w:r w:rsidR="009A405A" w:rsidRPr="000E51C9">
        <w:t xml:space="preserve">, </w:t>
      </w:r>
      <w:r w:rsidR="0098549F" w:rsidRPr="000E51C9">
        <w:t>wer</w:t>
      </w:r>
      <w:r w:rsidR="005742B8" w:rsidRPr="000E51C9">
        <w:t>e</w:t>
      </w:r>
      <w:r w:rsidR="0098549F" w:rsidRPr="000E51C9">
        <w:t xml:space="preserve"> </w:t>
      </w:r>
      <w:r w:rsidR="005742B8" w:rsidRPr="000E51C9">
        <w:t>chosen</w:t>
      </w:r>
      <w:r w:rsidR="002201A3" w:rsidRPr="000E51C9">
        <w:t>.</w:t>
      </w:r>
      <w:r w:rsidR="00E203FA" w:rsidRPr="000E51C9">
        <w:rPr>
          <w:rStyle w:val="Funotenzeichen"/>
        </w:rPr>
        <w:footnoteReference w:id="17"/>
      </w:r>
      <w:r w:rsidR="002201A3" w:rsidRPr="000E51C9">
        <w:t xml:space="preserve"> Two REIOs, MERCOSUR and CARICOM, </w:t>
      </w:r>
      <w:r w:rsidR="00160311" w:rsidRPr="000E51C9">
        <w:t>were also</w:t>
      </w:r>
      <w:r w:rsidR="002201A3" w:rsidRPr="000E51C9">
        <w:t xml:space="preserve"> added to the Latin American Region. </w:t>
      </w:r>
      <w:r w:rsidR="00937B6E" w:rsidRPr="000E51C9">
        <w:t>I</w:t>
      </w:r>
      <w:r w:rsidR="002201A3" w:rsidRPr="000E51C9">
        <w:t>n Africa (beyond some difficulti</w:t>
      </w:r>
      <w:r w:rsidR="00EC1E68" w:rsidRPr="000E51C9">
        <w:t xml:space="preserve">es in gathering data, see </w:t>
      </w:r>
      <w:r w:rsidR="00AD6FC9" w:rsidRPr="000E51C9">
        <w:t>section X.</w:t>
      </w:r>
      <w:r w:rsidR="00EC1E68" w:rsidRPr="000E51C9">
        <w:t>2.5</w:t>
      </w:r>
      <w:r w:rsidR="002201A3" w:rsidRPr="000E51C9">
        <w:t xml:space="preserve">) </w:t>
      </w:r>
      <w:r w:rsidR="00B95F28" w:rsidRPr="000E51C9">
        <w:t xml:space="preserve">the study covered </w:t>
      </w:r>
      <w:r w:rsidR="002201A3" w:rsidRPr="000E51C9">
        <w:t>the major inter-African REIOs</w:t>
      </w:r>
      <w:r w:rsidR="00D11BF4" w:rsidRPr="000E51C9">
        <w:t xml:space="preserve"> and</w:t>
      </w:r>
      <w:r w:rsidR="007E0CC1" w:rsidRPr="000E51C9">
        <w:t xml:space="preserve"> </w:t>
      </w:r>
      <w:r w:rsidR="00DF1737" w:rsidRPr="000E51C9">
        <w:t>considered</w:t>
      </w:r>
      <w:r w:rsidR="007E0CC1" w:rsidRPr="000E51C9">
        <w:t xml:space="preserve"> a representative from sub-Saharan Africa (South Africa) and one from Northern Africa (Morocco). </w:t>
      </w:r>
      <w:r w:rsidR="0024443F" w:rsidRPr="000E51C9">
        <w:t>Furthermore,</w:t>
      </w:r>
      <w:r w:rsidR="00837D06" w:rsidRPr="000E51C9">
        <w:t xml:space="preserve"> the traditional North-South/capital exporting-capital importing type of agreements </w:t>
      </w:r>
      <w:r w:rsidR="00B42A49" w:rsidRPr="000E51C9">
        <w:t xml:space="preserve">has </w:t>
      </w:r>
      <w:r w:rsidR="00837D06" w:rsidRPr="000E51C9">
        <w:t>now given way to a more complex scene that also includes agreements between traditionally capital importing or exporting countries.</w:t>
      </w:r>
      <w:r w:rsidR="00837D06" w:rsidRPr="000E51C9">
        <w:rPr>
          <w:rStyle w:val="Funotenzeichen"/>
        </w:rPr>
        <w:footnoteReference w:id="18"/>
      </w:r>
      <w:r w:rsidR="00837D06" w:rsidRPr="000E51C9">
        <w:t xml:space="preserve"> </w:t>
      </w:r>
    </w:p>
    <w:p w14:paraId="336A684D" w14:textId="18C88D7F" w:rsidR="00F65973" w:rsidRPr="000E51C9" w:rsidRDefault="000F50CE" w:rsidP="007D559F">
      <w:pPr>
        <w:spacing w:line="360" w:lineRule="auto"/>
        <w:ind w:firstLine="288"/>
        <w:jc w:val="both"/>
      </w:pPr>
      <w:r w:rsidRPr="000E51C9">
        <w:t xml:space="preserve">Fourth, </w:t>
      </w:r>
      <w:r w:rsidR="006A0DDA" w:rsidRPr="000E51C9">
        <w:t xml:space="preserve">the qualitative side of the analysis </w:t>
      </w:r>
      <w:r w:rsidR="0064570F" w:rsidRPr="000E51C9">
        <w:t xml:space="preserve">focuses on investment protection provisions </w:t>
      </w:r>
      <w:r w:rsidR="00AA4C27" w:rsidRPr="000E51C9">
        <w:t>that</w:t>
      </w:r>
      <w:r w:rsidR="0064570F" w:rsidRPr="000E51C9">
        <w:t xml:space="preserve"> traditionally appear in BITs and excludes the services chapters of PTAs</w:t>
      </w:r>
      <w:r w:rsidR="005B12FD" w:rsidRPr="000E51C9">
        <w:t>; the latter</w:t>
      </w:r>
      <w:r w:rsidR="00777640" w:rsidRPr="000E51C9">
        <w:t>,</w:t>
      </w:r>
      <w:r w:rsidR="006C10DD" w:rsidRPr="000E51C9">
        <w:t xml:space="preserve"> in essence</w:t>
      </w:r>
      <w:r w:rsidR="00A96CB3" w:rsidRPr="000E51C9">
        <w:t>,</w:t>
      </w:r>
      <w:r w:rsidR="006C10DD" w:rsidRPr="000E51C9">
        <w:t xml:space="preserve"> </w:t>
      </w:r>
      <w:r w:rsidR="0064570F" w:rsidRPr="000E51C9">
        <w:t>do not deal with investment protection standards and ISDS.</w:t>
      </w:r>
      <w:r w:rsidR="0064570F" w:rsidRPr="000E51C9">
        <w:rPr>
          <w:rStyle w:val="Funotenzeichen"/>
        </w:rPr>
        <w:footnoteReference w:id="19"/>
      </w:r>
      <w:r w:rsidR="0064570F" w:rsidRPr="000E51C9">
        <w:t xml:space="preserve"> </w:t>
      </w:r>
      <w:r w:rsidR="00BC05C6" w:rsidRPr="000E51C9">
        <w:t>The study examines the occurrence of the following</w:t>
      </w:r>
      <w:r w:rsidR="006A0DDA" w:rsidRPr="000E51C9">
        <w:t xml:space="preserve"> core standards of investment protection: national treatment (NT), most-favoured nation treatment (MFN), prohibition of expropriation and other standards, such as fair and equitable treatment (FET), full protection and security (FPS), protection from civil strife, etc. Furthe</w:t>
      </w:r>
      <w:r w:rsidR="000558CF" w:rsidRPr="000E51C9">
        <w:t>r</w:t>
      </w:r>
      <w:r w:rsidR="006A0DDA" w:rsidRPr="000E51C9">
        <w:t xml:space="preserve">more, it </w:t>
      </w:r>
      <w:r w:rsidR="00AA07E9" w:rsidRPr="000E51C9">
        <w:t>looks at</w:t>
      </w:r>
      <w:r w:rsidR="006A0DDA" w:rsidRPr="000E51C9">
        <w:t xml:space="preserve"> whether ISDS is included, and if so, whether the agreements provide a choice between multiple arbitral rules. </w:t>
      </w:r>
    </w:p>
    <w:p w14:paraId="0ECDA215" w14:textId="77777777" w:rsidR="00DE7754" w:rsidRPr="000E51C9" w:rsidRDefault="00DE7754" w:rsidP="00DE7754">
      <w:pPr>
        <w:spacing w:line="360" w:lineRule="auto"/>
        <w:ind w:firstLine="426"/>
        <w:jc w:val="both"/>
      </w:pPr>
    </w:p>
    <w:p w14:paraId="2F4979D6" w14:textId="2A2D0246" w:rsidR="00A31F15" w:rsidRPr="000E51C9" w:rsidRDefault="00077B1B" w:rsidP="007D559F">
      <w:pPr>
        <w:pStyle w:val="berschrift2"/>
        <w:spacing w:before="0" w:after="0" w:line="360" w:lineRule="auto"/>
        <w:rPr>
          <w:lang w:val="en-GB"/>
        </w:rPr>
      </w:pPr>
      <w:bookmarkStart w:id="5" w:name="_Toc475435344"/>
      <w:bookmarkStart w:id="6" w:name="_Toc497733680"/>
      <w:r w:rsidRPr="000E51C9">
        <w:rPr>
          <w:rFonts w:cs="Times New Roman"/>
          <w:i/>
          <w:lang w:val="en-GB"/>
        </w:rPr>
        <w:t xml:space="preserve">X.2.2 </w:t>
      </w:r>
      <w:proofErr w:type="gramStart"/>
      <w:r w:rsidR="00837D06" w:rsidRPr="000E51C9">
        <w:rPr>
          <w:rFonts w:cs="Times New Roman"/>
          <w:i/>
          <w:lang w:val="en-GB"/>
        </w:rPr>
        <w:t>The</w:t>
      </w:r>
      <w:proofErr w:type="gramEnd"/>
      <w:r w:rsidR="00837D06" w:rsidRPr="000E51C9">
        <w:rPr>
          <w:rFonts w:cs="Times New Roman"/>
          <w:i/>
          <w:lang w:val="en-GB"/>
        </w:rPr>
        <w:t xml:space="preserve"> North-Atlantic</w:t>
      </w:r>
      <w:bookmarkEnd w:id="5"/>
      <w:bookmarkEnd w:id="6"/>
      <w:r w:rsidR="00837D06" w:rsidRPr="000E51C9">
        <w:rPr>
          <w:rFonts w:cs="Times New Roman"/>
          <w:i/>
          <w:lang w:val="en-GB"/>
        </w:rPr>
        <w:t xml:space="preserve"> </w:t>
      </w:r>
    </w:p>
    <w:p w14:paraId="0326BD6E" w14:textId="3793A235" w:rsidR="00017044" w:rsidRPr="000E51C9" w:rsidRDefault="00837D06" w:rsidP="00163F2E">
      <w:pPr>
        <w:spacing w:line="360" w:lineRule="auto"/>
        <w:jc w:val="both"/>
      </w:pPr>
      <w:proofErr w:type="spellStart"/>
      <w:r w:rsidRPr="000E51C9">
        <w:t>i</w:t>
      </w:r>
      <w:proofErr w:type="spellEnd"/>
      <w:r w:rsidRPr="000E51C9">
        <w:t xml:space="preserve">. </w:t>
      </w:r>
      <w:r w:rsidRPr="000E51C9">
        <w:rPr>
          <w:i/>
        </w:rPr>
        <w:t xml:space="preserve">United States - </w:t>
      </w:r>
      <w:r w:rsidR="004C6A6C" w:rsidRPr="000E51C9">
        <w:t xml:space="preserve">Following NAFTA, the US </w:t>
      </w:r>
      <w:r w:rsidR="00831624" w:rsidRPr="000E51C9">
        <w:t xml:space="preserve">concluded </w:t>
      </w:r>
      <w:r w:rsidR="00E70381" w:rsidRPr="000E51C9">
        <w:t>12</w:t>
      </w:r>
      <w:r w:rsidR="00831624" w:rsidRPr="000E51C9">
        <w:t xml:space="preserve"> </w:t>
      </w:r>
      <w:r w:rsidR="00263C1C" w:rsidRPr="000E51C9">
        <w:t>FTA</w:t>
      </w:r>
      <w:r w:rsidR="00831624" w:rsidRPr="000E51C9">
        <w:t>s in the period between 2000 and 2007</w:t>
      </w:r>
      <w:r w:rsidR="00CB11D8" w:rsidRPr="000E51C9">
        <w:t>.</w:t>
      </w:r>
      <w:r w:rsidR="00CB11D8" w:rsidRPr="000E51C9">
        <w:rPr>
          <w:rStyle w:val="Funotenzeichen"/>
        </w:rPr>
        <w:footnoteReference w:id="20"/>
      </w:r>
      <w:r w:rsidR="002536A4" w:rsidRPr="000E51C9">
        <w:t xml:space="preserve"> </w:t>
      </w:r>
      <w:r w:rsidR="0059386F" w:rsidRPr="000E51C9">
        <w:t xml:space="preserve">The statistics also include </w:t>
      </w:r>
      <w:r w:rsidR="003C57EB" w:rsidRPr="000E51C9">
        <w:t>NAFTA, while t</w:t>
      </w:r>
      <w:r w:rsidR="002536A4" w:rsidRPr="000E51C9">
        <w:t xml:space="preserve">he two mega-regionals (TPP and TTIP) were </w:t>
      </w:r>
      <w:r w:rsidR="003C57EB" w:rsidRPr="000E51C9">
        <w:t>excluded</w:t>
      </w:r>
      <w:r w:rsidR="002536A4" w:rsidRPr="000E51C9">
        <w:t xml:space="preserve"> due to their uncertain future for the US</w:t>
      </w:r>
      <w:r w:rsidR="00053765" w:rsidRPr="000E51C9">
        <w:t>.</w:t>
      </w:r>
      <w:r w:rsidR="002536A4" w:rsidRPr="000E51C9">
        <w:t xml:space="preserve"> </w:t>
      </w:r>
    </w:p>
    <w:p w14:paraId="178CEE20" w14:textId="2A9729E0" w:rsidR="009D6EF0" w:rsidRPr="000E51C9" w:rsidRDefault="00017044" w:rsidP="007D559F">
      <w:pPr>
        <w:spacing w:line="360" w:lineRule="auto"/>
        <w:ind w:firstLine="288"/>
        <w:jc w:val="both"/>
      </w:pPr>
      <w:r w:rsidRPr="000E51C9">
        <w:t>As others have noted,</w:t>
      </w:r>
      <w:r w:rsidR="0061502D" w:rsidRPr="000E51C9">
        <w:rPr>
          <w:rStyle w:val="Funotenzeichen"/>
        </w:rPr>
        <w:footnoteReference w:id="21"/>
      </w:r>
      <w:r w:rsidRPr="000E51C9">
        <w:t xml:space="preserve"> NAFTA had a tremendous influence on the design of subsequent FTAs with investment chapters either directly or by influencing the </w:t>
      </w:r>
      <w:r w:rsidR="00837D06" w:rsidRPr="000E51C9">
        <w:t>2004/2012 US Model BITs</w:t>
      </w:r>
      <w:r w:rsidR="00A96CB3" w:rsidRPr="000E51C9">
        <w:t>,</w:t>
      </w:r>
      <w:r w:rsidR="00837D06" w:rsidRPr="000E51C9">
        <w:t xml:space="preserve"> which in turn</w:t>
      </w:r>
      <w:r w:rsidR="002E395D" w:rsidRPr="000E51C9">
        <w:t xml:space="preserve"> affected the design </w:t>
      </w:r>
      <w:r w:rsidR="000D6464" w:rsidRPr="000E51C9">
        <w:t xml:space="preserve">of </w:t>
      </w:r>
      <w:r w:rsidR="002E395D" w:rsidRPr="000E51C9">
        <w:t xml:space="preserve">investment chapters in </w:t>
      </w:r>
      <w:r w:rsidR="00837D06" w:rsidRPr="000E51C9">
        <w:t>subsequent FTAs.</w:t>
      </w:r>
      <w:r w:rsidR="0061502D" w:rsidRPr="000E51C9">
        <w:rPr>
          <w:rStyle w:val="Funotenzeichen"/>
        </w:rPr>
        <w:t xml:space="preserve"> </w:t>
      </w:r>
      <w:r w:rsidR="00A446BF" w:rsidRPr="000E51C9">
        <w:t>Most of</w:t>
      </w:r>
      <w:r w:rsidR="00F13FA0" w:rsidRPr="000E51C9">
        <w:t xml:space="preserve"> the agreements analysed (11</w:t>
      </w:r>
      <w:r w:rsidR="000E211D" w:rsidRPr="000E51C9">
        <w:t>,</w:t>
      </w:r>
      <w:r w:rsidR="00F13FA0" w:rsidRPr="000E51C9">
        <w:t xml:space="preserve"> 84.6%) include detailed standards of </w:t>
      </w:r>
      <w:r w:rsidR="00486E53" w:rsidRPr="000E51C9">
        <w:t xml:space="preserve">investment </w:t>
      </w:r>
      <w:r w:rsidR="00F13FA0" w:rsidRPr="000E51C9">
        <w:t xml:space="preserve">protection (NT, MFN, the prohibition of expropriation and minimum standards of treatment, </w:t>
      </w:r>
      <w:r w:rsidR="00504779" w:rsidRPr="000E51C9">
        <w:t>such as</w:t>
      </w:r>
      <w:r w:rsidR="00F13FA0" w:rsidRPr="000E51C9">
        <w:t xml:space="preserve"> FET and </w:t>
      </w:r>
      <w:r w:rsidR="00F13FA0" w:rsidRPr="000E51C9">
        <w:lastRenderedPageBreak/>
        <w:t>FPS). Some agreements also include an extra clause on protection during civil strife and armed conflict.</w:t>
      </w:r>
      <w:r w:rsidR="00F13FA0" w:rsidRPr="000E51C9">
        <w:rPr>
          <w:rStyle w:val="Funotenzeichen"/>
        </w:rPr>
        <w:footnoteReference w:id="22"/>
      </w:r>
      <w:r w:rsidR="00F13FA0" w:rsidRPr="000E51C9">
        <w:t xml:space="preserve"> </w:t>
      </w:r>
      <w:r w:rsidR="00837D06" w:rsidRPr="000E51C9">
        <w:t xml:space="preserve"> In the case of the FTAs with Colombia,</w:t>
      </w:r>
      <w:r w:rsidR="00837D06" w:rsidRPr="000E51C9">
        <w:rPr>
          <w:rStyle w:val="Funotenzeichen"/>
        </w:rPr>
        <w:footnoteReference w:id="23"/>
      </w:r>
      <w:r w:rsidR="00837D06" w:rsidRPr="000E51C9">
        <w:t xml:space="preserve"> </w:t>
      </w:r>
      <w:r w:rsidR="001A0046" w:rsidRPr="000E51C9">
        <w:t>the Dominican Republic-Central America (</w:t>
      </w:r>
      <w:r w:rsidR="00837D06" w:rsidRPr="000E51C9">
        <w:t>CAFTA</w:t>
      </w:r>
      <w:r w:rsidR="00837D06" w:rsidRPr="000E51C9">
        <w:noBreakHyphen/>
        <w:t>DR</w:t>
      </w:r>
      <w:r w:rsidR="001A0046" w:rsidRPr="000E51C9">
        <w:t>)</w:t>
      </w:r>
      <w:r w:rsidR="00837D06" w:rsidRPr="000E51C9">
        <w:t>, Morocco, Panama and Peru</w:t>
      </w:r>
      <w:r w:rsidR="008232DD" w:rsidRPr="000E51C9">
        <w:t>,</w:t>
      </w:r>
      <w:r w:rsidR="00837D06" w:rsidRPr="000E51C9">
        <w:t xml:space="preserve"> even the number of the articles </w:t>
      </w:r>
      <w:r w:rsidR="00B40BB1" w:rsidRPr="000E51C9">
        <w:t>on</w:t>
      </w:r>
      <w:r w:rsidR="00837D06" w:rsidRPr="000E51C9">
        <w:t xml:space="preserve"> NT, MFN and the minimum standard</w:t>
      </w:r>
      <w:r w:rsidR="006118E0" w:rsidRPr="000E51C9">
        <w:t>s</w:t>
      </w:r>
      <w:r w:rsidR="00837D06" w:rsidRPr="000E51C9">
        <w:t xml:space="preserve"> of treatment </w:t>
      </w:r>
      <w:r w:rsidR="00B40BB1" w:rsidRPr="000E51C9">
        <w:t xml:space="preserve">match </w:t>
      </w:r>
      <w:r w:rsidR="00837D06" w:rsidRPr="000E51C9">
        <w:t xml:space="preserve">between these agreements. </w:t>
      </w:r>
      <w:r w:rsidR="00640EB5" w:rsidRPr="000E51C9">
        <w:t>Ten</w:t>
      </w:r>
      <w:r w:rsidR="00837D06" w:rsidRPr="000E51C9">
        <w:t xml:space="preserve"> agreements</w:t>
      </w:r>
      <w:r w:rsidR="0032060E" w:rsidRPr="000E51C9">
        <w:t xml:space="preserve"> (76.9%) </w:t>
      </w:r>
      <w:r w:rsidR="00837D06" w:rsidRPr="000E51C9">
        <w:t xml:space="preserve">include </w:t>
      </w:r>
      <w:r w:rsidR="00B74841" w:rsidRPr="000E51C9">
        <w:t>ISDS</w:t>
      </w:r>
      <w:r w:rsidR="000F5788" w:rsidRPr="000E51C9">
        <w:t xml:space="preserve"> under a wide choice of arbitral rules (</w:t>
      </w:r>
      <w:r w:rsidR="0068111B" w:rsidRPr="000E51C9">
        <w:t>International Centre for Settlement of Investment Disputes (</w:t>
      </w:r>
      <w:r w:rsidR="000F5788" w:rsidRPr="000E51C9">
        <w:t>ICSID</w:t>
      </w:r>
      <w:r w:rsidR="0068111B" w:rsidRPr="000E51C9">
        <w:t>)</w:t>
      </w:r>
      <w:r w:rsidR="00C023F2" w:rsidRPr="000E51C9">
        <w:t xml:space="preserve">, ICSID </w:t>
      </w:r>
      <w:r w:rsidR="0068111B" w:rsidRPr="000E51C9">
        <w:t>Additional Facility (</w:t>
      </w:r>
      <w:r w:rsidR="00C023F2" w:rsidRPr="000E51C9">
        <w:t>AF</w:t>
      </w:r>
      <w:r w:rsidR="0068111B" w:rsidRPr="000E51C9">
        <w:t>)</w:t>
      </w:r>
      <w:r w:rsidR="00837D06" w:rsidRPr="000E51C9">
        <w:t xml:space="preserve">, </w:t>
      </w:r>
      <w:proofErr w:type="gramStart"/>
      <w:r w:rsidR="0068111B" w:rsidRPr="000E51C9">
        <w:t>United</w:t>
      </w:r>
      <w:proofErr w:type="gramEnd"/>
      <w:r w:rsidR="0068111B" w:rsidRPr="000E51C9">
        <w:t xml:space="preserve"> Nations Commission on International Trade Law (</w:t>
      </w:r>
      <w:r w:rsidR="00C023F2" w:rsidRPr="000E51C9">
        <w:t>UNCITRAL</w:t>
      </w:r>
      <w:r w:rsidR="0068111B" w:rsidRPr="000E51C9">
        <w:t>)</w:t>
      </w:r>
      <w:r w:rsidR="00837D06" w:rsidRPr="000E51C9">
        <w:t xml:space="preserve"> and often under other rules agreed by the parties</w:t>
      </w:r>
      <w:r w:rsidR="001157CE" w:rsidRPr="000E51C9">
        <w:t>)</w:t>
      </w:r>
      <w:r w:rsidR="00837D06" w:rsidRPr="000E51C9">
        <w:t xml:space="preserve">. </w:t>
      </w:r>
    </w:p>
    <w:p w14:paraId="6AC82653" w14:textId="042E468D" w:rsidR="00837D06" w:rsidRPr="000E51C9" w:rsidRDefault="009D6EF0" w:rsidP="007D559F">
      <w:pPr>
        <w:spacing w:line="360" w:lineRule="auto"/>
        <w:ind w:firstLine="288"/>
        <w:jc w:val="both"/>
      </w:pPr>
      <w:r w:rsidRPr="000E51C9">
        <w:t>The agreements with Jordan and Bahrain do not include an investment chapter</w:t>
      </w:r>
      <w:r w:rsidR="001B6476" w:rsidRPr="000E51C9">
        <w:t>, since the US had</w:t>
      </w:r>
      <w:r w:rsidR="00C657BA" w:rsidRPr="000E51C9">
        <w:t xml:space="preserve"> previously concluded BITs with these countries</w:t>
      </w:r>
      <w:r w:rsidRPr="000E51C9">
        <w:t>.</w:t>
      </w:r>
      <w:r w:rsidRPr="000E51C9">
        <w:rPr>
          <w:rStyle w:val="Funotenzeichen"/>
        </w:rPr>
        <w:footnoteReference w:id="24"/>
      </w:r>
      <w:r w:rsidRPr="000E51C9">
        <w:t xml:space="preserve"> </w:t>
      </w:r>
      <w:r w:rsidR="00837D06" w:rsidRPr="000E51C9">
        <w:t>The US</w:t>
      </w:r>
      <w:r w:rsidR="00837D06" w:rsidRPr="000E51C9">
        <w:noBreakHyphen/>
        <w:t>Australia BIT is the outlier, since it includes standards of investment protection but does not provide for ISDS (Article 11.6).</w:t>
      </w:r>
      <w:r w:rsidR="00837D06" w:rsidRPr="000E51C9">
        <w:rPr>
          <w:rStyle w:val="Funotenzeichen"/>
        </w:rPr>
        <w:footnoteReference w:id="25"/>
      </w:r>
    </w:p>
    <w:p w14:paraId="1B732688" w14:textId="3CB2D7FE" w:rsidR="00837D06" w:rsidRPr="000E51C9" w:rsidRDefault="00837D06" w:rsidP="007D559F">
      <w:pPr>
        <w:spacing w:line="360" w:lineRule="auto"/>
        <w:ind w:firstLine="288"/>
        <w:jc w:val="both"/>
      </w:pPr>
      <w:r w:rsidRPr="000E51C9">
        <w:t xml:space="preserve">ii. </w:t>
      </w:r>
      <w:r w:rsidRPr="000E51C9">
        <w:rPr>
          <w:i/>
        </w:rPr>
        <w:t xml:space="preserve">Canada - </w:t>
      </w:r>
      <w:r w:rsidR="00EB5E54" w:rsidRPr="000E51C9">
        <w:t>T</w:t>
      </w:r>
      <w:r w:rsidRPr="000E51C9">
        <w:t>he recent Canadian FTAs in many ways mirror their US counterparts. The Government of Canada lists 11 post-NAFTA FTAs that are in force,</w:t>
      </w:r>
      <w:r w:rsidRPr="000E51C9">
        <w:rPr>
          <w:rStyle w:val="Funotenzeichen"/>
        </w:rPr>
        <w:footnoteReference w:id="26"/>
      </w:r>
      <w:r w:rsidRPr="000E51C9">
        <w:t xml:space="preserve"> three that have been recently concluded but have yet to enter into force,</w:t>
      </w:r>
      <w:r w:rsidR="00093331" w:rsidRPr="000E51C9">
        <w:rPr>
          <w:rStyle w:val="Funotenzeichen"/>
        </w:rPr>
        <w:t xml:space="preserve"> </w:t>
      </w:r>
      <w:r w:rsidR="00093331" w:rsidRPr="000E51C9">
        <w:rPr>
          <w:rStyle w:val="Funotenzeichen"/>
        </w:rPr>
        <w:footnoteReference w:id="27"/>
      </w:r>
      <w:r w:rsidRPr="000E51C9">
        <w:t xml:space="preserve"> and an increasing number of agreements </w:t>
      </w:r>
      <w:r w:rsidR="00CF340D" w:rsidRPr="000E51C9">
        <w:t xml:space="preserve">under negotiations </w:t>
      </w:r>
      <w:r w:rsidR="00536918" w:rsidRPr="000E51C9">
        <w:t>for which</w:t>
      </w:r>
      <w:r w:rsidR="00CF340D" w:rsidRPr="000E51C9">
        <w:t xml:space="preserve"> final texts</w:t>
      </w:r>
      <w:r w:rsidR="00536918" w:rsidRPr="000E51C9">
        <w:t xml:space="preserve"> are not available</w:t>
      </w:r>
      <w:r w:rsidRPr="000E51C9">
        <w:t>.</w:t>
      </w:r>
      <w:r w:rsidRPr="000E51C9">
        <w:rPr>
          <w:rStyle w:val="Funotenzeichen"/>
        </w:rPr>
        <w:footnoteReference w:id="28"/>
      </w:r>
      <w:r w:rsidRPr="000E51C9">
        <w:t xml:space="preserve"> </w:t>
      </w:r>
      <w:r w:rsidR="0053098C" w:rsidRPr="000E51C9">
        <w:t xml:space="preserve">The surge of </w:t>
      </w:r>
      <w:r w:rsidR="00CF340D" w:rsidRPr="000E51C9">
        <w:t>international economic agreements</w:t>
      </w:r>
      <w:r w:rsidR="001C76F3" w:rsidRPr="000E51C9">
        <w:t xml:space="preserve"> occurred after 2008</w:t>
      </w:r>
      <w:r w:rsidR="00CF340D" w:rsidRPr="000E51C9">
        <w:t xml:space="preserve">, resulting in </w:t>
      </w:r>
      <w:r w:rsidR="00A446BF" w:rsidRPr="000E51C9">
        <w:t>many</w:t>
      </w:r>
      <w:r w:rsidR="00CF340D" w:rsidRPr="000E51C9">
        <w:t xml:space="preserve"> FTAs and a string of Foreign Investment Promotion and Protection Agreements (FIPAs) with African countries.</w:t>
      </w:r>
      <w:r w:rsidR="00CF340D" w:rsidRPr="000E51C9">
        <w:rPr>
          <w:rStyle w:val="Funotenzeichen"/>
        </w:rPr>
        <w:footnoteReference w:id="29"/>
      </w:r>
    </w:p>
    <w:p w14:paraId="2B99E3EF" w14:textId="7E555055" w:rsidR="00837D06" w:rsidRPr="000E51C9" w:rsidRDefault="00A11149" w:rsidP="007D559F">
      <w:pPr>
        <w:spacing w:line="360" w:lineRule="auto"/>
        <w:ind w:firstLine="288"/>
        <w:jc w:val="both"/>
      </w:pPr>
      <w:r w:rsidRPr="000E51C9">
        <w:t>Nine out of 14 eligible FTAs (64.3%) include the four core standards of investment protection and ISDS. Similar to US FTAs, ISDS clauses mention four variants o</w:t>
      </w:r>
      <w:r w:rsidR="009A6C6B" w:rsidRPr="000E51C9">
        <w:t>f arbitral rules</w:t>
      </w:r>
      <w:r w:rsidR="00837D06" w:rsidRPr="000E51C9">
        <w:t xml:space="preserve">. </w:t>
      </w:r>
      <w:r w:rsidR="009A6C6B" w:rsidRPr="000E51C9">
        <w:lastRenderedPageBreak/>
        <w:t>However, several agreem</w:t>
      </w:r>
      <w:r w:rsidR="00CC7381" w:rsidRPr="000E51C9">
        <w:t>ents do not accord the parties the</w:t>
      </w:r>
      <w:r w:rsidR="009A6C6B" w:rsidRPr="000E51C9">
        <w:t xml:space="preserve"> right to agree on arbitral rules.</w:t>
      </w:r>
      <w:r w:rsidR="009A6C6B" w:rsidRPr="000E51C9">
        <w:rPr>
          <w:rStyle w:val="Funotenzeichen"/>
        </w:rPr>
        <w:footnoteReference w:id="30"/>
      </w:r>
      <w:r w:rsidR="009A6C6B" w:rsidRPr="000E51C9">
        <w:t xml:space="preserve"> </w:t>
      </w:r>
      <w:r w:rsidR="00837D06" w:rsidRPr="000E51C9">
        <w:t>Like their US counterparts, the investment chapters of these agreements follow the templates set up by a model agreement, in this case the 2004 Canadian Model FIPA.</w:t>
      </w:r>
      <w:r w:rsidR="005512DC" w:rsidRPr="000E51C9">
        <w:t xml:space="preserve"> </w:t>
      </w:r>
      <w:r w:rsidR="003A23CA" w:rsidRPr="000E51C9">
        <w:t>The latter in</w:t>
      </w:r>
      <w:r w:rsidR="005512DC" w:rsidRPr="000E51C9">
        <w:t xml:space="preserve"> turn had been influenced by Chapter 11 NAFTA</w:t>
      </w:r>
      <w:r w:rsidR="00CE3890" w:rsidRPr="000E51C9">
        <w:t xml:space="preserve"> and </w:t>
      </w:r>
      <w:r w:rsidR="003F2F22" w:rsidRPr="000E51C9">
        <w:t>investment cases</w:t>
      </w:r>
      <w:r w:rsidR="00CE3890" w:rsidRPr="000E51C9">
        <w:t xml:space="preserve"> </w:t>
      </w:r>
      <w:r w:rsidR="000D2DEE" w:rsidRPr="000E51C9">
        <w:t>brought under it</w:t>
      </w:r>
      <w:r w:rsidR="005512DC" w:rsidRPr="000E51C9">
        <w:t>.</w:t>
      </w:r>
      <w:r w:rsidR="005512DC" w:rsidRPr="000E51C9">
        <w:rPr>
          <w:rStyle w:val="Funotenzeichen"/>
        </w:rPr>
        <w:footnoteReference w:id="31"/>
      </w:r>
    </w:p>
    <w:p w14:paraId="64D1FF1A" w14:textId="21A05A85" w:rsidR="0081013A" w:rsidRPr="000E51C9" w:rsidRDefault="0039481B" w:rsidP="007D559F">
      <w:pPr>
        <w:spacing w:line="360" w:lineRule="auto"/>
        <w:ind w:firstLine="288"/>
        <w:jc w:val="both"/>
      </w:pPr>
      <w:r w:rsidRPr="000E51C9">
        <w:t>The remaining five</w:t>
      </w:r>
      <w:r w:rsidR="00D62905" w:rsidRPr="000E51C9">
        <w:t xml:space="preserve"> FTAs (35.7%) do not mention </w:t>
      </w:r>
      <w:r w:rsidRPr="000E51C9">
        <w:t>the standards of protection or ISDS</w:t>
      </w:r>
      <w:r w:rsidR="00837D06" w:rsidRPr="000E51C9">
        <w:t>. Nonetheless, in three cases (Jordan, Costa Rica</w:t>
      </w:r>
      <w:r w:rsidR="00971601" w:rsidRPr="000E51C9">
        <w:t xml:space="preserve"> and</w:t>
      </w:r>
      <w:r w:rsidR="00837D06" w:rsidRPr="000E51C9">
        <w:t xml:space="preserve"> Ukraine) Canada has existing investment agreements with the</w:t>
      </w:r>
      <w:r w:rsidR="00024362" w:rsidRPr="000E51C9">
        <w:t>se countries.</w:t>
      </w:r>
      <w:r w:rsidR="00837D06" w:rsidRPr="000E51C9">
        <w:rPr>
          <w:rStyle w:val="Funotenzeichen"/>
        </w:rPr>
        <w:footnoteReference w:id="32"/>
      </w:r>
      <w:r w:rsidR="00837D06" w:rsidRPr="000E51C9">
        <w:t xml:space="preserve"> </w:t>
      </w:r>
      <w:r w:rsidR="001A2C31" w:rsidRPr="000E51C9">
        <w:t>Article 12 of t</w:t>
      </w:r>
      <w:r w:rsidR="00926FEF" w:rsidRPr="000E51C9">
        <w:t xml:space="preserve">he FTA with the </w:t>
      </w:r>
      <w:r w:rsidR="00A06C5B" w:rsidRPr="000E51C9">
        <w:t>European Free Trade Association (</w:t>
      </w:r>
      <w:r w:rsidR="00926FEF" w:rsidRPr="000E51C9">
        <w:t>EFTA</w:t>
      </w:r>
      <w:r w:rsidR="00A06C5B" w:rsidRPr="000E51C9">
        <w:t>)</w:t>
      </w:r>
      <w:r w:rsidR="00926FEF" w:rsidRPr="000E51C9">
        <w:t xml:space="preserve"> countries </w:t>
      </w:r>
      <w:r w:rsidR="0092065C" w:rsidRPr="000E51C9">
        <w:t xml:space="preserve">encourages the parties to </w:t>
      </w:r>
      <w:r w:rsidR="00926FEF" w:rsidRPr="000E51C9">
        <w:t xml:space="preserve">review and further consider the adoption of measures regarding the </w:t>
      </w:r>
      <w:r w:rsidR="0081013A" w:rsidRPr="000E51C9">
        <w:t>liberali</w:t>
      </w:r>
      <w:r w:rsidR="004074F1" w:rsidRPr="000E51C9">
        <w:t>s</w:t>
      </w:r>
      <w:r w:rsidR="0081013A" w:rsidRPr="000E51C9">
        <w:t>ation</w:t>
      </w:r>
      <w:r w:rsidR="00926FEF" w:rsidRPr="000E51C9">
        <w:t xml:space="preserve"> of investment. The FTA with Israel (1999) does not include any investment chapters and no investment agreement exists between the two countries</w:t>
      </w:r>
      <w:r w:rsidR="0081013A" w:rsidRPr="000E51C9">
        <w:t>.</w:t>
      </w:r>
    </w:p>
    <w:p w14:paraId="0E31EBB8" w14:textId="1FBD6601" w:rsidR="00C27723" w:rsidRPr="000E51C9" w:rsidRDefault="00837D06" w:rsidP="007D559F">
      <w:pPr>
        <w:spacing w:line="360" w:lineRule="auto"/>
        <w:ind w:firstLine="288"/>
        <w:jc w:val="both"/>
      </w:pPr>
      <w:r w:rsidRPr="000E51C9">
        <w:t xml:space="preserve">iii. </w:t>
      </w:r>
      <w:r w:rsidRPr="000E51C9">
        <w:rPr>
          <w:i/>
        </w:rPr>
        <w:t xml:space="preserve">EU - </w:t>
      </w:r>
      <w:r w:rsidR="005C37BC" w:rsidRPr="000E51C9">
        <w:t>T</w:t>
      </w:r>
      <w:r w:rsidRPr="000E51C9">
        <w:t xml:space="preserve">he situation in the European Union is </w:t>
      </w:r>
      <w:r w:rsidR="009163C5" w:rsidRPr="000E51C9">
        <w:t>more complex</w:t>
      </w:r>
      <w:r w:rsidRPr="000E51C9">
        <w:t xml:space="preserve"> and </w:t>
      </w:r>
      <w:r w:rsidR="0087496C" w:rsidRPr="000E51C9">
        <w:t>warrants several observations</w:t>
      </w:r>
      <w:r w:rsidRPr="000E51C9">
        <w:t xml:space="preserve">. First, </w:t>
      </w:r>
      <w:r w:rsidR="004B4E20" w:rsidRPr="000E51C9">
        <w:t xml:space="preserve">the analysis does not include EU PTAs </w:t>
      </w:r>
      <w:r w:rsidR="00F577CA" w:rsidRPr="000E51C9">
        <w:t xml:space="preserve">signed </w:t>
      </w:r>
      <w:r w:rsidR="004B4E20" w:rsidRPr="000E51C9">
        <w:t xml:space="preserve">prior to 1 December 2009, because </w:t>
      </w:r>
      <w:r w:rsidRPr="000E51C9">
        <w:t xml:space="preserve">the EU had only acquired the competence to conclude international agreements </w:t>
      </w:r>
      <w:r w:rsidR="006F6542" w:rsidRPr="000E51C9">
        <w:t>that cover</w:t>
      </w:r>
      <w:r w:rsidRPr="000E51C9">
        <w:t xml:space="preserve"> </w:t>
      </w:r>
      <w:r w:rsidR="00D61732" w:rsidRPr="000E51C9">
        <w:t>foreign direct investment (</w:t>
      </w:r>
      <w:r w:rsidRPr="000E51C9">
        <w:t>FDI</w:t>
      </w:r>
      <w:r w:rsidR="00D61732" w:rsidRPr="000E51C9">
        <w:t>)</w:t>
      </w:r>
      <w:r w:rsidR="00E55F5D" w:rsidRPr="000E51C9">
        <w:t xml:space="preserve"> </w:t>
      </w:r>
      <w:r w:rsidRPr="000E51C9">
        <w:t>after the entry into</w:t>
      </w:r>
      <w:r w:rsidR="00971601" w:rsidRPr="000E51C9">
        <w:t xml:space="preserve"> </w:t>
      </w:r>
      <w:r w:rsidRPr="000E51C9">
        <w:t>force of the Lisbon Treaty.</w:t>
      </w:r>
      <w:r w:rsidRPr="000E51C9">
        <w:rPr>
          <w:rStyle w:val="Funotenzeichen"/>
        </w:rPr>
        <w:footnoteReference w:id="33"/>
      </w:r>
      <w:r w:rsidRPr="000E51C9">
        <w:t xml:space="preserve"> </w:t>
      </w:r>
    </w:p>
    <w:p w14:paraId="0E92672B" w14:textId="77777777" w:rsidR="00C95C1D" w:rsidRPr="000E51C9" w:rsidRDefault="00837D06" w:rsidP="007D559F">
      <w:pPr>
        <w:spacing w:line="360" w:lineRule="auto"/>
        <w:ind w:firstLine="288"/>
        <w:jc w:val="both"/>
      </w:pPr>
      <w:r w:rsidRPr="000E51C9">
        <w:t>Second, while EU Member States could conclude BITs prior to 2009</w:t>
      </w:r>
      <w:r w:rsidRPr="000E51C9">
        <w:rPr>
          <w:rStyle w:val="Funotenzeichen"/>
        </w:rPr>
        <w:footnoteReference w:id="34"/>
      </w:r>
      <w:r w:rsidRPr="000E51C9">
        <w:t xml:space="preserve"> and under certain conditions can do so after Lisbon as well,</w:t>
      </w:r>
      <w:r w:rsidRPr="000E51C9">
        <w:rPr>
          <w:rStyle w:val="Funotenzeichen"/>
        </w:rPr>
        <w:footnoteReference w:id="35"/>
      </w:r>
      <w:r w:rsidRPr="000E51C9">
        <w:t xml:space="preserve"> they could not solely conclude PTAs, since this field was/is covered by the EU’s Common Commercial Policy (CCP). </w:t>
      </w:r>
    </w:p>
    <w:p w14:paraId="0D18A3EE" w14:textId="1EBB32A3" w:rsidR="00C27723" w:rsidRPr="000E51C9" w:rsidRDefault="008639D1" w:rsidP="007D559F">
      <w:pPr>
        <w:spacing w:line="360" w:lineRule="auto"/>
        <w:ind w:firstLine="288"/>
        <w:jc w:val="both"/>
      </w:pPr>
      <w:r w:rsidRPr="000E51C9">
        <w:t>Third</w:t>
      </w:r>
      <w:r w:rsidR="00837D06" w:rsidRPr="000E51C9">
        <w:t>, the EU can conclude agreements with trade components under multiple policy areas, such as the EU’s CCP, the EU’s Neighbourhood Policy (ENP), etc.</w:t>
      </w:r>
      <w:r w:rsidR="00837D06" w:rsidRPr="000E51C9">
        <w:rPr>
          <w:rStyle w:val="Funotenzeichen"/>
        </w:rPr>
        <w:footnoteReference w:id="36"/>
      </w:r>
      <w:r w:rsidR="00837D06" w:rsidRPr="000E51C9">
        <w:t xml:space="preserve"> Therefore, some of these agreements are named free trade agreements, while others association agreements (AAs) that include deep and comprehensive trade agreements (DCFTAs), partnership and cooperation </w:t>
      </w:r>
      <w:r w:rsidR="00837D06" w:rsidRPr="000E51C9">
        <w:lastRenderedPageBreak/>
        <w:t xml:space="preserve">agreements (PCAs), economic partnership agreements (EPAs) or stabilisation and association agreements (SAAs). </w:t>
      </w:r>
    </w:p>
    <w:p w14:paraId="66A054C9" w14:textId="01371E35" w:rsidR="00837D06" w:rsidRPr="000E51C9" w:rsidRDefault="009245A5" w:rsidP="007D559F">
      <w:pPr>
        <w:spacing w:line="360" w:lineRule="auto"/>
        <w:ind w:firstLine="288"/>
        <w:jc w:val="both"/>
      </w:pPr>
      <w:r w:rsidRPr="000E51C9">
        <w:t xml:space="preserve">Fourth, in </w:t>
      </w:r>
      <w:r w:rsidR="00C27723" w:rsidRPr="000E51C9">
        <w:t xml:space="preserve">May 2017 the </w:t>
      </w:r>
      <w:r w:rsidR="006975D6" w:rsidRPr="000E51C9">
        <w:t>Court of Justice of the European Union (</w:t>
      </w:r>
      <w:r w:rsidR="00C27723" w:rsidRPr="000E51C9">
        <w:t>CJEU</w:t>
      </w:r>
      <w:r w:rsidR="006975D6" w:rsidRPr="000E51C9">
        <w:t>)</w:t>
      </w:r>
      <w:r w:rsidR="00C27723" w:rsidRPr="000E51C9">
        <w:t xml:space="preserve"> delivered its much-awaited Opinion 2/15 on the competence to conclude the EU-Singapore FTA. Whilst</w:t>
      </w:r>
      <w:r w:rsidR="00151D8A" w:rsidRPr="000E51C9">
        <w:t xml:space="preserve"> </w:t>
      </w:r>
      <w:r w:rsidR="00C27723" w:rsidRPr="000E51C9">
        <w:t xml:space="preserve">the CJEU held that the agreement in its current form has </w:t>
      </w:r>
      <w:r w:rsidR="00151D8A" w:rsidRPr="000E51C9">
        <w:t xml:space="preserve">to </w:t>
      </w:r>
      <w:r w:rsidR="00C27723" w:rsidRPr="000E51C9">
        <w:t xml:space="preserve">be concluded as a ‘mixed’ agreement together with the Member States </w:t>
      </w:r>
      <w:r w:rsidR="00151D8A" w:rsidRPr="000E51C9">
        <w:t xml:space="preserve">mainly </w:t>
      </w:r>
      <w:r w:rsidR="00C27723" w:rsidRPr="000E51C9">
        <w:t>due to non</w:t>
      </w:r>
      <w:r w:rsidR="00C95C1D" w:rsidRPr="000E51C9">
        <w:noBreakHyphen/>
      </w:r>
      <w:r w:rsidR="00C27723" w:rsidRPr="000E51C9">
        <w:t xml:space="preserve">direct foreign investment falling under shared competences, the CJEU has also greatly expanded the EU’s exclusive competences over all forms of </w:t>
      </w:r>
      <w:r w:rsidR="00C27723" w:rsidRPr="000E51C9">
        <w:rPr>
          <w:color w:val="000000" w:themeColor="text1"/>
        </w:rPr>
        <w:t>services, public procurement, intellectual property, sustainable development and competition law.</w:t>
      </w:r>
      <w:r w:rsidR="00C27723" w:rsidRPr="000E51C9">
        <w:rPr>
          <w:rStyle w:val="Funotenzeichen"/>
          <w:color w:val="000000" w:themeColor="text1"/>
        </w:rPr>
        <w:footnoteReference w:id="37"/>
      </w:r>
      <w:r w:rsidR="00C27723" w:rsidRPr="000E51C9">
        <w:rPr>
          <w:color w:val="000000" w:themeColor="text1"/>
        </w:rPr>
        <w:t xml:space="preserve"> </w:t>
      </w:r>
      <w:r w:rsidR="00C27723" w:rsidRPr="000E51C9">
        <w:rPr>
          <w:color w:val="000000" w:themeColor="text1"/>
          <w:shd w:val="clear" w:color="auto" w:fill="FFFFFF"/>
        </w:rPr>
        <w:t>It follows that</w:t>
      </w:r>
      <w:r w:rsidR="006975D6" w:rsidRPr="000E51C9">
        <w:rPr>
          <w:color w:val="000000" w:themeColor="text1"/>
          <w:shd w:val="clear" w:color="auto" w:fill="FFFFFF"/>
        </w:rPr>
        <w:t>,</w:t>
      </w:r>
      <w:r w:rsidR="00C27723" w:rsidRPr="000E51C9">
        <w:rPr>
          <w:color w:val="000000" w:themeColor="text1"/>
          <w:shd w:val="clear" w:color="auto" w:fill="FFFFFF"/>
        </w:rPr>
        <w:t xml:space="preserve"> after Opinion</w:t>
      </w:r>
      <w:r w:rsidR="00C95C1D" w:rsidRPr="000E51C9">
        <w:rPr>
          <w:color w:val="000000" w:themeColor="text1"/>
          <w:shd w:val="clear" w:color="auto" w:fill="FFFFFF"/>
        </w:rPr>
        <w:t> </w:t>
      </w:r>
      <w:r w:rsidR="00C27723" w:rsidRPr="000E51C9">
        <w:rPr>
          <w:color w:val="000000" w:themeColor="text1"/>
          <w:shd w:val="clear" w:color="auto" w:fill="FFFFFF"/>
        </w:rPr>
        <w:t>2/15</w:t>
      </w:r>
      <w:r w:rsidR="006975D6" w:rsidRPr="000E51C9">
        <w:rPr>
          <w:color w:val="000000" w:themeColor="text1"/>
          <w:shd w:val="clear" w:color="auto" w:fill="FFFFFF"/>
        </w:rPr>
        <w:t>,</w:t>
      </w:r>
      <w:r w:rsidR="00C27723" w:rsidRPr="000E51C9">
        <w:rPr>
          <w:color w:val="000000" w:themeColor="text1"/>
          <w:shd w:val="clear" w:color="auto" w:fill="FFFFFF"/>
        </w:rPr>
        <w:t xml:space="preserve"> the EU can conclude a far-reaching trade agreement </w:t>
      </w:r>
      <w:r w:rsidR="00C27723" w:rsidRPr="000E51C9">
        <w:rPr>
          <w:rStyle w:val="Hervorhebung"/>
          <w:color w:val="000000" w:themeColor="text1"/>
          <w:shd w:val="clear" w:color="auto" w:fill="FFFFFF"/>
        </w:rPr>
        <w:t>without</w:t>
      </w:r>
      <w:r w:rsidR="00C27723" w:rsidRPr="000E51C9">
        <w:rPr>
          <w:color w:val="000000" w:themeColor="text1"/>
          <w:shd w:val="clear" w:color="auto" w:fill="FFFFFF"/>
        </w:rPr>
        <w:t> investment protection by </w:t>
      </w:r>
      <w:r w:rsidR="00C27723" w:rsidRPr="000E51C9">
        <w:rPr>
          <w:rStyle w:val="Hervorhebung"/>
          <w:color w:val="000000" w:themeColor="text1"/>
          <w:shd w:val="clear" w:color="auto" w:fill="FFFFFF"/>
        </w:rPr>
        <w:t>itself</w:t>
      </w:r>
      <w:r w:rsidR="00C27723" w:rsidRPr="000E51C9">
        <w:rPr>
          <w:color w:val="000000" w:themeColor="text1"/>
          <w:shd w:val="clear" w:color="auto" w:fill="FFFFFF"/>
        </w:rPr>
        <w:t>. T</w:t>
      </w:r>
      <w:r w:rsidR="00151D8A" w:rsidRPr="000E51C9">
        <w:rPr>
          <w:color w:val="000000" w:themeColor="text1"/>
          <w:shd w:val="clear" w:color="auto" w:fill="FFFFFF"/>
        </w:rPr>
        <w:t>he recent Opinion, together with the contestation of ISDS by civil society and Wallonia,</w:t>
      </w:r>
      <w:r w:rsidR="00151D8A" w:rsidRPr="000E51C9">
        <w:rPr>
          <w:rStyle w:val="Funotenzeichen"/>
          <w:color w:val="000000" w:themeColor="text1"/>
          <w:shd w:val="clear" w:color="auto" w:fill="FFFFFF"/>
        </w:rPr>
        <w:footnoteReference w:id="38"/>
      </w:r>
      <w:r w:rsidR="00C27723" w:rsidRPr="000E51C9">
        <w:rPr>
          <w:color w:val="000000" w:themeColor="text1"/>
          <w:shd w:val="clear" w:color="auto" w:fill="FFFFFF"/>
        </w:rPr>
        <w:t xml:space="preserve"> might be the reason why </w:t>
      </w:r>
      <w:r w:rsidR="0049675D" w:rsidRPr="000E51C9">
        <w:rPr>
          <w:color w:val="000000" w:themeColor="text1"/>
          <w:shd w:val="clear" w:color="auto" w:fill="FFFFFF"/>
        </w:rPr>
        <w:t xml:space="preserve">the </w:t>
      </w:r>
      <w:r w:rsidR="000D04DE" w:rsidRPr="000E51C9">
        <w:rPr>
          <w:color w:val="000000" w:themeColor="text1"/>
          <w:shd w:val="clear" w:color="auto" w:fill="FFFFFF"/>
        </w:rPr>
        <w:t xml:space="preserve">European </w:t>
      </w:r>
      <w:r w:rsidR="00C27723" w:rsidRPr="000E51C9">
        <w:rPr>
          <w:color w:val="000000" w:themeColor="text1"/>
          <w:shd w:val="clear" w:color="auto" w:fill="FFFFFF"/>
        </w:rPr>
        <w:t>Commission</w:t>
      </w:r>
      <w:r w:rsidR="00151D8A" w:rsidRPr="000E51C9">
        <w:rPr>
          <w:color w:val="000000" w:themeColor="text1"/>
          <w:shd w:val="clear" w:color="auto" w:fill="FFFFFF"/>
        </w:rPr>
        <w:t>’s</w:t>
      </w:r>
      <w:r w:rsidR="00C27723" w:rsidRPr="000E51C9">
        <w:rPr>
          <w:color w:val="000000" w:themeColor="text1"/>
          <w:shd w:val="clear" w:color="auto" w:fill="FFFFFF"/>
        </w:rPr>
        <w:t xml:space="preserve"> President h</w:t>
      </w:r>
      <w:r w:rsidR="00151D8A" w:rsidRPr="000E51C9">
        <w:rPr>
          <w:color w:val="000000" w:themeColor="text1"/>
          <w:shd w:val="clear" w:color="auto" w:fill="FFFFFF"/>
        </w:rPr>
        <w:t>as recently declared</w:t>
      </w:r>
      <w:r w:rsidR="00C27723" w:rsidRPr="000E51C9">
        <w:rPr>
          <w:color w:val="000000" w:themeColor="text1"/>
          <w:shd w:val="clear" w:color="auto" w:fill="FFFFFF"/>
        </w:rPr>
        <w:t xml:space="preserve"> </w:t>
      </w:r>
      <w:r w:rsidR="00151D8A" w:rsidRPr="000E51C9">
        <w:rPr>
          <w:color w:val="000000" w:themeColor="text1"/>
          <w:shd w:val="clear" w:color="auto" w:fill="FFFFFF"/>
        </w:rPr>
        <w:t xml:space="preserve">that </w:t>
      </w:r>
      <w:r w:rsidR="00C27723" w:rsidRPr="000E51C9">
        <w:rPr>
          <w:color w:val="000000" w:themeColor="text1"/>
          <w:shd w:val="clear" w:color="auto" w:fill="FFFFFF"/>
        </w:rPr>
        <w:t xml:space="preserve">the EU </w:t>
      </w:r>
      <w:r w:rsidR="00151D8A" w:rsidRPr="000E51C9">
        <w:rPr>
          <w:color w:val="000000" w:themeColor="text1"/>
          <w:shd w:val="clear" w:color="auto" w:fill="FFFFFF"/>
        </w:rPr>
        <w:t xml:space="preserve">should </w:t>
      </w:r>
      <w:r w:rsidR="00C27723" w:rsidRPr="000E51C9">
        <w:rPr>
          <w:color w:val="000000" w:themeColor="text1"/>
          <w:shd w:val="clear" w:color="auto" w:fill="FFFFFF"/>
        </w:rPr>
        <w:t>conclude its future trade agreements with Australia and New Zeeland without investment chapters.</w:t>
      </w:r>
      <w:r w:rsidR="00C27723" w:rsidRPr="000E51C9">
        <w:rPr>
          <w:rStyle w:val="Funotenzeichen"/>
          <w:color w:val="000000" w:themeColor="text1"/>
          <w:shd w:val="clear" w:color="auto" w:fill="FFFFFF"/>
        </w:rPr>
        <w:footnoteReference w:id="39"/>
      </w:r>
      <w:r w:rsidR="00151D8A" w:rsidRPr="000E51C9">
        <w:rPr>
          <w:color w:val="000000" w:themeColor="text1"/>
          <w:shd w:val="clear" w:color="auto" w:fill="FFFFFF"/>
        </w:rPr>
        <w:t xml:space="preserve"> In other words, post-Lisbon and prior to Opinion 2/15</w:t>
      </w:r>
      <w:r w:rsidR="000D04DE" w:rsidRPr="000E51C9">
        <w:rPr>
          <w:color w:val="000000" w:themeColor="text1"/>
          <w:shd w:val="clear" w:color="auto" w:fill="FFFFFF"/>
        </w:rPr>
        <w:t>,</w:t>
      </w:r>
      <w:r w:rsidR="00151D8A" w:rsidRPr="000E51C9">
        <w:rPr>
          <w:color w:val="000000" w:themeColor="text1"/>
          <w:shd w:val="clear" w:color="auto" w:fill="FFFFFF"/>
        </w:rPr>
        <w:t xml:space="preserve"> the EU’s new competences over FDI were one of the reasons why the EU chose to negotiate FTAs with investment chapters. However, post-Opinion 2/15 the clarification of the EU’s exclusive competences over </w:t>
      </w:r>
      <w:r w:rsidR="00FB0718" w:rsidRPr="000E51C9">
        <w:rPr>
          <w:color w:val="000000" w:themeColor="text1"/>
          <w:shd w:val="clear" w:color="auto" w:fill="FFFFFF"/>
        </w:rPr>
        <w:t>free trade and investment agreements (</w:t>
      </w:r>
      <w:r w:rsidR="00151D8A" w:rsidRPr="000E51C9">
        <w:rPr>
          <w:color w:val="000000" w:themeColor="text1"/>
          <w:shd w:val="clear" w:color="auto" w:fill="FFFFFF"/>
        </w:rPr>
        <w:t>FTIAs</w:t>
      </w:r>
      <w:r w:rsidR="00FB0718" w:rsidRPr="000E51C9">
        <w:rPr>
          <w:color w:val="000000" w:themeColor="text1"/>
          <w:shd w:val="clear" w:color="auto" w:fill="FFFFFF"/>
        </w:rPr>
        <w:t>)</w:t>
      </w:r>
      <w:r w:rsidR="00151D8A" w:rsidRPr="000E51C9">
        <w:rPr>
          <w:color w:val="000000" w:themeColor="text1"/>
          <w:shd w:val="clear" w:color="auto" w:fill="FFFFFF"/>
        </w:rPr>
        <w:t xml:space="preserve"> might be the main reason why the EU will consider decoupling investment from trade agreements.</w:t>
      </w:r>
    </w:p>
    <w:p w14:paraId="42F09BA9" w14:textId="3A8E8C9A" w:rsidR="005E1E09" w:rsidRPr="000E51C9" w:rsidRDefault="00C95C1D" w:rsidP="007D559F">
      <w:pPr>
        <w:spacing w:line="360" w:lineRule="auto"/>
        <w:ind w:firstLine="288"/>
        <w:jc w:val="both"/>
      </w:pPr>
      <w:r w:rsidRPr="000E51C9">
        <w:t>Regarding</w:t>
      </w:r>
      <w:r w:rsidR="00132FDD" w:rsidRPr="000E51C9">
        <w:t xml:space="preserve"> the numbers, </w:t>
      </w:r>
      <w:r w:rsidR="00DB5A69" w:rsidRPr="000E51C9">
        <w:t>19</w:t>
      </w:r>
      <w:r w:rsidR="003E02EE" w:rsidRPr="000E51C9">
        <w:t xml:space="preserve"> post-Lisbon agreements</w:t>
      </w:r>
      <w:r w:rsidR="00132FDD" w:rsidRPr="000E51C9">
        <w:t xml:space="preserve"> were examined</w:t>
      </w:r>
      <w:r w:rsidR="003E02EE" w:rsidRPr="000E51C9">
        <w:t>.</w:t>
      </w:r>
      <w:r w:rsidR="003E02EE" w:rsidRPr="000E51C9">
        <w:rPr>
          <w:rStyle w:val="Funotenzeichen"/>
        </w:rPr>
        <w:footnoteReference w:id="40"/>
      </w:r>
      <w:r w:rsidR="003E02EE" w:rsidRPr="000E51C9">
        <w:t xml:space="preserve"> Out of them, only three agreements</w:t>
      </w:r>
      <w:r w:rsidR="006E4CC9" w:rsidRPr="000E51C9">
        <w:rPr>
          <w:rStyle w:val="Funotenzeichen"/>
        </w:rPr>
        <w:footnoteReference w:id="41"/>
      </w:r>
      <w:r w:rsidR="00F274D4" w:rsidRPr="000E51C9">
        <w:t xml:space="preserve"> (1</w:t>
      </w:r>
      <w:r w:rsidR="00DB5A69" w:rsidRPr="000E51C9">
        <w:t>5.8</w:t>
      </w:r>
      <w:r w:rsidR="003E02EE" w:rsidRPr="000E51C9">
        <w:t xml:space="preserve">%) have a traditional investment chapter and ISDS. Interestingly, </w:t>
      </w:r>
      <w:r w:rsidR="003E02EE" w:rsidRPr="000E51C9">
        <w:lastRenderedPageBreak/>
        <w:t>EU</w:t>
      </w:r>
      <w:r w:rsidR="003E02EE" w:rsidRPr="000E51C9">
        <w:noBreakHyphen/>
        <w:t>Singapore does not include an MFN clause (this has been characteri</w:t>
      </w:r>
      <w:r w:rsidR="00AF3478" w:rsidRPr="000E51C9">
        <w:t>s</w:t>
      </w:r>
      <w:r w:rsidR="003E02EE" w:rsidRPr="000E51C9">
        <w:t>ed as a REIO exception clause</w:t>
      </w:r>
      <w:r w:rsidR="003E02EE" w:rsidRPr="000E51C9">
        <w:rPr>
          <w:rStyle w:val="Funotenzeichen"/>
        </w:rPr>
        <w:footnoteReference w:id="42"/>
      </w:r>
      <w:r w:rsidR="003E02EE" w:rsidRPr="000E51C9">
        <w:t xml:space="preserve">). </w:t>
      </w:r>
      <w:r w:rsidR="005E1E09" w:rsidRPr="000E51C9">
        <w:t>The rest of the agreements</w:t>
      </w:r>
      <w:r w:rsidR="00E831AF" w:rsidRPr="000E51C9">
        <w:t xml:space="preserve"> (16, 84.2%)</w:t>
      </w:r>
      <w:r w:rsidR="005E1E09" w:rsidRPr="000E51C9">
        <w:t xml:space="preserve"> are PCAs, EPAs, SAAs or AAs with DCFTAs; they follow similar design patterns that do not include investment chapters. Nevertheless, they all include ‘review’ or ‘</w:t>
      </w:r>
      <w:proofErr w:type="spellStart"/>
      <w:r w:rsidR="005E1E09" w:rsidRPr="000E51C9">
        <w:rPr>
          <w:i/>
        </w:rPr>
        <w:t>rendez-vous</w:t>
      </w:r>
      <w:proofErr w:type="spellEnd"/>
      <w:r w:rsidR="005E1E09" w:rsidRPr="000E51C9">
        <w:t>’ clauses under which the contracting parties undertake to carry out further negotiations or cooperation on investment protection.</w:t>
      </w:r>
      <w:r w:rsidR="005E1E09" w:rsidRPr="000E51C9">
        <w:rPr>
          <w:rStyle w:val="Funotenzeichen"/>
        </w:rPr>
        <w:footnoteReference w:id="43"/>
      </w:r>
      <w:r w:rsidR="005E1E09" w:rsidRPr="000E51C9">
        <w:t xml:space="preserve"> </w:t>
      </w:r>
    </w:p>
    <w:p w14:paraId="7D4B3E5E" w14:textId="47A4AA89" w:rsidR="00837D06" w:rsidRPr="000E51C9" w:rsidRDefault="005E1E09" w:rsidP="007D559F">
      <w:pPr>
        <w:spacing w:line="360" w:lineRule="auto"/>
        <w:ind w:firstLine="288"/>
        <w:jc w:val="both"/>
      </w:pPr>
      <w:r w:rsidRPr="000E51C9">
        <w:t xml:space="preserve">One may suggest several reasons why </w:t>
      </w:r>
      <w:r w:rsidR="000E1FDB" w:rsidRPr="000E51C9">
        <w:t>most</w:t>
      </w:r>
      <w:r w:rsidRPr="000E51C9">
        <w:t xml:space="preserve"> of </w:t>
      </w:r>
      <w:r w:rsidR="000E1FDB" w:rsidRPr="000E51C9">
        <w:t xml:space="preserve">the </w:t>
      </w:r>
      <w:r w:rsidRPr="000E51C9">
        <w:t>agreements do not include investment chapters. Some of them</w:t>
      </w:r>
      <w:r w:rsidR="00837D06" w:rsidRPr="000E51C9">
        <w:t>, such as EU-Korea (20</w:t>
      </w:r>
      <w:r w:rsidR="00DB5A69" w:rsidRPr="000E51C9">
        <w:t>09</w:t>
      </w:r>
      <w:r w:rsidR="00837D06" w:rsidRPr="000E51C9">
        <w:t>)</w:t>
      </w:r>
      <w:r w:rsidR="00DB5A69" w:rsidRPr="000E51C9">
        <w:t>,</w:t>
      </w:r>
      <w:r w:rsidR="00837D06" w:rsidRPr="000E51C9">
        <w:t xml:space="preserve"> </w:t>
      </w:r>
      <w:r w:rsidR="00782BA2" w:rsidRPr="000E51C9">
        <w:t xml:space="preserve">were </w:t>
      </w:r>
      <w:r w:rsidR="00DB5A69" w:rsidRPr="000E51C9">
        <w:t xml:space="preserve">negotiated </w:t>
      </w:r>
      <w:r w:rsidR="00782BA2" w:rsidRPr="000E51C9">
        <w:t>prior to the entry into force of the Lisbon Treaty</w:t>
      </w:r>
      <w:r w:rsidR="00837D06" w:rsidRPr="000E51C9">
        <w:t xml:space="preserve">. For other agreements, several explanations might exist. First, some of the EPAs and PCAs require further endeavours to be reached by the non-EU party. These agreements </w:t>
      </w:r>
      <w:r w:rsidR="00782BA2" w:rsidRPr="000E51C9">
        <w:t>only set</w:t>
      </w:r>
      <w:r w:rsidR="00837D06" w:rsidRPr="000E51C9">
        <w:t xml:space="preserve"> a framework for further cooperation in the field of investment protection </w:t>
      </w:r>
      <w:r w:rsidR="0038179E" w:rsidRPr="000E51C9">
        <w:t>instead of including</w:t>
      </w:r>
      <w:r w:rsidR="00837D06" w:rsidRPr="000E51C9">
        <w:t xml:space="preserve"> highly detailed clauses. Second, the EU’s external </w:t>
      </w:r>
      <w:r w:rsidR="00B504D6" w:rsidRPr="000E51C9">
        <w:t>agreements cover</w:t>
      </w:r>
      <w:r w:rsidR="00837D06" w:rsidRPr="000E51C9">
        <w:t xml:space="preserve"> various policy fields</w:t>
      </w:r>
      <w:r w:rsidR="00B504D6" w:rsidRPr="000E51C9">
        <w:t xml:space="preserve"> </w:t>
      </w:r>
      <w:r w:rsidR="00055E70" w:rsidRPr="000E51C9">
        <w:t xml:space="preserve">are </w:t>
      </w:r>
      <w:r w:rsidR="00B504D6" w:rsidRPr="000E51C9">
        <w:t>thus</w:t>
      </w:r>
      <w:r w:rsidR="00837D06" w:rsidRPr="000E51C9">
        <w:t xml:space="preserve"> concluded under different </w:t>
      </w:r>
      <w:r w:rsidR="001C4F72" w:rsidRPr="000E51C9">
        <w:t xml:space="preserve">legal bases. For </w:t>
      </w:r>
      <w:r w:rsidR="00DC69C5" w:rsidRPr="000E51C9">
        <w:t>example,</w:t>
      </w:r>
      <w:r w:rsidR="001C4F72" w:rsidRPr="000E51C9">
        <w:t xml:space="preserve"> whilst EU</w:t>
      </w:r>
      <w:r w:rsidR="001C4F72" w:rsidRPr="000E51C9">
        <w:noBreakHyphen/>
      </w:r>
      <w:r w:rsidR="00837D06" w:rsidRPr="000E51C9">
        <w:t>Singapore</w:t>
      </w:r>
      <w:r w:rsidR="00837D06" w:rsidRPr="000E51C9">
        <w:rPr>
          <w:rStyle w:val="Funotenzeichen"/>
        </w:rPr>
        <w:footnoteReference w:id="44"/>
      </w:r>
      <w:r w:rsidR="00837D06" w:rsidRPr="000E51C9">
        <w:t xml:space="preserve"> or CETA belong</w:t>
      </w:r>
      <w:r w:rsidR="00971601" w:rsidRPr="000E51C9">
        <w:t>s</w:t>
      </w:r>
      <w:r w:rsidR="00837D06" w:rsidRPr="000E51C9">
        <w:t xml:space="preserve"> to the CCP, SAAs and AAs belong to the EU’s neighbourhood policy and have a different legal basis for their conclusion.</w:t>
      </w:r>
      <w:r w:rsidR="00837D06" w:rsidRPr="000E51C9">
        <w:rPr>
          <w:rStyle w:val="Funotenzeichen"/>
        </w:rPr>
        <w:footnoteReference w:id="45"/>
      </w:r>
      <w:r w:rsidR="00837D06" w:rsidRPr="000E51C9">
        <w:t xml:space="preserve"> </w:t>
      </w:r>
      <w:r w:rsidR="00F86584" w:rsidRPr="000E51C9">
        <w:t>Third, as explained, in the future the EU might decouple investment chapters from far-reaching trade agreements due to its post-Opinion 2/15 powers to conclude the latter by itself, without the Member States.</w:t>
      </w:r>
      <w:r w:rsidR="00DD1A58" w:rsidRPr="000E51C9">
        <w:t xml:space="preserve"> This would greatly simplify the ratification process.</w:t>
      </w:r>
    </w:p>
    <w:p w14:paraId="72B73E60" w14:textId="132F1FDD" w:rsidR="00782BA2" w:rsidRPr="000E51C9" w:rsidRDefault="00782BA2" w:rsidP="007D559F">
      <w:pPr>
        <w:spacing w:line="360" w:lineRule="auto"/>
        <w:ind w:firstLine="288"/>
        <w:jc w:val="both"/>
      </w:pPr>
      <w:r w:rsidRPr="000E51C9">
        <w:t>In conclusion, the overwhel</w:t>
      </w:r>
      <w:r w:rsidR="00916CC4" w:rsidRPr="000E51C9">
        <w:t>ming majority of post-NAFTA US P</w:t>
      </w:r>
      <w:r w:rsidRPr="000E51C9">
        <w:t>TAs and the majority of post-NAFTA</w:t>
      </w:r>
      <w:r w:rsidR="00916CC4" w:rsidRPr="000E51C9">
        <w:t xml:space="preserve"> Canadian P</w:t>
      </w:r>
      <w:r w:rsidRPr="000E51C9">
        <w:t xml:space="preserve">TAs include detailed standards of investment protection and multiple </w:t>
      </w:r>
      <w:r w:rsidRPr="000E51C9">
        <w:lastRenderedPageBreak/>
        <w:t>rules for initiating investor-state arbitration. Nonetheless, in most cases, the rules are similar or the same, following the templates provided in NAFTA, the 2004/2012 US Model BITs or the 2004 Canadian Model FIPA.</w:t>
      </w:r>
      <w:r w:rsidRPr="000E51C9">
        <w:rPr>
          <w:rStyle w:val="Funotenzeichen"/>
        </w:rPr>
        <w:footnoteReference w:id="46"/>
      </w:r>
      <w:r w:rsidRPr="000E51C9">
        <w:t xml:space="preserve"> Contrary to </w:t>
      </w:r>
      <w:r w:rsidRPr="000E51C9">
        <w:rPr>
          <w:color w:val="000000" w:themeColor="text1"/>
        </w:rPr>
        <w:t>this</w:t>
      </w:r>
      <w:r w:rsidR="00313589" w:rsidRPr="000E51C9">
        <w:rPr>
          <w:color w:val="000000" w:themeColor="text1"/>
        </w:rPr>
        <w:t>,</w:t>
      </w:r>
      <w:r w:rsidRPr="000E51C9">
        <w:rPr>
          <w:color w:val="000000" w:themeColor="text1"/>
        </w:rPr>
        <w:t xml:space="preserve"> </w:t>
      </w:r>
      <w:r w:rsidR="00313589" w:rsidRPr="000E51C9">
        <w:rPr>
          <w:color w:val="000000" w:themeColor="text1"/>
        </w:rPr>
        <w:t xml:space="preserve">illustrated in </w:t>
      </w:r>
      <w:r w:rsidR="004130CE" w:rsidRPr="000E51C9">
        <w:rPr>
          <w:color w:val="000000" w:themeColor="text1"/>
        </w:rPr>
        <w:t>Table X.</w:t>
      </w:r>
      <w:r w:rsidR="00313589" w:rsidRPr="000E51C9">
        <w:rPr>
          <w:color w:val="000000" w:themeColor="text1"/>
        </w:rPr>
        <w:t>1</w:t>
      </w:r>
      <w:r w:rsidRPr="000E51C9">
        <w:rPr>
          <w:color w:val="000000" w:themeColor="text1"/>
        </w:rPr>
        <w:t xml:space="preserve">, not </w:t>
      </w:r>
      <w:r w:rsidR="00815DC8" w:rsidRPr="000E51C9">
        <w:t>even a fifth of post</w:t>
      </w:r>
      <w:r w:rsidR="00815DC8" w:rsidRPr="000E51C9">
        <w:noBreakHyphen/>
      </w:r>
      <w:r w:rsidRPr="000E51C9">
        <w:t xml:space="preserve">Lisbon EU </w:t>
      </w:r>
      <w:r w:rsidR="00815DC8" w:rsidRPr="000E51C9">
        <w:t>PTAs</w:t>
      </w:r>
      <w:r w:rsidRPr="000E51C9">
        <w:t xml:space="preserve"> include standards of investment protection and ISDS. Nevertheless, these new provisions are very complex and follow the EU Commission’s policy of reforming investment law.</w:t>
      </w:r>
      <w:r w:rsidRPr="000E51C9">
        <w:rPr>
          <w:rStyle w:val="Funotenzeichen"/>
        </w:rPr>
        <w:footnoteReference w:id="47"/>
      </w:r>
    </w:p>
    <w:p w14:paraId="6BCCC876" w14:textId="77777777" w:rsidR="00DD1A58" w:rsidRPr="000E51C9" w:rsidRDefault="00DD1A58" w:rsidP="002B54EE">
      <w:pPr>
        <w:spacing w:line="360" w:lineRule="auto"/>
        <w:jc w:val="both"/>
      </w:pPr>
    </w:p>
    <w:p w14:paraId="02E79B4C" w14:textId="0E972383" w:rsidR="00CB15D4" w:rsidRPr="000E51C9" w:rsidRDefault="004130CE" w:rsidP="00F6726A">
      <w:pPr>
        <w:spacing w:line="360" w:lineRule="auto"/>
        <w:rPr>
          <w:b/>
          <w:sz w:val="20"/>
          <w:szCs w:val="20"/>
        </w:rPr>
      </w:pPr>
      <w:r w:rsidRPr="000E51C9">
        <w:rPr>
          <w:b/>
          <w:sz w:val="20"/>
          <w:szCs w:val="20"/>
        </w:rPr>
        <w:t>Table X.</w:t>
      </w:r>
      <w:r w:rsidR="00810F1D" w:rsidRPr="000E51C9">
        <w:rPr>
          <w:b/>
          <w:sz w:val="20"/>
          <w:szCs w:val="20"/>
        </w:rPr>
        <w:t xml:space="preserve">1 </w:t>
      </w:r>
      <w:r w:rsidR="00995668" w:rsidRPr="000E51C9">
        <w:rPr>
          <w:sz w:val="20"/>
          <w:szCs w:val="20"/>
        </w:rPr>
        <w:t>P</w:t>
      </w:r>
      <w:r w:rsidR="00837D06" w:rsidRPr="000E51C9">
        <w:rPr>
          <w:sz w:val="20"/>
          <w:szCs w:val="20"/>
        </w:rPr>
        <w:t>ost-N</w:t>
      </w:r>
      <w:r w:rsidR="00CB15D4" w:rsidRPr="000E51C9">
        <w:rPr>
          <w:sz w:val="20"/>
          <w:szCs w:val="20"/>
        </w:rPr>
        <w:t>AFTA North-Atlantic PTAs</w:t>
      </w:r>
    </w:p>
    <w:tbl>
      <w:tblPr>
        <w:tblStyle w:val="Tabellenraster"/>
        <w:tblW w:w="9606" w:type="dxa"/>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567"/>
        <w:gridCol w:w="567"/>
        <w:gridCol w:w="567"/>
        <w:gridCol w:w="567"/>
        <w:gridCol w:w="567"/>
        <w:gridCol w:w="567"/>
      </w:tblGrid>
      <w:tr w:rsidR="005D2791" w:rsidRPr="000E51C9" w14:paraId="3F6CFB19" w14:textId="77777777" w:rsidTr="0097677C">
        <w:trPr>
          <w:trHeight w:val="379"/>
        </w:trPr>
        <w:tc>
          <w:tcPr>
            <w:tcW w:w="959" w:type="dxa"/>
            <w:vMerge w:val="restart"/>
          </w:tcPr>
          <w:p w14:paraId="65C6E9EA" w14:textId="77777777" w:rsidR="00434A39" w:rsidRPr="000E51C9" w:rsidRDefault="005D2791" w:rsidP="00C87FB6">
            <w:pPr>
              <w:spacing w:line="240" w:lineRule="auto"/>
              <w:jc w:val="both"/>
              <w:rPr>
                <w:b/>
                <w:sz w:val="20"/>
                <w:szCs w:val="20"/>
              </w:rPr>
            </w:pPr>
            <w:r w:rsidRPr="000E51C9">
              <w:rPr>
                <w:b/>
                <w:sz w:val="20"/>
                <w:szCs w:val="20"/>
              </w:rPr>
              <w:t>States</w:t>
            </w:r>
            <w:r w:rsidR="00434A39" w:rsidRPr="000E51C9">
              <w:rPr>
                <w:b/>
                <w:sz w:val="20"/>
                <w:szCs w:val="20"/>
              </w:rPr>
              <w:t>/</w:t>
            </w:r>
          </w:p>
          <w:p w14:paraId="44E7B5BA" w14:textId="1B089279" w:rsidR="005D2791" w:rsidRPr="000E51C9" w:rsidRDefault="00434A39" w:rsidP="00C87FB6">
            <w:pPr>
              <w:spacing w:line="240" w:lineRule="auto"/>
              <w:jc w:val="both"/>
              <w:rPr>
                <w:b/>
                <w:sz w:val="20"/>
                <w:szCs w:val="20"/>
              </w:rPr>
            </w:pPr>
            <w:r w:rsidRPr="000E51C9">
              <w:rPr>
                <w:b/>
                <w:sz w:val="20"/>
                <w:szCs w:val="20"/>
              </w:rPr>
              <w:t>REIOs</w:t>
            </w:r>
          </w:p>
        </w:tc>
        <w:tc>
          <w:tcPr>
            <w:tcW w:w="709" w:type="dxa"/>
            <w:vMerge w:val="restart"/>
          </w:tcPr>
          <w:p w14:paraId="08337BB0" w14:textId="77777777" w:rsidR="005D2791" w:rsidRPr="000E51C9" w:rsidRDefault="005D2791" w:rsidP="00C87FB6">
            <w:pPr>
              <w:spacing w:line="240" w:lineRule="auto"/>
              <w:jc w:val="center"/>
              <w:rPr>
                <w:b/>
                <w:sz w:val="20"/>
                <w:szCs w:val="20"/>
              </w:rPr>
            </w:pPr>
            <w:r w:rsidRPr="000E51C9">
              <w:rPr>
                <w:b/>
                <w:sz w:val="20"/>
                <w:szCs w:val="20"/>
              </w:rPr>
              <w:t>PTA</w:t>
            </w:r>
          </w:p>
        </w:tc>
        <w:tc>
          <w:tcPr>
            <w:tcW w:w="4536" w:type="dxa"/>
            <w:gridSpan w:val="8"/>
          </w:tcPr>
          <w:p w14:paraId="3A1CBD9E" w14:textId="77777777" w:rsidR="005D2791" w:rsidRPr="000E51C9" w:rsidRDefault="005D2791" w:rsidP="00C87FB6">
            <w:pPr>
              <w:spacing w:line="240" w:lineRule="auto"/>
              <w:jc w:val="center"/>
              <w:rPr>
                <w:b/>
                <w:sz w:val="20"/>
                <w:szCs w:val="20"/>
              </w:rPr>
            </w:pPr>
            <w:r w:rsidRPr="000E51C9">
              <w:rPr>
                <w:b/>
                <w:sz w:val="20"/>
                <w:szCs w:val="20"/>
              </w:rPr>
              <w:t xml:space="preserve">Standards of investment protection </w:t>
            </w:r>
          </w:p>
        </w:tc>
        <w:tc>
          <w:tcPr>
            <w:tcW w:w="3402" w:type="dxa"/>
            <w:gridSpan w:val="6"/>
          </w:tcPr>
          <w:p w14:paraId="7BA33674" w14:textId="77777777" w:rsidR="005D2791" w:rsidRPr="000E51C9" w:rsidRDefault="005D2791" w:rsidP="00C87FB6">
            <w:pPr>
              <w:spacing w:line="240" w:lineRule="auto"/>
              <w:jc w:val="center"/>
              <w:rPr>
                <w:b/>
                <w:sz w:val="20"/>
                <w:szCs w:val="20"/>
              </w:rPr>
            </w:pPr>
            <w:r w:rsidRPr="000E51C9">
              <w:rPr>
                <w:b/>
                <w:sz w:val="20"/>
                <w:szCs w:val="20"/>
              </w:rPr>
              <w:t>ISDS</w:t>
            </w:r>
          </w:p>
        </w:tc>
      </w:tr>
      <w:tr w:rsidR="005D2791" w:rsidRPr="000E51C9" w14:paraId="5E1E7D55" w14:textId="77777777" w:rsidTr="0097677C">
        <w:trPr>
          <w:trHeight w:val="215"/>
        </w:trPr>
        <w:tc>
          <w:tcPr>
            <w:tcW w:w="959" w:type="dxa"/>
            <w:vMerge/>
          </w:tcPr>
          <w:p w14:paraId="52E9CAC4" w14:textId="77777777" w:rsidR="005D2791" w:rsidRPr="000E51C9" w:rsidRDefault="005D2791" w:rsidP="00C87FB6">
            <w:pPr>
              <w:spacing w:line="240" w:lineRule="auto"/>
              <w:jc w:val="both"/>
              <w:rPr>
                <w:b/>
                <w:sz w:val="20"/>
                <w:szCs w:val="20"/>
              </w:rPr>
            </w:pPr>
          </w:p>
        </w:tc>
        <w:tc>
          <w:tcPr>
            <w:tcW w:w="709" w:type="dxa"/>
            <w:vMerge/>
          </w:tcPr>
          <w:p w14:paraId="6E14B57D" w14:textId="77777777" w:rsidR="005D2791" w:rsidRPr="000E51C9" w:rsidRDefault="005D2791" w:rsidP="00C87FB6">
            <w:pPr>
              <w:spacing w:line="240" w:lineRule="auto"/>
              <w:jc w:val="both"/>
              <w:rPr>
                <w:b/>
                <w:sz w:val="20"/>
                <w:szCs w:val="20"/>
              </w:rPr>
            </w:pPr>
          </w:p>
        </w:tc>
        <w:tc>
          <w:tcPr>
            <w:tcW w:w="1134" w:type="dxa"/>
            <w:gridSpan w:val="2"/>
          </w:tcPr>
          <w:p w14:paraId="2B837904" w14:textId="0A798652" w:rsidR="005D2791" w:rsidRPr="000E51C9" w:rsidRDefault="005D2791" w:rsidP="00C87FB6">
            <w:pPr>
              <w:spacing w:line="240" w:lineRule="auto"/>
              <w:jc w:val="center"/>
              <w:rPr>
                <w:b/>
                <w:sz w:val="20"/>
                <w:szCs w:val="20"/>
              </w:rPr>
            </w:pPr>
            <w:r w:rsidRPr="000E51C9">
              <w:rPr>
                <w:b/>
                <w:sz w:val="20"/>
                <w:szCs w:val="20"/>
              </w:rPr>
              <w:t>NT</w:t>
            </w:r>
          </w:p>
        </w:tc>
        <w:tc>
          <w:tcPr>
            <w:tcW w:w="1134" w:type="dxa"/>
            <w:gridSpan w:val="2"/>
          </w:tcPr>
          <w:p w14:paraId="6DC66AFD" w14:textId="3DFF9E8C" w:rsidR="005D2791" w:rsidRPr="000E51C9" w:rsidRDefault="005D2791" w:rsidP="00C87FB6">
            <w:pPr>
              <w:spacing w:line="240" w:lineRule="auto"/>
              <w:jc w:val="center"/>
              <w:rPr>
                <w:b/>
                <w:sz w:val="20"/>
                <w:szCs w:val="20"/>
              </w:rPr>
            </w:pPr>
            <w:r w:rsidRPr="000E51C9">
              <w:rPr>
                <w:b/>
                <w:sz w:val="20"/>
                <w:szCs w:val="20"/>
              </w:rPr>
              <w:t>MFN</w:t>
            </w:r>
          </w:p>
        </w:tc>
        <w:tc>
          <w:tcPr>
            <w:tcW w:w="1134" w:type="dxa"/>
            <w:gridSpan w:val="2"/>
          </w:tcPr>
          <w:p w14:paraId="70035242" w14:textId="022016F6" w:rsidR="005D2791" w:rsidRPr="000E51C9" w:rsidRDefault="005D2791" w:rsidP="00C87FB6">
            <w:pPr>
              <w:spacing w:line="240" w:lineRule="auto"/>
              <w:jc w:val="center"/>
              <w:rPr>
                <w:b/>
                <w:sz w:val="20"/>
                <w:szCs w:val="20"/>
              </w:rPr>
            </w:pPr>
            <w:proofErr w:type="spellStart"/>
            <w:r w:rsidRPr="000E51C9">
              <w:rPr>
                <w:b/>
                <w:sz w:val="20"/>
                <w:szCs w:val="20"/>
              </w:rPr>
              <w:t>Exprop</w:t>
            </w:r>
            <w:proofErr w:type="spellEnd"/>
            <w:r w:rsidRPr="000E51C9">
              <w:rPr>
                <w:b/>
                <w:sz w:val="20"/>
                <w:szCs w:val="20"/>
              </w:rPr>
              <w:t>.</w:t>
            </w:r>
          </w:p>
        </w:tc>
        <w:tc>
          <w:tcPr>
            <w:tcW w:w="1134" w:type="dxa"/>
            <w:gridSpan w:val="2"/>
          </w:tcPr>
          <w:p w14:paraId="4A77B2D3" w14:textId="2CD42B67" w:rsidR="005D2791" w:rsidRPr="000E51C9" w:rsidRDefault="005D2791" w:rsidP="00C87FB6">
            <w:pPr>
              <w:spacing w:line="240" w:lineRule="auto"/>
              <w:jc w:val="center"/>
              <w:rPr>
                <w:b/>
                <w:sz w:val="20"/>
                <w:szCs w:val="20"/>
              </w:rPr>
            </w:pPr>
            <w:r w:rsidRPr="000E51C9">
              <w:rPr>
                <w:b/>
                <w:sz w:val="20"/>
                <w:szCs w:val="20"/>
              </w:rPr>
              <w:t>Extra</w:t>
            </w:r>
          </w:p>
        </w:tc>
        <w:tc>
          <w:tcPr>
            <w:tcW w:w="1134" w:type="dxa"/>
            <w:gridSpan w:val="2"/>
          </w:tcPr>
          <w:p w14:paraId="6D142470" w14:textId="4B3A31BF" w:rsidR="005D2791" w:rsidRPr="000E51C9" w:rsidRDefault="005D2791" w:rsidP="00C87FB6">
            <w:pPr>
              <w:spacing w:line="240" w:lineRule="auto"/>
              <w:ind w:right="-108"/>
              <w:jc w:val="both"/>
              <w:rPr>
                <w:b/>
                <w:sz w:val="20"/>
                <w:szCs w:val="20"/>
              </w:rPr>
            </w:pPr>
            <w:r w:rsidRPr="000E51C9">
              <w:rPr>
                <w:b/>
                <w:sz w:val="20"/>
                <w:szCs w:val="20"/>
              </w:rPr>
              <w:t>Just ICSID</w:t>
            </w:r>
          </w:p>
        </w:tc>
        <w:tc>
          <w:tcPr>
            <w:tcW w:w="1134" w:type="dxa"/>
            <w:gridSpan w:val="2"/>
          </w:tcPr>
          <w:p w14:paraId="38C6CA15" w14:textId="254DA576" w:rsidR="005D2791" w:rsidRPr="000E51C9" w:rsidRDefault="005D2791" w:rsidP="00C87FB6">
            <w:pPr>
              <w:spacing w:line="240" w:lineRule="auto"/>
              <w:jc w:val="both"/>
              <w:rPr>
                <w:b/>
                <w:sz w:val="20"/>
                <w:szCs w:val="20"/>
              </w:rPr>
            </w:pPr>
            <w:r w:rsidRPr="000E51C9">
              <w:rPr>
                <w:b/>
                <w:sz w:val="20"/>
                <w:szCs w:val="20"/>
              </w:rPr>
              <w:t>ICSID +</w:t>
            </w:r>
          </w:p>
        </w:tc>
        <w:tc>
          <w:tcPr>
            <w:tcW w:w="1134" w:type="dxa"/>
            <w:gridSpan w:val="2"/>
          </w:tcPr>
          <w:p w14:paraId="3D4368F6" w14:textId="061F0BB6" w:rsidR="005D2791" w:rsidRPr="000E51C9" w:rsidRDefault="005D2791" w:rsidP="00C87FB6">
            <w:pPr>
              <w:spacing w:line="240" w:lineRule="auto"/>
              <w:jc w:val="both"/>
              <w:rPr>
                <w:b/>
                <w:sz w:val="20"/>
                <w:szCs w:val="20"/>
              </w:rPr>
            </w:pPr>
            <w:r w:rsidRPr="000E51C9">
              <w:rPr>
                <w:b/>
                <w:sz w:val="20"/>
                <w:szCs w:val="20"/>
              </w:rPr>
              <w:t>No ISDS</w:t>
            </w:r>
          </w:p>
        </w:tc>
      </w:tr>
      <w:tr w:rsidR="0097677C" w:rsidRPr="000E51C9" w14:paraId="752D19F5" w14:textId="77777777" w:rsidTr="0097677C">
        <w:trPr>
          <w:trHeight w:val="215"/>
        </w:trPr>
        <w:tc>
          <w:tcPr>
            <w:tcW w:w="959" w:type="dxa"/>
            <w:vMerge/>
          </w:tcPr>
          <w:p w14:paraId="09DAF502" w14:textId="77777777" w:rsidR="005D2791" w:rsidRPr="000E51C9" w:rsidRDefault="005D2791" w:rsidP="00C87FB6">
            <w:pPr>
              <w:spacing w:line="240" w:lineRule="auto"/>
              <w:jc w:val="both"/>
              <w:rPr>
                <w:b/>
                <w:sz w:val="20"/>
                <w:szCs w:val="20"/>
              </w:rPr>
            </w:pPr>
          </w:p>
        </w:tc>
        <w:tc>
          <w:tcPr>
            <w:tcW w:w="709" w:type="dxa"/>
            <w:vMerge/>
          </w:tcPr>
          <w:p w14:paraId="2FF60DDE" w14:textId="77777777" w:rsidR="005D2791" w:rsidRPr="000E51C9" w:rsidRDefault="005D2791" w:rsidP="00C87FB6">
            <w:pPr>
              <w:spacing w:line="240" w:lineRule="auto"/>
              <w:jc w:val="both"/>
              <w:rPr>
                <w:b/>
                <w:sz w:val="20"/>
                <w:szCs w:val="20"/>
              </w:rPr>
            </w:pPr>
          </w:p>
        </w:tc>
        <w:tc>
          <w:tcPr>
            <w:tcW w:w="567" w:type="dxa"/>
          </w:tcPr>
          <w:p w14:paraId="1B0861C6" w14:textId="7322A019" w:rsidR="005D2791" w:rsidRPr="000E51C9" w:rsidRDefault="005D2791" w:rsidP="00C87FB6">
            <w:pPr>
              <w:spacing w:line="240" w:lineRule="auto"/>
              <w:jc w:val="center"/>
              <w:rPr>
                <w:sz w:val="20"/>
                <w:szCs w:val="20"/>
              </w:rPr>
            </w:pPr>
            <w:r w:rsidRPr="000E51C9">
              <w:rPr>
                <w:sz w:val="20"/>
                <w:szCs w:val="20"/>
              </w:rPr>
              <w:t>No.</w:t>
            </w:r>
          </w:p>
        </w:tc>
        <w:tc>
          <w:tcPr>
            <w:tcW w:w="567" w:type="dxa"/>
          </w:tcPr>
          <w:p w14:paraId="0D7EC3B6" w14:textId="1264D4A6" w:rsidR="005D2791" w:rsidRPr="000E51C9" w:rsidRDefault="005D2791" w:rsidP="00C87FB6">
            <w:pPr>
              <w:spacing w:line="240" w:lineRule="auto"/>
              <w:jc w:val="center"/>
              <w:rPr>
                <w:b/>
                <w:sz w:val="20"/>
                <w:szCs w:val="20"/>
              </w:rPr>
            </w:pPr>
            <w:r w:rsidRPr="000E51C9">
              <w:rPr>
                <w:b/>
                <w:sz w:val="20"/>
                <w:szCs w:val="20"/>
              </w:rPr>
              <w:t>%</w:t>
            </w:r>
          </w:p>
        </w:tc>
        <w:tc>
          <w:tcPr>
            <w:tcW w:w="567" w:type="dxa"/>
          </w:tcPr>
          <w:p w14:paraId="1DA63181" w14:textId="71CC0F5C" w:rsidR="005D2791" w:rsidRPr="000E51C9" w:rsidRDefault="005D2791" w:rsidP="00C87FB6">
            <w:pPr>
              <w:spacing w:line="240" w:lineRule="auto"/>
              <w:jc w:val="center"/>
              <w:rPr>
                <w:b/>
                <w:sz w:val="20"/>
                <w:szCs w:val="20"/>
              </w:rPr>
            </w:pPr>
            <w:r w:rsidRPr="000E51C9">
              <w:rPr>
                <w:sz w:val="20"/>
                <w:szCs w:val="20"/>
              </w:rPr>
              <w:t>No.</w:t>
            </w:r>
          </w:p>
        </w:tc>
        <w:tc>
          <w:tcPr>
            <w:tcW w:w="567" w:type="dxa"/>
          </w:tcPr>
          <w:p w14:paraId="5326CA39" w14:textId="3C762313" w:rsidR="005D2791" w:rsidRPr="000E51C9" w:rsidRDefault="005D2791" w:rsidP="00C87FB6">
            <w:pPr>
              <w:spacing w:line="240" w:lineRule="auto"/>
              <w:jc w:val="center"/>
              <w:rPr>
                <w:b/>
                <w:sz w:val="20"/>
                <w:szCs w:val="20"/>
              </w:rPr>
            </w:pPr>
            <w:r w:rsidRPr="000E51C9">
              <w:rPr>
                <w:b/>
                <w:sz w:val="20"/>
                <w:szCs w:val="20"/>
              </w:rPr>
              <w:t>%</w:t>
            </w:r>
          </w:p>
        </w:tc>
        <w:tc>
          <w:tcPr>
            <w:tcW w:w="567" w:type="dxa"/>
          </w:tcPr>
          <w:p w14:paraId="43D74DFB" w14:textId="0FE07609" w:rsidR="005D2791" w:rsidRPr="000E51C9" w:rsidRDefault="005D2791" w:rsidP="00C87FB6">
            <w:pPr>
              <w:spacing w:line="240" w:lineRule="auto"/>
              <w:jc w:val="center"/>
              <w:rPr>
                <w:b/>
                <w:sz w:val="20"/>
                <w:szCs w:val="20"/>
              </w:rPr>
            </w:pPr>
            <w:r w:rsidRPr="000E51C9">
              <w:rPr>
                <w:sz w:val="20"/>
                <w:szCs w:val="20"/>
              </w:rPr>
              <w:t>No.</w:t>
            </w:r>
          </w:p>
        </w:tc>
        <w:tc>
          <w:tcPr>
            <w:tcW w:w="567" w:type="dxa"/>
          </w:tcPr>
          <w:p w14:paraId="1228D3E3" w14:textId="311CFF34" w:rsidR="005D2791" w:rsidRPr="000E51C9" w:rsidRDefault="005D2791" w:rsidP="00C87FB6">
            <w:pPr>
              <w:spacing w:line="240" w:lineRule="auto"/>
              <w:jc w:val="center"/>
              <w:rPr>
                <w:b/>
                <w:sz w:val="20"/>
                <w:szCs w:val="20"/>
              </w:rPr>
            </w:pPr>
            <w:r w:rsidRPr="000E51C9">
              <w:rPr>
                <w:b/>
                <w:sz w:val="20"/>
                <w:szCs w:val="20"/>
              </w:rPr>
              <w:t>%</w:t>
            </w:r>
          </w:p>
        </w:tc>
        <w:tc>
          <w:tcPr>
            <w:tcW w:w="567" w:type="dxa"/>
          </w:tcPr>
          <w:p w14:paraId="2091E720" w14:textId="5364E549" w:rsidR="005D2791" w:rsidRPr="000E51C9" w:rsidRDefault="005D2791" w:rsidP="00C87FB6">
            <w:pPr>
              <w:spacing w:line="240" w:lineRule="auto"/>
              <w:jc w:val="center"/>
              <w:rPr>
                <w:b/>
                <w:sz w:val="20"/>
                <w:szCs w:val="20"/>
              </w:rPr>
            </w:pPr>
            <w:r w:rsidRPr="000E51C9">
              <w:rPr>
                <w:sz w:val="20"/>
                <w:szCs w:val="20"/>
              </w:rPr>
              <w:t>No.</w:t>
            </w:r>
          </w:p>
        </w:tc>
        <w:tc>
          <w:tcPr>
            <w:tcW w:w="567" w:type="dxa"/>
          </w:tcPr>
          <w:p w14:paraId="43556383" w14:textId="60BD0F10" w:rsidR="005D2791" w:rsidRPr="000E51C9" w:rsidRDefault="005D2791" w:rsidP="00C87FB6">
            <w:pPr>
              <w:spacing w:line="240" w:lineRule="auto"/>
              <w:jc w:val="center"/>
              <w:rPr>
                <w:b/>
                <w:sz w:val="20"/>
                <w:szCs w:val="20"/>
              </w:rPr>
            </w:pPr>
            <w:r w:rsidRPr="000E51C9">
              <w:rPr>
                <w:b/>
                <w:sz w:val="20"/>
                <w:szCs w:val="20"/>
              </w:rPr>
              <w:t>%</w:t>
            </w:r>
          </w:p>
        </w:tc>
        <w:tc>
          <w:tcPr>
            <w:tcW w:w="567" w:type="dxa"/>
          </w:tcPr>
          <w:p w14:paraId="46E80D7D" w14:textId="4A81D571" w:rsidR="005D2791" w:rsidRPr="000E51C9" w:rsidRDefault="005D2791" w:rsidP="00C87FB6">
            <w:pPr>
              <w:spacing w:line="240" w:lineRule="auto"/>
              <w:jc w:val="center"/>
              <w:rPr>
                <w:b/>
                <w:sz w:val="20"/>
                <w:szCs w:val="20"/>
              </w:rPr>
            </w:pPr>
            <w:r w:rsidRPr="000E51C9">
              <w:rPr>
                <w:sz w:val="20"/>
                <w:szCs w:val="20"/>
              </w:rPr>
              <w:t>No.</w:t>
            </w:r>
          </w:p>
        </w:tc>
        <w:tc>
          <w:tcPr>
            <w:tcW w:w="567" w:type="dxa"/>
          </w:tcPr>
          <w:p w14:paraId="3DD76D56" w14:textId="71E626BD" w:rsidR="005D2791" w:rsidRPr="000E51C9" w:rsidRDefault="005D2791" w:rsidP="00C87FB6">
            <w:pPr>
              <w:spacing w:line="240" w:lineRule="auto"/>
              <w:jc w:val="center"/>
              <w:rPr>
                <w:b/>
                <w:sz w:val="20"/>
                <w:szCs w:val="20"/>
              </w:rPr>
            </w:pPr>
            <w:r w:rsidRPr="000E51C9">
              <w:rPr>
                <w:b/>
                <w:sz w:val="20"/>
                <w:szCs w:val="20"/>
              </w:rPr>
              <w:t>%</w:t>
            </w:r>
          </w:p>
        </w:tc>
        <w:tc>
          <w:tcPr>
            <w:tcW w:w="567" w:type="dxa"/>
          </w:tcPr>
          <w:p w14:paraId="3906CD72" w14:textId="52653303" w:rsidR="005D2791" w:rsidRPr="000E51C9" w:rsidRDefault="005D2791" w:rsidP="00C87FB6">
            <w:pPr>
              <w:spacing w:line="240" w:lineRule="auto"/>
              <w:jc w:val="center"/>
              <w:rPr>
                <w:b/>
                <w:sz w:val="20"/>
                <w:szCs w:val="20"/>
              </w:rPr>
            </w:pPr>
            <w:r w:rsidRPr="000E51C9">
              <w:rPr>
                <w:sz w:val="20"/>
                <w:szCs w:val="20"/>
              </w:rPr>
              <w:t>No.</w:t>
            </w:r>
          </w:p>
        </w:tc>
        <w:tc>
          <w:tcPr>
            <w:tcW w:w="567" w:type="dxa"/>
          </w:tcPr>
          <w:p w14:paraId="0C8A406E" w14:textId="0F62D907" w:rsidR="005D2791" w:rsidRPr="000E51C9" w:rsidRDefault="005D2791" w:rsidP="00C87FB6">
            <w:pPr>
              <w:spacing w:line="240" w:lineRule="auto"/>
              <w:jc w:val="center"/>
              <w:rPr>
                <w:b/>
                <w:sz w:val="20"/>
                <w:szCs w:val="20"/>
              </w:rPr>
            </w:pPr>
            <w:r w:rsidRPr="000E51C9">
              <w:rPr>
                <w:b/>
                <w:sz w:val="20"/>
                <w:szCs w:val="20"/>
              </w:rPr>
              <w:t>%</w:t>
            </w:r>
          </w:p>
        </w:tc>
        <w:tc>
          <w:tcPr>
            <w:tcW w:w="567" w:type="dxa"/>
          </w:tcPr>
          <w:p w14:paraId="585DB3C3" w14:textId="646AB5FA" w:rsidR="005D2791" w:rsidRPr="000E51C9" w:rsidRDefault="005D2791" w:rsidP="00C87FB6">
            <w:pPr>
              <w:spacing w:line="240" w:lineRule="auto"/>
              <w:jc w:val="center"/>
              <w:rPr>
                <w:b/>
                <w:sz w:val="20"/>
                <w:szCs w:val="20"/>
              </w:rPr>
            </w:pPr>
            <w:r w:rsidRPr="000E51C9">
              <w:rPr>
                <w:sz w:val="20"/>
                <w:szCs w:val="20"/>
              </w:rPr>
              <w:t>No.</w:t>
            </w:r>
          </w:p>
        </w:tc>
        <w:tc>
          <w:tcPr>
            <w:tcW w:w="567" w:type="dxa"/>
          </w:tcPr>
          <w:p w14:paraId="2ED67AAD" w14:textId="6CD424FD" w:rsidR="005D2791" w:rsidRPr="000E51C9" w:rsidRDefault="005D2791" w:rsidP="00C87FB6">
            <w:pPr>
              <w:spacing w:line="240" w:lineRule="auto"/>
              <w:jc w:val="center"/>
              <w:rPr>
                <w:b/>
                <w:sz w:val="20"/>
                <w:szCs w:val="20"/>
              </w:rPr>
            </w:pPr>
            <w:r w:rsidRPr="000E51C9">
              <w:rPr>
                <w:b/>
                <w:sz w:val="20"/>
                <w:szCs w:val="20"/>
              </w:rPr>
              <w:t>%</w:t>
            </w:r>
          </w:p>
        </w:tc>
      </w:tr>
      <w:tr w:rsidR="0062412D" w:rsidRPr="000E51C9" w14:paraId="78444608" w14:textId="77777777" w:rsidTr="0097677C">
        <w:trPr>
          <w:trHeight w:val="456"/>
        </w:trPr>
        <w:tc>
          <w:tcPr>
            <w:tcW w:w="959" w:type="dxa"/>
          </w:tcPr>
          <w:p w14:paraId="52BB0928" w14:textId="77777777" w:rsidR="0062412D" w:rsidRPr="000E51C9" w:rsidRDefault="0062412D" w:rsidP="00C87FB6">
            <w:pPr>
              <w:spacing w:line="240" w:lineRule="auto"/>
              <w:jc w:val="both"/>
              <w:rPr>
                <w:b/>
                <w:sz w:val="20"/>
                <w:szCs w:val="20"/>
              </w:rPr>
            </w:pPr>
            <w:r w:rsidRPr="000E51C9">
              <w:rPr>
                <w:b/>
                <w:sz w:val="20"/>
                <w:szCs w:val="20"/>
              </w:rPr>
              <w:t>USA</w:t>
            </w:r>
          </w:p>
        </w:tc>
        <w:tc>
          <w:tcPr>
            <w:tcW w:w="709" w:type="dxa"/>
          </w:tcPr>
          <w:p w14:paraId="6C5B3738" w14:textId="5719F79F" w:rsidR="0062412D" w:rsidRPr="000E51C9" w:rsidRDefault="0062412D" w:rsidP="00C87FB6">
            <w:pPr>
              <w:spacing w:line="240" w:lineRule="auto"/>
              <w:jc w:val="center"/>
              <w:rPr>
                <w:sz w:val="20"/>
                <w:szCs w:val="20"/>
              </w:rPr>
            </w:pPr>
            <w:r w:rsidRPr="000E51C9">
              <w:rPr>
                <w:sz w:val="20"/>
                <w:szCs w:val="20"/>
              </w:rPr>
              <w:t>13**</w:t>
            </w:r>
          </w:p>
        </w:tc>
        <w:tc>
          <w:tcPr>
            <w:tcW w:w="567" w:type="dxa"/>
            <w:tcBorders>
              <w:right w:val="dashed" w:sz="4" w:space="0" w:color="auto"/>
            </w:tcBorders>
          </w:tcPr>
          <w:p w14:paraId="02624A92" w14:textId="3122A335" w:rsidR="0062412D" w:rsidRPr="000E51C9" w:rsidRDefault="0062412D" w:rsidP="00C87FB6">
            <w:pPr>
              <w:spacing w:line="240" w:lineRule="auto"/>
              <w:jc w:val="center"/>
              <w:rPr>
                <w:sz w:val="20"/>
                <w:szCs w:val="20"/>
              </w:rPr>
            </w:pPr>
            <w:r w:rsidRPr="000E51C9">
              <w:rPr>
                <w:sz w:val="20"/>
                <w:szCs w:val="20"/>
              </w:rPr>
              <w:t>11</w:t>
            </w:r>
          </w:p>
        </w:tc>
        <w:tc>
          <w:tcPr>
            <w:tcW w:w="567" w:type="dxa"/>
            <w:tcBorders>
              <w:left w:val="dashed" w:sz="4" w:space="0" w:color="auto"/>
            </w:tcBorders>
          </w:tcPr>
          <w:p w14:paraId="0FD373D2" w14:textId="3ABCC5B2" w:rsidR="0062412D" w:rsidRPr="000E51C9" w:rsidRDefault="0062412D" w:rsidP="00C87FB6">
            <w:pPr>
              <w:spacing w:line="240" w:lineRule="auto"/>
              <w:jc w:val="center"/>
              <w:rPr>
                <w:sz w:val="20"/>
                <w:szCs w:val="20"/>
              </w:rPr>
            </w:pPr>
            <w:r w:rsidRPr="000E51C9">
              <w:rPr>
                <w:sz w:val="20"/>
                <w:szCs w:val="20"/>
              </w:rPr>
              <w:t>84.6</w:t>
            </w:r>
          </w:p>
        </w:tc>
        <w:tc>
          <w:tcPr>
            <w:tcW w:w="567" w:type="dxa"/>
            <w:tcBorders>
              <w:right w:val="dashed" w:sz="4" w:space="0" w:color="auto"/>
            </w:tcBorders>
          </w:tcPr>
          <w:p w14:paraId="3E0EFC49" w14:textId="3AD45BD2" w:rsidR="0062412D" w:rsidRPr="000E51C9" w:rsidRDefault="0062412D" w:rsidP="00C87FB6">
            <w:pPr>
              <w:spacing w:line="240" w:lineRule="auto"/>
              <w:jc w:val="center"/>
              <w:rPr>
                <w:sz w:val="20"/>
                <w:szCs w:val="20"/>
              </w:rPr>
            </w:pPr>
            <w:r w:rsidRPr="000E51C9">
              <w:rPr>
                <w:sz w:val="20"/>
                <w:szCs w:val="20"/>
              </w:rPr>
              <w:t>11</w:t>
            </w:r>
          </w:p>
        </w:tc>
        <w:tc>
          <w:tcPr>
            <w:tcW w:w="567" w:type="dxa"/>
            <w:tcBorders>
              <w:left w:val="dashed" w:sz="4" w:space="0" w:color="auto"/>
            </w:tcBorders>
          </w:tcPr>
          <w:p w14:paraId="5FF14174" w14:textId="67A4814E" w:rsidR="0062412D" w:rsidRPr="000E51C9" w:rsidRDefault="0062412D" w:rsidP="00C87FB6">
            <w:pPr>
              <w:spacing w:line="240" w:lineRule="auto"/>
              <w:jc w:val="center"/>
              <w:rPr>
                <w:sz w:val="20"/>
                <w:szCs w:val="20"/>
              </w:rPr>
            </w:pPr>
            <w:r w:rsidRPr="000E51C9">
              <w:rPr>
                <w:sz w:val="20"/>
                <w:szCs w:val="20"/>
              </w:rPr>
              <w:t>84.6</w:t>
            </w:r>
          </w:p>
        </w:tc>
        <w:tc>
          <w:tcPr>
            <w:tcW w:w="567" w:type="dxa"/>
            <w:tcBorders>
              <w:right w:val="dashed" w:sz="4" w:space="0" w:color="auto"/>
            </w:tcBorders>
          </w:tcPr>
          <w:p w14:paraId="4568DD2D" w14:textId="63518532" w:rsidR="0062412D" w:rsidRPr="000E51C9" w:rsidRDefault="0062412D" w:rsidP="00C87FB6">
            <w:pPr>
              <w:spacing w:line="240" w:lineRule="auto"/>
              <w:jc w:val="center"/>
              <w:rPr>
                <w:sz w:val="20"/>
                <w:szCs w:val="20"/>
              </w:rPr>
            </w:pPr>
            <w:r w:rsidRPr="000E51C9">
              <w:rPr>
                <w:sz w:val="20"/>
                <w:szCs w:val="20"/>
              </w:rPr>
              <w:t>11</w:t>
            </w:r>
          </w:p>
        </w:tc>
        <w:tc>
          <w:tcPr>
            <w:tcW w:w="567" w:type="dxa"/>
            <w:tcBorders>
              <w:left w:val="dashed" w:sz="4" w:space="0" w:color="auto"/>
            </w:tcBorders>
          </w:tcPr>
          <w:p w14:paraId="62F9DF9D" w14:textId="602B6990" w:rsidR="0062412D" w:rsidRPr="000E51C9" w:rsidRDefault="0062412D" w:rsidP="00C87FB6">
            <w:pPr>
              <w:spacing w:line="240" w:lineRule="auto"/>
              <w:jc w:val="center"/>
              <w:rPr>
                <w:sz w:val="20"/>
                <w:szCs w:val="20"/>
              </w:rPr>
            </w:pPr>
            <w:r w:rsidRPr="000E51C9">
              <w:rPr>
                <w:sz w:val="20"/>
                <w:szCs w:val="20"/>
              </w:rPr>
              <w:t>84.6</w:t>
            </w:r>
          </w:p>
        </w:tc>
        <w:tc>
          <w:tcPr>
            <w:tcW w:w="567" w:type="dxa"/>
            <w:tcBorders>
              <w:right w:val="dashed" w:sz="4" w:space="0" w:color="auto"/>
            </w:tcBorders>
          </w:tcPr>
          <w:p w14:paraId="270462D4" w14:textId="1F659AC7" w:rsidR="0062412D" w:rsidRPr="000E51C9" w:rsidRDefault="0062412D" w:rsidP="00C87FB6">
            <w:pPr>
              <w:spacing w:line="240" w:lineRule="auto"/>
              <w:jc w:val="center"/>
              <w:rPr>
                <w:sz w:val="20"/>
                <w:szCs w:val="20"/>
              </w:rPr>
            </w:pPr>
            <w:r w:rsidRPr="000E51C9">
              <w:rPr>
                <w:sz w:val="20"/>
                <w:szCs w:val="20"/>
              </w:rPr>
              <w:t>11</w:t>
            </w:r>
          </w:p>
        </w:tc>
        <w:tc>
          <w:tcPr>
            <w:tcW w:w="567" w:type="dxa"/>
            <w:tcBorders>
              <w:left w:val="dashed" w:sz="4" w:space="0" w:color="auto"/>
            </w:tcBorders>
          </w:tcPr>
          <w:p w14:paraId="6E501BDB" w14:textId="59202EBF" w:rsidR="0062412D" w:rsidRPr="000E51C9" w:rsidRDefault="0062412D" w:rsidP="00C87FB6">
            <w:pPr>
              <w:spacing w:line="240" w:lineRule="auto"/>
              <w:jc w:val="center"/>
              <w:rPr>
                <w:sz w:val="20"/>
                <w:szCs w:val="20"/>
              </w:rPr>
            </w:pPr>
            <w:r w:rsidRPr="000E51C9">
              <w:rPr>
                <w:sz w:val="20"/>
                <w:szCs w:val="20"/>
              </w:rPr>
              <w:t>84.6</w:t>
            </w:r>
          </w:p>
        </w:tc>
        <w:tc>
          <w:tcPr>
            <w:tcW w:w="567" w:type="dxa"/>
            <w:tcBorders>
              <w:right w:val="dashed" w:sz="4" w:space="0" w:color="auto"/>
            </w:tcBorders>
          </w:tcPr>
          <w:p w14:paraId="12498D48" w14:textId="77777777" w:rsidR="0062412D" w:rsidRPr="000E51C9" w:rsidRDefault="0062412D" w:rsidP="00C87FB6">
            <w:pPr>
              <w:spacing w:line="240" w:lineRule="auto"/>
              <w:jc w:val="center"/>
              <w:rPr>
                <w:sz w:val="20"/>
                <w:szCs w:val="20"/>
              </w:rPr>
            </w:pPr>
            <w:r w:rsidRPr="000E51C9">
              <w:rPr>
                <w:sz w:val="20"/>
                <w:szCs w:val="20"/>
              </w:rPr>
              <w:t>0</w:t>
            </w:r>
          </w:p>
        </w:tc>
        <w:tc>
          <w:tcPr>
            <w:tcW w:w="567" w:type="dxa"/>
            <w:tcBorders>
              <w:left w:val="dashed" w:sz="4" w:space="0" w:color="auto"/>
            </w:tcBorders>
          </w:tcPr>
          <w:p w14:paraId="2ABDCC37" w14:textId="77777777" w:rsidR="0062412D" w:rsidRPr="000E51C9" w:rsidRDefault="0062412D" w:rsidP="00C87FB6">
            <w:pPr>
              <w:spacing w:line="240" w:lineRule="auto"/>
              <w:jc w:val="center"/>
              <w:rPr>
                <w:sz w:val="20"/>
                <w:szCs w:val="20"/>
              </w:rPr>
            </w:pPr>
            <w:r w:rsidRPr="000E51C9">
              <w:rPr>
                <w:sz w:val="20"/>
                <w:szCs w:val="20"/>
              </w:rPr>
              <w:t>-</w:t>
            </w:r>
          </w:p>
        </w:tc>
        <w:tc>
          <w:tcPr>
            <w:tcW w:w="567" w:type="dxa"/>
            <w:tcBorders>
              <w:right w:val="dashed" w:sz="4" w:space="0" w:color="auto"/>
            </w:tcBorders>
          </w:tcPr>
          <w:p w14:paraId="4E501147" w14:textId="0A1C107F" w:rsidR="0062412D" w:rsidRPr="000E51C9" w:rsidRDefault="0062412D" w:rsidP="00C87FB6">
            <w:pPr>
              <w:spacing w:line="240" w:lineRule="auto"/>
              <w:jc w:val="center"/>
              <w:rPr>
                <w:sz w:val="20"/>
                <w:szCs w:val="20"/>
              </w:rPr>
            </w:pPr>
            <w:r w:rsidRPr="000E51C9">
              <w:rPr>
                <w:sz w:val="20"/>
                <w:szCs w:val="20"/>
              </w:rPr>
              <w:t>10</w:t>
            </w:r>
          </w:p>
        </w:tc>
        <w:tc>
          <w:tcPr>
            <w:tcW w:w="567" w:type="dxa"/>
            <w:tcBorders>
              <w:left w:val="dashed" w:sz="4" w:space="0" w:color="auto"/>
            </w:tcBorders>
          </w:tcPr>
          <w:p w14:paraId="70B3AC94" w14:textId="18FC8BDD" w:rsidR="0062412D" w:rsidRPr="000E51C9" w:rsidRDefault="0062412D" w:rsidP="00C87FB6">
            <w:pPr>
              <w:spacing w:line="240" w:lineRule="auto"/>
              <w:jc w:val="center"/>
              <w:rPr>
                <w:sz w:val="20"/>
                <w:szCs w:val="20"/>
              </w:rPr>
            </w:pPr>
            <w:r w:rsidRPr="000E51C9">
              <w:rPr>
                <w:sz w:val="20"/>
                <w:szCs w:val="20"/>
              </w:rPr>
              <w:t>76.9</w:t>
            </w:r>
          </w:p>
        </w:tc>
        <w:tc>
          <w:tcPr>
            <w:tcW w:w="567" w:type="dxa"/>
            <w:tcBorders>
              <w:left w:val="dashed" w:sz="4" w:space="0" w:color="auto"/>
              <w:right w:val="dashed" w:sz="4" w:space="0" w:color="auto"/>
            </w:tcBorders>
          </w:tcPr>
          <w:p w14:paraId="37F09729" w14:textId="77777777" w:rsidR="0062412D" w:rsidRPr="000E51C9" w:rsidRDefault="0062412D" w:rsidP="00C87FB6">
            <w:pPr>
              <w:spacing w:line="240" w:lineRule="auto"/>
              <w:jc w:val="center"/>
              <w:rPr>
                <w:sz w:val="20"/>
                <w:szCs w:val="20"/>
              </w:rPr>
            </w:pPr>
            <w:r w:rsidRPr="000E51C9">
              <w:rPr>
                <w:sz w:val="20"/>
                <w:szCs w:val="20"/>
              </w:rPr>
              <w:t>3</w:t>
            </w:r>
          </w:p>
        </w:tc>
        <w:tc>
          <w:tcPr>
            <w:tcW w:w="567" w:type="dxa"/>
            <w:tcBorders>
              <w:left w:val="dashed" w:sz="4" w:space="0" w:color="auto"/>
            </w:tcBorders>
          </w:tcPr>
          <w:p w14:paraId="23E3E13A" w14:textId="53D6C564" w:rsidR="0062412D" w:rsidRPr="000E51C9" w:rsidRDefault="0062412D" w:rsidP="00C87FB6">
            <w:pPr>
              <w:spacing w:line="240" w:lineRule="auto"/>
              <w:jc w:val="center"/>
              <w:rPr>
                <w:sz w:val="20"/>
                <w:szCs w:val="20"/>
              </w:rPr>
            </w:pPr>
            <w:r w:rsidRPr="000E51C9">
              <w:rPr>
                <w:sz w:val="20"/>
                <w:szCs w:val="20"/>
              </w:rPr>
              <w:t>23.1</w:t>
            </w:r>
          </w:p>
        </w:tc>
      </w:tr>
      <w:tr w:rsidR="005D2791" w:rsidRPr="000E51C9" w14:paraId="2592F82E" w14:textId="77777777" w:rsidTr="0097677C">
        <w:trPr>
          <w:trHeight w:val="473"/>
        </w:trPr>
        <w:tc>
          <w:tcPr>
            <w:tcW w:w="959" w:type="dxa"/>
          </w:tcPr>
          <w:p w14:paraId="6E3FAA8C" w14:textId="77777777" w:rsidR="005D2791" w:rsidRPr="000E51C9" w:rsidRDefault="005D2791" w:rsidP="00C87FB6">
            <w:pPr>
              <w:spacing w:line="240" w:lineRule="auto"/>
              <w:jc w:val="both"/>
              <w:rPr>
                <w:b/>
                <w:sz w:val="20"/>
                <w:szCs w:val="20"/>
              </w:rPr>
            </w:pPr>
            <w:r w:rsidRPr="000E51C9">
              <w:rPr>
                <w:b/>
                <w:sz w:val="20"/>
                <w:szCs w:val="20"/>
              </w:rPr>
              <w:t>Canada</w:t>
            </w:r>
          </w:p>
        </w:tc>
        <w:tc>
          <w:tcPr>
            <w:tcW w:w="709" w:type="dxa"/>
          </w:tcPr>
          <w:p w14:paraId="1B7EB0A0" w14:textId="77777777" w:rsidR="005D2791" w:rsidRPr="000E51C9" w:rsidRDefault="005D2791" w:rsidP="00C87FB6">
            <w:pPr>
              <w:spacing w:line="240" w:lineRule="auto"/>
              <w:jc w:val="center"/>
              <w:rPr>
                <w:sz w:val="20"/>
                <w:szCs w:val="20"/>
              </w:rPr>
            </w:pPr>
            <w:r w:rsidRPr="000E51C9">
              <w:rPr>
                <w:sz w:val="20"/>
                <w:szCs w:val="20"/>
              </w:rPr>
              <w:t>14**</w:t>
            </w:r>
          </w:p>
        </w:tc>
        <w:tc>
          <w:tcPr>
            <w:tcW w:w="567" w:type="dxa"/>
            <w:tcBorders>
              <w:right w:val="dashed" w:sz="4" w:space="0" w:color="auto"/>
            </w:tcBorders>
          </w:tcPr>
          <w:p w14:paraId="664AB606" w14:textId="77777777" w:rsidR="005D2791" w:rsidRPr="000E51C9" w:rsidRDefault="005D2791" w:rsidP="00C87FB6">
            <w:pPr>
              <w:spacing w:line="240" w:lineRule="auto"/>
              <w:jc w:val="center"/>
              <w:rPr>
                <w:sz w:val="20"/>
                <w:szCs w:val="20"/>
              </w:rPr>
            </w:pPr>
            <w:r w:rsidRPr="000E51C9">
              <w:rPr>
                <w:sz w:val="20"/>
                <w:szCs w:val="20"/>
              </w:rPr>
              <w:t>9</w:t>
            </w:r>
          </w:p>
        </w:tc>
        <w:tc>
          <w:tcPr>
            <w:tcW w:w="567" w:type="dxa"/>
            <w:tcBorders>
              <w:left w:val="dashed" w:sz="4" w:space="0" w:color="auto"/>
            </w:tcBorders>
          </w:tcPr>
          <w:p w14:paraId="5B360475" w14:textId="7B18B9D3" w:rsidR="005D2791" w:rsidRPr="000E51C9" w:rsidRDefault="005D2791" w:rsidP="00C87FB6">
            <w:pPr>
              <w:spacing w:line="240" w:lineRule="auto"/>
              <w:jc w:val="center"/>
              <w:rPr>
                <w:sz w:val="20"/>
                <w:szCs w:val="20"/>
              </w:rPr>
            </w:pPr>
            <w:r w:rsidRPr="000E51C9">
              <w:rPr>
                <w:sz w:val="20"/>
                <w:szCs w:val="20"/>
              </w:rPr>
              <w:t>64.3</w:t>
            </w:r>
          </w:p>
        </w:tc>
        <w:tc>
          <w:tcPr>
            <w:tcW w:w="567" w:type="dxa"/>
            <w:tcBorders>
              <w:right w:val="dashed" w:sz="4" w:space="0" w:color="auto"/>
            </w:tcBorders>
          </w:tcPr>
          <w:p w14:paraId="4255D525" w14:textId="77777777" w:rsidR="005D2791" w:rsidRPr="000E51C9" w:rsidRDefault="005D2791" w:rsidP="00C87FB6">
            <w:pPr>
              <w:spacing w:line="240" w:lineRule="auto"/>
              <w:jc w:val="center"/>
              <w:rPr>
                <w:sz w:val="20"/>
                <w:szCs w:val="20"/>
              </w:rPr>
            </w:pPr>
            <w:r w:rsidRPr="000E51C9">
              <w:rPr>
                <w:sz w:val="20"/>
                <w:szCs w:val="20"/>
              </w:rPr>
              <w:t>9</w:t>
            </w:r>
          </w:p>
        </w:tc>
        <w:tc>
          <w:tcPr>
            <w:tcW w:w="567" w:type="dxa"/>
            <w:tcBorders>
              <w:left w:val="dashed" w:sz="4" w:space="0" w:color="auto"/>
            </w:tcBorders>
          </w:tcPr>
          <w:p w14:paraId="71DEC1B5" w14:textId="5C4AC5DF" w:rsidR="005D2791" w:rsidRPr="000E51C9" w:rsidRDefault="005D2791" w:rsidP="00C87FB6">
            <w:pPr>
              <w:spacing w:line="240" w:lineRule="auto"/>
              <w:jc w:val="center"/>
              <w:rPr>
                <w:sz w:val="20"/>
                <w:szCs w:val="20"/>
              </w:rPr>
            </w:pPr>
            <w:r w:rsidRPr="000E51C9">
              <w:rPr>
                <w:sz w:val="20"/>
                <w:szCs w:val="20"/>
              </w:rPr>
              <w:t>64.3</w:t>
            </w:r>
          </w:p>
        </w:tc>
        <w:tc>
          <w:tcPr>
            <w:tcW w:w="567" w:type="dxa"/>
            <w:tcBorders>
              <w:right w:val="dashed" w:sz="4" w:space="0" w:color="auto"/>
            </w:tcBorders>
          </w:tcPr>
          <w:p w14:paraId="09BA31B8" w14:textId="77777777" w:rsidR="005D2791" w:rsidRPr="000E51C9" w:rsidRDefault="005D2791" w:rsidP="00C87FB6">
            <w:pPr>
              <w:spacing w:line="240" w:lineRule="auto"/>
              <w:jc w:val="center"/>
              <w:rPr>
                <w:sz w:val="20"/>
                <w:szCs w:val="20"/>
              </w:rPr>
            </w:pPr>
            <w:r w:rsidRPr="000E51C9">
              <w:rPr>
                <w:sz w:val="20"/>
                <w:szCs w:val="20"/>
              </w:rPr>
              <w:t>9</w:t>
            </w:r>
          </w:p>
        </w:tc>
        <w:tc>
          <w:tcPr>
            <w:tcW w:w="567" w:type="dxa"/>
            <w:tcBorders>
              <w:left w:val="dashed" w:sz="4" w:space="0" w:color="auto"/>
            </w:tcBorders>
          </w:tcPr>
          <w:p w14:paraId="47122826" w14:textId="50265489" w:rsidR="005D2791" w:rsidRPr="000E51C9" w:rsidRDefault="005D2791" w:rsidP="00C87FB6">
            <w:pPr>
              <w:spacing w:line="240" w:lineRule="auto"/>
              <w:jc w:val="center"/>
              <w:rPr>
                <w:sz w:val="20"/>
                <w:szCs w:val="20"/>
              </w:rPr>
            </w:pPr>
            <w:r w:rsidRPr="000E51C9">
              <w:rPr>
                <w:sz w:val="20"/>
                <w:szCs w:val="20"/>
              </w:rPr>
              <w:t>64.3</w:t>
            </w:r>
          </w:p>
        </w:tc>
        <w:tc>
          <w:tcPr>
            <w:tcW w:w="567" w:type="dxa"/>
            <w:tcBorders>
              <w:right w:val="dashed" w:sz="4" w:space="0" w:color="auto"/>
            </w:tcBorders>
          </w:tcPr>
          <w:p w14:paraId="1E9B1E83" w14:textId="77777777" w:rsidR="005D2791" w:rsidRPr="000E51C9" w:rsidRDefault="005D2791" w:rsidP="00C87FB6">
            <w:pPr>
              <w:spacing w:line="240" w:lineRule="auto"/>
              <w:jc w:val="center"/>
              <w:rPr>
                <w:sz w:val="20"/>
                <w:szCs w:val="20"/>
              </w:rPr>
            </w:pPr>
            <w:r w:rsidRPr="000E51C9">
              <w:rPr>
                <w:sz w:val="20"/>
                <w:szCs w:val="20"/>
              </w:rPr>
              <w:t>9</w:t>
            </w:r>
          </w:p>
        </w:tc>
        <w:tc>
          <w:tcPr>
            <w:tcW w:w="567" w:type="dxa"/>
            <w:tcBorders>
              <w:left w:val="dashed" w:sz="4" w:space="0" w:color="auto"/>
            </w:tcBorders>
          </w:tcPr>
          <w:p w14:paraId="3FEE3FDC" w14:textId="59027C71" w:rsidR="005D2791" w:rsidRPr="000E51C9" w:rsidRDefault="005D2791" w:rsidP="00C87FB6">
            <w:pPr>
              <w:spacing w:line="240" w:lineRule="auto"/>
              <w:jc w:val="center"/>
              <w:rPr>
                <w:sz w:val="20"/>
                <w:szCs w:val="20"/>
              </w:rPr>
            </w:pPr>
            <w:r w:rsidRPr="000E51C9">
              <w:rPr>
                <w:sz w:val="20"/>
                <w:szCs w:val="20"/>
              </w:rPr>
              <w:t>64.3</w:t>
            </w:r>
          </w:p>
        </w:tc>
        <w:tc>
          <w:tcPr>
            <w:tcW w:w="567" w:type="dxa"/>
            <w:tcBorders>
              <w:right w:val="dashed" w:sz="4" w:space="0" w:color="auto"/>
            </w:tcBorders>
          </w:tcPr>
          <w:p w14:paraId="3214C492" w14:textId="77777777" w:rsidR="005D2791" w:rsidRPr="000E51C9" w:rsidRDefault="005D2791" w:rsidP="00C87FB6">
            <w:pPr>
              <w:spacing w:line="240" w:lineRule="auto"/>
              <w:jc w:val="center"/>
              <w:rPr>
                <w:sz w:val="20"/>
                <w:szCs w:val="20"/>
              </w:rPr>
            </w:pPr>
            <w:r w:rsidRPr="000E51C9">
              <w:rPr>
                <w:sz w:val="20"/>
                <w:szCs w:val="20"/>
              </w:rPr>
              <w:t>0</w:t>
            </w:r>
          </w:p>
        </w:tc>
        <w:tc>
          <w:tcPr>
            <w:tcW w:w="567" w:type="dxa"/>
            <w:tcBorders>
              <w:left w:val="dashed" w:sz="4" w:space="0" w:color="auto"/>
            </w:tcBorders>
          </w:tcPr>
          <w:p w14:paraId="61C5F339" w14:textId="77777777" w:rsidR="005D2791" w:rsidRPr="000E51C9" w:rsidRDefault="005D2791" w:rsidP="00C87FB6">
            <w:pPr>
              <w:spacing w:line="240" w:lineRule="auto"/>
              <w:jc w:val="center"/>
              <w:rPr>
                <w:sz w:val="20"/>
                <w:szCs w:val="20"/>
              </w:rPr>
            </w:pPr>
            <w:r w:rsidRPr="000E51C9">
              <w:rPr>
                <w:sz w:val="20"/>
                <w:szCs w:val="20"/>
              </w:rPr>
              <w:t>-</w:t>
            </w:r>
          </w:p>
        </w:tc>
        <w:tc>
          <w:tcPr>
            <w:tcW w:w="567" w:type="dxa"/>
            <w:tcBorders>
              <w:right w:val="dashed" w:sz="4" w:space="0" w:color="auto"/>
            </w:tcBorders>
          </w:tcPr>
          <w:p w14:paraId="0210B7EA" w14:textId="77777777" w:rsidR="005D2791" w:rsidRPr="000E51C9" w:rsidRDefault="005D2791" w:rsidP="00C87FB6">
            <w:pPr>
              <w:spacing w:line="240" w:lineRule="auto"/>
              <w:jc w:val="center"/>
              <w:rPr>
                <w:sz w:val="20"/>
                <w:szCs w:val="20"/>
              </w:rPr>
            </w:pPr>
            <w:r w:rsidRPr="000E51C9">
              <w:rPr>
                <w:sz w:val="20"/>
                <w:szCs w:val="20"/>
              </w:rPr>
              <w:t>9</w:t>
            </w:r>
          </w:p>
        </w:tc>
        <w:tc>
          <w:tcPr>
            <w:tcW w:w="567" w:type="dxa"/>
            <w:tcBorders>
              <w:left w:val="dashed" w:sz="4" w:space="0" w:color="auto"/>
            </w:tcBorders>
          </w:tcPr>
          <w:p w14:paraId="566C3631" w14:textId="365BD2F3" w:rsidR="005D2791" w:rsidRPr="000E51C9" w:rsidRDefault="005D2791" w:rsidP="00C87FB6">
            <w:pPr>
              <w:spacing w:line="240" w:lineRule="auto"/>
              <w:jc w:val="center"/>
              <w:rPr>
                <w:sz w:val="20"/>
                <w:szCs w:val="20"/>
              </w:rPr>
            </w:pPr>
            <w:r w:rsidRPr="000E51C9">
              <w:rPr>
                <w:sz w:val="20"/>
                <w:szCs w:val="20"/>
              </w:rPr>
              <w:t>64.3</w:t>
            </w:r>
          </w:p>
        </w:tc>
        <w:tc>
          <w:tcPr>
            <w:tcW w:w="567" w:type="dxa"/>
            <w:tcBorders>
              <w:left w:val="dashed" w:sz="4" w:space="0" w:color="auto"/>
              <w:right w:val="dashed" w:sz="4" w:space="0" w:color="auto"/>
            </w:tcBorders>
          </w:tcPr>
          <w:p w14:paraId="1067D9C3" w14:textId="77777777" w:rsidR="005D2791" w:rsidRPr="000E51C9" w:rsidRDefault="005D2791" w:rsidP="00C87FB6">
            <w:pPr>
              <w:spacing w:line="240" w:lineRule="auto"/>
              <w:jc w:val="center"/>
              <w:rPr>
                <w:sz w:val="20"/>
                <w:szCs w:val="20"/>
              </w:rPr>
            </w:pPr>
            <w:r w:rsidRPr="000E51C9">
              <w:rPr>
                <w:sz w:val="20"/>
                <w:szCs w:val="20"/>
              </w:rPr>
              <w:t>5</w:t>
            </w:r>
          </w:p>
        </w:tc>
        <w:tc>
          <w:tcPr>
            <w:tcW w:w="567" w:type="dxa"/>
            <w:tcBorders>
              <w:left w:val="dashed" w:sz="4" w:space="0" w:color="auto"/>
            </w:tcBorders>
          </w:tcPr>
          <w:p w14:paraId="7B19BDCA" w14:textId="3A583737" w:rsidR="005D2791" w:rsidRPr="000E51C9" w:rsidRDefault="005D2791" w:rsidP="00C87FB6">
            <w:pPr>
              <w:spacing w:line="240" w:lineRule="auto"/>
              <w:jc w:val="center"/>
              <w:rPr>
                <w:sz w:val="20"/>
                <w:szCs w:val="20"/>
              </w:rPr>
            </w:pPr>
            <w:r w:rsidRPr="000E51C9">
              <w:rPr>
                <w:sz w:val="20"/>
                <w:szCs w:val="20"/>
              </w:rPr>
              <w:t>35.7</w:t>
            </w:r>
          </w:p>
        </w:tc>
      </w:tr>
      <w:tr w:rsidR="00250579" w:rsidRPr="000E51C9" w14:paraId="20C4AEF2" w14:textId="77777777" w:rsidTr="0097677C">
        <w:trPr>
          <w:trHeight w:val="473"/>
        </w:trPr>
        <w:tc>
          <w:tcPr>
            <w:tcW w:w="959" w:type="dxa"/>
          </w:tcPr>
          <w:p w14:paraId="1247B1B0" w14:textId="77777777" w:rsidR="00250579" w:rsidRPr="000E51C9" w:rsidRDefault="00250579" w:rsidP="00C87FB6">
            <w:pPr>
              <w:spacing w:line="240" w:lineRule="auto"/>
              <w:jc w:val="both"/>
              <w:rPr>
                <w:b/>
                <w:sz w:val="20"/>
                <w:szCs w:val="20"/>
              </w:rPr>
            </w:pPr>
            <w:r w:rsidRPr="000E51C9">
              <w:rPr>
                <w:b/>
                <w:sz w:val="20"/>
                <w:szCs w:val="20"/>
              </w:rPr>
              <w:t xml:space="preserve">EU* </w:t>
            </w:r>
          </w:p>
        </w:tc>
        <w:tc>
          <w:tcPr>
            <w:tcW w:w="709" w:type="dxa"/>
          </w:tcPr>
          <w:p w14:paraId="63787085" w14:textId="588A85AF" w:rsidR="00250579" w:rsidRPr="000E51C9" w:rsidRDefault="00250579" w:rsidP="00C87FB6">
            <w:pPr>
              <w:spacing w:line="240" w:lineRule="auto"/>
              <w:jc w:val="center"/>
              <w:rPr>
                <w:sz w:val="20"/>
                <w:szCs w:val="20"/>
              </w:rPr>
            </w:pPr>
            <w:r w:rsidRPr="000E51C9">
              <w:rPr>
                <w:sz w:val="20"/>
                <w:szCs w:val="20"/>
              </w:rPr>
              <w:t>19**</w:t>
            </w:r>
          </w:p>
        </w:tc>
        <w:tc>
          <w:tcPr>
            <w:tcW w:w="567" w:type="dxa"/>
            <w:tcBorders>
              <w:right w:val="dashed" w:sz="4" w:space="0" w:color="auto"/>
            </w:tcBorders>
          </w:tcPr>
          <w:p w14:paraId="1E819861" w14:textId="48678FF0" w:rsidR="00250579" w:rsidRPr="000E51C9" w:rsidRDefault="00250579" w:rsidP="00C87FB6">
            <w:pPr>
              <w:spacing w:line="240" w:lineRule="auto"/>
              <w:jc w:val="center"/>
              <w:rPr>
                <w:sz w:val="20"/>
                <w:szCs w:val="20"/>
              </w:rPr>
            </w:pPr>
            <w:r w:rsidRPr="000E51C9">
              <w:rPr>
                <w:sz w:val="20"/>
                <w:szCs w:val="20"/>
              </w:rPr>
              <w:t>3</w:t>
            </w:r>
          </w:p>
        </w:tc>
        <w:tc>
          <w:tcPr>
            <w:tcW w:w="567" w:type="dxa"/>
            <w:tcBorders>
              <w:left w:val="dashed" w:sz="4" w:space="0" w:color="auto"/>
            </w:tcBorders>
          </w:tcPr>
          <w:p w14:paraId="6CBF7097" w14:textId="06CB98B8" w:rsidR="00250579" w:rsidRPr="000E51C9" w:rsidRDefault="00250579" w:rsidP="00C87FB6">
            <w:pPr>
              <w:spacing w:line="240" w:lineRule="auto"/>
              <w:jc w:val="center"/>
              <w:rPr>
                <w:sz w:val="20"/>
                <w:szCs w:val="20"/>
              </w:rPr>
            </w:pPr>
            <w:r w:rsidRPr="000E51C9">
              <w:rPr>
                <w:sz w:val="20"/>
                <w:szCs w:val="20"/>
              </w:rPr>
              <w:t>15.8</w:t>
            </w:r>
          </w:p>
        </w:tc>
        <w:tc>
          <w:tcPr>
            <w:tcW w:w="567" w:type="dxa"/>
            <w:tcBorders>
              <w:right w:val="dashed" w:sz="4" w:space="0" w:color="auto"/>
            </w:tcBorders>
          </w:tcPr>
          <w:p w14:paraId="074F4945" w14:textId="0D4D0316" w:rsidR="00250579" w:rsidRPr="000E51C9" w:rsidRDefault="004451E5" w:rsidP="00C87FB6">
            <w:pPr>
              <w:spacing w:line="240" w:lineRule="auto"/>
              <w:jc w:val="center"/>
              <w:rPr>
                <w:sz w:val="20"/>
                <w:szCs w:val="20"/>
              </w:rPr>
            </w:pPr>
            <w:r w:rsidRPr="000E51C9">
              <w:rPr>
                <w:sz w:val="20"/>
                <w:szCs w:val="20"/>
              </w:rPr>
              <w:t>2</w:t>
            </w:r>
          </w:p>
        </w:tc>
        <w:tc>
          <w:tcPr>
            <w:tcW w:w="567" w:type="dxa"/>
            <w:tcBorders>
              <w:left w:val="dashed" w:sz="4" w:space="0" w:color="auto"/>
            </w:tcBorders>
          </w:tcPr>
          <w:p w14:paraId="07BA8BA6" w14:textId="605780E2" w:rsidR="00250579" w:rsidRPr="000E51C9" w:rsidRDefault="004451E5" w:rsidP="00C87FB6">
            <w:pPr>
              <w:spacing w:line="240" w:lineRule="auto"/>
              <w:jc w:val="center"/>
              <w:rPr>
                <w:sz w:val="20"/>
                <w:szCs w:val="20"/>
              </w:rPr>
            </w:pPr>
            <w:r w:rsidRPr="000E51C9">
              <w:rPr>
                <w:sz w:val="20"/>
                <w:szCs w:val="20"/>
              </w:rPr>
              <w:t>10.5</w:t>
            </w:r>
          </w:p>
        </w:tc>
        <w:tc>
          <w:tcPr>
            <w:tcW w:w="567" w:type="dxa"/>
            <w:tcBorders>
              <w:right w:val="dashed" w:sz="4" w:space="0" w:color="auto"/>
            </w:tcBorders>
          </w:tcPr>
          <w:p w14:paraId="1A8C1FE5" w14:textId="2AB9CDD1" w:rsidR="00250579" w:rsidRPr="000E51C9" w:rsidRDefault="00250579" w:rsidP="00C87FB6">
            <w:pPr>
              <w:spacing w:line="240" w:lineRule="auto"/>
              <w:jc w:val="center"/>
              <w:rPr>
                <w:sz w:val="20"/>
                <w:szCs w:val="20"/>
              </w:rPr>
            </w:pPr>
            <w:r w:rsidRPr="000E51C9">
              <w:rPr>
                <w:sz w:val="20"/>
                <w:szCs w:val="20"/>
              </w:rPr>
              <w:t>3</w:t>
            </w:r>
          </w:p>
        </w:tc>
        <w:tc>
          <w:tcPr>
            <w:tcW w:w="567" w:type="dxa"/>
            <w:tcBorders>
              <w:left w:val="dashed" w:sz="4" w:space="0" w:color="auto"/>
            </w:tcBorders>
          </w:tcPr>
          <w:p w14:paraId="0CB05DB3" w14:textId="3082CB07" w:rsidR="00250579" w:rsidRPr="000E51C9" w:rsidRDefault="00250579" w:rsidP="00C87FB6">
            <w:pPr>
              <w:spacing w:line="240" w:lineRule="auto"/>
              <w:jc w:val="center"/>
              <w:rPr>
                <w:sz w:val="20"/>
                <w:szCs w:val="20"/>
              </w:rPr>
            </w:pPr>
            <w:r w:rsidRPr="000E51C9">
              <w:rPr>
                <w:sz w:val="20"/>
                <w:szCs w:val="20"/>
              </w:rPr>
              <w:t>15.8</w:t>
            </w:r>
          </w:p>
        </w:tc>
        <w:tc>
          <w:tcPr>
            <w:tcW w:w="567" w:type="dxa"/>
            <w:tcBorders>
              <w:right w:val="dashed" w:sz="4" w:space="0" w:color="auto"/>
            </w:tcBorders>
          </w:tcPr>
          <w:p w14:paraId="650756C5" w14:textId="65D3002B" w:rsidR="00250579" w:rsidRPr="000E51C9" w:rsidRDefault="00250579" w:rsidP="00C87FB6">
            <w:pPr>
              <w:spacing w:line="240" w:lineRule="auto"/>
              <w:jc w:val="center"/>
              <w:rPr>
                <w:sz w:val="20"/>
                <w:szCs w:val="20"/>
              </w:rPr>
            </w:pPr>
            <w:r w:rsidRPr="000E51C9">
              <w:rPr>
                <w:sz w:val="20"/>
                <w:szCs w:val="20"/>
              </w:rPr>
              <w:t>3</w:t>
            </w:r>
          </w:p>
        </w:tc>
        <w:tc>
          <w:tcPr>
            <w:tcW w:w="567" w:type="dxa"/>
            <w:tcBorders>
              <w:left w:val="dashed" w:sz="4" w:space="0" w:color="auto"/>
            </w:tcBorders>
          </w:tcPr>
          <w:p w14:paraId="6598ACFD" w14:textId="0D0C8492" w:rsidR="00250579" w:rsidRPr="000E51C9" w:rsidRDefault="00250579" w:rsidP="00C87FB6">
            <w:pPr>
              <w:spacing w:line="240" w:lineRule="auto"/>
              <w:jc w:val="center"/>
              <w:rPr>
                <w:sz w:val="20"/>
                <w:szCs w:val="20"/>
              </w:rPr>
            </w:pPr>
            <w:r w:rsidRPr="000E51C9">
              <w:rPr>
                <w:sz w:val="20"/>
                <w:szCs w:val="20"/>
              </w:rPr>
              <w:t>15.8</w:t>
            </w:r>
          </w:p>
        </w:tc>
        <w:tc>
          <w:tcPr>
            <w:tcW w:w="567" w:type="dxa"/>
            <w:tcBorders>
              <w:right w:val="dashed" w:sz="4" w:space="0" w:color="auto"/>
            </w:tcBorders>
          </w:tcPr>
          <w:p w14:paraId="2D31558E" w14:textId="77777777" w:rsidR="00250579" w:rsidRPr="000E51C9" w:rsidRDefault="00250579" w:rsidP="00C87FB6">
            <w:pPr>
              <w:spacing w:line="240" w:lineRule="auto"/>
              <w:jc w:val="center"/>
              <w:rPr>
                <w:sz w:val="20"/>
                <w:szCs w:val="20"/>
              </w:rPr>
            </w:pPr>
            <w:r w:rsidRPr="000E51C9">
              <w:rPr>
                <w:sz w:val="20"/>
                <w:szCs w:val="20"/>
              </w:rPr>
              <w:t>0</w:t>
            </w:r>
          </w:p>
        </w:tc>
        <w:tc>
          <w:tcPr>
            <w:tcW w:w="567" w:type="dxa"/>
            <w:tcBorders>
              <w:left w:val="dashed" w:sz="4" w:space="0" w:color="auto"/>
            </w:tcBorders>
          </w:tcPr>
          <w:p w14:paraId="58ABF4C9" w14:textId="77777777" w:rsidR="00250579" w:rsidRPr="000E51C9" w:rsidRDefault="00250579" w:rsidP="00C87FB6">
            <w:pPr>
              <w:spacing w:line="240" w:lineRule="auto"/>
              <w:jc w:val="center"/>
              <w:rPr>
                <w:sz w:val="20"/>
                <w:szCs w:val="20"/>
              </w:rPr>
            </w:pPr>
            <w:r w:rsidRPr="000E51C9">
              <w:rPr>
                <w:sz w:val="20"/>
                <w:szCs w:val="20"/>
              </w:rPr>
              <w:t>-</w:t>
            </w:r>
          </w:p>
        </w:tc>
        <w:tc>
          <w:tcPr>
            <w:tcW w:w="567" w:type="dxa"/>
            <w:tcBorders>
              <w:right w:val="dashed" w:sz="4" w:space="0" w:color="auto"/>
            </w:tcBorders>
          </w:tcPr>
          <w:p w14:paraId="57DAB8CE" w14:textId="6D6DCD05" w:rsidR="00250579" w:rsidRPr="000E51C9" w:rsidRDefault="00250579" w:rsidP="00C87FB6">
            <w:pPr>
              <w:spacing w:line="240" w:lineRule="auto"/>
              <w:jc w:val="center"/>
              <w:rPr>
                <w:sz w:val="20"/>
                <w:szCs w:val="20"/>
              </w:rPr>
            </w:pPr>
            <w:r w:rsidRPr="000E51C9">
              <w:rPr>
                <w:sz w:val="20"/>
                <w:szCs w:val="20"/>
              </w:rPr>
              <w:t>3</w:t>
            </w:r>
          </w:p>
        </w:tc>
        <w:tc>
          <w:tcPr>
            <w:tcW w:w="567" w:type="dxa"/>
            <w:tcBorders>
              <w:left w:val="dashed" w:sz="4" w:space="0" w:color="auto"/>
            </w:tcBorders>
          </w:tcPr>
          <w:p w14:paraId="7CF0A55A" w14:textId="63F97627" w:rsidR="00250579" w:rsidRPr="000E51C9" w:rsidRDefault="00250579" w:rsidP="00C87FB6">
            <w:pPr>
              <w:spacing w:line="240" w:lineRule="auto"/>
              <w:jc w:val="center"/>
              <w:rPr>
                <w:sz w:val="20"/>
                <w:szCs w:val="20"/>
              </w:rPr>
            </w:pPr>
            <w:r w:rsidRPr="000E51C9">
              <w:rPr>
                <w:sz w:val="20"/>
                <w:szCs w:val="20"/>
              </w:rPr>
              <w:t>15.8</w:t>
            </w:r>
          </w:p>
        </w:tc>
        <w:tc>
          <w:tcPr>
            <w:tcW w:w="567" w:type="dxa"/>
            <w:tcBorders>
              <w:left w:val="dashed" w:sz="4" w:space="0" w:color="auto"/>
              <w:right w:val="dashed" w:sz="4" w:space="0" w:color="auto"/>
            </w:tcBorders>
          </w:tcPr>
          <w:p w14:paraId="37046AD4" w14:textId="256CF461" w:rsidR="00250579" w:rsidRPr="000E51C9" w:rsidRDefault="00250579" w:rsidP="00C87FB6">
            <w:pPr>
              <w:spacing w:line="240" w:lineRule="auto"/>
              <w:jc w:val="center"/>
              <w:rPr>
                <w:sz w:val="20"/>
                <w:szCs w:val="20"/>
              </w:rPr>
            </w:pPr>
            <w:r w:rsidRPr="000E51C9">
              <w:rPr>
                <w:sz w:val="20"/>
                <w:szCs w:val="20"/>
              </w:rPr>
              <w:t>16</w:t>
            </w:r>
          </w:p>
        </w:tc>
        <w:tc>
          <w:tcPr>
            <w:tcW w:w="567" w:type="dxa"/>
            <w:tcBorders>
              <w:left w:val="dashed" w:sz="4" w:space="0" w:color="auto"/>
            </w:tcBorders>
          </w:tcPr>
          <w:p w14:paraId="3F830787" w14:textId="21298572" w:rsidR="00250579" w:rsidRPr="000E51C9" w:rsidRDefault="00250579" w:rsidP="00C87FB6">
            <w:pPr>
              <w:spacing w:line="240" w:lineRule="auto"/>
              <w:jc w:val="center"/>
              <w:rPr>
                <w:sz w:val="20"/>
                <w:szCs w:val="20"/>
              </w:rPr>
            </w:pPr>
            <w:r w:rsidRPr="000E51C9">
              <w:rPr>
                <w:sz w:val="20"/>
                <w:szCs w:val="20"/>
              </w:rPr>
              <w:t>84.2</w:t>
            </w:r>
          </w:p>
        </w:tc>
      </w:tr>
    </w:tbl>
    <w:p w14:paraId="347838C8" w14:textId="573A149B" w:rsidR="00837D06" w:rsidRPr="000E51C9" w:rsidRDefault="00837D06" w:rsidP="004130CE">
      <w:pPr>
        <w:pStyle w:val="Listenabsatz"/>
        <w:spacing w:after="0" w:line="240" w:lineRule="auto"/>
        <w:ind w:left="270" w:hanging="270"/>
        <w:jc w:val="both"/>
        <w:rPr>
          <w:rFonts w:ascii="Times New Roman" w:hAnsi="Times New Roman" w:cs="Times New Roman"/>
          <w:sz w:val="20"/>
          <w:szCs w:val="20"/>
          <w:lang w:val="en-GB"/>
        </w:rPr>
      </w:pPr>
      <w:r w:rsidRPr="000E51C9">
        <w:rPr>
          <w:rFonts w:ascii="Times New Roman" w:hAnsi="Times New Roman" w:cs="Times New Roman"/>
          <w:sz w:val="20"/>
          <w:szCs w:val="20"/>
          <w:lang w:val="en-GB"/>
        </w:rPr>
        <w:t xml:space="preserve">* </w:t>
      </w:r>
      <w:r w:rsidR="004130CE" w:rsidRPr="000E51C9">
        <w:rPr>
          <w:rFonts w:ascii="Times New Roman" w:hAnsi="Times New Roman" w:cs="Times New Roman"/>
          <w:sz w:val="20"/>
          <w:szCs w:val="20"/>
          <w:lang w:val="en-GB"/>
        </w:rPr>
        <w:tab/>
        <w:t>P</w:t>
      </w:r>
      <w:r w:rsidRPr="000E51C9">
        <w:rPr>
          <w:rFonts w:ascii="Times New Roman" w:hAnsi="Times New Roman" w:cs="Times New Roman"/>
          <w:sz w:val="20"/>
          <w:szCs w:val="20"/>
          <w:lang w:val="en-GB"/>
        </w:rPr>
        <w:t>ost-Lisbon (1 Dec 2009) for EU</w:t>
      </w:r>
    </w:p>
    <w:p w14:paraId="03271359" w14:textId="4ED14D45" w:rsidR="00837D06" w:rsidRPr="000E51C9" w:rsidRDefault="00837D06" w:rsidP="004130CE">
      <w:pPr>
        <w:pStyle w:val="Listenabsatz"/>
        <w:spacing w:after="0" w:line="240" w:lineRule="auto"/>
        <w:ind w:left="270" w:hanging="270"/>
        <w:jc w:val="both"/>
        <w:rPr>
          <w:rFonts w:ascii="Times New Roman" w:hAnsi="Times New Roman" w:cs="Times New Roman"/>
          <w:sz w:val="20"/>
          <w:szCs w:val="20"/>
          <w:lang w:val="en-GB"/>
        </w:rPr>
      </w:pPr>
      <w:r w:rsidRPr="000E51C9">
        <w:rPr>
          <w:rFonts w:ascii="Times New Roman" w:hAnsi="Times New Roman" w:cs="Times New Roman"/>
          <w:sz w:val="20"/>
          <w:szCs w:val="20"/>
          <w:lang w:val="en-GB"/>
        </w:rPr>
        <w:t xml:space="preserve">** </w:t>
      </w:r>
      <w:r w:rsidR="0062412D" w:rsidRPr="000E51C9">
        <w:rPr>
          <w:rFonts w:ascii="Times New Roman" w:hAnsi="Times New Roman" w:cs="Times New Roman"/>
          <w:sz w:val="20"/>
          <w:szCs w:val="20"/>
          <w:lang w:val="en-GB"/>
        </w:rPr>
        <w:t xml:space="preserve">NAFTA </w:t>
      </w:r>
      <w:r w:rsidR="001C4302" w:rsidRPr="000E51C9">
        <w:rPr>
          <w:rFonts w:ascii="Times New Roman" w:hAnsi="Times New Roman" w:cs="Times New Roman"/>
          <w:sz w:val="20"/>
          <w:szCs w:val="20"/>
          <w:lang w:val="en-GB"/>
        </w:rPr>
        <w:t>is</w:t>
      </w:r>
      <w:r w:rsidR="0062412D" w:rsidRPr="000E51C9">
        <w:rPr>
          <w:rFonts w:ascii="Times New Roman" w:hAnsi="Times New Roman" w:cs="Times New Roman"/>
          <w:sz w:val="20"/>
          <w:szCs w:val="20"/>
          <w:lang w:val="en-GB"/>
        </w:rPr>
        <w:t xml:space="preserve"> included for </w:t>
      </w:r>
      <w:r w:rsidR="00CC7BDB" w:rsidRPr="000E51C9">
        <w:rPr>
          <w:rFonts w:ascii="Times New Roman" w:hAnsi="Times New Roman" w:cs="Times New Roman"/>
          <w:sz w:val="20"/>
          <w:szCs w:val="20"/>
          <w:lang w:val="en-GB"/>
        </w:rPr>
        <w:t xml:space="preserve">both </w:t>
      </w:r>
      <w:r w:rsidR="0062412D" w:rsidRPr="000E51C9">
        <w:rPr>
          <w:rFonts w:ascii="Times New Roman" w:hAnsi="Times New Roman" w:cs="Times New Roman"/>
          <w:sz w:val="20"/>
          <w:szCs w:val="20"/>
          <w:lang w:val="en-GB"/>
        </w:rPr>
        <w:t>Canada</w:t>
      </w:r>
      <w:r w:rsidR="00FA72B7" w:rsidRPr="000E51C9">
        <w:rPr>
          <w:rFonts w:ascii="Times New Roman" w:hAnsi="Times New Roman" w:cs="Times New Roman"/>
          <w:sz w:val="20"/>
          <w:szCs w:val="20"/>
          <w:lang w:val="en-GB"/>
        </w:rPr>
        <w:t xml:space="preserve"> and the US.</w:t>
      </w:r>
      <w:r w:rsidR="00114036" w:rsidRPr="000E51C9">
        <w:rPr>
          <w:rFonts w:ascii="Times New Roman" w:hAnsi="Times New Roman" w:cs="Times New Roman"/>
          <w:sz w:val="20"/>
          <w:szCs w:val="20"/>
          <w:lang w:val="en-GB"/>
        </w:rPr>
        <w:t xml:space="preserve"> TPP is only included for Canad</w:t>
      </w:r>
      <w:r w:rsidR="00FA72B7" w:rsidRPr="000E51C9">
        <w:rPr>
          <w:rFonts w:ascii="Times New Roman" w:hAnsi="Times New Roman" w:cs="Times New Roman"/>
          <w:sz w:val="20"/>
          <w:szCs w:val="20"/>
          <w:lang w:val="en-GB"/>
        </w:rPr>
        <w:t>a.</w:t>
      </w:r>
      <w:r w:rsidR="0062412D" w:rsidRPr="000E51C9">
        <w:rPr>
          <w:rFonts w:ascii="Times New Roman" w:hAnsi="Times New Roman" w:cs="Times New Roman"/>
          <w:sz w:val="20"/>
          <w:szCs w:val="20"/>
          <w:lang w:val="en-GB"/>
        </w:rPr>
        <w:t xml:space="preserve"> CETA is incl</w:t>
      </w:r>
      <w:r w:rsidR="00B22A48" w:rsidRPr="000E51C9">
        <w:rPr>
          <w:rFonts w:ascii="Times New Roman" w:hAnsi="Times New Roman" w:cs="Times New Roman"/>
          <w:sz w:val="20"/>
          <w:szCs w:val="20"/>
          <w:lang w:val="en-GB"/>
        </w:rPr>
        <w:t>uded for both Canada and the EU</w:t>
      </w:r>
      <w:r w:rsidR="00FA72B7" w:rsidRPr="000E51C9">
        <w:rPr>
          <w:rFonts w:ascii="Times New Roman" w:hAnsi="Times New Roman" w:cs="Times New Roman"/>
          <w:sz w:val="20"/>
          <w:szCs w:val="20"/>
          <w:lang w:val="en-GB"/>
        </w:rPr>
        <w:t>.</w:t>
      </w:r>
      <w:r w:rsidR="0062412D" w:rsidRPr="000E51C9">
        <w:rPr>
          <w:rFonts w:ascii="Times New Roman" w:hAnsi="Times New Roman" w:cs="Times New Roman"/>
          <w:sz w:val="20"/>
          <w:szCs w:val="20"/>
          <w:lang w:val="en-GB"/>
        </w:rPr>
        <w:t xml:space="preserve"> TTIP is excluded from the analysis</w:t>
      </w:r>
      <w:r w:rsidR="006B53C8" w:rsidRPr="000E51C9">
        <w:rPr>
          <w:rFonts w:ascii="Times New Roman" w:hAnsi="Times New Roman" w:cs="Times New Roman"/>
          <w:sz w:val="20"/>
          <w:szCs w:val="20"/>
          <w:lang w:val="en-GB"/>
        </w:rPr>
        <w:t>.</w:t>
      </w:r>
    </w:p>
    <w:p w14:paraId="3B88A263" w14:textId="77777777" w:rsidR="00865A16" w:rsidRPr="000E51C9" w:rsidRDefault="00865A16" w:rsidP="00163F2E">
      <w:pPr>
        <w:pStyle w:val="Listenabsatz"/>
        <w:spacing w:after="0" w:line="360" w:lineRule="auto"/>
        <w:ind w:left="360"/>
        <w:jc w:val="both"/>
        <w:rPr>
          <w:rFonts w:ascii="Times New Roman" w:hAnsi="Times New Roman" w:cs="Times New Roman"/>
          <w:sz w:val="20"/>
          <w:szCs w:val="20"/>
          <w:lang w:val="en-GB"/>
        </w:rPr>
      </w:pPr>
    </w:p>
    <w:p w14:paraId="4EB7DD60" w14:textId="3BCB7E17" w:rsidR="00837D06" w:rsidRPr="000E51C9" w:rsidRDefault="007D559F" w:rsidP="007D559F">
      <w:pPr>
        <w:pStyle w:val="berschrift2"/>
        <w:spacing w:before="0" w:after="0" w:line="360" w:lineRule="auto"/>
        <w:rPr>
          <w:lang w:val="en-GB"/>
        </w:rPr>
      </w:pPr>
      <w:bookmarkStart w:id="7" w:name="_Toc497733681"/>
      <w:r w:rsidRPr="000E51C9">
        <w:rPr>
          <w:rFonts w:cs="Times New Roman"/>
          <w:i/>
          <w:lang w:val="en-GB"/>
        </w:rPr>
        <w:t xml:space="preserve">X.2.3 </w:t>
      </w:r>
      <w:bookmarkStart w:id="8" w:name="_Toc475435345"/>
      <w:r w:rsidR="00837D06" w:rsidRPr="000E51C9">
        <w:rPr>
          <w:rFonts w:cs="Times New Roman"/>
          <w:i/>
          <w:lang w:val="en-GB"/>
        </w:rPr>
        <w:t>Asia-Pacific</w:t>
      </w:r>
      <w:bookmarkEnd w:id="7"/>
      <w:bookmarkEnd w:id="8"/>
      <w:r w:rsidR="00837D06" w:rsidRPr="000E51C9">
        <w:rPr>
          <w:rFonts w:cs="Times New Roman"/>
          <w:i/>
          <w:lang w:val="en-GB"/>
        </w:rPr>
        <w:t xml:space="preserve"> </w:t>
      </w:r>
    </w:p>
    <w:p w14:paraId="7EB4906A" w14:textId="7ACF356D" w:rsidR="00837D06" w:rsidRPr="000E51C9" w:rsidRDefault="00837D06" w:rsidP="00163F2E">
      <w:pPr>
        <w:spacing w:line="360" w:lineRule="auto"/>
        <w:jc w:val="both"/>
      </w:pPr>
      <w:r w:rsidRPr="000E51C9">
        <w:t xml:space="preserve">The countries/REIOs of interest in this </w:t>
      </w:r>
      <w:r w:rsidR="00FB7C5C" w:rsidRPr="000E51C9">
        <w:t>region</w:t>
      </w:r>
      <w:r w:rsidRPr="000E51C9">
        <w:t xml:space="preserve"> include India, China, Japan, Australia and the ASEAN bloc. The latter has specific agreements with all the other countries, which were considered together with other ASEAN treaties </w:t>
      </w:r>
      <w:r w:rsidR="00F856E4" w:rsidRPr="000E51C9">
        <w:t>to</w:t>
      </w:r>
      <w:r w:rsidRPr="000E51C9">
        <w:t xml:space="preserve"> avoid double counting.</w:t>
      </w:r>
    </w:p>
    <w:p w14:paraId="1C5A63B7" w14:textId="091A62D4" w:rsidR="00D14E01" w:rsidRPr="000E51C9" w:rsidRDefault="00837D06" w:rsidP="007D559F">
      <w:pPr>
        <w:spacing w:line="360" w:lineRule="auto"/>
        <w:ind w:firstLine="288"/>
        <w:jc w:val="both"/>
      </w:pPr>
      <w:proofErr w:type="spellStart"/>
      <w:r w:rsidRPr="000E51C9">
        <w:t>i</w:t>
      </w:r>
      <w:proofErr w:type="spellEnd"/>
      <w:r w:rsidR="00F376B0" w:rsidRPr="000E51C9">
        <w:t xml:space="preserve">. </w:t>
      </w:r>
      <w:r w:rsidR="00D14E01" w:rsidRPr="000E51C9">
        <w:rPr>
          <w:i/>
        </w:rPr>
        <w:t xml:space="preserve">India </w:t>
      </w:r>
      <w:r w:rsidR="00D14E01" w:rsidRPr="000E51C9">
        <w:t xml:space="preserve">- </w:t>
      </w:r>
      <w:r w:rsidR="0092439D" w:rsidRPr="000E51C9">
        <w:t>For this</w:t>
      </w:r>
      <w:r w:rsidR="00C72948" w:rsidRPr="000E51C9">
        <w:t xml:space="preserve"> analysis 19 PTAs were selected,</w:t>
      </w:r>
      <w:r w:rsidR="00D14E01" w:rsidRPr="000E51C9">
        <w:rPr>
          <w:rStyle w:val="Funotenzeichen"/>
        </w:rPr>
        <w:footnoteReference w:id="48"/>
      </w:r>
      <w:r w:rsidR="00D14E01" w:rsidRPr="000E51C9">
        <w:t xml:space="preserve"> most of which (7</w:t>
      </w:r>
      <w:r w:rsidR="003149BE" w:rsidRPr="000E51C9">
        <w:t>8.</w:t>
      </w:r>
      <w:r w:rsidR="00D14E01" w:rsidRPr="000E51C9">
        <w:t xml:space="preserve">9%) </w:t>
      </w:r>
      <w:r w:rsidR="00300AB2" w:rsidRPr="000E51C9">
        <w:t>are</w:t>
      </w:r>
      <w:r w:rsidR="00D14E01" w:rsidRPr="000E51C9">
        <w:t xml:space="preserve"> trade agreements (TAs) granting national</w:t>
      </w:r>
      <w:r w:rsidR="00D14E01" w:rsidRPr="000E51C9">
        <w:rPr>
          <w:rStyle w:val="Funotenzeichen"/>
        </w:rPr>
        <w:footnoteReference w:id="49"/>
      </w:r>
      <w:r w:rsidR="00D14E01" w:rsidRPr="000E51C9">
        <w:t xml:space="preserve"> or MFN treatment</w:t>
      </w:r>
      <w:r w:rsidR="00D14E01" w:rsidRPr="000E51C9">
        <w:rPr>
          <w:rStyle w:val="Funotenzeichen"/>
        </w:rPr>
        <w:footnoteReference w:id="50"/>
      </w:r>
      <w:r w:rsidR="00D14E01" w:rsidRPr="000E51C9">
        <w:t xml:space="preserve"> to goods and/or services</w:t>
      </w:r>
      <w:r w:rsidR="0079522C" w:rsidRPr="000E51C9">
        <w:t xml:space="preserve">, </w:t>
      </w:r>
      <w:r w:rsidR="008D585B" w:rsidRPr="000E51C9">
        <w:t xml:space="preserve">and which lack </w:t>
      </w:r>
      <w:r w:rsidR="0079522C" w:rsidRPr="000E51C9">
        <w:t>investment protection</w:t>
      </w:r>
      <w:r w:rsidR="008D585B" w:rsidRPr="000E51C9">
        <w:t xml:space="preserve"> provisions</w:t>
      </w:r>
      <w:r w:rsidR="00D14E01" w:rsidRPr="000E51C9">
        <w:t>. The rest (21</w:t>
      </w:r>
      <w:r w:rsidR="00352505" w:rsidRPr="000E51C9">
        <w:t>.</w:t>
      </w:r>
      <w:r w:rsidR="00280D6E" w:rsidRPr="000E51C9">
        <w:t>1</w:t>
      </w:r>
      <w:r w:rsidR="00D14E01" w:rsidRPr="000E51C9">
        <w:t xml:space="preserve">%) </w:t>
      </w:r>
      <w:r w:rsidR="002E4BCC" w:rsidRPr="000E51C9">
        <w:t>are</w:t>
      </w:r>
      <w:r w:rsidR="00D14E01" w:rsidRPr="000E51C9">
        <w:t xml:space="preserve"> Comprehensive Economic Cooperation/Partnership Agreements (CECA/CEPAs) that contain investment provisions. </w:t>
      </w:r>
      <w:r w:rsidR="00D9472C" w:rsidRPr="000E51C9">
        <w:t xml:space="preserve">In </w:t>
      </w:r>
      <w:r w:rsidR="00D9472C" w:rsidRPr="000E51C9">
        <w:lastRenderedPageBreak/>
        <w:t xml:space="preserve">addition, 12 </w:t>
      </w:r>
      <w:r w:rsidR="00297A76" w:rsidRPr="000E51C9">
        <w:t>preferential trade/investment agreements (</w:t>
      </w:r>
      <w:proofErr w:type="gramStart"/>
      <w:r w:rsidR="00D9472C" w:rsidRPr="000E51C9">
        <w:t>P</w:t>
      </w:r>
      <w:r w:rsidR="00D14E01" w:rsidRPr="000E51C9">
        <w:t>T</w:t>
      </w:r>
      <w:r w:rsidR="00386040" w:rsidRPr="000E51C9">
        <w:t>(</w:t>
      </w:r>
      <w:proofErr w:type="gramEnd"/>
      <w:r w:rsidR="00386040" w:rsidRPr="000E51C9">
        <w:t>I)</w:t>
      </w:r>
      <w:r w:rsidR="00D14E01" w:rsidRPr="000E51C9">
        <w:t>As</w:t>
      </w:r>
      <w:r w:rsidR="00297A76" w:rsidRPr="000E51C9">
        <w:t>)</w:t>
      </w:r>
      <w:r w:rsidR="00D14E01" w:rsidRPr="000E51C9">
        <w:t xml:space="preserve"> are </w:t>
      </w:r>
      <w:r w:rsidR="0037130C" w:rsidRPr="000E51C9">
        <w:t>being</w:t>
      </w:r>
      <w:r w:rsidR="00D14E01" w:rsidRPr="000E51C9">
        <w:t xml:space="preserve"> negot</w:t>
      </w:r>
      <w:r w:rsidR="0037130C" w:rsidRPr="000E51C9">
        <w:t>iated</w:t>
      </w:r>
      <w:r w:rsidR="00D14E01" w:rsidRPr="000E51C9">
        <w:t>,</w:t>
      </w:r>
      <w:r w:rsidR="00D14E01" w:rsidRPr="000E51C9">
        <w:rPr>
          <w:rStyle w:val="Funotenzeichen"/>
        </w:rPr>
        <w:footnoteReference w:id="51"/>
      </w:r>
      <w:r w:rsidR="00D14E01" w:rsidRPr="000E51C9">
        <w:t xml:space="preserve"> the EU-India Broad-based Bilateral Trade and Investment Agreement (India-EU BTIA) probably being the most widely discussed one.</w:t>
      </w:r>
      <w:r w:rsidR="00D14E01" w:rsidRPr="000E51C9">
        <w:rPr>
          <w:rStyle w:val="Funotenzeichen"/>
        </w:rPr>
        <w:footnoteReference w:id="52"/>
      </w:r>
    </w:p>
    <w:p w14:paraId="52B01A8D" w14:textId="6A356B1A" w:rsidR="00D14E01" w:rsidRPr="000E51C9" w:rsidRDefault="00D14E01" w:rsidP="007D559F">
      <w:pPr>
        <w:spacing w:line="360" w:lineRule="auto"/>
        <w:ind w:firstLine="288"/>
        <w:jc w:val="both"/>
      </w:pPr>
      <w:r w:rsidRPr="000E51C9">
        <w:t xml:space="preserve">The practice of including </w:t>
      </w:r>
      <w:r w:rsidR="000D0FDE" w:rsidRPr="000E51C9">
        <w:t>investment protection</w:t>
      </w:r>
      <w:r w:rsidRPr="000E51C9">
        <w:t xml:space="preserve"> </w:t>
      </w:r>
      <w:r w:rsidR="000D0FDE" w:rsidRPr="000E51C9">
        <w:t>standards</w:t>
      </w:r>
      <w:r w:rsidRPr="000E51C9">
        <w:t xml:space="preserve"> into bilateral </w:t>
      </w:r>
      <w:r w:rsidR="0003460B" w:rsidRPr="000E51C9">
        <w:t>PTAs</w:t>
      </w:r>
      <w:r w:rsidRPr="000E51C9">
        <w:t xml:space="preserve"> is a more recent phenomenon that began with the India-Singapore CECA (2005), followed by the agreements with South Korea (2009), Malaysia (2010) and Japan (2011). A similar situation has been unfolding in the multilateral context. The South Asian Free Trade Area Agreement (SAFTA, 2004) contains no provisions on investment</w:t>
      </w:r>
      <w:r w:rsidR="004E2BA3" w:rsidRPr="000E51C9">
        <w:t>,</w:t>
      </w:r>
      <w:r w:rsidRPr="000E51C9">
        <w:t xml:space="preserve"> while more recently a separate Agreement on Investment (2014) has been added to the ASEAN-India CECA </w:t>
      </w:r>
      <w:r w:rsidR="00862DDB" w:rsidRPr="000E51C9">
        <w:t>Framework Agreement (</w:t>
      </w:r>
      <w:r w:rsidRPr="000E51C9">
        <w:t>FA</w:t>
      </w:r>
      <w:r w:rsidR="00862DDB" w:rsidRPr="000E51C9">
        <w:t>)</w:t>
      </w:r>
      <w:r w:rsidRPr="000E51C9">
        <w:t xml:space="preserve"> (2003). Out of the total number of selected PTAs, NT and expropriation provisions were provided in four treaties (21.1%) and MFN in three treaties (15.8%).</w:t>
      </w:r>
    </w:p>
    <w:p w14:paraId="48F78078" w14:textId="47D2E7A4" w:rsidR="00D14E01" w:rsidRPr="000E51C9" w:rsidRDefault="00D14E01" w:rsidP="007D559F">
      <w:pPr>
        <w:spacing w:line="360" w:lineRule="auto"/>
        <w:ind w:firstLine="288"/>
        <w:jc w:val="both"/>
      </w:pPr>
      <w:r w:rsidRPr="000E51C9">
        <w:t xml:space="preserve">ISDS provisions began expanding over time as well. </w:t>
      </w:r>
      <w:r w:rsidR="00804FD3" w:rsidRPr="000E51C9">
        <w:t xml:space="preserve">Currently, four treaties (21.1%) include some form of ISDS. </w:t>
      </w:r>
      <w:proofErr w:type="gramStart"/>
      <w:r w:rsidRPr="000E51C9">
        <w:t xml:space="preserve">While the </w:t>
      </w:r>
      <w:r w:rsidR="00804FD3" w:rsidRPr="000E51C9">
        <w:t xml:space="preserve">earlier </w:t>
      </w:r>
      <w:r w:rsidRPr="000E51C9">
        <w:t>India</w:t>
      </w:r>
      <w:r w:rsidR="006E4918" w:rsidRPr="000E51C9">
        <w:t>-</w:t>
      </w:r>
      <w:r w:rsidRPr="000E51C9">
        <w:t>Singapore CECA (2005) provides the narrower choice between domestic courts, ICSID and UNCITRAL arbitration,</w:t>
      </w:r>
      <w:r w:rsidRPr="000E51C9">
        <w:rPr>
          <w:rStyle w:val="Funotenzeichen"/>
        </w:rPr>
        <w:footnoteReference w:id="53"/>
      </w:r>
      <w:r w:rsidRPr="000E51C9">
        <w:t xml:space="preserve"> subsequent treaties added </w:t>
      </w:r>
      <w:r w:rsidR="00D84617" w:rsidRPr="000E51C9">
        <w:t xml:space="preserve">the </w:t>
      </w:r>
      <w:r w:rsidRPr="000E51C9">
        <w:t xml:space="preserve">ICSID </w:t>
      </w:r>
      <w:r w:rsidR="00862DDB" w:rsidRPr="000E51C9">
        <w:t>Additional Facility Rules (</w:t>
      </w:r>
      <w:r w:rsidRPr="000E51C9">
        <w:t>AFR</w:t>
      </w:r>
      <w:r w:rsidR="00862DDB" w:rsidRPr="000E51C9">
        <w:t>)</w:t>
      </w:r>
      <w:r w:rsidRPr="000E51C9">
        <w:t xml:space="preserve"> and arb</w:t>
      </w:r>
      <w:r w:rsidR="00804FD3" w:rsidRPr="000E51C9">
        <w:t>itration under any agreed rules.</w:t>
      </w:r>
      <w:proofErr w:type="gramEnd"/>
      <w:r w:rsidRPr="000E51C9">
        <w:rPr>
          <w:rStyle w:val="Funotenzeichen"/>
        </w:rPr>
        <w:footnoteReference w:id="54"/>
      </w:r>
      <w:r w:rsidRPr="000E51C9">
        <w:t xml:space="preserve"> Furthermore, the investment chapters of more recent Indian PTAs depart from the 2003 Model BIT</w:t>
      </w:r>
      <w:r w:rsidR="00B321D9" w:rsidRPr="000E51C9">
        <w:t xml:space="preserve"> and are considered more balance</w:t>
      </w:r>
      <w:r w:rsidR="00A24D7B" w:rsidRPr="000E51C9">
        <w:t>d</w:t>
      </w:r>
      <w:r w:rsidR="00B321D9" w:rsidRPr="000E51C9">
        <w:t xml:space="preserve">, </w:t>
      </w:r>
      <w:r w:rsidRPr="000E51C9">
        <w:t>since they include broader substantive coverage and reserve more regulatory space for the state.</w:t>
      </w:r>
      <w:r w:rsidRPr="000E51C9">
        <w:rPr>
          <w:rStyle w:val="Funotenzeichen"/>
        </w:rPr>
        <w:footnoteReference w:id="55"/>
      </w:r>
    </w:p>
    <w:p w14:paraId="65544D1D" w14:textId="19E76B0A" w:rsidR="00837D06" w:rsidRPr="000E51C9" w:rsidRDefault="00837D06" w:rsidP="007D559F">
      <w:pPr>
        <w:spacing w:line="360" w:lineRule="auto"/>
        <w:ind w:firstLine="288"/>
        <w:jc w:val="both"/>
      </w:pPr>
      <w:r w:rsidRPr="000E51C9">
        <w:t xml:space="preserve">ii. </w:t>
      </w:r>
      <w:r w:rsidRPr="000E51C9">
        <w:rPr>
          <w:i/>
        </w:rPr>
        <w:t>China</w:t>
      </w:r>
      <w:r w:rsidRPr="000E51C9">
        <w:t xml:space="preserve"> - In the observed period, China concluded 13 PTAs. From 2006 onward</w:t>
      </w:r>
      <w:r w:rsidR="00875700" w:rsidRPr="000E51C9">
        <w:t>s</w:t>
      </w:r>
      <w:r w:rsidRPr="000E51C9">
        <w:t>, when the China</w:t>
      </w:r>
      <w:r w:rsidRPr="000E51C9">
        <w:noBreakHyphen/>
        <w:t xml:space="preserve">Pakistan FTA was signed, Chinese </w:t>
      </w:r>
      <w:r w:rsidR="00DE1CFD" w:rsidRPr="000E51C9">
        <w:t>PTAs</w:t>
      </w:r>
      <w:r w:rsidRPr="000E51C9">
        <w:t xml:space="preserve"> have included investment provisions. Out of </w:t>
      </w:r>
      <w:r w:rsidRPr="000E51C9">
        <w:lastRenderedPageBreak/>
        <w:t>the selected agreements, NT and MFN provisions were included in five treaties (38.5%), while protections against expropriation in four (30.8%). The treaty practice is not uniform: two agreements include links to the relevant existing BITs between the same parties,</w:t>
      </w:r>
      <w:r w:rsidRPr="000E51C9">
        <w:rPr>
          <w:rStyle w:val="Funotenzeichen"/>
        </w:rPr>
        <w:footnoteReference w:id="56"/>
      </w:r>
      <w:r w:rsidRPr="000E51C9">
        <w:t xml:space="preserve"> one FTA was designed in co-existence with an active BIT,</w:t>
      </w:r>
      <w:r w:rsidRPr="000E51C9">
        <w:rPr>
          <w:rStyle w:val="Funotenzeichen"/>
        </w:rPr>
        <w:footnoteReference w:id="57"/>
      </w:r>
      <w:r w:rsidRPr="000E51C9">
        <w:t xml:space="preserve"> while another bilateral FTA has reserved place for the investment chapter upon the negotiation of a regional FTA.</w:t>
      </w:r>
      <w:r w:rsidRPr="000E51C9">
        <w:rPr>
          <w:rStyle w:val="Funotenzeichen"/>
        </w:rPr>
        <w:footnoteReference w:id="58"/>
      </w:r>
      <w:r w:rsidRPr="000E51C9">
        <w:t xml:space="preserve"> </w:t>
      </w:r>
      <w:r w:rsidR="00DF50E4" w:rsidRPr="000E51C9">
        <w:t>Moreover,</w:t>
      </w:r>
      <w:r w:rsidRPr="000E51C9">
        <w:t xml:space="preserve"> the scope of provisions expanded over time, as China was calibrating its position in the multilateral trade system.</w:t>
      </w:r>
      <w:r w:rsidRPr="000E51C9">
        <w:rPr>
          <w:rStyle w:val="Funotenzeichen"/>
        </w:rPr>
        <w:footnoteReference w:id="59"/>
      </w:r>
      <w:r w:rsidR="008B65F8" w:rsidRPr="000E51C9">
        <w:t xml:space="preserve"> Treaties </w:t>
      </w:r>
      <w:r w:rsidR="00B3376C" w:rsidRPr="000E51C9">
        <w:t>concluded after</w:t>
      </w:r>
      <w:r w:rsidR="008B65F8" w:rsidRPr="000E51C9">
        <w:t xml:space="preserve"> the China-Pakistan FTA (</w:t>
      </w:r>
      <w:r w:rsidR="00894A1E" w:rsidRPr="000E51C9">
        <w:t>four</w:t>
      </w:r>
      <w:r w:rsidR="000E211D" w:rsidRPr="000E51C9">
        <w:t>,</w:t>
      </w:r>
      <w:r w:rsidR="008B65F8" w:rsidRPr="000E51C9">
        <w:t xml:space="preserve"> 30.8%) expand the choice for ISDS by including </w:t>
      </w:r>
      <w:r w:rsidR="00FC141C" w:rsidRPr="000E51C9">
        <w:t xml:space="preserve">besides ICSID arbitration </w:t>
      </w:r>
      <w:r w:rsidR="008B65F8" w:rsidRPr="000E51C9">
        <w:t xml:space="preserve">the ICSID AFR, UNCITRAL arbitration and any other </w:t>
      </w:r>
      <w:r w:rsidR="00FC141C" w:rsidRPr="000E51C9">
        <w:t>arbitration agreed by the parties.</w:t>
      </w:r>
      <w:r w:rsidR="008B65F8" w:rsidRPr="000E51C9">
        <w:rPr>
          <w:rStyle w:val="Funotenzeichen"/>
        </w:rPr>
        <w:footnoteReference w:id="60"/>
      </w:r>
      <w:r w:rsidR="008B65F8" w:rsidRPr="000E51C9">
        <w:t xml:space="preserve"> </w:t>
      </w:r>
    </w:p>
    <w:p w14:paraId="221871CF" w14:textId="4967BA34" w:rsidR="00041F5A" w:rsidRPr="000E51C9" w:rsidRDefault="00041F5A" w:rsidP="007D559F">
      <w:pPr>
        <w:spacing w:line="360" w:lineRule="auto"/>
        <w:ind w:firstLine="288"/>
        <w:jc w:val="both"/>
      </w:pPr>
      <w:r w:rsidRPr="000E51C9">
        <w:t xml:space="preserve">Chinese </w:t>
      </w:r>
      <w:proofErr w:type="gramStart"/>
      <w:r w:rsidRPr="000E51C9">
        <w:t>PT</w:t>
      </w:r>
      <w:r w:rsidR="00BE2880" w:rsidRPr="000E51C9">
        <w:t>(</w:t>
      </w:r>
      <w:proofErr w:type="gramEnd"/>
      <w:r w:rsidRPr="000E51C9">
        <w:t>I</w:t>
      </w:r>
      <w:r w:rsidR="00BE2880" w:rsidRPr="000E51C9">
        <w:t>)</w:t>
      </w:r>
      <w:r w:rsidRPr="000E51C9">
        <w:t>As are said to have several distinctive features.</w:t>
      </w:r>
      <w:r w:rsidRPr="000E51C9">
        <w:rPr>
          <w:rStyle w:val="Funotenzeichen"/>
        </w:rPr>
        <w:footnoteReference w:id="61"/>
      </w:r>
      <w:r w:rsidRPr="000E51C9">
        <w:t xml:space="preserve"> First, while only 20% of Chinese BITs are said to provide NT,</w:t>
      </w:r>
      <w:r w:rsidR="002D1F12" w:rsidRPr="000E51C9">
        <w:rPr>
          <w:rStyle w:val="Funotenzeichen"/>
        </w:rPr>
        <w:footnoteReference w:id="62"/>
      </w:r>
      <w:r w:rsidRPr="000E51C9">
        <w:t xml:space="preserve"> this obligation is present in all Chinese PTAs with investment chapters. This is supported by the recent treaty practice.</w:t>
      </w:r>
      <w:r w:rsidRPr="000E51C9">
        <w:rPr>
          <w:rStyle w:val="Funotenzeichen"/>
        </w:rPr>
        <w:footnoteReference w:id="63"/>
      </w:r>
      <w:r w:rsidRPr="000E51C9">
        <w:t xml:space="preserve"> Second, the ISDS provisions in Chinese PTIAs prioriti</w:t>
      </w:r>
      <w:r w:rsidR="00BC5383" w:rsidRPr="000E51C9">
        <w:t>s</w:t>
      </w:r>
      <w:r w:rsidRPr="000E51C9">
        <w:t xml:space="preserve">e friendly and non-litigious dispute settlement, which may </w:t>
      </w:r>
      <w:r w:rsidR="00D0662C" w:rsidRPr="000E51C9">
        <w:t>be the</w:t>
      </w:r>
      <w:r w:rsidR="000C5A90" w:rsidRPr="000E51C9">
        <w:t xml:space="preserve"> result of long</w:t>
      </w:r>
      <w:r w:rsidRPr="000E51C9">
        <w:t>standing national traditions of conflict avoidance or</w:t>
      </w:r>
      <w:r w:rsidR="00C34E5A" w:rsidRPr="000E51C9">
        <w:t xml:space="preserve"> </w:t>
      </w:r>
      <w:r w:rsidRPr="000E51C9">
        <w:t xml:space="preserve">distrust </w:t>
      </w:r>
      <w:r w:rsidR="00C34E5A" w:rsidRPr="000E51C9">
        <w:t xml:space="preserve">of ISDS </w:t>
      </w:r>
      <w:r w:rsidR="00C34E5A" w:rsidRPr="000E51C9">
        <w:lastRenderedPageBreak/>
        <w:t xml:space="preserve">due </w:t>
      </w:r>
      <w:r w:rsidR="00502DBE" w:rsidRPr="000E51C9">
        <w:t xml:space="preserve">to a </w:t>
      </w:r>
      <w:r w:rsidRPr="000E51C9">
        <w:t>lack of experience</w:t>
      </w:r>
      <w:r w:rsidR="00476778" w:rsidRPr="000E51C9">
        <w:t xml:space="preserve"> with it</w:t>
      </w:r>
      <w:r w:rsidRPr="000E51C9">
        <w:t>.</w:t>
      </w:r>
      <w:r w:rsidRPr="000E51C9">
        <w:rPr>
          <w:rStyle w:val="Funotenzeichen"/>
        </w:rPr>
        <w:footnoteReference w:id="64"/>
      </w:r>
      <w:r w:rsidR="00A14866" w:rsidRPr="000E51C9">
        <w:t xml:space="preserve"> It has also been argued </w:t>
      </w:r>
      <w:r w:rsidRPr="000E51C9">
        <w:t>that Chinese FT</w:t>
      </w:r>
      <w:r w:rsidR="00380ECC" w:rsidRPr="000E51C9">
        <w:t xml:space="preserve">As are carefully tailored </w:t>
      </w:r>
      <w:r w:rsidR="00394443" w:rsidRPr="000E51C9">
        <w:t xml:space="preserve">to the </w:t>
      </w:r>
      <w:r w:rsidRPr="000E51C9">
        <w:t>different needs and levels of development</w:t>
      </w:r>
      <w:r w:rsidR="00394443" w:rsidRPr="000E51C9">
        <w:t xml:space="preserve"> of their trading partners</w:t>
      </w:r>
      <w:r w:rsidRPr="000E51C9">
        <w:t>.</w:t>
      </w:r>
      <w:r w:rsidRPr="000E51C9">
        <w:rPr>
          <w:rStyle w:val="Funotenzeichen"/>
        </w:rPr>
        <w:footnoteReference w:id="65"/>
      </w:r>
    </w:p>
    <w:p w14:paraId="444A7E5C" w14:textId="1AEBD03E" w:rsidR="00002EB3" w:rsidRPr="000E51C9" w:rsidRDefault="00837D06" w:rsidP="007D559F">
      <w:pPr>
        <w:spacing w:line="360" w:lineRule="auto"/>
        <w:ind w:firstLine="288"/>
        <w:jc w:val="both"/>
      </w:pPr>
      <w:r w:rsidRPr="000E51C9">
        <w:t xml:space="preserve">iii. </w:t>
      </w:r>
      <w:r w:rsidRPr="000E51C9">
        <w:rPr>
          <w:i/>
        </w:rPr>
        <w:t xml:space="preserve">ASEAN </w:t>
      </w:r>
      <w:r w:rsidRPr="000E51C9">
        <w:t xml:space="preserve">- </w:t>
      </w:r>
      <w:r w:rsidR="00923BF0" w:rsidRPr="000E51C9">
        <w:t>T</w:t>
      </w:r>
      <w:r w:rsidR="00002EB3" w:rsidRPr="000E51C9">
        <w:t xml:space="preserve">he investment regime of ASEAN </w:t>
      </w:r>
      <w:r w:rsidR="00923BF0" w:rsidRPr="000E51C9">
        <w:t xml:space="preserve">can be divided </w:t>
      </w:r>
      <w:r w:rsidR="00002EB3" w:rsidRPr="000E51C9">
        <w:t xml:space="preserve">into an internal (within the ASEAN bloc) and </w:t>
      </w:r>
      <w:r w:rsidR="00923BF0" w:rsidRPr="000E51C9">
        <w:t xml:space="preserve">an </w:t>
      </w:r>
      <w:r w:rsidR="00002EB3" w:rsidRPr="000E51C9">
        <w:t xml:space="preserve">external (with third countries) </w:t>
      </w:r>
      <w:r w:rsidR="00923BF0" w:rsidRPr="000E51C9">
        <w:t>one</w:t>
      </w:r>
      <w:r w:rsidR="00002EB3" w:rsidRPr="000E51C9">
        <w:t>. The internal framework is now governed by the ASEAN Comprehensive Investment Agreement (ACIA, 2009) that consolidates the two earlier internal investment agreements.</w:t>
      </w:r>
      <w:r w:rsidR="00002EB3" w:rsidRPr="000E51C9">
        <w:rPr>
          <w:rStyle w:val="Funotenzeichen"/>
        </w:rPr>
        <w:footnoteReference w:id="66"/>
      </w:r>
      <w:r w:rsidR="00002EB3" w:rsidRPr="000E51C9">
        <w:t xml:space="preserve"> It contains an extensive list of substantive investment guarantees</w:t>
      </w:r>
      <w:r w:rsidR="00002EB3" w:rsidRPr="000E51C9">
        <w:rPr>
          <w:rStyle w:val="Funotenzeichen"/>
        </w:rPr>
        <w:footnoteReference w:id="67"/>
      </w:r>
      <w:r w:rsidR="003D24D7" w:rsidRPr="000E51C9">
        <w:t xml:space="preserve"> </w:t>
      </w:r>
      <w:r w:rsidR="00002EB3" w:rsidRPr="000E51C9">
        <w:t>and expands the choice of available fora with regional dispute settlement institutions.</w:t>
      </w:r>
      <w:r w:rsidR="00002EB3" w:rsidRPr="000E51C9">
        <w:rPr>
          <w:rStyle w:val="Funotenzeichen"/>
        </w:rPr>
        <w:footnoteReference w:id="68"/>
      </w:r>
      <w:r w:rsidR="00002EB3" w:rsidRPr="000E51C9">
        <w:t xml:space="preserve"> Agreements with third countries follow a </w:t>
      </w:r>
      <w:r w:rsidR="00961620" w:rsidRPr="000E51C9">
        <w:t>distinct pattern; in most cases</w:t>
      </w:r>
      <w:r w:rsidR="00002EB3" w:rsidRPr="000E51C9">
        <w:t xml:space="preserve"> FAs precede separate investment agreements, such as the FAs with China (2002), Japan (2003), India (2004) and Korea (2005). Interestingly, even though the FA with Japan was later supplemented with the ASEAN</w:t>
      </w:r>
      <w:r w:rsidR="00894A1E" w:rsidRPr="000E51C9">
        <w:t>-</w:t>
      </w:r>
      <w:r w:rsidR="00002EB3" w:rsidRPr="000E51C9">
        <w:t>Japan FTA (2008), the latter did not contain provisions on investment, deferring them to future negotiations.</w:t>
      </w:r>
      <w:r w:rsidR="00002EB3" w:rsidRPr="000E51C9">
        <w:rPr>
          <w:rStyle w:val="Funotenzeichen"/>
        </w:rPr>
        <w:footnoteReference w:id="69"/>
      </w:r>
    </w:p>
    <w:p w14:paraId="373E8D86" w14:textId="23882FC0" w:rsidR="00837D06" w:rsidRPr="000E51C9" w:rsidRDefault="00002EB3" w:rsidP="007D559F">
      <w:pPr>
        <w:spacing w:line="360" w:lineRule="auto"/>
        <w:ind w:firstLine="288"/>
        <w:jc w:val="both"/>
      </w:pPr>
      <w:r w:rsidRPr="000E51C9">
        <w:t xml:space="preserve">From a statistical perspective, out of six selected agreements, five (83.3%) contain NT, FET and FPS obligations together with provisions on expropriation and broad ISDS. </w:t>
      </w:r>
      <w:r w:rsidR="008B7702" w:rsidRPr="000E51C9">
        <w:t xml:space="preserve">Only three treaties include the MFN obligation (50%). </w:t>
      </w:r>
      <w:r w:rsidR="00BC5383" w:rsidRPr="000E51C9">
        <w:t>FAs</w:t>
      </w:r>
      <w:r w:rsidR="00987FF7" w:rsidRPr="000E51C9">
        <w:t xml:space="preserve"> </w:t>
      </w:r>
      <w:r w:rsidR="00116C3E" w:rsidRPr="000E51C9">
        <w:t>lacking</w:t>
      </w:r>
      <w:r w:rsidR="00987FF7" w:rsidRPr="000E51C9">
        <w:t xml:space="preserve"> substantive legal commitments</w:t>
      </w:r>
      <w:r w:rsidR="00221C10" w:rsidRPr="000E51C9">
        <w:t xml:space="preserve"> were excluded from the statistics</w:t>
      </w:r>
      <w:r w:rsidR="00987FF7" w:rsidRPr="000E51C9">
        <w:t>.</w:t>
      </w:r>
      <w:r w:rsidR="00987FF7" w:rsidRPr="000E51C9">
        <w:rPr>
          <w:rStyle w:val="Funotenzeichen"/>
        </w:rPr>
        <w:footnoteReference w:id="70"/>
      </w:r>
    </w:p>
    <w:p w14:paraId="25782230" w14:textId="3A9C90A6" w:rsidR="00E03BAD" w:rsidRPr="000E51C9" w:rsidRDefault="00837D06" w:rsidP="007D559F">
      <w:pPr>
        <w:spacing w:line="360" w:lineRule="auto"/>
        <w:ind w:firstLine="288"/>
        <w:jc w:val="both"/>
      </w:pPr>
      <w:r w:rsidRPr="000E51C9">
        <w:t xml:space="preserve">iv. </w:t>
      </w:r>
      <w:r w:rsidRPr="000E51C9">
        <w:rPr>
          <w:i/>
        </w:rPr>
        <w:t xml:space="preserve">Japan </w:t>
      </w:r>
      <w:r w:rsidRPr="000E51C9">
        <w:t xml:space="preserve">- </w:t>
      </w:r>
      <w:r w:rsidR="00E03BAD" w:rsidRPr="000E51C9">
        <w:t xml:space="preserve">The Japanese experience is similar to the US and Canadian ones. First, the conclusion of </w:t>
      </w:r>
      <w:r w:rsidR="007B51BB" w:rsidRPr="000E51C9">
        <w:t>EPAs</w:t>
      </w:r>
      <w:r w:rsidR="00E03BAD" w:rsidRPr="000E51C9">
        <w:t xml:space="preserve"> with investment chapters is a more recent phenomenon, starting in the </w:t>
      </w:r>
      <w:r w:rsidR="00E03BAD" w:rsidRPr="000E51C9">
        <w:lastRenderedPageBreak/>
        <w:t>early 2000s, following the break-down of the multilateral WTO initiatives.</w:t>
      </w:r>
      <w:r w:rsidR="00E03BAD" w:rsidRPr="000E51C9">
        <w:rPr>
          <w:rStyle w:val="Funotenzeichen"/>
        </w:rPr>
        <w:footnoteReference w:id="71"/>
      </w:r>
      <w:r w:rsidR="00E03BAD" w:rsidRPr="000E51C9">
        <w:t xml:space="preserve"> Second, a very high </w:t>
      </w:r>
      <w:r w:rsidR="00EC0606" w:rsidRPr="000E51C9">
        <w:t>percentage</w:t>
      </w:r>
      <w:r w:rsidR="00E03BAD" w:rsidRPr="000E51C9">
        <w:t xml:space="preserve"> (80%) of the 15 Japanese EPAs selected</w:t>
      </w:r>
      <w:r w:rsidR="00E03BAD" w:rsidRPr="000E51C9">
        <w:rPr>
          <w:rStyle w:val="Funotenzeichen"/>
        </w:rPr>
        <w:footnoteReference w:id="72"/>
      </w:r>
      <w:r w:rsidR="00E03BAD" w:rsidRPr="000E51C9">
        <w:t xml:space="preserve"> include NT and the prohibition of expropriation, while 73.3% include an MFN clause in their investment chapters. In a fashion similar to the EU-Singapore FTA, the Japan-Singapore EPA lacks an MFN provision. Nonetheless, unlike US and Canadian FTAs, which include FET and FPS, Japanese EPAs include provisions on ‘access to courts of justice’, ‘general treatment’ or ‘minimum standards of treatment’. In most cases they also include protection from civil strife, even with very stable countries such as Switzerland.</w:t>
      </w:r>
      <w:r w:rsidR="00E03BAD" w:rsidRPr="000E51C9">
        <w:rPr>
          <w:rStyle w:val="Funotenzeichen"/>
        </w:rPr>
        <w:footnoteReference w:id="73"/>
      </w:r>
    </w:p>
    <w:p w14:paraId="0CC44416" w14:textId="7B4430D3" w:rsidR="00E03BAD" w:rsidRPr="000E51C9" w:rsidRDefault="00E03BAD" w:rsidP="007D559F">
      <w:pPr>
        <w:spacing w:line="360" w:lineRule="auto"/>
        <w:ind w:firstLine="288"/>
        <w:jc w:val="both"/>
      </w:pPr>
      <w:r w:rsidRPr="000E51C9">
        <w:t>A third of Japanese EPAs do not include ISDS.</w:t>
      </w:r>
      <w:r w:rsidR="00DB086C" w:rsidRPr="000E51C9">
        <w:t xml:space="preserve"> In the case of the Philippines, the government of this country had specifically asked Japan not to include ISDS,</w:t>
      </w:r>
      <w:r w:rsidR="00DB086C" w:rsidRPr="000E51C9">
        <w:rPr>
          <w:rStyle w:val="Funotenzeichen"/>
        </w:rPr>
        <w:footnoteReference w:id="74"/>
      </w:r>
      <w:r w:rsidR="00DB086C" w:rsidRPr="000E51C9">
        <w:t xml:space="preserve"> while the EPA with Australia was concluded after 2011 when the then Australian government was reluctant to include ISDS in its international economic agreements.</w:t>
      </w:r>
      <w:r w:rsidR="00DB086C" w:rsidRPr="000E51C9">
        <w:rPr>
          <w:rStyle w:val="Funotenzeichen"/>
        </w:rPr>
        <w:footnoteReference w:id="75"/>
      </w:r>
      <w:r w:rsidR="001874E0" w:rsidRPr="000E51C9">
        <w:t xml:space="preserve"> </w:t>
      </w:r>
      <w:r w:rsidRPr="000E51C9">
        <w:t xml:space="preserve">The EPAs with Vietnam and Peru do not include investment chapters, since they are preceded by the 2003 and 2009 BITs, while Article 51 of the EPA with ASEAN only refers to further negotiations regarding investment protection. Nonetheless, BITs or </w:t>
      </w:r>
      <w:r w:rsidR="00DB086C" w:rsidRPr="000E51C9">
        <w:t xml:space="preserve">bilateral </w:t>
      </w:r>
      <w:r w:rsidRPr="000E51C9">
        <w:t xml:space="preserve">EPAs with investment provisions exist with most ASEAN members. </w:t>
      </w:r>
    </w:p>
    <w:p w14:paraId="0402AC95" w14:textId="572DC4B2" w:rsidR="00F840BC" w:rsidRPr="000E51C9" w:rsidRDefault="00837D06" w:rsidP="007D559F">
      <w:pPr>
        <w:spacing w:line="360" w:lineRule="auto"/>
        <w:ind w:firstLine="288"/>
        <w:jc w:val="both"/>
      </w:pPr>
      <w:r w:rsidRPr="000E51C9">
        <w:t xml:space="preserve">v. </w:t>
      </w:r>
      <w:r w:rsidRPr="000E51C9">
        <w:rPr>
          <w:i/>
        </w:rPr>
        <w:t xml:space="preserve">Australia </w:t>
      </w:r>
      <w:r w:rsidR="009876BD" w:rsidRPr="000E51C9">
        <w:t>–</w:t>
      </w:r>
      <w:r w:rsidRPr="000E51C9">
        <w:t xml:space="preserve"> </w:t>
      </w:r>
      <w:r w:rsidR="00F840BC" w:rsidRPr="000E51C9">
        <w:t xml:space="preserve">Australia </w:t>
      </w:r>
      <w:r w:rsidR="00267C0B" w:rsidRPr="000E51C9">
        <w:t>also began</w:t>
      </w:r>
      <w:r w:rsidR="00F840BC" w:rsidRPr="000E51C9">
        <w:t xml:space="preserve"> </w:t>
      </w:r>
      <w:r w:rsidR="00720394" w:rsidRPr="000E51C9">
        <w:rPr>
          <w:rFonts w:hint="eastAsia"/>
          <w:lang w:eastAsia="zh-CN"/>
        </w:rPr>
        <w:t xml:space="preserve">to include </w:t>
      </w:r>
      <w:r w:rsidR="00F840BC" w:rsidRPr="000E51C9">
        <w:t xml:space="preserve">investment chapters into PTAs in the early 2000s. </w:t>
      </w:r>
      <w:r w:rsidR="00F856E4" w:rsidRPr="000E51C9">
        <w:t>All</w:t>
      </w:r>
      <w:r w:rsidR="00F840BC" w:rsidRPr="000E51C9">
        <w:t xml:space="preserve"> the </w:t>
      </w:r>
      <w:r w:rsidR="00720394" w:rsidRPr="000E51C9">
        <w:t xml:space="preserve">10 </w:t>
      </w:r>
      <w:r w:rsidR="00F840BC" w:rsidRPr="000E51C9">
        <w:t>post-NAFTA FTAs</w:t>
      </w:r>
      <w:r w:rsidR="00F840BC" w:rsidRPr="000E51C9">
        <w:rPr>
          <w:rStyle w:val="Funotenzeichen"/>
        </w:rPr>
        <w:footnoteReference w:id="76"/>
      </w:r>
      <w:r w:rsidR="00F840BC" w:rsidRPr="000E51C9">
        <w:t xml:space="preserve"> selected and the Protocol on Investment to the Australia-New Zealand FTA of 1983 (</w:t>
      </w:r>
      <w:r w:rsidR="00322D44" w:rsidRPr="000E51C9">
        <w:t>entered into force in</w:t>
      </w:r>
      <w:r w:rsidR="00F840BC" w:rsidRPr="000E51C9">
        <w:t xml:space="preserve"> 2013) include standards of investment protection. NT appears in all the agreements (100%), while MFN treatment </w:t>
      </w:r>
      <w:r w:rsidR="00F840BC" w:rsidRPr="000E51C9">
        <w:lastRenderedPageBreak/>
        <w:t xml:space="preserve">(81.8%) is missing in the FTAs with Singapore and ASEAN. The prohibition of expropriation and minimum standards of treatment appear in </w:t>
      </w:r>
      <w:r w:rsidR="00F856E4" w:rsidRPr="000E51C9">
        <w:t>all</w:t>
      </w:r>
      <w:r w:rsidR="00F840BC" w:rsidRPr="000E51C9">
        <w:t xml:space="preserve"> the agreements, with the exception of the FTA with China, which in Article 9.9 provides for further negotiations.</w:t>
      </w:r>
    </w:p>
    <w:p w14:paraId="75A391EA" w14:textId="11DFC2D3" w:rsidR="00F840BC" w:rsidRPr="000E51C9" w:rsidRDefault="00F840BC" w:rsidP="007D559F">
      <w:pPr>
        <w:spacing w:line="360" w:lineRule="auto"/>
        <w:ind w:firstLine="288"/>
        <w:jc w:val="both"/>
      </w:pPr>
      <w:r w:rsidRPr="000E51C9">
        <w:t>Over a third of the agreements (36.6%) do not include ISDS. Two explanations exist. First, the apparent reason for the US-Australia FTA not including ISDS</w:t>
      </w:r>
      <w:r w:rsidRPr="000E51C9">
        <w:rPr>
          <w:rStyle w:val="Funotenzeichen"/>
        </w:rPr>
        <w:footnoteReference w:id="77"/>
      </w:r>
      <w:r w:rsidRPr="000E51C9">
        <w:t xml:space="preserve"> was the ‘robust’ legal systems of the two countries for resolving disputes.</w:t>
      </w:r>
      <w:r w:rsidRPr="000E51C9">
        <w:rPr>
          <w:rStyle w:val="Funotenzeichen"/>
        </w:rPr>
        <w:footnoteReference w:id="78"/>
      </w:r>
      <w:r w:rsidRPr="000E51C9">
        <w:t xml:space="preserve"> Second, in 2011 the Gillard Government vowed to </w:t>
      </w:r>
      <w:r w:rsidR="00742D15" w:rsidRPr="000E51C9">
        <w:t>exclude ISDS from</w:t>
      </w:r>
      <w:r w:rsidRPr="000E51C9">
        <w:t xml:space="preserve"> future trade agreements.</w:t>
      </w:r>
      <w:r w:rsidRPr="000E51C9">
        <w:rPr>
          <w:rStyle w:val="Funotenzeichen"/>
        </w:rPr>
        <w:footnoteReference w:id="79"/>
      </w:r>
      <w:r w:rsidRPr="000E51C9">
        <w:t xml:space="preserve"> This </w:t>
      </w:r>
      <w:r w:rsidR="00664C9A" w:rsidRPr="000E51C9">
        <w:t>is why the FTAs with Japan (2014), Malaysia (2012</w:t>
      </w:r>
      <w:r w:rsidRPr="000E51C9">
        <w:t xml:space="preserve">) and the Protocol to the </w:t>
      </w:r>
      <w:r w:rsidR="000E211D" w:rsidRPr="000E51C9">
        <w:t>Australia-New Zealand Closer Economic Relations Trade Agreement (</w:t>
      </w:r>
      <w:r w:rsidRPr="000E51C9">
        <w:t>ANZCERTA</w:t>
      </w:r>
      <w:r w:rsidR="000E211D" w:rsidRPr="000E51C9">
        <w:t xml:space="preserve">, </w:t>
      </w:r>
      <w:r w:rsidRPr="000E51C9">
        <w:t>2013), negotiated and concluded in this period, do not include ISDS.</w:t>
      </w:r>
      <w:r w:rsidRPr="000E51C9">
        <w:rPr>
          <w:rStyle w:val="Funotenzeichen"/>
        </w:rPr>
        <w:footnoteReference w:id="80"/>
      </w:r>
      <w:r w:rsidRPr="000E51C9">
        <w:t xml:space="preserve"> Nevertheless, this policy towards ISDS changed following the instatement of a new government in late 2013.</w:t>
      </w:r>
      <w:r w:rsidRPr="000E51C9">
        <w:rPr>
          <w:rStyle w:val="Funotenzeichen"/>
        </w:rPr>
        <w:footnoteReference w:id="81"/>
      </w:r>
      <w:r w:rsidRPr="000E51C9">
        <w:t xml:space="preserve"> The FTAs that include ISDS mostly provide for</w:t>
      </w:r>
      <w:r w:rsidR="00F91E91" w:rsidRPr="000E51C9">
        <w:t xml:space="preserve"> the</w:t>
      </w:r>
      <w:r w:rsidRPr="000E51C9">
        <w:t xml:space="preserve"> ICSID </w:t>
      </w:r>
      <w:r w:rsidR="00F91E91" w:rsidRPr="000E51C9">
        <w:t>Arbitration Rules (</w:t>
      </w:r>
      <w:r w:rsidRPr="000E51C9">
        <w:t>AR</w:t>
      </w:r>
      <w:r w:rsidR="00F91E91" w:rsidRPr="000E51C9">
        <w:t>)</w:t>
      </w:r>
      <w:r w:rsidRPr="000E51C9">
        <w:t>, the ICSID AFR and the UNC</w:t>
      </w:r>
      <w:r w:rsidR="00214B6B" w:rsidRPr="000E51C9">
        <w:t>ITRAL AR. The FTA with Thailand</w:t>
      </w:r>
      <w:r w:rsidRPr="000E51C9">
        <w:t xml:space="preserve"> is the exception, since in Article 917 it </w:t>
      </w:r>
      <w:r w:rsidR="00AD175A" w:rsidRPr="000E51C9">
        <w:t>provides for only two options for</w:t>
      </w:r>
      <w:r w:rsidRPr="000E51C9">
        <w:t xml:space="preserve"> ISDS: domestic judicial/administrative avenues or UNCITRAL arbitration. </w:t>
      </w:r>
    </w:p>
    <w:p w14:paraId="415F0D9C" w14:textId="7BA7944A" w:rsidR="00837D06" w:rsidRPr="000E51C9" w:rsidRDefault="007807B7" w:rsidP="007D559F">
      <w:pPr>
        <w:spacing w:line="360" w:lineRule="auto"/>
        <w:ind w:firstLine="288"/>
        <w:jc w:val="both"/>
      </w:pPr>
      <w:r w:rsidRPr="000E51C9">
        <w:t>In conclusion, the Asia-Pacific region portrays a diverse pictur</w:t>
      </w:r>
      <w:r w:rsidR="00794FE9" w:rsidRPr="000E51C9">
        <w:t xml:space="preserve">e. China and India are concluding an increasing number of PTAs with investment protection provisions while simultaneously trying to become rule-makers. </w:t>
      </w:r>
      <w:r w:rsidR="005E300F" w:rsidRPr="000E51C9">
        <w:t xml:space="preserve">Japan follows </w:t>
      </w:r>
      <w:r w:rsidRPr="000E51C9">
        <w:t xml:space="preserve">a similar approach to Canada and the US, </w:t>
      </w:r>
      <w:r w:rsidR="005E300F" w:rsidRPr="000E51C9">
        <w:t>while</w:t>
      </w:r>
      <w:r w:rsidRPr="000E51C9">
        <w:t xml:space="preserve"> Australia’s stance </w:t>
      </w:r>
      <w:r w:rsidR="005E300F" w:rsidRPr="000E51C9">
        <w:t>on ISDS depends</w:t>
      </w:r>
      <w:r w:rsidRPr="000E51C9">
        <w:t xml:space="preserve"> on the government in power. </w:t>
      </w:r>
    </w:p>
    <w:p w14:paraId="283A62F0" w14:textId="5F7CE9F8" w:rsidR="00F4015A" w:rsidRPr="000E51C9" w:rsidRDefault="00F4015A" w:rsidP="00163F2E">
      <w:pPr>
        <w:spacing w:line="360" w:lineRule="auto"/>
        <w:jc w:val="both"/>
      </w:pPr>
    </w:p>
    <w:p w14:paraId="0BF4B4C2" w14:textId="4462DAF9" w:rsidR="00C045B6" w:rsidRPr="000E51C9" w:rsidRDefault="00B60E2F" w:rsidP="00163F2E">
      <w:pPr>
        <w:spacing w:line="360" w:lineRule="auto"/>
        <w:jc w:val="both"/>
        <w:rPr>
          <w:b/>
          <w:sz w:val="20"/>
          <w:szCs w:val="20"/>
        </w:rPr>
      </w:pPr>
      <w:r w:rsidRPr="000E51C9">
        <w:rPr>
          <w:b/>
          <w:sz w:val="20"/>
          <w:szCs w:val="20"/>
        </w:rPr>
        <w:t>Table X.</w:t>
      </w:r>
      <w:r w:rsidR="00D74DB7" w:rsidRPr="000E51C9">
        <w:rPr>
          <w:b/>
          <w:sz w:val="20"/>
          <w:szCs w:val="20"/>
        </w:rPr>
        <w:t xml:space="preserve">2 </w:t>
      </w:r>
      <w:r w:rsidR="00D74DB7" w:rsidRPr="000E51C9">
        <w:rPr>
          <w:sz w:val="20"/>
          <w:szCs w:val="20"/>
        </w:rPr>
        <w:t>P</w:t>
      </w:r>
      <w:r w:rsidR="00C045B6" w:rsidRPr="000E51C9">
        <w:rPr>
          <w:sz w:val="20"/>
          <w:szCs w:val="20"/>
        </w:rPr>
        <w:t>ost-NAFTA Asia-Pacific PTAs</w:t>
      </w:r>
    </w:p>
    <w:tbl>
      <w:tblPr>
        <w:tblStyle w:val="Tabellenraster"/>
        <w:tblW w:w="9606" w:type="dxa"/>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567"/>
        <w:gridCol w:w="567"/>
        <w:gridCol w:w="567"/>
        <w:gridCol w:w="567"/>
        <w:gridCol w:w="567"/>
        <w:gridCol w:w="567"/>
      </w:tblGrid>
      <w:tr w:rsidR="00C045B6" w:rsidRPr="000E51C9" w14:paraId="2A6F3A02" w14:textId="77777777" w:rsidTr="00460D6B">
        <w:trPr>
          <w:trHeight w:val="379"/>
        </w:trPr>
        <w:tc>
          <w:tcPr>
            <w:tcW w:w="959" w:type="dxa"/>
            <w:vMerge w:val="restart"/>
          </w:tcPr>
          <w:p w14:paraId="65F421A6" w14:textId="61BBBB30" w:rsidR="00C045B6" w:rsidRPr="000E51C9" w:rsidRDefault="00C045B6" w:rsidP="00C87FB6">
            <w:pPr>
              <w:spacing w:line="240" w:lineRule="auto"/>
              <w:jc w:val="both"/>
              <w:rPr>
                <w:b/>
                <w:sz w:val="20"/>
                <w:szCs w:val="20"/>
              </w:rPr>
            </w:pPr>
            <w:r w:rsidRPr="000E51C9">
              <w:rPr>
                <w:b/>
                <w:sz w:val="20"/>
                <w:szCs w:val="20"/>
              </w:rPr>
              <w:t>States</w:t>
            </w:r>
            <w:r w:rsidR="007675F7" w:rsidRPr="000E51C9">
              <w:rPr>
                <w:b/>
                <w:sz w:val="20"/>
                <w:szCs w:val="20"/>
              </w:rPr>
              <w:t>/</w:t>
            </w:r>
          </w:p>
          <w:p w14:paraId="272F08D5" w14:textId="48E30005" w:rsidR="007675F7" w:rsidRPr="000E51C9" w:rsidRDefault="007675F7" w:rsidP="00C87FB6">
            <w:pPr>
              <w:spacing w:line="240" w:lineRule="auto"/>
              <w:jc w:val="both"/>
              <w:rPr>
                <w:b/>
                <w:sz w:val="20"/>
                <w:szCs w:val="20"/>
              </w:rPr>
            </w:pPr>
            <w:r w:rsidRPr="000E51C9">
              <w:rPr>
                <w:b/>
                <w:sz w:val="20"/>
                <w:szCs w:val="20"/>
              </w:rPr>
              <w:t>REIOs</w:t>
            </w:r>
          </w:p>
        </w:tc>
        <w:tc>
          <w:tcPr>
            <w:tcW w:w="709" w:type="dxa"/>
            <w:vMerge w:val="restart"/>
          </w:tcPr>
          <w:p w14:paraId="5272A008" w14:textId="77777777" w:rsidR="00C045B6" w:rsidRPr="000E51C9" w:rsidRDefault="00C045B6" w:rsidP="00C87FB6">
            <w:pPr>
              <w:spacing w:line="240" w:lineRule="auto"/>
              <w:jc w:val="center"/>
              <w:rPr>
                <w:b/>
                <w:sz w:val="20"/>
                <w:szCs w:val="20"/>
              </w:rPr>
            </w:pPr>
            <w:r w:rsidRPr="000E51C9">
              <w:rPr>
                <w:b/>
                <w:sz w:val="20"/>
                <w:szCs w:val="20"/>
              </w:rPr>
              <w:t>PTA</w:t>
            </w:r>
          </w:p>
        </w:tc>
        <w:tc>
          <w:tcPr>
            <w:tcW w:w="4536" w:type="dxa"/>
            <w:gridSpan w:val="8"/>
          </w:tcPr>
          <w:p w14:paraId="127225C8" w14:textId="77777777" w:rsidR="00C045B6" w:rsidRPr="000E51C9" w:rsidRDefault="00C045B6" w:rsidP="00C87FB6">
            <w:pPr>
              <w:spacing w:line="240" w:lineRule="auto"/>
              <w:jc w:val="center"/>
              <w:rPr>
                <w:b/>
                <w:sz w:val="20"/>
                <w:szCs w:val="20"/>
              </w:rPr>
            </w:pPr>
            <w:r w:rsidRPr="000E51C9">
              <w:rPr>
                <w:b/>
                <w:sz w:val="20"/>
                <w:szCs w:val="20"/>
              </w:rPr>
              <w:t xml:space="preserve">Standards of investment protection </w:t>
            </w:r>
          </w:p>
        </w:tc>
        <w:tc>
          <w:tcPr>
            <w:tcW w:w="3402" w:type="dxa"/>
            <w:gridSpan w:val="6"/>
          </w:tcPr>
          <w:p w14:paraId="40201916" w14:textId="77777777" w:rsidR="00C045B6" w:rsidRPr="000E51C9" w:rsidRDefault="00C045B6" w:rsidP="00C87FB6">
            <w:pPr>
              <w:spacing w:line="240" w:lineRule="auto"/>
              <w:jc w:val="center"/>
              <w:rPr>
                <w:b/>
                <w:sz w:val="20"/>
                <w:szCs w:val="20"/>
              </w:rPr>
            </w:pPr>
            <w:r w:rsidRPr="000E51C9">
              <w:rPr>
                <w:b/>
                <w:sz w:val="20"/>
                <w:szCs w:val="20"/>
              </w:rPr>
              <w:t>ISDS</w:t>
            </w:r>
          </w:p>
        </w:tc>
      </w:tr>
      <w:tr w:rsidR="00C045B6" w:rsidRPr="000E51C9" w14:paraId="62017F5F" w14:textId="77777777" w:rsidTr="00460D6B">
        <w:trPr>
          <w:trHeight w:val="215"/>
        </w:trPr>
        <w:tc>
          <w:tcPr>
            <w:tcW w:w="959" w:type="dxa"/>
            <w:vMerge/>
          </w:tcPr>
          <w:p w14:paraId="0811307A" w14:textId="77777777" w:rsidR="00C045B6" w:rsidRPr="000E51C9" w:rsidRDefault="00C045B6" w:rsidP="00C87FB6">
            <w:pPr>
              <w:spacing w:line="240" w:lineRule="auto"/>
              <w:jc w:val="both"/>
              <w:rPr>
                <w:b/>
                <w:sz w:val="20"/>
                <w:szCs w:val="20"/>
              </w:rPr>
            </w:pPr>
          </w:p>
        </w:tc>
        <w:tc>
          <w:tcPr>
            <w:tcW w:w="709" w:type="dxa"/>
            <w:vMerge/>
          </w:tcPr>
          <w:p w14:paraId="167D7251" w14:textId="77777777" w:rsidR="00C045B6" w:rsidRPr="000E51C9" w:rsidRDefault="00C045B6" w:rsidP="00C87FB6">
            <w:pPr>
              <w:spacing w:line="240" w:lineRule="auto"/>
              <w:jc w:val="both"/>
              <w:rPr>
                <w:b/>
                <w:sz w:val="20"/>
                <w:szCs w:val="20"/>
              </w:rPr>
            </w:pPr>
          </w:p>
        </w:tc>
        <w:tc>
          <w:tcPr>
            <w:tcW w:w="1134" w:type="dxa"/>
            <w:gridSpan w:val="2"/>
          </w:tcPr>
          <w:p w14:paraId="65975787" w14:textId="77777777" w:rsidR="00C045B6" w:rsidRPr="000E51C9" w:rsidRDefault="00C045B6" w:rsidP="00C87FB6">
            <w:pPr>
              <w:spacing w:line="240" w:lineRule="auto"/>
              <w:jc w:val="center"/>
              <w:rPr>
                <w:b/>
                <w:sz w:val="20"/>
                <w:szCs w:val="20"/>
              </w:rPr>
            </w:pPr>
            <w:r w:rsidRPr="000E51C9">
              <w:rPr>
                <w:b/>
                <w:sz w:val="20"/>
                <w:szCs w:val="20"/>
              </w:rPr>
              <w:t>NT</w:t>
            </w:r>
          </w:p>
        </w:tc>
        <w:tc>
          <w:tcPr>
            <w:tcW w:w="1134" w:type="dxa"/>
            <w:gridSpan w:val="2"/>
          </w:tcPr>
          <w:p w14:paraId="7A05C888" w14:textId="77777777" w:rsidR="00C045B6" w:rsidRPr="000E51C9" w:rsidRDefault="00C045B6" w:rsidP="00C87FB6">
            <w:pPr>
              <w:spacing w:line="240" w:lineRule="auto"/>
              <w:jc w:val="center"/>
              <w:rPr>
                <w:b/>
                <w:sz w:val="20"/>
                <w:szCs w:val="20"/>
              </w:rPr>
            </w:pPr>
            <w:r w:rsidRPr="000E51C9">
              <w:rPr>
                <w:b/>
                <w:sz w:val="20"/>
                <w:szCs w:val="20"/>
              </w:rPr>
              <w:t>MFN</w:t>
            </w:r>
          </w:p>
        </w:tc>
        <w:tc>
          <w:tcPr>
            <w:tcW w:w="1134" w:type="dxa"/>
            <w:gridSpan w:val="2"/>
          </w:tcPr>
          <w:p w14:paraId="4AEAF83A" w14:textId="77777777" w:rsidR="00C045B6" w:rsidRPr="000E51C9" w:rsidRDefault="00C045B6" w:rsidP="00C87FB6">
            <w:pPr>
              <w:spacing w:line="240" w:lineRule="auto"/>
              <w:jc w:val="center"/>
              <w:rPr>
                <w:b/>
                <w:sz w:val="20"/>
                <w:szCs w:val="20"/>
              </w:rPr>
            </w:pPr>
            <w:proofErr w:type="spellStart"/>
            <w:r w:rsidRPr="000E51C9">
              <w:rPr>
                <w:b/>
                <w:sz w:val="20"/>
                <w:szCs w:val="20"/>
              </w:rPr>
              <w:t>Exprop</w:t>
            </w:r>
            <w:proofErr w:type="spellEnd"/>
            <w:r w:rsidRPr="000E51C9">
              <w:rPr>
                <w:b/>
                <w:sz w:val="20"/>
                <w:szCs w:val="20"/>
              </w:rPr>
              <w:t>.</w:t>
            </w:r>
          </w:p>
        </w:tc>
        <w:tc>
          <w:tcPr>
            <w:tcW w:w="1134" w:type="dxa"/>
            <w:gridSpan w:val="2"/>
          </w:tcPr>
          <w:p w14:paraId="3341956C" w14:textId="77777777" w:rsidR="00C045B6" w:rsidRPr="000E51C9" w:rsidRDefault="00C045B6" w:rsidP="00C87FB6">
            <w:pPr>
              <w:spacing w:line="240" w:lineRule="auto"/>
              <w:jc w:val="center"/>
              <w:rPr>
                <w:b/>
                <w:sz w:val="20"/>
                <w:szCs w:val="20"/>
              </w:rPr>
            </w:pPr>
            <w:r w:rsidRPr="000E51C9">
              <w:rPr>
                <w:b/>
                <w:sz w:val="20"/>
                <w:szCs w:val="20"/>
              </w:rPr>
              <w:t>Extra</w:t>
            </w:r>
          </w:p>
        </w:tc>
        <w:tc>
          <w:tcPr>
            <w:tcW w:w="1134" w:type="dxa"/>
            <w:gridSpan w:val="2"/>
          </w:tcPr>
          <w:p w14:paraId="760E2D98" w14:textId="77777777" w:rsidR="00C045B6" w:rsidRPr="000E51C9" w:rsidRDefault="00C045B6" w:rsidP="00C87FB6">
            <w:pPr>
              <w:spacing w:line="240" w:lineRule="auto"/>
              <w:ind w:right="-108"/>
              <w:jc w:val="both"/>
              <w:rPr>
                <w:b/>
                <w:sz w:val="20"/>
                <w:szCs w:val="20"/>
              </w:rPr>
            </w:pPr>
            <w:r w:rsidRPr="000E51C9">
              <w:rPr>
                <w:b/>
                <w:sz w:val="20"/>
                <w:szCs w:val="20"/>
              </w:rPr>
              <w:t>Just ICSID</w:t>
            </w:r>
          </w:p>
        </w:tc>
        <w:tc>
          <w:tcPr>
            <w:tcW w:w="1134" w:type="dxa"/>
            <w:gridSpan w:val="2"/>
          </w:tcPr>
          <w:p w14:paraId="18F80680" w14:textId="77777777" w:rsidR="00C045B6" w:rsidRPr="000E51C9" w:rsidRDefault="00C045B6" w:rsidP="00C87FB6">
            <w:pPr>
              <w:spacing w:line="240" w:lineRule="auto"/>
              <w:jc w:val="both"/>
              <w:rPr>
                <w:b/>
                <w:sz w:val="20"/>
                <w:szCs w:val="20"/>
              </w:rPr>
            </w:pPr>
            <w:r w:rsidRPr="000E51C9">
              <w:rPr>
                <w:b/>
                <w:sz w:val="20"/>
                <w:szCs w:val="20"/>
              </w:rPr>
              <w:t>ICSID +</w:t>
            </w:r>
          </w:p>
        </w:tc>
        <w:tc>
          <w:tcPr>
            <w:tcW w:w="1134" w:type="dxa"/>
            <w:gridSpan w:val="2"/>
          </w:tcPr>
          <w:p w14:paraId="7E1E0DB9" w14:textId="77777777" w:rsidR="00C045B6" w:rsidRPr="000E51C9" w:rsidRDefault="00C045B6" w:rsidP="00C87FB6">
            <w:pPr>
              <w:spacing w:line="240" w:lineRule="auto"/>
              <w:jc w:val="both"/>
              <w:rPr>
                <w:b/>
                <w:sz w:val="20"/>
                <w:szCs w:val="20"/>
              </w:rPr>
            </w:pPr>
            <w:r w:rsidRPr="000E51C9">
              <w:rPr>
                <w:b/>
                <w:sz w:val="20"/>
                <w:szCs w:val="20"/>
              </w:rPr>
              <w:t>No ISDS</w:t>
            </w:r>
          </w:p>
        </w:tc>
      </w:tr>
      <w:tr w:rsidR="00C045B6" w:rsidRPr="000E51C9" w14:paraId="1F53B581" w14:textId="77777777" w:rsidTr="00460D6B">
        <w:trPr>
          <w:trHeight w:val="215"/>
        </w:trPr>
        <w:tc>
          <w:tcPr>
            <w:tcW w:w="959" w:type="dxa"/>
            <w:vMerge/>
          </w:tcPr>
          <w:p w14:paraId="6E804171" w14:textId="77777777" w:rsidR="00C045B6" w:rsidRPr="000E51C9" w:rsidRDefault="00C045B6" w:rsidP="00C87FB6">
            <w:pPr>
              <w:spacing w:line="240" w:lineRule="auto"/>
              <w:jc w:val="both"/>
              <w:rPr>
                <w:b/>
                <w:sz w:val="20"/>
                <w:szCs w:val="20"/>
              </w:rPr>
            </w:pPr>
          </w:p>
        </w:tc>
        <w:tc>
          <w:tcPr>
            <w:tcW w:w="709" w:type="dxa"/>
            <w:vMerge/>
          </w:tcPr>
          <w:p w14:paraId="495B7566" w14:textId="77777777" w:rsidR="00C045B6" w:rsidRPr="000E51C9" w:rsidRDefault="00C045B6" w:rsidP="00C87FB6">
            <w:pPr>
              <w:spacing w:line="240" w:lineRule="auto"/>
              <w:jc w:val="both"/>
              <w:rPr>
                <w:b/>
                <w:sz w:val="20"/>
                <w:szCs w:val="20"/>
              </w:rPr>
            </w:pPr>
          </w:p>
        </w:tc>
        <w:tc>
          <w:tcPr>
            <w:tcW w:w="567" w:type="dxa"/>
          </w:tcPr>
          <w:p w14:paraId="54B3B2BB" w14:textId="77777777" w:rsidR="00C045B6" w:rsidRPr="000E51C9" w:rsidRDefault="00C045B6" w:rsidP="00C87FB6">
            <w:pPr>
              <w:spacing w:line="240" w:lineRule="auto"/>
              <w:jc w:val="center"/>
              <w:rPr>
                <w:sz w:val="20"/>
                <w:szCs w:val="20"/>
              </w:rPr>
            </w:pPr>
            <w:r w:rsidRPr="000E51C9">
              <w:rPr>
                <w:sz w:val="20"/>
                <w:szCs w:val="20"/>
              </w:rPr>
              <w:t>No.</w:t>
            </w:r>
          </w:p>
        </w:tc>
        <w:tc>
          <w:tcPr>
            <w:tcW w:w="567" w:type="dxa"/>
          </w:tcPr>
          <w:p w14:paraId="0CDC8043" w14:textId="77777777" w:rsidR="00C045B6" w:rsidRPr="000E51C9" w:rsidRDefault="00C045B6" w:rsidP="00C87FB6">
            <w:pPr>
              <w:spacing w:line="240" w:lineRule="auto"/>
              <w:jc w:val="center"/>
              <w:rPr>
                <w:b/>
                <w:sz w:val="20"/>
                <w:szCs w:val="20"/>
              </w:rPr>
            </w:pPr>
            <w:r w:rsidRPr="000E51C9">
              <w:rPr>
                <w:b/>
                <w:sz w:val="20"/>
                <w:szCs w:val="20"/>
              </w:rPr>
              <w:t>%</w:t>
            </w:r>
          </w:p>
        </w:tc>
        <w:tc>
          <w:tcPr>
            <w:tcW w:w="567" w:type="dxa"/>
          </w:tcPr>
          <w:p w14:paraId="02313308" w14:textId="77777777" w:rsidR="00C045B6" w:rsidRPr="000E51C9" w:rsidRDefault="00C045B6" w:rsidP="00C87FB6">
            <w:pPr>
              <w:spacing w:line="240" w:lineRule="auto"/>
              <w:jc w:val="center"/>
              <w:rPr>
                <w:b/>
                <w:sz w:val="20"/>
                <w:szCs w:val="20"/>
              </w:rPr>
            </w:pPr>
            <w:r w:rsidRPr="000E51C9">
              <w:rPr>
                <w:sz w:val="20"/>
                <w:szCs w:val="20"/>
              </w:rPr>
              <w:t>No.</w:t>
            </w:r>
          </w:p>
        </w:tc>
        <w:tc>
          <w:tcPr>
            <w:tcW w:w="567" w:type="dxa"/>
          </w:tcPr>
          <w:p w14:paraId="347F5F39" w14:textId="77777777" w:rsidR="00C045B6" w:rsidRPr="000E51C9" w:rsidRDefault="00C045B6" w:rsidP="00C87FB6">
            <w:pPr>
              <w:spacing w:line="240" w:lineRule="auto"/>
              <w:jc w:val="center"/>
              <w:rPr>
                <w:b/>
                <w:sz w:val="20"/>
                <w:szCs w:val="20"/>
              </w:rPr>
            </w:pPr>
            <w:r w:rsidRPr="000E51C9">
              <w:rPr>
                <w:b/>
                <w:sz w:val="20"/>
                <w:szCs w:val="20"/>
              </w:rPr>
              <w:t>%</w:t>
            </w:r>
          </w:p>
        </w:tc>
        <w:tc>
          <w:tcPr>
            <w:tcW w:w="567" w:type="dxa"/>
          </w:tcPr>
          <w:p w14:paraId="1574D2B9" w14:textId="77777777" w:rsidR="00C045B6" w:rsidRPr="000E51C9" w:rsidRDefault="00C045B6" w:rsidP="00C87FB6">
            <w:pPr>
              <w:spacing w:line="240" w:lineRule="auto"/>
              <w:jc w:val="center"/>
              <w:rPr>
                <w:b/>
                <w:sz w:val="20"/>
                <w:szCs w:val="20"/>
              </w:rPr>
            </w:pPr>
            <w:r w:rsidRPr="000E51C9">
              <w:rPr>
                <w:sz w:val="20"/>
                <w:szCs w:val="20"/>
              </w:rPr>
              <w:t>No.</w:t>
            </w:r>
          </w:p>
        </w:tc>
        <w:tc>
          <w:tcPr>
            <w:tcW w:w="567" w:type="dxa"/>
          </w:tcPr>
          <w:p w14:paraId="3DC4B27D" w14:textId="77777777" w:rsidR="00C045B6" w:rsidRPr="000E51C9" w:rsidRDefault="00C045B6" w:rsidP="00C87FB6">
            <w:pPr>
              <w:spacing w:line="240" w:lineRule="auto"/>
              <w:jc w:val="center"/>
              <w:rPr>
                <w:b/>
                <w:sz w:val="20"/>
                <w:szCs w:val="20"/>
              </w:rPr>
            </w:pPr>
            <w:r w:rsidRPr="000E51C9">
              <w:rPr>
                <w:b/>
                <w:sz w:val="20"/>
                <w:szCs w:val="20"/>
              </w:rPr>
              <w:t>%</w:t>
            </w:r>
          </w:p>
        </w:tc>
        <w:tc>
          <w:tcPr>
            <w:tcW w:w="567" w:type="dxa"/>
          </w:tcPr>
          <w:p w14:paraId="3E00307D" w14:textId="77777777" w:rsidR="00C045B6" w:rsidRPr="000E51C9" w:rsidRDefault="00C045B6" w:rsidP="00C87FB6">
            <w:pPr>
              <w:spacing w:line="240" w:lineRule="auto"/>
              <w:jc w:val="center"/>
              <w:rPr>
                <w:b/>
                <w:sz w:val="20"/>
                <w:szCs w:val="20"/>
              </w:rPr>
            </w:pPr>
            <w:r w:rsidRPr="000E51C9">
              <w:rPr>
                <w:sz w:val="20"/>
                <w:szCs w:val="20"/>
              </w:rPr>
              <w:t>No.</w:t>
            </w:r>
          </w:p>
        </w:tc>
        <w:tc>
          <w:tcPr>
            <w:tcW w:w="567" w:type="dxa"/>
          </w:tcPr>
          <w:p w14:paraId="28510567" w14:textId="77777777" w:rsidR="00C045B6" w:rsidRPr="000E51C9" w:rsidRDefault="00C045B6" w:rsidP="00C87FB6">
            <w:pPr>
              <w:spacing w:line="240" w:lineRule="auto"/>
              <w:jc w:val="center"/>
              <w:rPr>
                <w:b/>
                <w:sz w:val="20"/>
                <w:szCs w:val="20"/>
              </w:rPr>
            </w:pPr>
            <w:r w:rsidRPr="000E51C9">
              <w:rPr>
                <w:b/>
                <w:sz w:val="20"/>
                <w:szCs w:val="20"/>
              </w:rPr>
              <w:t>%</w:t>
            </w:r>
          </w:p>
        </w:tc>
        <w:tc>
          <w:tcPr>
            <w:tcW w:w="567" w:type="dxa"/>
          </w:tcPr>
          <w:p w14:paraId="4748F9AA" w14:textId="77777777" w:rsidR="00C045B6" w:rsidRPr="000E51C9" w:rsidRDefault="00C045B6" w:rsidP="00C87FB6">
            <w:pPr>
              <w:spacing w:line="240" w:lineRule="auto"/>
              <w:jc w:val="center"/>
              <w:rPr>
                <w:b/>
                <w:sz w:val="20"/>
                <w:szCs w:val="20"/>
              </w:rPr>
            </w:pPr>
            <w:r w:rsidRPr="000E51C9">
              <w:rPr>
                <w:sz w:val="20"/>
                <w:szCs w:val="20"/>
              </w:rPr>
              <w:t>No.</w:t>
            </w:r>
          </w:p>
        </w:tc>
        <w:tc>
          <w:tcPr>
            <w:tcW w:w="567" w:type="dxa"/>
          </w:tcPr>
          <w:p w14:paraId="559EBFE7" w14:textId="77777777" w:rsidR="00C045B6" w:rsidRPr="000E51C9" w:rsidRDefault="00C045B6" w:rsidP="00C87FB6">
            <w:pPr>
              <w:spacing w:line="240" w:lineRule="auto"/>
              <w:jc w:val="center"/>
              <w:rPr>
                <w:b/>
                <w:sz w:val="20"/>
                <w:szCs w:val="20"/>
              </w:rPr>
            </w:pPr>
            <w:r w:rsidRPr="000E51C9">
              <w:rPr>
                <w:b/>
                <w:sz w:val="20"/>
                <w:szCs w:val="20"/>
              </w:rPr>
              <w:t>%</w:t>
            </w:r>
          </w:p>
        </w:tc>
        <w:tc>
          <w:tcPr>
            <w:tcW w:w="567" w:type="dxa"/>
          </w:tcPr>
          <w:p w14:paraId="4634F641" w14:textId="77777777" w:rsidR="00C045B6" w:rsidRPr="000E51C9" w:rsidRDefault="00C045B6" w:rsidP="00C87FB6">
            <w:pPr>
              <w:spacing w:line="240" w:lineRule="auto"/>
              <w:jc w:val="center"/>
              <w:rPr>
                <w:b/>
                <w:sz w:val="20"/>
                <w:szCs w:val="20"/>
              </w:rPr>
            </w:pPr>
            <w:r w:rsidRPr="000E51C9">
              <w:rPr>
                <w:sz w:val="20"/>
                <w:szCs w:val="20"/>
              </w:rPr>
              <w:t>No.</w:t>
            </w:r>
          </w:p>
        </w:tc>
        <w:tc>
          <w:tcPr>
            <w:tcW w:w="567" w:type="dxa"/>
          </w:tcPr>
          <w:p w14:paraId="78D806AF" w14:textId="77777777" w:rsidR="00C045B6" w:rsidRPr="000E51C9" w:rsidRDefault="00C045B6" w:rsidP="00C87FB6">
            <w:pPr>
              <w:spacing w:line="240" w:lineRule="auto"/>
              <w:jc w:val="center"/>
              <w:rPr>
                <w:b/>
                <w:sz w:val="20"/>
                <w:szCs w:val="20"/>
              </w:rPr>
            </w:pPr>
            <w:r w:rsidRPr="000E51C9">
              <w:rPr>
                <w:b/>
                <w:sz w:val="20"/>
                <w:szCs w:val="20"/>
              </w:rPr>
              <w:t>%</w:t>
            </w:r>
          </w:p>
        </w:tc>
        <w:tc>
          <w:tcPr>
            <w:tcW w:w="567" w:type="dxa"/>
          </w:tcPr>
          <w:p w14:paraId="12855712" w14:textId="77777777" w:rsidR="00C045B6" w:rsidRPr="000E51C9" w:rsidRDefault="00C045B6" w:rsidP="00C87FB6">
            <w:pPr>
              <w:spacing w:line="240" w:lineRule="auto"/>
              <w:jc w:val="center"/>
              <w:rPr>
                <w:b/>
                <w:sz w:val="20"/>
                <w:szCs w:val="20"/>
              </w:rPr>
            </w:pPr>
            <w:r w:rsidRPr="000E51C9">
              <w:rPr>
                <w:sz w:val="20"/>
                <w:szCs w:val="20"/>
              </w:rPr>
              <w:t>No.</w:t>
            </w:r>
          </w:p>
        </w:tc>
        <w:tc>
          <w:tcPr>
            <w:tcW w:w="567" w:type="dxa"/>
          </w:tcPr>
          <w:p w14:paraId="206A0BCF" w14:textId="77777777" w:rsidR="00C045B6" w:rsidRPr="000E51C9" w:rsidRDefault="00C045B6" w:rsidP="00C87FB6">
            <w:pPr>
              <w:spacing w:line="240" w:lineRule="auto"/>
              <w:jc w:val="center"/>
              <w:rPr>
                <w:b/>
                <w:sz w:val="20"/>
                <w:szCs w:val="20"/>
              </w:rPr>
            </w:pPr>
            <w:r w:rsidRPr="000E51C9">
              <w:rPr>
                <w:b/>
                <w:sz w:val="20"/>
                <w:szCs w:val="20"/>
              </w:rPr>
              <w:t>%</w:t>
            </w:r>
          </w:p>
        </w:tc>
      </w:tr>
      <w:tr w:rsidR="00C045B6" w:rsidRPr="000E51C9" w14:paraId="0E7CD6E5" w14:textId="77777777" w:rsidTr="00460D6B">
        <w:trPr>
          <w:trHeight w:val="456"/>
        </w:trPr>
        <w:tc>
          <w:tcPr>
            <w:tcW w:w="959" w:type="dxa"/>
          </w:tcPr>
          <w:p w14:paraId="6966DD45" w14:textId="77777777" w:rsidR="00C045B6" w:rsidRPr="000E51C9" w:rsidRDefault="00C045B6" w:rsidP="00C87FB6">
            <w:pPr>
              <w:spacing w:line="240" w:lineRule="auto"/>
              <w:jc w:val="both"/>
              <w:rPr>
                <w:b/>
                <w:sz w:val="20"/>
                <w:szCs w:val="20"/>
              </w:rPr>
            </w:pPr>
            <w:r w:rsidRPr="000E51C9">
              <w:rPr>
                <w:b/>
                <w:sz w:val="20"/>
                <w:szCs w:val="20"/>
              </w:rPr>
              <w:t>India*</w:t>
            </w:r>
          </w:p>
        </w:tc>
        <w:tc>
          <w:tcPr>
            <w:tcW w:w="709" w:type="dxa"/>
            <w:vAlign w:val="center"/>
          </w:tcPr>
          <w:p w14:paraId="2A437DE1"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19</w:t>
            </w:r>
          </w:p>
        </w:tc>
        <w:tc>
          <w:tcPr>
            <w:tcW w:w="567" w:type="dxa"/>
            <w:tcBorders>
              <w:right w:val="dashed" w:sz="4" w:space="0" w:color="auto"/>
            </w:tcBorders>
            <w:vAlign w:val="center"/>
          </w:tcPr>
          <w:p w14:paraId="7A40E418"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4</w:t>
            </w:r>
          </w:p>
        </w:tc>
        <w:tc>
          <w:tcPr>
            <w:tcW w:w="567" w:type="dxa"/>
            <w:tcBorders>
              <w:left w:val="dashed" w:sz="4" w:space="0" w:color="auto"/>
            </w:tcBorders>
            <w:vAlign w:val="center"/>
          </w:tcPr>
          <w:p w14:paraId="267B783D"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21.1</w:t>
            </w:r>
          </w:p>
        </w:tc>
        <w:tc>
          <w:tcPr>
            <w:tcW w:w="567" w:type="dxa"/>
            <w:tcBorders>
              <w:right w:val="dashed" w:sz="4" w:space="0" w:color="auto"/>
            </w:tcBorders>
            <w:vAlign w:val="center"/>
          </w:tcPr>
          <w:p w14:paraId="69C077E0"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3</w:t>
            </w:r>
          </w:p>
        </w:tc>
        <w:tc>
          <w:tcPr>
            <w:tcW w:w="567" w:type="dxa"/>
            <w:tcBorders>
              <w:left w:val="dashed" w:sz="4" w:space="0" w:color="auto"/>
            </w:tcBorders>
            <w:vAlign w:val="center"/>
          </w:tcPr>
          <w:p w14:paraId="17C3C3AA"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15.8</w:t>
            </w:r>
          </w:p>
        </w:tc>
        <w:tc>
          <w:tcPr>
            <w:tcW w:w="567" w:type="dxa"/>
            <w:tcBorders>
              <w:right w:val="dashed" w:sz="4" w:space="0" w:color="auto"/>
            </w:tcBorders>
            <w:vAlign w:val="center"/>
          </w:tcPr>
          <w:p w14:paraId="4C360AD4"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4</w:t>
            </w:r>
          </w:p>
        </w:tc>
        <w:tc>
          <w:tcPr>
            <w:tcW w:w="567" w:type="dxa"/>
            <w:tcBorders>
              <w:left w:val="dashed" w:sz="4" w:space="0" w:color="auto"/>
            </w:tcBorders>
            <w:vAlign w:val="center"/>
          </w:tcPr>
          <w:p w14:paraId="504A3816"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21.1</w:t>
            </w:r>
          </w:p>
        </w:tc>
        <w:tc>
          <w:tcPr>
            <w:tcW w:w="567" w:type="dxa"/>
            <w:tcBorders>
              <w:right w:val="dashed" w:sz="4" w:space="0" w:color="auto"/>
            </w:tcBorders>
            <w:vAlign w:val="center"/>
          </w:tcPr>
          <w:p w14:paraId="4A56925C"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3</w:t>
            </w:r>
          </w:p>
        </w:tc>
        <w:tc>
          <w:tcPr>
            <w:tcW w:w="567" w:type="dxa"/>
            <w:tcBorders>
              <w:left w:val="dashed" w:sz="4" w:space="0" w:color="auto"/>
            </w:tcBorders>
            <w:vAlign w:val="center"/>
          </w:tcPr>
          <w:p w14:paraId="7639C29D"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15.8</w:t>
            </w:r>
          </w:p>
        </w:tc>
        <w:tc>
          <w:tcPr>
            <w:tcW w:w="567" w:type="dxa"/>
            <w:tcBorders>
              <w:right w:val="dashed" w:sz="4" w:space="0" w:color="auto"/>
            </w:tcBorders>
            <w:vAlign w:val="center"/>
          </w:tcPr>
          <w:p w14:paraId="20EBF028"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1668F065" w14:textId="09EC8AA1" w:rsidR="00C045B6" w:rsidRPr="000E51C9" w:rsidRDefault="00C045B6" w:rsidP="00C87FB6">
            <w:pPr>
              <w:spacing w:line="240" w:lineRule="auto"/>
              <w:jc w:val="center"/>
              <w:rPr>
                <w:b/>
                <w:sz w:val="20"/>
                <w:szCs w:val="20"/>
              </w:rPr>
            </w:pPr>
            <w:r w:rsidRPr="000E51C9">
              <w:rPr>
                <w:rFonts w:eastAsia="Times New Roman"/>
                <w:bCs/>
                <w:color w:val="000000"/>
                <w:sz w:val="20"/>
                <w:szCs w:val="20"/>
                <w:lang w:eastAsia="en-US"/>
              </w:rPr>
              <w:t>-</w:t>
            </w:r>
          </w:p>
        </w:tc>
        <w:tc>
          <w:tcPr>
            <w:tcW w:w="567" w:type="dxa"/>
            <w:tcBorders>
              <w:right w:val="dashed" w:sz="4" w:space="0" w:color="auto"/>
            </w:tcBorders>
            <w:vAlign w:val="center"/>
          </w:tcPr>
          <w:p w14:paraId="52DB1F91"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4</w:t>
            </w:r>
          </w:p>
        </w:tc>
        <w:tc>
          <w:tcPr>
            <w:tcW w:w="567" w:type="dxa"/>
            <w:tcBorders>
              <w:left w:val="dashed" w:sz="4" w:space="0" w:color="auto"/>
            </w:tcBorders>
            <w:vAlign w:val="center"/>
          </w:tcPr>
          <w:p w14:paraId="3B56E574"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21.1</w:t>
            </w:r>
          </w:p>
        </w:tc>
        <w:tc>
          <w:tcPr>
            <w:tcW w:w="567" w:type="dxa"/>
            <w:tcBorders>
              <w:left w:val="dashed" w:sz="4" w:space="0" w:color="auto"/>
              <w:right w:val="dashed" w:sz="4" w:space="0" w:color="auto"/>
            </w:tcBorders>
            <w:vAlign w:val="center"/>
          </w:tcPr>
          <w:p w14:paraId="0FAD5C93"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15</w:t>
            </w:r>
          </w:p>
        </w:tc>
        <w:tc>
          <w:tcPr>
            <w:tcW w:w="567" w:type="dxa"/>
            <w:tcBorders>
              <w:left w:val="dashed" w:sz="4" w:space="0" w:color="auto"/>
            </w:tcBorders>
            <w:vAlign w:val="center"/>
          </w:tcPr>
          <w:p w14:paraId="08C5272E" w14:textId="77777777" w:rsidR="00C045B6" w:rsidRPr="000E51C9" w:rsidRDefault="00C045B6" w:rsidP="00C87FB6">
            <w:pPr>
              <w:spacing w:line="240" w:lineRule="auto"/>
              <w:jc w:val="center"/>
              <w:rPr>
                <w:b/>
                <w:sz w:val="20"/>
                <w:szCs w:val="20"/>
              </w:rPr>
            </w:pPr>
            <w:r w:rsidRPr="000E51C9">
              <w:rPr>
                <w:rFonts w:eastAsia="Times New Roman"/>
                <w:color w:val="000000"/>
                <w:sz w:val="20"/>
                <w:szCs w:val="20"/>
                <w:lang w:eastAsia="en-US"/>
              </w:rPr>
              <w:t>78.9</w:t>
            </w:r>
          </w:p>
        </w:tc>
      </w:tr>
      <w:tr w:rsidR="00B7757B" w:rsidRPr="000E51C9" w14:paraId="3FB2880D" w14:textId="77777777" w:rsidTr="00F457E9">
        <w:trPr>
          <w:trHeight w:val="473"/>
        </w:trPr>
        <w:tc>
          <w:tcPr>
            <w:tcW w:w="959" w:type="dxa"/>
          </w:tcPr>
          <w:p w14:paraId="664CD818" w14:textId="77777777" w:rsidR="00B7757B" w:rsidRPr="000E51C9" w:rsidRDefault="00B7757B" w:rsidP="00C87FB6">
            <w:pPr>
              <w:spacing w:line="240" w:lineRule="auto"/>
              <w:jc w:val="both"/>
              <w:rPr>
                <w:b/>
                <w:sz w:val="20"/>
                <w:szCs w:val="20"/>
              </w:rPr>
            </w:pPr>
            <w:r w:rsidRPr="000E51C9">
              <w:rPr>
                <w:b/>
                <w:sz w:val="20"/>
                <w:szCs w:val="20"/>
              </w:rPr>
              <w:t>China*</w:t>
            </w:r>
          </w:p>
        </w:tc>
        <w:tc>
          <w:tcPr>
            <w:tcW w:w="709" w:type="dxa"/>
            <w:vAlign w:val="center"/>
          </w:tcPr>
          <w:p w14:paraId="2D0B06CF"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13</w:t>
            </w:r>
          </w:p>
        </w:tc>
        <w:tc>
          <w:tcPr>
            <w:tcW w:w="567" w:type="dxa"/>
            <w:tcBorders>
              <w:right w:val="dashed" w:sz="4" w:space="0" w:color="auto"/>
            </w:tcBorders>
            <w:vAlign w:val="center"/>
          </w:tcPr>
          <w:p w14:paraId="1B10F0DE"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5</w:t>
            </w:r>
          </w:p>
        </w:tc>
        <w:tc>
          <w:tcPr>
            <w:tcW w:w="567" w:type="dxa"/>
            <w:tcBorders>
              <w:left w:val="dashed" w:sz="4" w:space="0" w:color="auto"/>
            </w:tcBorders>
            <w:vAlign w:val="center"/>
          </w:tcPr>
          <w:p w14:paraId="73F53AEE"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38.5</w:t>
            </w:r>
          </w:p>
        </w:tc>
        <w:tc>
          <w:tcPr>
            <w:tcW w:w="567" w:type="dxa"/>
            <w:tcBorders>
              <w:right w:val="dashed" w:sz="4" w:space="0" w:color="auto"/>
            </w:tcBorders>
            <w:vAlign w:val="center"/>
          </w:tcPr>
          <w:p w14:paraId="21E2A4D7"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5</w:t>
            </w:r>
          </w:p>
        </w:tc>
        <w:tc>
          <w:tcPr>
            <w:tcW w:w="567" w:type="dxa"/>
            <w:tcBorders>
              <w:left w:val="dashed" w:sz="4" w:space="0" w:color="auto"/>
            </w:tcBorders>
            <w:vAlign w:val="center"/>
          </w:tcPr>
          <w:p w14:paraId="0EDA80A2"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38.5</w:t>
            </w:r>
          </w:p>
        </w:tc>
        <w:tc>
          <w:tcPr>
            <w:tcW w:w="567" w:type="dxa"/>
            <w:tcBorders>
              <w:right w:val="dashed" w:sz="4" w:space="0" w:color="auto"/>
            </w:tcBorders>
            <w:vAlign w:val="center"/>
          </w:tcPr>
          <w:p w14:paraId="6F8586FD"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4</w:t>
            </w:r>
          </w:p>
        </w:tc>
        <w:tc>
          <w:tcPr>
            <w:tcW w:w="567" w:type="dxa"/>
            <w:tcBorders>
              <w:left w:val="dashed" w:sz="4" w:space="0" w:color="auto"/>
            </w:tcBorders>
            <w:vAlign w:val="center"/>
          </w:tcPr>
          <w:p w14:paraId="70988454"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30.8</w:t>
            </w:r>
          </w:p>
        </w:tc>
        <w:tc>
          <w:tcPr>
            <w:tcW w:w="567" w:type="dxa"/>
            <w:tcBorders>
              <w:right w:val="dashed" w:sz="4" w:space="0" w:color="auto"/>
            </w:tcBorders>
            <w:vAlign w:val="center"/>
          </w:tcPr>
          <w:p w14:paraId="2619846D"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4</w:t>
            </w:r>
          </w:p>
        </w:tc>
        <w:tc>
          <w:tcPr>
            <w:tcW w:w="567" w:type="dxa"/>
            <w:tcBorders>
              <w:left w:val="dashed" w:sz="4" w:space="0" w:color="auto"/>
            </w:tcBorders>
            <w:vAlign w:val="center"/>
          </w:tcPr>
          <w:p w14:paraId="3BFA1174"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30.8</w:t>
            </w:r>
          </w:p>
        </w:tc>
        <w:tc>
          <w:tcPr>
            <w:tcW w:w="567" w:type="dxa"/>
            <w:tcBorders>
              <w:right w:val="dashed" w:sz="4" w:space="0" w:color="auto"/>
            </w:tcBorders>
            <w:vAlign w:val="center"/>
          </w:tcPr>
          <w:p w14:paraId="037C7067"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1</w:t>
            </w:r>
          </w:p>
        </w:tc>
        <w:tc>
          <w:tcPr>
            <w:tcW w:w="567" w:type="dxa"/>
            <w:tcBorders>
              <w:left w:val="dashed" w:sz="4" w:space="0" w:color="auto"/>
            </w:tcBorders>
            <w:vAlign w:val="center"/>
          </w:tcPr>
          <w:p w14:paraId="57F0CA0D" w14:textId="77777777" w:rsidR="00B7757B" w:rsidRPr="000E51C9" w:rsidRDefault="00B7757B" w:rsidP="00C87FB6">
            <w:pPr>
              <w:spacing w:line="240" w:lineRule="auto"/>
              <w:jc w:val="center"/>
              <w:rPr>
                <w:sz w:val="20"/>
                <w:szCs w:val="20"/>
              </w:rPr>
            </w:pPr>
            <w:r w:rsidRPr="000E51C9">
              <w:rPr>
                <w:rFonts w:eastAsia="Times New Roman"/>
                <w:color w:val="000000"/>
                <w:sz w:val="20"/>
                <w:szCs w:val="20"/>
                <w:lang w:eastAsia="en-US"/>
              </w:rPr>
              <w:t>7.7</w:t>
            </w:r>
          </w:p>
        </w:tc>
        <w:tc>
          <w:tcPr>
            <w:tcW w:w="567" w:type="dxa"/>
            <w:tcBorders>
              <w:right w:val="dashed" w:sz="4" w:space="0" w:color="auto"/>
            </w:tcBorders>
            <w:vAlign w:val="center"/>
          </w:tcPr>
          <w:p w14:paraId="4B843C20"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4</w:t>
            </w:r>
          </w:p>
        </w:tc>
        <w:tc>
          <w:tcPr>
            <w:tcW w:w="567" w:type="dxa"/>
            <w:tcBorders>
              <w:left w:val="dashed" w:sz="4" w:space="0" w:color="auto"/>
            </w:tcBorders>
            <w:vAlign w:val="center"/>
          </w:tcPr>
          <w:p w14:paraId="2B036494" w14:textId="77777777" w:rsidR="00B7757B" w:rsidRPr="000E51C9" w:rsidRDefault="00B7757B" w:rsidP="00C87FB6">
            <w:pPr>
              <w:spacing w:line="240" w:lineRule="auto"/>
              <w:jc w:val="center"/>
              <w:rPr>
                <w:i/>
                <w:sz w:val="20"/>
                <w:szCs w:val="20"/>
              </w:rPr>
            </w:pPr>
            <w:r w:rsidRPr="000E51C9">
              <w:rPr>
                <w:rFonts w:eastAsia="Times New Roman"/>
                <w:color w:val="000000"/>
                <w:sz w:val="20"/>
                <w:szCs w:val="20"/>
                <w:lang w:eastAsia="en-US"/>
              </w:rPr>
              <w:t>30.8</w:t>
            </w:r>
          </w:p>
        </w:tc>
        <w:tc>
          <w:tcPr>
            <w:tcW w:w="567" w:type="dxa"/>
            <w:tcBorders>
              <w:left w:val="dashed" w:sz="4" w:space="0" w:color="auto"/>
              <w:right w:val="dashed" w:sz="4" w:space="0" w:color="auto"/>
            </w:tcBorders>
            <w:vAlign w:val="center"/>
          </w:tcPr>
          <w:p w14:paraId="3C364A26" w14:textId="22595402" w:rsidR="00B7757B" w:rsidRPr="000E51C9" w:rsidRDefault="00B7757B" w:rsidP="00B7757B">
            <w:pPr>
              <w:spacing w:line="240" w:lineRule="auto"/>
              <w:jc w:val="center"/>
              <w:rPr>
                <w:sz w:val="20"/>
                <w:szCs w:val="20"/>
              </w:rPr>
            </w:pPr>
            <w:r w:rsidRPr="000E51C9">
              <w:rPr>
                <w:rFonts w:eastAsia="Times New Roman"/>
                <w:color w:val="000000"/>
                <w:sz w:val="20"/>
                <w:szCs w:val="20"/>
                <w:lang w:eastAsia="en-US"/>
              </w:rPr>
              <w:t>8</w:t>
            </w:r>
          </w:p>
        </w:tc>
        <w:tc>
          <w:tcPr>
            <w:tcW w:w="567" w:type="dxa"/>
            <w:tcBorders>
              <w:left w:val="dashed" w:sz="4" w:space="0" w:color="auto"/>
            </w:tcBorders>
            <w:vAlign w:val="center"/>
          </w:tcPr>
          <w:p w14:paraId="09C7591E" w14:textId="6AD512E3" w:rsidR="00B7757B" w:rsidRPr="000E51C9" w:rsidRDefault="00B7757B" w:rsidP="00C87FB6">
            <w:pPr>
              <w:spacing w:line="240" w:lineRule="auto"/>
              <w:jc w:val="center"/>
              <w:rPr>
                <w:sz w:val="20"/>
                <w:szCs w:val="20"/>
              </w:rPr>
            </w:pPr>
            <w:r w:rsidRPr="000E51C9">
              <w:rPr>
                <w:rFonts w:eastAsia="Times New Roman"/>
                <w:color w:val="000000"/>
                <w:sz w:val="20"/>
                <w:szCs w:val="20"/>
                <w:lang w:eastAsia="en-US"/>
              </w:rPr>
              <w:t>61.5</w:t>
            </w:r>
          </w:p>
        </w:tc>
      </w:tr>
      <w:tr w:rsidR="00C045B6" w:rsidRPr="000E51C9" w14:paraId="1CB961D0" w14:textId="77777777" w:rsidTr="00460D6B">
        <w:trPr>
          <w:trHeight w:val="473"/>
        </w:trPr>
        <w:tc>
          <w:tcPr>
            <w:tcW w:w="959" w:type="dxa"/>
          </w:tcPr>
          <w:p w14:paraId="3F1A1E62" w14:textId="77777777" w:rsidR="00C045B6" w:rsidRPr="000E51C9" w:rsidRDefault="00C045B6" w:rsidP="00C87FB6">
            <w:pPr>
              <w:spacing w:line="240" w:lineRule="auto"/>
              <w:jc w:val="both"/>
              <w:rPr>
                <w:b/>
                <w:sz w:val="20"/>
                <w:szCs w:val="20"/>
              </w:rPr>
            </w:pPr>
            <w:r w:rsidRPr="000E51C9">
              <w:rPr>
                <w:b/>
                <w:sz w:val="20"/>
                <w:szCs w:val="20"/>
              </w:rPr>
              <w:t>ASEAN</w:t>
            </w:r>
          </w:p>
        </w:tc>
        <w:tc>
          <w:tcPr>
            <w:tcW w:w="709" w:type="dxa"/>
            <w:vAlign w:val="center"/>
          </w:tcPr>
          <w:p w14:paraId="680C7043" w14:textId="77777777" w:rsidR="00C045B6" w:rsidRPr="000E51C9" w:rsidRDefault="00C045B6" w:rsidP="00C87FB6">
            <w:pPr>
              <w:spacing w:line="240" w:lineRule="auto"/>
              <w:jc w:val="center"/>
              <w:rPr>
                <w:i/>
                <w:sz w:val="20"/>
                <w:szCs w:val="20"/>
              </w:rPr>
            </w:pPr>
            <w:r w:rsidRPr="000E51C9">
              <w:rPr>
                <w:rFonts w:eastAsia="Times New Roman"/>
                <w:color w:val="000000"/>
                <w:sz w:val="20"/>
                <w:szCs w:val="20"/>
                <w:lang w:eastAsia="en-US"/>
              </w:rPr>
              <w:t>6</w:t>
            </w:r>
          </w:p>
        </w:tc>
        <w:tc>
          <w:tcPr>
            <w:tcW w:w="567" w:type="dxa"/>
            <w:tcBorders>
              <w:right w:val="dashed" w:sz="4" w:space="0" w:color="auto"/>
            </w:tcBorders>
            <w:vAlign w:val="center"/>
          </w:tcPr>
          <w:p w14:paraId="403BB24D" w14:textId="77777777" w:rsidR="00C045B6" w:rsidRPr="000E51C9" w:rsidRDefault="00C045B6" w:rsidP="00C87FB6">
            <w:pPr>
              <w:spacing w:line="240" w:lineRule="auto"/>
              <w:jc w:val="center"/>
              <w:rPr>
                <w:i/>
                <w:sz w:val="20"/>
                <w:szCs w:val="20"/>
              </w:rPr>
            </w:pPr>
            <w:r w:rsidRPr="000E51C9">
              <w:rPr>
                <w:rFonts w:eastAsia="Times New Roman"/>
                <w:bCs/>
                <w:color w:val="000000"/>
                <w:sz w:val="20"/>
                <w:szCs w:val="20"/>
                <w:lang w:eastAsia="en-US"/>
              </w:rPr>
              <w:t>5</w:t>
            </w:r>
          </w:p>
        </w:tc>
        <w:tc>
          <w:tcPr>
            <w:tcW w:w="567" w:type="dxa"/>
            <w:tcBorders>
              <w:left w:val="dashed" w:sz="4" w:space="0" w:color="auto"/>
            </w:tcBorders>
            <w:vAlign w:val="center"/>
          </w:tcPr>
          <w:p w14:paraId="4D340665" w14:textId="77777777" w:rsidR="00C045B6" w:rsidRPr="000E51C9" w:rsidRDefault="00C045B6" w:rsidP="00C87FB6">
            <w:pPr>
              <w:spacing w:line="240" w:lineRule="auto"/>
              <w:jc w:val="center"/>
              <w:rPr>
                <w:i/>
                <w:sz w:val="20"/>
                <w:szCs w:val="20"/>
              </w:rPr>
            </w:pPr>
            <w:r w:rsidRPr="000E51C9">
              <w:rPr>
                <w:rFonts w:eastAsia="Times New Roman"/>
                <w:color w:val="000000"/>
                <w:sz w:val="20"/>
                <w:szCs w:val="20"/>
                <w:lang w:eastAsia="en-US"/>
              </w:rPr>
              <w:t>83.3</w:t>
            </w:r>
          </w:p>
        </w:tc>
        <w:tc>
          <w:tcPr>
            <w:tcW w:w="567" w:type="dxa"/>
            <w:tcBorders>
              <w:right w:val="dashed" w:sz="4" w:space="0" w:color="auto"/>
            </w:tcBorders>
            <w:vAlign w:val="center"/>
          </w:tcPr>
          <w:p w14:paraId="5FE62309" w14:textId="77777777" w:rsidR="00C045B6" w:rsidRPr="000E51C9" w:rsidRDefault="00C045B6" w:rsidP="00C87FB6">
            <w:pPr>
              <w:spacing w:line="240" w:lineRule="auto"/>
              <w:jc w:val="center"/>
              <w:rPr>
                <w:i/>
                <w:sz w:val="20"/>
                <w:szCs w:val="20"/>
              </w:rPr>
            </w:pPr>
            <w:r w:rsidRPr="000E51C9">
              <w:rPr>
                <w:rFonts w:eastAsia="Times New Roman"/>
                <w:bCs/>
                <w:color w:val="000000"/>
                <w:sz w:val="20"/>
                <w:szCs w:val="20"/>
                <w:lang w:eastAsia="en-US"/>
              </w:rPr>
              <w:t>3</w:t>
            </w:r>
          </w:p>
        </w:tc>
        <w:tc>
          <w:tcPr>
            <w:tcW w:w="567" w:type="dxa"/>
            <w:tcBorders>
              <w:left w:val="dashed" w:sz="4" w:space="0" w:color="auto"/>
            </w:tcBorders>
            <w:vAlign w:val="center"/>
          </w:tcPr>
          <w:p w14:paraId="1ADB0203" w14:textId="77777777" w:rsidR="00C045B6" w:rsidRPr="000E51C9" w:rsidRDefault="00C045B6" w:rsidP="00C87FB6">
            <w:pPr>
              <w:spacing w:line="240" w:lineRule="auto"/>
              <w:jc w:val="center"/>
              <w:rPr>
                <w:i/>
                <w:sz w:val="20"/>
                <w:szCs w:val="20"/>
              </w:rPr>
            </w:pPr>
            <w:r w:rsidRPr="000E51C9">
              <w:rPr>
                <w:rFonts w:eastAsia="Times New Roman"/>
                <w:color w:val="000000"/>
                <w:sz w:val="20"/>
                <w:szCs w:val="20"/>
                <w:lang w:eastAsia="en-US"/>
              </w:rPr>
              <w:t>50</w:t>
            </w:r>
          </w:p>
        </w:tc>
        <w:tc>
          <w:tcPr>
            <w:tcW w:w="567" w:type="dxa"/>
            <w:tcBorders>
              <w:right w:val="dashed" w:sz="4" w:space="0" w:color="auto"/>
            </w:tcBorders>
            <w:vAlign w:val="center"/>
          </w:tcPr>
          <w:p w14:paraId="5EE8FC96" w14:textId="77777777" w:rsidR="00C045B6" w:rsidRPr="000E51C9" w:rsidRDefault="00C045B6" w:rsidP="00C87FB6">
            <w:pPr>
              <w:spacing w:line="240" w:lineRule="auto"/>
              <w:jc w:val="center"/>
              <w:rPr>
                <w:i/>
                <w:sz w:val="20"/>
                <w:szCs w:val="20"/>
              </w:rPr>
            </w:pPr>
            <w:r w:rsidRPr="000E51C9">
              <w:rPr>
                <w:rFonts w:eastAsia="Times New Roman"/>
                <w:bCs/>
                <w:color w:val="000000"/>
                <w:sz w:val="20"/>
                <w:szCs w:val="20"/>
                <w:lang w:eastAsia="en-US"/>
              </w:rPr>
              <w:t>5</w:t>
            </w:r>
          </w:p>
        </w:tc>
        <w:tc>
          <w:tcPr>
            <w:tcW w:w="567" w:type="dxa"/>
            <w:tcBorders>
              <w:left w:val="dashed" w:sz="4" w:space="0" w:color="auto"/>
            </w:tcBorders>
            <w:vAlign w:val="center"/>
          </w:tcPr>
          <w:p w14:paraId="2B2EFBFB" w14:textId="77777777" w:rsidR="00C045B6" w:rsidRPr="000E51C9" w:rsidRDefault="00C045B6" w:rsidP="00C87FB6">
            <w:pPr>
              <w:spacing w:line="240" w:lineRule="auto"/>
              <w:jc w:val="center"/>
              <w:rPr>
                <w:i/>
                <w:sz w:val="20"/>
                <w:szCs w:val="20"/>
              </w:rPr>
            </w:pPr>
            <w:r w:rsidRPr="000E51C9">
              <w:rPr>
                <w:rFonts w:eastAsia="Times New Roman"/>
                <w:color w:val="000000"/>
                <w:sz w:val="20"/>
                <w:szCs w:val="20"/>
                <w:lang w:eastAsia="en-US"/>
              </w:rPr>
              <w:t>83.3</w:t>
            </w:r>
          </w:p>
        </w:tc>
        <w:tc>
          <w:tcPr>
            <w:tcW w:w="567" w:type="dxa"/>
            <w:tcBorders>
              <w:right w:val="dashed" w:sz="4" w:space="0" w:color="auto"/>
            </w:tcBorders>
            <w:vAlign w:val="center"/>
          </w:tcPr>
          <w:p w14:paraId="44859ED4" w14:textId="77777777" w:rsidR="00C045B6" w:rsidRPr="000E51C9" w:rsidRDefault="00C045B6" w:rsidP="00C87FB6">
            <w:pPr>
              <w:spacing w:line="240" w:lineRule="auto"/>
              <w:jc w:val="center"/>
              <w:rPr>
                <w:i/>
                <w:sz w:val="20"/>
                <w:szCs w:val="20"/>
              </w:rPr>
            </w:pPr>
            <w:r w:rsidRPr="000E51C9">
              <w:rPr>
                <w:rFonts w:eastAsia="Times New Roman"/>
                <w:bCs/>
                <w:color w:val="000000"/>
                <w:sz w:val="20"/>
                <w:szCs w:val="20"/>
                <w:lang w:eastAsia="en-US"/>
              </w:rPr>
              <w:t>5</w:t>
            </w:r>
          </w:p>
        </w:tc>
        <w:tc>
          <w:tcPr>
            <w:tcW w:w="567" w:type="dxa"/>
            <w:tcBorders>
              <w:left w:val="dashed" w:sz="4" w:space="0" w:color="auto"/>
            </w:tcBorders>
            <w:vAlign w:val="center"/>
          </w:tcPr>
          <w:p w14:paraId="552B1244" w14:textId="77777777" w:rsidR="00C045B6" w:rsidRPr="000E51C9" w:rsidRDefault="00C045B6" w:rsidP="00C87FB6">
            <w:pPr>
              <w:spacing w:line="240" w:lineRule="auto"/>
              <w:jc w:val="center"/>
              <w:rPr>
                <w:i/>
                <w:sz w:val="20"/>
                <w:szCs w:val="20"/>
              </w:rPr>
            </w:pPr>
            <w:r w:rsidRPr="000E51C9">
              <w:rPr>
                <w:rFonts w:eastAsia="Times New Roman"/>
                <w:color w:val="000000"/>
                <w:sz w:val="20"/>
                <w:szCs w:val="20"/>
                <w:lang w:eastAsia="en-US"/>
              </w:rPr>
              <w:t>83.3</w:t>
            </w:r>
          </w:p>
        </w:tc>
        <w:tc>
          <w:tcPr>
            <w:tcW w:w="567" w:type="dxa"/>
            <w:tcBorders>
              <w:right w:val="dashed" w:sz="4" w:space="0" w:color="auto"/>
            </w:tcBorders>
            <w:vAlign w:val="center"/>
          </w:tcPr>
          <w:p w14:paraId="7068A014" w14:textId="77777777" w:rsidR="00C045B6" w:rsidRPr="000E51C9" w:rsidRDefault="00C045B6" w:rsidP="00C87FB6">
            <w:pPr>
              <w:spacing w:line="240" w:lineRule="auto"/>
              <w:jc w:val="center"/>
              <w:rPr>
                <w:i/>
                <w:sz w:val="20"/>
                <w:szCs w:val="20"/>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78D21640" w14:textId="528EFA16" w:rsidR="00C045B6" w:rsidRPr="000E51C9" w:rsidRDefault="00C045B6" w:rsidP="00C87FB6">
            <w:pPr>
              <w:spacing w:line="240" w:lineRule="auto"/>
              <w:jc w:val="center"/>
              <w:rPr>
                <w:sz w:val="20"/>
                <w:szCs w:val="20"/>
              </w:rPr>
            </w:pPr>
            <w:r w:rsidRPr="000E51C9">
              <w:rPr>
                <w:rFonts w:eastAsia="Times New Roman"/>
                <w:bCs/>
                <w:color w:val="000000"/>
                <w:sz w:val="20"/>
                <w:szCs w:val="20"/>
                <w:lang w:eastAsia="en-US"/>
              </w:rPr>
              <w:t>-</w:t>
            </w:r>
          </w:p>
        </w:tc>
        <w:tc>
          <w:tcPr>
            <w:tcW w:w="567" w:type="dxa"/>
            <w:tcBorders>
              <w:right w:val="dashed" w:sz="4" w:space="0" w:color="auto"/>
            </w:tcBorders>
            <w:vAlign w:val="center"/>
          </w:tcPr>
          <w:p w14:paraId="2EAC802D" w14:textId="77777777" w:rsidR="00C045B6" w:rsidRPr="000E51C9" w:rsidRDefault="00C045B6" w:rsidP="00C87FB6">
            <w:pPr>
              <w:spacing w:line="240" w:lineRule="auto"/>
              <w:jc w:val="center"/>
              <w:rPr>
                <w:i/>
                <w:sz w:val="20"/>
                <w:szCs w:val="20"/>
              </w:rPr>
            </w:pPr>
            <w:r w:rsidRPr="000E51C9">
              <w:rPr>
                <w:rFonts w:eastAsia="Times New Roman"/>
                <w:bCs/>
                <w:color w:val="000000"/>
                <w:sz w:val="20"/>
                <w:szCs w:val="20"/>
                <w:lang w:eastAsia="en-US"/>
              </w:rPr>
              <w:t>5</w:t>
            </w:r>
          </w:p>
        </w:tc>
        <w:tc>
          <w:tcPr>
            <w:tcW w:w="567" w:type="dxa"/>
            <w:tcBorders>
              <w:left w:val="dashed" w:sz="4" w:space="0" w:color="auto"/>
            </w:tcBorders>
            <w:vAlign w:val="center"/>
          </w:tcPr>
          <w:p w14:paraId="2ABDF99E" w14:textId="77777777" w:rsidR="00C045B6" w:rsidRPr="000E51C9" w:rsidRDefault="00C045B6" w:rsidP="00C87FB6">
            <w:pPr>
              <w:spacing w:line="240" w:lineRule="auto"/>
              <w:jc w:val="center"/>
              <w:rPr>
                <w:i/>
                <w:sz w:val="20"/>
                <w:szCs w:val="20"/>
              </w:rPr>
            </w:pPr>
            <w:r w:rsidRPr="000E51C9">
              <w:rPr>
                <w:rFonts w:eastAsia="Times New Roman"/>
                <w:color w:val="000000"/>
                <w:sz w:val="20"/>
                <w:szCs w:val="20"/>
                <w:lang w:eastAsia="en-US"/>
              </w:rPr>
              <w:t>83.3</w:t>
            </w:r>
          </w:p>
        </w:tc>
        <w:tc>
          <w:tcPr>
            <w:tcW w:w="567" w:type="dxa"/>
            <w:tcBorders>
              <w:left w:val="dashed" w:sz="4" w:space="0" w:color="auto"/>
              <w:right w:val="dashed" w:sz="4" w:space="0" w:color="auto"/>
            </w:tcBorders>
          </w:tcPr>
          <w:p w14:paraId="551DEFE0" w14:textId="77777777" w:rsidR="00C045B6" w:rsidRPr="000E51C9" w:rsidRDefault="00C045B6" w:rsidP="00C87FB6">
            <w:pPr>
              <w:spacing w:line="240" w:lineRule="auto"/>
              <w:jc w:val="center"/>
              <w:rPr>
                <w:sz w:val="20"/>
                <w:szCs w:val="20"/>
              </w:rPr>
            </w:pPr>
            <w:r w:rsidRPr="000E51C9">
              <w:rPr>
                <w:sz w:val="20"/>
                <w:szCs w:val="20"/>
              </w:rPr>
              <w:t>1</w:t>
            </w:r>
          </w:p>
        </w:tc>
        <w:tc>
          <w:tcPr>
            <w:tcW w:w="567" w:type="dxa"/>
            <w:tcBorders>
              <w:left w:val="dashed" w:sz="4" w:space="0" w:color="auto"/>
            </w:tcBorders>
          </w:tcPr>
          <w:p w14:paraId="7888372B" w14:textId="77777777" w:rsidR="00C045B6" w:rsidRPr="000E51C9" w:rsidRDefault="00C045B6" w:rsidP="00C87FB6">
            <w:pPr>
              <w:spacing w:line="240" w:lineRule="auto"/>
              <w:jc w:val="center"/>
              <w:rPr>
                <w:sz w:val="20"/>
                <w:szCs w:val="20"/>
              </w:rPr>
            </w:pPr>
            <w:r w:rsidRPr="000E51C9">
              <w:rPr>
                <w:sz w:val="20"/>
                <w:szCs w:val="20"/>
              </w:rPr>
              <w:t>16.7</w:t>
            </w:r>
          </w:p>
        </w:tc>
      </w:tr>
      <w:tr w:rsidR="00C045B6" w:rsidRPr="000E51C9" w14:paraId="3193526A" w14:textId="77777777" w:rsidTr="00460D6B">
        <w:trPr>
          <w:trHeight w:val="473"/>
        </w:trPr>
        <w:tc>
          <w:tcPr>
            <w:tcW w:w="959" w:type="dxa"/>
          </w:tcPr>
          <w:p w14:paraId="0EEA1F57" w14:textId="77777777" w:rsidR="00C045B6" w:rsidRPr="000E51C9" w:rsidRDefault="00C045B6" w:rsidP="00C87FB6">
            <w:pPr>
              <w:spacing w:line="240" w:lineRule="auto"/>
              <w:jc w:val="both"/>
              <w:rPr>
                <w:b/>
                <w:sz w:val="20"/>
                <w:szCs w:val="20"/>
              </w:rPr>
            </w:pPr>
            <w:r w:rsidRPr="000E51C9">
              <w:rPr>
                <w:b/>
                <w:sz w:val="20"/>
                <w:szCs w:val="20"/>
              </w:rPr>
              <w:lastRenderedPageBreak/>
              <w:t>Japan</w:t>
            </w:r>
          </w:p>
        </w:tc>
        <w:tc>
          <w:tcPr>
            <w:tcW w:w="709" w:type="dxa"/>
          </w:tcPr>
          <w:p w14:paraId="46C0F79D" w14:textId="77777777" w:rsidR="00C045B6" w:rsidRPr="000E51C9" w:rsidRDefault="00C045B6" w:rsidP="00C87FB6">
            <w:pPr>
              <w:spacing w:line="240" w:lineRule="auto"/>
              <w:jc w:val="center"/>
              <w:rPr>
                <w:sz w:val="20"/>
                <w:szCs w:val="20"/>
              </w:rPr>
            </w:pPr>
            <w:r w:rsidRPr="000E51C9">
              <w:rPr>
                <w:sz w:val="20"/>
                <w:szCs w:val="20"/>
              </w:rPr>
              <w:t>15</w:t>
            </w:r>
          </w:p>
        </w:tc>
        <w:tc>
          <w:tcPr>
            <w:tcW w:w="567" w:type="dxa"/>
            <w:tcBorders>
              <w:right w:val="dashed" w:sz="4" w:space="0" w:color="auto"/>
            </w:tcBorders>
          </w:tcPr>
          <w:p w14:paraId="73E825E9" w14:textId="77777777" w:rsidR="00C045B6" w:rsidRPr="000E51C9" w:rsidRDefault="00C045B6" w:rsidP="00C87FB6">
            <w:pPr>
              <w:spacing w:line="240" w:lineRule="auto"/>
              <w:jc w:val="center"/>
              <w:rPr>
                <w:sz w:val="20"/>
                <w:szCs w:val="20"/>
              </w:rPr>
            </w:pPr>
            <w:r w:rsidRPr="000E51C9">
              <w:rPr>
                <w:sz w:val="20"/>
                <w:szCs w:val="20"/>
              </w:rPr>
              <w:t>12</w:t>
            </w:r>
          </w:p>
        </w:tc>
        <w:tc>
          <w:tcPr>
            <w:tcW w:w="567" w:type="dxa"/>
            <w:tcBorders>
              <w:left w:val="dashed" w:sz="4" w:space="0" w:color="auto"/>
            </w:tcBorders>
          </w:tcPr>
          <w:p w14:paraId="2C0360B8" w14:textId="77777777" w:rsidR="00C045B6" w:rsidRPr="000E51C9" w:rsidRDefault="00C045B6" w:rsidP="00C87FB6">
            <w:pPr>
              <w:spacing w:line="240" w:lineRule="auto"/>
              <w:jc w:val="center"/>
              <w:rPr>
                <w:sz w:val="20"/>
                <w:szCs w:val="20"/>
              </w:rPr>
            </w:pPr>
            <w:r w:rsidRPr="000E51C9">
              <w:rPr>
                <w:sz w:val="20"/>
                <w:szCs w:val="20"/>
              </w:rPr>
              <w:t>80</w:t>
            </w:r>
          </w:p>
        </w:tc>
        <w:tc>
          <w:tcPr>
            <w:tcW w:w="567" w:type="dxa"/>
            <w:tcBorders>
              <w:right w:val="dashed" w:sz="4" w:space="0" w:color="auto"/>
            </w:tcBorders>
          </w:tcPr>
          <w:p w14:paraId="18A23D1A" w14:textId="77777777" w:rsidR="00C045B6" w:rsidRPr="000E51C9" w:rsidRDefault="00C045B6" w:rsidP="00C87FB6">
            <w:pPr>
              <w:spacing w:line="240" w:lineRule="auto"/>
              <w:jc w:val="center"/>
              <w:rPr>
                <w:sz w:val="20"/>
                <w:szCs w:val="20"/>
              </w:rPr>
            </w:pPr>
            <w:r w:rsidRPr="000E51C9">
              <w:rPr>
                <w:sz w:val="20"/>
                <w:szCs w:val="20"/>
              </w:rPr>
              <w:t>11</w:t>
            </w:r>
          </w:p>
        </w:tc>
        <w:tc>
          <w:tcPr>
            <w:tcW w:w="567" w:type="dxa"/>
            <w:tcBorders>
              <w:left w:val="dashed" w:sz="4" w:space="0" w:color="auto"/>
            </w:tcBorders>
          </w:tcPr>
          <w:p w14:paraId="230EC226" w14:textId="77777777" w:rsidR="00C045B6" w:rsidRPr="000E51C9" w:rsidRDefault="00C045B6" w:rsidP="00C87FB6">
            <w:pPr>
              <w:spacing w:line="240" w:lineRule="auto"/>
              <w:jc w:val="center"/>
              <w:rPr>
                <w:sz w:val="20"/>
                <w:szCs w:val="20"/>
              </w:rPr>
            </w:pPr>
            <w:r w:rsidRPr="000E51C9">
              <w:rPr>
                <w:sz w:val="20"/>
                <w:szCs w:val="20"/>
              </w:rPr>
              <w:t>73.3</w:t>
            </w:r>
          </w:p>
        </w:tc>
        <w:tc>
          <w:tcPr>
            <w:tcW w:w="567" w:type="dxa"/>
            <w:tcBorders>
              <w:right w:val="dashed" w:sz="4" w:space="0" w:color="auto"/>
            </w:tcBorders>
          </w:tcPr>
          <w:p w14:paraId="083AEC06" w14:textId="77777777" w:rsidR="00C045B6" w:rsidRPr="000E51C9" w:rsidRDefault="00C045B6" w:rsidP="00C87FB6">
            <w:pPr>
              <w:spacing w:line="240" w:lineRule="auto"/>
              <w:jc w:val="center"/>
              <w:rPr>
                <w:sz w:val="20"/>
                <w:szCs w:val="20"/>
              </w:rPr>
            </w:pPr>
            <w:r w:rsidRPr="000E51C9">
              <w:rPr>
                <w:sz w:val="20"/>
                <w:szCs w:val="20"/>
              </w:rPr>
              <w:t>12</w:t>
            </w:r>
          </w:p>
        </w:tc>
        <w:tc>
          <w:tcPr>
            <w:tcW w:w="567" w:type="dxa"/>
            <w:tcBorders>
              <w:left w:val="dashed" w:sz="4" w:space="0" w:color="auto"/>
            </w:tcBorders>
          </w:tcPr>
          <w:p w14:paraId="577D48D7" w14:textId="77777777" w:rsidR="00C045B6" w:rsidRPr="000E51C9" w:rsidRDefault="00C045B6" w:rsidP="00C87FB6">
            <w:pPr>
              <w:spacing w:line="240" w:lineRule="auto"/>
              <w:jc w:val="center"/>
              <w:rPr>
                <w:sz w:val="20"/>
                <w:szCs w:val="20"/>
              </w:rPr>
            </w:pPr>
            <w:r w:rsidRPr="000E51C9">
              <w:rPr>
                <w:sz w:val="20"/>
                <w:szCs w:val="20"/>
              </w:rPr>
              <w:t>80</w:t>
            </w:r>
          </w:p>
        </w:tc>
        <w:tc>
          <w:tcPr>
            <w:tcW w:w="567" w:type="dxa"/>
            <w:tcBorders>
              <w:right w:val="dashed" w:sz="4" w:space="0" w:color="auto"/>
            </w:tcBorders>
          </w:tcPr>
          <w:p w14:paraId="7C6055D0" w14:textId="77777777" w:rsidR="00C045B6" w:rsidRPr="000E51C9" w:rsidRDefault="00C045B6" w:rsidP="00C87FB6">
            <w:pPr>
              <w:spacing w:line="240" w:lineRule="auto"/>
              <w:jc w:val="center"/>
              <w:rPr>
                <w:sz w:val="20"/>
                <w:szCs w:val="20"/>
              </w:rPr>
            </w:pPr>
            <w:r w:rsidRPr="000E51C9">
              <w:rPr>
                <w:sz w:val="20"/>
                <w:szCs w:val="20"/>
              </w:rPr>
              <w:t>12</w:t>
            </w:r>
          </w:p>
        </w:tc>
        <w:tc>
          <w:tcPr>
            <w:tcW w:w="567" w:type="dxa"/>
            <w:tcBorders>
              <w:left w:val="dashed" w:sz="4" w:space="0" w:color="auto"/>
            </w:tcBorders>
          </w:tcPr>
          <w:p w14:paraId="16C91A7B" w14:textId="77777777" w:rsidR="00C045B6" w:rsidRPr="000E51C9" w:rsidRDefault="00C045B6" w:rsidP="00C87FB6">
            <w:pPr>
              <w:spacing w:line="240" w:lineRule="auto"/>
              <w:jc w:val="center"/>
              <w:rPr>
                <w:sz w:val="20"/>
                <w:szCs w:val="20"/>
              </w:rPr>
            </w:pPr>
            <w:r w:rsidRPr="000E51C9">
              <w:rPr>
                <w:sz w:val="20"/>
                <w:szCs w:val="20"/>
              </w:rPr>
              <w:t>80</w:t>
            </w:r>
          </w:p>
        </w:tc>
        <w:tc>
          <w:tcPr>
            <w:tcW w:w="567" w:type="dxa"/>
            <w:tcBorders>
              <w:right w:val="dashed" w:sz="4" w:space="0" w:color="auto"/>
            </w:tcBorders>
          </w:tcPr>
          <w:p w14:paraId="3C099535" w14:textId="77777777" w:rsidR="00C045B6" w:rsidRPr="000E51C9" w:rsidRDefault="00C045B6" w:rsidP="00C87FB6">
            <w:pPr>
              <w:spacing w:line="240" w:lineRule="auto"/>
              <w:jc w:val="center"/>
              <w:rPr>
                <w:sz w:val="20"/>
                <w:szCs w:val="20"/>
              </w:rPr>
            </w:pPr>
            <w:r w:rsidRPr="000E51C9">
              <w:rPr>
                <w:sz w:val="20"/>
                <w:szCs w:val="20"/>
              </w:rPr>
              <w:t>0</w:t>
            </w:r>
          </w:p>
        </w:tc>
        <w:tc>
          <w:tcPr>
            <w:tcW w:w="567" w:type="dxa"/>
            <w:tcBorders>
              <w:left w:val="dashed" w:sz="4" w:space="0" w:color="auto"/>
            </w:tcBorders>
          </w:tcPr>
          <w:p w14:paraId="56ADF8C1" w14:textId="77777777" w:rsidR="00C045B6" w:rsidRPr="000E51C9" w:rsidRDefault="00C045B6" w:rsidP="00C87FB6">
            <w:pPr>
              <w:spacing w:line="240" w:lineRule="auto"/>
              <w:jc w:val="center"/>
              <w:rPr>
                <w:sz w:val="20"/>
                <w:szCs w:val="20"/>
              </w:rPr>
            </w:pPr>
            <w:r w:rsidRPr="000E51C9">
              <w:rPr>
                <w:sz w:val="20"/>
                <w:szCs w:val="20"/>
              </w:rPr>
              <w:t>-</w:t>
            </w:r>
          </w:p>
        </w:tc>
        <w:tc>
          <w:tcPr>
            <w:tcW w:w="567" w:type="dxa"/>
            <w:tcBorders>
              <w:right w:val="dashed" w:sz="4" w:space="0" w:color="auto"/>
            </w:tcBorders>
          </w:tcPr>
          <w:p w14:paraId="6B2CF088" w14:textId="77777777" w:rsidR="00C045B6" w:rsidRPr="000E51C9" w:rsidRDefault="00C045B6" w:rsidP="00C87FB6">
            <w:pPr>
              <w:spacing w:line="240" w:lineRule="auto"/>
              <w:jc w:val="center"/>
              <w:rPr>
                <w:sz w:val="20"/>
                <w:szCs w:val="20"/>
              </w:rPr>
            </w:pPr>
            <w:r w:rsidRPr="000E51C9">
              <w:rPr>
                <w:sz w:val="20"/>
                <w:szCs w:val="20"/>
              </w:rPr>
              <w:t>10</w:t>
            </w:r>
          </w:p>
        </w:tc>
        <w:tc>
          <w:tcPr>
            <w:tcW w:w="567" w:type="dxa"/>
            <w:tcBorders>
              <w:left w:val="dashed" w:sz="4" w:space="0" w:color="auto"/>
            </w:tcBorders>
          </w:tcPr>
          <w:p w14:paraId="36148B3E" w14:textId="77777777" w:rsidR="00C045B6" w:rsidRPr="000E51C9" w:rsidRDefault="00C045B6" w:rsidP="00C87FB6">
            <w:pPr>
              <w:spacing w:line="240" w:lineRule="auto"/>
              <w:jc w:val="center"/>
              <w:rPr>
                <w:sz w:val="20"/>
                <w:szCs w:val="20"/>
              </w:rPr>
            </w:pPr>
            <w:r w:rsidRPr="000E51C9">
              <w:rPr>
                <w:sz w:val="20"/>
                <w:szCs w:val="20"/>
              </w:rPr>
              <w:t>66.7</w:t>
            </w:r>
          </w:p>
        </w:tc>
        <w:tc>
          <w:tcPr>
            <w:tcW w:w="567" w:type="dxa"/>
            <w:tcBorders>
              <w:left w:val="dashed" w:sz="4" w:space="0" w:color="auto"/>
              <w:right w:val="dashed" w:sz="4" w:space="0" w:color="auto"/>
            </w:tcBorders>
          </w:tcPr>
          <w:p w14:paraId="4D2E8A56" w14:textId="77777777" w:rsidR="00C045B6" w:rsidRPr="000E51C9" w:rsidRDefault="00C045B6" w:rsidP="00C87FB6">
            <w:pPr>
              <w:spacing w:line="240" w:lineRule="auto"/>
              <w:jc w:val="center"/>
              <w:rPr>
                <w:sz w:val="20"/>
                <w:szCs w:val="20"/>
              </w:rPr>
            </w:pPr>
            <w:r w:rsidRPr="000E51C9">
              <w:rPr>
                <w:sz w:val="20"/>
                <w:szCs w:val="20"/>
              </w:rPr>
              <w:t>5</w:t>
            </w:r>
          </w:p>
        </w:tc>
        <w:tc>
          <w:tcPr>
            <w:tcW w:w="567" w:type="dxa"/>
            <w:tcBorders>
              <w:left w:val="dashed" w:sz="4" w:space="0" w:color="auto"/>
            </w:tcBorders>
          </w:tcPr>
          <w:p w14:paraId="0D7DE3A8" w14:textId="77777777" w:rsidR="00C045B6" w:rsidRPr="000E51C9" w:rsidRDefault="00C045B6" w:rsidP="00C87FB6">
            <w:pPr>
              <w:spacing w:line="240" w:lineRule="auto"/>
              <w:jc w:val="center"/>
              <w:rPr>
                <w:sz w:val="20"/>
                <w:szCs w:val="20"/>
              </w:rPr>
            </w:pPr>
            <w:r w:rsidRPr="000E51C9">
              <w:rPr>
                <w:sz w:val="20"/>
                <w:szCs w:val="20"/>
              </w:rPr>
              <w:t>33.3</w:t>
            </w:r>
          </w:p>
        </w:tc>
      </w:tr>
      <w:tr w:rsidR="00C045B6" w:rsidRPr="000E51C9" w14:paraId="3EEE80D7" w14:textId="77777777" w:rsidTr="00460D6B">
        <w:trPr>
          <w:trHeight w:val="473"/>
        </w:trPr>
        <w:tc>
          <w:tcPr>
            <w:tcW w:w="959" w:type="dxa"/>
          </w:tcPr>
          <w:p w14:paraId="7BCD70B0" w14:textId="77777777" w:rsidR="00C045B6" w:rsidRPr="000E51C9" w:rsidRDefault="00C045B6" w:rsidP="00C87FB6">
            <w:pPr>
              <w:spacing w:line="240" w:lineRule="auto"/>
              <w:jc w:val="both"/>
              <w:rPr>
                <w:b/>
                <w:sz w:val="20"/>
                <w:szCs w:val="20"/>
              </w:rPr>
            </w:pPr>
            <w:r w:rsidRPr="000E51C9">
              <w:rPr>
                <w:b/>
                <w:sz w:val="20"/>
                <w:szCs w:val="20"/>
              </w:rPr>
              <w:t>Aust.**</w:t>
            </w:r>
          </w:p>
        </w:tc>
        <w:tc>
          <w:tcPr>
            <w:tcW w:w="709" w:type="dxa"/>
          </w:tcPr>
          <w:p w14:paraId="13691B62" w14:textId="77777777" w:rsidR="00C045B6" w:rsidRPr="000E51C9" w:rsidRDefault="00C045B6" w:rsidP="00C87FB6">
            <w:pPr>
              <w:spacing w:line="240" w:lineRule="auto"/>
              <w:jc w:val="center"/>
              <w:rPr>
                <w:sz w:val="20"/>
                <w:szCs w:val="20"/>
              </w:rPr>
            </w:pPr>
            <w:r w:rsidRPr="000E51C9">
              <w:rPr>
                <w:sz w:val="20"/>
                <w:szCs w:val="20"/>
              </w:rPr>
              <w:t>11</w:t>
            </w:r>
          </w:p>
        </w:tc>
        <w:tc>
          <w:tcPr>
            <w:tcW w:w="567" w:type="dxa"/>
            <w:tcBorders>
              <w:right w:val="dashed" w:sz="4" w:space="0" w:color="auto"/>
            </w:tcBorders>
          </w:tcPr>
          <w:p w14:paraId="424C336D" w14:textId="77777777" w:rsidR="00C045B6" w:rsidRPr="000E51C9" w:rsidRDefault="00C045B6" w:rsidP="00C87FB6">
            <w:pPr>
              <w:spacing w:line="240" w:lineRule="auto"/>
              <w:jc w:val="center"/>
              <w:rPr>
                <w:sz w:val="20"/>
                <w:szCs w:val="20"/>
              </w:rPr>
            </w:pPr>
            <w:r w:rsidRPr="000E51C9">
              <w:rPr>
                <w:sz w:val="20"/>
                <w:szCs w:val="20"/>
              </w:rPr>
              <w:t>11</w:t>
            </w:r>
          </w:p>
        </w:tc>
        <w:tc>
          <w:tcPr>
            <w:tcW w:w="567" w:type="dxa"/>
            <w:tcBorders>
              <w:left w:val="dashed" w:sz="4" w:space="0" w:color="auto"/>
            </w:tcBorders>
          </w:tcPr>
          <w:p w14:paraId="005DB89D" w14:textId="77777777" w:rsidR="00C045B6" w:rsidRPr="000E51C9" w:rsidRDefault="00C045B6" w:rsidP="00C87FB6">
            <w:pPr>
              <w:spacing w:line="240" w:lineRule="auto"/>
              <w:jc w:val="center"/>
              <w:rPr>
                <w:sz w:val="20"/>
                <w:szCs w:val="20"/>
              </w:rPr>
            </w:pPr>
            <w:r w:rsidRPr="000E51C9">
              <w:rPr>
                <w:sz w:val="20"/>
                <w:szCs w:val="20"/>
              </w:rPr>
              <w:t>100</w:t>
            </w:r>
          </w:p>
        </w:tc>
        <w:tc>
          <w:tcPr>
            <w:tcW w:w="567" w:type="dxa"/>
            <w:tcBorders>
              <w:right w:val="dashed" w:sz="4" w:space="0" w:color="auto"/>
            </w:tcBorders>
          </w:tcPr>
          <w:p w14:paraId="2680149C" w14:textId="77777777" w:rsidR="00C045B6" w:rsidRPr="000E51C9" w:rsidRDefault="00C045B6" w:rsidP="00C87FB6">
            <w:pPr>
              <w:spacing w:line="240" w:lineRule="auto"/>
              <w:jc w:val="center"/>
              <w:rPr>
                <w:sz w:val="20"/>
                <w:szCs w:val="20"/>
              </w:rPr>
            </w:pPr>
            <w:r w:rsidRPr="000E51C9">
              <w:rPr>
                <w:sz w:val="20"/>
                <w:szCs w:val="20"/>
              </w:rPr>
              <w:t>9</w:t>
            </w:r>
          </w:p>
        </w:tc>
        <w:tc>
          <w:tcPr>
            <w:tcW w:w="567" w:type="dxa"/>
            <w:tcBorders>
              <w:left w:val="dashed" w:sz="4" w:space="0" w:color="auto"/>
            </w:tcBorders>
          </w:tcPr>
          <w:p w14:paraId="1AA379A5" w14:textId="77777777" w:rsidR="00C045B6" w:rsidRPr="000E51C9" w:rsidRDefault="00C045B6" w:rsidP="00C87FB6">
            <w:pPr>
              <w:spacing w:line="240" w:lineRule="auto"/>
              <w:jc w:val="center"/>
              <w:rPr>
                <w:sz w:val="20"/>
                <w:szCs w:val="20"/>
              </w:rPr>
            </w:pPr>
            <w:r w:rsidRPr="000E51C9">
              <w:rPr>
                <w:sz w:val="20"/>
                <w:szCs w:val="20"/>
              </w:rPr>
              <w:t>81.8</w:t>
            </w:r>
          </w:p>
        </w:tc>
        <w:tc>
          <w:tcPr>
            <w:tcW w:w="567" w:type="dxa"/>
            <w:tcBorders>
              <w:right w:val="dashed" w:sz="4" w:space="0" w:color="auto"/>
            </w:tcBorders>
          </w:tcPr>
          <w:p w14:paraId="0C7E700F" w14:textId="77777777" w:rsidR="00C045B6" w:rsidRPr="000E51C9" w:rsidRDefault="00C045B6" w:rsidP="00C87FB6">
            <w:pPr>
              <w:spacing w:line="240" w:lineRule="auto"/>
              <w:jc w:val="center"/>
              <w:rPr>
                <w:sz w:val="20"/>
                <w:szCs w:val="20"/>
              </w:rPr>
            </w:pPr>
            <w:r w:rsidRPr="000E51C9">
              <w:rPr>
                <w:sz w:val="20"/>
                <w:szCs w:val="20"/>
              </w:rPr>
              <w:t>10</w:t>
            </w:r>
          </w:p>
        </w:tc>
        <w:tc>
          <w:tcPr>
            <w:tcW w:w="567" w:type="dxa"/>
            <w:tcBorders>
              <w:left w:val="dashed" w:sz="4" w:space="0" w:color="auto"/>
            </w:tcBorders>
          </w:tcPr>
          <w:p w14:paraId="699D9D01" w14:textId="77777777" w:rsidR="00C045B6" w:rsidRPr="000E51C9" w:rsidRDefault="00C045B6" w:rsidP="00C87FB6">
            <w:pPr>
              <w:spacing w:line="240" w:lineRule="auto"/>
              <w:jc w:val="center"/>
              <w:rPr>
                <w:sz w:val="20"/>
                <w:szCs w:val="20"/>
              </w:rPr>
            </w:pPr>
            <w:r w:rsidRPr="000E51C9">
              <w:rPr>
                <w:sz w:val="20"/>
                <w:szCs w:val="20"/>
              </w:rPr>
              <w:t>90.9</w:t>
            </w:r>
          </w:p>
        </w:tc>
        <w:tc>
          <w:tcPr>
            <w:tcW w:w="567" w:type="dxa"/>
            <w:tcBorders>
              <w:right w:val="dashed" w:sz="4" w:space="0" w:color="auto"/>
            </w:tcBorders>
          </w:tcPr>
          <w:p w14:paraId="5E9D19FC" w14:textId="77777777" w:rsidR="00C045B6" w:rsidRPr="000E51C9" w:rsidRDefault="00C045B6" w:rsidP="00C87FB6">
            <w:pPr>
              <w:spacing w:line="240" w:lineRule="auto"/>
              <w:jc w:val="center"/>
              <w:rPr>
                <w:sz w:val="20"/>
                <w:szCs w:val="20"/>
              </w:rPr>
            </w:pPr>
            <w:r w:rsidRPr="000E51C9">
              <w:rPr>
                <w:sz w:val="20"/>
                <w:szCs w:val="20"/>
              </w:rPr>
              <w:t>10</w:t>
            </w:r>
          </w:p>
        </w:tc>
        <w:tc>
          <w:tcPr>
            <w:tcW w:w="567" w:type="dxa"/>
            <w:tcBorders>
              <w:left w:val="dashed" w:sz="4" w:space="0" w:color="auto"/>
            </w:tcBorders>
          </w:tcPr>
          <w:p w14:paraId="4BFAC498" w14:textId="77777777" w:rsidR="00C045B6" w:rsidRPr="000E51C9" w:rsidRDefault="00C045B6" w:rsidP="00C87FB6">
            <w:pPr>
              <w:spacing w:line="240" w:lineRule="auto"/>
              <w:jc w:val="center"/>
              <w:rPr>
                <w:sz w:val="20"/>
                <w:szCs w:val="20"/>
              </w:rPr>
            </w:pPr>
            <w:r w:rsidRPr="000E51C9">
              <w:rPr>
                <w:sz w:val="20"/>
                <w:szCs w:val="20"/>
              </w:rPr>
              <w:t>90.9</w:t>
            </w:r>
          </w:p>
        </w:tc>
        <w:tc>
          <w:tcPr>
            <w:tcW w:w="567" w:type="dxa"/>
            <w:tcBorders>
              <w:right w:val="dashed" w:sz="4" w:space="0" w:color="auto"/>
            </w:tcBorders>
          </w:tcPr>
          <w:p w14:paraId="6E54D235" w14:textId="77777777" w:rsidR="00C045B6" w:rsidRPr="000E51C9" w:rsidRDefault="00C045B6" w:rsidP="00C87FB6">
            <w:pPr>
              <w:spacing w:line="240" w:lineRule="auto"/>
              <w:jc w:val="center"/>
              <w:rPr>
                <w:i/>
                <w:sz w:val="20"/>
                <w:szCs w:val="20"/>
              </w:rPr>
            </w:pPr>
            <w:r w:rsidRPr="000E51C9">
              <w:rPr>
                <w:sz w:val="20"/>
                <w:szCs w:val="20"/>
              </w:rPr>
              <w:t>0</w:t>
            </w:r>
          </w:p>
        </w:tc>
        <w:tc>
          <w:tcPr>
            <w:tcW w:w="567" w:type="dxa"/>
            <w:tcBorders>
              <w:left w:val="dashed" w:sz="4" w:space="0" w:color="auto"/>
            </w:tcBorders>
          </w:tcPr>
          <w:p w14:paraId="47113709" w14:textId="77777777" w:rsidR="00C045B6" w:rsidRPr="000E51C9" w:rsidRDefault="00C045B6" w:rsidP="00C87FB6">
            <w:pPr>
              <w:spacing w:line="240" w:lineRule="auto"/>
              <w:jc w:val="center"/>
              <w:rPr>
                <w:i/>
                <w:sz w:val="20"/>
                <w:szCs w:val="20"/>
              </w:rPr>
            </w:pPr>
            <w:r w:rsidRPr="000E51C9">
              <w:rPr>
                <w:sz w:val="20"/>
                <w:szCs w:val="20"/>
              </w:rPr>
              <w:t>-</w:t>
            </w:r>
          </w:p>
        </w:tc>
        <w:tc>
          <w:tcPr>
            <w:tcW w:w="567" w:type="dxa"/>
            <w:tcBorders>
              <w:right w:val="dashed" w:sz="4" w:space="0" w:color="auto"/>
            </w:tcBorders>
          </w:tcPr>
          <w:p w14:paraId="7A7930CD" w14:textId="77777777" w:rsidR="00C045B6" w:rsidRPr="000E51C9" w:rsidRDefault="00C045B6" w:rsidP="00C87FB6">
            <w:pPr>
              <w:spacing w:line="240" w:lineRule="auto"/>
              <w:jc w:val="center"/>
              <w:rPr>
                <w:sz w:val="20"/>
                <w:szCs w:val="20"/>
              </w:rPr>
            </w:pPr>
            <w:r w:rsidRPr="000E51C9">
              <w:rPr>
                <w:sz w:val="20"/>
                <w:szCs w:val="20"/>
              </w:rPr>
              <w:t>6</w:t>
            </w:r>
          </w:p>
        </w:tc>
        <w:tc>
          <w:tcPr>
            <w:tcW w:w="567" w:type="dxa"/>
            <w:tcBorders>
              <w:left w:val="dashed" w:sz="4" w:space="0" w:color="auto"/>
            </w:tcBorders>
          </w:tcPr>
          <w:p w14:paraId="16523531" w14:textId="77777777" w:rsidR="00C045B6" w:rsidRPr="000E51C9" w:rsidRDefault="00C045B6" w:rsidP="00C87FB6">
            <w:pPr>
              <w:spacing w:line="240" w:lineRule="auto"/>
              <w:jc w:val="center"/>
              <w:rPr>
                <w:sz w:val="20"/>
                <w:szCs w:val="20"/>
              </w:rPr>
            </w:pPr>
            <w:r w:rsidRPr="000E51C9">
              <w:rPr>
                <w:sz w:val="20"/>
                <w:szCs w:val="20"/>
              </w:rPr>
              <w:t>55.5</w:t>
            </w:r>
          </w:p>
        </w:tc>
        <w:tc>
          <w:tcPr>
            <w:tcW w:w="567" w:type="dxa"/>
            <w:tcBorders>
              <w:left w:val="dashed" w:sz="4" w:space="0" w:color="auto"/>
              <w:right w:val="dashed" w:sz="4" w:space="0" w:color="auto"/>
            </w:tcBorders>
          </w:tcPr>
          <w:p w14:paraId="6ACF50EB" w14:textId="77777777" w:rsidR="00C045B6" w:rsidRPr="000E51C9" w:rsidRDefault="00C045B6" w:rsidP="00C87FB6">
            <w:pPr>
              <w:spacing w:line="240" w:lineRule="auto"/>
              <w:jc w:val="center"/>
              <w:rPr>
                <w:sz w:val="20"/>
                <w:szCs w:val="20"/>
              </w:rPr>
            </w:pPr>
            <w:r w:rsidRPr="000E51C9">
              <w:rPr>
                <w:sz w:val="20"/>
                <w:szCs w:val="20"/>
              </w:rPr>
              <w:t>4</w:t>
            </w:r>
          </w:p>
        </w:tc>
        <w:tc>
          <w:tcPr>
            <w:tcW w:w="567" w:type="dxa"/>
            <w:tcBorders>
              <w:left w:val="dashed" w:sz="4" w:space="0" w:color="auto"/>
            </w:tcBorders>
          </w:tcPr>
          <w:p w14:paraId="2E604973" w14:textId="77777777" w:rsidR="00C045B6" w:rsidRPr="000E51C9" w:rsidRDefault="00C045B6" w:rsidP="00C87FB6">
            <w:pPr>
              <w:spacing w:line="240" w:lineRule="auto"/>
              <w:jc w:val="center"/>
              <w:rPr>
                <w:sz w:val="20"/>
                <w:szCs w:val="20"/>
              </w:rPr>
            </w:pPr>
            <w:r w:rsidRPr="000E51C9">
              <w:rPr>
                <w:sz w:val="20"/>
                <w:szCs w:val="20"/>
              </w:rPr>
              <w:t>36.6</w:t>
            </w:r>
          </w:p>
        </w:tc>
      </w:tr>
    </w:tbl>
    <w:p w14:paraId="38261AA4" w14:textId="386A7847" w:rsidR="00837D06" w:rsidRPr="000E51C9" w:rsidRDefault="00837D06" w:rsidP="00C87FB6">
      <w:pPr>
        <w:spacing w:line="240" w:lineRule="auto"/>
        <w:jc w:val="both"/>
        <w:rPr>
          <w:sz w:val="20"/>
          <w:szCs w:val="20"/>
        </w:rPr>
      </w:pPr>
      <w:r w:rsidRPr="000E51C9">
        <w:rPr>
          <w:sz w:val="20"/>
          <w:szCs w:val="20"/>
        </w:rPr>
        <w:t xml:space="preserve">* </w:t>
      </w:r>
      <w:r w:rsidR="00B60E2F" w:rsidRPr="000E51C9">
        <w:rPr>
          <w:sz w:val="20"/>
          <w:szCs w:val="20"/>
        </w:rPr>
        <w:t xml:space="preserve">  </w:t>
      </w:r>
      <w:r w:rsidRPr="000E51C9">
        <w:rPr>
          <w:sz w:val="20"/>
          <w:szCs w:val="20"/>
        </w:rPr>
        <w:t xml:space="preserve">ASEAN-India and ASEAN-China were counted with ASEAN agreements only </w:t>
      </w:r>
      <w:r w:rsidR="00F856E4" w:rsidRPr="000E51C9">
        <w:rPr>
          <w:sz w:val="20"/>
          <w:szCs w:val="20"/>
        </w:rPr>
        <w:t>to</w:t>
      </w:r>
      <w:r w:rsidRPr="000E51C9">
        <w:rPr>
          <w:sz w:val="20"/>
          <w:szCs w:val="20"/>
        </w:rPr>
        <w:t xml:space="preserve"> avoid double-counting.</w:t>
      </w:r>
    </w:p>
    <w:p w14:paraId="28D8D90D" w14:textId="1F775D0C" w:rsidR="00837D06" w:rsidRPr="000E51C9" w:rsidRDefault="00837D06" w:rsidP="00C87FB6">
      <w:pPr>
        <w:spacing w:line="240" w:lineRule="auto"/>
        <w:jc w:val="both"/>
        <w:rPr>
          <w:sz w:val="20"/>
          <w:szCs w:val="20"/>
        </w:rPr>
      </w:pPr>
      <w:r w:rsidRPr="000E51C9">
        <w:rPr>
          <w:sz w:val="20"/>
          <w:szCs w:val="20"/>
        </w:rPr>
        <w:t xml:space="preserve">** The FTA with Thailand </w:t>
      </w:r>
      <w:r w:rsidR="0008251F" w:rsidRPr="000E51C9">
        <w:rPr>
          <w:sz w:val="20"/>
          <w:szCs w:val="20"/>
        </w:rPr>
        <w:t xml:space="preserve">includes ISDS but </w:t>
      </w:r>
      <w:r w:rsidRPr="000E51C9">
        <w:rPr>
          <w:sz w:val="20"/>
          <w:szCs w:val="20"/>
        </w:rPr>
        <w:t>does not refer to</w:t>
      </w:r>
      <w:r w:rsidR="00C63B0F" w:rsidRPr="000E51C9">
        <w:rPr>
          <w:sz w:val="20"/>
          <w:szCs w:val="20"/>
        </w:rPr>
        <w:t xml:space="preserve"> the</w:t>
      </w:r>
      <w:r w:rsidRPr="000E51C9">
        <w:rPr>
          <w:sz w:val="20"/>
          <w:szCs w:val="20"/>
        </w:rPr>
        <w:t xml:space="preserve"> ICSID AR</w:t>
      </w:r>
      <w:r w:rsidR="00B60E2F" w:rsidRPr="000E51C9">
        <w:rPr>
          <w:sz w:val="20"/>
          <w:szCs w:val="20"/>
        </w:rPr>
        <w:t>.</w:t>
      </w:r>
      <w:r w:rsidRPr="000E51C9">
        <w:rPr>
          <w:sz w:val="20"/>
          <w:szCs w:val="20"/>
        </w:rPr>
        <w:t xml:space="preserve"> </w:t>
      </w:r>
    </w:p>
    <w:p w14:paraId="220B888A" w14:textId="77777777" w:rsidR="00837D06" w:rsidRPr="000E51C9" w:rsidRDefault="00837D06" w:rsidP="00163F2E">
      <w:pPr>
        <w:spacing w:line="360" w:lineRule="auto"/>
        <w:jc w:val="both"/>
        <w:rPr>
          <w:sz w:val="20"/>
          <w:szCs w:val="20"/>
        </w:rPr>
      </w:pPr>
    </w:p>
    <w:p w14:paraId="4E560AEA" w14:textId="77777777" w:rsidR="007D559F" w:rsidRPr="000E51C9" w:rsidRDefault="007D559F" w:rsidP="00163F2E">
      <w:pPr>
        <w:spacing w:line="360" w:lineRule="auto"/>
        <w:jc w:val="both"/>
        <w:rPr>
          <w:sz w:val="20"/>
          <w:szCs w:val="20"/>
        </w:rPr>
      </w:pPr>
    </w:p>
    <w:p w14:paraId="21CF8F75" w14:textId="0939BAB0" w:rsidR="00837D06" w:rsidRPr="000E51C9" w:rsidRDefault="007D559F" w:rsidP="007D559F">
      <w:pPr>
        <w:pStyle w:val="berschrift2"/>
        <w:spacing w:before="0" w:after="0" w:line="360" w:lineRule="auto"/>
        <w:rPr>
          <w:lang w:val="en-GB"/>
        </w:rPr>
      </w:pPr>
      <w:bookmarkStart w:id="9" w:name="_Toc473051039"/>
      <w:bookmarkStart w:id="10" w:name="_Toc497733682"/>
      <w:r w:rsidRPr="000E51C9">
        <w:rPr>
          <w:rFonts w:cs="Times New Roman"/>
          <w:i/>
          <w:szCs w:val="24"/>
          <w:lang w:val="en-GB"/>
        </w:rPr>
        <w:t xml:space="preserve">X.2.4 </w:t>
      </w:r>
      <w:bookmarkStart w:id="11" w:name="_Toc475435346"/>
      <w:r w:rsidR="00837D06" w:rsidRPr="000E51C9">
        <w:rPr>
          <w:rFonts w:cs="Times New Roman"/>
          <w:i/>
          <w:szCs w:val="24"/>
          <w:lang w:val="en-GB"/>
        </w:rPr>
        <w:t>Latin America</w:t>
      </w:r>
      <w:bookmarkEnd w:id="9"/>
      <w:bookmarkEnd w:id="10"/>
      <w:bookmarkEnd w:id="11"/>
    </w:p>
    <w:p w14:paraId="1017A62D" w14:textId="41395FFD" w:rsidR="007D4F62" w:rsidRPr="000E51C9" w:rsidRDefault="000A607B" w:rsidP="00163F2E">
      <w:pPr>
        <w:spacing w:line="360" w:lineRule="auto"/>
        <w:jc w:val="both"/>
        <w:rPr>
          <w:lang w:eastAsia="zh-CN"/>
        </w:rPr>
      </w:pPr>
      <w:r w:rsidRPr="000E51C9">
        <w:rPr>
          <w:lang w:eastAsia="zh-CN"/>
        </w:rPr>
        <w:t xml:space="preserve">Some </w:t>
      </w:r>
      <w:r w:rsidR="00837D06" w:rsidRPr="000E51C9">
        <w:rPr>
          <w:lang w:eastAsia="zh-CN"/>
        </w:rPr>
        <w:t>Latin American countries have been traditionally cautious about ISDS,</w:t>
      </w:r>
      <w:r w:rsidR="00837D06" w:rsidRPr="000E51C9">
        <w:rPr>
          <w:rStyle w:val="Funotenzeichen"/>
        </w:rPr>
        <w:footnoteReference w:id="82"/>
      </w:r>
      <w:r w:rsidR="00837D06" w:rsidRPr="000E51C9">
        <w:rPr>
          <w:lang w:eastAsia="zh-CN"/>
        </w:rPr>
        <w:t xml:space="preserve"> and their treaty practice remains largely diversified. </w:t>
      </w:r>
      <w:r w:rsidRPr="000E51C9">
        <w:rPr>
          <w:lang w:eastAsia="zh-CN"/>
        </w:rPr>
        <w:t>In order to provide a balance between countries and REIOs and account for ideological difference</w:t>
      </w:r>
      <w:r w:rsidR="00E47FAF" w:rsidRPr="000E51C9">
        <w:rPr>
          <w:lang w:eastAsia="zh-CN"/>
        </w:rPr>
        <w:t>s</w:t>
      </w:r>
      <w:r w:rsidRPr="000E51C9">
        <w:rPr>
          <w:lang w:eastAsia="zh-CN"/>
        </w:rPr>
        <w:t xml:space="preserve"> regarding ISDS, </w:t>
      </w:r>
      <w:r w:rsidR="00837D06" w:rsidRPr="000E51C9">
        <w:rPr>
          <w:lang w:eastAsia="zh-CN"/>
        </w:rPr>
        <w:t>two countries (Brazil and Chile) and two regional blocs (MERCOSUR and CARICOM)</w:t>
      </w:r>
      <w:r w:rsidRPr="000E51C9">
        <w:rPr>
          <w:lang w:eastAsia="zh-CN"/>
        </w:rPr>
        <w:t xml:space="preserve"> have been chosen</w:t>
      </w:r>
      <w:r w:rsidR="00837D06" w:rsidRPr="000E51C9">
        <w:rPr>
          <w:lang w:eastAsia="zh-CN"/>
        </w:rPr>
        <w:t>.</w:t>
      </w:r>
    </w:p>
    <w:p w14:paraId="6DFB2803" w14:textId="68B1A66F" w:rsidR="00837D06" w:rsidRPr="000E51C9" w:rsidRDefault="00837D06" w:rsidP="007D559F">
      <w:pPr>
        <w:spacing w:line="360" w:lineRule="auto"/>
        <w:ind w:firstLine="288"/>
        <w:jc w:val="both"/>
        <w:rPr>
          <w:lang w:eastAsia="zh-CN"/>
        </w:rPr>
      </w:pPr>
      <w:proofErr w:type="spellStart"/>
      <w:r w:rsidRPr="000E51C9">
        <w:rPr>
          <w:lang w:eastAsia="zh-CN"/>
        </w:rPr>
        <w:t>i</w:t>
      </w:r>
      <w:proofErr w:type="spellEnd"/>
      <w:r w:rsidRPr="000E51C9">
        <w:rPr>
          <w:lang w:eastAsia="zh-CN"/>
        </w:rPr>
        <w:t xml:space="preserve">. </w:t>
      </w:r>
      <w:r w:rsidRPr="000E51C9">
        <w:rPr>
          <w:i/>
          <w:lang w:eastAsia="zh-CN"/>
        </w:rPr>
        <w:t xml:space="preserve">Brazil </w:t>
      </w:r>
      <w:r w:rsidR="00FF0676" w:rsidRPr="000E51C9">
        <w:rPr>
          <w:lang w:eastAsia="zh-CN"/>
        </w:rPr>
        <w:t>–</w:t>
      </w:r>
      <w:r w:rsidRPr="000E51C9">
        <w:rPr>
          <w:lang w:eastAsia="zh-CN"/>
        </w:rPr>
        <w:t xml:space="preserve"> </w:t>
      </w:r>
      <w:r w:rsidR="00FF0676" w:rsidRPr="000E51C9">
        <w:rPr>
          <w:lang w:eastAsia="zh-CN"/>
        </w:rPr>
        <w:t xml:space="preserve">Brazil is known for not ratifying its BITs and refraining from </w:t>
      </w:r>
      <w:r w:rsidR="006833B3" w:rsidRPr="000E51C9">
        <w:rPr>
          <w:lang w:eastAsia="zh-CN"/>
        </w:rPr>
        <w:t xml:space="preserve">undertaking </w:t>
      </w:r>
      <w:r w:rsidR="00FF0676" w:rsidRPr="000E51C9">
        <w:rPr>
          <w:lang w:eastAsia="zh-CN"/>
        </w:rPr>
        <w:t xml:space="preserve">international </w:t>
      </w:r>
      <w:r w:rsidR="006833B3" w:rsidRPr="000E51C9">
        <w:rPr>
          <w:lang w:eastAsia="zh-CN"/>
        </w:rPr>
        <w:t>investment commitments</w:t>
      </w:r>
      <w:r w:rsidR="00FF0676" w:rsidRPr="000E51C9">
        <w:rPr>
          <w:lang w:eastAsia="zh-CN"/>
        </w:rPr>
        <w:t xml:space="preserve"> that emulate widely used standards</w:t>
      </w:r>
      <w:r w:rsidR="006833B3" w:rsidRPr="000E51C9">
        <w:rPr>
          <w:lang w:eastAsia="zh-CN"/>
        </w:rPr>
        <w:t>.</w:t>
      </w:r>
      <w:r w:rsidRPr="000E51C9">
        <w:rPr>
          <w:rStyle w:val="Funotenzeichen"/>
        </w:rPr>
        <w:footnoteReference w:id="83"/>
      </w:r>
      <w:r w:rsidRPr="000E51C9">
        <w:rPr>
          <w:lang w:eastAsia="zh-CN"/>
        </w:rPr>
        <w:t xml:space="preserve"> </w:t>
      </w:r>
      <w:r w:rsidR="00FF0676" w:rsidRPr="000E51C9">
        <w:rPr>
          <w:lang w:eastAsia="zh-CN"/>
        </w:rPr>
        <w:t>For example, none of the three bilateral PTAs with</w:t>
      </w:r>
      <w:r w:rsidRPr="000E51C9">
        <w:rPr>
          <w:lang w:eastAsia="zh-CN"/>
        </w:rPr>
        <w:t xml:space="preserve"> Guyana (2001), Mexico (2002) and Surinam</w:t>
      </w:r>
      <w:r w:rsidR="003F596E" w:rsidRPr="000E51C9">
        <w:rPr>
          <w:lang w:eastAsia="zh-CN"/>
        </w:rPr>
        <w:t xml:space="preserve">e (2005) </w:t>
      </w:r>
      <w:r w:rsidRPr="000E51C9">
        <w:rPr>
          <w:lang w:eastAsia="zh-CN"/>
        </w:rPr>
        <w:t xml:space="preserve">contain investment provisions. Nevertheless, </w:t>
      </w:r>
      <w:r w:rsidR="005B6122" w:rsidRPr="000E51C9">
        <w:rPr>
          <w:lang w:eastAsia="zh-CN"/>
        </w:rPr>
        <w:t>lately</w:t>
      </w:r>
      <w:r w:rsidRPr="000E51C9">
        <w:rPr>
          <w:lang w:eastAsia="zh-CN"/>
        </w:rPr>
        <w:t xml:space="preserve"> Brazil has been concluding cooperation and facilitation investment agreements (CFIAs) and has even come up with a new Model BIT, all of which diverge significantly from the mainline of </w:t>
      </w:r>
      <w:r w:rsidR="00486227" w:rsidRPr="000E51C9">
        <w:rPr>
          <w:lang w:eastAsia="zh-CN"/>
        </w:rPr>
        <w:t>international investment agreement (</w:t>
      </w:r>
      <w:r w:rsidRPr="000E51C9">
        <w:rPr>
          <w:lang w:eastAsia="zh-CN"/>
        </w:rPr>
        <w:t>IIA</w:t>
      </w:r>
      <w:r w:rsidR="00486227" w:rsidRPr="000E51C9">
        <w:rPr>
          <w:lang w:eastAsia="zh-CN"/>
        </w:rPr>
        <w:t>)</w:t>
      </w:r>
      <w:r w:rsidRPr="000E51C9">
        <w:rPr>
          <w:lang w:eastAsia="zh-CN"/>
        </w:rPr>
        <w:t xml:space="preserve"> drafting.</w:t>
      </w:r>
      <w:r w:rsidR="00EA662F" w:rsidRPr="000E51C9">
        <w:rPr>
          <w:rStyle w:val="Funotenzeichen"/>
        </w:rPr>
        <w:footnoteReference w:id="84"/>
      </w:r>
      <w:r w:rsidRPr="000E51C9">
        <w:rPr>
          <w:lang w:eastAsia="zh-CN"/>
        </w:rPr>
        <w:t xml:space="preserve"> </w:t>
      </w:r>
      <w:r w:rsidR="006833B3" w:rsidRPr="000E51C9">
        <w:rPr>
          <w:lang w:eastAsia="zh-CN"/>
        </w:rPr>
        <w:t xml:space="preserve">However, </w:t>
      </w:r>
      <w:r w:rsidR="00105018" w:rsidRPr="000E51C9">
        <w:rPr>
          <w:lang w:eastAsia="zh-CN"/>
        </w:rPr>
        <w:t xml:space="preserve">neither the CFIAs nor the Model BIT </w:t>
      </w:r>
      <w:r w:rsidRPr="000E51C9">
        <w:rPr>
          <w:lang w:eastAsia="zh-CN"/>
        </w:rPr>
        <w:t xml:space="preserve">  </w:t>
      </w:r>
      <w:r w:rsidR="000F7A72" w:rsidRPr="000E51C9">
        <w:rPr>
          <w:lang w:eastAsia="zh-CN"/>
        </w:rPr>
        <w:t>include</w:t>
      </w:r>
      <w:r w:rsidRPr="000E51C9">
        <w:rPr>
          <w:lang w:eastAsia="zh-CN"/>
        </w:rPr>
        <w:t xml:space="preserve"> preferential trade </w:t>
      </w:r>
      <w:r w:rsidR="006833B3" w:rsidRPr="000E51C9">
        <w:rPr>
          <w:lang w:eastAsia="zh-CN"/>
        </w:rPr>
        <w:t>arrangements</w:t>
      </w:r>
      <w:r w:rsidRPr="000E51C9">
        <w:rPr>
          <w:lang w:eastAsia="zh-CN"/>
        </w:rPr>
        <w:t xml:space="preserve">, and are </w:t>
      </w:r>
      <w:r w:rsidR="00B036E9" w:rsidRPr="000E51C9">
        <w:rPr>
          <w:lang w:eastAsia="zh-CN"/>
        </w:rPr>
        <w:t xml:space="preserve">thus </w:t>
      </w:r>
      <w:r w:rsidRPr="000E51C9">
        <w:rPr>
          <w:lang w:eastAsia="zh-CN"/>
        </w:rPr>
        <w:t xml:space="preserve">beyond the objective scope of this </w:t>
      </w:r>
      <w:r w:rsidR="0068111B" w:rsidRPr="000E51C9">
        <w:rPr>
          <w:lang w:eastAsia="zh-CN"/>
        </w:rPr>
        <w:t>chapter</w:t>
      </w:r>
      <w:r w:rsidRPr="000E51C9">
        <w:rPr>
          <w:lang w:eastAsia="zh-CN"/>
        </w:rPr>
        <w:t>.</w:t>
      </w:r>
      <w:r w:rsidR="00C10B80" w:rsidRPr="000E51C9">
        <w:rPr>
          <w:lang w:eastAsia="zh-CN"/>
        </w:rPr>
        <w:t xml:space="preserve"> Furthermore, they still refrain from including investor-state arbitration. </w:t>
      </w:r>
    </w:p>
    <w:p w14:paraId="573AFC91" w14:textId="7DBC39B4" w:rsidR="00837D06" w:rsidRPr="000E51C9" w:rsidRDefault="00837D06" w:rsidP="007D559F">
      <w:pPr>
        <w:spacing w:line="360" w:lineRule="auto"/>
        <w:ind w:firstLine="288"/>
        <w:jc w:val="both"/>
        <w:rPr>
          <w:lang w:eastAsia="zh-CN"/>
        </w:rPr>
      </w:pPr>
      <w:r w:rsidRPr="000E51C9">
        <w:rPr>
          <w:lang w:eastAsia="zh-CN"/>
        </w:rPr>
        <w:t xml:space="preserve">ii. </w:t>
      </w:r>
      <w:r w:rsidRPr="000E51C9">
        <w:rPr>
          <w:i/>
          <w:lang w:eastAsia="zh-CN"/>
        </w:rPr>
        <w:t xml:space="preserve">Chile </w:t>
      </w:r>
      <w:r w:rsidRPr="000E51C9">
        <w:rPr>
          <w:lang w:eastAsia="zh-CN"/>
        </w:rPr>
        <w:t>– Unlike Brazil, Chile has been actively concluding PTAs. Several of them are presented in other geographical blocs and will not be counted here.</w:t>
      </w:r>
      <w:r w:rsidRPr="000E51C9">
        <w:rPr>
          <w:rStyle w:val="Funotenzeichen"/>
        </w:rPr>
        <w:footnoteReference w:id="85"/>
      </w:r>
      <w:r w:rsidRPr="000E51C9">
        <w:rPr>
          <w:lang w:eastAsia="zh-CN"/>
        </w:rPr>
        <w:t xml:space="preserve"> For the remaining 14 agreements, one may observe the following distinctive traits. First, five agreements (35.7%) contain traditional investment chapters, with the core standards of protection and ISDS</w:t>
      </w:r>
      <w:r w:rsidR="004E5C17" w:rsidRPr="000E51C9">
        <w:rPr>
          <w:lang w:eastAsia="zh-CN"/>
        </w:rPr>
        <w:t xml:space="preserve"> </w:t>
      </w:r>
      <w:r w:rsidR="00DB3994" w:rsidRPr="000E51C9">
        <w:rPr>
          <w:lang w:eastAsia="zh-CN"/>
        </w:rPr>
        <w:lastRenderedPageBreak/>
        <w:t xml:space="preserve">consistently </w:t>
      </w:r>
      <w:r w:rsidRPr="000E51C9">
        <w:rPr>
          <w:lang w:eastAsia="zh-CN"/>
        </w:rPr>
        <w:t>preserved from the late 1990s.</w:t>
      </w:r>
      <w:r w:rsidRPr="000E51C9">
        <w:rPr>
          <w:rStyle w:val="Funotenzeichen"/>
        </w:rPr>
        <w:footnoteReference w:id="86"/>
      </w:r>
      <w:r w:rsidRPr="000E51C9">
        <w:rPr>
          <w:lang w:eastAsia="zh-CN"/>
        </w:rPr>
        <w:t xml:space="preserve"> Second, a couple of Chilean PTAs, such as the </w:t>
      </w:r>
      <w:proofErr w:type="spellStart"/>
      <w:r w:rsidRPr="000E51C9">
        <w:rPr>
          <w:lang w:eastAsia="zh-CN"/>
        </w:rPr>
        <w:t>plurilateral</w:t>
      </w:r>
      <w:proofErr w:type="spellEnd"/>
      <w:r w:rsidRPr="000E51C9">
        <w:rPr>
          <w:lang w:eastAsia="zh-CN"/>
        </w:rPr>
        <w:t xml:space="preserve"> FTA with Central American states (1999)</w:t>
      </w:r>
      <w:r w:rsidRPr="000E51C9">
        <w:rPr>
          <w:rStyle w:val="Funotenzeichen"/>
        </w:rPr>
        <w:footnoteReference w:id="87"/>
      </w:r>
      <w:r w:rsidRPr="000E51C9">
        <w:rPr>
          <w:lang w:eastAsia="zh-CN"/>
        </w:rPr>
        <w:t xml:space="preserve"> and the b</w:t>
      </w:r>
      <w:r w:rsidR="00B84A61" w:rsidRPr="000E51C9">
        <w:rPr>
          <w:lang w:eastAsia="zh-CN"/>
        </w:rPr>
        <w:t>ilateral FTA with Panama (2006)</w:t>
      </w:r>
      <w:r w:rsidRPr="000E51C9">
        <w:rPr>
          <w:rStyle w:val="Funotenzeichen"/>
        </w:rPr>
        <w:footnoteReference w:id="88"/>
      </w:r>
      <w:proofErr w:type="gramStart"/>
      <w:r w:rsidR="003D7359" w:rsidRPr="000E51C9">
        <w:rPr>
          <w:lang w:eastAsia="zh-CN"/>
        </w:rPr>
        <w:t>,</w:t>
      </w:r>
      <w:proofErr w:type="gramEnd"/>
      <w:r w:rsidRPr="000E51C9">
        <w:rPr>
          <w:lang w:eastAsia="zh-CN"/>
        </w:rPr>
        <w:t xml:space="preserve"> refer to </w:t>
      </w:r>
      <w:r w:rsidR="00DB3994" w:rsidRPr="000E51C9">
        <w:rPr>
          <w:lang w:eastAsia="zh-CN"/>
        </w:rPr>
        <w:t xml:space="preserve">existing </w:t>
      </w:r>
      <w:r w:rsidRPr="000E51C9">
        <w:rPr>
          <w:lang w:eastAsia="zh-CN"/>
        </w:rPr>
        <w:t xml:space="preserve">BITs instead of </w:t>
      </w:r>
      <w:r w:rsidR="00DB3994" w:rsidRPr="000E51C9">
        <w:rPr>
          <w:lang w:eastAsia="zh-CN"/>
        </w:rPr>
        <w:t xml:space="preserve">including </w:t>
      </w:r>
      <w:r w:rsidRPr="000E51C9">
        <w:rPr>
          <w:lang w:eastAsia="zh-CN"/>
        </w:rPr>
        <w:t xml:space="preserve">investment chapters. </w:t>
      </w:r>
      <w:r w:rsidR="0053346C" w:rsidRPr="000E51C9">
        <w:rPr>
          <w:lang w:eastAsia="zh-CN"/>
        </w:rPr>
        <w:t>Third,</w:t>
      </w:r>
      <w:r w:rsidRPr="000E51C9">
        <w:rPr>
          <w:lang w:eastAsia="zh-CN"/>
        </w:rPr>
        <w:t xml:space="preserve"> the most recent Chilean bilateral </w:t>
      </w:r>
      <w:r w:rsidR="00433BA7" w:rsidRPr="000E51C9">
        <w:rPr>
          <w:lang w:eastAsia="zh-CN"/>
        </w:rPr>
        <w:t>PTAs</w:t>
      </w:r>
      <w:r w:rsidRPr="000E51C9">
        <w:rPr>
          <w:lang w:eastAsia="zh-CN"/>
        </w:rPr>
        <w:t xml:space="preserve"> show a tendency of </w:t>
      </w:r>
      <w:r w:rsidR="00DB3994" w:rsidRPr="000E51C9">
        <w:rPr>
          <w:lang w:eastAsia="zh-CN"/>
        </w:rPr>
        <w:t xml:space="preserve">putting </w:t>
      </w:r>
      <w:r w:rsidRPr="000E51C9">
        <w:rPr>
          <w:lang w:eastAsia="zh-CN"/>
        </w:rPr>
        <w:t>investment chapters aside during the original negotiations, while leaving an anchor for further consultations.</w:t>
      </w:r>
      <w:r w:rsidRPr="000E51C9">
        <w:rPr>
          <w:rStyle w:val="Funotenzeichen"/>
        </w:rPr>
        <w:footnoteReference w:id="89"/>
      </w:r>
      <w:r w:rsidRPr="000E51C9">
        <w:rPr>
          <w:lang w:eastAsia="zh-CN"/>
        </w:rPr>
        <w:t xml:space="preserve"> </w:t>
      </w:r>
      <w:r w:rsidR="00642ED4" w:rsidRPr="000E51C9">
        <w:rPr>
          <w:lang w:eastAsia="zh-CN"/>
        </w:rPr>
        <w:t xml:space="preserve">This approach might shorten the time needed to negotiate </w:t>
      </w:r>
      <w:proofErr w:type="gramStart"/>
      <w:r w:rsidR="004E5C17" w:rsidRPr="000E51C9">
        <w:rPr>
          <w:lang w:eastAsia="zh-CN"/>
        </w:rPr>
        <w:t>FTAs,</w:t>
      </w:r>
      <w:proofErr w:type="gramEnd"/>
      <w:r w:rsidR="00642ED4" w:rsidRPr="000E51C9">
        <w:rPr>
          <w:lang w:eastAsia="zh-CN"/>
        </w:rPr>
        <w:t xml:space="preserve"> while Chile’s </w:t>
      </w:r>
      <w:r w:rsidRPr="000E51C9">
        <w:rPr>
          <w:lang w:eastAsia="zh-CN"/>
        </w:rPr>
        <w:t xml:space="preserve">strong domestic protection of foreign investment </w:t>
      </w:r>
      <w:r w:rsidR="00642ED4" w:rsidRPr="000E51C9">
        <w:rPr>
          <w:lang w:eastAsia="zh-CN"/>
        </w:rPr>
        <w:t xml:space="preserve">can provide adequate protection to foreign investors until </w:t>
      </w:r>
      <w:r w:rsidR="00EB7FAE" w:rsidRPr="000E51C9">
        <w:rPr>
          <w:lang w:eastAsia="zh-CN"/>
        </w:rPr>
        <w:t>subsequent</w:t>
      </w:r>
      <w:r w:rsidR="00642ED4" w:rsidRPr="000E51C9">
        <w:rPr>
          <w:lang w:eastAsia="zh-CN"/>
        </w:rPr>
        <w:t xml:space="preserve"> BITs are concluded.</w:t>
      </w:r>
      <w:r w:rsidRPr="000E51C9">
        <w:rPr>
          <w:rStyle w:val="Funotenzeichen"/>
        </w:rPr>
        <w:footnoteReference w:id="90"/>
      </w:r>
      <w:r w:rsidRPr="000E51C9">
        <w:rPr>
          <w:lang w:eastAsia="zh-CN"/>
        </w:rPr>
        <w:t xml:space="preserve"> </w:t>
      </w:r>
    </w:p>
    <w:p w14:paraId="0CF81BB9" w14:textId="0BC72D16" w:rsidR="00837D06" w:rsidRPr="000E51C9" w:rsidRDefault="00837D06" w:rsidP="007D559F">
      <w:pPr>
        <w:spacing w:line="360" w:lineRule="auto"/>
        <w:ind w:firstLine="288"/>
        <w:jc w:val="both"/>
        <w:rPr>
          <w:lang w:eastAsia="zh-CN"/>
        </w:rPr>
      </w:pPr>
      <w:r w:rsidRPr="000E51C9">
        <w:rPr>
          <w:lang w:eastAsia="zh-CN"/>
        </w:rPr>
        <w:t xml:space="preserve">iv. </w:t>
      </w:r>
      <w:r w:rsidRPr="000E51C9">
        <w:rPr>
          <w:i/>
          <w:lang w:eastAsia="zh-CN"/>
        </w:rPr>
        <w:t xml:space="preserve">MERCOSUR </w:t>
      </w:r>
      <w:r w:rsidRPr="000E51C9">
        <w:rPr>
          <w:lang w:eastAsia="zh-CN"/>
        </w:rPr>
        <w:t>- In the observed period, MERCOSUR has concluded a significant number of PTAs (12), none of which contain investment chapters. In a few cases (</w:t>
      </w:r>
      <w:r w:rsidR="00720394" w:rsidRPr="000E51C9">
        <w:rPr>
          <w:lang w:eastAsia="zh-CN"/>
        </w:rPr>
        <w:t>four</w:t>
      </w:r>
      <w:r w:rsidR="003D7359" w:rsidRPr="000E51C9">
        <w:rPr>
          <w:lang w:eastAsia="zh-CN"/>
        </w:rPr>
        <w:t>,</w:t>
      </w:r>
      <w:r w:rsidRPr="000E51C9">
        <w:rPr>
          <w:lang w:eastAsia="zh-CN"/>
        </w:rPr>
        <w:t xml:space="preserve"> 33.3%) the agreements mention the need to promote and encourage investments or conclude BITs in the future, without further elaboration.</w:t>
      </w:r>
      <w:r w:rsidRPr="000E51C9">
        <w:rPr>
          <w:rStyle w:val="Funotenzeichen"/>
        </w:rPr>
        <w:footnoteReference w:id="91"/>
      </w:r>
    </w:p>
    <w:p w14:paraId="254C41E7" w14:textId="73195EC3" w:rsidR="00837D06" w:rsidRPr="000E51C9" w:rsidRDefault="00837D06" w:rsidP="007D559F">
      <w:pPr>
        <w:spacing w:line="360" w:lineRule="auto"/>
        <w:ind w:firstLine="288"/>
        <w:jc w:val="both"/>
        <w:rPr>
          <w:lang w:eastAsia="zh-CN"/>
        </w:rPr>
      </w:pPr>
      <w:r w:rsidRPr="000E51C9">
        <w:rPr>
          <w:lang w:eastAsia="zh-CN"/>
        </w:rPr>
        <w:t xml:space="preserve">v. </w:t>
      </w:r>
      <w:r w:rsidRPr="000E51C9">
        <w:rPr>
          <w:i/>
          <w:lang w:eastAsia="zh-CN"/>
        </w:rPr>
        <w:t>CARICOM</w:t>
      </w:r>
      <w:r w:rsidRPr="000E51C9">
        <w:rPr>
          <w:lang w:eastAsia="zh-CN"/>
        </w:rPr>
        <w:t xml:space="preserve"> - On the contrary, the treaty practice of CARICOM progressively leans towards hard investment commitments</w:t>
      </w:r>
      <w:r w:rsidR="007636F7" w:rsidRPr="000E51C9">
        <w:rPr>
          <w:lang w:eastAsia="zh-CN"/>
        </w:rPr>
        <w:t xml:space="preserve">. Of the five PTAs concluded by CARICOM, four were included in the statistics; </w:t>
      </w:r>
      <w:r w:rsidRPr="000E51C9">
        <w:rPr>
          <w:lang w:eastAsia="zh-CN"/>
        </w:rPr>
        <w:t xml:space="preserve">the PTA with the EU </w:t>
      </w:r>
      <w:r w:rsidR="007636F7" w:rsidRPr="000E51C9">
        <w:rPr>
          <w:lang w:eastAsia="zh-CN"/>
        </w:rPr>
        <w:t>was</w:t>
      </w:r>
      <w:r w:rsidRPr="000E51C9">
        <w:rPr>
          <w:lang w:eastAsia="zh-CN"/>
        </w:rPr>
        <w:t xml:space="preserve"> counted a</w:t>
      </w:r>
      <w:r w:rsidR="007636F7" w:rsidRPr="000E51C9">
        <w:rPr>
          <w:lang w:eastAsia="zh-CN"/>
        </w:rPr>
        <w:t>s an EU agreement.</w:t>
      </w:r>
      <w:r w:rsidRPr="000E51C9">
        <w:rPr>
          <w:rStyle w:val="Funotenzeichen"/>
        </w:rPr>
        <w:footnoteReference w:id="92"/>
      </w:r>
      <w:r w:rsidRPr="000E51C9">
        <w:rPr>
          <w:lang w:eastAsia="zh-CN"/>
        </w:rPr>
        <w:t xml:space="preserve"> </w:t>
      </w:r>
      <w:r w:rsidR="00F856E4" w:rsidRPr="000E51C9">
        <w:rPr>
          <w:lang w:eastAsia="zh-CN"/>
        </w:rPr>
        <w:t>Several</w:t>
      </w:r>
      <w:r w:rsidRPr="000E51C9">
        <w:rPr>
          <w:lang w:eastAsia="zh-CN"/>
        </w:rPr>
        <w:t xml:space="preserve"> </w:t>
      </w:r>
      <w:r w:rsidR="00097C47" w:rsidRPr="000E51C9">
        <w:rPr>
          <w:lang w:eastAsia="zh-CN"/>
        </w:rPr>
        <w:t xml:space="preserve">other </w:t>
      </w:r>
      <w:r w:rsidRPr="000E51C9">
        <w:rPr>
          <w:lang w:eastAsia="zh-CN"/>
        </w:rPr>
        <w:t>agreements (CARICOM-Central American Integration System</w:t>
      </w:r>
      <w:r w:rsidR="003D7359" w:rsidRPr="000E51C9">
        <w:rPr>
          <w:lang w:eastAsia="zh-CN"/>
        </w:rPr>
        <w:t xml:space="preserve"> and</w:t>
      </w:r>
      <w:r w:rsidRPr="000E51C9">
        <w:rPr>
          <w:lang w:eastAsia="zh-CN"/>
        </w:rPr>
        <w:t xml:space="preserve"> </w:t>
      </w:r>
      <w:r w:rsidR="00097C47" w:rsidRPr="000E51C9">
        <w:rPr>
          <w:lang w:eastAsia="zh-CN"/>
        </w:rPr>
        <w:t xml:space="preserve">PTIAs with </w:t>
      </w:r>
      <w:r w:rsidRPr="000E51C9">
        <w:rPr>
          <w:lang w:eastAsia="zh-CN"/>
        </w:rPr>
        <w:t>MERCOSUR</w:t>
      </w:r>
      <w:r w:rsidR="00097C47" w:rsidRPr="000E51C9">
        <w:rPr>
          <w:lang w:eastAsia="zh-CN"/>
        </w:rPr>
        <w:t xml:space="preserve"> </w:t>
      </w:r>
      <w:r w:rsidRPr="000E51C9">
        <w:rPr>
          <w:lang w:eastAsia="zh-CN"/>
        </w:rPr>
        <w:t xml:space="preserve">and US) are </w:t>
      </w:r>
      <w:r w:rsidR="007636F7" w:rsidRPr="000E51C9">
        <w:rPr>
          <w:lang w:eastAsia="zh-CN"/>
        </w:rPr>
        <w:t>under negotiation</w:t>
      </w:r>
      <w:r w:rsidR="00097C47" w:rsidRPr="000E51C9">
        <w:rPr>
          <w:lang w:eastAsia="zh-CN"/>
        </w:rPr>
        <w:t xml:space="preserve"> without </w:t>
      </w:r>
      <w:r w:rsidRPr="000E51C9">
        <w:rPr>
          <w:lang w:eastAsia="zh-CN"/>
        </w:rPr>
        <w:t xml:space="preserve">draft texts </w:t>
      </w:r>
      <w:r w:rsidR="00097C47" w:rsidRPr="000E51C9">
        <w:rPr>
          <w:lang w:eastAsia="zh-CN"/>
        </w:rPr>
        <w:t xml:space="preserve">being </w:t>
      </w:r>
      <w:r w:rsidR="007636F7" w:rsidRPr="000E51C9">
        <w:rPr>
          <w:lang w:eastAsia="zh-CN"/>
        </w:rPr>
        <w:t>available. The</w:t>
      </w:r>
      <w:r w:rsidR="00EA055D" w:rsidRPr="000E51C9">
        <w:rPr>
          <w:lang w:eastAsia="zh-CN"/>
        </w:rPr>
        <w:t xml:space="preserve"> PTA with Canada was</w:t>
      </w:r>
      <w:r w:rsidR="007636F7" w:rsidRPr="000E51C9">
        <w:rPr>
          <w:lang w:eastAsia="zh-CN"/>
        </w:rPr>
        <w:t xml:space="preserve"> not included since negotiations broke down between the parties. The draft text, however, includes both investment protection provisions and broad access to ISDS.</w:t>
      </w:r>
    </w:p>
    <w:p w14:paraId="79890F82" w14:textId="5A81339D" w:rsidR="00837D06" w:rsidRPr="000E51C9" w:rsidRDefault="00837D06" w:rsidP="007D559F">
      <w:pPr>
        <w:spacing w:line="360" w:lineRule="auto"/>
        <w:ind w:firstLine="288"/>
        <w:jc w:val="both"/>
        <w:rPr>
          <w:lang w:eastAsia="zh-CN"/>
        </w:rPr>
      </w:pPr>
      <w:r w:rsidRPr="000E51C9">
        <w:rPr>
          <w:lang w:eastAsia="zh-CN"/>
        </w:rPr>
        <w:lastRenderedPageBreak/>
        <w:t>Of the remaining four agreements, the first agreement is a rather early and traditional PTA with Colombia (1994), which mentions only encouragement of investments.</w:t>
      </w:r>
      <w:r w:rsidRPr="000E51C9">
        <w:rPr>
          <w:rStyle w:val="Funotenzeichen"/>
        </w:rPr>
        <w:footnoteReference w:id="93"/>
      </w:r>
      <w:r w:rsidRPr="000E51C9">
        <w:rPr>
          <w:lang w:eastAsia="zh-CN"/>
        </w:rPr>
        <w:t xml:space="preserve"> The FTAs with the Dominican Republic (1998) and Cuba (2000)</w:t>
      </w:r>
      <w:r w:rsidRPr="000E51C9">
        <w:rPr>
          <w:rStyle w:val="Funotenzeichen"/>
        </w:rPr>
        <w:footnoteReference w:id="94"/>
      </w:r>
      <w:r w:rsidRPr="000E51C9">
        <w:rPr>
          <w:lang w:eastAsia="zh-CN"/>
        </w:rPr>
        <w:t xml:space="preserve"> have investment chapters included as integral annexes. Nonetheless, the FTA with the Dominican Republic lacks ISDS provisions</w:t>
      </w:r>
      <w:r w:rsidR="00B819A2" w:rsidRPr="000E51C9">
        <w:rPr>
          <w:lang w:eastAsia="zh-CN"/>
        </w:rPr>
        <w:t xml:space="preserve"> and includes only </w:t>
      </w:r>
      <w:r w:rsidRPr="000E51C9">
        <w:rPr>
          <w:lang w:eastAsia="zh-CN"/>
        </w:rPr>
        <w:t>domestic dispute settlement procedures.</w:t>
      </w:r>
      <w:r w:rsidRPr="000E51C9">
        <w:rPr>
          <w:rStyle w:val="Funotenzeichen"/>
        </w:rPr>
        <w:footnoteReference w:id="95"/>
      </w:r>
      <w:r w:rsidRPr="000E51C9">
        <w:rPr>
          <w:lang w:eastAsia="zh-CN"/>
        </w:rPr>
        <w:t xml:space="preserve"> The FTA with Cuba contains a rather </w:t>
      </w:r>
      <w:r w:rsidR="00097C47" w:rsidRPr="000E51C9">
        <w:rPr>
          <w:lang w:eastAsia="zh-CN"/>
        </w:rPr>
        <w:t xml:space="preserve">unique </w:t>
      </w:r>
      <w:r w:rsidRPr="000E51C9">
        <w:rPr>
          <w:lang w:eastAsia="zh-CN"/>
        </w:rPr>
        <w:t>reference to an ‘international arbitrator’ or UNCITRAL arbitration.</w:t>
      </w:r>
      <w:r w:rsidRPr="000E51C9">
        <w:rPr>
          <w:rStyle w:val="Funotenzeichen"/>
        </w:rPr>
        <w:footnoteReference w:id="96"/>
      </w:r>
      <w:r w:rsidRPr="000E51C9">
        <w:rPr>
          <w:lang w:eastAsia="zh-CN"/>
        </w:rPr>
        <w:t xml:space="preserve"> </w:t>
      </w:r>
      <w:r w:rsidR="008C27B7" w:rsidRPr="000E51C9">
        <w:rPr>
          <w:lang w:eastAsia="zh-CN"/>
        </w:rPr>
        <w:t>T</w:t>
      </w:r>
      <w:r w:rsidRPr="000E51C9">
        <w:rPr>
          <w:lang w:eastAsia="zh-CN"/>
        </w:rPr>
        <w:t xml:space="preserve">he inclusion of Washington-based ICSID would have </w:t>
      </w:r>
      <w:r w:rsidR="00EE72F2" w:rsidRPr="000E51C9">
        <w:rPr>
          <w:lang w:eastAsia="zh-CN"/>
        </w:rPr>
        <w:t xml:space="preserve">probably </w:t>
      </w:r>
      <w:r w:rsidRPr="000E51C9">
        <w:rPr>
          <w:lang w:eastAsia="zh-CN"/>
        </w:rPr>
        <w:t xml:space="preserve">turned problematic given the past tensions between the US and Cuba. The subsequent FTA with Costa Rica (2004) contains an investment chapter with a full set of observed guarantees and broad access to ISDS. </w:t>
      </w:r>
    </w:p>
    <w:p w14:paraId="16461EDA" w14:textId="74544B4E" w:rsidR="00837D06" w:rsidRPr="000E51C9" w:rsidRDefault="00837D06" w:rsidP="007D559F">
      <w:pPr>
        <w:spacing w:line="360" w:lineRule="auto"/>
        <w:ind w:firstLine="288"/>
        <w:jc w:val="both"/>
        <w:rPr>
          <w:lang w:eastAsia="zh-CN"/>
        </w:rPr>
      </w:pPr>
      <w:r w:rsidRPr="000E51C9">
        <w:rPr>
          <w:lang w:eastAsia="zh-CN"/>
        </w:rPr>
        <w:t xml:space="preserve">From a statistical standpoint, three of the four observed agreements (75%) include the core protection standards, while </w:t>
      </w:r>
      <w:r w:rsidR="00017BD9" w:rsidRPr="000E51C9">
        <w:rPr>
          <w:lang w:eastAsia="zh-CN"/>
        </w:rPr>
        <w:t>access to ISDS is lacking in two agreements</w:t>
      </w:r>
      <w:r w:rsidRPr="000E51C9">
        <w:rPr>
          <w:lang w:eastAsia="zh-CN"/>
        </w:rPr>
        <w:t xml:space="preserve"> (50%).</w:t>
      </w:r>
    </w:p>
    <w:p w14:paraId="4D5FFD2C" w14:textId="39007FE8" w:rsidR="006D3D09" w:rsidRPr="000E51C9" w:rsidRDefault="006D3D09" w:rsidP="007D559F">
      <w:pPr>
        <w:spacing w:line="360" w:lineRule="auto"/>
        <w:ind w:firstLine="288"/>
        <w:jc w:val="both"/>
        <w:rPr>
          <w:lang w:eastAsia="zh-CN"/>
        </w:rPr>
      </w:pPr>
      <w:r w:rsidRPr="000E51C9">
        <w:rPr>
          <w:lang w:eastAsia="zh-CN"/>
        </w:rPr>
        <w:t xml:space="preserve">In conclusion, </w:t>
      </w:r>
      <w:r w:rsidR="001A0D88" w:rsidRPr="000E51C9">
        <w:rPr>
          <w:lang w:eastAsia="zh-CN"/>
        </w:rPr>
        <w:t xml:space="preserve">the data shows that Chile and CARICOM are open to the inclusion of investment chapters into their PTAs. Nevertheless, recent Chilean PTAs defer investment protection to further negotiations. </w:t>
      </w:r>
      <w:r w:rsidR="00F714CB" w:rsidRPr="000E51C9">
        <w:rPr>
          <w:lang w:eastAsia="zh-CN"/>
        </w:rPr>
        <w:t xml:space="preserve">On the other hand, </w:t>
      </w:r>
      <w:r w:rsidR="001A0D88" w:rsidRPr="000E51C9">
        <w:rPr>
          <w:lang w:eastAsia="zh-CN"/>
        </w:rPr>
        <w:t>Brazil and MERCOSUR, to which Brazil is a party, prefer not to include any investment provisions, especially ISDS, in their PTAs.</w:t>
      </w:r>
    </w:p>
    <w:p w14:paraId="61D8768A" w14:textId="77777777" w:rsidR="00681F27" w:rsidRPr="000E51C9" w:rsidRDefault="00681F27" w:rsidP="00163F2E">
      <w:pPr>
        <w:spacing w:line="360" w:lineRule="auto"/>
        <w:jc w:val="both"/>
        <w:rPr>
          <w:b/>
          <w:sz w:val="20"/>
          <w:szCs w:val="20"/>
        </w:rPr>
      </w:pPr>
    </w:p>
    <w:p w14:paraId="03C6A657" w14:textId="33660218" w:rsidR="00A8620D" w:rsidRPr="000E51C9" w:rsidRDefault="003D7359" w:rsidP="00681F27">
      <w:pPr>
        <w:spacing w:line="240" w:lineRule="auto"/>
        <w:jc w:val="both"/>
        <w:rPr>
          <w:b/>
          <w:sz w:val="20"/>
          <w:szCs w:val="20"/>
        </w:rPr>
      </w:pPr>
      <w:r w:rsidRPr="000E51C9">
        <w:rPr>
          <w:b/>
          <w:sz w:val="20"/>
          <w:szCs w:val="20"/>
        </w:rPr>
        <w:t>Table X.</w:t>
      </w:r>
      <w:r w:rsidR="00A8620D" w:rsidRPr="000E51C9">
        <w:rPr>
          <w:b/>
          <w:sz w:val="20"/>
          <w:szCs w:val="20"/>
        </w:rPr>
        <w:t xml:space="preserve">3 </w:t>
      </w:r>
      <w:r w:rsidR="00A8620D" w:rsidRPr="000E51C9">
        <w:rPr>
          <w:sz w:val="20"/>
          <w:szCs w:val="20"/>
        </w:rPr>
        <w:t>Post-NAFTA Latin American PTAs</w:t>
      </w:r>
    </w:p>
    <w:tbl>
      <w:tblPr>
        <w:tblStyle w:val="Tabellenraster"/>
        <w:tblW w:w="9606" w:type="dxa"/>
        <w:tblLayout w:type="fixed"/>
        <w:tblLook w:val="04A0" w:firstRow="1" w:lastRow="0" w:firstColumn="1" w:lastColumn="0" w:noHBand="0" w:noVBand="1"/>
      </w:tblPr>
      <w:tblGrid>
        <w:gridCol w:w="959"/>
        <w:gridCol w:w="709"/>
        <w:gridCol w:w="567"/>
        <w:gridCol w:w="567"/>
        <w:gridCol w:w="567"/>
        <w:gridCol w:w="567"/>
        <w:gridCol w:w="567"/>
        <w:gridCol w:w="567"/>
        <w:gridCol w:w="567"/>
        <w:gridCol w:w="567"/>
        <w:gridCol w:w="567"/>
        <w:gridCol w:w="567"/>
        <w:gridCol w:w="567"/>
        <w:gridCol w:w="567"/>
        <w:gridCol w:w="567"/>
        <w:gridCol w:w="567"/>
      </w:tblGrid>
      <w:tr w:rsidR="00A8620D" w:rsidRPr="000E51C9" w14:paraId="4A80769D" w14:textId="77777777" w:rsidTr="00460D6B">
        <w:trPr>
          <w:trHeight w:val="379"/>
        </w:trPr>
        <w:tc>
          <w:tcPr>
            <w:tcW w:w="959" w:type="dxa"/>
            <w:vMerge w:val="restart"/>
          </w:tcPr>
          <w:p w14:paraId="5D046A2E" w14:textId="77777777" w:rsidR="00A8620D" w:rsidRPr="000E51C9" w:rsidRDefault="00A8620D" w:rsidP="00681F27">
            <w:pPr>
              <w:spacing w:line="240" w:lineRule="auto"/>
              <w:jc w:val="both"/>
              <w:rPr>
                <w:b/>
                <w:sz w:val="20"/>
                <w:szCs w:val="20"/>
              </w:rPr>
            </w:pPr>
            <w:r w:rsidRPr="000E51C9">
              <w:rPr>
                <w:b/>
                <w:sz w:val="20"/>
                <w:szCs w:val="20"/>
              </w:rPr>
              <w:t>States</w:t>
            </w:r>
            <w:r w:rsidR="0014629F" w:rsidRPr="000E51C9">
              <w:rPr>
                <w:b/>
                <w:sz w:val="20"/>
                <w:szCs w:val="20"/>
              </w:rPr>
              <w:t>/</w:t>
            </w:r>
          </w:p>
          <w:p w14:paraId="3EC19904" w14:textId="0D6A5DB3" w:rsidR="0014629F" w:rsidRPr="000E51C9" w:rsidRDefault="0014629F" w:rsidP="00681F27">
            <w:pPr>
              <w:spacing w:line="240" w:lineRule="auto"/>
              <w:jc w:val="both"/>
              <w:rPr>
                <w:b/>
                <w:sz w:val="20"/>
                <w:szCs w:val="20"/>
              </w:rPr>
            </w:pPr>
            <w:r w:rsidRPr="000E51C9">
              <w:rPr>
                <w:b/>
                <w:sz w:val="20"/>
                <w:szCs w:val="20"/>
              </w:rPr>
              <w:t>REIOs</w:t>
            </w:r>
          </w:p>
        </w:tc>
        <w:tc>
          <w:tcPr>
            <w:tcW w:w="709" w:type="dxa"/>
            <w:vMerge w:val="restart"/>
          </w:tcPr>
          <w:p w14:paraId="241811BC" w14:textId="77777777" w:rsidR="00A8620D" w:rsidRPr="000E51C9" w:rsidRDefault="00A8620D" w:rsidP="00681F27">
            <w:pPr>
              <w:spacing w:line="240" w:lineRule="auto"/>
              <w:jc w:val="center"/>
              <w:rPr>
                <w:b/>
                <w:sz w:val="20"/>
                <w:szCs w:val="20"/>
              </w:rPr>
            </w:pPr>
            <w:r w:rsidRPr="000E51C9">
              <w:rPr>
                <w:b/>
                <w:sz w:val="20"/>
                <w:szCs w:val="20"/>
              </w:rPr>
              <w:t>PTA</w:t>
            </w:r>
          </w:p>
        </w:tc>
        <w:tc>
          <w:tcPr>
            <w:tcW w:w="4536" w:type="dxa"/>
            <w:gridSpan w:val="8"/>
          </w:tcPr>
          <w:p w14:paraId="4A6D269F" w14:textId="77777777" w:rsidR="00A8620D" w:rsidRPr="000E51C9" w:rsidRDefault="00A8620D" w:rsidP="00681F27">
            <w:pPr>
              <w:spacing w:line="240" w:lineRule="auto"/>
              <w:jc w:val="center"/>
              <w:rPr>
                <w:b/>
                <w:sz w:val="20"/>
                <w:szCs w:val="20"/>
              </w:rPr>
            </w:pPr>
            <w:r w:rsidRPr="000E51C9">
              <w:rPr>
                <w:b/>
                <w:sz w:val="20"/>
                <w:szCs w:val="20"/>
              </w:rPr>
              <w:t xml:space="preserve">Standards of investment protection </w:t>
            </w:r>
          </w:p>
        </w:tc>
        <w:tc>
          <w:tcPr>
            <w:tcW w:w="3402" w:type="dxa"/>
            <w:gridSpan w:val="6"/>
          </w:tcPr>
          <w:p w14:paraId="586F8CFC" w14:textId="77777777" w:rsidR="00A8620D" w:rsidRPr="000E51C9" w:rsidRDefault="00A8620D" w:rsidP="00681F27">
            <w:pPr>
              <w:spacing w:line="240" w:lineRule="auto"/>
              <w:jc w:val="center"/>
              <w:rPr>
                <w:b/>
                <w:sz w:val="20"/>
                <w:szCs w:val="20"/>
              </w:rPr>
            </w:pPr>
            <w:r w:rsidRPr="000E51C9">
              <w:rPr>
                <w:b/>
                <w:sz w:val="20"/>
                <w:szCs w:val="20"/>
              </w:rPr>
              <w:t>ISDS</w:t>
            </w:r>
          </w:p>
        </w:tc>
      </w:tr>
      <w:tr w:rsidR="00A8620D" w:rsidRPr="000E51C9" w14:paraId="7A309A1A" w14:textId="77777777" w:rsidTr="00460D6B">
        <w:trPr>
          <w:trHeight w:val="215"/>
        </w:trPr>
        <w:tc>
          <w:tcPr>
            <w:tcW w:w="959" w:type="dxa"/>
            <w:vMerge/>
          </w:tcPr>
          <w:p w14:paraId="3D53416C" w14:textId="77777777" w:rsidR="00A8620D" w:rsidRPr="000E51C9" w:rsidRDefault="00A8620D" w:rsidP="00681F27">
            <w:pPr>
              <w:spacing w:line="240" w:lineRule="auto"/>
              <w:jc w:val="both"/>
              <w:rPr>
                <w:b/>
                <w:sz w:val="20"/>
                <w:szCs w:val="20"/>
              </w:rPr>
            </w:pPr>
          </w:p>
        </w:tc>
        <w:tc>
          <w:tcPr>
            <w:tcW w:w="709" w:type="dxa"/>
            <w:vMerge/>
          </w:tcPr>
          <w:p w14:paraId="3E01A4A6" w14:textId="77777777" w:rsidR="00A8620D" w:rsidRPr="000E51C9" w:rsidRDefault="00A8620D" w:rsidP="00681F27">
            <w:pPr>
              <w:spacing w:line="240" w:lineRule="auto"/>
              <w:jc w:val="both"/>
              <w:rPr>
                <w:b/>
                <w:sz w:val="20"/>
                <w:szCs w:val="20"/>
              </w:rPr>
            </w:pPr>
          </w:p>
        </w:tc>
        <w:tc>
          <w:tcPr>
            <w:tcW w:w="1134" w:type="dxa"/>
            <w:gridSpan w:val="2"/>
          </w:tcPr>
          <w:p w14:paraId="60165B08" w14:textId="77777777" w:rsidR="00A8620D" w:rsidRPr="000E51C9" w:rsidRDefault="00A8620D" w:rsidP="00681F27">
            <w:pPr>
              <w:spacing w:line="240" w:lineRule="auto"/>
              <w:jc w:val="center"/>
              <w:rPr>
                <w:b/>
                <w:sz w:val="20"/>
                <w:szCs w:val="20"/>
              </w:rPr>
            </w:pPr>
            <w:r w:rsidRPr="000E51C9">
              <w:rPr>
                <w:b/>
                <w:sz w:val="20"/>
                <w:szCs w:val="20"/>
              </w:rPr>
              <w:t>NT</w:t>
            </w:r>
          </w:p>
        </w:tc>
        <w:tc>
          <w:tcPr>
            <w:tcW w:w="1134" w:type="dxa"/>
            <w:gridSpan w:val="2"/>
          </w:tcPr>
          <w:p w14:paraId="54AF1CDE" w14:textId="77777777" w:rsidR="00A8620D" w:rsidRPr="000E51C9" w:rsidRDefault="00A8620D" w:rsidP="00681F27">
            <w:pPr>
              <w:spacing w:line="240" w:lineRule="auto"/>
              <w:jc w:val="center"/>
              <w:rPr>
                <w:b/>
                <w:sz w:val="20"/>
                <w:szCs w:val="20"/>
              </w:rPr>
            </w:pPr>
            <w:r w:rsidRPr="000E51C9">
              <w:rPr>
                <w:b/>
                <w:sz w:val="20"/>
                <w:szCs w:val="20"/>
              </w:rPr>
              <w:t>MFN</w:t>
            </w:r>
          </w:p>
        </w:tc>
        <w:tc>
          <w:tcPr>
            <w:tcW w:w="1134" w:type="dxa"/>
            <w:gridSpan w:val="2"/>
          </w:tcPr>
          <w:p w14:paraId="5CF35E1E" w14:textId="77777777" w:rsidR="00A8620D" w:rsidRPr="000E51C9" w:rsidRDefault="00A8620D" w:rsidP="00681F27">
            <w:pPr>
              <w:spacing w:line="240" w:lineRule="auto"/>
              <w:jc w:val="center"/>
              <w:rPr>
                <w:b/>
                <w:sz w:val="20"/>
                <w:szCs w:val="20"/>
              </w:rPr>
            </w:pPr>
            <w:proofErr w:type="spellStart"/>
            <w:r w:rsidRPr="000E51C9">
              <w:rPr>
                <w:b/>
                <w:sz w:val="20"/>
                <w:szCs w:val="20"/>
              </w:rPr>
              <w:t>Exprop</w:t>
            </w:r>
            <w:proofErr w:type="spellEnd"/>
            <w:r w:rsidRPr="000E51C9">
              <w:rPr>
                <w:b/>
                <w:sz w:val="20"/>
                <w:szCs w:val="20"/>
              </w:rPr>
              <w:t>.</w:t>
            </w:r>
          </w:p>
        </w:tc>
        <w:tc>
          <w:tcPr>
            <w:tcW w:w="1134" w:type="dxa"/>
            <w:gridSpan w:val="2"/>
          </w:tcPr>
          <w:p w14:paraId="7F6E8D32" w14:textId="77777777" w:rsidR="00A8620D" w:rsidRPr="000E51C9" w:rsidRDefault="00A8620D" w:rsidP="00681F27">
            <w:pPr>
              <w:spacing w:line="240" w:lineRule="auto"/>
              <w:jc w:val="center"/>
              <w:rPr>
                <w:b/>
                <w:sz w:val="20"/>
                <w:szCs w:val="20"/>
              </w:rPr>
            </w:pPr>
            <w:r w:rsidRPr="000E51C9">
              <w:rPr>
                <w:b/>
                <w:sz w:val="20"/>
                <w:szCs w:val="20"/>
              </w:rPr>
              <w:t>Extra</w:t>
            </w:r>
          </w:p>
        </w:tc>
        <w:tc>
          <w:tcPr>
            <w:tcW w:w="1134" w:type="dxa"/>
            <w:gridSpan w:val="2"/>
          </w:tcPr>
          <w:p w14:paraId="4F2BB15F" w14:textId="77777777" w:rsidR="00A8620D" w:rsidRPr="000E51C9" w:rsidRDefault="00A8620D" w:rsidP="00681F27">
            <w:pPr>
              <w:spacing w:line="240" w:lineRule="auto"/>
              <w:ind w:right="-108"/>
              <w:jc w:val="both"/>
              <w:rPr>
                <w:b/>
                <w:sz w:val="20"/>
                <w:szCs w:val="20"/>
              </w:rPr>
            </w:pPr>
            <w:r w:rsidRPr="000E51C9">
              <w:rPr>
                <w:b/>
                <w:sz w:val="20"/>
                <w:szCs w:val="20"/>
              </w:rPr>
              <w:t>Just ICSID</w:t>
            </w:r>
          </w:p>
        </w:tc>
        <w:tc>
          <w:tcPr>
            <w:tcW w:w="1134" w:type="dxa"/>
            <w:gridSpan w:val="2"/>
          </w:tcPr>
          <w:p w14:paraId="5A406D3D" w14:textId="77777777" w:rsidR="00A8620D" w:rsidRPr="000E51C9" w:rsidRDefault="00A8620D" w:rsidP="00681F27">
            <w:pPr>
              <w:spacing w:line="240" w:lineRule="auto"/>
              <w:jc w:val="both"/>
              <w:rPr>
                <w:b/>
                <w:sz w:val="20"/>
                <w:szCs w:val="20"/>
              </w:rPr>
            </w:pPr>
            <w:r w:rsidRPr="000E51C9">
              <w:rPr>
                <w:b/>
                <w:sz w:val="20"/>
                <w:szCs w:val="20"/>
              </w:rPr>
              <w:t>ICSID +</w:t>
            </w:r>
          </w:p>
        </w:tc>
        <w:tc>
          <w:tcPr>
            <w:tcW w:w="1134" w:type="dxa"/>
            <w:gridSpan w:val="2"/>
          </w:tcPr>
          <w:p w14:paraId="74ABB44B" w14:textId="77777777" w:rsidR="00A8620D" w:rsidRPr="000E51C9" w:rsidRDefault="00A8620D" w:rsidP="00681F27">
            <w:pPr>
              <w:spacing w:line="240" w:lineRule="auto"/>
              <w:jc w:val="both"/>
              <w:rPr>
                <w:b/>
                <w:sz w:val="20"/>
                <w:szCs w:val="20"/>
              </w:rPr>
            </w:pPr>
            <w:r w:rsidRPr="000E51C9">
              <w:rPr>
                <w:b/>
                <w:sz w:val="20"/>
                <w:szCs w:val="20"/>
              </w:rPr>
              <w:t>No ISDS</w:t>
            </w:r>
          </w:p>
        </w:tc>
      </w:tr>
      <w:tr w:rsidR="00A8620D" w:rsidRPr="000E51C9" w14:paraId="71875DA0" w14:textId="77777777" w:rsidTr="00460D6B">
        <w:trPr>
          <w:trHeight w:val="215"/>
        </w:trPr>
        <w:tc>
          <w:tcPr>
            <w:tcW w:w="959" w:type="dxa"/>
            <w:vMerge/>
          </w:tcPr>
          <w:p w14:paraId="3594D733" w14:textId="77777777" w:rsidR="00A8620D" w:rsidRPr="000E51C9" w:rsidRDefault="00A8620D" w:rsidP="00681F27">
            <w:pPr>
              <w:spacing w:line="240" w:lineRule="auto"/>
              <w:jc w:val="both"/>
              <w:rPr>
                <w:b/>
                <w:sz w:val="20"/>
                <w:szCs w:val="20"/>
              </w:rPr>
            </w:pPr>
          </w:p>
        </w:tc>
        <w:tc>
          <w:tcPr>
            <w:tcW w:w="709" w:type="dxa"/>
            <w:vMerge/>
          </w:tcPr>
          <w:p w14:paraId="2A108DD4" w14:textId="77777777" w:rsidR="00A8620D" w:rsidRPr="000E51C9" w:rsidRDefault="00A8620D" w:rsidP="00681F27">
            <w:pPr>
              <w:spacing w:line="240" w:lineRule="auto"/>
              <w:jc w:val="both"/>
              <w:rPr>
                <w:b/>
                <w:sz w:val="20"/>
                <w:szCs w:val="20"/>
              </w:rPr>
            </w:pPr>
          </w:p>
        </w:tc>
        <w:tc>
          <w:tcPr>
            <w:tcW w:w="567" w:type="dxa"/>
          </w:tcPr>
          <w:p w14:paraId="581DD0BC" w14:textId="77777777" w:rsidR="00A8620D" w:rsidRPr="000E51C9" w:rsidRDefault="00A8620D" w:rsidP="00681F27">
            <w:pPr>
              <w:spacing w:line="240" w:lineRule="auto"/>
              <w:jc w:val="center"/>
              <w:rPr>
                <w:sz w:val="20"/>
                <w:szCs w:val="20"/>
              </w:rPr>
            </w:pPr>
            <w:r w:rsidRPr="000E51C9">
              <w:rPr>
                <w:sz w:val="20"/>
                <w:szCs w:val="20"/>
              </w:rPr>
              <w:t>No.</w:t>
            </w:r>
          </w:p>
        </w:tc>
        <w:tc>
          <w:tcPr>
            <w:tcW w:w="567" w:type="dxa"/>
          </w:tcPr>
          <w:p w14:paraId="0ADDAA85" w14:textId="77777777" w:rsidR="00A8620D" w:rsidRPr="000E51C9" w:rsidRDefault="00A8620D" w:rsidP="00681F27">
            <w:pPr>
              <w:spacing w:line="240" w:lineRule="auto"/>
              <w:jc w:val="center"/>
              <w:rPr>
                <w:b/>
                <w:sz w:val="20"/>
                <w:szCs w:val="20"/>
              </w:rPr>
            </w:pPr>
            <w:r w:rsidRPr="000E51C9">
              <w:rPr>
                <w:b/>
                <w:sz w:val="20"/>
                <w:szCs w:val="20"/>
              </w:rPr>
              <w:t>%</w:t>
            </w:r>
          </w:p>
        </w:tc>
        <w:tc>
          <w:tcPr>
            <w:tcW w:w="567" w:type="dxa"/>
          </w:tcPr>
          <w:p w14:paraId="74E36B35" w14:textId="77777777" w:rsidR="00A8620D" w:rsidRPr="000E51C9" w:rsidRDefault="00A8620D" w:rsidP="00681F27">
            <w:pPr>
              <w:spacing w:line="240" w:lineRule="auto"/>
              <w:jc w:val="center"/>
              <w:rPr>
                <w:b/>
                <w:sz w:val="20"/>
                <w:szCs w:val="20"/>
              </w:rPr>
            </w:pPr>
            <w:r w:rsidRPr="000E51C9">
              <w:rPr>
                <w:sz w:val="20"/>
                <w:szCs w:val="20"/>
              </w:rPr>
              <w:t>No.</w:t>
            </w:r>
          </w:p>
        </w:tc>
        <w:tc>
          <w:tcPr>
            <w:tcW w:w="567" w:type="dxa"/>
          </w:tcPr>
          <w:p w14:paraId="5394C79D" w14:textId="77777777" w:rsidR="00A8620D" w:rsidRPr="000E51C9" w:rsidRDefault="00A8620D" w:rsidP="00681F27">
            <w:pPr>
              <w:spacing w:line="240" w:lineRule="auto"/>
              <w:jc w:val="center"/>
              <w:rPr>
                <w:b/>
                <w:sz w:val="20"/>
                <w:szCs w:val="20"/>
              </w:rPr>
            </w:pPr>
            <w:r w:rsidRPr="000E51C9">
              <w:rPr>
                <w:b/>
                <w:sz w:val="20"/>
                <w:szCs w:val="20"/>
              </w:rPr>
              <w:t>%</w:t>
            </w:r>
          </w:p>
        </w:tc>
        <w:tc>
          <w:tcPr>
            <w:tcW w:w="567" w:type="dxa"/>
          </w:tcPr>
          <w:p w14:paraId="0DBAB984" w14:textId="77777777" w:rsidR="00A8620D" w:rsidRPr="000E51C9" w:rsidRDefault="00A8620D" w:rsidP="00681F27">
            <w:pPr>
              <w:spacing w:line="240" w:lineRule="auto"/>
              <w:jc w:val="center"/>
              <w:rPr>
                <w:b/>
                <w:sz w:val="20"/>
                <w:szCs w:val="20"/>
              </w:rPr>
            </w:pPr>
            <w:r w:rsidRPr="000E51C9">
              <w:rPr>
                <w:sz w:val="20"/>
                <w:szCs w:val="20"/>
              </w:rPr>
              <w:t>No.</w:t>
            </w:r>
          </w:p>
        </w:tc>
        <w:tc>
          <w:tcPr>
            <w:tcW w:w="567" w:type="dxa"/>
          </w:tcPr>
          <w:p w14:paraId="4F6BAA82" w14:textId="77777777" w:rsidR="00A8620D" w:rsidRPr="000E51C9" w:rsidRDefault="00A8620D" w:rsidP="00681F27">
            <w:pPr>
              <w:spacing w:line="240" w:lineRule="auto"/>
              <w:jc w:val="center"/>
              <w:rPr>
                <w:b/>
                <w:sz w:val="20"/>
                <w:szCs w:val="20"/>
              </w:rPr>
            </w:pPr>
            <w:r w:rsidRPr="000E51C9">
              <w:rPr>
                <w:b/>
                <w:sz w:val="20"/>
                <w:szCs w:val="20"/>
              </w:rPr>
              <w:t>%</w:t>
            </w:r>
          </w:p>
        </w:tc>
        <w:tc>
          <w:tcPr>
            <w:tcW w:w="567" w:type="dxa"/>
          </w:tcPr>
          <w:p w14:paraId="707927D9" w14:textId="77777777" w:rsidR="00A8620D" w:rsidRPr="000E51C9" w:rsidRDefault="00A8620D" w:rsidP="00681F27">
            <w:pPr>
              <w:spacing w:line="240" w:lineRule="auto"/>
              <w:jc w:val="center"/>
              <w:rPr>
                <w:b/>
                <w:sz w:val="20"/>
                <w:szCs w:val="20"/>
              </w:rPr>
            </w:pPr>
            <w:r w:rsidRPr="000E51C9">
              <w:rPr>
                <w:sz w:val="20"/>
                <w:szCs w:val="20"/>
              </w:rPr>
              <w:t>No.</w:t>
            </w:r>
          </w:p>
        </w:tc>
        <w:tc>
          <w:tcPr>
            <w:tcW w:w="567" w:type="dxa"/>
          </w:tcPr>
          <w:p w14:paraId="72FA9BE0" w14:textId="77777777" w:rsidR="00A8620D" w:rsidRPr="000E51C9" w:rsidRDefault="00A8620D" w:rsidP="00681F27">
            <w:pPr>
              <w:spacing w:line="240" w:lineRule="auto"/>
              <w:jc w:val="center"/>
              <w:rPr>
                <w:b/>
                <w:sz w:val="20"/>
                <w:szCs w:val="20"/>
              </w:rPr>
            </w:pPr>
            <w:r w:rsidRPr="000E51C9">
              <w:rPr>
                <w:b/>
                <w:sz w:val="20"/>
                <w:szCs w:val="20"/>
              </w:rPr>
              <w:t>%</w:t>
            </w:r>
          </w:p>
        </w:tc>
        <w:tc>
          <w:tcPr>
            <w:tcW w:w="567" w:type="dxa"/>
          </w:tcPr>
          <w:p w14:paraId="133ADDBC" w14:textId="77777777" w:rsidR="00A8620D" w:rsidRPr="000E51C9" w:rsidRDefault="00A8620D" w:rsidP="00681F27">
            <w:pPr>
              <w:spacing w:line="240" w:lineRule="auto"/>
              <w:jc w:val="center"/>
              <w:rPr>
                <w:b/>
                <w:sz w:val="20"/>
                <w:szCs w:val="20"/>
              </w:rPr>
            </w:pPr>
            <w:r w:rsidRPr="000E51C9">
              <w:rPr>
                <w:sz w:val="20"/>
                <w:szCs w:val="20"/>
              </w:rPr>
              <w:t>No.</w:t>
            </w:r>
          </w:p>
        </w:tc>
        <w:tc>
          <w:tcPr>
            <w:tcW w:w="567" w:type="dxa"/>
          </w:tcPr>
          <w:p w14:paraId="5459246D" w14:textId="77777777" w:rsidR="00A8620D" w:rsidRPr="000E51C9" w:rsidRDefault="00A8620D" w:rsidP="00681F27">
            <w:pPr>
              <w:spacing w:line="240" w:lineRule="auto"/>
              <w:jc w:val="center"/>
              <w:rPr>
                <w:b/>
                <w:sz w:val="20"/>
                <w:szCs w:val="20"/>
              </w:rPr>
            </w:pPr>
            <w:r w:rsidRPr="000E51C9">
              <w:rPr>
                <w:b/>
                <w:sz w:val="20"/>
                <w:szCs w:val="20"/>
              </w:rPr>
              <w:t>%</w:t>
            </w:r>
          </w:p>
        </w:tc>
        <w:tc>
          <w:tcPr>
            <w:tcW w:w="567" w:type="dxa"/>
          </w:tcPr>
          <w:p w14:paraId="7AD74D19" w14:textId="77777777" w:rsidR="00A8620D" w:rsidRPr="000E51C9" w:rsidRDefault="00A8620D" w:rsidP="00681F27">
            <w:pPr>
              <w:spacing w:line="240" w:lineRule="auto"/>
              <w:jc w:val="center"/>
              <w:rPr>
                <w:b/>
                <w:sz w:val="20"/>
                <w:szCs w:val="20"/>
              </w:rPr>
            </w:pPr>
            <w:r w:rsidRPr="000E51C9">
              <w:rPr>
                <w:sz w:val="20"/>
                <w:szCs w:val="20"/>
              </w:rPr>
              <w:t>No.</w:t>
            </w:r>
          </w:p>
        </w:tc>
        <w:tc>
          <w:tcPr>
            <w:tcW w:w="567" w:type="dxa"/>
          </w:tcPr>
          <w:p w14:paraId="30B5C0AD" w14:textId="77777777" w:rsidR="00A8620D" w:rsidRPr="000E51C9" w:rsidRDefault="00A8620D" w:rsidP="00681F27">
            <w:pPr>
              <w:spacing w:line="240" w:lineRule="auto"/>
              <w:jc w:val="center"/>
              <w:rPr>
                <w:b/>
                <w:sz w:val="20"/>
                <w:szCs w:val="20"/>
              </w:rPr>
            </w:pPr>
            <w:r w:rsidRPr="000E51C9">
              <w:rPr>
                <w:b/>
                <w:sz w:val="20"/>
                <w:szCs w:val="20"/>
              </w:rPr>
              <w:t>%</w:t>
            </w:r>
          </w:p>
        </w:tc>
        <w:tc>
          <w:tcPr>
            <w:tcW w:w="567" w:type="dxa"/>
          </w:tcPr>
          <w:p w14:paraId="47AD8BC8" w14:textId="77777777" w:rsidR="00A8620D" w:rsidRPr="000E51C9" w:rsidRDefault="00A8620D" w:rsidP="00681F27">
            <w:pPr>
              <w:spacing w:line="240" w:lineRule="auto"/>
              <w:jc w:val="center"/>
              <w:rPr>
                <w:b/>
                <w:sz w:val="20"/>
                <w:szCs w:val="20"/>
              </w:rPr>
            </w:pPr>
            <w:r w:rsidRPr="000E51C9">
              <w:rPr>
                <w:sz w:val="20"/>
                <w:szCs w:val="20"/>
              </w:rPr>
              <w:t>No.</w:t>
            </w:r>
          </w:p>
        </w:tc>
        <w:tc>
          <w:tcPr>
            <w:tcW w:w="567" w:type="dxa"/>
          </w:tcPr>
          <w:p w14:paraId="67D856D0" w14:textId="77777777" w:rsidR="00A8620D" w:rsidRPr="000E51C9" w:rsidRDefault="00A8620D" w:rsidP="00681F27">
            <w:pPr>
              <w:spacing w:line="240" w:lineRule="auto"/>
              <w:jc w:val="center"/>
              <w:rPr>
                <w:b/>
                <w:sz w:val="20"/>
                <w:szCs w:val="20"/>
              </w:rPr>
            </w:pPr>
            <w:r w:rsidRPr="000E51C9">
              <w:rPr>
                <w:b/>
                <w:sz w:val="20"/>
                <w:szCs w:val="20"/>
              </w:rPr>
              <w:t>%</w:t>
            </w:r>
          </w:p>
        </w:tc>
      </w:tr>
      <w:tr w:rsidR="00B653E5" w:rsidRPr="000E51C9" w14:paraId="382594DE" w14:textId="77777777" w:rsidTr="00460D6B">
        <w:trPr>
          <w:trHeight w:val="456"/>
        </w:trPr>
        <w:tc>
          <w:tcPr>
            <w:tcW w:w="959" w:type="dxa"/>
            <w:vAlign w:val="center"/>
          </w:tcPr>
          <w:p w14:paraId="711FAAD3" w14:textId="77777777" w:rsidR="00B653E5" w:rsidRPr="000E51C9" w:rsidRDefault="00B653E5" w:rsidP="00681F27">
            <w:pPr>
              <w:spacing w:line="240" w:lineRule="auto"/>
              <w:jc w:val="both"/>
              <w:rPr>
                <w:rFonts w:eastAsia="Times New Roman"/>
                <w:b/>
                <w:bCs/>
                <w:color w:val="000000"/>
                <w:sz w:val="20"/>
                <w:szCs w:val="20"/>
                <w:lang w:eastAsia="en-US"/>
              </w:rPr>
            </w:pPr>
            <w:r w:rsidRPr="000E51C9">
              <w:rPr>
                <w:rFonts w:eastAsia="Times New Roman"/>
                <w:b/>
                <w:bCs/>
                <w:color w:val="000000"/>
                <w:sz w:val="20"/>
                <w:szCs w:val="20"/>
                <w:lang w:eastAsia="en-US"/>
              </w:rPr>
              <w:t>Brazil*</w:t>
            </w:r>
          </w:p>
        </w:tc>
        <w:tc>
          <w:tcPr>
            <w:tcW w:w="709" w:type="dxa"/>
            <w:vAlign w:val="center"/>
          </w:tcPr>
          <w:p w14:paraId="66E9497A"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3</w:t>
            </w:r>
          </w:p>
        </w:tc>
        <w:tc>
          <w:tcPr>
            <w:tcW w:w="567" w:type="dxa"/>
            <w:tcBorders>
              <w:right w:val="dashed" w:sz="4" w:space="0" w:color="auto"/>
            </w:tcBorders>
            <w:vAlign w:val="center"/>
          </w:tcPr>
          <w:p w14:paraId="1EB4ABA8"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142A19CF"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2E2CE282"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0AFA5392"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4064C04F"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74328058"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5072B484"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5B84123B"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74BC38F2"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73E1A21C"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3214F24D" w14:textId="09549684"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68A03DA0" w14:textId="0D1EF4DD"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left w:val="dashed" w:sz="4" w:space="0" w:color="auto"/>
              <w:right w:val="dashed" w:sz="4" w:space="0" w:color="auto"/>
            </w:tcBorders>
            <w:vAlign w:val="center"/>
          </w:tcPr>
          <w:p w14:paraId="6669122B" w14:textId="2B879E45"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3</w:t>
            </w:r>
          </w:p>
        </w:tc>
        <w:tc>
          <w:tcPr>
            <w:tcW w:w="567" w:type="dxa"/>
            <w:tcBorders>
              <w:left w:val="dashed" w:sz="4" w:space="0" w:color="auto"/>
            </w:tcBorders>
            <w:vAlign w:val="center"/>
          </w:tcPr>
          <w:p w14:paraId="67EADCCD" w14:textId="1130C73A"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100</w:t>
            </w:r>
          </w:p>
        </w:tc>
      </w:tr>
      <w:tr w:rsidR="00B653E5" w:rsidRPr="000E51C9" w14:paraId="05FB497B" w14:textId="77777777" w:rsidTr="00460D6B">
        <w:trPr>
          <w:trHeight w:val="473"/>
        </w:trPr>
        <w:tc>
          <w:tcPr>
            <w:tcW w:w="959" w:type="dxa"/>
            <w:vAlign w:val="center"/>
          </w:tcPr>
          <w:p w14:paraId="14CCCDCF" w14:textId="77777777" w:rsidR="00B653E5" w:rsidRPr="000E51C9" w:rsidRDefault="00B653E5" w:rsidP="00681F27">
            <w:pPr>
              <w:spacing w:line="240" w:lineRule="auto"/>
              <w:jc w:val="both"/>
              <w:rPr>
                <w:rFonts w:eastAsia="Times New Roman"/>
                <w:b/>
                <w:bCs/>
                <w:color w:val="000000"/>
                <w:sz w:val="20"/>
                <w:szCs w:val="20"/>
                <w:lang w:eastAsia="en-US"/>
              </w:rPr>
            </w:pPr>
            <w:r w:rsidRPr="000E51C9">
              <w:rPr>
                <w:rFonts w:eastAsia="Times New Roman"/>
                <w:b/>
                <w:bCs/>
                <w:color w:val="000000"/>
                <w:sz w:val="20"/>
                <w:szCs w:val="20"/>
                <w:lang w:eastAsia="en-US"/>
              </w:rPr>
              <w:t>Chile</w:t>
            </w:r>
          </w:p>
        </w:tc>
        <w:tc>
          <w:tcPr>
            <w:tcW w:w="709" w:type="dxa"/>
            <w:vAlign w:val="center"/>
          </w:tcPr>
          <w:p w14:paraId="10004AC7"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14</w:t>
            </w:r>
          </w:p>
        </w:tc>
        <w:tc>
          <w:tcPr>
            <w:tcW w:w="567" w:type="dxa"/>
            <w:tcBorders>
              <w:right w:val="dashed" w:sz="4" w:space="0" w:color="auto"/>
            </w:tcBorders>
            <w:vAlign w:val="center"/>
          </w:tcPr>
          <w:p w14:paraId="76418031"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5</w:t>
            </w:r>
          </w:p>
        </w:tc>
        <w:tc>
          <w:tcPr>
            <w:tcW w:w="567" w:type="dxa"/>
            <w:tcBorders>
              <w:left w:val="dashed" w:sz="4" w:space="0" w:color="auto"/>
            </w:tcBorders>
            <w:vAlign w:val="center"/>
          </w:tcPr>
          <w:p w14:paraId="49DFD814"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35.7</w:t>
            </w:r>
          </w:p>
        </w:tc>
        <w:tc>
          <w:tcPr>
            <w:tcW w:w="567" w:type="dxa"/>
            <w:tcBorders>
              <w:right w:val="dashed" w:sz="4" w:space="0" w:color="auto"/>
            </w:tcBorders>
            <w:vAlign w:val="center"/>
          </w:tcPr>
          <w:p w14:paraId="2B714FE8"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5</w:t>
            </w:r>
          </w:p>
        </w:tc>
        <w:tc>
          <w:tcPr>
            <w:tcW w:w="567" w:type="dxa"/>
            <w:tcBorders>
              <w:left w:val="dashed" w:sz="4" w:space="0" w:color="auto"/>
            </w:tcBorders>
            <w:vAlign w:val="center"/>
          </w:tcPr>
          <w:p w14:paraId="35134C8D"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35.7</w:t>
            </w:r>
          </w:p>
        </w:tc>
        <w:tc>
          <w:tcPr>
            <w:tcW w:w="567" w:type="dxa"/>
            <w:tcBorders>
              <w:right w:val="dashed" w:sz="4" w:space="0" w:color="auto"/>
            </w:tcBorders>
            <w:vAlign w:val="center"/>
          </w:tcPr>
          <w:p w14:paraId="406C8BD3"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5</w:t>
            </w:r>
          </w:p>
        </w:tc>
        <w:tc>
          <w:tcPr>
            <w:tcW w:w="567" w:type="dxa"/>
            <w:tcBorders>
              <w:left w:val="dashed" w:sz="4" w:space="0" w:color="auto"/>
            </w:tcBorders>
            <w:vAlign w:val="center"/>
          </w:tcPr>
          <w:p w14:paraId="1F3CE5E3"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35.</w:t>
            </w:r>
          </w:p>
        </w:tc>
        <w:tc>
          <w:tcPr>
            <w:tcW w:w="567" w:type="dxa"/>
            <w:tcBorders>
              <w:right w:val="dashed" w:sz="4" w:space="0" w:color="auto"/>
            </w:tcBorders>
            <w:vAlign w:val="center"/>
          </w:tcPr>
          <w:p w14:paraId="7E4BECD5"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5</w:t>
            </w:r>
          </w:p>
        </w:tc>
        <w:tc>
          <w:tcPr>
            <w:tcW w:w="567" w:type="dxa"/>
            <w:tcBorders>
              <w:left w:val="dashed" w:sz="4" w:space="0" w:color="auto"/>
            </w:tcBorders>
            <w:vAlign w:val="center"/>
          </w:tcPr>
          <w:p w14:paraId="41C9B07F"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35.7</w:t>
            </w:r>
          </w:p>
        </w:tc>
        <w:tc>
          <w:tcPr>
            <w:tcW w:w="567" w:type="dxa"/>
            <w:tcBorders>
              <w:right w:val="dashed" w:sz="4" w:space="0" w:color="auto"/>
            </w:tcBorders>
            <w:vAlign w:val="center"/>
          </w:tcPr>
          <w:p w14:paraId="7184E169" w14:textId="0CCEB8C0"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11C85ADB" w14:textId="719252DF"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4E5231A4" w14:textId="56387EF0"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5</w:t>
            </w:r>
          </w:p>
        </w:tc>
        <w:tc>
          <w:tcPr>
            <w:tcW w:w="567" w:type="dxa"/>
            <w:tcBorders>
              <w:left w:val="dashed" w:sz="4" w:space="0" w:color="auto"/>
            </w:tcBorders>
            <w:vAlign w:val="center"/>
          </w:tcPr>
          <w:p w14:paraId="42472F41" w14:textId="506A8E7C"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35.7</w:t>
            </w:r>
          </w:p>
        </w:tc>
        <w:tc>
          <w:tcPr>
            <w:tcW w:w="567" w:type="dxa"/>
            <w:tcBorders>
              <w:left w:val="dashed" w:sz="4" w:space="0" w:color="auto"/>
              <w:right w:val="dashed" w:sz="4" w:space="0" w:color="auto"/>
            </w:tcBorders>
            <w:vAlign w:val="center"/>
          </w:tcPr>
          <w:p w14:paraId="3FEC9FD0" w14:textId="0981164C"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9</w:t>
            </w:r>
          </w:p>
        </w:tc>
        <w:tc>
          <w:tcPr>
            <w:tcW w:w="567" w:type="dxa"/>
            <w:tcBorders>
              <w:left w:val="dashed" w:sz="4" w:space="0" w:color="auto"/>
            </w:tcBorders>
            <w:vAlign w:val="center"/>
          </w:tcPr>
          <w:p w14:paraId="73BBC82D" w14:textId="340C3C14"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64.3</w:t>
            </w:r>
          </w:p>
        </w:tc>
      </w:tr>
      <w:tr w:rsidR="00B653E5" w:rsidRPr="000E51C9" w14:paraId="290606D6" w14:textId="77777777" w:rsidTr="00460D6B">
        <w:trPr>
          <w:trHeight w:val="473"/>
        </w:trPr>
        <w:tc>
          <w:tcPr>
            <w:tcW w:w="959" w:type="dxa"/>
            <w:vAlign w:val="center"/>
          </w:tcPr>
          <w:p w14:paraId="143EB327" w14:textId="77777777" w:rsidR="00B653E5" w:rsidRPr="000E51C9" w:rsidRDefault="00B653E5" w:rsidP="00681F27">
            <w:pPr>
              <w:spacing w:line="240" w:lineRule="auto"/>
              <w:jc w:val="both"/>
              <w:rPr>
                <w:rFonts w:eastAsia="Times New Roman"/>
                <w:b/>
                <w:bCs/>
                <w:color w:val="000000"/>
                <w:sz w:val="20"/>
                <w:szCs w:val="20"/>
                <w:lang w:eastAsia="en-US"/>
              </w:rPr>
            </w:pPr>
            <w:r w:rsidRPr="000E51C9">
              <w:rPr>
                <w:rFonts w:eastAsia="Times New Roman"/>
                <w:b/>
                <w:bCs/>
                <w:color w:val="000000"/>
                <w:sz w:val="20"/>
                <w:szCs w:val="20"/>
                <w:lang w:eastAsia="en-US"/>
              </w:rPr>
              <w:t>MERC.</w:t>
            </w:r>
          </w:p>
        </w:tc>
        <w:tc>
          <w:tcPr>
            <w:tcW w:w="709" w:type="dxa"/>
            <w:vAlign w:val="center"/>
          </w:tcPr>
          <w:p w14:paraId="446B8CE0"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12</w:t>
            </w:r>
          </w:p>
        </w:tc>
        <w:tc>
          <w:tcPr>
            <w:tcW w:w="567" w:type="dxa"/>
            <w:tcBorders>
              <w:right w:val="dashed" w:sz="4" w:space="0" w:color="auto"/>
            </w:tcBorders>
            <w:vAlign w:val="center"/>
          </w:tcPr>
          <w:p w14:paraId="6D083F92"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707BA7D7"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52E2E135"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64E6A311"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7F0AA3D4"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563C085B"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58196D23"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627CCF00"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691E136E"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41DC5A66"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3D84C310" w14:textId="6DE14320"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293C05A5" w14:textId="75D927B2"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left w:val="dashed" w:sz="4" w:space="0" w:color="auto"/>
              <w:right w:val="dashed" w:sz="4" w:space="0" w:color="auto"/>
            </w:tcBorders>
            <w:vAlign w:val="center"/>
          </w:tcPr>
          <w:p w14:paraId="7EB153B1" w14:textId="7F38D3F1"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12</w:t>
            </w:r>
          </w:p>
        </w:tc>
        <w:tc>
          <w:tcPr>
            <w:tcW w:w="567" w:type="dxa"/>
            <w:tcBorders>
              <w:left w:val="dashed" w:sz="4" w:space="0" w:color="auto"/>
            </w:tcBorders>
            <w:vAlign w:val="center"/>
          </w:tcPr>
          <w:p w14:paraId="73E4BBD0" w14:textId="0D01374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100</w:t>
            </w:r>
          </w:p>
        </w:tc>
      </w:tr>
      <w:tr w:rsidR="00B653E5" w:rsidRPr="000E51C9" w14:paraId="5B8ABAAE" w14:textId="77777777" w:rsidTr="00460D6B">
        <w:trPr>
          <w:trHeight w:val="473"/>
        </w:trPr>
        <w:tc>
          <w:tcPr>
            <w:tcW w:w="959" w:type="dxa"/>
            <w:vAlign w:val="center"/>
          </w:tcPr>
          <w:p w14:paraId="67410559" w14:textId="56F40106" w:rsidR="00B653E5" w:rsidRPr="000E51C9" w:rsidRDefault="00B653E5" w:rsidP="00681F27">
            <w:pPr>
              <w:spacing w:line="240" w:lineRule="auto"/>
              <w:ind w:right="-108"/>
              <w:jc w:val="both"/>
              <w:rPr>
                <w:rFonts w:eastAsia="Times New Roman"/>
                <w:b/>
                <w:bCs/>
                <w:color w:val="000000"/>
                <w:sz w:val="20"/>
                <w:szCs w:val="20"/>
                <w:lang w:eastAsia="en-US"/>
              </w:rPr>
            </w:pPr>
            <w:r w:rsidRPr="000E51C9">
              <w:rPr>
                <w:rFonts w:eastAsia="Times New Roman"/>
                <w:b/>
                <w:bCs/>
                <w:color w:val="000000"/>
                <w:sz w:val="20"/>
                <w:szCs w:val="20"/>
                <w:lang w:eastAsia="en-US"/>
              </w:rPr>
              <w:t>CARI.</w:t>
            </w:r>
            <w:r w:rsidR="009A319A" w:rsidRPr="000E51C9">
              <w:rPr>
                <w:sz w:val="20"/>
                <w:szCs w:val="20"/>
                <w:lang w:eastAsia="zh-CN"/>
              </w:rPr>
              <w:t xml:space="preserve"> **</w:t>
            </w:r>
          </w:p>
        </w:tc>
        <w:tc>
          <w:tcPr>
            <w:tcW w:w="709" w:type="dxa"/>
            <w:vAlign w:val="center"/>
          </w:tcPr>
          <w:p w14:paraId="44771DB8"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4</w:t>
            </w:r>
          </w:p>
        </w:tc>
        <w:tc>
          <w:tcPr>
            <w:tcW w:w="567" w:type="dxa"/>
            <w:tcBorders>
              <w:right w:val="dashed" w:sz="4" w:space="0" w:color="auto"/>
            </w:tcBorders>
            <w:vAlign w:val="center"/>
          </w:tcPr>
          <w:p w14:paraId="28BBF563" w14:textId="77777777" w:rsidR="00B653E5" w:rsidRPr="000E51C9" w:rsidRDefault="00B653E5" w:rsidP="00681F27">
            <w:pPr>
              <w:spacing w:line="240" w:lineRule="auto"/>
              <w:jc w:val="center"/>
              <w:rPr>
                <w:rFonts w:eastAsia="Times New Roman"/>
                <w:bCs/>
                <w:color w:val="000000"/>
                <w:sz w:val="20"/>
                <w:szCs w:val="20"/>
                <w:lang w:eastAsia="en-US"/>
              </w:rPr>
            </w:pPr>
            <w:r w:rsidRPr="000E51C9">
              <w:rPr>
                <w:rFonts w:eastAsia="Times New Roman"/>
                <w:bCs/>
                <w:color w:val="000000"/>
                <w:sz w:val="20"/>
                <w:szCs w:val="20"/>
                <w:lang w:eastAsia="en-US"/>
              </w:rPr>
              <w:t>3</w:t>
            </w:r>
          </w:p>
        </w:tc>
        <w:tc>
          <w:tcPr>
            <w:tcW w:w="567" w:type="dxa"/>
            <w:tcBorders>
              <w:left w:val="dashed" w:sz="4" w:space="0" w:color="auto"/>
            </w:tcBorders>
            <w:vAlign w:val="center"/>
          </w:tcPr>
          <w:p w14:paraId="4DC18CC3"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75</w:t>
            </w:r>
          </w:p>
        </w:tc>
        <w:tc>
          <w:tcPr>
            <w:tcW w:w="567" w:type="dxa"/>
            <w:tcBorders>
              <w:right w:val="dashed" w:sz="4" w:space="0" w:color="auto"/>
            </w:tcBorders>
            <w:vAlign w:val="center"/>
          </w:tcPr>
          <w:p w14:paraId="1541FEB7" w14:textId="77777777" w:rsidR="00B653E5" w:rsidRPr="000E51C9" w:rsidRDefault="00B653E5" w:rsidP="00681F27">
            <w:pPr>
              <w:spacing w:line="240" w:lineRule="auto"/>
              <w:jc w:val="center"/>
              <w:rPr>
                <w:rFonts w:eastAsia="Times New Roman"/>
                <w:bCs/>
                <w:color w:val="000000"/>
                <w:sz w:val="20"/>
                <w:szCs w:val="20"/>
                <w:lang w:eastAsia="en-US"/>
              </w:rPr>
            </w:pPr>
            <w:r w:rsidRPr="000E51C9">
              <w:rPr>
                <w:rFonts w:eastAsia="Times New Roman"/>
                <w:bCs/>
                <w:color w:val="000000"/>
                <w:sz w:val="20"/>
                <w:szCs w:val="20"/>
                <w:lang w:eastAsia="en-US"/>
              </w:rPr>
              <w:t>3</w:t>
            </w:r>
          </w:p>
        </w:tc>
        <w:tc>
          <w:tcPr>
            <w:tcW w:w="567" w:type="dxa"/>
            <w:tcBorders>
              <w:left w:val="dashed" w:sz="4" w:space="0" w:color="auto"/>
            </w:tcBorders>
            <w:vAlign w:val="center"/>
          </w:tcPr>
          <w:p w14:paraId="1FD57F36"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75</w:t>
            </w:r>
          </w:p>
        </w:tc>
        <w:tc>
          <w:tcPr>
            <w:tcW w:w="567" w:type="dxa"/>
            <w:tcBorders>
              <w:right w:val="dashed" w:sz="4" w:space="0" w:color="auto"/>
            </w:tcBorders>
            <w:vAlign w:val="center"/>
          </w:tcPr>
          <w:p w14:paraId="5C7DEE17" w14:textId="77777777" w:rsidR="00B653E5" w:rsidRPr="000E51C9" w:rsidRDefault="00B653E5" w:rsidP="00681F27">
            <w:pPr>
              <w:spacing w:line="240" w:lineRule="auto"/>
              <w:jc w:val="center"/>
              <w:rPr>
                <w:rFonts w:eastAsia="Times New Roman"/>
                <w:bCs/>
                <w:color w:val="000000"/>
                <w:sz w:val="20"/>
                <w:szCs w:val="20"/>
                <w:lang w:eastAsia="en-US"/>
              </w:rPr>
            </w:pPr>
            <w:r w:rsidRPr="000E51C9">
              <w:rPr>
                <w:rFonts w:eastAsia="Times New Roman"/>
                <w:bCs/>
                <w:color w:val="000000"/>
                <w:sz w:val="20"/>
                <w:szCs w:val="20"/>
                <w:lang w:eastAsia="en-US"/>
              </w:rPr>
              <w:t>3</w:t>
            </w:r>
          </w:p>
        </w:tc>
        <w:tc>
          <w:tcPr>
            <w:tcW w:w="567" w:type="dxa"/>
            <w:tcBorders>
              <w:left w:val="dashed" w:sz="4" w:space="0" w:color="auto"/>
            </w:tcBorders>
            <w:vAlign w:val="center"/>
          </w:tcPr>
          <w:p w14:paraId="6623E063"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75</w:t>
            </w:r>
          </w:p>
        </w:tc>
        <w:tc>
          <w:tcPr>
            <w:tcW w:w="567" w:type="dxa"/>
            <w:tcBorders>
              <w:right w:val="dashed" w:sz="4" w:space="0" w:color="auto"/>
            </w:tcBorders>
            <w:vAlign w:val="center"/>
          </w:tcPr>
          <w:p w14:paraId="096435B9" w14:textId="77777777" w:rsidR="00B653E5" w:rsidRPr="000E51C9" w:rsidRDefault="00B653E5" w:rsidP="00681F27">
            <w:pPr>
              <w:spacing w:line="240" w:lineRule="auto"/>
              <w:jc w:val="center"/>
              <w:rPr>
                <w:rFonts w:eastAsia="Times New Roman"/>
                <w:bCs/>
                <w:color w:val="000000"/>
                <w:sz w:val="20"/>
                <w:szCs w:val="20"/>
                <w:lang w:eastAsia="en-US"/>
              </w:rPr>
            </w:pPr>
            <w:r w:rsidRPr="000E51C9">
              <w:rPr>
                <w:rFonts w:eastAsia="Times New Roman"/>
                <w:bCs/>
                <w:color w:val="000000"/>
                <w:sz w:val="20"/>
                <w:szCs w:val="20"/>
                <w:lang w:eastAsia="en-US"/>
              </w:rPr>
              <w:t>3</w:t>
            </w:r>
          </w:p>
        </w:tc>
        <w:tc>
          <w:tcPr>
            <w:tcW w:w="567" w:type="dxa"/>
            <w:tcBorders>
              <w:left w:val="dashed" w:sz="4" w:space="0" w:color="auto"/>
            </w:tcBorders>
            <w:vAlign w:val="center"/>
          </w:tcPr>
          <w:p w14:paraId="646DA211" w14:textId="77777777" w:rsidR="00B653E5" w:rsidRPr="000E51C9" w:rsidRDefault="00B653E5"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75</w:t>
            </w:r>
          </w:p>
        </w:tc>
        <w:tc>
          <w:tcPr>
            <w:tcW w:w="567" w:type="dxa"/>
            <w:tcBorders>
              <w:right w:val="dashed" w:sz="4" w:space="0" w:color="auto"/>
            </w:tcBorders>
            <w:vAlign w:val="center"/>
          </w:tcPr>
          <w:p w14:paraId="5CEF584A" w14:textId="340C985E" w:rsidR="00B653E5" w:rsidRPr="000E51C9" w:rsidRDefault="009A319A"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0</w:t>
            </w:r>
          </w:p>
        </w:tc>
        <w:tc>
          <w:tcPr>
            <w:tcW w:w="567" w:type="dxa"/>
            <w:tcBorders>
              <w:left w:val="dashed" w:sz="4" w:space="0" w:color="auto"/>
            </w:tcBorders>
            <w:vAlign w:val="center"/>
          </w:tcPr>
          <w:p w14:paraId="651B0139" w14:textId="7567F12E" w:rsidR="00B653E5" w:rsidRPr="000E51C9" w:rsidRDefault="009A319A"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w:t>
            </w:r>
          </w:p>
        </w:tc>
        <w:tc>
          <w:tcPr>
            <w:tcW w:w="567" w:type="dxa"/>
            <w:tcBorders>
              <w:right w:val="dashed" w:sz="4" w:space="0" w:color="auto"/>
            </w:tcBorders>
            <w:vAlign w:val="center"/>
          </w:tcPr>
          <w:p w14:paraId="580AC897" w14:textId="1A7CC259" w:rsidR="00B653E5" w:rsidRPr="000E51C9" w:rsidRDefault="00DD3CFD"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1</w:t>
            </w:r>
          </w:p>
        </w:tc>
        <w:tc>
          <w:tcPr>
            <w:tcW w:w="567" w:type="dxa"/>
            <w:tcBorders>
              <w:left w:val="dashed" w:sz="4" w:space="0" w:color="auto"/>
            </w:tcBorders>
            <w:vAlign w:val="center"/>
          </w:tcPr>
          <w:p w14:paraId="30BE1D60" w14:textId="1D191E39" w:rsidR="00B653E5" w:rsidRPr="000E51C9" w:rsidRDefault="00DD3CFD"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25</w:t>
            </w:r>
          </w:p>
        </w:tc>
        <w:tc>
          <w:tcPr>
            <w:tcW w:w="567" w:type="dxa"/>
            <w:tcBorders>
              <w:left w:val="dashed" w:sz="4" w:space="0" w:color="auto"/>
              <w:right w:val="dashed" w:sz="4" w:space="0" w:color="auto"/>
            </w:tcBorders>
            <w:vAlign w:val="center"/>
          </w:tcPr>
          <w:p w14:paraId="0879C186" w14:textId="7D5EAB68" w:rsidR="00B653E5" w:rsidRPr="000E51C9" w:rsidRDefault="00DD3CFD"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2</w:t>
            </w:r>
          </w:p>
        </w:tc>
        <w:tc>
          <w:tcPr>
            <w:tcW w:w="567" w:type="dxa"/>
            <w:tcBorders>
              <w:left w:val="dashed" w:sz="4" w:space="0" w:color="auto"/>
            </w:tcBorders>
            <w:vAlign w:val="center"/>
          </w:tcPr>
          <w:p w14:paraId="4201D665" w14:textId="1599347E" w:rsidR="00B653E5" w:rsidRPr="000E51C9" w:rsidRDefault="00017BD9" w:rsidP="00681F27">
            <w:pPr>
              <w:spacing w:line="240" w:lineRule="auto"/>
              <w:jc w:val="center"/>
              <w:rPr>
                <w:rFonts w:eastAsia="Times New Roman"/>
                <w:color w:val="000000"/>
                <w:sz w:val="20"/>
                <w:szCs w:val="20"/>
                <w:lang w:eastAsia="en-US"/>
              </w:rPr>
            </w:pPr>
            <w:r w:rsidRPr="000E51C9">
              <w:rPr>
                <w:rFonts w:eastAsia="Times New Roman"/>
                <w:color w:val="000000"/>
                <w:sz w:val="20"/>
                <w:szCs w:val="20"/>
                <w:lang w:eastAsia="en-US"/>
              </w:rPr>
              <w:t>50</w:t>
            </w:r>
          </w:p>
        </w:tc>
      </w:tr>
    </w:tbl>
    <w:p w14:paraId="72882693" w14:textId="3C267243" w:rsidR="00837D06" w:rsidRPr="000E51C9" w:rsidRDefault="00837D06" w:rsidP="00681F27">
      <w:pPr>
        <w:spacing w:line="240" w:lineRule="auto"/>
        <w:rPr>
          <w:rFonts w:eastAsia="Times New Roman"/>
          <w:color w:val="000000"/>
          <w:sz w:val="20"/>
          <w:szCs w:val="20"/>
          <w:lang w:eastAsia="en-US"/>
        </w:rPr>
      </w:pPr>
      <w:r w:rsidRPr="000E51C9">
        <w:rPr>
          <w:rFonts w:eastAsia="Times New Roman"/>
          <w:color w:val="000000"/>
          <w:sz w:val="20"/>
          <w:szCs w:val="20"/>
          <w:lang w:eastAsia="en-US"/>
        </w:rPr>
        <w:t xml:space="preserve">* </w:t>
      </w:r>
      <w:r w:rsidR="003D7359" w:rsidRPr="000E51C9">
        <w:rPr>
          <w:rFonts w:eastAsia="Times New Roman"/>
          <w:color w:val="000000"/>
          <w:sz w:val="20"/>
          <w:szCs w:val="20"/>
          <w:lang w:eastAsia="en-US"/>
        </w:rPr>
        <w:t xml:space="preserve">  </w:t>
      </w:r>
      <w:r w:rsidRPr="000E51C9">
        <w:rPr>
          <w:rFonts w:eastAsia="Times New Roman"/>
          <w:color w:val="000000"/>
          <w:sz w:val="20"/>
          <w:szCs w:val="20"/>
          <w:lang w:eastAsia="en-US"/>
        </w:rPr>
        <w:t xml:space="preserve">Agreements concluded within MERCOSUR were coded in </w:t>
      </w:r>
      <w:r w:rsidR="00AD5FF9" w:rsidRPr="000E51C9">
        <w:rPr>
          <w:rFonts w:eastAsia="Times New Roman"/>
          <w:color w:val="000000"/>
          <w:sz w:val="20"/>
          <w:szCs w:val="20"/>
          <w:lang w:eastAsia="en-US"/>
        </w:rPr>
        <w:t>that</w:t>
      </w:r>
      <w:r w:rsidRPr="000E51C9">
        <w:rPr>
          <w:rFonts w:eastAsia="Times New Roman"/>
          <w:color w:val="000000"/>
          <w:sz w:val="20"/>
          <w:szCs w:val="20"/>
          <w:lang w:eastAsia="en-US"/>
        </w:rPr>
        <w:t xml:space="preserve"> field.</w:t>
      </w:r>
    </w:p>
    <w:p w14:paraId="742884D1" w14:textId="6B6B2211" w:rsidR="00A8620D" w:rsidRPr="000E51C9" w:rsidRDefault="00837D06" w:rsidP="00681F27">
      <w:pPr>
        <w:spacing w:line="240" w:lineRule="auto"/>
        <w:rPr>
          <w:sz w:val="20"/>
          <w:szCs w:val="20"/>
          <w:lang w:eastAsia="zh-CN"/>
        </w:rPr>
      </w:pPr>
      <w:r w:rsidRPr="000E51C9">
        <w:rPr>
          <w:sz w:val="20"/>
          <w:szCs w:val="20"/>
          <w:lang w:eastAsia="zh-CN"/>
        </w:rPr>
        <w:t xml:space="preserve">** </w:t>
      </w:r>
      <w:r w:rsidR="002E333E" w:rsidRPr="000E51C9">
        <w:rPr>
          <w:sz w:val="20"/>
          <w:szCs w:val="20"/>
          <w:lang w:eastAsia="zh-CN"/>
        </w:rPr>
        <w:t xml:space="preserve">The </w:t>
      </w:r>
      <w:r w:rsidRPr="000E51C9">
        <w:rPr>
          <w:sz w:val="20"/>
          <w:szCs w:val="20"/>
          <w:lang w:eastAsia="zh-CN"/>
        </w:rPr>
        <w:t xml:space="preserve">CARICOM FTA </w:t>
      </w:r>
      <w:r w:rsidR="007E5086" w:rsidRPr="000E51C9">
        <w:rPr>
          <w:sz w:val="20"/>
          <w:szCs w:val="20"/>
          <w:lang w:eastAsia="zh-CN"/>
        </w:rPr>
        <w:t xml:space="preserve">with Cuba </w:t>
      </w:r>
      <w:r w:rsidRPr="000E51C9">
        <w:rPr>
          <w:sz w:val="20"/>
          <w:szCs w:val="20"/>
          <w:lang w:eastAsia="zh-CN"/>
        </w:rPr>
        <w:t>contains ISDS provisions without ICSID.</w:t>
      </w:r>
    </w:p>
    <w:p w14:paraId="033F2090" w14:textId="77777777" w:rsidR="009302FE" w:rsidRPr="000E51C9" w:rsidRDefault="009302FE" w:rsidP="00163F2E">
      <w:pPr>
        <w:spacing w:line="360" w:lineRule="auto"/>
        <w:rPr>
          <w:sz w:val="20"/>
          <w:szCs w:val="20"/>
          <w:lang w:eastAsia="zh-CN"/>
        </w:rPr>
      </w:pPr>
    </w:p>
    <w:p w14:paraId="7769B37B" w14:textId="77777777" w:rsidR="007D559F" w:rsidRPr="000E51C9" w:rsidRDefault="007D559F" w:rsidP="007D559F">
      <w:pPr>
        <w:pStyle w:val="berschrift2"/>
        <w:spacing w:before="0" w:after="0" w:line="360" w:lineRule="auto"/>
        <w:rPr>
          <w:rFonts w:cs="Times New Roman"/>
          <w:lang w:val="en-GB"/>
        </w:rPr>
      </w:pPr>
    </w:p>
    <w:p w14:paraId="0011F3C3" w14:textId="69581312" w:rsidR="00837D06" w:rsidRPr="000E51C9" w:rsidRDefault="007D559F" w:rsidP="007D559F">
      <w:pPr>
        <w:pStyle w:val="berschrift2"/>
        <w:spacing w:before="0" w:after="0" w:line="360" w:lineRule="auto"/>
        <w:rPr>
          <w:lang w:val="en-GB"/>
        </w:rPr>
      </w:pPr>
      <w:bookmarkStart w:id="12" w:name="_Toc497733683"/>
      <w:r w:rsidRPr="000E51C9">
        <w:rPr>
          <w:rFonts w:cs="Times New Roman"/>
          <w:i/>
          <w:lang w:val="en-GB"/>
        </w:rPr>
        <w:t xml:space="preserve">X.2.5 </w:t>
      </w:r>
      <w:bookmarkStart w:id="13" w:name="_Toc475435347"/>
      <w:r w:rsidR="00837D06" w:rsidRPr="000E51C9">
        <w:rPr>
          <w:rFonts w:cs="Times New Roman"/>
          <w:i/>
          <w:lang w:val="en-GB"/>
        </w:rPr>
        <w:t>Africa</w:t>
      </w:r>
      <w:bookmarkEnd w:id="12"/>
      <w:bookmarkEnd w:id="13"/>
      <w:r w:rsidR="00837D06" w:rsidRPr="000E51C9">
        <w:rPr>
          <w:rFonts w:cs="Times New Roman"/>
          <w:i/>
          <w:lang w:val="en-GB"/>
        </w:rPr>
        <w:t xml:space="preserve"> </w:t>
      </w:r>
    </w:p>
    <w:p w14:paraId="2B0569A5" w14:textId="1EA3570F" w:rsidR="007D2C42" w:rsidRPr="000E51C9" w:rsidRDefault="00D56197" w:rsidP="007D2C42">
      <w:pPr>
        <w:spacing w:line="360" w:lineRule="auto"/>
        <w:jc w:val="both"/>
      </w:pPr>
      <w:r w:rsidRPr="000E51C9">
        <w:t>Researching African PTAs posed some methodological challenges. First, the PTAs between African and non-African countries often follow the model agreements of a more economically powerful partner. Thus, such agreements cannot be counted as truly ‘African’. Second, compared to other regions the number o</w:t>
      </w:r>
      <w:r w:rsidR="007C365A" w:rsidRPr="000E51C9">
        <w:t>f PTAs analysed is quite low (17</w:t>
      </w:r>
      <w:r w:rsidRPr="000E51C9">
        <w:t xml:space="preserve"> PTAs),</w:t>
      </w:r>
      <w:r w:rsidR="007D2C42" w:rsidRPr="000E51C9">
        <w:t xml:space="preserve"> often due to </w:t>
      </w:r>
      <w:r w:rsidR="004954C3" w:rsidRPr="000E51C9">
        <w:t xml:space="preserve">difficulties </w:t>
      </w:r>
      <w:r w:rsidRPr="000E51C9">
        <w:t>obtaining the treaty texts. Most notably, the analysis excludes 27 Kenyan PTAs</w:t>
      </w:r>
      <w:r w:rsidRPr="000E51C9">
        <w:rPr>
          <w:rStyle w:val="Funotenzeichen"/>
        </w:rPr>
        <w:footnoteReference w:id="97"/>
      </w:r>
      <w:r w:rsidR="00A06C5B" w:rsidRPr="000E51C9">
        <w:t>,</w:t>
      </w:r>
      <w:r w:rsidRPr="000E51C9">
        <w:t xml:space="preserve"> the texts of which could not be found.</w:t>
      </w:r>
      <w:r w:rsidRPr="000E51C9">
        <w:rPr>
          <w:rStyle w:val="Funotenzeichen"/>
        </w:rPr>
        <w:footnoteReference w:id="98"/>
      </w:r>
      <w:r w:rsidRPr="000E51C9">
        <w:t xml:space="preserve"> Third, </w:t>
      </w:r>
      <w:r w:rsidR="00F856E4" w:rsidRPr="000E51C9">
        <w:t>several</w:t>
      </w:r>
      <w:r w:rsidRPr="000E51C9">
        <w:t xml:space="preserve"> post</w:t>
      </w:r>
      <w:r w:rsidRPr="000E51C9">
        <w:noBreakHyphen/>
        <w:t>NAFTA intra-regional and inter</w:t>
      </w:r>
      <w:r w:rsidRPr="000E51C9">
        <w:noBreakHyphen/>
        <w:t xml:space="preserve">regional PTAs deserve special attention, as they cover a significant number of African countries. </w:t>
      </w:r>
      <w:r w:rsidR="00F856E4" w:rsidRPr="000E51C9">
        <w:t>Considering</w:t>
      </w:r>
      <w:r w:rsidRPr="000E51C9">
        <w:t xml:space="preserve"> these limitations, the conclusions for the African region are rather tentative.</w:t>
      </w:r>
    </w:p>
    <w:p w14:paraId="3DD9B52C" w14:textId="0806CDBB" w:rsidR="007D2C42" w:rsidRPr="000E51C9" w:rsidRDefault="007D2C42" w:rsidP="007D559F">
      <w:pPr>
        <w:spacing w:line="360" w:lineRule="auto"/>
        <w:ind w:firstLine="288"/>
        <w:jc w:val="both"/>
      </w:pPr>
      <w:r w:rsidRPr="000E51C9">
        <w:t>Due to the scarcity of data, the analysis takes a geographical turn and investigates the PTAs concluded by representatives of sub-Saharan Africa (South Africa) and Northern Africa (Morocco) as well as the major inter-African REIOs.</w:t>
      </w:r>
    </w:p>
    <w:p w14:paraId="05502C88" w14:textId="08707C97" w:rsidR="008C11DA" w:rsidRPr="000E51C9" w:rsidRDefault="008734BA" w:rsidP="007D559F">
      <w:pPr>
        <w:spacing w:line="360" w:lineRule="auto"/>
        <w:ind w:firstLine="288"/>
        <w:jc w:val="both"/>
      </w:pPr>
      <w:proofErr w:type="spellStart"/>
      <w:r w:rsidRPr="000E51C9">
        <w:t>i</w:t>
      </w:r>
      <w:proofErr w:type="spellEnd"/>
      <w:r w:rsidRPr="000E51C9">
        <w:t xml:space="preserve">. </w:t>
      </w:r>
      <w:r w:rsidRPr="000E51C9">
        <w:rPr>
          <w:i/>
        </w:rPr>
        <w:t xml:space="preserve">South Africa </w:t>
      </w:r>
      <w:r w:rsidRPr="000E51C9">
        <w:t xml:space="preserve">- South Africa has concluded six bi- and </w:t>
      </w:r>
      <w:proofErr w:type="spellStart"/>
      <w:r w:rsidR="00505CA2" w:rsidRPr="000E51C9">
        <w:t>plur</w:t>
      </w:r>
      <w:r w:rsidRPr="000E51C9">
        <w:t>ilateral</w:t>
      </w:r>
      <w:proofErr w:type="spellEnd"/>
      <w:r w:rsidRPr="000E51C9">
        <w:t xml:space="preserve"> trade agreements, either as a sole entity or as a member of regional organi</w:t>
      </w:r>
      <w:r w:rsidR="004074F1" w:rsidRPr="000E51C9">
        <w:t>s</w:t>
      </w:r>
      <w:r w:rsidRPr="000E51C9">
        <w:t>ations, such as the South African Customs Union (SACU) or the South African Development Community (SADC).</w:t>
      </w:r>
      <w:r w:rsidRPr="000E51C9">
        <w:rPr>
          <w:rStyle w:val="Funotenzeichen"/>
        </w:rPr>
        <w:footnoteReference w:id="99"/>
      </w:r>
      <w:r w:rsidRPr="000E51C9">
        <w:t xml:space="preserve"> None of the agreements include any standards of investment protection or ISDS. However, </w:t>
      </w:r>
      <w:r w:rsidR="00D00982" w:rsidRPr="000E51C9">
        <w:t>the South Africa-E</w:t>
      </w:r>
      <w:r w:rsidR="00A06C5B" w:rsidRPr="000E51C9">
        <w:t xml:space="preserve">uropean </w:t>
      </w:r>
      <w:r w:rsidR="00F91E91" w:rsidRPr="000E51C9">
        <w:t xml:space="preserve">Community </w:t>
      </w:r>
      <w:r w:rsidR="00A06C5B" w:rsidRPr="000E51C9">
        <w:t xml:space="preserve">(EC) </w:t>
      </w:r>
      <w:r w:rsidRPr="000E51C9">
        <w:t xml:space="preserve">Trade, Development and Cooperation </w:t>
      </w:r>
      <w:r w:rsidR="00D00982" w:rsidRPr="000E51C9">
        <w:t>Agreement</w:t>
      </w:r>
      <w:r w:rsidRPr="000E51C9">
        <w:t xml:space="preserve"> (Article 52), the subsequent EPA with the EU (Article 74) and the EFTA-SACU FTA (Article 28) provide for further cooperation of the contracting parties </w:t>
      </w:r>
      <w:r w:rsidR="00F856E4" w:rsidRPr="000E51C9">
        <w:t>regarding</w:t>
      </w:r>
      <w:r w:rsidRPr="000E51C9">
        <w:t xml:space="preserve"> investment protection.</w:t>
      </w:r>
    </w:p>
    <w:p w14:paraId="296701F0" w14:textId="64B7A1A1" w:rsidR="008C11DA" w:rsidRPr="000E51C9" w:rsidRDefault="008C11DA" w:rsidP="007D559F">
      <w:pPr>
        <w:spacing w:line="360" w:lineRule="auto"/>
        <w:ind w:firstLine="288"/>
        <w:jc w:val="both"/>
      </w:pPr>
      <w:r w:rsidRPr="000E51C9">
        <w:t xml:space="preserve">ii. </w:t>
      </w:r>
      <w:r w:rsidRPr="000E51C9">
        <w:rPr>
          <w:i/>
        </w:rPr>
        <w:t xml:space="preserve">Morocco </w:t>
      </w:r>
      <w:r w:rsidR="00A06C5B" w:rsidRPr="000E51C9">
        <w:t xml:space="preserve">- </w:t>
      </w:r>
      <w:r w:rsidRPr="000E51C9">
        <w:t>In the 1990s and early 2000s, Morocco concluded six trade agreements with countries and REIOs from the North-Atlantic Area or North Africa/the Middle East.</w:t>
      </w:r>
      <w:r w:rsidR="000F25BA" w:rsidRPr="000E51C9">
        <w:rPr>
          <w:rStyle w:val="Funotenzeichen"/>
        </w:rPr>
        <w:footnoteReference w:id="100"/>
      </w:r>
      <w:r w:rsidRPr="000E51C9">
        <w:t xml:space="preserve"> Only the </w:t>
      </w:r>
      <w:r w:rsidRPr="000E51C9">
        <w:lastRenderedPageBreak/>
        <w:t xml:space="preserve">FTA with the US includes all core standards of protection and ISDS. The FTAs with Turkey </w:t>
      </w:r>
      <w:r w:rsidR="00757B0E" w:rsidRPr="000E51C9">
        <w:t>(</w:t>
      </w:r>
      <w:r w:rsidRPr="000E51C9">
        <w:t>Article 14), EFTA (Article 14) and the European Communit</w:t>
      </w:r>
      <w:r w:rsidR="00F91E91" w:rsidRPr="000E51C9">
        <w:t>y</w:t>
      </w:r>
      <w:r w:rsidRPr="000E51C9">
        <w:t xml:space="preserve"> (Article 50</w:t>
      </w:r>
      <w:r w:rsidR="00CF34E9" w:rsidRPr="000E51C9">
        <w:t>)</w:t>
      </w:r>
      <w:r w:rsidRPr="000E51C9">
        <w:t xml:space="preserve"> all recogni</w:t>
      </w:r>
      <w:r w:rsidR="00F91E91" w:rsidRPr="000E51C9">
        <w:t>s</w:t>
      </w:r>
      <w:r w:rsidRPr="000E51C9">
        <w:t>e the importance of investment and aim for further cooperation between the contracting parties.</w:t>
      </w:r>
    </w:p>
    <w:p w14:paraId="72E85FB4" w14:textId="6385033F" w:rsidR="00837D06" w:rsidRPr="000E51C9" w:rsidRDefault="00837D06" w:rsidP="007D559F">
      <w:pPr>
        <w:spacing w:line="360" w:lineRule="auto"/>
        <w:ind w:firstLine="288"/>
        <w:jc w:val="both"/>
      </w:pPr>
      <w:r w:rsidRPr="000E51C9">
        <w:t xml:space="preserve">iii. </w:t>
      </w:r>
      <w:proofErr w:type="spellStart"/>
      <w:r w:rsidR="00F9213B" w:rsidRPr="000E51C9">
        <w:rPr>
          <w:i/>
        </w:rPr>
        <w:t>Plurilateral</w:t>
      </w:r>
      <w:proofErr w:type="spellEnd"/>
      <w:r w:rsidRPr="000E51C9">
        <w:rPr>
          <w:i/>
        </w:rPr>
        <w:t xml:space="preserve"> Regionals </w:t>
      </w:r>
      <w:r w:rsidRPr="000E51C9">
        <w:t xml:space="preserve">- </w:t>
      </w:r>
      <w:r w:rsidR="00C77E60" w:rsidRPr="000E51C9">
        <w:t xml:space="preserve">The present study includes seven </w:t>
      </w:r>
      <w:proofErr w:type="spellStart"/>
      <w:r w:rsidR="00C77E60" w:rsidRPr="000E51C9">
        <w:t>plurilateral</w:t>
      </w:r>
      <w:proofErr w:type="spellEnd"/>
      <w:r w:rsidR="00C77E60" w:rsidRPr="000E51C9">
        <w:t xml:space="preserve"> agreements: the </w:t>
      </w:r>
      <w:r w:rsidR="00781A98" w:rsidRPr="000E51C9">
        <w:t>SADC Agreement</w:t>
      </w:r>
      <w:r w:rsidR="005E5941" w:rsidRPr="000E51C9">
        <w:t xml:space="preserve"> (1996), the </w:t>
      </w:r>
      <w:r w:rsidR="00C77E60" w:rsidRPr="000E51C9">
        <w:t>East Africa</w:t>
      </w:r>
      <w:r w:rsidR="005E5941" w:rsidRPr="000E51C9">
        <w:t>n Community Agreement (EAC, 1999</w:t>
      </w:r>
      <w:r w:rsidR="00C77E60" w:rsidRPr="000E51C9">
        <w:t xml:space="preserve">), </w:t>
      </w:r>
      <w:r w:rsidR="005758B6" w:rsidRPr="000E51C9">
        <w:t xml:space="preserve">the SACU </w:t>
      </w:r>
      <w:r w:rsidR="00C91232" w:rsidRPr="000E51C9">
        <w:t xml:space="preserve">Agreement </w:t>
      </w:r>
      <w:r w:rsidR="005758B6" w:rsidRPr="000E51C9">
        <w:t xml:space="preserve">(2002), </w:t>
      </w:r>
      <w:r w:rsidR="00C77E60" w:rsidRPr="000E51C9">
        <w:t>the Agreement on the West African Economic</w:t>
      </w:r>
      <w:r w:rsidR="005758B6" w:rsidRPr="000E51C9">
        <w:t xml:space="preserve"> and Monetary Union (WAEMU, 1994</w:t>
      </w:r>
      <w:r w:rsidR="00C77E60" w:rsidRPr="000E51C9">
        <w:t xml:space="preserve">), the Tripartite Agreement (2015) between EAC, </w:t>
      </w:r>
      <w:r w:rsidR="00F91E91" w:rsidRPr="000E51C9">
        <w:t>Common Market for Eastern and Southern Africa (</w:t>
      </w:r>
      <w:r w:rsidR="00C77E60" w:rsidRPr="000E51C9">
        <w:t>COMESA</w:t>
      </w:r>
      <w:r w:rsidR="00F91E91" w:rsidRPr="000E51C9">
        <w:t>)</w:t>
      </w:r>
      <w:r w:rsidR="00C77E60" w:rsidRPr="000E51C9">
        <w:t xml:space="preserve"> and SADC, the Revised </w:t>
      </w:r>
      <w:proofErr w:type="spellStart"/>
      <w:r w:rsidR="00C77E60" w:rsidRPr="000E51C9">
        <w:t>Cotonou</w:t>
      </w:r>
      <w:proofErr w:type="spellEnd"/>
      <w:r w:rsidR="00C77E60" w:rsidRPr="000E51C9">
        <w:t xml:space="preserve"> Agreement (2010) with the EU and the </w:t>
      </w:r>
      <w:r w:rsidR="00F91E91" w:rsidRPr="000E51C9">
        <w:t>Economic Community of West African States (</w:t>
      </w:r>
      <w:r w:rsidR="00C77E60" w:rsidRPr="000E51C9">
        <w:t>ECOWAS</w:t>
      </w:r>
      <w:r w:rsidR="00F91E91" w:rsidRPr="000E51C9">
        <w:t>)</w:t>
      </w:r>
      <w:r w:rsidR="00C77E60" w:rsidRPr="000E51C9">
        <w:t xml:space="preserve"> Protocol on Energy concluded in 2003 but not yet in force.</w:t>
      </w:r>
      <w:r w:rsidR="00C77E60" w:rsidRPr="000E51C9">
        <w:rPr>
          <w:rStyle w:val="Funotenzeichen"/>
        </w:rPr>
        <w:footnoteReference w:id="101"/>
      </w:r>
      <w:r w:rsidR="00C77E60" w:rsidRPr="000E51C9">
        <w:t xml:space="preserve"> The main ECOWAS </w:t>
      </w:r>
      <w:r w:rsidR="00F91E91" w:rsidRPr="000E51C9">
        <w:t xml:space="preserve">Agreement </w:t>
      </w:r>
      <w:r w:rsidR="005E1D4D" w:rsidRPr="000E51C9">
        <w:t>(1993)</w:t>
      </w:r>
      <w:r w:rsidR="00C77E60" w:rsidRPr="000E51C9">
        <w:t xml:space="preserve"> </w:t>
      </w:r>
      <w:r w:rsidR="002A75E3" w:rsidRPr="000E51C9">
        <w:t xml:space="preserve">and the </w:t>
      </w:r>
      <w:r w:rsidR="005E1D4D" w:rsidRPr="000E51C9">
        <w:t xml:space="preserve">COMESA </w:t>
      </w:r>
      <w:r w:rsidR="00F91E91" w:rsidRPr="000E51C9">
        <w:t>Agreement (</w:t>
      </w:r>
      <w:r w:rsidR="005E1D4D" w:rsidRPr="000E51C9">
        <w:t>1993)</w:t>
      </w:r>
      <w:r w:rsidR="002A75E3" w:rsidRPr="000E51C9">
        <w:t xml:space="preserve"> were not </w:t>
      </w:r>
      <w:r w:rsidR="00D83E0A" w:rsidRPr="000E51C9">
        <w:t>included in the statistics</w:t>
      </w:r>
      <w:r w:rsidR="002A75E3" w:rsidRPr="000E51C9">
        <w:t xml:space="preserve"> </w:t>
      </w:r>
      <w:r w:rsidR="00C77E60" w:rsidRPr="000E51C9">
        <w:t xml:space="preserve">because </w:t>
      </w:r>
      <w:r w:rsidR="002A75E3" w:rsidRPr="000E51C9">
        <w:t>they were concluded</w:t>
      </w:r>
      <w:r w:rsidR="005E1D4D" w:rsidRPr="000E51C9">
        <w:t xml:space="preserve"> before NAFTA. The main ECOWAS </w:t>
      </w:r>
      <w:r w:rsidR="00F91E91" w:rsidRPr="000E51C9">
        <w:t xml:space="preserve">Agreement </w:t>
      </w:r>
      <w:r w:rsidR="005E1D4D" w:rsidRPr="000E51C9">
        <w:t xml:space="preserve">does not </w:t>
      </w:r>
      <w:r w:rsidR="00C77E60" w:rsidRPr="000E51C9">
        <w:t xml:space="preserve">include provisions on investment protection and ISDS. </w:t>
      </w:r>
      <w:r w:rsidR="005E1D4D" w:rsidRPr="000E51C9">
        <w:t>However</w:t>
      </w:r>
      <w:r w:rsidR="00ED7BE7" w:rsidRPr="000E51C9">
        <w:t>, the COMESA Agreement does include FET and the prohibition of expropriation in Chapter 26 on ‘Investment Promotion and Protection’.</w:t>
      </w:r>
      <w:r w:rsidR="00ED7BE7" w:rsidRPr="000E51C9">
        <w:rPr>
          <w:rStyle w:val="Funotenzeichen"/>
        </w:rPr>
        <w:footnoteReference w:id="102"/>
      </w:r>
      <w:r w:rsidR="00ED7BE7" w:rsidRPr="000E51C9">
        <w:t xml:space="preserve"> Furthermore, in Article 162 COMESA Agreement</w:t>
      </w:r>
      <w:r w:rsidR="00F91E91" w:rsidRPr="000E51C9">
        <w:t>,</w:t>
      </w:r>
      <w:r w:rsidR="00ED7BE7" w:rsidRPr="000E51C9">
        <w:t xml:space="preserve"> the parties undertake to accede to multilateral investment agreements, such as ICSID.</w:t>
      </w:r>
    </w:p>
    <w:p w14:paraId="17EFFFA1" w14:textId="390D91B8" w:rsidR="001D6763" w:rsidRPr="000E51C9" w:rsidRDefault="00F856E4" w:rsidP="007D559F">
      <w:pPr>
        <w:spacing w:line="360" w:lineRule="auto"/>
        <w:ind w:firstLine="288"/>
        <w:jc w:val="both"/>
      </w:pPr>
      <w:r w:rsidRPr="000E51C9">
        <w:t>Except for</w:t>
      </w:r>
      <w:r w:rsidR="00487F77" w:rsidRPr="000E51C9">
        <w:t xml:space="preserve"> the Revised </w:t>
      </w:r>
      <w:proofErr w:type="spellStart"/>
      <w:r w:rsidR="00487F77" w:rsidRPr="000E51C9">
        <w:t>Cotonou</w:t>
      </w:r>
      <w:proofErr w:type="spellEnd"/>
      <w:r w:rsidR="00487F77" w:rsidRPr="000E51C9">
        <w:t xml:space="preserve"> Agreement, all the other agreements are truly African trade agreements between African countrie</w:t>
      </w:r>
      <w:r w:rsidR="002C0383" w:rsidRPr="000E51C9">
        <w:t xml:space="preserve">s. None of them include ISDS, </w:t>
      </w:r>
      <w:r w:rsidR="00487F77" w:rsidRPr="000E51C9">
        <w:t xml:space="preserve">NT </w:t>
      </w:r>
      <w:r w:rsidR="002C0383" w:rsidRPr="000E51C9">
        <w:t xml:space="preserve">or </w:t>
      </w:r>
      <w:r w:rsidR="00487F77" w:rsidRPr="000E51C9">
        <w:t xml:space="preserve">MFN treatment, </w:t>
      </w:r>
      <w:r w:rsidRPr="000E51C9">
        <w:t>apart from</w:t>
      </w:r>
      <w:r w:rsidR="00487F77" w:rsidRPr="000E51C9">
        <w:t xml:space="preserve"> the ECOWAS Energy Protocol. The latter includes the core standards of investment protection</w:t>
      </w:r>
      <w:r w:rsidR="00487F77" w:rsidRPr="000E51C9">
        <w:rPr>
          <w:rStyle w:val="Funotenzeichen"/>
        </w:rPr>
        <w:footnoteReference w:id="103"/>
      </w:r>
      <w:r w:rsidR="00487F77" w:rsidRPr="000E51C9">
        <w:t xml:space="preserve"> and three methods of ISDS: domestic courts, previously agreed dispute settlement procedures or international arbitration under the ICSID AR/AFR, the UNCITRAL AR, the Stockholm Chamber of Commerce or the </w:t>
      </w:r>
      <w:r w:rsidR="00C63B0F" w:rsidRPr="000E51C9">
        <w:t>O</w:t>
      </w:r>
      <w:r w:rsidR="00487F77" w:rsidRPr="000E51C9">
        <w:t>rgani</w:t>
      </w:r>
      <w:r w:rsidR="00C63B0F" w:rsidRPr="000E51C9">
        <w:t>s</w:t>
      </w:r>
      <w:r w:rsidR="00487F77" w:rsidRPr="000E51C9">
        <w:t>ation for the Harmonization of Trade Laws in Africa.</w:t>
      </w:r>
      <w:r w:rsidR="00487F77" w:rsidRPr="000E51C9">
        <w:rPr>
          <w:rStyle w:val="Funotenzeichen"/>
        </w:rPr>
        <w:footnoteReference w:id="104"/>
      </w:r>
      <w:r w:rsidR="00487F77" w:rsidRPr="000E51C9">
        <w:t xml:space="preserve"> The Tripartite Agreement in Article 45, the EAC in Articles 79-80 and the Revised </w:t>
      </w:r>
      <w:proofErr w:type="spellStart"/>
      <w:r w:rsidR="00487F77" w:rsidRPr="000E51C9">
        <w:t>Cotonou</w:t>
      </w:r>
      <w:proofErr w:type="spellEnd"/>
      <w:r w:rsidR="00487F77" w:rsidRPr="000E51C9">
        <w:t xml:space="preserve"> Agreement in Articles 21 and 78 also provide that the contracting parties shall seek further cooperation on investment protection.</w:t>
      </w:r>
    </w:p>
    <w:p w14:paraId="25D14185" w14:textId="72916E95" w:rsidR="001D6763" w:rsidRPr="000E51C9" w:rsidRDefault="001D6763" w:rsidP="007D559F">
      <w:pPr>
        <w:spacing w:line="360" w:lineRule="auto"/>
        <w:ind w:firstLine="288"/>
        <w:jc w:val="both"/>
      </w:pPr>
      <w:r w:rsidRPr="000E51C9">
        <w:t xml:space="preserve">One may conclude that the African PTAs analysed paint a different picture from their </w:t>
      </w:r>
      <w:r w:rsidR="00EE0F00" w:rsidRPr="000E51C9">
        <w:t>US, Canadian or Japanese</w:t>
      </w:r>
      <w:r w:rsidRPr="000E51C9">
        <w:t xml:space="preserve"> counterparts, since most of them do not include the traditional standards </w:t>
      </w:r>
      <w:r w:rsidRPr="000E51C9">
        <w:lastRenderedPageBreak/>
        <w:t xml:space="preserve">of investment protection or ISDS. </w:t>
      </w:r>
      <w:r w:rsidR="00F856E4" w:rsidRPr="000E51C9">
        <w:t>Regarding</w:t>
      </w:r>
      <w:r w:rsidRPr="000E51C9">
        <w:t xml:space="preserve"> PTAs with non-African states</w:t>
      </w:r>
      <w:r w:rsidR="00C63B0F" w:rsidRPr="000E51C9">
        <w:t>,</w:t>
      </w:r>
      <w:r w:rsidRPr="000E51C9">
        <w:t xml:space="preserve"> a possible explanation might be the abundance of existing BITs between these parties. </w:t>
      </w:r>
      <w:r w:rsidR="00F856E4" w:rsidRPr="000E51C9">
        <w:t>When it comes to</w:t>
      </w:r>
      <w:r w:rsidRPr="000E51C9">
        <w:t xml:space="preserve"> the regional trade agreements</w:t>
      </w:r>
      <w:r w:rsidR="00C63B0F" w:rsidRPr="000E51C9">
        <w:t>,</w:t>
      </w:r>
      <w:r w:rsidRPr="000E51C9">
        <w:t xml:space="preserve"> there are two explanations. First, most countries that share </w:t>
      </w:r>
      <w:proofErr w:type="gramStart"/>
      <w:r w:rsidRPr="000E51C9">
        <w:t>membership in at least one regional organi</w:t>
      </w:r>
      <w:r w:rsidR="00C63B0F" w:rsidRPr="000E51C9">
        <w:t>s</w:t>
      </w:r>
      <w:r w:rsidRPr="000E51C9">
        <w:t>ation have</w:t>
      </w:r>
      <w:proofErr w:type="gramEnd"/>
      <w:r w:rsidRPr="000E51C9">
        <w:t xml:space="preserve"> concluded separate BITs between each other.</w:t>
      </w:r>
      <w:r w:rsidRPr="000E51C9">
        <w:rPr>
          <w:rStyle w:val="Funotenzeichen"/>
        </w:rPr>
        <w:t xml:space="preserve"> </w:t>
      </w:r>
      <w:r w:rsidRPr="000E51C9">
        <w:rPr>
          <w:rStyle w:val="Funotenzeichen"/>
        </w:rPr>
        <w:footnoteReference w:id="105"/>
      </w:r>
      <w:r w:rsidRPr="000E51C9">
        <w:t xml:space="preserve"> Second, regional organi</w:t>
      </w:r>
      <w:r w:rsidR="00C63B0F" w:rsidRPr="000E51C9">
        <w:t>s</w:t>
      </w:r>
      <w:r w:rsidRPr="000E51C9">
        <w:t>ations such as COMESA, ECOWAS or SADC have signed either a regional protocol</w:t>
      </w:r>
      <w:r w:rsidR="00C63B0F" w:rsidRPr="000E51C9">
        <w:t xml:space="preserve"> or</w:t>
      </w:r>
      <w:r w:rsidRPr="000E51C9">
        <w:t xml:space="preserve"> some regional regulation</w:t>
      </w:r>
      <w:r w:rsidR="00C63B0F" w:rsidRPr="000E51C9">
        <w:t>s</w:t>
      </w:r>
      <w:r w:rsidRPr="000E51C9">
        <w:t xml:space="preserve"> related to investment or are developing model regional investment agreements.</w:t>
      </w:r>
      <w:r w:rsidRPr="000E51C9">
        <w:rPr>
          <w:rStyle w:val="Funotenzeichen"/>
        </w:rPr>
        <w:footnoteReference w:id="106"/>
      </w:r>
      <w:r w:rsidRPr="000E51C9">
        <w:t xml:space="preserve">  </w:t>
      </w:r>
    </w:p>
    <w:p w14:paraId="751C1D1E" w14:textId="77777777" w:rsidR="0014629F" w:rsidRPr="000E51C9" w:rsidRDefault="0014629F" w:rsidP="001D6763">
      <w:pPr>
        <w:spacing w:line="360" w:lineRule="auto"/>
        <w:ind w:firstLine="426"/>
        <w:jc w:val="both"/>
      </w:pPr>
    </w:p>
    <w:p w14:paraId="2027B012" w14:textId="183CE288" w:rsidR="000F22E2" w:rsidRPr="000E51C9" w:rsidRDefault="00BB279F" w:rsidP="00F6726A">
      <w:pPr>
        <w:spacing w:line="360" w:lineRule="auto"/>
        <w:jc w:val="both"/>
        <w:rPr>
          <w:b/>
          <w:sz w:val="20"/>
          <w:szCs w:val="20"/>
        </w:rPr>
      </w:pPr>
      <w:r w:rsidRPr="000E51C9">
        <w:rPr>
          <w:b/>
          <w:sz w:val="20"/>
          <w:szCs w:val="20"/>
        </w:rPr>
        <w:t>Table X.4</w:t>
      </w:r>
      <w:r w:rsidR="000F22E2" w:rsidRPr="000E51C9">
        <w:rPr>
          <w:b/>
          <w:sz w:val="20"/>
          <w:szCs w:val="20"/>
        </w:rPr>
        <w:t xml:space="preserve"> </w:t>
      </w:r>
      <w:r w:rsidR="000F22E2" w:rsidRPr="000E51C9">
        <w:rPr>
          <w:sz w:val="20"/>
          <w:szCs w:val="20"/>
        </w:rPr>
        <w:t>P</w:t>
      </w:r>
      <w:r w:rsidR="00837D06" w:rsidRPr="000E51C9">
        <w:rPr>
          <w:sz w:val="20"/>
          <w:szCs w:val="20"/>
        </w:rPr>
        <w:t>ost-NAFTA Afri</w:t>
      </w:r>
      <w:r w:rsidR="000F22E2" w:rsidRPr="000E51C9">
        <w:rPr>
          <w:sz w:val="20"/>
          <w:szCs w:val="20"/>
        </w:rPr>
        <w:t>can PTAs</w:t>
      </w:r>
    </w:p>
    <w:tbl>
      <w:tblPr>
        <w:tblStyle w:val="Tabellenraster"/>
        <w:tblW w:w="9606" w:type="dxa"/>
        <w:tblLayout w:type="fixed"/>
        <w:tblLook w:val="04A0" w:firstRow="1" w:lastRow="0" w:firstColumn="1" w:lastColumn="0" w:noHBand="0" w:noVBand="1"/>
      </w:tblPr>
      <w:tblGrid>
        <w:gridCol w:w="1101"/>
        <w:gridCol w:w="567"/>
        <w:gridCol w:w="567"/>
        <w:gridCol w:w="567"/>
        <w:gridCol w:w="567"/>
        <w:gridCol w:w="567"/>
        <w:gridCol w:w="567"/>
        <w:gridCol w:w="567"/>
        <w:gridCol w:w="567"/>
        <w:gridCol w:w="567"/>
        <w:gridCol w:w="567"/>
        <w:gridCol w:w="567"/>
        <w:gridCol w:w="567"/>
        <w:gridCol w:w="567"/>
        <w:gridCol w:w="567"/>
        <w:gridCol w:w="567"/>
      </w:tblGrid>
      <w:tr w:rsidR="000F22E2" w:rsidRPr="000E51C9" w14:paraId="36D6B707" w14:textId="77777777" w:rsidTr="00460D6B">
        <w:trPr>
          <w:trHeight w:val="379"/>
        </w:trPr>
        <w:tc>
          <w:tcPr>
            <w:tcW w:w="1101" w:type="dxa"/>
            <w:vMerge w:val="restart"/>
          </w:tcPr>
          <w:p w14:paraId="2D01A539" w14:textId="77777777" w:rsidR="005A3821" w:rsidRPr="000E51C9" w:rsidRDefault="000F22E2" w:rsidP="0014629F">
            <w:pPr>
              <w:spacing w:line="240" w:lineRule="auto"/>
              <w:jc w:val="both"/>
              <w:rPr>
                <w:b/>
                <w:sz w:val="20"/>
                <w:szCs w:val="20"/>
              </w:rPr>
            </w:pPr>
            <w:r w:rsidRPr="000E51C9">
              <w:rPr>
                <w:b/>
                <w:sz w:val="20"/>
                <w:szCs w:val="20"/>
              </w:rPr>
              <w:t>States</w:t>
            </w:r>
            <w:r w:rsidR="005A3821" w:rsidRPr="000E51C9">
              <w:rPr>
                <w:b/>
                <w:sz w:val="20"/>
                <w:szCs w:val="20"/>
              </w:rPr>
              <w:t>/</w:t>
            </w:r>
          </w:p>
          <w:p w14:paraId="2D9A64DA" w14:textId="332C4BBB" w:rsidR="000F22E2" w:rsidRPr="000E51C9" w:rsidRDefault="005A3821" w:rsidP="0014629F">
            <w:pPr>
              <w:spacing w:line="240" w:lineRule="auto"/>
              <w:jc w:val="both"/>
              <w:rPr>
                <w:b/>
                <w:sz w:val="20"/>
                <w:szCs w:val="20"/>
              </w:rPr>
            </w:pPr>
            <w:r w:rsidRPr="000E51C9">
              <w:rPr>
                <w:b/>
                <w:sz w:val="20"/>
                <w:szCs w:val="20"/>
              </w:rPr>
              <w:t>REIOs</w:t>
            </w:r>
          </w:p>
        </w:tc>
        <w:tc>
          <w:tcPr>
            <w:tcW w:w="567" w:type="dxa"/>
            <w:vMerge w:val="restart"/>
          </w:tcPr>
          <w:p w14:paraId="171BCF85" w14:textId="77777777" w:rsidR="000F22E2" w:rsidRPr="000E51C9" w:rsidRDefault="000F22E2" w:rsidP="0014629F">
            <w:pPr>
              <w:spacing w:line="240" w:lineRule="auto"/>
              <w:ind w:left="-108" w:right="-108"/>
              <w:jc w:val="center"/>
              <w:rPr>
                <w:b/>
                <w:sz w:val="20"/>
                <w:szCs w:val="20"/>
              </w:rPr>
            </w:pPr>
            <w:r w:rsidRPr="000E51C9">
              <w:rPr>
                <w:b/>
                <w:sz w:val="20"/>
                <w:szCs w:val="20"/>
              </w:rPr>
              <w:t>PTA</w:t>
            </w:r>
          </w:p>
        </w:tc>
        <w:tc>
          <w:tcPr>
            <w:tcW w:w="4536" w:type="dxa"/>
            <w:gridSpan w:val="8"/>
          </w:tcPr>
          <w:p w14:paraId="20F4F05E" w14:textId="77777777" w:rsidR="000F22E2" w:rsidRPr="000E51C9" w:rsidRDefault="000F22E2" w:rsidP="0014629F">
            <w:pPr>
              <w:spacing w:line="240" w:lineRule="auto"/>
              <w:jc w:val="center"/>
              <w:rPr>
                <w:b/>
                <w:sz w:val="20"/>
                <w:szCs w:val="20"/>
              </w:rPr>
            </w:pPr>
            <w:r w:rsidRPr="000E51C9">
              <w:rPr>
                <w:b/>
                <w:sz w:val="20"/>
                <w:szCs w:val="20"/>
              </w:rPr>
              <w:t xml:space="preserve">Standards of investment protection </w:t>
            </w:r>
          </w:p>
        </w:tc>
        <w:tc>
          <w:tcPr>
            <w:tcW w:w="3402" w:type="dxa"/>
            <w:gridSpan w:val="6"/>
          </w:tcPr>
          <w:p w14:paraId="6FB611D3" w14:textId="77777777" w:rsidR="000F22E2" w:rsidRPr="000E51C9" w:rsidRDefault="000F22E2" w:rsidP="0014629F">
            <w:pPr>
              <w:spacing w:line="240" w:lineRule="auto"/>
              <w:jc w:val="center"/>
              <w:rPr>
                <w:b/>
                <w:sz w:val="20"/>
                <w:szCs w:val="20"/>
              </w:rPr>
            </w:pPr>
            <w:r w:rsidRPr="000E51C9">
              <w:rPr>
                <w:b/>
                <w:sz w:val="20"/>
                <w:szCs w:val="20"/>
              </w:rPr>
              <w:t>ISDS</w:t>
            </w:r>
          </w:p>
        </w:tc>
      </w:tr>
      <w:tr w:rsidR="000F22E2" w:rsidRPr="000E51C9" w14:paraId="675EED6D" w14:textId="77777777" w:rsidTr="00460D6B">
        <w:trPr>
          <w:trHeight w:val="215"/>
        </w:trPr>
        <w:tc>
          <w:tcPr>
            <w:tcW w:w="1101" w:type="dxa"/>
            <w:vMerge/>
          </w:tcPr>
          <w:p w14:paraId="66384642" w14:textId="77777777" w:rsidR="000F22E2" w:rsidRPr="000E51C9" w:rsidRDefault="000F22E2" w:rsidP="0014629F">
            <w:pPr>
              <w:spacing w:line="240" w:lineRule="auto"/>
              <w:jc w:val="both"/>
              <w:rPr>
                <w:b/>
                <w:sz w:val="20"/>
                <w:szCs w:val="20"/>
              </w:rPr>
            </w:pPr>
          </w:p>
        </w:tc>
        <w:tc>
          <w:tcPr>
            <w:tcW w:w="567" w:type="dxa"/>
            <w:vMerge/>
          </w:tcPr>
          <w:p w14:paraId="17EC2D18" w14:textId="77777777" w:rsidR="000F22E2" w:rsidRPr="000E51C9" w:rsidRDefault="000F22E2" w:rsidP="0014629F">
            <w:pPr>
              <w:spacing w:line="240" w:lineRule="auto"/>
              <w:jc w:val="both"/>
              <w:rPr>
                <w:b/>
                <w:sz w:val="20"/>
                <w:szCs w:val="20"/>
              </w:rPr>
            </w:pPr>
          </w:p>
        </w:tc>
        <w:tc>
          <w:tcPr>
            <w:tcW w:w="1134" w:type="dxa"/>
            <w:gridSpan w:val="2"/>
          </w:tcPr>
          <w:p w14:paraId="5A8AA066" w14:textId="77777777" w:rsidR="000F22E2" w:rsidRPr="000E51C9" w:rsidRDefault="000F22E2" w:rsidP="0014629F">
            <w:pPr>
              <w:spacing w:line="240" w:lineRule="auto"/>
              <w:jc w:val="center"/>
              <w:rPr>
                <w:b/>
                <w:sz w:val="20"/>
                <w:szCs w:val="20"/>
              </w:rPr>
            </w:pPr>
            <w:r w:rsidRPr="000E51C9">
              <w:rPr>
                <w:b/>
                <w:sz w:val="20"/>
                <w:szCs w:val="20"/>
              </w:rPr>
              <w:t>NT</w:t>
            </w:r>
          </w:p>
        </w:tc>
        <w:tc>
          <w:tcPr>
            <w:tcW w:w="1134" w:type="dxa"/>
            <w:gridSpan w:val="2"/>
          </w:tcPr>
          <w:p w14:paraId="1338491E" w14:textId="77777777" w:rsidR="000F22E2" w:rsidRPr="000E51C9" w:rsidRDefault="000F22E2" w:rsidP="0014629F">
            <w:pPr>
              <w:spacing w:line="240" w:lineRule="auto"/>
              <w:jc w:val="center"/>
              <w:rPr>
                <w:b/>
                <w:sz w:val="20"/>
                <w:szCs w:val="20"/>
              </w:rPr>
            </w:pPr>
            <w:r w:rsidRPr="000E51C9">
              <w:rPr>
                <w:b/>
                <w:sz w:val="20"/>
                <w:szCs w:val="20"/>
              </w:rPr>
              <w:t>MFN</w:t>
            </w:r>
          </w:p>
        </w:tc>
        <w:tc>
          <w:tcPr>
            <w:tcW w:w="1134" w:type="dxa"/>
            <w:gridSpan w:val="2"/>
          </w:tcPr>
          <w:p w14:paraId="7159B220" w14:textId="77777777" w:rsidR="000F22E2" w:rsidRPr="000E51C9" w:rsidRDefault="000F22E2" w:rsidP="0014629F">
            <w:pPr>
              <w:spacing w:line="240" w:lineRule="auto"/>
              <w:jc w:val="center"/>
              <w:rPr>
                <w:b/>
                <w:sz w:val="20"/>
                <w:szCs w:val="20"/>
              </w:rPr>
            </w:pPr>
            <w:proofErr w:type="spellStart"/>
            <w:r w:rsidRPr="000E51C9">
              <w:rPr>
                <w:b/>
                <w:sz w:val="20"/>
                <w:szCs w:val="20"/>
              </w:rPr>
              <w:t>Exprop</w:t>
            </w:r>
            <w:proofErr w:type="spellEnd"/>
            <w:r w:rsidRPr="000E51C9">
              <w:rPr>
                <w:b/>
                <w:sz w:val="20"/>
                <w:szCs w:val="20"/>
              </w:rPr>
              <w:t>.</w:t>
            </w:r>
          </w:p>
        </w:tc>
        <w:tc>
          <w:tcPr>
            <w:tcW w:w="1134" w:type="dxa"/>
            <w:gridSpan w:val="2"/>
          </w:tcPr>
          <w:p w14:paraId="1913789A" w14:textId="77777777" w:rsidR="000F22E2" w:rsidRPr="000E51C9" w:rsidRDefault="000F22E2" w:rsidP="0014629F">
            <w:pPr>
              <w:spacing w:line="240" w:lineRule="auto"/>
              <w:jc w:val="center"/>
              <w:rPr>
                <w:b/>
                <w:sz w:val="20"/>
                <w:szCs w:val="20"/>
              </w:rPr>
            </w:pPr>
            <w:r w:rsidRPr="000E51C9">
              <w:rPr>
                <w:b/>
                <w:sz w:val="20"/>
                <w:szCs w:val="20"/>
              </w:rPr>
              <w:t>Extra</w:t>
            </w:r>
          </w:p>
        </w:tc>
        <w:tc>
          <w:tcPr>
            <w:tcW w:w="1134" w:type="dxa"/>
            <w:gridSpan w:val="2"/>
          </w:tcPr>
          <w:p w14:paraId="1B0672E8" w14:textId="77777777" w:rsidR="000F22E2" w:rsidRPr="000E51C9" w:rsidRDefault="000F22E2" w:rsidP="0014629F">
            <w:pPr>
              <w:spacing w:line="240" w:lineRule="auto"/>
              <w:ind w:right="-108"/>
              <w:jc w:val="both"/>
              <w:rPr>
                <w:b/>
                <w:sz w:val="20"/>
                <w:szCs w:val="20"/>
              </w:rPr>
            </w:pPr>
            <w:r w:rsidRPr="000E51C9">
              <w:rPr>
                <w:b/>
                <w:sz w:val="20"/>
                <w:szCs w:val="20"/>
              </w:rPr>
              <w:t>Just ICSID</w:t>
            </w:r>
          </w:p>
        </w:tc>
        <w:tc>
          <w:tcPr>
            <w:tcW w:w="1134" w:type="dxa"/>
            <w:gridSpan w:val="2"/>
          </w:tcPr>
          <w:p w14:paraId="6172E248" w14:textId="77777777" w:rsidR="000F22E2" w:rsidRPr="000E51C9" w:rsidRDefault="000F22E2" w:rsidP="0014629F">
            <w:pPr>
              <w:spacing w:line="240" w:lineRule="auto"/>
              <w:jc w:val="both"/>
              <w:rPr>
                <w:b/>
                <w:sz w:val="20"/>
                <w:szCs w:val="20"/>
              </w:rPr>
            </w:pPr>
            <w:r w:rsidRPr="000E51C9">
              <w:rPr>
                <w:b/>
                <w:sz w:val="20"/>
                <w:szCs w:val="20"/>
              </w:rPr>
              <w:t>ICSID +</w:t>
            </w:r>
          </w:p>
        </w:tc>
        <w:tc>
          <w:tcPr>
            <w:tcW w:w="1134" w:type="dxa"/>
            <w:gridSpan w:val="2"/>
          </w:tcPr>
          <w:p w14:paraId="0F5FC03F" w14:textId="77777777" w:rsidR="000F22E2" w:rsidRPr="000E51C9" w:rsidRDefault="000F22E2" w:rsidP="0014629F">
            <w:pPr>
              <w:spacing w:line="240" w:lineRule="auto"/>
              <w:jc w:val="both"/>
              <w:rPr>
                <w:b/>
                <w:sz w:val="20"/>
                <w:szCs w:val="20"/>
              </w:rPr>
            </w:pPr>
            <w:r w:rsidRPr="000E51C9">
              <w:rPr>
                <w:b/>
                <w:sz w:val="20"/>
                <w:szCs w:val="20"/>
              </w:rPr>
              <w:t>No ISDS</w:t>
            </w:r>
          </w:p>
        </w:tc>
      </w:tr>
      <w:tr w:rsidR="000F22E2" w:rsidRPr="000E51C9" w14:paraId="7364C169" w14:textId="77777777" w:rsidTr="00460D6B">
        <w:trPr>
          <w:trHeight w:val="215"/>
        </w:trPr>
        <w:tc>
          <w:tcPr>
            <w:tcW w:w="1101" w:type="dxa"/>
            <w:vMerge/>
          </w:tcPr>
          <w:p w14:paraId="3FC765CF" w14:textId="77777777" w:rsidR="000F22E2" w:rsidRPr="000E51C9" w:rsidRDefault="000F22E2" w:rsidP="0014629F">
            <w:pPr>
              <w:spacing w:line="240" w:lineRule="auto"/>
              <w:jc w:val="both"/>
              <w:rPr>
                <w:b/>
                <w:sz w:val="20"/>
                <w:szCs w:val="20"/>
              </w:rPr>
            </w:pPr>
          </w:p>
        </w:tc>
        <w:tc>
          <w:tcPr>
            <w:tcW w:w="567" w:type="dxa"/>
            <w:vMerge/>
          </w:tcPr>
          <w:p w14:paraId="5F998FA9" w14:textId="77777777" w:rsidR="000F22E2" w:rsidRPr="000E51C9" w:rsidRDefault="000F22E2" w:rsidP="0014629F">
            <w:pPr>
              <w:spacing w:line="240" w:lineRule="auto"/>
              <w:jc w:val="both"/>
              <w:rPr>
                <w:b/>
                <w:sz w:val="20"/>
                <w:szCs w:val="20"/>
              </w:rPr>
            </w:pPr>
          </w:p>
        </w:tc>
        <w:tc>
          <w:tcPr>
            <w:tcW w:w="567" w:type="dxa"/>
          </w:tcPr>
          <w:p w14:paraId="212941F4" w14:textId="77777777" w:rsidR="000F22E2" w:rsidRPr="000E51C9" w:rsidRDefault="000F22E2" w:rsidP="0014629F">
            <w:pPr>
              <w:spacing w:line="240" w:lineRule="auto"/>
              <w:jc w:val="center"/>
              <w:rPr>
                <w:sz w:val="20"/>
                <w:szCs w:val="20"/>
              </w:rPr>
            </w:pPr>
            <w:r w:rsidRPr="000E51C9">
              <w:rPr>
                <w:sz w:val="20"/>
                <w:szCs w:val="20"/>
              </w:rPr>
              <w:t>No.</w:t>
            </w:r>
          </w:p>
        </w:tc>
        <w:tc>
          <w:tcPr>
            <w:tcW w:w="567" w:type="dxa"/>
          </w:tcPr>
          <w:p w14:paraId="46D3F546" w14:textId="77777777" w:rsidR="000F22E2" w:rsidRPr="000E51C9" w:rsidRDefault="000F22E2" w:rsidP="0014629F">
            <w:pPr>
              <w:spacing w:line="240" w:lineRule="auto"/>
              <w:jc w:val="center"/>
              <w:rPr>
                <w:b/>
                <w:sz w:val="20"/>
                <w:szCs w:val="20"/>
              </w:rPr>
            </w:pPr>
            <w:r w:rsidRPr="000E51C9">
              <w:rPr>
                <w:b/>
                <w:sz w:val="20"/>
                <w:szCs w:val="20"/>
              </w:rPr>
              <w:t>%</w:t>
            </w:r>
          </w:p>
        </w:tc>
        <w:tc>
          <w:tcPr>
            <w:tcW w:w="567" w:type="dxa"/>
          </w:tcPr>
          <w:p w14:paraId="4C754AC8" w14:textId="77777777" w:rsidR="000F22E2" w:rsidRPr="000E51C9" w:rsidRDefault="000F22E2" w:rsidP="0014629F">
            <w:pPr>
              <w:spacing w:line="240" w:lineRule="auto"/>
              <w:jc w:val="center"/>
              <w:rPr>
                <w:b/>
                <w:sz w:val="20"/>
                <w:szCs w:val="20"/>
              </w:rPr>
            </w:pPr>
            <w:r w:rsidRPr="000E51C9">
              <w:rPr>
                <w:sz w:val="20"/>
                <w:szCs w:val="20"/>
              </w:rPr>
              <w:t>No.</w:t>
            </w:r>
          </w:p>
        </w:tc>
        <w:tc>
          <w:tcPr>
            <w:tcW w:w="567" w:type="dxa"/>
          </w:tcPr>
          <w:p w14:paraId="4AC2B804" w14:textId="77777777" w:rsidR="000F22E2" w:rsidRPr="000E51C9" w:rsidRDefault="000F22E2" w:rsidP="0014629F">
            <w:pPr>
              <w:spacing w:line="240" w:lineRule="auto"/>
              <w:jc w:val="center"/>
              <w:rPr>
                <w:b/>
                <w:sz w:val="20"/>
                <w:szCs w:val="20"/>
              </w:rPr>
            </w:pPr>
            <w:r w:rsidRPr="000E51C9">
              <w:rPr>
                <w:b/>
                <w:sz w:val="20"/>
                <w:szCs w:val="20"/>
              </w:rPr>
              <w:t>%</w:t>
            </w:r>
          </w:p>
        </w:tc>
        <w:tc>
          <w:tcPr>
            <w:tcW w:w="567" w:type="dxa"/>
          </w:tcPr>
          <w:p w14:paraId="2B1A57BB" w14:textId="77777777" w:rsidR="000F22E2" w:rsidRPr="000E51C9" w:rsidRDefault="000F22E2" w:rsidP="0014629F">
            <w:pPr>
              <w:spacing w:line="240" w:lineRule="auto"/>
              <w:jc w:val="center"/>
              <w:rPr>
                <w:b/>
                <w:sz w:val="20"/>
                <w:szCs w:val="20"/>
              </w:rPr>
            </w:pPr>
            <w:r w:rsidRPr="000E51C9">
              <w:rPr>
                <w:sz w:val="20"/>
                <w:szCs w:val="20"/>
              </w:rPr>
              <w:t>No.</w:t>
            </w:r>
          </w:p>
        </w:tc>
        <w:tc>
          <w:tcPr>
            <w:tcW w:w="567" w:type="dxa"/>
          </w:tcPr>
          <w:p w14:paraId="2CA47874" w14:textId="77777777" w:rsidR="000F22E2" w:rsidRPr="000E51C9" w:rsidRDefault="000F22E2" w:rsidP="0014629F">
            <w:pPr>
              <w:spacing w:line="240" w:lineRule="auto"/>
              <w:jc w:val="center"/>
              <w:rPr>
                <w:b/>
                <w:sz w:val="20"/>
                <w:szCs w:val="20"/>
              </w:rPr>
            </w:pPr>
            <w:r w:rsidRPr="000E51C9">
              <w:rPr>
                <w:b/>
                <w:sz w:val="20"/>
                <w:szCs w:val="20"/>
              </w:rPr>
              <w:t>%</w:t>
            </w:r>
          </w:p>
        </w:tc>
        <w:tc>
          <w:tcPr>
            <w:tcW w:w="567" w:type="dxa"/>
          </w:tcPr>
          <w:p w14:paraId="3CADB39C" w14:textId="77777777" w:rsidR="000F22E2" w:rsidRPr="000E51C9" w:rsidRDefault="000F22E2" w:rsidP="0014629F">
            <w:pPr>
              <w:spacing w:line="240" w:lineRule="auto"/>
              <w:jc w:val="center"/>
              <w:rPr>
                <w:b/>
                <w:sz w:val="20"/>
                <w:szCs w:val="20"/>
              </w:rPr>
            </w:pPr>
            <w:r w:rsidRPr="000E51C9">
              <w:rPr>
                <w:sz w:val="20"/>
                <w:szCs w:val="20"/>
              </w:rPr>
              <w:t>No.</w:t>
            </w:r>
          </w:p>
        </w:tc>
        <w:tc>
          <w:tcPr>
            <w:tcW w:w="567" w:type="dxa"/>
          </w:tcPr>
          <w:p w14:paraId="6ED04DB9" w14:textId="77777777" w:rsidR="000F22E2" w:rsidRPr="000E51C9" w:rsidRDefault="000F22E2" w:rsidP="0014629F">
            <w:pPr>
              <w:spacing w:line="240" w:lineRule="auto"/>
              <w:jc w:val="center"/>
              <w:rPr>
                <w:b/>
                <w:sz w:val="20"/>
                <w:szCs w:val="20"/>
              </w:rPr>
            </w:pPr>
            <w:r w:rsidRPr="000E51C9">
              <w:rPr>
                <w:b/>
                <w:sz w:val="20"/>
                <w:szCs w:val="20"/>
              </w:rPr>
              <w:t>%</w:t>
            </w:r>
          </w:p>
        </w:tc>
        <w:tc>
          <w:tcPr>
            <w:tcW w:w="567" w:type="dxa"/>
          </w:tcPr>
          <w:p w14:paraId="48429B2E" w14:textId="77777777" w:rsidR="000F22E2" w:rsidRPr="000E51C9" w:rsidRDefault="000F22E2" w:rsidP="0014629F">
            <w:pPr>
              <w:spacing w:line="240" w:lineRule="auto"/>
              <w:jc w:val="center"/>
              <w:rPr>
                <w:b/>
                <w:sz w:val="20"/>
                <w:szCs w:val="20"/>
              </w:rPr>
            </w:pPr>
            <w:r w:rsidRPr="000E51C9">
              <w:rPr>
                <w:sz w:val="20"/>
                <w:szCs w:val="20"/>
              </w:rPr>
              <w:t>No.</w:t>
            </w:r>
          </w:p>
        </w:tc>
        <w:tc>
          <w:tcPr>
            <w:tcW w:w="567" w:type="dxa"/>
          </w:tcPr>
          <w:p w14:paraId="3E481FFC" w14:textId="77777777" w:rsidR="000F22E2" w:rsidRPr="000E51C9" w:rsidRDefault="000F22E2" w:rsidP="0014629F">
            <w:pPr>
              <w:spacing w:line="240" w:lineRule="auto"/>
              <w:jc w:val="center"/>
              <w:rPr>
                <w:b/>
                <w:sz w:val="20"/>
                <w:szCs w:val="20"/>
              </w:rPr>
            </w:pPr>
            <w:r w:rsidRPr="000E51C9">
              <w:rPr>
                <w:b/>
                <w:sz w:val="20"/>
                <w:szCs w:val="20"/>
              </w:rPr>
              <w:t>%</w:t>
            </w:r>
          </w:p>
        </w:tc>
        <w:tc>
          <w:tcPr>
            <w:tcW w:w="567" w:type="dxa"/>
          </w:tcPr>
          <w:p w14:paraId="6FFFCC14" w14:textId="77777777" w:rsidR="000F22E2" w:rsidRPr="000E51C9" w:rsidRDefault="000F22E2" w:rsidP="0014629F">
            <w:pPr>
              <w:spacing w:line="240" w:lineRule="auto"/>
              <w:jc w:val="center"/>
              <w:rPr>
                <w:b/>
                <w:sz w:val="20"/>
                <w:szCs w:val="20"/>
              </w:rPr>
            </w:pPr>
            <w:r w:rsidRPr="000E51C9">
              <w:rPr>
                <w:sz w:val="20"/>
                <w:szCs w:val="20"/>
              </w:rPr>
              <w:t>No.</w:t>
            </w:r>
          </w:p>
        </w:tc>
        <w:tc>
          <w:tcPr>
            <w:tcW w:w="567" w:type="dxa"/>
          </w:tcPr>
          <w:p w14:paraId="43450AAF" w14:textId="77777777" w:rsidR="000F22E2" w:rsidRPr="000E51C9" w:rsidRDefault="000F22E2" w:rsidP="0014629F">
            <w:pPr>
              <w:spacing w:line="240" w:lineRule="auto"/>
              <w:jc w:val="center"/>
              <w:rPr>
                <w:b/>
                <w:sz w:val="20"/>
                <w:szCs w:val="20"/>
              </w:rPr>
            </w:pPr>
            <w:r w:rsidRPr="000E51C9">
              <w:rPr>
                <w:b/>
                <w:sz w:val="20"/>
                <w:szCs w:val="20"/>
              </w:rPr>
              <w:t>%</w:t>
            </w:r>
          </w:p>
        </w:tc>
        <w:tc>
          <w:tcPr>
            <w:tcW w:w="567" w:type="dxa"/>
          </w:tcPr>
          <w:p w14:paraId="4AB7B94F" w14:textId="77777777" w:rsidR="000F22E2" w:rsidRPr="000E51C9" w:rsidRDefault="000F22E2" w:rsidP="0014629F">
            <w:pPr>
              <w:spacing w:line="240" w:lineRule="auto"/>
              <w:jc w:val="center"/>
              <w:rPr>
                <w:b/>
                <w:sz w:val="20"/>
                <w:szCs w:val="20"/>
              </w:rPr>
            </w:pPr>
            <w:r w:rsidRPr="000E51C9">
              <w:rPr>
                <w:sz w:val="20"/>
                <w:szCs w:val="20"/>
              </w:rPr>
              <w:t>No.</w:t>
            </w:r>
          </w:p>
        </w:tc>
        <w:tc>
          <w:tcPr>
            <w:tcW w:w="567" w:type="dxa"/>
          </w:tcPr>
          <w:p w14:paraId="054CEE75" w14:textId="77777777" w:rsidR="000F22E2" w:rsidRPr="000E51C9" w:rsidRDefault="000F22E2" w:rsidP="0014629F">
            <w:pPr>
              <w:spacing w:line="240" w:lineRule="auto"/>
              <w:jc w:val="center"/>
              <w:rPr>
                <w:b/>
                <w:sz w:val="20"/>
                <w:szCs w:val="20"/>
              </w:rPr>
            </w:pPr>
            <w:r w:rsidRPr="000E51C9">
              <w:rPr>
                <w:b/>
                <w:sz w:val="20"/>
                <w:szCs w:val="20"/>
              </w:rPr>
              <w:t>%</w:t>
            </w:r>
          </w:p>
        </w:tc>
      </w:tr>
      <w:tr w:rsidR="000F22E2" w:rsidRPr="000E51C9" w14:paraId="11845D0A" w14:textId="77777777" w:rsidTr="00460D6B">
        <w:trPr>
          <w:trHeight w:val="456"/>
        </w:trPr>
        <w:tc>
          <w:tcPr>
            <w:tcW w:w="1101" w:type="dxa"/>
          </w:tcPr>
          <w:p w14:paraId="7B5CE136" w14:textId="77777777" w:rsidR="000F22E2" w:rsidRPr="000E51C9" w:rsidRDefault="000F22E2" w:rsidP="0014629F">
            <w:pPr>
              <w:spacing w:line="240" w:lineRule="auto"/>
              <w:jc w:val="both"/>
              <w:rPr>
                <w:b/>
                <w:sz w:val="20"/>
                <w:szCs w:val="20"/>
              </w:rPr>
            </w:pPr>
            <w:r w:rsidRPr="000E51C9">
              <w:rPr>
                <w:b/>
                <w:sz w:val="20"/>
                <w:szCs w:val="20"/>
              </w:rPr>
              <w:t>S. Africa*</w:t>
            </w:r>
          </w:p>
        </w:tc>
        <w:tc>
          <w:tcPr>
            <w:tcW w:w="567" w:type="dxa"/>
          </w:tcPr>
          <w:p w14:paraId="3538CF6D" w14:textId="77777777" w:rsidR="000F22E2" w:rsidRPr="000E51C9" w:rsidRDefault="000F22E2" w:rsidP="0014629F">
            <w:pPr>
              <w:spacing w:line="240" w:lineRule="auto"/>
              <w:jc w:val="center"/>
              <w:rPr>
                <w:sz w:val="20"/>
                <w:szCs w:val="20"/>
              </w:rPr>
            </w:pPr>
            <w:r w:rsidRPr="000E51C9">
              <w:rPr>
                <w:sz w:val="20"/>
                <w:szCs w:val="20"/>
              </w:rPr>
              <w:t>6</w:t>
            </w:r>
          </w:p>
        </w:tc>
        <w:tc>
          <w:tcPr>
            <w:tcW w:w="567" w:type="dxa"/>
            <w:tcBorders>
              <w:right w:val="dashed" w:sz="4" w:space="0" w:color="auto"/>
            </w:tcBorders>
          </w:tcPr>
          <w:p w14:paraId="5F7A5758" w14:textId="77777777" w:rsidR="000F22E2" w:rsidRPr="000E51C9" w:rsidRDefault="000F22E2" w:rsidP="0014629F">
            <w:pPr>
              <w:spacing w:line="240" w:lineRule="auto"/>
              <w:jc w:val="center"/>
              <w:rPr>
                <w:sz w:val="20"/>
                <w:szCs w:val="20"/>
              </w:rPr>
            </w:pPr>
            <w:r w:rsidRPr="000E51C9">
              <w:rPr>
                <w:sz w:val="20"/>
                <w:szCs w:val="20"/>
              </w:rPr>
              <w:t>0</w:t>
            </w:r>
          </w:p>
        </w:tc>
        <w:tc>
          <w:tcPr>
            <w:tcW w:w="567" w:type="dxa"/>
            <w:tcBorders>
              <w:left w:val="dashed" w:sz="4" w:space="0" w:color="auto"/>
            </w:tcBorders>
          </w:tcPr>
          <w:p w14:paraId="7375C77F" w14:textId="77777777" w:rsidR="000F22E2" w:rsidRPr="000E51C9" w:rsidRDefault="000F22E2" w:rsidP="0014629F">
            <w:pPr>
              <w:spacing w:line="240" w:lineRule="auto"/>
              <w:jc w:val="center"/>
              <w:rPr>
                <w:sz w:val="20"/>
                <w:szCs w:val="20"/>
              </w:rPr>
            </w:pPr>
            <w:r w:rsidRPr="000E51C9">
              <w:rPr>
                <w:sz w:val="20"/>
                <w:szCs w:val="20"/>
              </w:rPr>
              <w:t>-</w:t>
            </w:r>
          </w:p>
        </w:tc>
        <w:tc>
          <w:tcPr>
            <w:tcW w:w="567" w:type="dxa"/>
            <w:tcBorders>
              <w:right w:val="dashed" w:sz="4" w:space="0" w:color="auto"/>
            </w:tcBorders>
          </w:tcPr>
          <w:p w14:paraId="08734EFF" w14:textId="77777777" w:rsidR="000F22E2" w:rsidRPr="000E51C9" w:rsidRDefault="000F22E2" w:rsidP="0014629F">
            <w:pPr>
              <w:spacing w:line="240" w:lineRule="auto"/>
              <w:jc w:val="center"/>
              <w:rPr>
                <w:sz w:val="20"/>
                <w:szCs w:val="20"/>
              </w:rPr>
            </w:pPr>
            <w:r w:rsidRPr="000E51C9">
              <w:rPr>
                <w:sz w:val="20"/>
                <w:szCs w:val="20"/>
              </w:rPr>
              <w:t>0</w:t>
            </w:r>
          </w:p>
        </w:tc>
        <w:tc>
          <w:tcPr>
            <w:tcW w:w="567" w:type="dxa"/>
            <w:tcBorders>
              <w:left w:val="dashed" w:sz="4" w:space="0" w:color="auto"/>
            </w:tcBorders>
          </w:tcPr>
          <w:p w14:paraId="4AAA49DA" w14:textId="77777777" w:rsidR="000F22E2" w:rsidRPr="000E51C9" w:rsidRDefault="000F22E2" w:rsidP="0014629F">
            <w:pPr>
              <w:spacing w:line="240" w:lineRule="auto"/>
              <w:jc w:val="center"/>
              <w:rPr>
                <w:sz w:val="20"/>
                <w:szCs w:val="20"/>
              </w:rPr>
            </w:pPr>
            <w:r w:rsidRPr="000E51C9">
              <w:rPr>
                <w:sz w:val="20"/>
                <w:szCs w:val="20"/>
              </w:rPr>
              <w:t>-</w:t>
            </w:r>
          </w:p>
        </w:tc>
        <w:tc>
          <w:tcPr>
            <w:tcW w:w="567" w:type="dxa"/>
            <w:tcBorders>
              <w:right w:val="dashed" w:sz="4" w:space="0" w:color="auto"/>
            </w:tcBorders>
          </w:tcPr>
          <w:p w14:paraId="01E01966" w14:textId="77777777" w:rsidR="000F22E2" w:rsidRPr="000E51C9" w:rsidRDefault="000F22E2" w:rsidP="0014629F">
            <w:pPr>
              <w:spacing w:line="240" w:lineRule="auto"/>
              <w:jc w:val="center"/>
              <w:rPr>
                <w:sz w:val="20"/>
                <w:szCs w:val="20"/>
              </w:rPr>
            </w:pPr>
            <w:r w:rsidRPr="000E51C9">
              <w:rPr>
                <w:sz w:val="20"/>
                <w:szCs w:val="20"/>
              </w:rPr>
              <w:t>0</w:t>
            </w:r>
          </w:p>
        </w:tc>
        <w:tc>
          <w:tcPr>
            <w:tcW w:w="567" w:type="dxa"/>
            <w:tcBorders>
              <w:left w:val="dashed" w:sz="4" w:space="0" w:color="auto"/>
            </w:tcBorders>
          </w:tcPr>
          <w:p w14:paraId="0D3B126F" w14:textId="77777777" w:rsidR="000F22E2" w:rsidRPr="000E51C9" w:rsidRDefault="000F22E2" w:rsidP="0014629F">
            <w:pPr>
              <w:spacing w:line="240" w:lineRule="auto"/>
              <w:jc w:val="center"/>
              <w:rPr>
                <w:sz w:val="20"/>
                <w:szCs w:val="20"/>
              </w:rPr>
            </w:pPr>
            <w:r w:rsidRPr="000E51C9">
              <w:rPr>
                <w:sz w:val="20"/>
                <w:szCs w:val="20"/>
              </w:rPr>
              <w:t>-</w:t>
            </w:r>
          </w:p>
        </w:tc>
        <w:tc>
          <w:tcPr>
            <w:tcW w:w="567" w:type="dxa"/>
            <w:tcBorders>
              <w:right w:val="dashed" w:sz="4" w:space="0" w:color="auto"/>
            </w:tcBorders>
          </w:tcPr>
          <w:p w14:paraId="2E3EDE88" w14:textId="77777777" w:rsidR="000F22E2" w:rsidRPr="000E51C9" w:rsidRDefault="000F22E2" w:rsidP="0014629F">
            <w:pPr>
              <w:spacing w:line="240" w:lineRule="auto"/>
              <w:jc w:val="center"/>
              <w:rPr>
                <w:sz w:val="20"/>
                <w:szCs w:val="20"/>
              </w:rPr>
            </w:pPr>
            <w:r w:rsidRPr="000E51C9">
              <w:rPr>
                <w:sz w:val="20"/>
                <w:szCs w:val="20"/>
              </w:rPr>
              <w:t>0</w:t>
            </w:r>
          </w:p>
        </w:tc>
        <w:tc>
          <w:tcPr>
            <w:tcW w:w="567" w:type="dxa"/>
            <w:tcBorders>
              <w:left w:val="dashed" w:sz="4" w:space="0" w:color="auto"/>
            </w:tcBorders>
          </w:tcPr>
          <w:p w14:paraId="3CEBC656" w14:textId="77777777" w:rsidR="000F22E2" w:rsidRPr="000E51C9" w:rsidRDefault="000F22E2" w:rsidP="0014629F">
            <w:pPr>
              <w:spacing w:line="240" w:lineRule="auto"/>
              <w:jc w:val="center"/>
              <w:rPr>
                <w:sz w:val="20"/>
                <w:szCs w:val="20"/>
              </w:rPr>
            </w:pPr>
            <w:r w:rsidRPr="000E51C9">
              <w:rPr>
                <w:sz w:val="20"/>
                <w:szCs w:val="20"/>
              </w:rPr>
              <w:t>-</w:t>
            </w:r>
          </w:p>
        </w:tc>
        <w:tc>
          <w:tcPr>
            <w:tcW w:w="567" w:type="dxa"/>
            <w:tcBorders>
              <w:right w:val="dashed" w:sz="4" w:space="0" w:color="auto"/>
            </w:tcBorders>
          </w:tcPr>
          <w:p w14:paraId="3C24B203" w14:textId="77777777" w:rsidR="000F22E2" w:rsidRPr="000E51C9" w:rsidRDefault="000F22E2" w:rsidP="0014629F">
            <w:pPr>
              <w:spacing w:line="240" w:lineRule="auto"/>
              <w:jc w:val="center"/>
              <w:rPr>
                <w:sz w:val="20"/>
                <w:szCs w:val="20"/>
              </w:rPr>
            </w:pPr>
            <w:r w:rsidRPr="000E51C9">
              <w:rPr>
                <w:sz w:val="20"/>
                <w:szCs w:val="20"/>
              </w:rPr>
              <w:t>0</w:t>
            </w:r>
          </w:p>
        </w:tc>
        <w:tc>
          <w:tcPr>
            <w:tcW w:w="567" w:type="dxa"/>
            <w:tcBorders>
              <w:left w:val="dashed" w:sz="4" w:space="0" w:color="auto"/>
            </w:tcBorders>
          </w:tcPr>
          <w:p w14:paraId="66CDFA60" w14:textId="77777777" w:rsidR="000F22E2" w:rsidRPr="000E51C9" w:rsidRDefault="000F22E2" w:rsidP="0014629F">
            <w:pPr>
              <w:spacing w:line="240" w:lineRule="auto"/>
              <w:jc w:val="center"/>
              <w:rPr>
                <w:sz w:val="20"/>
                <w:szCs w:val="20"/>
              </w:rPr>
            </w:pPr>
            <w:r w:rsidRPr="000E51C9">
              <w:rPr>
                <w:sz w:val="20"/>
                <w:szCs w:val="20"/>
              </w:rPr>
              <w:t>-</w:t>
            </w:r>
          </w:p>
        </w:tc>
        <w:tc>
          <w:tcPr>
            <w:tcW w:w="567" w:type="dxa"/>
            <w:tcBorders>
              <w:right w:val="dashed" w:sz="4" w:space="0" w:color="auto"/>
            </w:tcBorders>
          </w:tcPr>
          <w:p w14:paraId="070B1430" w14:textId="77777777" w:rsidR="000F22E2" w:rsidRPr="000E51C9" w:rsidRDefault="000F22E2" w:rsidP="0014629F">
            <w:pPr>
              <w:spacing w:line="240" w:lineRule="auto"/>
              <w:jc w:val="center"/>
              <w:rPr>
                <w:sz w:val="20"/>
                <w:szCs w:val="20"/>
              </w:rPr>
            </w:pPr>
            <w:r w:rsidRPr="000E51C9">
              <w:rPr>
                <w:sz w:val="20"/>
                <w:szCs w:val="20"/>
              </w:rPr>
              <w:t>0</w:t>
            </w:r>
          </w:p>
        </w:tc>
        <w:tc>
          <w:tcPr>
            <w:tcW w:w="567" w:type="dxa"/>
            <w:tcBorders>
              <w:left w:val="dashed" w:sz="4" w:space="0" w:color="auto"/>
            </w:tcBorders>
          </w:tcPr>
          <w:p w14:paraId="4F122AB6" w14:textId="77777777" w:rsidR="000F22E2" w:rsidRPr="000E51C9" w:rsidRDefault="000F22E2" w:rsidP="0014629F">
            <w:pPr>
              <w:spacing w:line="240" w:lineRule="auto"/>
              <w:jc w:val="center"/>
              <w:rPr>
                <w:sz w:val="20"/>
                <w:szCs w:val="20"/>
              </w:rPr>
            </w:pPr>
            <w:r w:rsidRPr="000E51C9">
              <w:rPr>
                <w:sz w:val="20"/>
                <w:szCs w:val="20"/>
              </w:rPr>
              <w:t>-</w:t>
            </w:r>
          </w:p>
        </w:tc>
        <w:tc>
          <w:tcPr>
            <w:tcW w:w="567" w:type="dxa"/>
            <w:tcBorders>
              <w:left w:val="dashed" w:sz="4" w:space="0" w:color="auto"/>
              <w:right w:val="dashed" w:sz="4" w:space="0" w:color="auto"/>
            </w:tcBorders>
          </w:tcPr>
          <w:p w14:paraId="06FD6794" w14:textId="77777777" w:rsidR="000F22E2" w:rsidRPr="000E51C9" w:rsidRDefault="000F22E2" w:rsidP="0014629F">
            <w:pPr>
              <w:spacing w:line="240" w:lineRule="auto"/>
              <w:jc w:val="center"/>
              <w:rPr>
                <w:sz w:val="20"/>
                <w:szCs w:val="20"/>
              </w:rPr>
            </w:pPr>
            <w:r w:rsidRPr="000E51C9">
              <w:rPr>
                <w:sz w:val="20"/>
                <w:szCs w:val="20"/>
              </w:rPr>
              <w:t>6</w:t>
            </w:r>
          </w:p>
        </w:tc>
        <w:tc>
          <w:tcPr>
            <w:tcW w:w="567" w:type="dxa"/>
            <w:tcBorders>
              <w:left w:val="dashed" w:sz="4" w:space="0" w:color="auto"/>
            </w:tcBorders>
          </w:tcPr>
          <w:p w14:paraId="427B5BFA" w14:textId="77777777" w:rsidR="000F22E2" w:rsidRPr="000E51C9" w:rsidRDefault="000F22E2" w:rsidP="0014629F">
            <w:pPr>
              <w:spacing w:line="240" w:lineRule="auto"/>
              <w:jc w:val="center"/>
              <w:rPr>
                <w:sz w:val="20"/>
                <w:szCs w:val="20"/>
              </w:rPr>
            </w:pPr>
            <w:r w:rsidRPr="000E51C9">
              <w:rPr>
                <w:sz w:val="20"/>
                <w:szCs w:val="20"/>
              </w:rPr>
              <w:t>100</w:t>
            </w:r>
          </w:p>
        </w:tc>
      </w:tr>
      <w:tr w:rsidR="000F22E2" w:rsidRPr="000E51C9" w14:paraId="0742B5FC" w14:textId="77777777" w:rsidTr="00460D6B">
        <w:trPr>
          <w:trHeight w:val="473"/>
        </w:trPr>
        <w:tc>
          <w:tcPr>
            <w:tcW w:w="1101" w:type="dxa"/>
          </w:tcPr>
          <w:p w14:paraId="1DF20C98" w14:textId="77777777" w:rsidR="000F22E2" w:rsidRPr="000E51C9" w:rsidRDefault="000F22E2" w:rsidP="0014629F">
            <w:pPr>
              <w:spacing w:line="240" w:lineRule="auto"/>
              <w:jc w:val="both"/>
              <w:rPr>
                <w:b/>
                <w:sz w:val="20"/>
                <w:szCs w:val="20"/>
              </w:rPr>
            </w:pPr>
            <w:proofErr w:type="spellStart"/>
            <w:r w:rsidRPr="000E51C9">
              <w:rPr>
                <w:b/>
                <w:sz w:val="20"/>
                <w:szCs w:val="20"/>
              </w:rPr>
              <w:t>Moroc</w:t>
            </w:r>
            <w:proofErr w:type="spellEnd"/>
            <w:proofErr w:type="gramStart"/>
            <w:r w:rsidRPr="000E51C9">
              <w:rPr>
                <w:b/>
                <w:sz w:val="20"/>
                <w:szCs w:val="20"/>
              </w:rPr>
              <w:t>.*</w:t>
            </w:r>
            <w:proofErr w:type="gramEnd"/>
            <w:r w:rsidRPr="000E51C9">
              <w:rPr>
                <w:b/>
                <w:sz w:val="20"/>
                <w:szCs w:val="20"/>
              </w:rPr>
              <w:t>*</w:t>
            </w:r>
          </w:p>
        </w:tc>
        <w:tc>
          <w:tcPr>
            <w:tcW w:w="567" w:type="dxa"/>
          </w:tcPr>
          <w:p w14:paraId="69D9F364" w14:textId="77777777" w:rsidR="000F22E2" w:rsidRPr="000E51C9" w:rsidRDefault="000F22E2" w:rsidP="0014629F">
            <w:pPr>
              <w:spacing w:line="240" w:lineRule="auto"/>
              <w:jc w:val="center"/>
              <w:rPr>
                <w:sz w:val="20"/>
                <w:szCs w:val="20"/>
              </w:rPr>
            </w:pPr>
            <w:r w:rsidRPr="000E51C9">
              <w:rPr>
                <w:sz w:val="20"/>
                <w:szCs w:val="20"/>
              </w:rPr>
              <w:t>6</w:t>
            </w:r>
          </w:p>
        </w:tc>
        <w:tc>
          <w:tcPr>
            <w:tcW w:w="567" w:type="dxa"/>
            <w:tcBorders>
              <w:right w:val="dashed" w:sz="4" w:space="0" w:color="auto"/>
            </w:tcBorders>
          </w:tcPr>
          <w:p w14:paraId="695B2ACD" w14:textId="77777777" w:rsidR="000F22E2" w:rsidRPr="000E51C9" w:rsidRDefault="000F22E2" w:rsidP="0014629F">
            <w:pPr>
              <w:spacing w:line="240" w:lineRule="auto"/>
              <w:jc w:val="center"/>
              <w:rPr>
                <w:sz w:val="20"/>
                <w:szCs w:val="20"/>
              </w:rPr>
            </w:pPr>
            <w:r w:rsidRPr="000E51C9">
              <w:rPr>
                <w:sz w:val="20"/>
                <w:szCs w:val="20"/>
              </w:rPr>
              <w:t>1</w:t>
            </w:r>
          </w:p>
        </w:tc>
        <w:tc>
          <w:tcPr>
            <w:tcW w:w="567" w:type="dxa"/>
            <w:tcBorders>
              <w:left w:val="dashed" w:sz="4" w:space="0" w:color="auto"/>
            </w:tcBorders>
          </w:tcPr>
          <w:p w14:paraId="6985F4C1" w14:textId="77777777" w:rsidR="000F22E2" w:rsidRPr="000E51C9" w:rsidRDefault="000F22E2" w:rsidP="0014629F">
            <w:pPr>
              <w:spacing w:line="240" w:lineRule="auto"/>
              <w:jc w:val="center"/>
              <w:rPr>
                <w:sz w:val="20"/>
                <w:szCs w:val="20"/>
              </w:rPr>
            </w:pPr>
            <w:r w:rsidRPr="000E51C9">
              <w:rPr>
                <w:sz w:val="20"/>
                <w:szCs w:val="20"/>
              </w:rPr>
              <w:t>16.7</w:t>
            </w:r>
          </w:p>
        </w:tc>
        <w:tc>
          <w:tcPr>
            <w:tcW w:w="567" w:type="dxa"/>
            <w:tcBorders>
              <w:right w:val="dashed" w:sz="4" w:space="0" w:color="auto"/>
            </w:tcBorders>
          </w:tcPr>
          <w:p w14:paraId="530B7ABC" w14:textId="77777777" w:rsidR="000F22E2" w:rsidRPr="000E51C9" w:rsidRDefault="000F22E2" w:rsidP="0014629F">
            <w:pPr>
              <w:spacing w:line="240" w:lineRule="auto"/>
              <w:jc w:val="center"/>
              <w:rPr>
                <w:sz w:val="20"/>
                <w:szCs w:val="20"/>
              </w:rPr>
            </w:pPr>
            <w:r w:rsidRPr="000E51C9">
              <w:rPr>
                <w:sz w:val="20"/>
                <w:szCs w:val="20"/>
              </w:rPr>
              <w:t>1</w:t>
            </w:r>
          </w:p>
        </w:tc>
        <w:tc>
          <w:tcPr>
            <w:tcW w:w="567" w:type="dxa"/>
            <w:tcBorders>
              <w:left w:val="dashed" w:sz="4" w:space="0" w:color="auto"/>
            </w:tcBorders>
          </w:tcPr>
          <w:p w14:paraId="7A706A57" w14:textId="77777777" w:rsidR="000F22E2" w:rsidRPr="000E51C9" w:rsidRDefault="000F22E2" w:rsidP="0014629F">
            <w:pPr>
              <w:spacing w:line="240" w:lineRule="auto"/>
              <w:jc w:val="center"/>
              <w:rPr>
                <w:sz w:val="20"/>
                <w:szCs w:val="20"/>
              </w:rPr>
            </w:pPr>
            <w:r w:rsidRPr="000E51C9">
              <w:rPr>
                <w:sz w:val="20"/>
                <w:szCs w:val="20"/>
              </w:rPr>
              <w:t>16.7</w:t>
            </w:r>
          </w:p>
        </w:tc>
        <w:tc>
          <w:tcPr>
            <w:tcW w:w="567" w:type="dxa"/>
            <w:tcBorders>
              <w:right w:val="dashed" w:sz="4" w:space="0" w:color="auto"/>
            </w:tcBorders>
          </w:tcPr>
          <w:p w14:paraId="45AC88F6" w14:textId="77777777" w:rsidR="000F22E2" w:rsidRPr="000E51C9" w:rsidRDefault="000F22E2" w:rsidP="0014629F">
            <w:pPr>
              <w:spacing w:line="240" w:lineRule="auto"/>
              <w:jc w:val="center"/>
              <w:rPr>
                <w:sz w:val="20"/>
                <w:szCs w:val="20"/>
              </w:rPr>
            </w:pPr>
            <w:r w:rsidRPr="000E51C9">
              <w:rPr>
                <w:sz w:val="20"/>
                <w:szCs w:val="20"/>
              </w:rPr>
              <w:t>1</w:t>
            </w:r>
          </w:p>
        </w:tc>
        <w:tc>
          <w:tcPr>
            <w:tcW w:w="567" w:type="dxa"/>
            <w:tcBorders>
              <w:left w:val="dashed" w:sz="4" w:space="0" w:color="auto"/>
            </w:tcBorders>
          </w:tcPr>
          <w:p w14:paraId="070F1ADD" w14:textId="77777777" w:rsidR="000F22E2" w:rsidRPr="000E51C9" w:rsidRDefault="000F22E2" w:rsidP="0014629F">
            <w:pPr>
              <w:spacing w:line="240" w:lineRule="auto"/>
              <w:jc w:val="center"/>
              <w:rPr>
                <w:sz w:val="20"/>
                <w:szCs w:val="20"/>
              </w:rPr>
            </w:pPr>
            <w:r w:rsidRPr="000E51C9">
              <w:rPr>
                <w:sz w:val="20"/>
                <w:szCs w:val="20"/>
              </w:rPr>
              <w:t>16.7</w:t>
            </w:r>
          </w:p>
        </w:tc>
        <w:tc>
          <w:tcPr>
            <w:tcW w:w="567" w:type="dxa"/>
            <w:tcBorders>
              <w:right w:val="dashed" w:sz="4" w:space="0" w:color="auto"/>
            </w:tcBorders>
          </w:tcPr>
          <w:p w14:paraId="69864D6D" w14:textId="77777777" w:rsidR="000F22E2" w:rsidRPr="000E51C9" w:rsidRDefault="000F22E2" w:rsidP="0014629F">
            <w:pPr>
              <w:spacing w:line="240" w:lineRule="auto"/>
              <w:jc w:val="center"/>
              <w:rPr>
                <w:sz w:val="20"/>
                <w:szCs w:val="20"/>
              </w:rPr>
            </w:pPr>
            <w:r w:rsidRPr="000E51C9">
              <w:rPr>
                <w:sz w:val="20"/>
                <w:szCs w:val="20"/>
              </w:rPr>
              <w:t>1</w:t>
            </w:r>
          </w:p>
        </w:tc>
        <w:tc>
          <w:tcPr>
            <w:tcW w:w="567" w:type="dxa"/>
            <w:tcBorders>
              <w:left w:val="dashed" w:sz="4" w:space="0" w:color="auto"/>
            </w:tcBorders>
          </w:tcPr>
          <w:p w14:paraId="605530D4" w14:textId="77777777" w:rsidR="000F22E2" w:rsidRPr="000E51C9" w:rsidRDefault="000F22E2" w:rsidP="0014629F">
            <w:pPr>
              <w:spacing w:line="240" w:lineRule="auto"/>
              <w:jc w:val="center"/>
              <w:rPr>
                <w:sz w:val="20"/>
                <w:szCs w:val="20"/>
              </w:rPr>
            </w:pPr>
            <w:r w:rsidRPr="000E51C9">
              <w:rPr>
                <w:sz w:val="20"/>
                <w:szCs w:val="20"/>
              </w:rPr>
              <w:t>16.7</w:t>
            </w:r>
          </w:p>
        </w:tc>
        <w:tc>
          <w:tcPr>
            <w:tcW w:w="567" w:type="dxa"/>
            <w:tcBorders>
              <w:right w:val="dashed" w:sz="4" w:space="0" w:color="auto"/>
            </w:tcBorders>
          </w:tcPr>
          <w:p w14:paraId="3F3F13E0" w14:textId="77777777" w:rsidR="000F22E2" w:rsidRPr="000E51C9" w:rsidRDefault="000F22E2" w:rsidP="0014629F">
            <w:pPr>
              <w:spacing w:line="240" w:lineRule="auto"/>
              <w:jc w:val="center"/>
              <w:rPr>
                <w:sz w:val="20"/>
                <w:szCs w:val="20"/>
              </w:rPr>
            </w:pPr>
            <w:r w:rsidRPr="000E51C9">
              <w:rPr>
                <w:sz w:val="20"/>
                <w:szCs w:val="20"/>
              </w:rPr>
              <w:t>0</w:t>
            </w:r>
          </w:p>
        </w:tc>
        <w:tc>
          <w:tcPr>
            <w:tcW w:w="567" w:type="dxa"/>
            <w:tcBorders>
              <w:left w:val="dashed" w:sz="4" w:space="0" w:color="auto"/>
            </w:tcBorders>
          </w:tcPr>
          <w:p w14:paraId="71EA5090" w14:textId="77777777" w:rsidR="000F22E2" w:rsidRPr="000E51C9" w:rsidRDefault="000F22E2" w:rsidP="0014629F">
            <w:pPr>
              <w:spacing w:line="240" w:lineRule="auto"/>
              <w:jc w:val="center"/>
              <w:rPr>
                <w:sz w:val="20"/>
                <w:szCs w:val="20"/>
              </w:rPr>
            </w:pPr>
            <w:r w:rsidRPr="000E51C9">
              <w:rPr>
                <w:sz w:val="20"/>
                <w:szCs w:val="20"/>
              </w:rPr>
              <w:t>-</w:t>
            </w:r>
          </w:p>
        </w:tc>
        <w:tc>
          <w:tcPr>
            <w:tcW w:w="567" w:type="dxa"/>
            <w:tcBorders>
              <w:right w:val="dashed" w:sz="4" w:space="0" w:color="auto"/>
            </w:tcBorders>
          </w:tcPr>
          <w:p w14:paraId="45219C7F" w14:textId="77777777" w:rsidR="000F22E2" w:rsidRPr="000E51C9" w:rsidRDefault="000F22E2" w:rsidP="0014629F">
            <w:pPr>
              <w:spacing w:line="240" w:lineRule="auto"/>
              <w:jc w:val="center"/>
              <w:rPr>
                <w:sz w:val="20"/>
                <w:szCs w:val="20"/>
              </w:rPr>
            </w:pPr>
            <w:r w:rsidRPr="000E51C9">
              <w:rPr>
                <w:sz w:val="20"/>
                <w:szCs w:val="20"/>
              </w:rPr>
              <w:t>1</w:t>
            </w:r>
          </w:p>
        </w:tc>
        <w:tc>
          <w:tcPr>
            <w:tcW w:w="567" w:type="dxa"/>
            <w:tcBorders>
              <w:left w:val="dashed" w:sz="4" w:space="0" w:color="auto"/>
            </w:tcBorders>
          </w:tcPr>
          <w:p w14:paraId="357D9B77" w14:textId="77777777" w:rsidR="000F22E2" w:rsidRPr="000E51C9" w:rsidRDefault="000F22E2" w:rsidP="0014629F">
            <w:pPr>
              <w:spacing w:line="240" w:lineRule="auto"/>
              <w:jc w:val="center"/>
              <w:rPr>
                <w:sz w:val="20"/>
                <w:szCs w:val="20"/>
              </w:rPr>
            </w:pPr>
            <w:r w:rsidRPr="000E51C9">
              <w:rPr>
                <w:sz w:val="20"/>
                <w:szCs w:val="20"/>
              </w:rPr>
              <w:t>16.7</w:t>
            </w:r>
          </w:p>
        </w:tc>
        <w:tc>
          <w:tcPr>
            <w:tcW w:w="567" w:type="dxa"/>
            <w:tcBorders>
              <w:left w:val="dashed" w:sz="4" w:space="0" w:color="auto"/>
              <w:right w:val="dashed" w:sz="4" w:space="0" w:color="auto"/>
            </w:tcBorders>
          </w:tcPr>
          <w:p w14:paraId="2EC1EA37" w14:textId="77777777" w:rsidR="000F22E2" w:rsidRPr="000E51C9" w:rsidRDefault="000F22E2" w:rsidP="0014629F">
            <w:pPr>
              <w:spacing w:line="240" w:lineRule="auto"/>
              <w:jc w:val="center"/>
              <w:rPr>
                <w:sz w:val="20"/>
                <w:szCs w:val="20"/>
              </w:rPr>
            </w:pPr>
            <w:r w:rsidRPr="000E51C9">
              <w:rPr>
                <w:sz w:val="20"/>
                <w:szCs w:val="20"/>
              </w:rPr>
              <w:t>5</w:t>
            </w:r>
          </w:p>
        </w:tc>
        <w:tc>
          <w:tcPr>
            <w:tcW w:w="567" w:type="dxa"/>
            <w:tcBorders>
              <w:left w:val="dashed" w:sz="4" w:space="0" w:color="auto"/>
            </w:tcBorders>
          </w:tcPr>
          <w:p w14:paraId="60430C7B" w14:textId="77777777" w:rsidR="000F22E2" w:rsidRPr="000E51C9" w:rsidRDefault="000F22E2" w:rsidP="0014629F">
            <w:pPr>
              <w:spacing w:line="240" w:lineRule="auto"/>
              <w:jc w:val="center"/>
              <w:rPr>
                <w:sz w:val="20"/>
                <w:szCs w:val="20"/>
              </w:rPr>
            </w:pPr>
            <w:r w:rsidRPr="000E51C9">
              <w:rPr>
                <w:sz w:val="20"/>
                <w:szCs w:val="20"/>
              </w:rPr>
              <w:t>83.3</w:t>
            </w:r>
          </w:p>
        </w:tc>
      </w:tr>
      <w:tr w:rsidR="0022203F" w:rsidRPr="000E51C9" w14:paraId="5274A17D" w14:textId="77777777" w:rsidTr="00460D6B">
        <w:trPr>
          <w:trHeight w:val="473"/>
        </w:trPr>
        <w:tc>
          <w:tcPr>
            <w:tcW w:w="1101" w:type="dxa"/>
          </w:tcPr>
          <w:p w14:paraId="254C3C38" w14:textId="5EC52170" w:rsidR="0022203F" w:rsidRPr="000E51C9" w:rsidRDefault="0022203F" w:rsidP="00BE2FCA">
            <w:pPr>
              <w:spacing w:line="240" w:lineRule="auto"/>
              <w:ind w:right="-108"/>
              <w:jc w:val="both"/>
              <w:rPr>
                <w:b/>
                <w:sz w:val="20"/>
                <w:szCs w:val="20"/>
              </w:rPr>
            </w:pPr>
            <w:r w:rsidRPr="000E51C9">
              <w:rPr>
                <w:b/>
                <w:sz w:val="20"/>
                <w:szCs w:val="20"/>
              </w:rPr>
              <w:t>Regionals</w:t>
            </w:r>
            <w:r w:rsidR="00BE2FCA" w:rsidRPr="000E51C9">
              <w:rPr>
                <w:b/>
                <w:sz w:val="20"/>
                <w:szCs w:val="20"/>
              </w:rPr>
              <w:t>*</w:t>
            </w:r>
            <w:r w:rsidRPr="000E51C9">
              <w:rPr>
                <w:b/>
                <w:sz w:val="20"/>
                <w:szCs w:val="20"/>
              </w:rPr>
              <w:t xml:space="preserve"> </w:t>
            </w:r>
          </w:p>
        </w:tc>
        <w:tc>
          <w:tcPr>
            <w:tcW w:w="567" w:type="dxa"/>
          </w:tcPr>
          <w:p w14:paraId="78AF089B" w14:textId="77777777" w:rsidR="0022203F" w:rsidRPr="000E51C9" w:rsidRDefault="0022203F" w:rsidP="0014629F">
            <w:pPr>
              <w:spacing w:line="240" w:lineRule="auto"/>
              <w:jc w:val="center"/>
              <w:rPr>
                <w:sz w:val="20"/>
                <w:szCs w:val="20"/>
              </w:rPr>
            </w:pPr>
            <w:r w:rsidRPr="000E51C9">
              <w:rPr>
                <w:sz w:val="20"/>
                <w:szCs w:val="20"/>
              </w:rPr>
              <w:t>7</w:t>
            </w:r>
          </w:p>
        </w:tc>
        <w:tc>
          <w:tcPr>
            <w:tcW w:w="567" w:type="dxa"/>
            <w:tcBorders>
              <w:right w:val="dashed" w:sz="4" w:space="0" w:color="auto"/>
            </w:tcBorders>
          </w:tcPr>
          <w:p w14:paraId="6DEA2176" w14:textId="77777777" w:rsidR="0022203F" w:rsidRPr="000E51C9" w:rsidRDefault="0022203F" w:rsidP="0014629F">
            <w:pPr>
              <w:spacing w:line="240" w:lineRule="auto"/>
              <w:jc w:val="center"/>
              <w:rPr>
                <w:b/>
                <w:sz w:val="20"/>
                <w:szCs w:val="20"/>
              </w:rPr>
            </w:pPr>
            <w:r w:rsidRPr="000E51C9">
              <w:rPr>
                <w:sz w:val="20"/>
                <w:szCs w:val="20"/>
              </w:rPr>
              <w:t>1</w:t>
            </w:r>
          </w:p>
        </w:tc>
        <w:tc>
          <w:tcPr>
            <w:tcW w:w="567" w:type="dxa"/>
            <w:tcBorders>
              <w:left w:val="dashed" w:sz="4" w:space="0" w:color="auto"/>
            </w:tcBorders>
          </w:tcPr>
          <w:p w14:paraId="4A128F26" w14:textId="77777777" w:rsidR="0022203F" w:rsidRPr="000E51C9" w:rsidRDefault="0022203F" w:rsidP="0014629F">
            <w:pPr>
              <w:spacing w:line="240" w:lineRule="auto"/>
              <w:jc w:val="center"/>
              <w:rPr>
                <w:b/>
                <w:sz w:val="20"/>
                <w:szCs w:val="20"/>
              </w:rPr>
            </w:pPr>
            <w:r w:rsidRPr="000E51C9">
              <w:rPr>
                <w:sz w:val="20"/>
                <w:szCs w:val="20"/>
              </w:rPr>
              <w:t>14.3</w:t>
            </w:r>
          </w:p>
        </w:tc>
        <w:tc>
          <w:tcPr>
            <w:tcW w:w="567" w:type="dxa"/>
            <w:tcBorders>
              <w:right w:val="dashed" w:sz="4" w:space="0" w:color="auto"/>
            </w:tcBorders>
          </w:tcPr>
          <w:p w14:paraId="450A7235" w14:textId="77777777" w:rsidR="0022203F" w:rsidRPr="000E51C9" w:rsidRDefault="0022203F" w:rsidP="0014629F">
            <w:pPr>
              <w:spacing w:line="240" w:lineRule="auto"/>
              <w:jc w:val="center"/>
              <w:rPr>
                <w:b/>
                <w:sz w:val="20"/>
                <w:szCs w:val="20"/>
              </w:rPr>
            </w:pPr>
            <w:r w:rsidRPr="000E51C9">
              <w:rPr>
                <w:sz w:val="20"/>
                <w:szCs w:val="20"/>
              </w:rPr>
              <w:t>1</w:t>
            </w:r>
          </w:p>
        </w:tc>
        <w:tc>
          <w:tcPr>
            <w:tcW w:w="567" w:type="dxa"/>
            <w:tcBorders>
              <w:left w:val="dashed" w:sz="4" w:space="0" w:color="auto"/>
            </w:tcBorders>
          </w:tcPr>
          <w:p w14:paraId="3CCC2715" w14:textId="77777777" w:rsidR="0022203F" w:rsidRPr="000E51C9" w:rsidRDefault="0022203F" w:rsidP="0014629F">
            <w:pPr>
              <w:spacing w:line="240" w:lineRule="auto"/>
              <w:jc w:val="center"/>
              <w:rPr>
                <w:b/>
                <w:sz w:val="20"/>
                <w:szCs w:val="20"/>
              </w:rPr>
            </w:pPr>
            <w:r w:rsidRPr="000E51C9">
              <w:rPr>
                <w:sz w:val="20"/>
                <w:szCs w:val="20"/>
              </w:rPr>
              <w:t>14.3</w:t>
            </w:r>
          </w:p>
        </w:tc>
        <w:tc>
          <w:tcPr>
            <w:tcW w:w="567" w:type="dxa"/>
            <w:tcBorders>
              <w:right w:val="dashed" w:sz="4" w:space="0" w:color="auto"/>
            </w:tcBorders>
          </w:tcPr>
          <w:p w14:paraId="7F042392" w14:textId="3F619505" w:rsidR="0022203F" w:rsidRPr="000E51C9" w:rsidRDefault="0022203F" w:rsidP="0014629F">
            <w:pPr>
              <w:spacing w:line="240" w:lineRule="auto"/>
              <w:jc w:val="center"/>
              <w:rPr>
                <w:b/>
                <w:sz w:val="20"/>
                <w:szCs w:val="20"/>
              </w:rPr>
            </w:pPr>
            <w:r w:rsidRPr="000E51C9">
              <w:rPr>
                <w:sz w:val="20"/>
                <w:szCs w:val="20"/>
              </w:rPr>
              <w:t>1</w:t>
            </w:r>
          </w:p>
        </w:tc>
        <w:tc>
          <w:tcPr>
            <w:tcW w:w="567" w:type="dxa"/>
            <w:tcBorders>
              <w:left w:val="dashed" w:sz="4" w:space="0" w:color="auto"/>
            </w:tcBorders>
          </w:tcPr>
          <w:p w14:paraId="5CD59B2A" w14:textId="6C017800" w:rsidR="0022203F" w:rsidRPr="000E51C9" w:rsidRDefault="0022203F" w:rsidP="0014629F">
            <w:pPr>
              <w:spacing w:line="240" w:lineRule="auto"/>
              <w:jc w:val="center"/>
              <w:rPr>
                <w:b/>
                <w:sz w:val="20"/>
                <w:szCs w:val="20"/>
              </w:rPr>
            </w:pPr>
            <w:r w:rsidRPr="000E51C9">
              <w:rPr>
                <w:sz w:val="20"/>
                <w:szCs w:val="20"/>
              </w:rPr>
              <w:t>14.3</w:t>
            </w:r>
          </w:p>
        </w:tc>
        <w:tc>
          <w:tcPr>
            <w:tcW w:w="567" w:type="dxa"/>
            <w:tcBorders>
              <w:right w:val="dashed" w:sz="4" w:space="0" w:color="auto"/>
            </w:tcBorders>
          </w:tcPr>
          <w:p w14:paraId="09AE6F28" w14:textId="27BAA84C" w:rsidR="0022203F" w:rsidRPr="000E51C9" w:rsidRDefault="0022203F" w:rsidP="0014629F">
            <w:pPr>
              <w:spacing w:line="240" w:lineRule="auto"/>
              <w:jc w:val="center"/>
              <w:rPr>
                <w:b/>
                <w:sz w:val="20"/>
                <w:szCs w:val="20"/>
              </w:rPr>
            </w:pPr>
            <w:r w:rsidRPr="000E51C9">
              <w:rPr>
                <w:sz w:val="20"/>
                <w:szCs w:val="20"/>
              </w:rPr>
              <w:t>1</w:t>
            </w:r>
          </w:p>
        </w:tc>
        <w:tc>
          <w:tcPr>
            <w:tcW w:w="567" w:type="dxa"/>
            <w:tcBorders>
              <w:left w:val="dashed" w:sz="4" w:space="0" w:color="auto"/>
            </w:tcBorders>
          </w:tcPr>
          <w:p w14:paraId="03EAFD4B" w14:textId="5FE428BD" w:rsidR="0022203F" w:rsidRPr="000E51C9" w:rsidRDefault="0022203F" w:rsidP="0014629F">
            <w:pPr>
              <w:spacing w:line="240" w:lineRule="auto"/>
              <w:jc w:val="center"/>
              <w:rPr>
                <w:b/>
                <w:sz w:val="20"/>
                <w:szCs w:val="20"/>
              </w:rPr>
            </w:pPr>
            <w:r w:rsidRPr="000E51C9">
              <w:rPr>
                <w:sz w:val="20"/>
                <w:szCs w:val="20"/>
              </w:rPr>
              <w:t>14.3</w:t>
            </w:r>
          </w:p>
        </w:tc>
        <w:tc>
          <w:tcPr>
            <w:tcW w:w="567" w:type="dxa"/>
            <w:tcBorders>
              <w:right w:val="dashed" w:sz="4" w:space="0" w:color="auto"/>
            </w:tcBorders>
          </w:tcPr>
          <w:p w14:paraId="6903DCB7" w14:textId="77777777" w:rsidR="0022203F" w:rsidRPr="000E51C9" w:rsidRDefault="0022203F" w:rsidP="0014629F">
            <w:pPr>
              <w:spacing w:line="240" w:lineRule="auto"/>
              <w:jc w:val="center"/>
              <w:rPr>
                <w:b/>
                <w:sz w:val="20"/>
                <w:szCs w:val="20"/>
              </w:rPr>
            </w:pPr>
            <w:r w:rsidRPr="000E51C9">
              <w:rPr>
                <w:sz w:val="20"/>
                <w:szCs w:val="20"/>
              </w:rPr>
              <w:t>0</w:t>
            </w:r>
          </w:p>
        </w:tc>
        <w:tc>
          <w:tcPr>
            <w:tcW w:w="567" w:type="dxa"/>
            <w:tcBorders>
              <w:left w:val="dashed" w:sz="4" w:space="0" w:color="auto"/>
            </w:tcBorders>
          </w:tcPr>
          <w:p w14:paraId="54375AB4" w14:textId="77777777" w:rsidR="0022203F" w:rsidRPr="000E51C9" w:rsidRDefault="0022203F" w:rsidP="0014629F">
            <w:pPr>
              <w:spacing w:line="240" w:lineRule="auto"/>
              <w:jc w:val="center"/>
              <w:rPr>
                <w:b/>
                <w:sz w:val="20"/>
                <w:szCs w:val="20"/>
              </w:rPr>
            </w:pPr>
            <w:r w:rsidRPr="000E51C9">
              <w:rPr>
                <w:sz w:val="20"/>
                <w:szCs w:val="20"/>
              </w:rPr>
              <w:t>-</w:t>
            </w:r>
          </w:p>
        </w:tc>
        <w:tc>
          <w:tcPr>
            <w:tcW w:w="567" w:type="dxa"/>
            <w:tcBorders>
              <w:right w:val="dashed" w:sz="4" w:space="0" w:color="auto"/>
            </w:tcBorders>
          </w:tcPr>
          <w:p w14:paraId="6A9F9FC1" w14:textId="77777777" w:rsidR="0022203F" w:rsidRPr="000E51C9" w:rsidRDefault="0022203F" w:rsidP="0014629F">
            <w:pPr>
              <w:spacing w:line="240" w:lineRule="auto"/>
              <w:jc w:val="center"/>
              <w:rPr>
                <w:b/>
                <w:sz w:val="20"/>
                <w:szCs w:val="20"/>
              </w:rPr>
            </w:pPr>
            <w:r w:rsidRPr="000E51C9">
              <w:rPr>
                <w:sz w:val="20"/>
                <w:szCs w:val="20"/>
              </w:rPr>
              <w:t>1</w:t>
            </w:r>
          </w:p>
        </w:tc>
        <w:tc>
          <w:tcPr>
            <w:tcW w:w="567" w:type="dxa"/>
            <w:tcBorders>
              <w:left w:val="dashed" w:sz="4" w:space="0" w:color="auto"/>
            </w:tcBorders>
          </w:tcPr>
          <w:p w14:paraId="08C08C54" w14:textId="77777777" w:rsidR="0022203F" w:rsidRPr="000E51C9" w:rsidRDefault="0022203F" w:rsidP="0014629F">
            <w:pPr>
              <w:spacing w:line="240" w:lineRule="auto"/>
              <w:jc w:val="center"/>
              <w:rPr>
                <w:b/>
                <w:sz w:val="20"/>
                <w:szCs w:val="20"/>
              </w:rPr>
            </w:pPr>
            <w:r w:rsidRPr="000E51C9">
              <w:rPr>
                <w:sz w:val="20"/>
                <w:szCs w:val="20"/>
              </w:rPr>
              <w:t>14.3</w:t>
            </w:r>
          </w:p>
        </w:tc>
        <w:tc>
          <w:tcPr>
            <w:tcW w:w="567" w:type="dxa"/>
            <w:tcBorders>
              <w:left w:val="dashed" w:sz="4" w:space="0" w:color="auto"/>
              <w:right w:val="dashed" w:sz="4" w:space="0" w:color="auto"/>
            </w:tcBorders>
          </w:tcPr>
          <w:p w14:paraId="5DD4247E" w14:textId="77777777" w:rsidR="0022203F" w:rsidRPr="000E51C9" w:rsidRDefault="0022203F" w:rsidP="0014629F">
            <w:pPr>
              <w:spacing w:line="240" w:lineRule="auto"/>
              <w:jc w:val="center"/>
              <w:rPr>
                <w:sz w:val="20"/>
                <w:szCs w:val="20"/>
              </w:rPr>
            </w:pPr>
            <w:r w:rsidRPr="000E51C9">
              <w:rPr>
                <w:sz w:val="20"/>
                <w:szCs w:val="20"/>
              </w:rPr>
              <w:t>6</w:t>
            </w:r>
          </w:p>
        </w:tc>
        <w:tc>
          <w:tcPr>
            <w:tcW w:w="567" w:type="dxa"/>
            <w:tcBorders>
              <w:left w:val="dashed" w:sz="4" w:space="0" w:color="auto"/>
            </w:tcBorders>
          </w:tcPr>
          <w:p w14:paraId="2E88D588" w14:textId="77777777" w:rsidR="0022203F" w:rsidRPr="000E51C9" w:rsidRDefault="0022203F" w:rsidP="0014629F">
            <w:pPr>
              <w:spacing w:line="240" w:lineRule="auto"/>
              <w:jc w:val="center"/>
              <w:rPr>
                <w:sz w:val="20"/>
                <w:szCs w:val="20"/>
              </w:rPr>
            </w:pPr>
            <w:r w:rsidRPr="000E51C9">
              <w:rPr>
                <w:sz w:val="20"/>
                <w:szCs w:val="20"/>
              </w:rPr>
              <w:t>86.7</w:t>
            </w:r>
          </w:p>
        </w:tc>
      </w:tr>
    </w:tbl>
    <w:p w14:paraId="2458114C" w14:textId="72CB2BCF" w:rsidR="00837D06" w:rsidRPr="000E51C9" w:rsidRDefault="00455956" w:rsidP="0014629F">
      <w:pPr>
        <w:spacing w:line="240" w:lineRule="auto"/>
        <w:jc w:val="both"/>
        <w:rPr>
          <w:b/>
          <w:sz w:val="20"/>
          <w:szCs w:val="20"/>
        </w:rPr>
      </w:pPr>
      <w:r w:rsidRPr="000E51C9">
        <w:rPr>
          <w:sz w:val="20"/>
          <w:szCs w:val="20"/>
        </w:rPr>
        <w:t xml:space="preserve">* </w:t>
      </w:r>
      <w:r w:rsidR="008E4BF2" w:rsidRPr="000E51C9">
        <w:rPr>
          <w:sz w:val="20"/>
          <w:szCs w:val="20"/>
        </w:rPr>
        <w:t xml:space="preserve">  </w:t>
      </w:r>
      <w:r w:rsidRPr="000E51C9">
        <w:rPr>
          <w:sz w:val="20"/>
          <w:szCs w:val="20"/>
        </w:rPr>
        <w:t>SACU and SADC are</w:t>
      </w:r>
      <w:r w:rsidR="007C365A" w:rsidRPr="000E51C9">
        <w:rPr>
          <w:sz w:val="20"/>
          <w:szCs w:val="20"/>
        </w:rPr>
        <w:t xml:space="preserve"> </w:t>
      </w:r>
      <w:r w:rsidR="00837D06" w:rsidRPr="000E51C9">
        <w:rPr>
          <w:sz w:val="20"/>
          <w:szCs w:val="20"/>
        </w:rPr>
        <w:t>included for both South Africa and the Regionals</w:t>
      </w:r>
      <w:r w:rsidR="008E4BF2" w:rsidRPr="000E51C9">
        <w:rPr>
          <w:sz w:val="20"/>
          <w:szCs w:val="20"/>
        </w:rPr>
        <w:t>.</w:t>
      </w:r>
      <w:r w:rsidR="00837D06" w:rsidRPr="000E51C9">
        <w:rPr>
          <w:sz w:val="20"/>
          <w:szCs w:val="20"/>
        </w:rPr>
        <w:t xml:space="preserve"> </w:t>
      </w:r>
    </w:p>
    <w:p w14:paraId="619C4B20" w14:textId="775C8B13" w:rsidR="00837D06" w:rsidRPr="000E51C9" w:rsidRDefault="00837D06" w:rsidP="0014629F">
      <w:pPr>
        <w:spacing w:line="240" w:lineRule="auto"/>
        <w:jc w:val="both"/>
        <w:rPr>
          <w:sz w:val="20"/>
          <w:szCs w:val="20"/>
        </w:rPr>
      </w:pPr>
      <w:r w:rsidRPr="000E51C9">
        <w:rPr>
          <w:sz w:val="20"/>
          <w:szCs w:val="20"/>
        </w:rPr>
        <w:t xml:space="preserve">** The US-Morocco FTA (2006) is included for both Morocco and the US in </w:t>
      </w:r>
      <w:r w:rsidR="008E4BF2" w:rsidRPr="000E51C9">
        <w:rPr>
          <w:sz w:val="20"/>
          <w:szCs w:val="20"/>
        </w:rPr>
        <w:t>section X.</w:t>
      </w:r>
      <w:r w:rsidRPr="000E51C9">
        <w:rPr>
          <w:sz w:val="20"/>
          <w:szCs w:val="20"/>
        </w:rPr>
        <w:t>2.1</w:t>
      </w:r>
      <w:r w:rsidR="008E4BF2" w:rsidRPr="000E51C9">
        <w:rPr>
          <w:sz w:val="20"/>
          <w:szCs w:val="20"/>
        </w:rPr>
        <w:t>.</w:t>
      </w:r>
    </w:p>
    <w:p w14:paraId="43FB0582" w14:textId="77777777" w:rsidR="00837D06" w:rsidRPr="000E51C9" w:rsidRDefault="00837D06" w:rsidP="00163F2E">
      <w:pPr>
        <w:spacing w:line="360" w:lineRule="auto"/>
        <w:jc w:val="both"/>
        <w:rPr>
          <w:sz w:val="20"/>
          <w:szCs w:val="20"/>
        </w:rPr>
      </w:pPr>
    </w:p>
    <w:p w14:paraId="2F933317" w14:textId="2D2C230F" w:rsidR="00837D06" w:rsidRPr="000E51C9" w:rsidRDefault="007D559F" w:rsidP="007D559F">
      <w:pPr>
        <w:pStyle w:val="berschrift2"/>
        <w:spacing w:before="0" w:after="0" w:line="360" w:lineRule="auto"/>
        <w:rPr>
          <w:lang w:val="en-GB"/>
        </w:rPr>
      </w:pPr>
      <w:bookmarkStart w:id="14" w:name="_Toc497733684"/>
      <w:r w:rsidRPr="000E51C9">
        <w:rPr>
          <w:rFonts w:cs="Times New Roman"/>
          <w:i/>
          <w:lang w:val="en-GB"/>
        </w:rPr>
        <w:t xml:space="preserve">X.2.6 </w:t>
      </w:r>
      <w:bookmarkStart w:id="15" w:name="_Toc475435348"/>
      <w:r w:rsidR="00837D06" w:rsidRPr="000E51C9">
        <w:rPr>
          <w:rFonts w:cs="Times New Roman"/>
          <w:i/>
          <w:lang w:val="en-GB"/>
        </w:rPr>
        <w:t>Interim Conclusions</w:t>
      </w:r>
      <w:bookmarkEnd w:id="14"/>
      <w:bookmarkEnd w:id="15"/>
      <w:r w:rsidR="00837D06" w:rsidRPr="000E51C9">
        <w:rPr>
          <w:rFonts w:cs="Times New Roman"/>
          <w:i/>
          <w:lang w:val="en-GB"/>
        </w:rPr>
        <w:t xml:space="preserve"> </w:t>
      </w:r>
    </w:p>
    <w:p w14:paraId="2C2C497C" w14:textId="649A0C51" w:rsidR="00B2145A" w:rsidRPr="000E51C9" w:rsidRDefault="000B4024" w:rsidP="00163F2E">
      <w:pPr>
        <w:spacing w:line="360" w:lineRule="auto"/>
        <w:jc w:val="both"/>
      </w:pPr>
      <w:r w:rsidRPr="000E51C9">
        <w:t>T</w:t>
      </w:r>
      <w:r w:rsidR="00570DF0" w:rsidRPr="000E51C9">
        <w:t xml:space="preserve">he answer to the first </w:t>
      </w:r>
      <w:r w:rsidR="00047C2E" w:rsidRPr="000E51C9">
        <w:t xml:space="preserve">question raised by this </w:t>
      </w:r>
      <w:r w:rsidR="00FE7ABF" w:rsidRPr="000E51C9">
        <w:t xml:space="preserve">chapter </w:t>
      </w:r>
      <w:r w:rsidR="00570DF0" w:rsidRPr="000E51C9">
        <w:t xml:space="preserve">is that there is </w:t>
      </w:r>
      <w:r w:rsidR="00267C0B" w:rsidRPr="000E51C9">
        <w:t>a growing tendency</w:t>
      </w:r>
      <w:r w:rsidR="00570DF0" w:rsidRPr="000E51C9">
        <w:t xml:space="preserve"> of including </w:t>
      </w:r>
      <w:r w:rsidR="007E333A" w:rsidRPr="000E51C9">
        <w:t xml:space="preserve">BIT-like </w:t>
      </w:r>
      <w:r w:rsidR="00570DF0" w:rsidRPr="000E51C9">
        <w:t>chapters into PTAs.</w:t>
      </w:r>
      <w:r w:rsidR="005E7622" w:rsidRPr="000E51C9">
        <w:t xml:space="preserve"> However, </w:t>
      </w:r>
      <w:r w:rsidR="00C24B00" w:rsidRPr="000E51C9">
        <w:t>this</w:t>
      </w:r>
      <w:r w:rsidR="00B1488F" w:rsidRPr="000E51C9">
        <w:t xml:space="preserve"> practice is not uniform between the regions, countries and REIOs analysed. The selected countries/REIOs can be split into three groups. The </w:t>
      </w:r>
      <w:r w:rsidR="00B1488F" w:rsidRPr="000E51C9">
        <w:rPr>
          <w:i/>
        </w:rPr>
        <w:t>first group</w:t>
      </w:r>
      <w:r w:rsidR="00B1488F" w:rsidRPr="000E51C9">
        <w:t xml:space="preserve"> includes</w:t>
      </w:r>
      <w:r w:rsidR="0030700E" w:rsidRPr="000E51C9">
        <w:t xml:space="preserve"> the US, Canada, Japan, Aus</w:t>
      </w:r>
      <w:r w:rsidR="003C1E4B" w:rsidRPr="000E51C9">
        <w:t xml:space="preserve">tralia, </w:t>
      </w:r>
      <w:r w:rsidR="00DD5136" w:rsidRPr="000E51C9">
        <w:t>ASE</w:t>
      </w:r>
      <w:r w:rsidR="0030700E" w:rsidRPr="000E51C9">
        <w:t>AN</w:t>
      </w:r>
      <w:r w:rsidR="003C1E4B" w:rsidRPr="000E51C9">
        <w:t xml:space="preserve"> and CARICOM</w:t>
      </w:r>
      <w:r w:rsidR="0030700E" w:rsidRPr="000E51C9">
        <w:t xml:space="preserve">. </w:t>
      </w:r>
      <w:r w:rsidR="005234EB" w:rsidRPr="000E51C9">
        <w:t xml:space="preserve">According to the </w:t>
      </w:r>
      <w:r w:rsidR="0030700E" w:rsidRPr="000E51C9">
        <w:t xml:space="preserve">country-specific data in </w:t>
      </w:r>
      <w:r w:rsidR="00FE7ABF" w:rsidRPr="000E51C9">
        <w:t>Tables X.</w:t>
      </w:r>
      <w:r w:rsidR="0030700E" w:rsidRPr="000E51C9">
        <w:t xml:space="preserve">1 and </w:t>
      </w:r>
      <w:r w:rsidR="00FE7ABF" w:rsidRPr="000E51C9">
        <w:t>X.</w:t>
      </w:r>
      <w:r w:rsidR="0030700E" w:rsidRPr="000E51C9">
        <w:t>2</w:t>
      </w:r>
      <w:r w:rsidR="00FE7ABF" w:rsidRPr="000E51C9">
        <w:t>,</w:t>
      </w:r>
      <w:r w:rsidR="0030700E" w:rsidRPr="000E51C9">
        <w:t xml:space="preserve"> </w:t>
      </w:r>
      <w:r w:rsidR="007473B3" w:rsidRPr="000E51C9">
        <w:t>most</w:t>
      </w:r>
      <w:r w:rsidR="0030700E" w:rsidRPr="000E51C9">
        <w:t xml:space="preserve"> PTAs</w:t>
      </w:r>
      <w:r w:rsidR="000F0880" w:rsidRPr="000E51C9">
        <w:t xml:space="preserve"> (65-100</w:t>
      </w:r>
      <w:r w:rsidR="004A578C" w:rsidRPr="000E51C9">
        <w:t>%)</w:t>
      </w:r>
      <w:r w:rsidR="0030700E" w:rsidRPr="000E51C9">
        <w:t xml:space="preserve"> concluded by these countries</w:t>
      </w:r>
      <w:r w:rsidR="00CE6D76" w:rsidRPr="000E51C9">
        <w:t>/REIOs</w:t>
      </w:r>
      <w:r w:rsidR="0030700E" w:rsidRPr="000E51C9">
        <w:t xml:space="preserve"> include investment chapters</w:t>
      </w:r>
      <w:r w:rsidR="005307BE" w:rsidRPr="000E51C9">
        <w:t xml:space="preserve"> </w:t>
      </w:r>
      <w:r w:rsidR="000944E7" w:rsidRPr="000E51C9">
        <w:t xml:space="preserve">with </w:t>
      </w:r>
      <w:r w:rsidR="00BB3F45" w:rsidRPr="000E51C9">
        <w:t>investment</w:t>
      </w:r>
      <w:r w:rsidR="000944E7" w:rsidRPr="000E51C9">
        <w:t xml:space="preserve"> protection standards and ISDS</w:t>
      </w:r>
      <w:r w:rsidR="0030700E" w:rsidRPr="000E51C9">
        <w:t>. In these countries (</w:t>
      </w:r>
      <w:r w:rsidR="007473B3" w:rsidRPr="000E51C9">
        <w:t>apart from</w:t>
      </w:r>
      <w:r w:rsidR="0030700E" w:rsidRPr="000E51C9">
        <w:t xml:space="preserve"> Australia)</w:t>
      </w:r>
      <w:r w:rsidR="00FE7ABF" w:rsidRPr="000E51C9">
        <w:t>,</w:t>
      </w:r>
      <w:r w:rsidR="0030700E" w:rsidRPr="000E51C9">
        <w:t xml:space="preserve"> the way in which trade agreements have been concluded has been </w:t>
      </w:r>
      <w:r w:rsidR="007473B3" w:rsidRPr="000E51C9">
        <w:t>static</w:t>
      </w:r>
      <w:r w:rsidR="0030700E" w:rsidRPr="000E51C9">
        <w:t xml:space="preserve"> in the last 15 years or so.</w:t>
      </w:r>
      <w:r w:rsidR="009403F2" w:rsidRPr="000E51C9">
        <w:t xml:space="preserve"> </w:t>
      </w:r>
      <w:r w:rsidR="00706A57" w:rsidRPr="000E51C9">
        <w:t>Countries and REIOs belonging to t</w:t>
      </w:r>
      <w:r w:rsidR="004663B8" w:rsidRPr="000E51C9">
        <w:t xml:space="preserve">he </w:t>
      </w:r>
      <w:r w:rsidR="004663B8" w:rsidRPr="000E51C9">
        <w:rPr>
          <w:i/>
        </w:rPr>
        <w:t>second group</w:t>
      </w:r>
      <w:r w:rsidR="004663B8" w:rsidRPr="000E51C9">
        <w:t xml:space="preserve"> (EU, India, China and Chil</w:t>
      </w:r>
      <w:r w:rsidR="00A22A57" w:rsidRPr="000E51C9">
        <w:t>e)</w:t>
      </w:r>
      <w:r w:rsidR="004663B8" w:rsidRPr="000E51C9">
        <w:t xml:space="preserve">, as illustrated by the country-specific data in </w:t>
      </w:r>
      <w:r w:rsidR="00FE7ABF" w:rsidRPr="000E51C9">
        <w:t>Tables X.</w:t>
      </w:r>
      <w:r w:rsidR="004663B8" w:rsidRPr="000E51C9">
        <w:t xml:space="preserve">1, </w:t>
      </w:r>
      <w:r w:rsidR="00FE7ABF" w:rsidRPr="000E51C9">
        <w:t>X.</w:t>
      </w:r>
      <w:r w:rsidR="004663B8" w:rsidRPr="000E51C9">
        <w:t xml:space="preserve">2 and </w:t>
      </w:r>
      <w:r w:rsidR="00FE7ABF" w:rsidRPr="000E51C9">
        <w:t>X.</w:t>
      </w:r>
      <w:r w:rsidR="004663B8" w:rsidRPr="000E51C9">
        <w:t xml:space="preserve">3, </w:t>
      </w:r>
      <w:r w:rsidR="00706A57" w:rsidRPr="000E51C9">
        <w:t xml:space="preserve">have a higher number of PTAs </w:t>
      </w:r>
      <w:r w:rsidR="004345FC" w:rsidRPr="000E51C9">
        <w:t>(</w:t>
      </w:r>
      <w:r w:rsidR="006D3F38" w:rsidRPr="000E51C9">
        <w:t xml:space="preserve">65-85%) </w:t>
      </w:r>
      <w:r w:rsidR="00706A57" w:rsidRPr="000E51C9">
        <w:t xml:space="preserve">that </w:t>
      </w:r>
      <w:r w:rsidR="00706A57" w:rsidRPr="000E51C9">
        <w:rPr>
          <w:i/>
        </w:rPr>
        <w:t>do not</w:t>
      </w:r>
      <w:r w:rsidR="00706A57" w:rsidRPr="000E51C9">
        <w:t xml:space="preserve"> include investment chapters. </w:t>
      </w:r>
      <w:r w:rsidR="004663B8" w:rsidRPr="000E51C9">
        <w:t xml:space="preserve">Nevertheless, their trade and investment policies are evolving and an increasing number of recent PTAs include investment chapters. </w:t>
      </w:r>
      <w:r w:rsidR="004A578C" w:rsidRPr="000E51C9">
        <w:t xml:space="preserve">The </w:t>
      </w:r>
      <w:r w:rsidR="004A578C" w:rsidRPr="000E51C9">
        <w:rPr>
          <w:i/>
        </w:rPr>
        <w:t xml:space="preserve">third </w:t>
      </w:r>
      <w:r w:rsidR="004A578C" w:rsidRPr="000E51C9">
        <w:rPr>
          <w:i/>
        </w:rPr>
        <w:lastRenderedPageBreak/>
        <w:t xml:space="preserve">group </w:t>
      </w:r>
      <w:r w:rsidR="004A578C" w:rsidRPr="000E51C9">
        <w:t xml:space="preserve">includes countries/REIOs </w:t>
      </w:r>
      <w:r w:rsidR="00AC316C" w:rsidRPr="000E51C9">
        <w:t>in which almost all PTAs lack investment chapters. Countries, such as Brazil, and REIOs influence</w:t>
      </w:r>
      <w:r w:rsidR="00844E3C" w:rsidRPr="000E51C9">
        <w:t>d</w:t>
      </w:r>
      <w:r w:rsidR="00AC316C" w:rsidRPr="000E51C9">
        <w:t xml:space="preserve"> by </w:t>
      </w:r>
      <w:r w:rsidR="00C42F6D" w:rsidRPr="000E51C9">
        <w:t>these</w:t>
      </w:r>
      <w:r w:rsidR="00AC316C" w:rsidRPr="000E51C9">
        <w:t xml:space="preserve"> countries, such as MERCOSUR, often have an ad</w:t>
      </w:r>
      <w:r w:rsidR="008E6320" w:rsidRPr="000E51C9">
        <w:t>verse position towards</w:t>
      </w:r>
      <w:r w:rsidR="00AC316C" w:rsidRPr="000E51C9">
        <w:t xml:space="preserve"> investment protection/ISDS, which is reflected in the lack of such provisions in PTAs. The African </w:t>
      </w:r>
      <w:r w:rsidR="00F57ADE" w:rsidRPr="000E51C9">
        <w:t>Regionals</w:t>
      </w:r>
      <w:r w:rsidR="00AC316C" w:rsidRPr="000E51C9">
        <w:t xml:space="preserve">, </w:t>
      </w:r>
      <w:r w:rsidR="00477B32" w:rsidRPr="000E51C9">
        <w:t xml:space="preserve">as well as </w:t>
      </w:r>
      <w:r w:rsidR="00F438FB" w:rsidRPr="000E51C9">
        <w:t>Moroccan</w:t>
      </w:r>
      <w:r w:rsidR="00AC316C" w:rsidRPr="000E51C9">
        <w:t xml:space="preserve"> and South African PTAs, often defer the inclusion of investment protection to further negotiations</w:t>
      </w:r>
      <w:r w:rsidR="00F438FB" w:rsidRPr="000E51C9">
        <w:t>.</w:t>
      </w:r>
    </w:p>
    <w:p w14:paraId="2158854D" w14:textId="181CADA5" w:rsidR="00514AE1" w:rsidRPr="000E51C9" w:rsidRDefault="00837D06" w:rsidP="00163F2E">
      <w:pPr>
        <w:spacing w:line="360" w:lineRule="auto"/>
        <w:jc w:val="both"/>
      </w:pPr>
      <w:r w:rsidRPr="000E51C9">
        <w:t xml:space="preserve">  </w:t>
      </w:r>
    </w:p>
    <w:p w14:paraId="555F4E28" w14:textId="1149C7E6" w:rsidR="00D97362" w:rsidRPr="000E51C9" w:rsidRDefault="007D559F" w:rsidP="007D559F">
      <w:pPr>
        <w:pStyle w:val="berschrift1"/>
        <w:numPr>
          <w:ilvl w:val="0"/>
          <w:numId w:val="0"/>
        </w:numPr>
        <w:spacing w:before="0" w:after="0" w:line="360" w:lineRule="auto"/>
        <w:ind w:left="450" w:hanging="450"/>
        <w:rPr>
          <w:lang w:val="en-GB"/>
        </w:rPr>
      </w:pPr>
      <w:bookmarkStart w:id="16" w:name="_Toc497733685"/>
      <w:proofErr w:type="gramStart"/>
      <w:r w:rsidRPr="000E51C9">
        <w:rPr>
          <w:rFonts w:cs="Times New Roman"/>
          <w:lang w:val="en-GB"/>
        </w:rPr>
        <w:t xml:space="preserve">X.3 </w:t>
      </w:r>
      <w:r w:rsidR="00D7404C" w:rsidRPr="000E51C9">
        <w:rPr>
          <w:rFonts w:cs="Times New Roman"/>
          <w:lang w:val="en-GB"/>
        </w:rPr>
        <w:t>Po</w:t>
      </w:r>
      <w:r w:rsidR="00D97362" w:rsidRPr="000E51C9">
        <w:rPr>
          <w:rFonts w:cs="Times New Roman"/>
          <w:lang w:val="en-GB"/>
        </w:rPr>
        <w:t>tential</w:t>
      </w:r>
      <w:r w:rsidR="004A3EDF" w:rsidRPr="000E51C9">
        <w:rPr>
          <w:rFonts w:cs="Times New Roman"/>
          <w:lang w:val="en-GB"/>
        </w:rPr>
        <w:t xml:space="preserve"> </w:t>
      </w:r>
      <w:r w:rsidR="00BC07F3" w:rsidRPr="000E51C9">
        <w:rPr>
          <w:rFonts w:cs="Times New Roman"/>
          <w:lang w:val="en-GB"/>
        </w:rPr>
        <w:t>D</w:t>
      </w:r>
      <w:r w:rsidR="00583384" w:rsidRPr="000E51C9">
        <w:rPr>
          <w:rFonts w:cs="Times New Roman"/>
          <w:lang w:val="en-GB"/>
        </w:rPr>
        <w:t xml:space="preserve">rivers </w:t>
      </w:r>
      <w:r w:rsidR="00941E6E" w:rsidRPr="000E51C9">
        <w:rPr>
          <w:rFonts w:cs="Times New Roman"/>
          <w:lang w:val="en-GB"/>
        </w:rPr>
        <w:t>b</w:t>
      </w:r>
      <w:r w:rsidR="00583384" w:rsidRPr="000E51C9">
        <w:rPr>
          <w:rFonts w:cs="Times New Roman"/>
          <w:lang w:val="en-GB"/>
        </w:rPr>
        <w:t>ehind the Inclusion/Exclusion of Investment Chapters into/from PTAs</w:t>
      </w:r>
      <w:r w:rsidR="00D7404C" w:rsidRPr="000E51C9">
        <w:rPr>
          <w:rFonts w:cs="Times New Roman"/>
          <w:lang w:val="en-GB"/>
        </w:rPr>
        <w:t xml:space="preserve"> and Their Implications.</w:t>
      </w:r>
      <w:bookmarkEnd w:id="16"/>
      <w:proofErr w:type="gramEnd"/>
      <w:r w:rsidR="00583384" w:rsidRPr="000E51C9">
        <w:rPr>
          <w:rFonts w:cs="Times New Roman"/>
          <w:lang w:val="en-GB"/>
        </w:rPr>
        <w:t xml:space="preserve"> </w:t>
      </w:r>
      <w:r w:rsidR="006E2DE0" w:rsidRPr="000E51C9">
        <w:rPr>
          <w:rFonts w:cs="Times New Roman"/>
          <w:lang w:val="en-GB"/>
        </w:rPr>
        <w:t xml:space="preserve">   </w:t>
      </w:r>
    </w:p>
    <w:p w14:paraId="1F178866" w14:textId="7DEFADFB" w:rsidR="00585CD5" w:rsidRPr="000E51C9" w:rsidRDefault="009C5BEB" w:rsidP="00163F2E">
      <w:pPr>
        <w:spacing w:line="360" w:lineRule="auto"/>
        <w:jc w:val="both"/>
      </w:pPr>
      <w:r w:rsidRPr="000E51C9">
        <w:t xml:space="preserve">This </w:t>
      </w:r>
      <w:r w:rsidR="001A64A6" w:rsidRPr="000E51C9">
        <w:t xml:space="preserve">section </w:t>
      </w:r>
      <w:r w:rsidR="00D97362" w:rsidRPr="000E51C9">
        <w:t>looks at potential</w:t>
      </w:r>
      <w:r w:rsidR="00585CD5" w:rsidRPr="000E51C9">
        <w:t xml:space="preserve"> drivers behind the </w:t>
      </w:r>
      <w:r w:rsidR="00D97362" w:rsidRPr="000E51C9">
        <w:t xml:space="preserve">inclusion or exclusion of investment chapters into/from PTAs and their implications. The data gathered in </w:t>
      </w:r>
      <w:r w:rsidR="001A64A6" w:rsidRPr="000E51C9">
        <w:t>section X.</w:t>
      </w:r>
      <w:r w:rsidR="00D97362" w:rsidRPr="000E51C9">
        <w:t>2 will help to pin-point some readily apparent drivers (</w:t>
      </w:r>
      <w:r w:rsidR="001A64A6" w:rsidRPr="000E51C9">
        <w:t>section X.</w:t>
      </w:r>
      <w:r w:rsidR="00AE5A91" w:rsidRPr="000E51C9">
        <w:t>3.</w:t>
      </w:r>
      <w:r w:rsidR="00D97362" w:rsidRPr="000E51C9">
        <w:t xml:space="preserve">2). However, </w:t>
      </w:r>
      <w:r w:rsidR="00395759" w:rsidRPr="000E51C9">
        <w:t>it</w:t>
      </w:r>
      <w:r w:rsidR="00D97362" w:rsidRPr="000E51C9">
        <w:t xml:space="preserve"> will be insufficient when discussing three other potential drivers</w:t>
      </w:r>
      <w:r w:rsidR="006344E9" w:rsidRPr="000E51C9">
        <w:t xml:space="preserve"> (</w:t>
      </w:r>
      <w:r w:rsidR="001A64A6" w:rsidRPr="000E51C9">
        <w:t>section X.</w:t>
      </w:r>
      <w:r w:rsidR="006344E9" w:rsidRPr="000E51C9">
        <w:t>3</w:t>
      </w:r>
      <w:r w:rsidR="00AE5A91" w:rsidRPr="000E51C9">
        <w:t>.3</w:t>
      </w:r>
      <w:r w:rsidR="006344E9" w:rsidRPr="000E51C9">
        <w:t>)</w:t>
      </w:r>
      <w:r w:rsidR="00D97362" w:rsidRPr="000E51C9">
        <w:t xml:space="preserve">: (a) </w:t>
      </w:r>
      <w:r w:rsidR="005C47E3" w:rsidRPr="000E51C9">
        <w:t>low-capacity governments accepting</w:t>
      </w:r>
      <w:r w:rsidR="000B05F7" w:rsidRPr="000E51C9">
        <w:t>/using</w:t>
      </w:r>
      <w:r w:rsidR="005C47E3" w:rsidRPr="000E51C9">
        <w:t xml:space="preserve"> the templates of more powerful states</w:t>
      </w:r>
      <w:r w:rsidR="00D97362" w:rsidRPr="000E51C9">
        <w:t xml:space="preserve">; (b) the pursuit of more comprehensive and resource friendly negotiations; (c) achieving a more coherent application of international economic law. </w:t>
      </w:r>
      <w:r w:rsidR="00585CD5" w:rsidRPr="000E51C9">
        <w:t>Therefore, academic literature from various fields of social sciences, such as law, political science and negotiation theory</w:t>
      </w:r>
      <w:r w:rsidR="00AC47A7" w:rsidRPr="000E51C9">
        <w:t>,</w:t>
      </w:r>
      <w:r w:rsidR="00585CD5" w:rsidRPr="000E51C9">
        <w:t xml:space="preserve"> shall also be consulted.  </w:t>
      </w:r>
    </w:p>
    <w:p w14:paraId="4989C4E6" w14:textId="0638D9BB" w:rsidR="00514AE1" w:rsidRPr="000E51C9" w:rsidRDefault="006A47BA" w:rsidP="00163F2E">
      <w:pPr>
        <w:tabs>
          <w:tab w:val="left" w:pos="1245"/>
        </w:tabs>
        <w:spacing w:line="360" w:lineRule="auto"/>
        <w:rPr>
          <w:lang w:eastAsia="zh-CN"/>
        </w:rPr>
      </w:pPr>
      <w:r w:rsidRPr="000E51C9">
        <w:rPr>
          <w:lang w:eastAsia="zh-CN"/>
        </w:rPr>
        <w:tab/>
      </w:r>
    </w:p>
    <w:p w14:paraId="71878645" w14:textId="01F7653A" w:rsidR="00180DBA" w:rsidRPr="000E51C9" w:rsidRDefault="007D559F" w:rsidP="007D559F">
      <w:pPr>
        <w:pStyle w:val="berschrift2"/>
        <w:spacing w:before="0" w:after="0" w:line="360" w:lineRule="auto"/>
        <w:rPr>
          <w:lang w:val="en-GB"/>
        </w:rPr>
      </w:pPr>
      <w:bookmarkStart w:id="17" w:name="_Toc497733686"/>
      <w:r w:rsidRPr="000E51C9">
        <w:rPr>
          <w:rFonts w:cs="Times New Roman"/>
          <w:i/>
          <w:lang w:val="en-GB"/>
        </w:rPr>
        <w:t xml:space="preserve">X.3.1 </w:t>
      </w:r>
      <w:r w:rsidR="002D2C5B" w:rsidRPr="000E51C9">
        <w:rPr>
          <w:rFonts w:cs="Times New Roman"/>
          <w:i/>
          <w:lang w:val="en-GB"/>
        </w:rPr>
        <w:t xml:space="preserve">Readily </w:t>
      </w:r>
      <w:r w:rsidR="006A47BA" w:rsidRPr="000E51C9">
        <w:rPr>
          <w:rFonts w:cs="Times New Roman"/>
          <w:i/>
          <w:lang w:val="en-GB"/>
        </w:rPr>
        <w:t xml:space="preserve">Apparent </w:t>
      </w:r>
      <w:r w:rsidR="001219A8" w:rsidRPr="000E51C9">
        <w:rPr>
          <w:rFonts w:cs="Times New Roman"/>
          <w:i/>
          <w:lang w:val="en-GB"/>
        </w:rPr>
        <w:t>Drivers</w:t>
      </w:r>
      <w:bookmarkEnd w:id="17"/>
      <w:r w:rsidR="008C5EFA" w:rsidRPr="000E51C9">
        <w:rPr>
          <w:rFonts w:cs="Times New Roman"/>
          <w:i/>
          <w:lang w:val="en-GB"/>
        </w:rPr>
        <w:t xml:space="preserve"> </w:t>
      </w:r>
    </w:p>
    <w:p w14:paraId="50A3C6A6" w14:textId="6EF26E11" w:rsidR="00592863" w:rsidRPr="000E51C9" w:rsidRDefault="004A57A5" w:rsidP="00163F2E">
      <w:pPr>
        <w:spacing w:line="360" w:lineRule="auto"/>
        <w:jc w:val="both"/>
      </w:pPr>
      <w:r w:rsidRPr="000E51C9">
        <w:t>S</w:t>
      </w:r>
      <w:r w:rsidR="00D219D4" w:rsidRPr="000E51C9">
        <w:t xml:space="preserve">tates/REIOs </w:t>
      </w:r>
      <w:r w:rsidR="00A00DCB" w:rsidRPr="000E51C9">
        <w:t xml:space="preserve">can </w:t>
      </w:r>
      <w:r w:rsidR="00D219D4" w:rsidRPr="000E51C9">
        <w:t>choose to include investment chapters into their PTAs</w:t>
      </w:r>
      <w:r w:rsidR="00F329F5" w:rsidRPr="000E51C9">
        <w:t xml:space="preserve"> </w:t>
      </w:r>
      <w:r w:rsidR="00D219D4" w:rsidRPr="000E51C9">
        <w:t xml:space="preserve">in order to </w:t>
      </w:r>
      <w:r w:rsidR="00D219D4" w:rsidRPr="000E51C9">
        <w:rPr>
          <w:i/>
        </w:rPr>
        <w:t>replace or reform</w:t>
      </w:r>
      <w:r w:rsidR="00F329F5" w:rsidRPr="000E51C9">
        <w:rPr>
          <w:i/>
        </w:rPr>
        <w:t xml:space="preserve"> an</w:t>
      </w:r>
      <w:r w:rsidR="00D219D4" w:rsidRPr="000E51C9">
        <w:rPr>
          <w:i/>
        </w:rPr>
        <w:t xml:space="preserve"> existing investment agreement</w:t>
      </w:r>
      <w:r w:rsidR="00F329F5" w:rsidRPr="000E51C9">
        <w:rPr>
          <w:i/>
        </w:rPr>
        <w:t xml:space="preserve"> </w:t>
      </w:r>
      <w:r w:rsidR="00F329F5" w:rsidRPr="000E51C9">
        <w:t>between them</w:t>
      </w:r>
      <w:r w:rsidR="00D219D4" w:rsidRPr="000E51C9">
        <w:t xml:space="preserve">. For example, the China-New Zealand FTA (2008) included investment protection provisions that </w:t>
      </w:r>
      <w:r w:rsidR="00813FFC" w:rsidRPr="000E51C9">
        <w:t>were meant to replace the outdated standards of the China-</w:t>
      </w:r>
      <w:r w:rsidR="00D219D4" w:rsidRPr="000E51C9">
        <w:t xml:space="preserve">New Zealand Investment Protection and Promotion </w:t>
      </w:r>
      <w:r w:rsidR="00813FFC" w:rsidRPr="000E51C9">
        <w:t>Agreement of 1998</w:t>
      </w:r>
      <w:r w:rsidR="00D219D4" w:rsidRPr="000E51C9">
        <w:t>.</w:t>
      </w:r>
      <w:r w:rsidR="00D219D4" w:rsidRPr="000E51C9">
        <w:rPr>
          <w:rStyle w:val="Funotenzeichen"/>
        </w:rPr>
        <w:footnoteReference w:id="107"/>
      </w:r>
      <w:r w:rsidR="00D219D4" w:rsidRPr="000E51C9">
        <w:t xml:space="preserve"> </w:t>
      </w:r>
      <w:r w:rsidR="00C56DD6" w:rsidRPr="000E51C9">
        <w:t xml:space="preserve">The opposite is also true. Contracting parties will often </w:t>
      </w:r>
      <w:r w:rsidR="00C56DD6" w:rsidRPr="000E51C9">
        <w:rPr>
          <w:i/>
        </w:rPr>
        <w:t>not include</w:t>
      </w:r>
      <w:r w:rsidR="00C56DD6" w:rsidRPr="000E51C9">
        <w:t xml:space="preserve"> an</w:t>
      </w:r>
      <w:r w:rsidR="00687A07" w:rsidRPr="000E51C9">
        <w:t xml:space="preserve"> </w:t>
      </w:r>
      <w:r w:rsidR="00C56DD6" w:rsidRPr="000E51C9">
        <w:t>investment chapter into a PTA if</w:t>
      </w:r>
      <w:r w:rsidR="00687A07" w:rsidRPr="000E51C9">
        <w:t xml:space="preserve"> </w:t>
      </w:r>
      <w:r w:rsidR="00C56DD6" w:rsidRPr="000E51C9">
        <w:t xml:space="preserve">a </w:t>
      </w:r>
      <w:r w:rsidR="00687A07" w:rsidRPr="000E51C9">
        <w:rPr>
          <w:i/>
        </w:rPr>
        <w:t>prior</w:t>
      </w:r>
      <w:r w:rsidR="00687A07" w:rsidRPr="000E51C9">
        <w:t xml:space="preserve"> </w:t>
      </w:r>
      <w:r w:rsidR="00C56DD6" w:rsidRPr="000E51C9">
        <w:rPr>
          <w:i/>
        </w:rPr>
        <w:t>BIT exists</w:t>
      </w:r>
      <w:r w:rsidR="00687A07" w:rsidRPr="000E51C9">
        <w:rPr>
          <w:i/>
        </w:rPr>
        <w:t xml:space="preserve"> </w:t>
      </w:r>
      <w:r w:rsidR="00687A07" w:rsidRPr="000E51C9">
        <w:t>between the</w:t>
      </w:r>
      <w:r w:rsidR="00C56DD6" w:rsidRPr="000E51C9">
        <w:t xml:space="preserve">m. </w:t>
      </w:r>
      <w:r w:rsidR="00687A07" w:rsidRPr="000E51C9">
        <w:t xml:space="preserve">Such </w:t>
      </w:r>
      <w:r w:rsidR="00C56DD6" w:rsidRPr="000E51C9">
        <w:t>is</w:t>
      </w:r>
      <w:r w:rsidR="00687A07" w:rsidRPr="000E51C9">
        <w:t xml:space="preserve"> the case with the US PTAs with Bahrain and Jordan,</w:t>
      </w:r>
      <w:r w:rsidR="00A00DCB" w:rsidRPr="000E51C9">
        <w:rPr>
          <w:rStyle w:val="Funotenzeichen"/>
        </w:rPr>
        <w:footnoteReference w:id="108"/>
      </w:r>
      <w:r w:rsidR="00687A07" w:rsidRPr="000E51C9">
        <w:t xml:space="preserve"> the Canadian PTAs with Jordan, Costa Rica and Peru</w:t>
      </w:r>
      <w:r w:rsidR="00A00DCB" w:rsidRPr="000E51C9">
        <w:rPr>
          <w:rStyle w:val="Funotenzeichen"/>
        </w:rPr>
        <w:footnoteReference w:id="109"/>
      </w:r>
      <w:r w:rsidR="00687A07" w:rsidRPr="000E51C9">
        <w:t xml:space="preserve"> as well as the Japanese EPAs with Vietnam and Peru.</w:t>
      </w:r>
      <w:r w:rsidR="00A00DCB" w:rsidRPr="000E51C9">
        <w:rPr>
          <w:rStyle w:val="Funotenzeichen"/>
        </w:rPr>
        <w:footnoteReference w:id="110"/>
      </w:r>
      <w:r w:rsidR="00687A07" w:rsidRPr="000E51C9">
        <w:t xml:space="preserve"> </w:t>
      </w:r>
    </w:p>
    <w:p w14:paraId="752A47A4" w14:textId="51262B23" w:rsidR="00FF135F" w:rsidRPr="000E51C9" w:rsidRDefault="00E31832" w:rsidP="007D559F">
      <w:pPr>
        <w:spacing w:line="360" w:lineRule="auto"/>
        <w:ind w:firstLine="288"/>
        <w:jc w:val="both"/>
      </w:pPr>
      <w:r w:rsidRPr="000E51C9">
        <w:t xml:space="preserve">One could also argue that some states/REIOs will aim to conclude complex PTAs, </w:t>
      </w:r>
      <w:r w:rsidR="00A54FE4" w:rsidRPr="000E51C9">
        <w:t>which</w:t>
      </w:r>
      <w:r w:rsidRPr="000E51C9">
        <w:t xml:space="preserve"> go beyond traditional trade related areas, in order </w:t>
      </w:r>
      <w:r w:rsidR="00FF135F" w:rsidRPr="000E51C9">
        <w:t xml:space="preserve">to </w:t>
      </w:r>
      <w:r w:rsidR="00FF135F" w:rsidRPr="000E51C9">
        <w:rPr>
          <w:i/>
        </w:rPr>
        <w:t>change</w:t>
      </w:r>
      <w:r w:rsidR="00FF135F" w:rsidRPr="000E51C9">
        <w:t xml:space="preserve"> or </w:t>
      </w:r>
      <w:r w:rsidR="00FF135F" w:rsidRPr="000E51C9">
        <w:rPr>
          <w:i/>
        </w:rPr>
        <w:t>influence</w:t>
      </w:r>
      <w:r w:rsidR="00FF135F" w:rsidRPr="000E51C9">
        <w:t xml:space="preserve"> existing </w:t>
      </w:r>
      <w:r w:rsidR="00A54FE4" w:rsidRPr="000E51C9">
        <w:t xml:space="preserve">international </w:t>
      </w:r>
      <w:r w:rsidR="00A54FE4" w:rsidRPr="000E51C9">
        <w:lastRenderedPageBreak/>
        <w:t xml:space="preserve">rules or </w:t>
      </w:r>
      <w:r w:rsidR="00FF135F" w:rsidRPr="000E51C9">
        <w:t xml:space="preserve">domestic </w:t>
      </w:r>
      <w:r w:rsidR="00FF135F" w:rsidRPr="000E51C9">
        <w:rPr>
          <w:i/>
        </w:rPr>
        <w:t>rules</w:t>
      </w:r>
      <w:r w:rsidR="00FF135F" w:rsidRPr="000E51C9">
        <w:t xml:space="preserve"> in the other contracting party.</w:t>
      </w:r>
      <w:r w:rsidR="00A54FE4" w:rsidRPr="000E51C9">
        <w:t xml:space="preserve"> For example, newcomers to the investment field, such as the EU,</w:t>
      </w:r>
      <w:r w:rsidR="00A54FE4" w:rsidRPr="000E51C9">
        <w:rPr>
          <w:rStyle w:val="Funotenzeichen"/>
        </w:rPr>
        <w:footnoteReference w:id="111"/>
      </w:r>
      <w:r w:rsidR="00A54FE4" w:rsidRPr="000E51C9">
        <w:t xml:space="preserve"> or rising economic powers, such as China</w:t>
      </w:r>
      <w:r w:rsidR="00AF3478" w:rsidRPr="000E51C9">
        <w:t>,</w:t>
      </w:r>
      <w:r w:rsidR="00A54FE4" w:rsidRPr="000E51C9">
        <w:t xml:space="preserve"> also want to leave their ‘normative mark’ on international investment law.</w:t>
      </w:r>
      <w:r w:rsidR="00A54FE4" w:rsidRPr="000E51C9">
        <w:rPr>
          <w:rStyle w:val="Funotenzeichen"/>
        </w:rPr>
        <w:footnoteReference w:id="112"/>
      </w:r>
      <w:r w:rsidR="003779CB" w:rsidRPr="000E51C9">
        <w:t xml:space="preserve"> </w:t>
      </w:r>
      <w:r w:rsidR="00B84503" w:rsidRPr="000E51C9">
        <w:t>O</w:t>
      </w:r>
      <w:r w:rsidR="00A54FE4" w:rsidRPr="000E51C9">
        <w:t xml:space="preserve">thers have argued that </w:t>
      </w:r>
      <w:r w:rsidR="00AF54BD" w:rsidRPr="000E51C9">
        <w:t>US</w:t>
      </w:r>
      <w:r w:rsidR="00FF135F" w:rsidRPr="000E51C9">
        <w:t xml:space="preserve"> PTAs often have the objective to produce changes in the partner country’s domestic regulatory framework </w:t>
      </w:r>
      <w:r w:rsidR="00824A5E" w:rsidRPr="000E51C9">
        <w:t>with the aim of</w:t>
      </w:r>
      <w:r w:rsidR="00FF135F" w:rsidRPr="000E51C9">
        <w:t xml:space="preserve"> bring</w:t>
      </w:r>
      <w:r w:rsidR="00824A5E" w:rsidRPr="000E51C9">
        <w:t>ing</w:t>
      </w:r>
      <w:r w:rsidR="00FF135F" w:rsidRPr="000E51C9">
        <w:t xml:space="preserve"> about a more favourable regulatory environment to their investors.</w:t>
      </w:r>
      <w:r w:rsidR="00FF135F" w:rsidRPr="000E51C9">
        <w:rPr>
          <w:rStyle w:val="Funotenzeichen"/>
        </w:rPr>
        <w:footnoteReference w:id="113"/>
      </w:r>
      <w:r w:rsidR="00FF135F" w:rsidRPr="000E51C9">
        <w:t xml:space="preserve"> </w:t>
      </w:r>
    </w:p>
    <w:p w14:paraId="06133F43" w14:textId="657573FD" w:rsidR="00CD502F" w:rsidRPr="000E51C9" w:rsidRDefault="00B400E3" w:rsidP="007D559F">
      <w:pPr>
        <w:spacing w:line="360" w:lineRule="auto"/>
        <w:ind w:firstLine="288"/>
        <w:jc w:val="both"/>
      </w:pPr>
      <w:r w:rsidRPr="000E51C9">
        <w:t>There are</w:t>
      </w:r>
      <w:r w:rsidR="005F3F05" w:rsidRPr="000E51C9">
        <w:t xml:space="preserve"> further </w:t>
      </w:r>
      <w:r w:rsidRPr="000E51C9">
        <w:t xml:space="preserve">considerations for </w:t>
      </w:r>
      <w:r w:rsidRPr="000E51C9">
        <w:rPr>
          <w:i/>
        </w:rPr>
        <w:t>not</w:t>
      </w:r>
      <w:r w:rsidRPr="000E51C9">
        <w:t xml:space="preserve"> combining trade and investment in one agreement. </w:t>
      </w:r>
      <w:r w:rsidR="00F20A33" w:rsidRPr="000E51C9">
        <w:t>It might</w:t>
      </w:r>
      <w:r w:rsidRPr="000E51C9">
        <w:t xml:space="preserve"> </w:t>
      </w:r>
      <w:r w:rsidRPr="000E51C9">
        <w:rPr>
          <w:i/>
        </w:rPr>
        <w:t xml:space="preserve">not </w:t>
      </w:r>
      <w:r w:rsidR="0018386E" w:rsidRPr="000E51C9">
        <w:rPr>
          <w:i/>
        </w:rPr>
        <w:t xml:space="preserve">be </w:t>
      </w:r>
      <w:r w:rsidRPr="000E51C9">
        <w:rPr>
          <w:i/>
        </w:rPr>
        <w:t>the opportune moment</w:t>
      </w:r>
      <w:r w:rsidR="00543194" w:rsidRPr="000E51C9">
        <w:rPr>
          <w:i/>
        </w:rPr>
        <w:t xml:space="preserve"> </w:t>
      </w:r>
      <w:r w:rsidR="00543194" w:rsidRPr="000E51C9">
        <w:t xml:space="preserve">for the contracting parties to </w:t>
      </w:r>
      <w:r w:rsidR="00CD502F" w:rsidRPr="000E51C9">
        <w:t>tackle</w:t>
      </w:r>
      <w:r w:rsidR="00543194" w:rsidRPr="000E51C9">
        <w:t xml:space="preserve"> </w:t>
      </w:r>
      <w:r w:rsidR="00CD502F" w:rsidRPr="000E51C9">
        <w:t>too many issues in one agreement</w:t>
      </w:r>
      <w:r w:rsidR="00543194" w:rsidRPr="000E51C9">
        <w:t>.</w:t>
      </w:r>
      <w:r w:rsidR="00CD502F" w:rsidRPr="000E51C9">
        <w:t xml:space="preserve"> Instead of </w:t>
      </w:r>
      <w:r w:rsidR="004607B5" w:rsidRPr="000E51C9">
        <w:t xml:space="preserve">an </w:t>
      </w:r>
      <w:r w:rsidR="00CD502F" w:rsidRPr="000E51C9">
        <w:t xml:space="preserve">‘all-in’ </w:t>
      </w:r>
      <w:r w:rsidR="004607B5" w:rsidRPr="000E51C9">
        <w:t>agreement</w:t>
      </w:r>
      <w:r w:rsidR="00CD502F" w:rsidRPr="000E51C9">
        <w:t>, a cautious step-by-step approach can be favoured by</w:t>
      </w:r>
      <w:r w:rsidR="00543194" w:rsidRPr="000E51C9">
        <w:t xml:space="preserve"> </w:t>
      </w:r>
      <w:r w:rsidR="00CD502F" w:rsidRPr="000E51C9">
        <w:t>contracting</w:t>
      </w:r>
      <w:r w:rsidR="00543194" w:rsidRPr="000E51C9">
        <w:t xml:space="preserve"> parties </w:t>
      </w:r>
      <w:r w:rsidR="00CD502F" w:rsidRPr="000E51C9">
        <w:t xml:space="preserve">that </w:t>
      </w:r>
      <w:r w:rsidR="00543194" w:rsidRPr="000E51C9">
        <w:t xml:space="preserve">are at the beginning of their economic cooperation after </w:t>
      </w:r>
      <w:r w:rsidR="00CD502F" w:rsidRPr="000E51C9">
        <w:t xml:space="preserve">a period of cold political ties. For example, </w:t>
      </w:r>
      <w:r w:rsidR="00645238" w:rsidRPr="000E51C9">
        <w:t xml:space="preserve">following decades of </w:t>
      </w:r>
      <w:r w:rsidR="00CD502F" w:rsidRPr="000E51C9">
        <w:t>tense political relationship</w:t>
      </w:r>
      <w:r w:rsidR="003D10AD" w:rsidRPr="000E51C9">
        <w:t xml:space="preserve">, China and Taiwan </w:t>
      </w:r>
      <w:r w:rsidR="005E0D1B" w:rsidRPr="000E51C9">
        <w:t>pursued</w:t>
      </w:r>
      <w:r w:rsidR="003D10AD" w:rsidRPr="000E51C9">
        <w:t xml:space="preserve"> </w:t>
      </w:r>
      <w:r w:rsidR="00CD502F" w:rsidRPr="000E51C9">
        <w:t xml:space="preserve">economic cooperation with cautious steps. </w:t>
      </w:r>
      <w:r w:rsidR="007B18F4" w:rsidRPr="000E51C9">
        <w:t>F</w:t>
      </w:r>
      <w:r w:rsidR="00CD502F" w:rsidRPr="000E51C9">
        <w:t>irst</w:t>
      </w:r>
      <w:r w:rsidR="007B18F4" w:rsidRPr="000E51C9">
        <w:t>, they</w:t>
      </w:r>
      <w:r w:rsidR="00CD502F" w:rsidRPr="000E51C9">
        <w:t xml:space="preserve"> concluded the Economic Cooperation Framework Agreement (ECFA) that does not include an investment chapter.</w:t>
      </w:r>
      <w:r w:rsidR="005C7159" w:rsidRPr="000E51C9">
        <w:rPr>
          <w:rStyle w:val="Funotenzeichen"/>
        </w:rPr>
        <w:t xml:space="preserve"> </w:t>
      </w:r>
      <w:r w:rsidR="005C7159" w:rsidRPr="000E51C9">
        <w:rPr>
          <w:rStyle w:val="Funotenzeichen"/>
        </w:rPr>
        <w:footnoteReference w:id="114"/>
      </w:r>
      <w:r w:rsidR="00CD502F" w:rsidRPr="000E51C9">
        <w:t xml:space="preserve"> </w:t>
      </w:r>
      <w:r w:rsidR="00AD0041" w:rsidRPr="000E51C9">
        <w:t>They decided o</w:t>
      </w:r>
      <w:r w:rsidR="00CD502F" w:rsidRPr="000E51C9">
        <w:t>nly later, in 2012</w:t>
      </w:r>
      <w:r w:rsidR="00A54F9F" w:rsidRPr="000E51C9">
        <w:t>,</w:t>
      </w:r>
      <w:r w:rsidR="00CD502F" w:rsidRPr="000E51C9">
        <w:t xml:space="preserve"> to conclude the Cross-Straits Bilateral Investment Protection and Promotion Agreement (BIPPA). </w:t>
      </w:r>
      <w:r w:rsidR="00E12F7E" w:rsidRPr="000E51C9">
        <w:t xml:space="preserve"> </w:t>
      </w:r>
    </w:p>
    <w:p w14:paraId="03F4C136" w14:textId="36EBFCE6" w:rsidR="00824A5E" w:rsidRPr="000E51C9" w:rsidRDefault="00543194" w:rsidP="007D559F">
      <w:pPr>
        <w:spacing w:line="360" w:lineRule="auto"/>
        <w:ind w:firstLine="288"/>
        <w:jc w:val="both"/>
      </w:pPr>
      <w:r w:rsidRPr="000E51C9">
        <w:t xml:space="preserve">It can also happen that there are </w:t>
      </w:r>
      <w:r w:rsidRPr="000E51C9">
        <w:rPr>
          <w:i/>
        </w:rPr>
        <w:t xml:space="preserve">domestic impediments </w:t>
      </w:r>
      <w:r w:rsidRPr="000E51C9">
        <w:t xml:space="preserve">for not including investment chapters into PTAs. These can be of a </w:t>
      </w:r>
      <w:r w:rsidRPr="000E51C9">
        <w:rPr>
          <w:i/>
        </w:rPr>
        <w:t>constitutional/legal nature</w:t>
      </w:r>
      <w:r w:rsidR="00574978" w:rsidRPr="000E51C9">
        <w:t>,</w:t>
      </w:r>
      <w:r w:rsidRPr="000E51C9">
        <w:t xml:space="preserve"> such as in the case of the EU. As mentioned</w:t>
      </w:r>
      <w:r w:rsidR="00574978" w:rsidRPr="000E51C9">
        <w:t>, prior to the Lisbon Treaty</w:t>
      </w:r>
      <w:r w:rsidR="00AF3478" w:rsidRPr="000E51C9">
        <w:t>,</w:t>
      </w:r>
      <w:r w:rsidR="00574978" w:rsidRPr="000E51C9">
        <w:t xml:space="preserve"> the EU could not conclude international agreements covering FDI</w:t>
      </w:r>
      <w:r w:rsidR="00574978" w:rsidRPr="000E51C9">
        <w:rPr>
          <w:rStyle w:val="Funotenzeichen"/>
        </w:rPr>
        <w:footnoteReference w:id="115"/>
      </w:r>
      <w:r w:rsidR="0088054E" w:rsidRPr="000E51C9">
        <w:t>;</w:t>
      </w:r>
      <w:r w:rsidR="00574978" w:rsidRPr="000E51C9">
        <w:t xml:space="preserve"> or some of the </w:t>
      </w:r>
      <w:r w:rsidR="008F5C21" w:rsidRPr="000E51C9">
        <w:t xml:space="preserve">post-Lisbon </w:t>
      </w:r>
      <w:r w:rsidR="00574978" w:rsidRPr="000E51C9">
        <w:t>agreements that have trade components, such as the AAs with Georgia, Moldova or Ukraine</w:t>
      </w:r>
      <w:r w:rsidR="005D5495" w:rsidRPr="000E51C9">
        <w:t>,</w:t>
      </w:r>
      <w:r w:rsidR="00574978" w:rsidRPr="000E51C9">
        <w:t xml:space="preserve"> are concluded under a different legal basis than FTAs.</w:t>
      </w:r>
      <w:r w:rsidR="00574978" w:rsidRPr="000E51C9">
        <w:rPr>
          <w:rStyle w:val="Funotenzeichen"/>
        </w:rPr>
        <w:footnoteReference w:id="116"/>
      </w:r>
      <w:r w:rsidR="00574978" w:rsidRPr="000E51C9">
        <w:t xml:space="preserve"> </w:t>
      </w:r>
      <w:r w:rsidR="007473B3" w:rsidRPr="000E51C9">
        <w:t xml:space="preserve">Furthermore, </w:t>
      </w:r>
      <w:r w:rsidR="00824A5E" w:rsidRPr="000E51C9">
        <w:t xml:space="preserve">following Opinion 2/15 </w:t>
      </w:r>
      <w:r w:rsidR="007473B3" w:rsidRPr="000E51C9">
        <w:t>the EU might seek to decouple investment chapters from far</w:t>
      </w:r>
      <w:r w:rsidR="00824A5E" w:rsidRPr="000E51C9">
        <w:noBreakHyphen/>
      </w:r>
      <w:r w:rsidR="007473B3" w:rsidRPr="000E51C9">
        <w:t xml:space="preserve">reaching trade agreements </w:t>
      </w:r>
      <w:r w:rsidR="00824A5E" w:rsidRPr="000E51C9">
        <w:t>in order to avoid possible conflict between the</w:t>
      </w:r>
      <w:r w:rsidR="0088054E" w:rsidRPr="000E51C9">
        <w:t xml:space="preserve"> investment court system</w:t>
      </w:r>
      <w:r w:rsidR="00824A5E" w:rsidRPr="000E51C9">
        <w:t xml:space="preserve"> </w:t>
      </w:r>
      <w:r w:rsidR="0088054E" w:rsidRPr="000E51C9">
        <w:t>(</w:t>
      </w:r>
      <w:r w:rsidR="00824A5E" w:rsidRPr="000E51C9">
        <w:t>ICS</w:t>
      </w:r>
      <w:r w:rsidR="0088054E" w:rsidRPr="000E51C9">
        <w:t>)</w:t>
      </w:r>
      <w:r w:rsidR="00824A5E" w:rsidRPr="000E51C9">
        <w:t xml:space="preserve"> </w:t>
      </w:r>
      <w:r w:rsidR="00230F69" w:rsidRPr="000E51C9">
        <w:t>and the EU legal orde</w:t>
      </w:r>
      <w:r w:rsidR="003A606E" w:rsidRPr="000E51C9">
        <w:t>r</w:t>
      </w:r>
      <w:r w:rsidR="00230F69" w:rsidRPr="000E51C9">
        <w:t xml:space="preserve"> and to speed up the agreements’ conclusion and ratification. </w:t>
      </w:r>
      <w:r w:rsidR="00824A5E" w:rsidRPr="000E51C9">
        <w:t xml:space="preserve"> </w:t>
      </w:r>
    </w:p>
    <w:p w14:paraId="7736ED83" w14:textId="687E923E" w:rsidR="00180DBA" w:rsidRPr="000E51C9" w:rsidRDefault="00574978" w:rsidP="007D559F">
      <w:pPr>
        <w:spacing w:line="360" w:lineRule="auto"/>
        <w:ind w:firstLine="288"/>
        <w:jc w:val="both"/>
      </w:pPr>
      <w:r w:rsidRPr="000E51C9">
        <w:lastRenderedPageBreak/>
        <w:t xml:space="preserve">There might also be domestic impediments of a </w:t>
      </w:r>
      <w:r w:rsidRPr="000E51C9">
        <w:rPr>
          <w:i/>
        </w:rPr>
        <w:t>political nature</w:t>
      </w:r>
      <w:r w:rsidRPr="000E51C9">
        <w:t>, such as in the case of Brazil’s reluctance to embrace the international investment law system.</w:t>
      </w:r>
      <w:r w:rsidRPr="000E51C9">
        <w:rPr>
          <w:rStyle w:val="Funotenzeichen"/>
        </w:rPr>
        <w:footnoteReference w:id="117"/>
      </w:r>
      <w:r w:rsidRPr="000E51C9">
        <w:t xml:space="preserve"> Brazil’s reluctance might have also influenced the type of agreements that MERCOSUR, to which Brazil is a party, has concluded.</w:t>
      </w:r>
      <w:r w:rsidRPr="000E51C9">
        <w:rPr>
          <w:rStyle w:val="Funotenzeichen"/>
        </w:rPr>
        <w:footnoteReference w:id="118"/>
      </w:r>
      <w:r w:rsidRPr="000E51C9">
        <w:t xml:space="preserve"> </w:t>
      </w:r>
      <w:r w:rsidR="00963A89" w:rsidRPr="000E51C9">
        <w:t xml:space="preserve">ISDS </w:t>
      </w:r>
      <w:r w:rsidR="00694CEF" w:rsidRPr="000E51C9">
        <w:t xml:space="preserve">has also been expressly excluded </w:t>
      </w:r>
      <w:r w:rsidR="00963A89" w:rsidRPr="000E51C9">
        <w:t xml:space="preserve">from </w:t>
      </w:r>
      <w:r w:rsidR="00917C04" w:rsidRPr="000E51C9">
        <w:t xml:space="preserve">Australian </w:t>
      </w:r>
      <w:r w:rsidR="00963A89" w:rsidRPr="000E51C9">
        <w:t xml:space="preserve">PTAs </w:t>
      </w:r>
      <w:r w:rsidR="00917C04" w:rsidRPr="000E51C9">
        <w:t>under the</w:t>
      </w:r>
      <w:r w:rsidR="00963A89" w:rsidRPr="000E51C9">
        <w:t xml:space="preserve"> </w:t>
      </w:r>
      <w:r w:rsidRPr="000E51C9">
        <w:t xml:space="preserve">former Gillard Government or </w:t>
      </w:r>
      <w:r w:rsidR="00963A89" w:rsidRPr="000E51C9">
        <w:t>in</w:t>
      </w:r>
      <w:r w:rsidR="00FE5E78" w:rsidRPr="000E51C9">
        <w:t xml:space="preserve"> the</w:t>
      </w:r>
      <w:r w:rsidR="00963A89" w:rsidRPr="000E51C9">
        <w:t xml:space="preserve"> case of the Japan-Philippines EPA.</w:t>
      </w:r>
      <w:r w:rsidR="006618C0" w:rsidRPr="000E51C9">
        <w:rPr>
          <w:rStyle w:val="Funotenzeichen"/>
        </w:rPr>
        <w:t xml:space="preserve"> </w:t>
      </w:r>
      <w:r w:rsidR="006618C0" w:rsidRPr="000E51C9">
        <w:rPr>
          <w:rStyle w:val="Funotenzeichen"/>
        </w:rPr>
        <w:footnoteReference w:id="119"/>
      </w:r>
      <w:r w:rsidR="00963A89" w:rsidRPr="000E51C9">
        <w:t xml:space="preserve"> </w:t>
      </w:r>
    </w:p>
    <w:p w14:paraId="021AC16B" w14:textId="7FB03EDF" w:rsidR="006A47BA" w:rsidRPr="000E51C9" w:rsidRDefault="006A47BA" w:rsidP="007D559F">
      <w:pPr>
        <w:tabs>
          <w:tab w:val="left" w:pos="1245"/>
        </w:tabs>
        <w:spacing w:line="360" w:lineRule="auto"/>
        <w:ind w:firstLine="288"/>
        <w:rPr>
          <w:lang w:eastAsia="zh-CN"/>
        </w:rPr>
      </w:pPr>
      <w:r w:rsidRPr="000E51C9">
        <w:rPr>
          <w:lang w:eastAsia="zh-CN"/>
        </w:rPr>
        <w:tab/>
      </w:r>
      <w:r w:rsidRPr="000E51C9">
        <w:rPr>
          <w:lang w:eastAsia="zh-CN"/>
        </w:rPr>
        <w:tab/>
      </w:r>
    </w:p>
    <w:p w14:paraId="63354136" w14:textId="2846E7CA" w:rsidR="00676E50" w:rsidRPr="000E51C9" w:rsidRDefault="007D559F" w:rsidP="007D559F">
      <w:pPr>
        <w:pStyle w:val="berschrift2"/>
        <w:spacing w:before="0" w:after="0" w:line="360" w:lineRule="auto"/>
        <w:rPr>
          <w:lang w:val="en-GB"/>
        </w:rPr>
      </w:pPr>
      <w:bookmarkStart w:id="18" w:name="_Toc497733687"/>
      <w:r w:rsidRPr="000E51C9">
        <w:rPr>
          <w:rFonts w:cs="Times New Roman"/>
          <w:i/>
          <w:lang w:val="en-GB"/>
        </w:rPr>
        <w:t xml:space="preserve">X.3.2 </w:t>
      </w:r>
      <w:r w:rsidR="000B13AB" w:rsidRPr="000E51C9">
        <w:rPr>
          <w:rFonts w:cs="Times New Roman"/>
          <w:i/>
          <w:lang w:val="en-GB"/>
        </w:rPr>
        <w:t xml:space="preserve">Drivers </w:t>
      </w:r>
      <w:r w:rsidR="00A54023" w:rsidRPr="000E51C9">
        <w:rPr>
          <w:rFonts w:cs="Times New Roman"/>
          <w:i/>
          <w:lang w:val="en-GB"/>
        </w:rPr>
        <w:t>that Require a More Thorough Discussion</w:t>
      </w:r>
      <w:bookmarkEnd w:id="18"/>
    </w:p>
    <w:p w14:paraId="56272889" w14:textId="1651D275" w:rsidR="0089352D" w:rsidRPr="000E51C9" w:rsidRDefault="0062585F" w:rsidP="00163F2E">
      <w:pPr>
        <w:spacing w:line="360" w:lineRule="auto"/>
        <w:jc w:val="both"/>
      </w:pPr>
      <w:r w:rsidRPr="000E51C9">
        <w:t>The following subsection</w:t>
      </w:r>
      <w:r w:rsidR="0089352D" w:rsidRPr="000E51C9">
        <w:t>s</w:t>
      </w:r>
      <w:r w:rsidRPr="000E51C9">
        <w:t xml:space="preserve"> </w:t>
      </w:r>
      <w:r w:rsidR="0089352D" w:rsidRPr="000E51C9">
        <w:t xml:space="preserve">deal with three potential drivers and </w:t>
      </w:r>
      <w:r w:rsidR="006C4853" w:rsidRPr="000E51C9">
        <w:t>their</w:t>
      </w:r>
      <w:r w:rsidR="0089352D" w:rsidRPr="000E51C9">
        <w:t xml:space="preserve"> implications, for which the data gathered in </w:t>
      </w:r>
      <w:r w:rsidR="00FE5E78" w:rsidRPr="000E51C9">
        <w:t>section X.</w:t>
      </w:r>
      <w:r w:rsidR="0089352D" w:rsidRPr="000E51C9">
        <w:t>2 is not sufficient. Therefore, a thorough discussion is undertaken with the help of academic works and studies from several disciplines.</w:t>
      </w:r>
    </w:p>
    <w:p w14:paraId="2707A7C9" w14:textId="77777777" w:rsidR="00FF145B" w:rsidRPr="000E51C9" w:rsidRDefault="00FF145B" w:rsidP="00163F2E">
      <w:pPr>
        <w:spacing w:line="360" w:lineRule="auto"/>
      </w:pPr>
    </w:p>
    <w:p w14:paraId="7754FB17" w14:textId="4336F2FC" w:rsidR="004F41EF" w:rsidRPr="000E51C9" w:rsidRDefault="007D559F" w:rsidP="007D559F">
      <w:pPr>
        <w:pStyle w:val="berschrift3"/>
        <w:spacing w:before="0" w:after="0" w:line="360" w:lineRule="auto"/>
        <w:rPr>
          <w:lang w:eastAsia="zh-CN"/>
        </w:rPr>
      </w:pPr>
      <w:bookmarkStart w:id="19" w:name="_Toc497733688"/>
      <w:r w:rsidRPr="000E51C9">
        <w:rPr>
          <w:rFonts w:cs="Times New Roman"/>
          <w:b w:val="0"/>
          <w:i/>
        </w:rPr>
        <w:t xml:space="preserve">X.3.2.1 </w:t>
      </w:r>
      <w:r w:rsidR="00EE1063" w:rsidRPr="000E51C9">
        <w:rPr>
          <w:rFonts w:cs="Times New Roman"/>
          <w:b w:val="0"/>
          <w:i/>
        </w:rPr>
        <w:t>L</w:t>
      </w:r>
      <w:r w:rsidR="00DE6EE1" w:rsidRPr="000E51C9">
        <w:rPr>
          <w:rFonts w:cs="Times New Roman"/>
          <w:b w:val="0"/>
          <w:i/>
        </w:rPr>
        <w:t>ow-C</w:t>
      </w:r>
      <w:r w:rsidR="00EE1063" w:rsidRPr="000E51C9">
        <w:rPr>
          <w:rFonts w:cs="Times New Roman"/>
          <w:b w:val="0"/>
          <w:i/>
        </w:rPr>
        <w:t>apaci</w:t>
      </w:r>
      <w:r w:rsidR="00DE6EE1" w:rsidRPr="000E51C9">
        <w:rPr>
          <w:rFonts w:cs="Times New Roman"/>
          <w:b w:val="0"/>
          <w:i/>
        </w:rPr>
        <w:t>ty Governments A</w:t>
      </w:r>
      <w:r w:rsidR="00EE1063" w:rsidRPr="000E51C9">
        <w:rPr>
          <w:rFonts w:cs="Times New Roman"/>
          <w:b w:val="0"/>
          <w:i/>
        </w:rPr>
        <w:t>ccepting</w:t>
      </w:r>
      <w:r w:rsidR="005C2D82" w:rsidRPr="000E51C9">
        <w:rPr>
          <w:rFonts w:cs="Times New Roman"/>
          <w:b w:val="0"/>
          <w:i/>
        </w:rPr>
        <w:t>/Using</w:t>
      </w:r>
      <w:r w:rsidR="00EE1063" w:rsidRPr="000E51C9">
        <w:rPr>
          <w:rFonts w:cs="Times New Roman"/>
          <w:b w:val="0"/>
          <w:i/>
        </w:rPr>
        <w:t xml:space="preserve"> </w:t>
      </w:r>
      <w:r w:rsidR="00DE6EE1" w:rsidRPr="000E51C9">
        <w:rPr>
          <w:rFonts w:cs="Times New Roman"/>
          <w:b w:val="0"/>
          <w:i/>
        </w:rPr>
        <w:t>E</w:t>
      </w:r>
      <w:r w:rsidR="00EE1063" w:rsidRPr="000E51C9">
        <w:rPr>
          <w:rFonts w:cs="Times New Roman"/>
          <w:b w:val="0"/>
          <w:i/>
        </w:rPr>
        <w:t>xist</w:t>
      </w:r>
      <w:r w:rsidR="00DE6EE1" w:rsidRPr="000E51C9">
        <w:rPr>
          <w:rFonts w:cs="Times New Roman"/>
          <w:b w:val="0"/>
          <w:i/>
        </w:rPr>
        <w:t>ing Templates</w:t>
      </w:r>
      <w:bookmarkEnd w:id="19"/>
    </w:p>
    <w:p w14:paraId="708D996B" w14:textId="7B0FEF2A" w:rsidR="005839B1" w:rsidRPr="000E51C9" w:rsidRDefault="009C1EE6" w:rsidP="005839B1">
      <w:pPr>
        <w:spacing w:line="360" w:lineRule="auto"/>
        <w:jc w:val="both"/>
      </w:pPr>
      <w:r w:rsidRPr="000E51C9">
        <w:rPr>
          <w:lang w:eastAsia="zh-CN"/>
        </w:rPr>
        <w:t>In investment law i</w:t>
      </w:r>
      <w:r w:rsidR="00B93A3E" w:rsidRPr="000E51C9">
        <w:rPr>
          <w:lang w:eastAsia="zh-CN"/>
        </w:rPr>
        <w:t>t</w:t>
      </w:r>
      <w:r w:rsidR="004F41EF" w:rsidRPr="000E51C9">
        <w:rPr>
          <w:lang w:eastAsia="zh-CN"/>
        </w:rPr>
        <w:t xml:space="preserve"> is not a secret that some states</w:t>
      </w:r>
      <w:r w:rsidR="001313A6" w:rsidRPr="000E51C9">
        <w:rPr>
          <w:lang w:eastAsia="zh-CN"/>
        </w:rPr>
        <w:t>,</w:t>
      </w:r>
      <w:r w:rsidR="004F41EF" w:rsidRPr="000E51C9">
        <w:rPr>
          <w:lang w:eastAsia="zh-CN"/>
        </w:rPr>
        <w:t xml:space="preserve"> such as the US</w:t>
      </w:r>
      <w:r w:rsidR="001313A6" w:rsidRPr="000E51C9">
        <w:rPr>
          <w:lang w:eastAsia="zh-CN"/>
        </w:rPr>
        <w:t>,</w:t>
      </w:r>
      <w:r w:rsidR="004F41EF" w:rsidRPr="000E51C9">
        <w:rPr>
          <w:lang w:eastAsia="zh-CN"/>
        </w:rPr>
        <w:t xml:space="preserve"> use model BITs as a basis to conclude subsequent investment agreements.</w:t>
      </w:r>
      <w:r w:rsidR="004F41EF" w:rsidRPr="000E51C9">
        <w:rPr>
          <w:rStyle w:val="Funotenzeichen"/>
        </w:rPr>
        <w:footnoteReference w:id="120"/>
      </w:r>
      <w:r w:rsidR="004F41EF" w:rsidRPr="000E51C9">
        <w:rPr>
          <w:lang w:eastAsia="zh-CN"/>
        </w:rPr>
        <w:t xml:space="preserve"> The E</w:t>
      </w:r>
      <w:r w:rsidR="001313A6" w:rsidRPr="000E51C9">
        <w:rPr>
          <w:lang w:eastAsia="zh-CN"/>
        </w:rPr>
        <w:t>uropean</w:t>
      </w:r>
      <w:r w:rsidR="004F41EF" w:rsidRPr="000E51C9">
        <w:rPr>
          <w:lang w:eastAsia="zh-CN"/>
        </w:rPr>
        <w:t xml:space="preserve"> Commission, on the other hand, </w:t>
      </w:r>
      <w:r w:rsidR="004F41EF" w:rsidRPr="000E51C9">
        <w:t xml:space="preserve">has expressly renounced the idea of </w:t>
      </w:r>
      <w:proofErr w:type="gramStart"/>
      <w:r w:rsidR="004F41EF" w:rsidRPr="000E51C9">
        <w:t>a</w:t>
      </w:r>
      <w:proofErr w:type="gramEnd"/>
      <w:r w:rsidR="004F41EF" w:rsidRPr="000E51C9">
        <w:t xml:space="preserve"> ‘one</w:t>
      </w:r>
      <w:r w:rsidR="004F41EF" w:rsidRPr="000E51C9">
        <w:noBreakHyphen/>
      </w:r>
      <w:r w:rsidR="00CF39AB" w:rsidRPr="000E51C9">
        <w:t>size-fits-all’ model for IIAs,</w:t>
      </w:r>
      <w:r w:rsidR="004F41EF" w:rsidRPr="000E51C9">
        <w:rPr>
          <w:rStyle w:val="Funotenzeichen"/>
        </w:rPr>
        <w:footnoteReference w:id="121"/>
      </w:r>
      <w:r w:rsidR="004F41EF" w:rsidRPr="000E51C9">
        <w:t xml:space="preserve"> </w:t>
      </w:r>
      <w:r w:rsidR="00CF39AB" w:rsidRPr="000E51C9">
        <w:t>even though</w:t>
      </w:r>
      <w:r w:rsidR="004F41EF" w:rsidRPr="000E51C9">
        <w:t xml:space="preserve"> an ‘invisible’ EU BIT </w:t>
      </w:r>
      <w:r w:rsidR="004E7B7C" w:rsidRPr="000E51C9">
        <w:t>might actually exist</w:t>
      </w:r>
      <w:r w:rsidR="004F41EF" w:rsidRPr="000E51C9">
        <w:t>.</w:t>
      </w:r>
      <w:r w:rsidR="004F41EF" w:rsidRPr="000E51C9">
        <w:rPr>
          <w:rStyle w:val="Funotenzeichen"/>
        </w:rPr>
        <w:footnoteReference w:id="122"/>
      </w:r>
      <w:r w:rsidR="004F41EF" w:rsidRPr="000E51C9">
        <w:t xml:space="preserve"> </w:t>
      </w:r>
      <w:r w:rsidR="004E7B7C" w:rsidRPr="000E51C9">
        <w:t>For example</w:t>
      </w:r>
      <w:r w:rsidR="004F41EF" w:rsidRPr="000E51C9">
        <w:t xml:space="preserve">, the 2015 Proposal on ISDS in TTIP has already found its way in a slightly altered </w:t>
      </w:r>
      <w:r w:rsidR="00797C72" w:rsidRPr="000E51C9">
        <w:t xml:space="preserve">manner </w:t>
      </w:r>
      <w:r w:rsidR="004F41EF" w:rsidRPr="000E51C9">
        <w:t>into CETA</w:t>
      </w:r>
      <w:r w:rsidR="00797C72" w:rsidRPr="000E51C9">
        <w:t xml:space="preserve"> and</w:t>
      </w:r>
      <w:r w:rsidR="004F41EF" w:rsidRPr="000E51C9">
        <w:t xml:space="preserve"> EU-Vietna</w:t>
      </w:r>
      <w:r w:rsidR="00B70363" w:rsidRPr="000E51C9">
        <w:t>m</w:t>
      </w:r>
      <w:r w:rsidR="00797C72" w:rsidRPr="000E51C9">
        <w:t>. Furthermore,</w:t>
      </w:r>
      <w:r w:rsidR="00B70363" w:rsidRPr="000E51C9">
        <w:t xml:space="preserve"> the ISDS chapter under EU</w:t>
      </w:r>
      <w:r w:rsidR="00B70363" w:rsidRPr="000E51C9">
        <w:noBreakHyphen/>
      </w:r>
      <w:r w:rsidR="004F41EF" w:rsidRPr="000E51C9">
        <w:t xml:space="preserve">Singapore will most likely be renegotiated </w:t>
      </w:r>
      <w:r w:rsidR="00797C72" w:rsidRPr="000E51C9">
        <w:t>in order to include the new Investment Court model</w:t>
      </w:r>
      <w:proofErr w:type="gramStart"/>
      <w:r w:rsidR="00797C72" w:rsidRPr="000E51C9">
        <w:t>.</w:t>
      </w:r>
      <w:r w:rsidR="00E726CA" w:rsidRPr="000E51C9">
        <w:t>.</w:t>
      </w:r>
      <w:proofErr w:type="gramEnd"/>
      <w:r w:rsidR="00E726CA" w:rsidRPr="000E51C9">
        <w:rPr>
          <w:rStyle w:val="Funotenzeichen"/>
        </w:rPr>
        <w:footnoteReference w:id="123"/>
      </w:r>
      <w:r w:rsidR="00A319C1" w:rsidRPr="000E51C9">
        <w:t xml:space="preserve"> </w:t>
      </w:r>
    </w:p>
    <w:p w14:paraId="1E6DB18C" w14:textId="0288E2FF" w:rsidR="00B70363" w:rsidRPr="000E51C9" w:rsidRDefault="00845BC1" w:rsidP="007D559F">
      <w:pPr>
        <w:spacing w:line="360" w:lineRule="auto"/>
        <w:ind w:firstLine="288"/>
        <w:jc w:val="both"/>
      </w:pPr>
      <w:r w:rsidRPr="000E51C9">
        <w:lastRenderedPageBreak/>
        <w:t>Wit</w:t>
      </w:r>
      <w:r w:rsidR="00384990" w:rsidRPr="000E51C9">
        <w:t>h regard to PTAs, a recent study</w:t>
      </w:r>
      <w:r w:rsidRPr="000E51C9">
        <w:t xml:space="preserve"> </w:t>
      </w:r>
      <w:r w:rsidRPr="000E51C9">
        <w:rPr>
          <w:lang w:eastAsia="zh-CN"/>
        </w:rPr>
        <w:t xml:space="preserve">has revealed that </w:t>
      </w:r>
      <w:r w:rsidRPr="000E51C9">
        <w:t>most PTAs copy verbatim a sizeable majority of their contents from existing agreements.</w:t>
      </w:r>
      <w:r w:rsidRPr="000E51C9">
        <w:rPr>
          <w:rStyle w:val="Funotenzeichen"/>
        </w:rPr>
        <w:footnoteReference w:id="124"/>
      </w:r>
      <w:r w:rsidRPr="000E51C9">
        <w:t xml:space="preserve"> In some cases, such as the US FTAs with Colombia and Peru</w:t>
      </w:r>
      <w:r w:rsidR="001313A6" w:rsidRPr="000E51C9">
        <w:t>,</w:t>
      </w:r>
      <w:r w:rsidRPr="000E51C9">
        <w:t xml:space="preserve"> there is a 99% overlap between the agreements, while the Canada</w:t>
      </w:r>
      <w:r w:rsidR="001313A6" w:rsidRPr="000E51C9">
        <w:t>-</w:t>
      </w:r>
      <w:r w:rsidRPr="000E51C9">
        <w:t>Peru FTA had copied the FTA with Colombia to such an extent that not even the names of the countries were changed in one of the schedules.</w:t>
      </w:r>
      <w:r w:rsidRPr="000E51C9">
        <w:rPr>
          <w:rStyle w:val="Funotenzeichen"/>
        </w:rPr>
        <w:footnoteReference w:id="125"/>
      </w:r>
      <w:r w:rsidRPr="000E51C9">
        <w:t xml:space="preserve"> </w:t>
      </w:r>
      <w:r w:rsidR="00B70363" w:rsidRPr="000E51C9">
        <w:t>The authors</w:t>
      </w:r>
      <w:r w:rsidR="000657F0" w:rsidRPr="000E51C9">
        <w:t xml:space="preserve"> of the study</w:t>
      </w:r>
      <w:r w:rsidR="00B70363" w:rsidRPr="000E51C9">
        <w:t xml:space="preserve"> have also found 177 PTAs that covered investment, in the case of which the median overlap was 65% (!).</w:t>
      </w:r>
      <w:r w:rsidR="00B70363" w:rsidRPr="000E51C9">
        <w:rPr>
          <w:rStyle w:val="Funotenzeichen"/>
        </w:rPr>
        <w:footnoteReference w:id="126"/>
      </w:r>
      <w:r w:rsidR="00B70363" w:rsidRPr="000E51C9">
        <w:t xml:space="preserve"> </w:t>
      </w:r>
      <w:r w:rsidRPr="000E51C9">
        <w:t>The study finds that such type of ‘copy-pasting is most prevalent in two distinct scenarios: low-capacity governments that turn to an existing template to help devise their agreements, and powerful states that desire to spread their preferred set of rules globally’</w:t>
      </w:r>
      <w:r w:rsidR="003A5F03" w:rsidRPr="000E51C9">
        <w:t>.</w:t>
      </w:r>
      <w:r w:rsidRPr="000E51C9">
        <w:rPr>
          <w:rStyle w:val="Funotenzeichen"/>
        </w:rPr>
        <w:footnoteReference w:id="127"/>
      </w:r>
      <w:r w:rsidRPr="000E51C9">
        <w:t xml:space="preserve"> </w:t>
      </w:r>
      <w:r w:rsidR="003C21C6" w:rsidRPr="000E51C9">
        <w:t xml:space="preserve">In other words, </w:t>
      </w:r>
      <w:r w:rsidR="007F00B0" w:rsidRPr="000E51C9">
        <w:t xml:space="preserve">most probably </w:t>
      </w:r>
      <w:r w:rsidR="00DE2277" w:rsidRPr="000E51C9">
        <w:t>one of t</w:t>
      </w:r>
      <w:r w:rsidR="00942E84" w:rsidRPr="000E51C9">
        <w:t xml:space="preserve">he drivers for including investment chapters into PTAs </w:t>
      </w:r>
      <w:r w:rsidR="00657359" w:rsidRPr="000E51C9">
        <w:t>is</w:t>
      </w:r>
      <w:r w:rsidR="00942E84" w:rsidRPr="000E51C9">
        <w:t xml:space="preserve"> </w:t>
      </w:r>
      <w:r w:rsidR="005330AB" w:rsidRPr="000E51C9">
        <w:t xml:space="preserve">the </w:t>
      </w:r>
      <w:r w:rsidR="005C2D82" w:rsidRPr="000E51C9">
        <w:t>usage/</w:t>
      </w:r>
      <w:r w:rsidR="00A54244" w:rsidRPr="000E51C9">
        <w:t xml:space="preserve">acceptance by low capacity governments </w:t>
      </w:r>
      <w:r w:rsidR="0084446A" w:rsidRPr="000E51C9">
        <w:t xml:space="preserve">of </w:t>
      </w:r>
      <w:r w:rsidR="00E4768F" w:rsidRPr="000E51C9">
        <w:t xml:space="preserve">the PTA </w:t>
      </w:r>
      <w:r w:rsidR="00942E84" w:rsidRPr="000E51C9">
        <w:t>templates of more powerful states</w:t>
      </w:r>
      <w:r w:rsidR="003502A9" w:rsidRPr="000E51C9">
        <w:t xml:space="preserve"> </w:t>
      </w:r>
      <w:r w:rsidR="004C7481" w:rsidRPr="000E51C9">
        <w:t>that also</w:t>
      </w:r>
      <w:r w:rsidR="003502A9" w:rsidRPr="000E51C9">
        <w:t xml:space="preserve"> </w:t>
      </w:r>
      <w:r w:rsidR="00942E84" w:rsidRPr="000E51C9">
        <w:t xml:space="preserve">include investment </w:t>
      </w:r>
      <w:r w:rsidR="00E4768F" w:rsidRPr="000E51C9">
        <w:t>chapters</w:t>
      </w:r>
      <w:r w:rsidR="007628FB" w:rsidRPr="000E51C9">
        <w:t>.</w:t>
      </w:r>
    </w:p>
    <w:p w14:paraId="65E2994F" w14:textId="368E337A" w:rsidR="00B70363" w:rsidRPr="000E51C9" w:rsidRDefault="00BD604D" w:rsidP="007D559F">
      <w:pPr>
        <w:spacing w:line="360" w:lineRule="auto"/>
        <w:ind w:firstLine="288"/>
        <w:jc w:val="both"/>
      </w:pPr>
      <w:r w:rsidRPr="000E51C9">
        <w:t xml:space="preserve">As observed </w:t>
      </w:r>
      <w:r w:rsidR="00401F65" w:rsidRPr="000E51C9">
        <w:t xml:space="preserve">in </w:t>
      </w:r>
      <w:r w:rsidR="003A5F03" w:rsidRPr="000E51C9">
        <w:t>section X.</w:t>
      </w:r>
      <w:r w:rsidR="00401F65" w:rsidRPr="000E51C9">
        <w:t>2,</w:t>
      </w:r>
      <w:r w:rsidR="00944D20" w:rsidRPr="000E51C9">
        <w:t xml:space="preserve"> some developed-developing </w:t>
      </w:r>
      <w:proofErr w:type="gramStart"/>
      <w:r w:rsidR="00944D20" w:rsidRPr="000E51C9">
        <w:t>country PTAs follow</w:t>
      </w:r>
      <w:proofErr w:type="gramEnd"/>
      <w:r w:rsidR="00944D20" w:rsidRPr="000E51C9">
        <w:t xml:space="preserve"> </w:t>
      </w:r>
      <w:r w:rsidR="005B03A6" w:rsidRPr="000E51C9">
        <w:t>the template of existing agreement</w:t>
      </w:r>
      <w:r w:rsidR="00CE54DB" w:rsidRPr="000E51C9">
        <w:t>s</w:t>
      </w:r>
      <w:r w:rsidR="005B03A6" w:rsidRPr="000E51C9">
        <w:t xml:space="preserve">, often </w:t>
      </w:r>
      <w:r w:rsidR="005B03A6" w:rsidRPr="000E51C9">
        <w:rPr>
          <w:i/>
        </w:rPr>
        <w:t>verbatim</w:t>
      </w:r>
      <w:r w:rsidR="00944D20" w:rsidRPr="000E51C9">
        <w:t>. I</w:t>
      </w:r>
      <w:r w:rsidR="00B57FF8" w:rsidRPr="000E51C9">
        <w:t xml:space="preserve">n the case </w:t>
      </w:r>
      <w:r w:rsidRPr="000E51C9">
        <w:t>of</w:t>
      </w:r>
      <w:r w:rsidR="00B57FF8" w:rsidRPr="000E51C9">
        <w:t xml:space="preserve"> the</w:t>
      </w:r>
      <w:r w:rsidR="002D1D9C" w:rsidRPr="000E51C9">
        <w:t xml:space="preserve"> US FTAs with Colombia, CAFTA-</w:t>
      </w:r>
      <w:r w:rsidRPr="000E51C9">
        <w:t xml:space="preserve">DR, Morocco, Panama and Peru, </w:t>
      </w:r>
      <w:r w:rsidR="00686555" w:rsidRPr="000E51C9">
        <w:t>even the numbering of the various articles dealing with investment protection matched.</w:t>
      </w:r>
      <w:r w:rsidR="006A2C0A" w:rsidRPr="000E51C9">
        <w:rPr>
          <w:rStyle w:val="Funotenzeichen"/>
        </w:rPr>
        <w:footnoteReference w:id="128"/>
      </w:r>
      <w:r w:rsidRPr="000E51C9">
        <w:t xml:space="preserve"> </w:t>
      </w:r>
      <w:r w:rsidR="006A2C0A" w:rsidRPr="000E51C9">
        <w:t>The investment chapters of Canadian FTAs followed</w:t>
      </w:r>
      <w:r w:rsidRPr="000E51C9">
        <w:t xml:space="preserve"> the 2004 Canadian Model FIPA</w:t>
      </w:r>
      <w:r w:rsidR="006A2C0A" w:rsidRPr="000E51C9">
        <w:t>, while</w:t>
      </w:r>
      <w:r w:rsidRPr="000E51C9">
        <w:t xml:space="preserve"> Japanese EPAs </w:t>
      </w:r>
      <w:r w:rsidR="00A50BD2" w:rsidRPr="000E51C9">
        <w:t>mostly included similar investment chapters</w:t>
      </w:r>
      <w:r w:rsidRPr="000E51C9">
        <w:t>.</w:t>
      </w:r>
      <w:r w:rsidR="0035457B" w:rsidRPr="000E51C9">
        <w:rPr>
          <w:rStyle w:val="Funotenzeichen"/>
        </w:rPr>
        <w:footnoteReference w:id="129"/>
      </w:r>
      <w:r w:rsidRPr="000E51C9">
        <w:t xml:space="preserve"> </w:t>
      </w:r>
      <w:r w:rsidR="006E0F7C" w:rsidRPr="000E51C9">
        <w:t>However</w:t>
      </w:r>
      <w:r w:rsidR="00E172F9" w:rsidRPr="000E51C9">
        <w:t>,</w:t>
      </w:r>
      <w:r w:rsidR="006E0F7C" w:rsidRPr="000E51C9">
        <w:t xml:space="preserve"> this practice makes it</w:t>
      </w:r>
      <w:r w:rsidR="0055418F" w:rsidRPr="000E51C9">
        <w:t xml:space="preserve"> </w:t>
      </w:r>
      <w:r w:rsidR="00E172F9" w:rsidRPr="000E51C9">
        <w:t>more difficult to negotiate tailor</w:t>
      </w:r>
      <w:r w:rsidR="00E172F9" w:rsidRPr="000E51C9">
        <w:noBreakHyphen/>
        <w:t xml:space="preserve">made solutions that adequately represent the wills of both contracting parties. Adding investment chapters to PTAs will simply continue this </w:t>
      </w:r>
      <w:r w:rsidR="009B1702" w:rsidRPr="000E51C9">
        <w:t xml:space="preserve">practice </w:t>
      </w:r>
      <w:r w:rsidR="00E172F9" w:rsidRPr="000E51C9">
        <w:t>with a high risk that countries with more low-capacity governments will agree to trade liberali</w:t>
      </w:r>
      <w:r w:rsidR="00E8303A" w:rsidRPr="000E51C9">
        <w:t>s</w:t>
      </w:r>
      <w:r w:rsidR="00E172F9" w:rsidRPr="000E51C9">
        <w:t>ation agreements that might contain unjustifiably broad or untailored ISDS provisions, which may</w:t>
      </w:r>
      <w:r w:rsidR="005330AB" w:rsidRPr="000E51C9">
        <w:t xml:space="preserve"> in turn</w:t>
      </w:r>
      <w:r w:rsidR="00E172F9" w:rsidRPr="000E51C9">
        <w:t xml:space="preserve"> increase their exposure to investment claims.</w:t>
      </w:r>
    </w:p>
    <w:p w14:paraId="578EF271" w14:textId="4258C2B4" w:rsidR="00202FC6" w:rsidRPr="000E51C9" w:rsidRDefault="00E172F9" w:rsidP="007D559F">
      <w:pPr>
        <w:spacing w:line="360" w:lineRule="auto"/>
        <w:ind w:firstLine="288"/>
        <w:jc w:val="both"/>
      </w:pPr>
      <w:r w:rsidRPr="000E51C9">
        <w:t xml:space="preserve">There are, however, notable exceptions. </w:t>
      </w:r>
      <w:r w:rsidR="007173A7" w:rsidRPr="000E51C9">
        <w:t>A</w:t>
      </w:r>
      <w:r w:rsidRPr="000E51C9">
        <w:t xml:space="preserve"> growing number of states refuse to be rule-takers. India chose not to follow its old BITs (which evidence earlier rule</w:t>
      </w:r>
      <w:r w:rsidRPr="000E51C9">
        <w:noBreakHyphen/>
        <w:t xml:space="preserve">taking) when shaping </w:t>
      </w:r>
      <w:r w:rsidRPr="000E51C9">
        <w:lastRenderedPageBreak/>
        <w:t>the investment chapters of its PTAs.</w:t>
      </w:r>
      <w:r w:rsidR="008E0BD9" w:rsidRPr="000E51C9">
        <w:rPr>
          <w:rStyle w:val="Funotenzeichen"/>
        </w:rPr>
        <w:footnoteReference w:id="130"/>
      </w:r>
      <w:r w:rsidRPr="000E51C9">
        <w:t xml:space="preserve"> China made a similar move </w:t>
      </w:r>
      <w:r w:rsidR="003A606E" w:rsidRPr="000E51C9">
        <w:t>with the aim of creating</w:t>
      </w:r>
      <w:r w:rsidRPr="000E51C9">
        <w:t xml:space="preserve"> more robust investment chapters in its recent PTI</w:t>
      </w:r>
      <w:r w:rsidR="00202FC6" w:rsidRPr="000E51C9">
        <w:t>As,</w:t>
      </w:r>
      <w:r w:rsidRPr="000E51C9">
        <w:rPr>
          <w:rStyle w:val="Funotenzeichen"/>
        </w:rPr>
        <w:footnoteReference w:id="131"/>
      </w:r>
      <w:r w:rsidRPr="000E51C9">
        <w:t xml:space="preserve"> </w:t>
      </w:r>
      <w:r w:rsidR="00202FC6" w:rsidRPr="000E51C9">
        <w:t xml:space="preserve"> while Brazil has created a new CFIA model.</w:t>
      </w:r>
      <w:r w:rsidR="00202FC6" w:rsidRPr="000E51C9">
        <w:rPr>
          <w:rStyle w:val="Funotenzeichen"/>
        </w:rPr>
        <w:footnoteReference w:id="132"/>
      </w:r>
      <w:r w:rsidR="00202FC6" w:rsidRPr="000E51C9">
        <w:t xml:space="preserve"> </w:t>
      </w:r>
    </w:p>
    <w:p w14:paraId="09C02EFD" w14:textId="73E94B23" w:rsidR="00B8406B" w:rsidRPr="000E51C9" w:rsidRDefault="00202FC6" w:rsidP="007D559F">
      <w:pPr>
        <w:spacing w:line="360" w:lineRule="auto"/>
        <w:ind w:firstLine="288"/>
        <w:jc w:val="both"/>
      </w:pPr>
      <w:r w:rsidRPr="000E51C9">
        <w:t>A curious case is the Japan</w:t>
      </w:r>
      <w:r w:rsidRPr="000E51C9">
        <w:noBreakHyphen/>
        <w:t>Philippines EPA</w:t>
      </w:r>
      <w:r w:rsidR="00B977FE" w:rsidRPr="000E51C9">
        <w:t>, in the case of which</w:t>
      </w:r>
      <w:r w:rsidRPr="000E51C9">
        <w:t xml:space="preserve"> the economically stronger Japan agreed to omit ISDS on the request of the Philippines, even though its previous FTAs and BITs with other ASEAN countries included ISDS.</w:t>
      </w:r>
      <w:r w:rsidRPr="000E51C9">
        <w:rPr>
          <w:rStyle w:val="Funotenzeichen"/>
        </w:rPr>
        <w:footnoteReference w:id="133"/>
      </w:r>
      <w:r w:rsidRPr="000E51C9">
        <w:t xml:space="preserve"> There might be two explanations </w:t>
      </w:r>
      <w:r w:rsidR="0081430A" w:rsidRPr="000E51C9">
        <w:t xml:space="preserve">for this. </w:t>
      </w:r>
      <w:r w:rsidR="009B098A" w:rsidRPr="000E51C9">
        <w:t xml:space="preserve">First, </w:t>
      </w:r>
      <w:r w:rsidR="00302D59" w:rsidRPr="000E51C9">
        <w:t>t</w:t>
      </w:r>
      <w:r w:rsidRPr="000E51C9">
        <w:t xml:space="preserve">he Philippines at that point in time </w:t>
      </w:r>
      <w:proofErr w:type="gramStart"/>
      <w:r w:rsidR="00702619" w:rsidRPr="000E51C9">
        <w:t>was</w:t>
      </w:r>
      <w:proofErr w:type="gramEnd"/>
      <w:r w:rsidRPr="000E51C9">
        <w:t xml:space="preserve"> </w:t>
      </w:r>
      <w:r w:rsidR="00B2617D" w:rsidRPr="000E51C9">
        <w:t>the</w:t>
      </w:r>
      <w:r w:rsidR="00464AAF" w:rsidRPr="000E51C9">
        <w:t xml:space="preserve"> respondent </w:t>
      </w:r>
      <w:r w:rsidRPr="000E51C9">
        <w:t xml:space="preserve">in </w:t>
      </w:r>
      <w:r w:rsidR="005330AB" w:rsidRPr="000E51C9">
        <w:t xml:space="preserve">a </w:t>
      </w:r>
      <w:r w:rsidR="00FA25FB" w:rsidRPr="000E51C9">
        <w:t>high</w:t>
      </w:r>
      <w:r w:rsidRPr="000E51C9">
        <w:t xml:space="preserve">-profile investment </w:t>
      </w:r>
      <w:r w:rsidR="001673C7" w:rsidRPr="000E51C9">
        <w:t>arbitration</w:t>
      </w:r>
      <w:r w:rsidR="005330AB" w:rsidRPr="000E51C9">
        <w:t xml:space="preserve"> case</w:t>
      </w:r>
      <w:r w:rsidR="00346E4A" w:rsidRPr="000E51C9">
        <w:rPr>
          <w:rStyle w:val="Funotenzeichen"/>
        </w:rPr>
        <w:footnoteReference w:id="134"/>
      </w:r>
      <w:r w:rsidR="00346E4A" w:rsidRPr="000E51C9">
        <w:t xml:space="preserve"> </w:t>
      </w:r>
      <w:r w:rsidR="003F5090" w:rsidRPr="000E51C9">
        <w:t>that</w:t>
      </w:r>
      <w:r w:rsidR="00346E4A" w:rsidRPr="000E51C9">
        <w:t xml:space="preserve"> would have made the </w:t>
      </w:r>
      <w:r w:rsidR="005330AB" w:rsidRPr="000E51C9">
        <w:t xml:space="preserve">ratification of </w:t>
      </w:r>
      <w:r w:rsidR="0086420A" w:rsidRPr="000E51C9">
        <w:t>a PTA with</w:t>
      </w:r>
      <w:r w:rsidRPr="000E51C9">
        <w:t xml:space="preserve"> an ISDS clause extremely difficult</w:t>
      </w:r>
      <w:r w:rsidR="00346E4A" w:rsidRPr="000E51C9">
        <w:t xml:space="preserve"> or impossible</w:t>
      </w:r>
      <w:r w:rsidR="001A47E1" w:rsidRPr="000E51C9">
        <w:t xml:space="preserve">. </w:t>
      </w:r>
      <w:r w:rsidR="00346E4A" w:rsidRPr="000E51C9">
        <w:t>T</w:t>
      </w:r>
      <w:r w:rsidR="00302D59" w:rsidRPr="000E51C9">
        <w:t xml:space="preserve">he </w:t>
      </w:r>
      <w:r w:rsidR="0056184E" w:rsidRPr="000E51C9">
        <w:t>Philippines</w:t>
      </w:r>
      <w:r w:rsidR="00722FD9" w:rsidRPr="000E51C9">
        <w:t xml:space="preserve"> </w:t>
      </w:r>
      <w:r w:rsidR="00346E4A" w:rsidRPr="000E51C9">
        <w:t>could then use the hostile domestic climate a</w:t>
      </w:r>
      <w:r w:rsidR="009849A7" w:rsidRPr="000E51C9">
        <w:t>s a</w:t>
      </w:r>
      <w:r w:rsidR="00346E4A" w:rsidRPr="000E51C9">
        <w:t xml:space="preserve"> bargaining advantage </w:t>
      </w:r>
      <w:r w:rsidR="00B977FE" w:rsidRPr="000E51C9">
        <w:t>over Japan, arguing that the whole agreement could fail because of the inclusion of ISDS.</w:t>
      </w:r>
      <w:r w:rsidR="0056184E" w:rsidRPr="000E51C9">
        <w:rPr>
          <w:rStyle w:val="Funotenzeichen"/>
        </w:rPr>
        <w:footnoteReference w:id="135"/>
      </w:r>
      <w:r w:rsidR="00FC3237" w:rsidRPr="000E51C9">
        <w:rPr>
          <w:rStyle w:val="FunotentextZchn"/>
        </w:rPr>
        <w:t xml:space="preserve"> </w:t>
      </w:r>
      <w:r w:rsidR="00FC3237" w:rsidRPr="000E51C9">
        <w:t xml:space="preserve">Second, the rest of the agreement was </w:t>
      </w:r>
      <w:r w:rsidR="004572E3" w:rsidRPr="000E51C9">
        <w:t xml:space="preserve">probably </w:t>
      </w:r>
      <w:r w:rsidR="00FC3237" w:rsidRPr="000E51C9">
        <w:t>more important to Japan than ISDS, since it was willing to exclude it. Japan might have chosen to do so because evidence shows that Japanese investors will almost never appear as claimants in investor-state disputes.</w:t>
      </w:r>
      <w:r w:rsidR="00FC3237" w:rsidRPr="000E51C9">
        <w:rPr>
          <w:rStyle w:val="Funotenzeichen"/>
        </w:rPr>
        <w:footnoteReference w:id="136"/>
      </w:r>
    </w:p>
    <w:p w14:paraId="1AA6400E" w14:textId="46547F7C" w:rsidR="007F69AD" w:rsidRPr="000E51C9" w:rsidRDefault="007F69AD" w:rsidP="007D559F">
      <w:pPr>
        <w:spacing w:line="360" w:lineRule="auto"/>
        <w:ind w:firstLine="288"/>
      </w:pPr>
    </w:p>
    <w:p w14:paraId="7148AF4F" w14:textId="2E148A7F" w:rsidR="00914B10" w:rsidRPr="000E51C9" w:rsidRDefault="007D559F" w:rsidP="007D559F">
      <w:pPr>
        <w:pStyle w:val="berschrift3"/>
        <w:spacing w:before="0" w:after="0" w:line="360" w:lineRule="auto"/>
      </w:pPr>
      <w:bookmarkStart w:id="20" w:name="_Toc497733689"/>
      <w:r w:rsidRPr="000E51C9">
        <w:rPr>
          <w:rFonts w:cs="Times New Roman"/>
          <w:b w:val="0"/>
          <w:i/>
        </w:rPr>
        <w:t xml:space="preserve">X.3.2.2 </w:t>
      </w:r>
      <w:r w:rsidR="00C92B63" w:rsidRPr="000E51C9">
        <w:rPr>
          <w:rFonts w:cs="Times New Roman"/>
          <w:b w:val="0"/>
          <w:i/>
        </w:rPr>
        <w:t>Pursuing More C</w:t>
      </w:r>
      <w:r w:rsidR="002128C3" w:rsidRPr="000E51C9">
        <w:rPr>
          <w:rFonts w:cs="Times New Roman"/>
          <w:b w:val="0"/>
          <w:i/>
        </w:rPr>
        <w:t xml:space="preserve">omprehensive and </w:t>
      </w:r>
      <w:r w:rsidR="00C92B63" w:rsidRPr="000E51C9">
        <w:rPr>
          <w:rFonts w:cs="Times New Roman"/>
          <w:b w:val="0"/>
          <w:i/>
        </w:rPr>
        <w:t>Resource-F</w:t>
      </w:r>
      <w:r w:rsidR="0006652F" w:rsidRPr="000E51C9">
        <w:rPr>
          <w:rFonts w:cs="Times New Roman"/>
          <w:b w:val="0"/>
          <w:i/>
        </w:rPr>
        <w:t>riendly</w:t>
      </w:r>
      <w:r w:rsidR="002128C3" w:rsidRPr="000E51C9">
        <w:rPr>
          <w:rFonts w:cs="Times New Roman"/>
          <w:b w:val="0"/>
          <w:i/>
        </w:rPr>
        <w:t xml:space="preserve"> </w:t>
      </w:r>
      <w:r w:rsidR="00C92B63" w:rsidRPr="000E51C9">
        <w:rPr>
          <w:rFonts w:cs="Times New Roman"/>
          <w:b w:val="0"/>
          <w:i/>
        </w:rPr>
        <w:t>Negotiations</w:t>
      </w:r>
      <w:bookmarkEnd w:id="20"/>
    </w:p>
    <w:p w14:paraId="5B633D9E" w14:textId="70D8714A" w:rsidR="009D7C89" w:rsidRPr="000E51C9" w:rsidRDefault="00E464A2" w:rsidP="00163F2E">
      <w:pPr>
        <w:spacing w:line="360" w:lineRule="auto"/>
        <w:jc w:val="both"/>
        <w:rPr>
          <w:rFonts w:eastAsia="Malgun Gothic"/>
          <w:lang w:eastAsia="ko-KR"/>
        </w:rPr>
      </w:pPr>
      <w:r w:rsidRPr="000E51C9">
        <w:rPr>
          <w:rFonts w:eastAsia="Malgun Gothic"/>
          <w:lang w:eastAsia="ko-KR"/>
        </w:rPr>
        <w:t>International n</w:t>
      </w:r>
      <w:r w:rsidR="00503734" w:rsidRPr="000E51C9">
        <w:t>egotiations</w:t>
      </w:r>
      <w:r w:rsidR="007F2A83" w:rsidRPr="000E51C9">
        <w:t xml:space="preserve"> </w:t>
      </w:r>
      <w:r w:rsidR="00503734" w:rsidRPr="000E51C9">
        <w:t>take time</w:t>
      </w:r>
      <w:r w:rsidR="00E8303A" w:rsidRPr="000E51C9">
        <w:t xml:space="preserve"> and</w:t>
      </w:r>
      <w:r w:rsidR="00503734" w:rsidRPr="000E51C9">
        <w:t xml:space="preserve"> resources and ultimately affect the overall relationship and trust between the contracting parties.</w:t>
      </w:r>
      <w:r w:rsidR="00695228" w:rsidRPr="000E51C9">
        <w:rPr>
          <w:rStyle w:val="Funotenzeichen"/>
        </w:rPr>
        <w:footnoteReference w:id="137"/>
      </w:r>
      <w:r w:rsidR="00503734" w:rsidRPr="000E51C9">
        <w:t xml:space="preserve"> Therefore, it is plausible that </w:t>
      </w:r>
      <w:r w:rsidR="003A606E" w:rsidRPr="000E51C9">
        <w:t>to</w:t>
      </w:r>
      <w:r w:rsidR="00503734" w:rsidRPr="000E51C9">
        <w:t xml:space="preserve"> save time</w:t>
      </w:r>
      <w:r w:rsidR="00E8303A" w:rsidRPr="000E51C9">
        <w:t xml:space="preserve"> and</w:t>
      </w:r>
      <w:r w:rsidR="00503734" w:rsidRPr="000E51C9">
        <w:t xml:space="preserve"> resources and</w:t>
      </w:r>
      <w:r w:rsidR="00E8303A" w:rsidRPr="000E51C9">
        <w:t xml:space="preserve"> to</w:t>
      </w:r>
      <w:r w:rsidR="00503734" w:rsidRPr="000E51C9">
        <w:t xml:space="preserve"> show high levels of mutual commitments, </w:t>
      </w:r>
      <w:r w:rsidR="007506E7" w:rsidRPr="000E51C9">
        <w:t>states might prefer to</w:t>
      </w:r>
      <w:r w:rsidR="002B7FAC" w:rsidRPr="000E51C9">
        <w:t xml:space="preserve"> hold one set of </w:t>
      </w:r>
      <w:r w:rsidR="00CE0156" w:rsidRPr="000E51C9">
        <w:t xml:space="preserve">comprehensive </w:t>
      </w:r>
      <w:r w:rsidR="002B7FAC" w:rsidRPr="000E51C9">
        <w:t xml:space="preserve">negotiations </w:t>
      </w:r>
      <w:r w:rsidR="00363DE6" w:rsidRPr="000E51C9">
        <w:t>on</w:t>
      </w:r>
      <w:r w:rsidR="007506E7" w:rsidRPr="000E51C9">
        <w:t xml:space="preserve"> both trade and investment, instead of holding </w:t>
      </w:r>
      <w:r w:rsidR="00BF0042" w:rsidRPr="000E51C9">
        <w:t>separate</w:t>
      </w:r>
      <w:r w:rsidR="007506E7" w:rsidRPr="000E51C9">
        <w:t xml:space="preserve"> negotiations for a PTA and a BIT. </w:t>
      </w:r>
    </w:p>
    <w:p w14:paraId="1C937B7B" w14:textId="2EE79BD9" w:rsidR="00EE5F5A" w:rsidRPr="000E51C9" w:rsidRDefault="007506E7" w:rsidP="007D559F">
      <w:pPr>
        <w:spacing w:line="360" w:lineRule="auto"/>
        <w:ind w:firstLine="288"/>
        <w:jc w:val="both"/>
      </w:pPr>
      <w:r w:rsidRPr="000E51C9">
        <w:t>Traditionally states favoured a ‘compartmentalised’ approach to international relations, dealing with different issues in different fora and through different international agreements.</w:t>
      </w:r>
      <w:r w:rsidRPr="000E51C9">
        <w:rPr>
          <w:rStyle w:val="Funotenzeichen"/>
        </w:rPr>
        <w:footnoteReference w:id="138"/>
      </w:r>
      <w:r w:rsidRPr="000E51C9">
        <w:t xml:space="preserve"> </w:t>
      </w:r>
      <w:r w:rsidR="00E22C49" w:rsidRPr="000E51C9">
        <w:lastRenderedPageBreak/>
        <w:t xml:space="preserve">However, </w:t>
      </w:r>
      <w:r w:rsidR="008109B8" w:rsidRPr="000E51C9">
        <w:t>as mentioned</w:t>
      </w:r>
      <w:r w:rsidR="007C1CD1" w:rsidRPr="000E51C9">
        <w:t>,</w:t>
      </w:r>
      <w:r w:rsidR="008109B8" w:rsidRPr="000E51C9">
        <w:t xml:space="preserve"> more </w:t>
      </w:r>
      <w:r w:rsidRPr="000E51C9">
        <w:t xml:space="preserve">recent PTAs </w:t>
      </w:r>
      <w:r w:rsidR="00597C6D" w:rsidRPr="000E51C9">
        <w:t>cover a multitude of non</w:t>
      </w:r>
      <w:r w:rsidR="00597C6D" w:rsidRPr="000E51C9">
        <w:noBreakHyphen/>
      </w:r>
      <w:r w:rsidRPr="000E51C9">
        <w:t xml:space="preserve">trade </w:t>
      </w:r>
      <w:r w:rsidR="00597C6D" w:rsidRPr="000E51C9">
        <w:t xml:space="preserve">fields. The presence of trade and investment in the same agreement might also lead to </w:t>
      </w:r>
      <w:r w:rsidRPr="000E51C9">
        <w:t xml:space="preserve">‘issue linkage’ during </w:t>
      </w:r>
      <w:r w:rsidR="00FC1C5B" w:rsidRPr="000E51C9">
        <w:t>the negotiations, which in turn</w:t>
      </w:r>
      <w:r w:rsidRPr="000E51C9">
        <w:t xml:space="preserve"> can ‘facilitate the completion of a greater number of mutually beneficial agreements’</w:t>
      </w:r>
      <w:r w:rsidRPr="000E51C9">
        <w:rPr>
          <w:rStyle w:val="Funotenzeichen"/>
        </w:rPr>
        <w:footnoteReference w:id="139"/>
      </w:r>
      <w:r w:rsidRPr="000E51C9">
        <w:t xml:space="preserve"> and can motivate the contracting parties to s</w:t>
      </w:r>
      <w:r w:rsidR="002B7FAC" w:rsidRPr="000E51C9">
        <w:t xml:space="preserve">tay committed to the agreement. </w:t>
      </w:r>
      <w:r w:rsidR="009D7C89" w:rsidRPr="000E51C9">
        <w:t xml:space="preserve">Nevertheless, creating </w:t>
      </w:r>
      <w:r w:rsidR="00930701" w:rsidRPr="000E51C9">
        <w:t xml:space="preserve">more comprehensive negotiations </w:t>
      </w:r>
      <w:r w:rsidR="009D7C89" w:rsidRPr="000E51C9">
        <w:t xml:space="preserve">with the goal of using </w:t>
      </w:r>
      <w:r w:rsidR="00930701" w:rsidRPr="000E51C9">
        <w:t xml:space="preserve">fewer resources might </w:t>
      </w:r>
      <w:r w:rsidR="002E6CCE" w:rsidRPr="000E51C9">
        <w:t xml:space="preserve">have certain </w:t>
      </w:r>
      <w:r w:rsidR="002E6CCE" w:rsidRPr="000E51C9">
        <w:rPr>
          <w:i/>
        </w:rPr>
        <w:t>drawbacks</w:t>
      </w:r>
      <w:r w:rsidR="002E6CCE" w:rsidRPr="000E51C9">
        <w:t xml:space="preserve"> if one of the issues on the agenda is </w:t>
      </w:r>
      <w:r w:rsidR="004839AD" w:rsidRPr="000E51C9">
        <w:t xml:space="preserve">highly </w:t>
      </w:r>
      <w:r w:rsidR="002E6CCE" w:rsidRPr="000E51C9">
        <w:t xml:space="preserve">contentious domestically. </w:t>
      </w:r>
    </w:p>
    <w:p w14:paraId="24AC725D" w14:textId="09323938" w:rsidR="00157516" w:rsidRPr="000E51C9" w:rsidRDefault="00DB6C6E" w:rsidP="007D559F">
      <w:pPr>
        <w:spacing w:line="360" w:lineRule="auto"/>
        <w:ind w:firstLine="288"/>
        <w:jc w:val="both"/>
      </w:pPr>
      <w:r w:rsidRPr="000E51C9">
        <w:t>States and</w:t>
      </w:r>
      <w:r w:rsidR="00E66882" w:rsidRPr="000E51C9">
        <w:t xml:space="preserve"> REIOs do not represent one single ‘domestic’ positio</w:t>
      </w:r>
      <w:r w:rsidR="001800E3" w:rsidRPr="000E51C9">
        <w:t xml:space="preserve">n on a particular issue. </w:t>
      </w:r>
      <w:r w:rsidR="00B92363" w:rsidRPr="000E51C9">
        <w:t>A</w:t>
      </w:r>
      <w:r w:rsidR="00E66882" w:rsidRPr="000E51C9">
        <w:t xml:space="preserve"> country entering into international negotiations takes part in a two-level game because it needs to simultaneously satisfy the international partner and domestic constituencies.</w:t>
      </w:r>
      <w:r w:rsidR="00E66882" w:rsidRPr="000E51C9">
        <w:rPr>
          <w:rStyle w:val="Funotenzeichen"/>
        </w:rPr>
        <w:footnoteReference w:id="140"/>
      </w:r>
      <w:r w:rsidR="00E66882" w:rsidRPr="000E51C9">
        <w:t xml:space="preserve"> For example, </w:t>
      </w:r>
      <w:r w:rsidR="009E2A19" w:rsidRPr="000E51C9">
        <w:t>when</w:t>
      </w:r>
      <w:r w:rsidR="00E66882" w:rsidRPr="000E51C9">
        <w:t xml:space="preserve"> </w:t>
      </w:r>
      <w:r w:rsidR="00B47FCC" w:rsidRPr="000E51C9">
        <w:t xml:space="preserve">negotiating the </w:t>
      </w:r>
      <w:r w:rsidR="00511E92" w:rsidRPr="000E51C9">
        <w:t>EPA</w:t>
      </w:r>
      <w:r w:rsidR="00E66882" w:rsidRPr="000E51C9">
        <w:t>s with Singapore and Mexico</w:t>
      </w:r>
      <w:r w:rsidR="00511E92" w:rsidRPr="000E51C9">
        <w:t>,</w:t>
      </w:r>
      <w:r w:rsidR="00157516" w:rsidRPr="000E51C9">
        <w:t xml:space="preserve"> Japan </w:t>
      </w:r>
      <w:r w:rsidR="00E66882" w:rsidRPr="000E51C9">
        <w:t xml:space="preserve">had to satisfy domestic constituencies </w:t>
      </w:r>
      <w:r w:rsidR="00B75FA0" w:rsidRPr="000E51C9">
        <w:t>that favoured</w:t>
      </w:r>
      <w:r w:rsidR="00511E92" w:rsidRPr="000E51C9">
        <w:t xml:space="preserve"> </w:t>
      </w:r>
      <w:r w:rsidR="00953B5B" w:rsidRPr="000E51C9">
        <w:t xml:space="preserve">the EPAs </w:t>
      </w:r>
      <w:r w:rsidR="00511E92" w:rsidRPr="000E51C9">
        <w:t>(</w:t>
      </w:r>
      <w:r w:rsidR="00DC63E8" w:rsidRPr="000E51C9">
        <w:t xml:space="preserve">the </w:t>
      </w:r>
      <w:r w:rsidR="00511E92" w:rsidRPr="000E51C9">
        <w:t>business federations)</w:t>
      </w:r>
      <w:r w:rsidR="00B75FA0" w:rsidRPr="000E51C9">
        <w:t xml:space="preserve"> and those that opposed </w:t>
      </w:r>
      <w:r w:rsidR="00DC63E8" w:rsidRPr="000E51C9">
        <w:t xml:space="preserve">them </w:t>
      </w:r>
      <w:r w:rsidR="00B75FA0" w:rsidRPr="000E51C9">
        <w:t>(</w:t>
      </w:r>
      <w:r w:rsidR="00DC63E8" w:rsidRPr="000E51C9">
        <w:t xml:space="preserve">the </w:t>
      </w:r>
      <w:r w:rsidR="00511E92" w:rsidRPr="000E51C9">
        <w:t>agricultural sector</w:t>
      </w:r>
      <w:r w:rsidR="00B75FA0" w:rsidRPr="000E51C9">
        <w:t>)</w:t>
      </w:r>
      <w:r w:rsidR="00E66882" w:rsidRPr="000E51C9">
        <w:t>.</w:t>
      </w:r>
      <w:r w:rsidR="00E66882" w:rsidRPr="000E51C9">
        <w:rPr>
          <w:rStyle w:val="Funotenzeichen"/>
        </w:rPr>
        <w:footnoteReference w:id="141"/>
      </w:r>
      <w:r w:rsidR="00E66882" w:rsidRPr="000E51C9">
        <w:t xml:space="preserve"> </w:t>
      </w:r>
      <w:r w:rsidR="00157516" w:rsidRPr="000E51C9">
        <w:t>If a certain issue</w:t>
      </w:r>
      <w:r w:rsidR="004839AD" w:rsidRPr="000E51C9">
        <w:t>, such as ISDS,</w:t>
      </w:r>
      <w:r w:rsidR="00157516" w:rsidRPr="000E51C9">
        <w:t xml:space="preserve"> is highly contentious domestically</w:t>
      </w:r>
      <w:r w:rsidR="00E8303A" w:rsidRPr="000E51C9">
        <w:t>,</w:t>
      </w:r>
      <w:r w:rsidR="008F4E72" w:rsidRPr="000E51C9">
        <w:t xml:space="preserve"> </w:t>
      </w:r>
      <w:r w:rsidR="004D2376" w:rsidRPr="000E51C9">
        <w:t xml:space="preserve">then </w:t>
      </w:r>
      <w:r w:rsidR="008F4E72" w:rsidRPr="000E51C9">
        <w:t>the negotiation</w:t>
      </w:r>
      <w:r w:rsidR="004D2376" w:rsidRPr="000E51C9">
        <w:t>s</w:t>
      </w:r>
      <w:r w:rsidR="008F4E72" w:rsidRPr="000E51C9">
        <w:t xml:space="preserve"> might become more time and resource consuming or </w:t>
      </w:r>
      <w:r w:rsidR="004D2376" w:rsidRPr="000E51C9">
        <w:t>could</w:t>
      </w:r>
      <w:r w:rsidR="008F4E72" w:rsidRPr="000E51C9">
        <w:t xml:space="preserve"> end up in a deadlock. Several situations can be envisaged with various consequences.</w:t>
      </w:r>
      <w:r w:rsidR="008F4E72" w:rsidRPr="000E51C9">
        <w:rPr>
          <w:rStyle w:val="Funotenzeichen"/>
        </w:rPr>
        <w:footnoteReference w:id="142"/>
      </w:r>
      <w:r w:rsidR="008F4E72" w:rsidRPr="000E51C9">
        <w:t xml:space="preserve"> The underlying premise is that state A and B </w:t>
      </w:r>
      <w:r w:rsidR="00FE67DE" w:rsidRPr="000E51C9">
        <w:t xml:space="preserve">are </w:t>
      </w:r>
      <w:r w:rsidR="0018404A" w:rsidRPr="000E51C9">
        <w:t>negotiating</w:t>
      </w:r>
      <w:r w:rsidR="008F4E72" w:rsidRPr="000E51C9">
        <w:t xml:space="preserve"> a PTA that includes ISDS. </w:t>
      </w:r>
    </w:p>
    <w:p w14:paraId="41B631D9" w14:textId="3ACBEF69" w:rsidR="00E66882" w:rsidRPr="000E51C9" w:rsidRDefault="00330C38" w:rsidP="007D559F">
      <w:pPr>
        <w:spacing w:line="360" w:lineRule="auto"/>
        <w:ind w:firstLine="288"/>
        <w:jc w:val="both"/>
      </w:pPr>
      <w:r w:rsidRPr="000E51C9">
        <w:t>In the first scenario</w:t>
      </w:r>
      <w:r w:rsidR="00EE34B2" w:rsidRPr="000E51C9">
        <w:t>, ISDS is not a contentious domestic issue in either of the states</w:t>
      </w:r>
      <w:r w:rsidR="00E66882" w:rsidRPr="000E51C9">
        <w:t xml:space="preserve">. </w:t>
      </w:r>
      <w:r w:rsidR="00167A50" w:rsidRPr="000E51C9">
        <w:t xml:space="preserve">Thus, it </w:t>
      </w:r>
      <w:r w:rsidR="00E66882" w:rsidRPr="000E51C9">
        <w:t xml:space="preserve">is highly likely that the contracting parties will agree </w:t>
      </w:r>
      <w:r w:rsidR="00D645A0" w:rsidRPr="000E51C9">
        <w:t>to include</w:t>
      </w:r>
      <w:r w:rsidR="00E66882" w:rsidRPr="000E51C9">
        <w:t xml:space="preserve"> ISDS in the PTA</w:t>
      </w:r>
      <w:r w:rsidR="00435C86" w:rsidRPr="000E51C9">
        <w:t xml:space="preserve"> and conclude the agr</w:t>
      </w:r>
      <w:r w:rsidR="001F6DD2" w:rsidRPr="000E51C9">
        <w:t>eement in a timely and resource-</w:t>
      </w:r>
      <w:r w:rsidR="00435C86" w:rsidRPr="000E51C9">
        <w:t>efficient fashion</w:t>
      </w:r>
      <w:r w:rsidR="00E66882" w:rsidRPr="000E51C9">
        <w:t>.</w:t>
      </w:r>
      <w:r w:rsidR="00435C86" w:rsidRPr="000E51C9">
        <w:t xml:space="preserve"> </w:t>
      </w:r>
      <w:r w:rsidR="00E66882" w:rsidRPr="000E51C9">
        <w:t xml:space="preserve">For example, the China-New Zealand FTA (includes ISDS) was negotiated in only </w:t>
      </w:r>
      <w:r w:rsidR="00E8303A" w:rsidRPr="000E51C9">
        <w:t xml:space="preserve">three </w:t>
      </w:r>
      <w:r w:rsidR="00E66882" w:rsidRPr="000E51C9">
        <w:t>years</w:t>
      </w:r>
      <w:r w:rsidR="00E66882" w:rsidRPr="000E51C9">
        <w:rPr>
          <w:rStyle w:val="Funotenzeichen"/>
        </w:rPr>
        <w:footnoteReference w:id="143"/>
      </w:r>
      <w:r w:rsidR="00E66882" w:rsidRPr="000E51C9">
        <w:t xml:space="preserve"> or the US-Korea FTA (includes ISDS) took only 14 months to negotiate.</w:t>
      </w:r>
      <w:r w:rsidR="00E66882" w:rsidRPr="000E51C9">
        <w:rPr>
          <w:rStyle w:val="Funotenzeichen"/>
        </w:rPr>
        <w:footnoteReference w:id="144"/>
      </w:r>
      <w:r w:rsidR="00E66882" w:rsidRPr="000E51C9">
        <w:t xml:space="preserve"> </w:t>
      </w:r>
      <w:r w:rsidR="00E8303A" w:rsidRPr="000E51C9">
        <w:t>The ASEAN-Australia-New Zealand Free Trade Area (</w:t>
      </w:r>
      <w:r w:rsidR="00E66882" w:rsidRPr="000E51C9">
        <w:t>AANZFTA</w:t>
      </w:r>
      <w:r w:rsidR="00E8303A" w:rsidRPr="000E51C9">
        <w:t>)</w:t>
      </w:r>
      <w:r w:rsidR="00E66882" w:rsidRPr="000E51C9">
        <w:t xml:space="preserve"> took </w:t>
      </w:r>
      <w:r w:rsidR="00E8303A" w:rsidRPr="000E51C9">
        <w:t xml:space="preserve">four </w:t>
      </w:r>
      <w:r w:rsidR="00E66882" w:rsidRPr="000E51C9">
        <w:t>years to negotiate, but it has 12 contracting parties.</w:t>
      </w:r>
      <w:r w:rsidR="00E66882" w:rsidRPr="000E51C9">
        <w:rPr>
          <w:rStyle w:val="Funotenzeichen"/>
        </w:rPr>
        <w:footnoteReference w:id="145"/>
      </w:r>
      <w:r w:rsidR="00E66882" w:rsidRPr="000E51C9">
        <w:t xml:space="preserve"> In none of these </w:t>
      </w:r>
      <w:r w:rsidR="000319A5" w:rsidRPr="000E51C9">
        <w:t xml:space="preserve">cases </w:t>
      </w:r>
      <w:r w:rsidR="00F56694" w:rsidRPr="000E51C9">
        <w:t>did</w:t>
      </w:r>
      <w:r w:rsidR="00E66882" w:rsidRPr="000E51C9">
        <w:t xml:space="preserve"> ISDS</w:t>
      </w:r>
      <w:r w:rsidR="00F56694" w:rsidRPr="000E51C9">
        <w:t xml:space="preserve"> represent</w:t>
      </w:r>
      <w:r w:rsidR="00E66882" w:rsidRPr="000E51C9">
        <w:t xml:space="preserve"> a serious domestic concern. </w:t>
      </w:r>
    </w:p>
    <w:p w14:paraId="05A322C2" w14:textId="66D93414" w:rsidR="00E66882" w:rsidRPr="000E51C9" w:rsidRDefault="00D4240D" w:rsidP="007D559F">
      <w:pPr>
        <w:spacing w:line="360" w:lineRule="auto"/>
        <w:ind w:firstLine="288"/>
        <w:jc w:val="both"/>
      </w:pPr>
      <w:r w:rsidRPr="000E51C9">
        <w:t>In the second scenario</w:t>
      </w:r>
      <w:r w:rsidR="00E66882" w:rsidRPr="000E51C9">
        <w:t xml:space="preserve">, ISDS in not a contentious issue </w:t>
      </w:r>
      <w:r w:rsidR="001F6DD2" w:rsidRPr="000E51C9">
        <w:t xml:space="preserve">in State A, </w:t>
      </w:r>
      <w:r w:rsidR="00E66882" w:rsidRPr="000E51C9">
        <w:t xml:space="preserve">but </w:t>
      </w:r>
      <w:r w:rsidR="001F6DD2" w:rsidRPr="000E51C9">
        <w:t>it is in State B</w:t>
      </w:r>
      <w:r w:rsidR="00E66882" w:rsidRPr="000E51C9">
        <w:t xml:space="preserve">. In such a case the domestic ‘win-set’ of the parties will overlap to a lesser </w:t>
      </w:r>
      <w:proofErr w:type="gramStart"/>
      <w:r w:rsidR="00E66882" w:rsidRPr="000E51C9">
        <w:t>extent</w:t>
      </w:r>
      <w:r w:rsidR="00735948" w:rsidRPr="000E51C9">
        <w:t>,</w:t>
      </w:r>
      <w:proofErr w:type="gramEnd"/>
      <w:r w:rsidR="00E66882" w:rsidRPr="000E51C9">
        <w:t xml:space="preserve"> and the </w:t>
      </w:r>
      <w:r w:rsidR="00E66882" w:rsidRPr="000E51C9">
        <w:lastRenderedPageBreak/>
        <w:t xml:space="preserve">inclusion or not of ISDS in the agreement will depend on multiple factors. For example, in </w:t>
      </w:r>
      <w:r w:rsidR="00735948" w:rsidRPr="000E51C9">
        <w:t xml:space="preserve">the </w:t>
      </w:r>
      <w:r w:rsidR="00E66882" w:rsidRPr="000E51C9">
        <w:t xml:space="preserve">case of the </w:t>
      </w:r>
      <w:r w:rsidR="007D6336" w:rsidRPr="000E51C9">
        <w:t>EU</w:t>
      </w:r>
      <w:r w:rsidR="00735948" w:rsidRPr="000E51C9">
        <w:t>,</w:t>
      </w:r>
      <w:r w:rsidR="007D6336" w:rsidRPr="000E51C9">
        <w:t xml:space="preserve"> one</w:t>
      </w:r>
      <w:r w:rsidR="002D633D" w:rsidRPr="000E51C9">
        <w:t xml:space="preserve"> can</w:t>
      </w:r>
      <w:r w:rsidR="00E66882" w:rsidRPr="000E51C9">
        <w:t xml:space="preserve"> talk about a ‘multi-level’ game, in which the EU negotiator </w:t>
      </w:r>
      <w:r w:rsidR="00373B1A" w:rsidRPr="000E51C9">
        <w:t>must</w:t>
      </w:r>
      <w:r w:rsidR="00E66882" w:rsidRPr="000E51C9">
        <w:t xml:space="preserve"> satisfy multiple actors: the other contracting </w:t>
      </w:r>
      <w:proofErr w:type="gramStart"/>
      <w:r w:rsidR="00E66882" w:rsidRPr="000E51C9">
        <w:t>party(</w:t>
      </w:r>
      <w:proofErr w:type="spellStart"/>
      <w:proofErr w:type="gramEnd"/>
      <w:r w:rsidR="00E66882" w:rsidRPr="000E51C9">
        <w:t>ies</w:t>
      </w:r>
      <w:proofErr w:type="spellEnd"/>
      <w:r w:rsidR="00E66882" w:rsidRPr="000E51C9">
        <w:t>), domestic constituencies as well as EU</w:t>
      </w:r>
      <w:r w:rsidR="00506F9A" w:rsidRPr="000E51C9">
        <w:t>-</w:t>
      </w:r>
      <w:r w:rsidR="00E66882" w:rsidRPr="000E51C9">
        <w:t xml:space="preserve">level Member State and regional institutions. As the recent </w:t>
      </w:r>
      <w:proofErr w:type="spellStart"/>
      <w:r w:rsidR="00E66882" w:rsidRPr="000E51C9">
        <w:t>Wallonian</w:t>
      </w:r>
      <w:proofErr w:type="spellEnd"/>
      <w:r w:rsidR="00E66882" w:rsidRPr="000E51C9">
        <w:t xml:space="preserve"> stance against CETA illustrates,</w:t>
      </w:r>
      <w:r w:rsidR="00E66882" w:rsidRPr="000E51C9">
        <w:rPr>
          <w:rStyle w:val="Funotenzeichen"/>
        </w:rPr>
        <w:footnoteReference w:id="146"/>
      </w:r>
      <w:r w:rsidR="00E66882" w:rsidRPr="000E51C9">
        <w:t xml:space="preserve"> even a regional parliament of an EU Member State can disrupt the conclusion of a major PTIA if the domestic opposition against ISDS is strong enough. </w:t>
      </w:r>
      <w:r w:rsidR="00B4137E" w:rsidRPr="000E51C9">
        <w:t>In the EU</w:t>
      </w:r>
      <w:r w:rsidR="00E66882" w:rsidRPr="000E51C9">
        <w:t xml:space="preserve"> the </w:t>
      </w:r>
      <w:r w:rsidR="004D1433" w:rsidRPr="000E51C9">
        <w:t xml:space="preserve">public outcry against ISDS </w:t>
      </w:r>
      <w:r w:rsidR="00284138" w:rsidRPr="000E51C9">
        <w:t>during the negotiations of TTIP and CETA</w:t>
      </w:r>
      <w:r w:rsidR="00E66882" w:rsidRPr="000E51C9">
        <w:rPr>
          <w:rStyle w:val="Funotenzeichen"/>
        </w:rPr>
        <w:footnoteReference w:id="147"/>
      </w:r>
      <w:r w:rsidR="00E66882" w:rsidRPr="000E51C9">
        <w:t xml:space="preserve"> </w:t>
      </w:r>
      <w:r w:rsidR="00407D70" w:rsidRPr="000E51C9">
        <w:t>has</w:t>
      </w:r>
      <w:r w:rsidR="00FD6122" w:rsidRPr="000E51C9">
        <w:t xml:space="preserve"> </w:t>
      </w:r>
      <w:r w:rsidR="00F05BF5" w:rsidRPr="000E51C9">
        <w:t>led to extended negotiation</w:t>
      </w:r>
      <w:r w:rsidR="00341759" w:rsidRPr="000E51C9">
        <w:t>s</w:t>
      </w:r>
      <w:r w:rsidR="00A87945" w:rsidRPr="000E51C9">
        <w:t>. F</w:t>
      </w:r>
      <w:r w:rsidR="00BE564C" w:rsidRPr="000E51C9">
        <w:t>or</w:t>
      </w:r>
      <w:r w:rsidR="00F05BF5" w:rsidRPr="000E51C9">
        <w:t xml:space="preserve"> </w:t>
      </w:r>
      <w:r w:rsidR="00F57C1F" w:rsidRPr="000E51C9">
        <w:t xml:space="preserve">CETA </w:t>
      </w:r>
      <w:r w:rsidR="00BE564C" w:rsidRPr="000E51C9">
        <w:t xml:space="preserve">it </w:t>
      </w:r>
      <w:r w:rsidR="00E66882" w:rsidRPr="000E51C9">
        <w:t xml:space="preserve">took almost </w:t>
      </w:r>
      <w:r w:rsidR="00735948" w:rsidRPr="000E51C9">
        <w:t>seven</w:t>
      </w:r>
      <w:r w:rsidR="00E66882" w:rsidRPr="000E51C9">
        <w:t xml:space="preserve"> years to agree on the final text (2009-2016),</w:t>
      </w:r>
      <w:r w:rsidR="00E66882" w:rsidRPr="000E51C9">
        <w:rPr>
          <w:rStyle w:val="Funotenzeichen"/>
        </w:rPr>
        <w:t xml:space="preserve"> </w:t>
      </w:r>
      <w:r w:rsidR="00E66882" w:rsidRPr="000E51C9">
        <w:rPr>
          <w:rStyle w:val="Funotenzeichen"/>
        </w:rPr>
        <w:footnoteReference w:id="148"/>
      </w:r>
      <w:r w:rsidR="00E66882" w:rsidRPr="000E51C9">
        <w:t xml:space="preserve"> while in the case of EU-Singapore the addition of ISDS had lengthened the </w:t>
      </w:r>
      <w:r w:rsidR="005C6FB9" w:rsidRPr="000E51C9">
        <w:t>negotiations</w:t>
      </w:r>
      <w:r w:rsidR="009C26C8" w:rsidRPr="000E51C9">
        <w:t xml:space="preserve"> by over a year and the EU might seek to renegotiate EU</w:t>
      </w:r>
      <w:r w:rsidR="009C26C8" w:rsidRPr="000E51C9">
        <w:noBreakHyphen/>
        <w:t xml:space="preserve">Singapore to include the new Investment Court </w:t>
      </w:r>
      <w:r w:rsidR="00A414D7" w:rsidRPr="000E51C9">
        <w:t>System</w:t>
      </w:r>
      <w:r w:rsidR="009C26C8" w:rsidRPr="000E51C9">
        <w:t>.</w:t>
      </w:r>
      <w:r w:rsidR="00E66882" w:rsidRPr="000E51C9">
        <w:rPr>
          <w:rStyle w:val="Funotenzeichen"/>
        </w:rPr>
        <w:footnoteReference w:id="149"/>
      </w:r>
      <w:r w:rsidR="00E66882" w:rsidRPr="000E51C9">
        <w:t xml:space="preserve"> The end of the TTIP negotiations, which started in 2013, is also not yet in sight. On the other hand, the EU-Korea FTA could not include ISDS and took only </w:t>
      </w:r>
      <w:r w:rsidR="00247730" w:rsidRPr="000E51C9">
        <w:t>two</w:t>
      </w:r>
      <w:r w:rsidR="00E66882" w:rsidRPr="000E51C9">
        <w:t xml:space="preserve"> years to negotiate.</w:t>
      </w:r>
      <w:r w:rsidR="00E66882" w:rsidRPr="000E51C9">
        <w:rPr>
          <w:rStyle w:val="Funotenzeichen"/>
        </w:rPr>
        <w:footnoteReference w:id="150"/>
      </w:r>
      <w:r w:rsidR="00143221" w:rsidRPr="000E51C9">
        <w:t xml:space="preserve"> Some authors have even argued </w:t>
      </w:r>
      <w:r w:rsidR="00143221" w:rsidRPr="000E51C9">
        <w:rPr>
          <w:color w:val="000000" w:themeColor="text1"/>
        </w:rPr>
        <w:t>that ISDS should not be included in EU FTIAs because they might block the negotiation or conclusion of the agreements.</w:t>
      </w:r>
      <w:r w:rsidR="00143221" w:rsidRPr="000E51C9">
        <w:rPr>
          <w:rStyle w:val="Funotenzeichen"/>
          <w:color w:val="000000" w:themeColor="text1"/>
        </w:rPr>
        <w:footnoteReference w:id="151"/>
      </w:r>
      <w:r w:rsidR="00143221" w:rsidRPr="000E51C9">
        <w:rPr>
          <w:color w:val="000000" w:themeColor="text1"/>
        </w:rPr>
        <w:t xml:space="preserve"> </w:t>
      </w:r>
    </w:p>
    <w:p w14:paraId="28FBC11F" w14:textId="35B0DB8C" w:rsidR="00D123C0" w:rsidRPr="000E51C9" w:rsidRDefault="00FD0843" w:rsidP="007D559F">
      <w:pPr>
        <w:spacing w:line="360" w:lineRule="auto"/>
        <w:ind w:firstLine="288"/>
        <w:jc w:val="both"/>
      </w:pPr>
      <w:r w:rsidRPr="000E51C9">
        <w:t>T</w:t>
      </w:r>
      <w:r w:rsidR="00E66882" w:rsidRPr="000E51C9">
        <w:t xml:space="preserve">he negotiation outcomes </w:t>
      </w:r>
      <w:r w:rsidRPr="000E51C9">
        <w:t xml:space="preserve">in the second scenario </w:t>
      </w:r>
      <w:r w:rsidR="00E66882" w:rsidRPr="000E51C9">
        <w:t xml:space="preserve">will vary according to how the perception of the contentious issue in State B changes over time and according to whether State </w:t>
      </w:r>
      <w:proofErr w:type="gramStart"/>
      <w:r w:rsidR="00E66882" w:rsidRPr="000E51C9">
        <w:t>A</w:t>
      </w:r>
      <w:proofErr w:type="gramEnd"/>
      <w:r w:rsidR="00E66882" w:rsidRPr="000E51C9">
        <w:t xml:space="preserve"> conditions the existence of the agreement on the inclusion of the contentious issue. For example, the EU in the end managed to include a ‘refined’ version of ISDS in CETA that was </w:t>
      </w:r>
      <w:r w:rsidR="00E66882" w:rsidRPr="000E51C9">
        <w:lastRenderedPageBreak/>
        <w:t xml:space="preserve">meant to please </w:t>
      </w:r>
      <w:r w:rsidR="009A3938" w:rsidRPr="000E51C9">
        <w:t xml:space="preserve">the </w:t>
      </w:r>
      <w:r w:rsidR="00E66882" w:rsidRPr="000E51C9">
        <w:t>civil society.</w:t>
      </w:r>
      <w:r w:rsidR="00E66882" w:rsidRPr="000E51C9">
        <w:rPr>
          <w:rStyle w:val="Funotenzeichen"/>
        </w:rPr>
        <w:footnoteReference w:id="152"/>
      </w:r>
      <w:r w:rsidR="00E66882" w:rsidRPr="000E51C9">
        <w:t xml:space="preserve"> Still, this does not guarantee that problems </w:t>
      </w:r>
      <w:r w:rsidR="009A3938" w:rsidRPr="000E51C9">
        <w:t xml:space="preserve">will </w:t>
      </w:r>
      <w:r w:rsidR="00E66882" w:rsidRPr="000E51C9">
        <w:t xml:space="preserve">not surface during the ratification </w:t>
      </w:r>
      <w:r w:rsidR="00AA29B4" w:rsidRPr="000E51C9">
        <w:t>phase</w:t>
      </w:r>
      <w:r w:rsidR="00F3346E" w:rsidRPr="000E51C9">
        <w:t xml:space="preserve">. </w:t>
      </w:r>
      <w:r w:rsidR="00C172D1" w:rsidRPr="000E51C9">
        <w:t>Furthermore, it cannot be said that the negotiations were swift and resource</w:t>
      </w:r>
      <w:r w:rsidR="009A3938" w:rsidRPr="000E51C9">
        <w:t>-</w:t>
      </w:r>
      <w:r w:rsidR="00C172D1" w:rsidRPr="000E51C9">
        <w:t xml:space="preserve">friendly. </w:t>
      </w:r>
    </w:p>
    <w:p w14:paraId="11C45B6E" w14:textId="19CDCE99" w:rsidR="00D4240D" w:rsidRPr="000E51C9" w:rsidRDefault="00D4756E" w:rsidP="007D559F">
      <w:pPr>
        <w:spacing w:line="360" w:lineRule="auto"/>
        <w:ind w:firstLine="288"/>
        <w:jc w:val="both"/>
      </w:pPr>
      <w:r w:rsidRPr="000E51C9">
        <w:t>I</w:t>
      </w:r>
      <w:r w:rsidR="00E66882" w:rsidRPr="000E51C9">
        <w:t xml:space="preserve">n </w:t>
      </w:r>
      <w:r w:rsidR="00506F9A" w:rsidRPr="000E51C9">
        <w:t xml:space="preserve">the </w:t>
      </w:r>
      <w:r w:rsidR="00E66882" w:rsidRPr="000E51C9">
        <w:t>case of the Japan-Philippines EPA</w:t>
      </w:r>
      <w:r w:rsidR="00286FC0" w:rsidRPr="000E51C9">
        <w:t>,</w:t>
      </w:r>
      <w:r w:rsidR="00E66882" w:rsidRPr="000E51C9">
        <w:t xml:space="preserve"> the Philippines had a clear stance against ISDS</w:t>
      </w:r>
      <w:r w:rsidR="00286FC0" w:rsidRPr="000E51C9">
        <w:t>,</w:t>
      </w:r>
      <w:r w:rsidR="00D4240D" w:rsidRPr="000E51C9">
        <w:t xml:space="preserve"> and in the end Japan agreed to the </w:t>
      </w:r>
      <w:r w:rsidR="001800E3" w:rsidRPr="000E51C9">
        <w:t>non</w:t>
      </w:r>
      <w:r w:rsidR="001800E3" w:rsidRPr="000E51C9">
        <w:noBreakHyphen/>
        <w:t>inclusion of ISDS. As Putnam</w:t>
      </w:r>
      <w:r w:rsidR="00D4240D" w:rsidRPr="000E51C9">
        <w:t xml:space="preserve"> notes, if one of the contracting parties finds it difficult to ratify the international agreement due to domestic policy constraints, then it can use these domestic constraints to bargain for an international deal that does not include the contested ‘issue’.</w:t>
      </w:r>
      <w:r w:rsidR="00D4240D" w:rsidRPr="000E51C9">
        <w:rPr>
          <w:rStyle w:val="Funotenzeichen"/>
        </w:rPr>
        <w:footnoteReference w:id="153"/>
      </w:r>
      <w:r w:rsidR="00D4240D" w:rsidRPr="000E51C9">
        <w:t xml:space="preserve"> </w:t>
      </w:r>
      <w:r w:rsidR="00D123C0" w:rsidRPr="000E51C9">
        <w:t>Nevertheless</w:t>
      </w:r>
      <w:r w:rsidR="00D4240D" w:rsidRPr="000E51C9">
        <w:t xml:space="preserve">, a contracting party’s strong bargaining position on ISDS does not guarantee that concessions in other areas will not be made. </w:t>
      </w:r>
    </w:p>
    <w:p w14:paraId="3BF56B7E" w14:textId="274FADD2" w:rsidR="00E66882" w:rsidRPr="000E51C9" w:rsidRDefault="00AD55E7" w:rsidP="007D559F">
      <w:pPr>
        <w:spacing w:line="360" w:lineRule="auto"/>
        <w:ind w:firstLine="288"/>
        <w:jc w:val="both"/>
      </w:pPr>
      <w:r w:rsidRPr="000E51C9">
        <w:t>I</w:t>
      </w:r>
      <w:r w:rsidR="002038C3" w:rsidRPr="000E51C9">
        <w:t>f</w:t>
      </w:r>
      <w:r w:rsidR="00E66882" w:rsidRPr="000E51C9">
        <w:t xml:space="preserve"> the inclusion of an investment chapter or ISDS </w:t>
      </w:r>
      <w:r w:rsidR="002038C3" w:rsidRPr="000E51C9">
        <w:t>risks compromising</w:t>
      </w:r>
      <w:r w:rsidR="00E66882" w:rsidRPr="000E51C9">
        <w:t xml:space="preserve"> the conclusion of the </w:t>
      </w:r>
      <w:r w:rsidR="001E6F32" w:rsidRPr="000E51C9">
        <w:t xml:space="preserve">trade agreement or </w:t>
      </w:r>
      <w:r w:rsidR="003F0366" w:rsidRPr="000E51C9">
        <w:t xml:space="preserve">can </w:t>
      </w:r>
      <w:r w:rsidR="002038C3" w:rsidRPr="000E51C9">
        <w:t>lea</w:t>
      </w:r>
      <w:r w:rsidR="009133E9" w:rsidRPr="000E51C9">
        <w:t>d</w:t>
      </w:r>
      <w:r w:rsidR="001E6F32" w:rsidRPr="000E51C9">
        <w:t xml:space="preserve"> to protracted and costly negotiations, state</w:t>
      </w:r>
      <w:r w:rsidR="003F28AD" w:rsidRPr="000E51C9">
        <w:t>s</w:t>
      </w:r>
      <w:r w:rsidR="001E6F32" w:rsidRPr="000E51C9">
        <w:t xml:space="preserve"> </w:t>
      </w:r>
      <w:r w:rsidR="00E66882" w:rsidRPr="000E51C9">
        <w:t>could choose to have a sequential approach to their economic relationship</w:t>
      </w:r>
      <w:r w:rsidR="001E6F32" w:rsidRPr="000E51C9">
        <w:t xml:space="preserve">, as observed in </w:t>
      </w:r>
      <w:r w:rsidR="00B5421C" w:rsidRPr="000E51C9">
        <w:t xml:space="preserve">late Chilean FTAs. </w:t>
      </w:r>
      <w:r w:rsidR="003F28AD" w:rsidRPr="000E51C9">
        <w:t>The parties can include ‘anchor’ clauses on future talks or consultations on investment protection.</w:t>
      </w:r>
      <w:r w:rsidR="003F28AD" w:rsidRPr="000E51C9">
        <w:rPr>
          <w:rStyle w:val="Funotenzeichen"/>
        </w:rPr>
        <w:footnoteReference w:id="154"/>
      </w:r>
      <w:r w:rsidR="00E66882" w:rsidRPr="000E51C9">
        <w:t xml:space="preserve"> Once the trade relations are normalised and the initial </w:t>
      </w:r>
      <w:r w:rsidR="005F0ABC" w:rsidRPr="000E51C9">
        <w:t xml:space="preserve">trade </w:t>
      </w:r>
      <w:r w:rsidR="00E66882" w:rsidRPr="000E51C9">
        <w:t>agreement comes into force, the parties can then go on to negotiate the inve</w:t>
      </w:r>
      <w:r w:rsidR="0064354D" w:rsidRPr="000E51C9">
        <w:t>stment agreement. This way the P</w:t>
      </w:r>
      <w:r w:rsidR="00E66882" w:rsidRPr="000E51C9">
        <w:t xml:space="preserve">TA can be concluded in a short period of time </w:t>
      </w:r>
      <w:r w:rsidR="00B210EC" w:rsidRPr="000E51C9">
        <w:t>without</w:t>
      </w:r>
      <w:r w:rsidR="00E66882" w:rsidRPr="000E51C9">
        <w:t xml:space="preserve"> the contentious investment </w:t>
      </w:r>
      <w:r w:rsidR="004C0F17" w:rsidRPr="000E51C9">
        <w:t>chapter</w:t>
      </w:r>
      <w:r w:rsidR="0064354D" w:rsidRPr="000E51C9">
        <w:t xml:space="preserve"> </w:t>
      </w:r>
      <w:r w:rsidR="00B210EC" w:rsidRPr="000E51C9">
        <w:t>compromising</w:t>
      </w:r>
      <w:r w:rsidR="0064354D" w:rsidRPr="000E51C9">
        <w:t xml:space="preserve"> </w:t>
      </w:r>
      <w:r w:rsidR="00B210EC" w:rsidRPr="000E51C9">
        <w:t>its</w:t>
      </w:r>
      <w:r w:rsidR="00E66882" w:rsidRPr="000E51C9">
        <w:t xml:space="preserve"> conclusion. Furthermore, domestic attitudes towards ISDS might change over time, thus facilitating the conclusion of a subsequent BIT. </w:t>
      </w:r>
    </w:p>
    <w:p w14:paraId="03B3064D" w14:textId="5B9CFCAB" w:rsidR="004D2073" w:rsidRPr="000E51C9" w:rsidRDefault="003B6C9F" w:rsidP="007D559F">
      <w:pPr>
        <w:spacing w:line="360" w:lineRule="auto"/>
        <w:ind w:firstLine="288"/>
        <w:jc w:val="both"/>
      </w:pPr>
      <w:r w:rsidRPr="000E51C9">
        <w:t>When</w:t>
      </w:r>
      <w:r w:rsidR="00391DD8" w:rsidRPr="000E51C9">
        <w:t xml:space="preserve"> negotiati</w:t>
      </w:r>
      <w:r w:rsidRPr="000E51C9">
        <w:t>ng</w:t>
      </w:r>
      <w:r w:rsidR="00E1686C" w:rsidRPr="000E51C9">
        <w:t xml:space="preserve"> </w:t>
      </w:r>
      <w:r w:rsidR="00391DD8" w:rsidRPr="000E51C9">
        <w:t xml:space="preserve">a PTIA states </w:t>
      </w:r>
      <w:r w:rsidR="000E522A" w:rsidRPr="000E51C9">
        <w:t>must also</w:t>
      </w:r>
      <w:r w:rsidR="005256AF" w:rsidRPr="000E51C9">
        <w:t xml:space="preserve"> </w:t>
      </w:r>
      <w:r w:rsidR="00391DD8" w:rsidRPr="000E51C9">
        <w:t xml:space="preserve">ensure that trade and investment are </w:t>
      </w:r>
      <w:r w:rsidR="00EA6FC9" w:rsidRPr="000E51C9">
        <w:t xml:space="preserve">adequately </w:t>
      </w:r>
      <w:r w:rsidR="00391DD8" w:rsidRPr="000E51C9">
        <w:t>represented by professionals</w:t>
      </w:r>
      <w:r w:rsidR="00EA6FC9" w:rsidRPr="000E51C9">
        <w:t xml:space="preserve"> from both fields</w:t>
      </w:r>
      <w:r w:rsidR="00391DD8" w:rsidRPr="000E51C9">
        <w:t xml:space="preserve">. Other </w:t>
      </w:r>
      <w:r w:rsidR="00E66882" w:rsidRPr="000E51C9">
        <w:t>authors have argued that the fields of trade and investment are served by two, largely divided</w:t>
      </w:r>
      <w:r w:rsidR="00286FC0" w:rsidRPr="000E51C9">
        <w:t>,</w:t>
      </w:r>
      <w:r w:rsidR="00E66882" w:rsidRPr="000E51C9">
        <w:t xml:space="preserve"> epistemic communities; lawyers and policy advisers will mostly be experts in either trade or investment.</w:t>
      </w:r>
      <w:r w:rsidR="00E66882" w:rsidRPr="000E51C9">
        <w:rPr>
          <w:rStyle w:val="Funotenzeichen"/>
        </w:rPr>
        <w:footnoteReference w:id="155"/>
      </w:r>
      <w:r w:rsidR="00391DD8" w:rsidRPr="000E51C9">
        <w:t xml:space="preserve"> </w:t>
      </w:r>
      <w:r w:rsidR="00813C8F" w:rsidRPr="000E51C9">
        <w:t>Therefore</w:t>
      </w:r>
      <w:r w:rsidR="00990E88" w:rsidRPr="000E51C9">
        <w:t>, i</w:t>
      </w:r>
      <w:r w:rsidR="00391DD8" w:rsidRPr="000E51C9">
        <w:t xml:space="preserve">f during the </w:t>
      </w:r>
      <w:r w:rsidR="00391DD8" w:rsidRPr="000E51C9">
        <w:lastRenderedPageBreak/>
        <w:t>negotiations one of the fields is not adequately represented, a state</w:t>
      </w:r>
      <w:r w:rsidR="00206C99" w:rsidRPr="000E51C9">
        <w:t xml:space="preserve"> might</w:t>
      </w:r>
      <w:r w:rsidR="00391DD8" w:rsidRPr="000E51C9">
        <w:t xml:space="preserve"> enter into commit</w:t>
      </w:r>
      <w:r w:rsidR="0092097E" w:rsidRPr="000E51C9">
        <w:t>ments it does</w:t>
      </w:r>
      <w:r w:rsidR="00391DD8" w:rsidRPr="000E51C9">
        <w:t xml:space="preserve"> not fully understand. </w:t>
      </w:r>
    </w:p>
    <w:p w14:paraId="0DC81898" w14:textId="5CE349C6" w:rsidR="00E66882" w:rsidRPr="000E51C9" w:rsidRDefault="00391DD8" w:rsidP="007D559F">
      <w:pPr>
        <w:spacing w:line="360" w:lineRule="auto"/>
        <w:ind w:firstLine="288"/>
        <w:jc w:val="both"/>
      </w:pPr>
      <w:r w:rsidRPr="000E51C9">
        <w:t>In</w:t>
      </w:r>
      <w:r w:rsidR="00506F9A" w:rsidRPr="000E51C9">
        <w:t xml:space="preserve"> the</w:t>
      </w:r>
      <w:r w:rsidRPr="000E51C9">
        <w:t xml:space="preserve"> case of</w:t>
      </w:r>
      <w:r w:rsidR="004D2073" w:rsidRPr="000E51C9">
        <w:t xml:space="preserve"> developing </w:t>
      </w:r>
      <w:r w:rsidR="003A606E" w:rsidRPr="000E51C9">
        <w:t>countries,</w:t>
      </w:r>
      <w:r w:rsidR="004D2073" w:rsidRPr="000E51C9">
        <w:t xml:space="preserve"> the risk exists</w:t>
      </w:r>
      <w:r w:rsidRPr="000E51C9">
        <w:t xml:space="preserve"> that a certain government department might not have sufficient expertise in both </w:t>
      </w:r>
      <w:r w:rsidR="0025127B" w:rsidRPr="000E51C9">
        <w:t xml:space="preserve">fields. </w:t>
      </w:r>
      <w:r w:rsidRPr="000E51C9">
        <w:t xml:space="preserve">However, this is an issue that </w:t>
      </w:r>
      <w:r w:rsidR="007E5124" w:rsidRPr="000E51C9">
        <w:t xml:space="preserve">states/REIOs with </w:t>
      </w:r>
      <w:r w:rsidRPr="000E51C9">
        <w:t xml:space="preserve">developed administrative structures </w:t>
      </w:r>
      <w:r w:rsidR="003D4591" w:rsidRPr="000E51C9">
        <w:t>can also</w:t>
      </w:r>
      <w:r w:rsidRPr="000E51C9">
        <w:t xml:space="preserve"> face. For example, prior to Lisbon the EU did not have expertise in the negotiation of investment agreements. Therefore, </w:t>
      </w:r>
      <w:r w:rsidR="00111E7B" w:rsidRPr="000E51C9">
        <w:t xml:space="preserve">post-Lisbon </w:t>
      </w:r>
      <w:r w:rsidRPr="000E51C9">
        <w:t>the European Parliament called on the E</w:t>
      </w:r>
      <w:r w:rsidR="00286FC0" w:rsidRPr="000E51C9">
        <w:t>uropean</w:t>
      </w:r>
      <w:r w:rsidRPr="000E51C9">
        <w:t xml:space="preserve"> Commission ‘to invest in terms of its personnel and its material resources’ in the negotiation and conclusion of investment agreements.</w:t>
      </w:r>
      <w:r w:rsidRPr="000E51C9">
        <w:rPr>
          <w:rStyle w:val="Funotenzeichen"/>
        </w:rPr>
        <w:footnoteReference w:id="156"/>
      </w:r>
      <w:r w:rsidRPr="000E51C9">
        <w:t xml:space="preserve"> </w:t>
      </w:r>
      <w:r w:rsidR="00E66882" w:rsidRPr="000E51C9">
        <w:t>In the US issues arose not because of a lack of personnel, but because the primary authority over investment agreements was transferred from the State Department to the Office of the US Trade Representative in the 1980 reorganisation of the Executive Branch.</w:t>
      </w:r>
      <w:r w:rsidR="00E66882" w:rsidRPr="000E51C9">
        <w:rPr>
          <w:rStyle w:val="Funotenzeichen"/>
        </w:rPr>
        <w:footnoteReference w:id="157"/>
      </w:r>
      <w:r w:rsidR="00E66882" w:rsidRPr="000E51C9">
        <w:t xml:space="preserve"> Furthermore, the ‘PTIA drafters need more negotiating expertise due to the likelihood of interaction and cross-chapter application of rules in such treaties’.</w:t>
      </w:r>
      <w:r w:rsidR="00E66882" w:rsidRPr="000E51C9">
        <w:rPr>
          <w:rStyle w:val="Funotenzeichen"/>
        </w:rPr>
        <w:footnoteReference w:id="158"/>
      </w:r>
    </w:p>
    <w:p w14:paraId="39FF8C3F" w14:textId="77777777" w:rsidR="009B2FAE" w:rsidRPr="000E51C9" w:rsidRDefault="009B2FAE" w:rsidP="00163F2E">
      <w:pPr>
        <w:spacing w:line="360" w:lineRule="auto"/>
      </w:pPr>
    </w:p>
    <w:p w14:paraId="501C5929" w14:textId="6511FD4E" w:rsidR="009B2FAE" w:rsidRPr="000E51C9" w:rsidRDefault="007D559F" w:rsidP="007D559F">
      <w:pPr>
        <w:pStyle w:val="berschrift3"/>
        <w:spacing w:before="0" w:after="0" w:line="360" w:lineRule="auto"/>
      </w:pPr>
      <w:bookmarkStart w:id="21" w:name="_Toc497733690"/>
      <w:proofErr w:type="gramStart"/>
      <w:r w:rsidRPr="000E51C9">
        <w:rPr>
          <w:rFonts w:cs="Times New Roman"/>
          <w:b w:val="0"/>
          <w:i/>
        </w:rPr>
        <w:t xml:space="preserve">X.3.2.3 </w:t>
      </w:r>
      <w:r w:rsidR="00281459" w:rsidRPr="000E51C9">
        <w:rPr>
          <w:rFonts w:cs="Times New Roman"/>
          <w:b w:val="0"/>
          <w:i/>
        </w:rPr>
        <w:t>A More Coherent Application of International Economic Law?</w:t>
      </w:r>
      <w:bookmarkEnd w:id="21"/>
      <w:proofErr w:type="gramEnd"/>
      <w:r w:rsidR="00281459" w:rsidRPr="000E51C9">
        <w:rPr>
          <w:rFonts w:cs="Times New Roman"/>
          <w:b w:val="0"/>
          <w:i/>
        </w:rPr>
        <w:t xml:space="preserve"> </w:t>
      </w:r>
    </w:p>
    <w:p w14:paraId="2E454DAC" w14:textId="59233CAF" w:rsidR="00E265C4" w:rsidRPr="000E51C9" w:rsidRDefault="001F2BB7" w:rsidP="00163F2E">
      <w:pPr>
        <w:pStyle w:val="Listenabsatz"/>
        <w:spacing w:after="0" w:line="360" w:lineRule="auto"/>
        <w:ind w:left="0"/>
        <w:jc w:val="both"/>
        <w:rPr>
          <w:rFonts w:ascii="Times New Roman" w:hAnsi="Times New Roman" w:cs="Times New Roman"/>
          <w:sz w:val="24"/>
          <w:szCs w:val="24"/>
          <w:lang w:val="en-GB"/>
        </w:rPr>
      </w:pPr>
      <w:r w:rsidRPr="000E51C9">
        <w:rPr>
          <w:rFonts w:ascii="Times New Roman" w:hAnsi="Times New Roman" w:cs="Times New Roman"/>
          <w:sz w:val="24"/>
          <w:szCs w:val="24"/>
          <w:lang w:val="en-GB"/>
        </w:rPr>
        <w:t>In the post-WW</w:t>
      </w:r>
      <w:r w:rsidR="00412BB9" w:rsidRPr="000E51C9">
        <w:rPr>
          <w:rFonts w:ascii="Times New Roman" w:hAnsi="Times New Roman" w:cs="Times New Roman"/>
          <w:sz w:val="24"/>
          <w:szCs w:val="24"/>
          <w:lang w:val="en-GB"/>
        </w:rPr>
        <w:t>II period trade and investment agreements took divergent paths</w:t>
      </w:r>
      <w:r w:rsidR="001A1002" w:rsidRPr="000E51C9">
        <w:rPr>
          <w:rFonts w:ascii="Times New Roman" w:hAnsi="Times New Roman" w:cs="Times New Roman"/>
          <w:sz w:val="24"/>
          <w:szCs w:val="24"/>
          <w:lang w:val="en-GB"/>
        </w:rPr>
        <w:t>; trade took the path of multilateralism and state-to-state arbitration</w:t>
      </w:r>
      <w:r w:rsidR="006404F6" w:rsidRPr="000E51C9">
        <w:rPr>
          <w:rFonts w:ascii="Times New Roman" w:hAnsi="Times New Roman" w:cs="Times New Roman"/>
          <w:sz w:val="24"/>
          <w:szCs w:val="24"/>
          <w:lang w:val="en-GB"/>
        </w:rPr>
        <w:t>,</w:t>
      </w:r>
      <w:r w:rsidR="001A1002" w:rsidRPr="000E51C9">
        <w:rPr>
          <w:rFonts w:ascii="Times New Roman" w:hAnsi="Times New Roman" w:cs="Times New Roman"/>
          <w:sz w:val="24"/>
          <w:szCs w:val="24"/>
          <w:lang w:val="en-GB"/>
        </w:rPr>
        <w:t xml:space="preserve"> while investment protection became regulated mainly bilaterally</w:t>
      </w:r>
      <w:r w:rsidR="00D6779A" w:rsidRPr="000E51C9">
        <w:rPr>
          <w:rFonts w:ascii="Times New Roman" w:hAnsi="Times New Roman" w:cs="Times New Roman"/>
          <w:sz w:val="24"/>
          <w:szCs w:val="24"/>
          <w:lang w:val="en-GB"/>
        </w:rPr>
        <w:t>,</w:t>
      </w:r>
      <w:r w:rsidR="001A1002" w:rsidRPr="000E51C9">
        <w:rPr>
          <w:rFonts w:ascii="Times New Roman" w:hAnsi="Times New Roman" w:cs="Times New Roman"/>
          <w:sz w:val="24"/>
          <w:szCs w:val="24"/>
          <w:lang w:val="en-GB"/>
        </w:rPr>
        <w:t xml:space="preserve"> and investor-state arbitration became the preferred mode of dispute settlement. Nevertheless, trade and investment are closely related and one often conditions the existence of the other. </w:t>
      </w:r>
      <w:r w:rsidR="00305D67" w:rsidRPr="000E51C9">
        <w:rPr>
          <w:rFonts w:ascii="Times New Roman" w:hAnsi="Times New Roman" w:cs="Times New Roman"/>
          <w:sz w:val="24"/>
          <w:szCs w:val="24"/>
          <w:lang w:val="en-GB"/>
        </w:rPr>
        <w:t>The</w:t>
      </w:r>
      <w:r w:rsidR="001A1002" w:rsidRPr="000E51C9">
        <w:rPr>
          <w:rFonts w:ascii="Times New Roman" w:hAnsi="Times New Roman" w:cs="Times New Roman"/>
          <w:sz w:val="24"/>
          <w:szCs w:val="24"/>
          <w:lang w:val="en-GB"/>
        </w:rPr>
        <w:t xml:space="preserve"> push to create more overarching PTAs</w:t>
      </w:r>
      <w:r w:rsidR="006A18E6" w:rsidRPr="000E51C9">
        <w:rPr>
          <w:rFonts w:ascii="Times New Roman" w:hAnsi="Times New Roman" w:cs="Times New Roman"/>
          <w:sz w:val="24"/>
          <w:szCs w:val="24"/>
          <w:lang w:val="en-GB"/>
        </w:rPr>
        <w:t>, which increasingly include investment protection</w:t>
      </w:r>
      <w:r w:rsidR="00305D67" w:rsidRPr="000E51C9">
        <w:rPr>
          <w:rFonts w:ascii="Times New Roman" w:hAnsi="Times New Roman" w:cs="Times New Roman"/>
          <w:sz w:val="24"/>
          <w:szCs w:val="24"/>
          <w:lang w:val="en-GB"/>
        </w:rPr>
        <w:t>,</w:t>
      </w:r>
      <w:r w:rsidR="001A1002" w:rsidRPr="000E51C9">
        <w:rPr>
          <w:rFonts w:ascii="Times New Roman" w:hAnsi="Times New Roman" w:cs="Times New Roman"/>
          <w:sz w:val="24"/>
          <w:szCs w:val="24"/>
          <w:lang w:val="en-GB"/>
        </w:rPr>
        <w:t xml:space="preserve"> </w:t>
      </w:r>
      <w:r w:rsidR="00305D67" w:rsidRPr="000E51C9">
        <w:rPr>
          <w:rFonts w:ascii="Times New Roman" w:hAnsi="Times New Roman" w:cs="Times New Roman"/>
          <w:sz w:val="24"/>
          <w:szCs w:val="24"/>
          <w:lang w:val="en-GB"/>
        </w:rPr>
        <w:t>could</w:t>
      </w:r>
      <w:r w:rsidR="00005583" w:rsidRPr="000E51C9">
        <w:rPr>
          <w:rFonts w:ascii="Times New Roman" w:hAnsi="Times New Roman" w:cs="Times New Roman"/>
          <w:sz w:val="24"/>
          <w:szCs w:val="24"/>
          <w:lang w:val="en-GB"/>
        </w:rPr>
        <w:t xml:space="preserve"> reflect</w:t>
      </w:r>
      <w:r w:rsidR="006A18E6" w:rsidRPr="000E51C9">
        <w:rPr>
          <w:rFonts w:ascii="Times New Roman" w:hAnsi="Times New Roman" w:cs="Times New Roman"/>
          <w:sz w:val="24"/>
          <w:szCs w:val="24"/>
          <w:lang w:val="en-GB"/>
        </w:rPr>
        <w:t xml:space="preserve"> the wish of states to create </w:t>
      </w:r>
      <w:r w:rsidR="008A3DC0" w:rsidRPr="000E51C9">
        <w:rPr>
          <w:rFonts w:ascii="Times New Roman" w:hAnsi="Times New Roman" w:cs="Times New Roman"/>
          <w:sz w:val="24"/>
          <w:szCs w:val="24"/>
          <w:lang w:val="en-GB"/>
        </w:rPr>
        <w:t>more coherence in the application of trade and investment provisions.</w:t>
      </w:r>
      <w:r w:rsidR="008A3DC0" w:rsidRPr="000E51C9">
        <w:rPr>
          <w:rStyle w:val="Funotenzeichen"/>
          <w:rFonts w:ascii="Times New Roman" w:hAnsi="Times New Roman" w:cs="Times New Roman"/>
          <w:sz w:val="24"/>
          <w:szCs w:val="24"/>
          <w:lang w:val="en-GB"/>
        </w:rPr>
        <w:footnoteReference w:id="159"/>
      </w:r>
      <w:r w:rsidR="008A3DC0" w:rsidRPr="000E51C9">
        <w:rPr>
          <w:rFonts w:ascii="Times New Roman" w:hAnsi="Times New Roman" w:cs="Times New Roman"/>
          <w:sz w:val="24"/>
          <w:szCs w:val="24"/>
          <w:lang w:val="en-GB"/>
        </w:rPr>
        <w:t xml:space="preserve"> </w:t>
      </w:r>
    </w:p>
    <w:p w14:paraId="423D0783" w14:textId="5EA63043" w:rsidR="00D368EE" w:rsidRPr="000E51C9" w:rsidRDefault="00E265C4" w:rsidP="007D559F">
      <w:pPr>
        <w:pStyle w:val="Listenabsatz"/>
        <w:spacing w:after="0" w:line="360" w:lineRule="auto"/>
        <w:ind w:left="0" w:firstLine="288"/>
        <w:jc w:val="both"/>
        <w:rPr>
          <w:rFonts w:ascii="Times New Roman" w:hAnsi="Times New Roman" w:cs="Times New Roman"/>
          <w:sz w:val="24"/>
          <w:szCs w:val="24"/>
          <w:lang w:val="en-GB"/>
        </w:rPr>
      </w:pPr>
      <w:r w:rsidRPr="000E51C9">
        <w:rPr>
          <w:rFonts w:ascii="Times New Roman" w:hAnsi="Times New Roman" w:cs="Times New Roman"/>
          <w:sz w:val="24"/>
          <w:szCs w:val="24"/>
          <w:lang w:val="en-GB"/>
        </w:rPr>
        <w:lastRenderedPageBreak/>
        <w:t xml:space="preserve">One could argue that including trade and investment in the same agreement </w:t>
      </w:r>
      <w:r w:rsidR="00862FDD" w:rsidRPr="000E51C9">
        <w:rPr>
          <w:rFonts w:ascii="Times New Roman" w:hAnsi="Times New Roman" w:cs="Times New Roman"/>
          <w:sz w:val="24"/>
          <w:szCs w:val="24"/>
          <w:lang w:val="en-GB"/>
        </w:rPr>
        <w:t>might</w:t>
      </w:r>
      <w:r w:rsidRPr="000E51C9">
        <w:rPr>
          <w:rFonts w:ascii="Times New Roman" w:hAnsi="Times New Roman" w:cs="Times New Roman"/>
          <w:sz w:val="24"/>
          <w:szCs w:val="24"/>
          <w:lang w:val="en-GB"/>
        </w:rPr>
        <w:t xml:space="preserve"> result in more coherence and possible normative convergence between trade and investment law. </w:t>
      </w:r>
      <w:r w:rsidR="002D4D68" w:rsidRPr="000E51C9">
        <w:rPr>
          <w:rFonts w:ascii="Times New Roman" w:hAnsi="Times New Roman" w:cs="Times New Roman"/>
          <w:sz w:val="24"/>
          <w:szCs w:val="24"/>
          <w:lang w:val="en-GB"/>
        </w:rPr>
        <w:t xml:space="preserve">However, </w:t>
      </w:r>
      <w:r w:rsidR="006361D3" w:rsidRPr="000E51C9">
        <w:rPr>
          <w:rFonts w:ascii="Times New Roman" w:hAnsi="Times New Roman" w:cs="Times New Roman"/>
          <w:sz w:val="24"/>
          <w:szCs w:val="24"/>
          <w:lang w:val="en-GB"/>
        </w:rPr>
        <w:t xml:space="preserve">it would be difficult to measure whether </w:t>
      </w:r>
      <w:r w:rsidR="00D43DC5" w:rsidRPr="000E51C9">
        <w:rPr>
          <w:rFonts w:ascii="Times New Roman" w:hAnsi="Times New Roman" w:cs="Times New Roman"/>
          <w:sz w:val="24"/>
          <w:szCs w:val="24"/>
          <w:lang w:val="en-GB"/>
        </w:rPr>
        <w:t>convergence</w:t>
      </w:r>
      <w:r w:rsidR="006361D3" w:rsidRPr="000E51C9">
        <w:rPr>
          <w:rFonts w:ascii="Times New Roman" w:hAnsi="Times New Roman" w:cs="Times New Roman"/>
          <w:sz w:val="24"/>
          <w:szCs w:val="24"/>
          <w:lang w:val="en-GB"/>
        </w:rPr>
        <w:t xml:space="preserve"> occurs. Furthermore, much would depend on how the </w:t>
      </w:r>
      <w:proofErr w:type="gramStart"/>
      <w:r w:rsidR="006361D3" w:rsidRPr="000E51C9">
        <w:rPr>
          <w:rFonts w:ascii="Times New Roman" w:hAnsi="Times New Roman" w:cs="Times New Roman"/>
          <w:sz w:val="24"/>
          <w:szCs w:val="24"/>
          <w:lang w:val="en-GB"/>
        </w:rPr>
        <w:t>PT(</w:t>
      </w:r>
      <w:proofErr w:type="gramEnd"/>
      <w:r w:rsidR="006361D3" w:rsidRPr="000E51C9">
        <w:rPr>
          <w:rFonts w:ascii="Times New Roman" w:hAnsi="Times New Roman" w:cs="Times New Roman"/>
          <w:sz w:val="24"/>
          <w:szCs w:val="24"/>
          <w:lang w:val="en-GB"/>
        </w:rPr>
        <w:t>I)As are applied and interpreted by the various treaty institutions set up for this purpose.</w:t>
      </w:r>
      <w:r w:rsidR="00FA6195" w:rsidRPr="000E51C9">
        <w:rPr>
          <w:rFonts w:ascii="Times New Roman" w:hAnsi="Times New Roman" w:cs="Times New Roman"/>
          <w:sz w:val="24"/>
          <w:szCs w:val="24"/>
          <w:lang w:val="en-GB"/>
        </w:rPr>
        <w:t xml:space="preserve"> Regarding the latter, t</w:t>
      </w:r>
      <w:r w:rsidR="0084122F" w:rsidRPr="000E51C9">
        <w:rPr>
          <w:rFonts w:ascii="Times New Roman" w:hAnsi="Times New Roman" w:cs="Times New Roman"/>
          <w:sz w:val="24"/>
          <w:szCs w:val="24"/>
          <w:lang w:val="en-GB"/>
        </w:rPr>
        <w:t xml:space="preserve">he selected agreements </w:t>
      </w:r>
      <w:r w:rsidR="00B62318" w:rsidRPr="000E51C9">
        <w:rPr>
          <w:rFonts w:ascii="Times New Roman" w:hAnsi="Times New Roman" w:cs="Times New Roman"/>
          <w:sz w:val="24"/>
          <w:szCs w:val="24"/>
          <w:lang w:val="en-GB"/>
        </w:rPr>
        <w:t xml:space="preserve">create two types of international </w:t>
      </w:r>
      <w:r w:rsidR="00844A6E" w:rsidRPr="000E51C9">
        <w:rPr>
          <w:rFonts w:ascii="Times New Roman" w:hAnsi="Times New Roman" w:cs="Times New Roman"/>
          <w:sz w:val="24"/>
          <w:szCs w:val="24"/>
          <w:lang w:val="en-GB"/>
        </w:rPr>
        <w:t>institution</w:t>
      </w:r>
      <w:r w:rsidR="00D96ACD" w:rsidRPr="000E51C9">
        <w:rPr>
          <w:rFonts w:ascii="Times New Roman" w:hAnsi="Times New Roman" w:cs="Times New Roman"/>
          <w:sz w:val="24"/>
          <w:szCs w:val="24"/>
          <w:lang w:val="en-GB"/>
        </w:rPr>
        <w:t>s</w:t>
      </w:r>
      <w:r w:rsidR="00844A6E" w:rsidRPr="000E51C9">
        <w:rPr>
          <w:rFonts w:ascii="Times New Roman" w:hAnsi="Times New Roman" w:cs="Times New Roman"/>
          <w:sz w:val="24"/>
          <w:szCs w:val="24"/>
          <w:lang w:val="en-GB"/>
        </w:rPr>
        <w:t>/bodies</w:t>
      </w:r>
      <w:r w:rsidR="00D96ACD" w:rsidRPr="000E51C9">
        <w:rPr>
          <w:rFonts w:ascii="Times New Roman" w:hAnsi="Times New Roman" w:cs="Times New Roman"/>
          <w:sz w:val="24"/>
          <w:szCs w:val="24"/>
          <w:lang w:val="en-GB"/>
        </w:rPr>
        <w:t>: treaty bodies</w:t>
      </w:r>
      <w:r w:rsidR="00B62318" w:rsidRPr="000E51C9">
        <w:rPr>
          <w:rFonts w:ascii="Times New Roman" w:hAnsi="Times New Roman" w:cs="Times New Roman"/>
          <w:sz w:val="24"/>
          <w:szCs w:val="24"/>
          <w:lang w:val="en-GB"/>
        </w:rPr>
        <w:t xml:space="preserve"> </w:t>
      </w:r>
      <w:r w:rsidR="00D96ACD" w:rsidRPr="000E51C9">
        <w:rPr>
          <w:rFonts w:ascii="Times New Roman" w:hAnsi="Times New Roman" w:cs="Times New Roman"/>
          <w:color w:val="000000" w:themeColor="text1"/>
          <w:sz w:val="24"/>
          <w:szCs w:val="24"/>
          <w:lang w:val="en-GB"/>
        </w:rPr>
        <w:t xml:space="preserve">and </w:t>
      </w:r>
      <w:r w:rsidR="00B62318" w:rsidRPr="000E51C9">
        <w:rPr>
          <w:rFonts w:ascii="Times New Roman" w:hAnsi="Times New Roman" w:cs="Times New Roman"/>
          <w:color w:val="000000" w:themeColor="text1"/>
          <w:sz w:val="24"/>
          <w:szCs w:val="24"/>
          <w:lang w:val="en-GB"/>
        </w:rPr>
        <w:t xml:space="preserve">dispute settlement </w:t>
      </w:r>
      <w:r w:rsidR="006F32BF" w:rsidRPr="000E51C9">
        <w:rPr>
          <w:rFonts w:ascii="Times New Roman" w:hAnsi="Times New Roman" w:cs="Times New Roman"/>
          <w:color w:val="000000" w:themeColor="text1"/>
          <w:sz w:val="24"/>
          <w:szCs w:val="24"/>
          <w:lang w:val="en-GB"/>
        </w:rPr>
        <w:t>bodies</w:t>
      </w:r>
      <w:r w:rsidR="00C628F1" w:rsidRPr="000E51C9">
        <w:rPr>
          <w:rFonts w:ascii="Times New Roman" w:hAnsi="Times New Roman" w:cs="Times New Roman"/>
          <w:color w:val="000000" w:themeColor="text1"/>
          <w:sz w:val="24"/>
          <w:szCs w:val="24"/>
          <w:lang w:val="en-GB"/>
        </w:rPr>
        <w:t>.</w:t>
      </w:r>
    </w:p>
    <w:p w14:paraId="35A0FB98" w14:textId="1592A32A" w:rsidR="00815ABE" w:rsidRPr="000E51C9" w:rsidRDefault="00C47054" w:rsidP="007D559F">
      <w:pPr>
        <w:spacing w:line="360" w:lineRule="auto"/>
        <w:ind w:firstLine="288"/>
        <w:jc w:val="both"/>
        <w:rPr>
          <w:color w:val="000000" w:themeColor="text1"/>
        </w:rPr>
      </w:pPr>
      <w:r w:rsidRPr="000E51C9">
        <w:rPr>
          <w:i/>
          <w:color w:val="000000" w:themeColor="text1"/>
        </w:rPr>
        <w:t>T</w:t>
      </w:r>
      <w:r w:rsidR="00B62318" w:rsidRPr="000E51C9">
        <w:rPr>
          <w:i/>
          <w:color w:val="000000" w:themeColor="text1"/>
        </w:rPr>
        <w:t>reaty bodies</w:t>
      </w:r>
      <w:r w:rsidRPr="000E51C9">
        <w:t xml:space="preserve"> are </w:t>
      </w:r>
      <w:r w:rsidR="00EE56FE" w:rsidRPr="000E51C9">
        <w:t xml:space="preserve">generally </w:t>
      </w:r>
      <w:r w:rsidRPr="000E51C9">
        <w:t>charged with the</w:t>
      </w:r>
      <w:r w:rsidRPr="000E51C9">
        <w:rPr>
          <w:color w:val="000000" w:themeColor="text1"/>
        </w:rPr>
        <w:t xml:space="preserve"> power to interpret</w:t>
      </w:r>
      <w:r w:rsidRPr="000E51C9">
        <w:rPr>
          <w:rStyle w:val="Funotenzeichen"/>
        </w:rPr>
        <w:footnoteReference w:id="160"/>
      </w:r>
      <w:r w:rsidRPr="000E51C9">
        <w:rPr>
          <w:color w:val="000000" w:themeColor="text1"/>
        </w:rPr>
        <w:t xml:space="preserve"> or supervise the implementation </w:t>
      </w:r>
      <w:r w:rsidR="00DC4F07" w:rsidRPr="000E51C9">
        <w:rPr>
          <w:color w:val="000000" w:themeColor="text1"/>
        </w:rPr>
        <w:t>of international agreements.</w:t>
      </w:r>
      <w:r w:rsidRPr="000E51C9">
        <w:rPr>
          <w:rStyle w:val="Funotenzeichen"/>
        </w:rPr>
        <w:footnoteReference w:id="161"/>
      </w:r>
      <w:r w:rsidR="00DC4F07" w:rsidRPr="000E51C9">
        <w:rPr>
          <w:color w:val="000000" w:themeColor="text1"/>
        </w:rPr>
        <w:t xml:space="preserve"> M</w:t>
      </w:r>
      <w:r w:rsidR="00815ABE" w:rsidRPr="000E51C9">
        <w:rPr>
          <w:color w:val="000000" w:themeColor="text1"/>
        </w:rPr>
        <w:t xml:space="preserve">ost </w:t>
      </w:r>
      <w:r w:rsidR="00CE556A" w:rsidRPr="000E51C9">
        <w:rPr>
          <w:color w:val="000000" w:themeColor="text1"/>
        </w:rPr>
        <w:t>of the selected PTAs</w:t>
      </w:r>
      <w:r w:rsidR="00815ABE" w:rsidRPr="000E51C9">
        <w:rPr>
          <w:color w:val="000000" w:themeColor="text1"/>
        </w:rPr>
        <w:t xml:space="preserve"> </w:t>
      </w:r>
      <w:r w:rsidR="006B66F0" w:rsidRPr="000E51C9">
        <w:rPr>
          <w:color w:val="000000" w:themeColor="text1"/>
        </w:rPr>
        <w:t>set up</w:t>
      </w:r>
      <w:r w:rsidR="00815ABE" w:rsidRPr="000E51C9">
        <w:rPr>
          <w:color w:val="000000" w:themeColor="text1"/>
        </w:rPr>
        <w:t xml:space="preserve"> a central organ, </w:t>
      </w:r>
      <w:r w:rsidR="00B932B6" w:rsidRPr="000E51C9">
        <w:rPr>
          <w:color w:val="000000" w:themeColor="text1"/>
        </w:rPr>
        <w:t>such as a Joint or Trade Commission/Committee</w:t>
      </w:r>
      <w:r w:rsidR="00FF23A6" w:rsidRPr="000E51C9">
        <w:rPr>
          <w:color w:val="000000" w:themeColor="text1"/>
        </w:rPr>
        <w:t>,</w:t>
      </w:r>
      <w:r w:rsidR="00B932B6" w:rsidRPr="000E51C9">
        <w:rPr>
          <w:rStyle w:val="Funotenzeichen"/>
          <w:color w:val="000000" w:themeColor="text1"/>
        </w:rPr>
        <w:footnoteReference w:id="162"/>
      </w:r>
      <w:r w:rsidR="00974A14" w:rsidRPr="000E51C9">
        <w:rPr>
          <w:color w:val="000000" w:themeColor="text1"/>
        </w:rPr>
        <w:t xml:space="preserve"> as well as </w:t>
      </w:r>
      <w:r w:rsidR="002F5D43" w:rsidRPr="000E51C9">
        <w:rPr>
          <w:color w:val="000000" w:themeColor="text1"/>
        </w:rPr>
        <w:t>speciali</w:t>
      </w:r>
      <w:r w:rsidR="00D6779A" w:rsidRPr="000E51C9">
        <w:rPr>
          <w:color w:val="000000" w:themeColor="text1"/>
        </w:rPr>
        <w:t>s</w:t>
      </w:r>
      <w:r w:rsidR="002F5D43" w:rsidRPr="000E51C9">
        <w:rPr>
          <w:color w:val="000000" w:themeColor="text1"/>
        </w:rPr>
        <w:t>ed sub-committees</w:t>
      </w:r>
      <w:r w:rsidR="002F5D43" w:rsidRPr="000E51C9">
        <w:rPr>
          <w:rStyle w:val="Funotenzeichen"/>
        </w:rPr>
        <w:footnoteReference w:id="163"/>
      </w:r>
      <w:r w:rsidR="002F5D43" w:rsidRPr="000E51C9">
        <w:rPr>
          <w:color w:val="000000" w:themeColor="text1"/>
        </w:rPr>
        <w:t xml:space="preserve"> handling various policy areas covered by the agreements, such as trade in goods and customs</w:t>
      </w:r>
      <w:r w:rsidR="002F5D43" w:rsidRPr="000E51C9">
        <w:rPr>
          <w:rStyle w:val="Funotenzeichen"/>
        </w:rPr>
        <w:footnoteReference w:id="164"/>
      </w:r>
      <w:r w:rsidR="002F5D43" w:rsidRPr="000E51C9">
        <w:rPr>
          <w:color w:val="000000" w:themeColor="text1"/>
        </w:rPr>
        <w:t xml:space="preserve"> or services and investment</w:t>
      </w:r>
      <w:r w:rsidR="00694486" w:rsidRPr="000E51C9">
        <w:rPr>
          <w:color w:val="000000" w:themeColor="text1"/>
        </w:rPr>
        <w:t>.</w:t>
      </w:r>
      <w:r w:rsidR="002F5D43" w:rsidRPr="000E51C9">
        <w:rPr>
          <w:rStyle w:val="Funotenzeichen"/>
        </w:rPr>
        <w:footnoteReference w:id="165"/>
      </w:r>
      <w:r w:rsidR="00694486" w:rsidRPr="000E51C9">
        <w:rPr>
          <w:color w:val="000000" w:themeColor="text1"/>
        </w:rPr>
        <w:t xml:space="preserve"> Some PTAs also create</w:t>
      </w:r>
      <w:r w:rsidR="002F5D43" w:rsidRPr="000E51C9">
        <w:rPr>
          <w:color w:val="000000" w:themeColor="text1"/>
        </w:rPr>
        <w:t xml:space="preserve"> secretariats to provide </w:t>
      </w:r>
      <w:r w:rsidR="002F5D43" w:rsidRPr="000E51C9">
        <w:rPr>
          <w:color w:val="000000" w:themeColor="text1"/>
        </w:rPr>
        <w:lastRenderedPageBreak/>
        <w:t>administrative assistance</w:t>
      </w:r>
      <w:r w:rsidR="00A13B0F" w:rsidRPr="000E51C9">
        <w:rPr>
          <w:color w:val="000000" w:themeColor="text1"/>
        </w:rPr>
        <w:t>.</w:t>
      </w:r>
      <w:r w:rsidR="002F5D43" w:rsidRPr="000E51C9">
        <w:rPr>
          <w:rStyle w:val="Funotenzeichen"/>
        </w:rPr>
        <w:footnoteReference w:id="166"/>
      </w:r>
      <w:r w:rsidR="00A13B0F" w:rsidRPr="000E51C9">
        <w:rPr>
          <w:color w:val="000000" w:themeColor="text1"/>
        </w:rPr>
        <w:t xml:space="preserve"> </w:t>
      </w:r>
      <w:r w:rsidR="00FB6EF8" w:rsidRPr="000E51C9">
        <w:rPr>
          <w:color w:val="000000" w:themeColor="text1"/>
        </w:rPr>
        <w:t xml:space="preserve">An argument could be made that this type of institutional set-up is conducive for some level of coherence </w:t>
      </w:r>
      <w:r w:rsidR="00453EBA" w:rsidRPr="000E51C9">
        <w:rPr>
          <w:color w:val="000000" w:themeColor="text1"/>
        </w:rPr>
        <w:t>or</w:t>
      </w:r>
      <w:r w:rsidR="00FB6EF8" w:rsidRPr="000E51C9">
        <w:rPr>
          <w:color w:val="000000" w:themeColor="text1"/>
        </w:rPr>
        <w:t xml:space="preserve"> convergence between a PTA’s trade and investment provisions. Even though various sub-committees oversee the interpretation and implementation of </w:t>
      </w:r>
      <w:r w:rsidR="004765B2" w:rsidRPr="000E51C9">
        <w:rPr>
          <w:color w:val="000000" w:themeColor="text1"/>
        </w:rPr>
        <w:t xml:space="preserve">the </w:t>
      </w:r>
      <w:r w:rsidR="00FB6EF8" w:rsidRPr="000E51C9">
        <w:rPr>
          <w:color w:val="000000" w:themeColor="text1"/>
        </w:rPr>
        <w:t xml:space="preserve">different </w:t>
      </w:r>
      <w:r w:rsidR="00815ABE" w:rsidRPr="000E51C9">
        <w:rPr>
          <w:color w:val="000000" w:themeColor="text1"/>
        </w:rPr>
        <w:t xml:space="preserve">policy fields, the chances of conflict or overlap are lowered because </w:t>
      </w:r>
      <w:r w:rsidR="00445200" w:rsidRPr="000E51C9">
        <w:rPr>
          <w:color w:val="000000" w:themeColor="text1"/>
        </w:rPr>
        <w:t xml:space="preserve">one central committee ensures </w:t>
      </w:r>
      <w:r w:rsidR="00815ABE" w:rsidRPr="000E51C9">
        <w:rPr>
          <w:color w:val="000000" w:themeColor="text1"/>
        </w:rPr>
        <w:t xml:space="preserve">their overall supervision. </w:t>
      </w:r>
      <w:r w:rsidR="00B9188F" w:rsidRPr="000E51C9">
        <w:rPr>
          <w:color w:val="000000" w:themeColor="text1"/>
        </w:rPr>
        <w:t xml:space="preserve">Nonetheless, the power of such committees to interpret </w:t>
      </w:r>
      <w:r w:rsidR="006F6079" w:rsidRPr="000E51C9">
        <w:rPr>
          <w:color w:val="000000" w:themeColor="text1"/>
        </w:rPr>
        <w:t>the</w:t>
      </w:r>
      <w:r w:rsidR="00B9188F" w:rsidRPr="000E51C9">
        <w:rPr>
          <w:color w:val="000000" w:themeColor="text1"/>
        </w:rPr>
        <w:t xml:space="preserve"> agreements </w:t>
      </w:r>
      <w:r w:rsidR="00F92E21" w:rsidRPr="000E51C9">
        <w:rPr>
          <w:color w:val="000000" w:themeColor="text1"/>
        </w:rPr>
        <w:t xml:space="preserve">might create tensions with the interpretive powers of </w:t>
      </w:r>
      <w:r w:rsidR="008352E6" w:rsidRPr="000E51C9">
        <w:rPr>
          <w:color w:val="000000" w:themeColor="text1"/>
        </w:rPr>
        <w:t>dispute settlement bodies (</w:t>
      </w:r>
      <w:r w:rsidR="00F92E21" w:rsidRPr="000E51C9">
        <w:rPr>
          <w:color w:val="000000" w:themeColor="text1"/>
        </w:rPr>
        <w:t>DSBs</w:t>
      </w:r>
      <w:r w:rsidR="008352E6" w:rsidRPr="000E51C9">
        <w:rPr>
          <w:color w:val="000000" w:themeColor="text1"/>
        </w:rPr>
        <w:t>)</w:t>
      </w:r>
      <w:r w:rsidR="00B9188F" w:rsidRPr="000E51C9">
        <w:rPr>
          <w:color w:val="000000" w:themeColor="text1"/>
        </w:rPr>
        <w:t>.</w:t>
      </w:r>
      <w:r w:rsidR="00B9188F" w:rsidRPr="000E51C9">
        <w:rPr>
          <w:rStyle w:val="Funotenzeichen"/>
          <w:color w:val="000000" w:themeColor="text1"/>
        </w:rPr>
        <w:footnoteReference w:id="167"/>
      </w:r>
    </w:p>
    <w:p w14:paraId="60640831" w14:textId="1DD7E9F4" w:rsidR="00F5001C" w:rsidRPr="000E51C9" w:rsidRDefault="00564084" w:rsidP="007D559F">
      <w:pPr>
        <w:spacing w:line="360" w:lineRule="auto"/>
        <w:ind w:firstLine="288"/>
        <w:jc w:val="both"/>
        <w:rPr>
          <w:color w:val="000000" w:themeColor="text1"/>
        </w:rPr>
      </w:pPr>
      <w:r w:rsidRPr="000E51C9">
        <w:rPr>
          <w:color w:val="000000" w:themeColor="text1"/>
        </w:rPr>
        <w:t>When it comes to</w:t>
      </w:r>
      <w:r w:rsidR="008D4999" w:rsidRPr="000E51C9">
        <w:rPr>
          <w:color w:val="000000" w:themeColor="text1"/>
        </w:rPr>
        <w:t xml:space="preserve"> </w:t>
      </w:r>
      <w:r w:rsidR="00416F11" w:rsidRPr="000E51C9">
        <w:rPr>
          <w:i/>
          <w:color w:val="000000" w:themeColor="text1"/>
        </w:rPr>
        <w:t>DSBs</w:t>
      </w:r>
      <w:r w:rsidR="00416F11" w:rsidRPr="000E51C9">
        <w:rPr>
          <w:rStyle w:val="Funotenzeichen"/>
          <w:color w:val="000000" w:themeColor="text1"/>
        </w:rPr>
        <w:footnoteReference w:id="168"/>
      </w:r>
      <w:r w:rsidR="008352E6" w:rsidRPr="000E51C9">
        <w:rPr>
          <w:color w:val="000000" w:themeColor="text1"/>
        </w:rPr>
        <w:t>,</w:t>
      </w:r>
      <w:r w:rsidR="008D4999" w:rsidRPr="000E51C9">
        <w:rPr>
          <w:color w:val="000000" w:themeColor="text1"/>
        </w:rPr>
        <w:t xml:space="preserve"> the situation is</w:t>
      </w:r>
      <w:r w:rsidR="00756EFE" w:rsidRPr="000E51C9">
        <w:rPr>
          <w:color w:val="000000" w:themeColor="text1"/>
        </w:rPr>
        <w:t xml:space="preserve"> markedly</w:t>
      </w:r>
      <w:r w:rsidR="008D4999" w:rsidRPr="000E51C9">
        <w:rPr>
          <w:color w:val="000000" w:themeColor="text1"/>
        </w:rPr>
        <w:t xml:space="preserve"> different. Unlike central treaty committees t</w:t>
      </w:r>
      <w:r w:rsidR="00F164D4" w:rsidRPr="000E51C9">
        <w:rPr>
          <w:color w:val="000000" w:themeColor="text1"/>
        </w:rPr>
        <w:t>hat can supervise the work</w:t>
      </w:r>
      <w:r w:rsidR="008D4999" w:rsidRPr="000E51C9">
        <w:rPr>
          <w:color w:val="000000" w:themeColor="text1"/>
        </w:rPr>
        <w:t xml:space="preserve"> of trade and inves</w:t>
      </w:r>
      <w:r w:rsidR="002B4D8A" w:rsidRPr="000E51C9">
        <w:rPr>
          <w:color w:val="000000" w:themeColor="text1"/>
        </w:rPr>
        <w:t>tment sub</w:t>
      </w:r>
      <w:r w:rsidR="002B4D8A" w:rsidRPr="000E51C9">
        <w:rPr>
          <w:color w:val="000000" w:themeColor="text1"/>
        </w:rPr>
        <w:noBreakHyphen/>
      </w:r>
      <w:r w:rsidR="008D4999" w:rsidRPr="000E51C9">
        <w:rPr>
          <w:color w:val="000000" w:themeColor="text1"/>
        </w:rPr>
        <w:t xml:space="preserve">committees, no central </w:t>
      </w:r>
      <w:r w:rsidR="00310DBE" w:rsidRPr="000E51C9">
        <w:rPr>
          <w:color w:val="000000" w:themeColor="text1"/>
        </w:rPr>
        <w:t>body</w:t>
      </w:r>
      <w:r w:rsidR="00927EC2" w:rsidRPr="000E51C9">
        <w:rPr>
          <w:color w:val="000000" w:themeColor="text1"/>
        </w:rPr>
        <w:t xml:space="preserve"> </w:t>
      </w:r>
      <w:r w:rsidR="00F164D4" w:rsidRPr="000E51C9">
        <w:rPr>
          <w:color w:val="000000" w:themeColor="text1"/>
        </w:rPr>
        <w:t>exists that supervises the work</w:t>
      </w:r>
      <w:r w:rsidR="008D4999" w:rsidRPr="000E51C9">
        <w:rPr>
          <w:color w:val="000000" w:themeColor="text1"/>
        </w:rPr>
        <w:t xml:space="preserve"> of </w:t>
      </w:r>
      <w:r w:rsidR="000849E6" w:rsidRPr="000E51C9">
        <w:rPr>
          <w:color w:val="000000" w:themeColor="text1"/>
        </w:rPr>
        <w:t xml:space="preserve">trade and investment </w:t>
      </w:r>
      <w:r w:rsidR="00927EC2" w:rsidRPr="000E51C9">
        <w:rPr>
          <w:color w:val="000000" w:themeColor="text1"/>
        </w:rPr>
        <w:t>DSBs</w:t>
      </w:r>
      <w:r w:rsidR="000849E6" w:rsidRPr="000E51C9">
        <w:rPr>
          <w:color w:val="000000" w:themeColor="text1"/>
        </w:rPr>
        <w:t xml:space="preserve">. Traditionally, PTAs only provided for state-to-state </w:t>
      </w:r>
      <w:r w:rsidR="00927EC2" w:rsidRPr="000E51C9">
        <w:rPr>
          <w:color w:val="000000" w:themeColor="text1"/>
        </w:rPr>
        <w:t>dispute settlement</w:t>
      </w:r>
      <w:r w:rsidR="000849E6" w:rsidRPr="000E51C9">
        <w:rPr>
          <w:color w:val="000000" w:themeColor="text1"/>
        </w:rPr>
        <w:t xml:space="preserve">. However, the data gathered in </w:t>
      </w:r>
      <w:r w:rsidR="008352E6" w:rsidRPr="000E51C9">
        <w:rPr>
          <w:color w:val="000000" w:themeColor="text1"/>
        </w:rPr>
        <w:t>section X.</w:t>
      </w:r>
      <w:r w:rsidR="000849E6" w:rsidRPr="000E51C9">
        <w:rPr>
          <w:color w:val="000000" w:themeColor="text1"/>
        </w:rPr>
        <w:t xml:space="preserve">2 shows that most </w:t>
      </w:r>
      <w:r w:rsidR="006F4FF1" w:rsidRPr="000E51C9">
        <w:rPr>
          <w:color w:val="000000" w:themeColor="text1"/>
        </w:rPr>
        <w:t>PT</w:t>
      </w:r>
      <w:r w:rsidR="00231CC7" w:rsidRPr="000E51C9">
        <w:rPr>
          <w:color w:val="000000" w:themeColor="text1"/>
        </w:rPr>
        <w:t xml:space="preserve">As </w:t>
      </w:r>
      <w:r w:rsidR="009C379D" w:rsidRPr="000E51C9">
        <w:rPr>
          <w:color w:val="000000" w:themeColor="text1"/>
        </w:rPr>
        <w:t>with investment chapters</w:t>
      </w:r>
      <w:r w:rsidR="000849E6" w:rsidRPr="000E51C9">
        <w:rPr>
          <w:color w:val="000000" w:themeColor="text1"/>
        </w:rPr>
        <w:t xml:space="preserve"> also includ</w:t>
      </w:r>
      <w:r w:rsidR="00C34F39" w:rsidRPr="000E51C9">
        <w:rPr>
          <w:color w:val="000000" w:themeColor="text1"/>
        </w:rPr>
        <w:t>e investor-state arbitration</w:t>
      </w:r>
      <w:r w:rsidR="000849E6" w:rsidRPr="000E51C9">
        <w:rPr>
          <w:color w:val="000000" w:themeColor="text1"/>
        </w:rPr>
        <w:t>. In other words, the old difference between trade and investment law</w:t>
      </w:r>
      <w:r w:rsidR="006C1C46" w:rsidRPr="000E51C9">
        <w:rPr>
          <w:color w:val="000000" w:themeColor="text1"/>
        </w:rPr>
        <w:t>’s dispute settlement methods</w:t>
      </w:r>
      <w:r w:rsidR="000849E6" w:rsidRPr="000E51C9">
        <w:rPr>
          <w:color w:val="000000" w:themeColor="text1"/>
        </w:rPr>
        <w:t xml:space="preserve"> is kept </w:t>
      </w:r>
      <w:r w:rsidR="006C1C46" w:rsidRPr="000E51C9">
        <w:rPr>
          <w:color w:val="000000" w:themeColor="text1"/>
        </w:rPr>
        <w:t>in</w:t>
      </w:r>
      <w:r w:rsidR="000849E6" w:rsidRPr="000E51C9">
        <w:rPr>
          <w:color w:val="000000" w:themeColor="text1"/>
        </w:rPr>
        <w:t xml:space="preserve"> </w:t>
      </w:r>
      <w:r w:rsidR="00D3334F" w:rsidRPr="000E51C9">
        <w:rPr>
          <w:color w:val="000000" w:themeColor="text1"/>
        </w:rPr>
        <w:t>the selected</w:t>
      </w:r>
      <w:r w:rsidR="000849E6" w:rsidRPr="000E51C9">
        <w:rPr>
          <w:color w:val="000000" w:themeColor="text1"/>
        </w:rPr>
        <w:t xml:space="preserve"> </w:t>
      </w:r>
      <w:proofErr w:type="gramStart"/>
      <w:r w:rsidR="000849E6" w:rsidRPr="000E51C9">
        <w:rPr>
          <w:color w:val="000000" w:themeColor="text1"/>
        </w:rPr>
        <w:t>PT</w:t>
      </w:r>
      <w:r w:rsidR="00B12541" w:rsidRPr="000E51C9">
        <w:rPr>
          <w:color w:val="000000" w:themeColor="text1"/>
        </w:rPr>
        <w:t>(</w:t>
      </w:r>
      <w:proofErr w:type="gramEnd"/>
      <w:r w:rsidR="000849E6" w:rsidRPr="000E51C9">
        <w:rPr>
          <w:color w:val="000000" w:themeColor="text1"/>
        </w:rPr>
        <w:t>I</w:t>
      </w:r>
      <w:r w:rsidR="00B12541" w:rsidRPr="000E51C9">
        <w:rPr>
          <w:color w:val="000000" w:themeColor="text1"/>
        </w:rPr>
        <w:t>)</w:t>
      </w:r>
      <w:r w:rsidR="000849E6" w:rsidRPr="000E51C9">
        <w:rPr>
          <w:color w:val="000000" w:themeColor="text1"/>
        </w:rPr>
        <w:t>As.</w:t>
      </w:r>
    </w:p>
    <w:p w14:paraId="0FC471FD" w14:textId="2EB746F0" w:rsidR="00A155BF" w:rsidRPr="000E51C9" w:rsidRDefault="000849E6" w:rsidP="007D559F">
      <w:pPr>
        <w:spacing w:line="360" w:lineRule="auto"/>
        <w:ind w:firstLine="288"/>
        <w:jc w:val="both"/>
        <w:rPr>
          <w:color w:val="000000" w:themeColor="text1"/>
        </w:rPr>
      </w:pPr>
      <w:r w:rsidRPr="000E51C9">
        <w:rPr>
          <w:color w:val="000000" w:themeColor="text1"/>
        </w:rPr>
        <w:t xml:space="preserve">One could argue that </w:t>
      </w:r>
      <w:r w:rsidR="00A155BF" w:rsidRPr="000E51C9">
        <w:rPr>
          <w:iCs/>
        </w:rPr>
        <w:t xml:space="preserve">the </w:t>
      </w:r>
      <w:r w:rsidR="00A155BF" w:rsidRPr="000E51C9">
        <w:t>inclusion of various poli</w:t>
      </w:r>
      <w:r w:rsidRPr="000E51C9">
        <w:t>cy areas in one agreement may lead to</w:t>
      </w:r>
      <w:r w:rsidR="00A155BF" w:rsidRPr="000E51C9">
        <w:t xml:space="preserve"> a more holistic reading and interpretation of the treaty in </w:t>
      </w:r>
      <w:r w:rsidRPr="000E51C9">
        <w:t>dispute settlement proceedings.</w:t>
      </w:r>
      <w:r w:rsidR="00824598" w:rsidRPr="000E51C9">
        <w:t xml:space="preserve"> </w:t>
      </w:r>
      <w:r w:rsidR="00A155BF" w:rsidRPr="000E51C9">
        <w:t>International trade law has been traditionally perceived as an authoritative source for the interpretation of investment treaties,</w:t>
      </w:r>
      <w:r w:rsidR="00A155BF" w:rsidRPr="000E51C9">
        <w:rPr>
          <w:rStyle w:val="Funotenzeichen"/>
        </w:rPr>
        <w:footnoteReference w:id="169"/>
      </w:r>
      <w:r w:rsidR="00A155BF" w:rsidRPr="000E51C9">
        <w:t xml:space="preserve"> especially in the context of NT/MFN provisions.</w:t>
      </w:r>
      <w:r w:rsidR="00A155BF" w:rsidRPr="000E51C9">
        <w:rPr>
          <w:rStyle w:val="Funotenzeichen"/>
        </w:rPr>
        <w:footnoteReference w:id="170"/>
      </w:r>
      <w:r w:rsidR="003C531C" w:rsidRPr="000E51C9">
        <w:t xml:space="preserve"> However, </w:t>
      </w:r>
      <w:r w:rsidR="00A155BF" w:rsidRPr="000E51C9">
        <w:t xml:space="preserve">to what extent shall other parts of a PTA be relevant for arbitral tribunals established under the PTA’s ISDS provisions? </w:t>
      </w:r>
    </w:p>
    <w:p w14:paraId="0FC0BE25" w14:textId="7F36EE95" w:rsidR="00CA5185" w:rsidRPr="000E51C9" w:rsidRDefault="00A155BF" w:rsidP="007D559F">
      <w:pPr>
        <w:spacing w:line="360" w:lineRule="auto"/>
        <w:ind w:firstLine="288"/>
        <w:jc w:val="both"/>
      </w:pPr>
      <w:r w:rsidRPr="000E51C9">
        <w:t xml:space="preserve">It has been suggested that the interpretation of the investment chapters may be influenced by the ‘surrounding treaty context’, leading to a somewhat different application of </w:t>
      </w:r>
      <w:r w:rsidR="00465306" w:rsidRPr="000E51C9">
        <w:t xml:space="preserve">investment protection standards in PTIAs </w:t>
      </w:r>
      <w:r w:rsidR="00451F3D" w:rsidRPr="000E51C9">
        <w:t>from standalone BITs.</w:t>
      </w:r>
      <w:r w:rsidR="0035457B" w:rsidRPr="000E51C9">
        <w:rPr>
          <w:rStyle w:val="Funotenzeichen"/>
        </w:rPr>
        <w:footnoteReference w:id="171"/>
      </w:r>
      <w:r w:rsidRPr="000E51C9">
        <w:t xml:space="preserve"> These have been characteri</w:t>
      </w:r>
      <w:r w:rsidR="00835C91" w:rsidRPr="000E51C9">
        <w:t>s</w:t>
      </w:r>
      <w:r w:rsidRPr="000E51C9">
        <w:t xml:space="preserve">ed as ‘conceivable theoretical problems’ since ‘there is virtually no case law addressing this </w:t>
      </w:r>
      <w:r w:rsidRPr="000E51C9">
        <w:lastRenderedPageBreak/>
        <w:t>issue’.</w:t>
      </w:r>
      <w:r w:rsidRPr="000E51C9">
        <w:rPr>
          <w:rStyle w:val="Funotenzeichen"/>
        </w:rPr>
        <w:footnoteReference w:id="172"/>
      </w:r>
      <w:r w:rsidRPr="000E51C9">
        <w:t xml:space="preserve"> However, questions of mutual interference between different chapters have actually appeared in jurisdictional decisions of early NAFTA tribunals, showing the lack of any consistent approach to trade and investment matters within a single agreement.</w:t>
      </w:r>
      <w:r w:rsidRPr="000E51C9">
        <w:rPr>
          <w:rStyle w:val="Funotenzeichen"/>
        </w:rPr>
        <w:footnoteReference w:id="173"/>
      </w:r>
    </w:p>
    <w:p w14:paraId="3E33D7DD" w14:textId="34DEF7EF" w:rsidR="00824598" w:rsidRPr="000E51C9" w:rsidRDefault="00A155BF" w:rsidP="007D559F">
      <w:pPr>
        <w:spacing w:line="360" w:lineRule="auto"/>
        <w:ind w:firstLine="288"/>
        <w:jc w:val="both"/>
        <w:rPr>
          <w:i/>
        </w:rPr>
      </w:pPr>
      <w:r w:rsidRPr="000E51C9">
        <w:t xml:space="preserve"> </w:t>
      </w:r>
      <w:r w:rsidR="00CA5185" w:rsidRPr="000E51C9">
        <w:t>It</w:t>
      </w:r>
      <w:r w:rsidRPr="000E51C9">
        <w:t xml:space="preserve"> may </w:t>
      </w:r>
      <w:r w:rsidR="007B2305" w:rsidRPr="000E51C9">
        <w:t xml:space="preserve">nevertheless </w:t>
      </w:r>
      <w:r w:rsidRPr="000E51C9">
        <w:t xml:space="preserve">be suggested that the broader context of </w:t>
      </w:r>
      <w:proofErr w:type="gramStart"/>
      <w:r w:rsidRPr="000E51C9">
        <w:t>PT(</w:t>
      </w:r>
      <w:proofErr w:type="gramEnd"/>
      <w:r w:rsidRPr="000E51C9">
        <w:t>I)As can have an influence on the reasoning of investment tribunals. Instead of confining themselves to investment provisions, tribunals can take into consideration the overall purpose of PT(I)As (trade liberali</w:t>
      </w:r>
      <w:r w:rsidR="00735948" w:rsidRPr="000E51C9">
        <w:t>s</w:t>
      </w:r>
      <w:r w:rsidRPr="000E51C9">
        <w:t xml:space="preserve">ation, promotion of investment, regulatory space, protection of non-economic interests and general exceptions) when interpreting investment protection provisions. This </w:t>
      </w:r>
      <w:r w:rsidR="007B2305" w:rsidRPr="000E51C9">
        <w:t>could</w:t>
      </w:r>
      <w:r w:rsidRPr="000E51C9">
        <w:t xml:space="preserve"> create a more balanced approach towards the goal of trade and investment liberali</w:t>
      </w:r>
      <w:r w:rsidR="00835C91" w:rsidRPr="000E51C9">
        <w:t>s</w:t>
      </w:r>
      <w:r w:rsidRPr="000E51C9">
        <w:t>ation than just having a short BIT. At the same time, some tribunals might still only focus on those provisions that concern their respective areas of jurisdiction, neglecting the rest of the agreement. For example, NAFTA arbitral practice ‘contains mixed conclusions as to whether the inclusion of an investment chapter in a PTIA would indeed substantially change the scope and character of both its trade and investment provisions’.</w:t>
      </w:r>
      <w:r w:rsidRPr="000E51C9">
        <w:rPr>
          <w:rStyle w:val="Funotenzeichen"/>
        </w:rPr>
        <w:footnoteReference w:id="174"/>
      </w:r>
      <w:r w:rsidRPr="000E51C9">
        <w:t xml:space="preserve"> </w:t>
      </w:r>
    </w:p>
    <w:p w14:paraId="1A4D644D" w14:textId="5D061F05" w:rsidR="00E66882" w:rsidRPr="000E51C9" w:rsidRDefault="00A836AB" w:rsidP="007D559F">
      <w:pPr>
        <w:spacing w:line="360" w:lineRule="auto"/>
        <w:ind w:firstLine="288"/>
        <w:jc w:val="both"/>
        <w:rPr>
          <w:i/>
        </w:rPr>
      </w:pPr>
      <w:r w:rsidRPr="000E51C9">
        <w:t>The wish of contracting parties to create more</w:t>
      </w:r>
      <w:r w:rsidR="00C84222" w:rsidRPr="000E51C9">
        <w:t xml:space="preserve"> coherence and convergence in the </w:t>
      </w:r>
      <w:r w:rsidR="00063C89" w:rsidRPr="000E51C9">
        <w:t>application</w:t>
      </w:r>
      <w:r w:rsidR="00C84222" w:rsidRPr="000E51C9">
        <w:t xml:space="preserve"> of trade and investment</w:t>
      </w:r>
      <w:r w:rsidR="00F8319F" w:rsidRPr="000E51C9">
        <w:t xml:space="preserve"> law</w:t>
      </w:r>
      <w:r w:rsidR="00C84222" w:rsidRPr="000E51C9">
        <w:t xml:space="preserve"> might also be hampered by the different epistemic communities involved in the enforcement process. </w:t>
      </w:r>
      <w:r w:rsidR="00E66882" w:rsidRPr="000E51C9">
        <w:t xml:space="preserve">The differences between the </w:t>
      </w:r>
      <w:r w:rsidR="00C84222" w:rsidRPr="000E51C9">
        <w:t xml:space="preserve">trade and investment </w:t>
      </w:r>
      <w:r w:rsidR="00E66882" w:rsidRPr="000E51C9">
        <w:t>adjudicative mechanisms require</w:t>
      </w:r>
      <w:r w:rsidR="009F6D7C" w:rsidRPr="000E51C9">
        <w:t>s</w:t>
      </w:r>
      <w:r w:rsidR="00E66882" w:rsidRPr="000E51C9">
        <w:t xml:space="preserve"> </w:t>
      </w:r>
      <w:r w:rsidR="009F6D7C" w:rsidRPr="000E51C9">
        <w:t>speciali</w:t>
      </w:r>
      <w:r w:rsidR="003B0F73" w:rsidRPr="000E51C9">
        <w:t>s</w:t>
      </w:r>
      <w:r w:rsidR="009F6D7C" w:rsidRPr="000E51C9">
        <w:t>ed</w:t>
      </w:r>
      <w:r w:rsidR="00E66882" w:rsidRPr="000E51C9">
        <w:t xml:space="preserve"> decision-makers, which conditions low levels of cross-disciplina</w:t>
      </w:r>
      <w:r w:rsidR="001B1D1D" w:rsidRPr="000E51C9">
        <w:t xml:space="preserve">ry participation and expertise, </w:t>
      </w:r>
      <w:r w:rsidR="00E66882" w:rsidRPr="000E51C9">
        <w:t xml:space="preserve">anecdotally coined by </w:t>
      </w:r>
      <w:proofErr w:type="spellStart"/>
      <w:r w:rsidR="00E66882" w:rsidRPr="000E51C9">
        <w:t>Joost</w:t>
      </w:r>
      <w:proofErr w:type="spellEnd"/>
      <w:r w:rsidR="00E66882" w:rsidRPr="000E51C9">
        <w:t xml:space="preserve"> </w:t>
      </w:r>
      <w:proofErr w:type="spellStart"/>
      <w:r w:rsidR="00E66882" w:rsidRPr="000E51C9">
        <w:t>Pauwelyn</w:t>
      </w:r>
      <w:proofErr w:type="spellEnd"/>
      <w:r w:rsidR="00E66882" w:rsidRPr="000E51C9">
        <w:t xml:space="preserve"> as ‘investment arbitrators are from Mars, tra</w:t>
      </w:r>
      <w:r w:rsidR="001B1D1D" w:rsidRPr="000E51C9">
        <w:t>de adjudicators are from Venus’</w:t>
      </w:r>
      <w:r w:rsidR="00E66882" w:rsidRPr="000E51C9">
        <w:t>.</w:t>
      </w:r>
      <w:r w:rsidR="00E66882" w:rsidRPr="000E51C9">
        <w:rPr>
          <w:rStyle w:val="Funotenzeichen"/>
        </w:rPr>
        <w:footnoteReference w:id="175"/>
      </w:r>
      <w:r w:rsidR="00E66882" w:rsidRPr="000E51C9">
        <w:t xml:space="preserve"> From </w:t>
      </w:r>
      <w:r w:rsidR="000D0EA7" w:rsidRPr="000E51C9">
        <w:t>a</w:t>
      </w:r>
      <w:r w:rsidR="00E66882" w:rsidRPr="000E51C9">
        <w:t xml:space="preserve"> legal perspective, these striking differences of two epistemic communities of decision-makers can explain the impeded convergence between WTO and </w:t>
      </w:r>
      <w:r w:rsidR="00A027BA" w:rsidRPr="000E51C9">
        <w:t xml:space="preserve">ISDS case law and </w:t>
      </w:r>
      <w:r w:rsidR="007F4F6E" w:rsidRPr="000E51C9">
        <w:t xml:space="preserve">the </w:t>
      </w:r>
      <w:r w:rsidR="00A027BA" w:rsidRPr="000E51C9">
        <w:t>lack of cross</w:t>
      </w:r>
      <w:r w:rsidR="00A027BA" w:rsidRPr="000E51C9">
        <w:noBreakHyphen/>
      </w:r>
      <w:r w:rsidR="00E66882" w:rsidRPr="000E51C9">
        <w:t>fertili</w:t>
      </w:r>
      <w:r w:rsidR="003B0F73" w:rsidRPr="000E51C9">
        <w:t>s</w:t>
      </w:r>
      <w:r w:rsidR="00E66882" w:rsidRPr="000E51C9">
        <w:t>ation between the two fields.</w:t>
      </w:r>
      <w:r w:rsidR="00E66882" w:rsidRPr="000E51C9">
        <w:rPr>
          <w:rStyle w:val="Funotenzeichen"/>
        </w:rPr>
        <w:footnoteReference w:id="176"/>
      </w:r>
      <w:r w:rsidR="00E66882" w:rsidRPr="000E51C9">
        <w:t xml:space="preserve"> It shall be noted that the recent EU FTIAs also follow this tradition and separate the decision</w:t>
      </w:r>
      <w:r w:rsidR="00E66882" w:rsidRPr="000E51C9">
        <w:noBreakHyphen/>
        <w:t>making communities into arbitrators of government-to-government dispute settle</w:t>
      </w:r>
      <w:r w:rsidR="004D489A" w:rsidRPr="000E51C9">
        <w:t xml:space="preserve">ment panels and ‘judges’ of </w:t>
      </w:r>
      <w:r w:rsidR="00C84222" w:rsidRPr="000E51C9">
        <w:t>the Investment Court System, with different qualification requirements.</w:t>
      </w:r>
      <w:r w:rsidR="00C84222" w:rsidRPr="000E51C9">
        <w:rPr>
          <w:rStyle w:val="Funotenzeichen"/>
        </w:rPr>
        <w:footnoteReference w:id="177"/>
      </w:r>
      <w:r w:rsidR="00E66882" w:rsidRPr="000E51C9">
        <w:t xml:space="preserve"> </w:t>
      </w:r>
    </w:p>
    <w:p w14:paraId="139D4E35" w14:textId="7BD741BA" w:rsidR="00D554D7" w:rsidRPr="000E51C9" w:rsidRDefault="00C84222" w:rsidP="007D559F">
      <w:pPr>
        <w:spacing w:line="360" w:lineRule="auto"/>
        <w:ind w:firstLine="288"/>
        <w:jc w:val="both"/>
      </w:pPr>
      <w:r w:rsidRPr="000E51C9">
        <w:lastRenderedPageBreak/>
        <w:t xml:space="preserve">In conclusion, while states and REIOs might use the need to provide coherence in the application of trade and investment rules as a </w:t>
      </w:r>
      <w:r w:rsidR="00B826D3" w:rsidRPr="000E51C9">
        <w:t>reason</w:t>
      </w:r>
      <w:r w:rsidRPr="000E51C9">
        <w:t xml:space="preserve"> to include investment chapters into PTAs, such coherence might only be ensured by treaty comm</w:t>
      </w:r>
      <w:r w:rsidR="00350CE7" w:rsidRPr="000E51C9">
        <w:t>ittees. Trade and investment DSB</w:t>
      </w:r>
      <w:r w:rsidRPr="000E51C9">
        <w:t>s might continue their divergent paths due to their different scope, set-up</w:t>
      </w:r>
      <w:r w:rsidR="00C62306" w:rsidRPr="000E51C9">
        <w:t xml:space="preserve"> and</w:t>
      </w:r>
      <w:r w:rsidRPr="000E51C9">
        <w:t xml:space="preserve"> different epistemic communities. </w:t>
      </w:r>
    </w:p>
    <w:p w14:paraId="2FE9151B" w14:textId="77777777" w:rsidR="007F4F6E" w:rsidRPr="000E51C9" w:rsidRDefault="007F4F6E" w:rsidP="00163F2E">
      <w:pPr>
        <w:spacing w:line="360" w:lineRule="auto"/>
        <w:ind w:firstLine="426"/>
        <w:jc w:val="both"/>
      </w:pPr>
    </w:p>
    <w:p w14:paraId="0DE833D6" w14:textId="7E2F8B00" w:rsidR="004D15F8" w:rsidRPr="000E51C9" w:rsidRDefault="007D559F" w:rsidP="007D559F">
      <w:pPr>
        <w:pStyle w:val="berschrift1"/>
        <w:numPr>
          <w:ilvl w:val="0"/>
          <w:numId w:val="0"/>
        </w:numPr>
        <w:spacing w:before="0" w:after="0" w:line="360" w:lineRule="auto"/>
        <w:rPr>
          <w:lang w:val="en-GB"/>
        </w:rPr>
      </w:pPr>
      <w:bookmarkStart w:id="22" w:name="_Toc497733691"/>
      <w:r w:rsidRPr="000E51C9">
        <w:rPr>
          <w:lang w:val="en-GB"/>
        </w:rPr>
        <w:t xml:space="preserve">X.4 </w:t>
      </w:r>
      <w:r w:rsidR="00203E3A" w:rsidRPr="000E51C9">
        <w:rPr>
          <w:lang w:val="en-GB"/>
        </w:rPr>
        <w:t>C</w:t>
      </w:r>
      <w:r w:rsidR="00C94B97" w:rsidRPr="000E51C9">
        <w:rPr>
          <w:lang w:val="en-GB"/>
        </w:rPr>
        <w:t>onclusions</w:t>
      </w:r>
      <w:bookmarkEnd w:id="22"/>
    </w:p>
    <w:p w14:paraId="41B95528" w14:textId="70804E1B" w:rsidR="00C42C4E" w:rsidRPr="000E51C9" w:rsidRDefault="00C42C4E" w:rsidP="00163F2E">
      <w:pPr>
        <w:spacing w:line="360" w:lineRule="auto"/>
        <w:jc w:val="both"/>
      </w:pPr>
      <w:r w:rsidRPr="000E51C9">
        <w:t xml:space="preserve">This </w:t>
      </w:r>
      <w:r w:rsidR="003B0F73" w:rsidRPr="000E51C9">
        <w:t xml:space="preserve">chapter </w:t>
      </w:r>
      <w:r w:rsidR="00D06185" w:rsidRPr="000E51C9">
        <w:t>posed two questions</w:t>
      </w:r>
      <w:r w:rsidR="003B0F73" w:rsidRPr="000E51C9">
        <w:t>:</w:t>
      </w:r>
      <w:r w:rsidR="00D06185" w:rsidRPr="000E51C9">
        <w:t xml:space="preserve"> </w:t>
      </w:r>
      <w:r w:rsidR="003B0F73" w:rsidRPr="000E51C9">
        <w:t>f</w:t>
      </w:r>
      <w:r w:rsidR="00D06185" w:rsidRPr="000E51C9">
        <w:t xml:space="preserve">irst, whether there is a </w:t>
      </w:r>
      <w:r w:rsidR="009B1702" w:rsidRPr="000E51C9">
        <w:t>growing tendency</w:t>
      </w:r>
      <w:r w:rsidR="00802ABA" w:rsidRPr="000E51C9">
        <w:t xml:space="preserve"> of including BIT</w:t>
      </w:r>
      <w:r w:rsidR="00802ABA" w:rsidRPr="000E51C9">
        <w:noBreakHyphen/>
      </w:r>
      <w:r w:rsidR="00D06185" w:rsidRPr="000E51C9">
        <w:t>like investment chapters into PTAs</w:t>
      </w:r>
      <w:r w:rsidR="003B0F73" w:rsidRPr="000E51C9">
        <w:t>;</w:t>
      </w:r>
      <w:r w:rsidR="00D06185" w:rsidRPr="000E51C9">
        <w:t xml:space="preserve"> </w:t>
      </w:r>
      <w:r w:rsidR="003B0F73" w:rsidRPr="000E51C9">
        <w:t>second</w:t>
      </w:r>
      <w:r w:rsidR="00613CDC" w:rsidRPr="000E51C9">
        <w:t xml:space="preserve">, if such a </w:t>
      </w:r>
      <w:r w:rsidR="009B1702" w:rsidRPr="000E51C9">
        <w:t xml:space="preserve">tendency </w:t>
      </w:r>
      <w:r w:rsidR="00613CDC" w:rsidRPr="000E51C9">
        <w:t xml:space="preserve">exists, what are the drivers behind it and what potential implications might they have? Due to the nature of the questions, which were meant to be in line with this </w:t>
      </w:r>
      <w:r w:rsidR="003B0F73" w:rsidRPr="000E51C9">
        <w:t xml:space="preserve">Volume </w:t>
      </w:r>
      <w:r w:rsidR="00613CDC" w:rsidRPr="000E51C9">
        <w:t xml:space="preserve">of the </w:t>
      </w:r>
      <w:r w:rsidR="00613CDC" w:rsidRPr="000E51C9">
        <w:rPr>
          <w:i/>
        </w:rPr>
        <w:t>Netherlands Yearbook of International Law</w:t>
      </w:r>
      <w:r w:rsidR="00613CDC" w:rsidRPr="000E51C9">
        <w:t xml:space="preserve">, a traditional, doctrinal approach was replaced </w:t>
      </w:r>
      <w:r w:rsidR="002D077C" w:rsidRPr="000E51C9">
        <w:t>with</w:t>
      </w:r>
      <w:r w:rsidR="00613CDC" w:rsidRPr="000E51C9">
        <w:t xml:space="preserve"> an empirical study of </w:t>
      </w:r>
      <w:r w:rsidR="002D077C" w:rsidRPr="000E51C9">
        <w:t>158</w:t>
      </w:r>
      <w:r w:rsidR="00613CDC" w:rsidRPr="000E51C9">
        <w:t xml:space="preserve"> </w:t>
      </w:r>
      <w:r w:rsidR="007E0A91" w:rsidRPr="000E51C9">
        <w:t xml:space="preserve">post-NAFTA </w:t>
      </w:r>
      <w:r w:rsidR="00613CDC" w:rsidRPr="000E51C9">
        <w:t>PTAs</w:t>
      </w:r>
      <w:r w:rsidR="00653EDE" w:rsidRPr="000E51C9">
        <w:t>,</w:t>
      </w:r>
      <w:r w:rsidR="00613CDC" w:rsidRPr="000E51C9">
        <w:t xml:space="preserve"> followed by a critical assessment of several potential drivers in the light of trade </w:t>
      </w:r>
      <w:r w:rsidR="00862FDD" w:rsidRPr="000E51C9">
        <w:t xml:space="preserve">law, </w:t>
      </w:r>
      <w:r w:rsidR="005077EE" w:rsidRPr="000E51C9">
        <w:t>investment law, negotiation</w:t>
      </w:r>
      <w:r w:rsidR="00613CDC" w:rsidRPr="000E51C9">
        <w:t xml:space="preserve"> theory and political science</w:t>
      </w:r>
      <w:r w:rsidR="00862FDD" w:rsidRPr="000E51C9">
        <w:t xml:space="preserve"> literature</w:t>
      </w:r>
      <w:r w:rsidR="00613CDC" w:rsidRPr="000E51C9">
        <w:t>.</w:t>
      </w:r>
    </w:p>
    <w:p w14:paraId="26792177" w14:textId="390936E0" w:rsidR="00613CDC" w:rsidRPr="000E51C9" w:rsidRDefault="00613CDC" w:rsidP="007D559F">
      <w:pPr>
        <w:spacing w:line="360" w:lineRule="auto"/>
        <w:ind w:firstLine="288"/>
        <w:jc w:val="both"/>
      </w:pPr>
      <w:r w:rsidRPr="000E51C9">
        <w:t xml:space="preserve">The answer to the first question is a nuanced one. A </w:t>
      </w:r>
      <w:r w:rsidR="001603A5" w:rsidRPr="000E51C9">
        <w:t>growing tendency</w:t>
      </w:r>
      <w:r w:rsidRPr="000E51C9">
        <w:t xml:space="preserve"> of including investment chapters into PTAs can be observed. Nonetheless, </w:t>
      </w:r>
      <w:r w:rsidR="001603A5" w:rsidRPr="000E51C9">
        <w:t>this</w:t>
      </w:r>
      <w:r w:rsidRPr="000E51C9">
        <w:t xml:space="preserve"> is not global and differs among the 15 countries and REIOs that were analysed. Most of the PTAs </w:t>
      </w:r>
      <w:r w:rsidR="007E0A91" w:rsidRPr="000E51C9">
        <w:t>concluded by the</w:t>
      </w:r>
      <w:r w:rsidRPr="000E51C9">
        <w:t xml:space="preserve"> US, Canada, Japan, ASEAN and CARICOM </w:t>
      </w:r>
      <w:r w:rsidR="007E0A91" w:rsidRPr="000E51C9">
        <w:t xml:space="preserve">include comprehensive investment chapters, which in turn contain detailed investment protection standards and ISDS. Most of the PTAs concluded by China, India, the EU and Chile do not include investment chapters. Nevertheless, their trade and investment policies are </w:t>
      </w:r>
      <w:r w:rsidR="00F14967" w:rsidRPr="000E51C9">
        <w:t xml:space="preserve">changing </w:t>
      </w:r>
      <w:r w:rsidR="007E0A91" w:rsidRPr="000E51C9">
        <w:t xml:space="preserve">and an increasing number of recent PTAs include investment chapters. </w:t>
      </w:r>
      <w:r w:rsidR="00A472C0" w:rsidRPr="000E51C9">
        <w:t>PTAs concluded by Brazil and MERCOSUR do not include investment chapters</w:t>
      </w:r>
      <w:r w:rsidR="008A7A12" w:rsidRPr="000E51C9">
        <w:t xml:space="preserve">, while most of the African </w:t>
      </w:r>
      <w:r w:rsidR="00862FDD" w:rsidRPr="000E51C9">
        <w:t>Regionals</w:t>
      </w:r>
      <w:r w:rsidR="007E0A91" w:rsidRPr="000E51C9">
        <w:t>, as well as Moroccan and South African PTAs, often defer the inclusion of investment protection to further negotiations.</w:t>
      </w:r>
    </w:p>
    <w:p w14:paraId="02A84180" w14:textId="7258D3F5" w:rsidR="006270C8" w:rsidRPr="000E51C9" w:rsidRDefault="00C55902" w:rsidP="007D559F">
      <w:pPr>
        <w:spacing w:line="360" w:lineRule="auto"/>
        <w:ind w:firstLine="288"/>
        <w:jc w:val="both"/>
      </w:pPr>
      <w:r w:rsidRPr="000E51C9">
        <w:t xml:space="preserve">There </w:t>
      </w:r>
      <w:r w:rsidR="00900D52" w:rsidRPr="000E51C9">
        <w:t>are</w:t>
      </w:r>
      <w:r w:rsidRPr="000E51C9">
        <w:t xml:space="preserve"> </w:t>
      </w:r>
      <w:r w:rsidR="003A606E" w:rsidRPr="000E51C9">
        <w:t>several</w:t>
      </w:r>
      <w:r w:rsidRPr="000E51C9">
        <w:t xml:space="preserve"> </w:t>
      </w:r>
      <w:r w:rsidR="00900D52" w:rsidRPr="000E51C9">
        <w:t xml:space="preserve">potential drivers </w:t>
      </w:r>
      <w:r w:rsidRPr="000E51C9">
        <w:t>behind</w:t>
      </w:r>
      <w:r w:rsidR="00D554D7" w:rsidRPr="000E51C9">
        <w:t xml:space="preserve"> </w:t>
      </w:r>
      <w:r w:rsidRPr="000E51C9">
        <w:t xml:space="preserve">the </w:t>
      </w:r>
      <w:r w:rsidR="001603A5" w:rsidRPr="000E51C9">
        <w:t>tendency</w:t>
      </w:r>
      <w:r w:rsidR="00952D04" w:rsidRPr="000E51C9">
        <w:t xml:space="preserve"> of </w:t>
      </w:r>
      <w:r w:rsidR="00603B14" w:rsidRPr="000E51C9">
        <w:t>including investment chapters into PTAs</w:t>
      </w:r>
      <w:r w:rsidRPr="000E51C9">
        <w:t xml:space="preserve">. </w:t>
      </w:r>
      <w:r w:rsidR="006270C8" w:rsidRPr="000E51C9">
        <w:t xml:space="preserve">Some </w:t>
      </w:r>
      <w:r w:rsidR="00603B14" w:rsidRPr="000E51C9">
        <w:t xml:space="preserve">drivers, as well as inhibitors, are </w:t>
      </w:r>
      <w:r w:rsidR="00DB349B" w:rsidRPr="000E51C9">
        <w:t xml:space="preserve">easily discernible from the data gathered in </w:t>
      </w:r>
      <w:r w:rsidR="003B0F73" w:rsidRPr="000E51C9">
        <w:t>section X.</w:t>
      </w:r>
      <w:r w:rsidR="00DB349B" w:rsidRPr="000E51C9">
        <w:t xml:space="preserve">2. For example, states/REIOs can choose to include investment chapters into PTAs </w:t>
      </w:r>
      <w:r w:rsidR="003A606E" w:rsidRPr="000E51C9">
        <w:t>with the aim of</w:t>
      </w:r>
      <w:r w:rsidR="00250BA5" w:rsidRPr="000E51C9">
        <w:t xml:space="preserve"> replac</w:t>
      </w:r>
      <w:r w:rsidR="003A606E" w:rsidRPr="000E51C9">
        <w:t>ing</w:t>
      </w:r>
      <w:r w:rsidR="00250BA5" w:rsidRPr="000E51C9">
        <w:t>/reform</w:t>
      </w:r>
      <w:r w:rsidR="003A606E" w:rsidRPr="000E51C9">
        <w:t>ing</w:t>
      </w:r>
      <w:r w:rsidR="00250BA5" w:rsidRPr="000E51C9">
        <w:t xml:space="preserve"> existing investment agreements between them or in order </w:t>
      </w:r>
      <w:r w:rsidR="00250BA5" w:rsidRPr="000E51C9">
        <w:lastRenderedPageBreak/>
        <w:t xml:space="preserve">to change/influence existing international rules or domestic rules in the other contracting party. States can also choose </w:t>
      </w:r>
      <w:r w:rsidR="00250BA5" w:rsidRPr="000E51C9">
        <w:rPr>
          <w:i/>
        </w:rPr>
        <w:t>not</w:t>
      </w:r>
      <w:r w:rsidR="00250BA5" w:rsidRPr="000E51C9">
        <w:t xml:space="preserve"> to combine trade and investment in one agreement</w:t>
      </w:r>
      <w:r w:rsidR="00AA72DE" w:rsidRPr="000E51C9">
        <w:t xml:space="preserve"> for the following reasons:</w:t>
      </w:r>
      <w:r w:rsidR="00250BA5" w:rsidRPr="000E51C9">
        <w:t xml:space="preserve"> if a BIT already exists between them</w:t>
      </w:r>
      <w:r w:rsidR="00AA72DE" w:rsidRPr="000E51C9">
        <w:t>;</w:t>
      </w:r>
      <w:r w:rsidR="00250BA5" w:rsidRPr="000E51C9">
        <w:t xml:space="preserve"> if it is not the opportune political moment</w:t>
      </w:r>
      <w:r w:rsidR="00AA72DE" w:rsidRPr="000E51C9">
        <w:t>;</w:t>
      </w:r>
      <w:r w:rsidR="00250BA5" w:rsidRPr="000E51C9">
        <w:t xml:space="preserve"> or </w:t>
      </w:r>
      <w:r w:rsidR="00AA72DE" w:rsidRPr="000E51C9">
        <w:t xml:space="preserve">if there are </w:t>
      </w:r>
      <w:r w:rsidR="00250BA5" w:rsidRPr="000E51C9">
        <w:t xml:space="preserve">domestic impediments of a legal/constitutional/political nature </w:t>
      </w:r>
      <w:bookmarkStart w:id="23" w:name="_GoBack"/>
      <w:bookmarkEnd w:id="23"/>
      <w:r w:rsidR="00250BA5" w:rsidRPr="000E51C9">
        <w:t>.</w:t>
      </w:r>
    </w:p>
    <w:p w14:paraId="486B808A" w14:textId="54C858F6" w:rsidR="00250BA5" w:rsidRPr="000E51C9" w:rsidRDefault="00250BA5" w:rsidP="007D559F">
      <w:pPr>
        <w:spacing w:line="360" w:lineRule="auto"/>
        <w:ind w:firstLine="288"/>
        <w:jc w:val="both"/>
      </w:pPr>
      <w:r w:rsidRPr="000E51C9">
        <w:t xml:space="preserve">For three further drivers the data collected in </w:t>
      </w:r>
      <w:r w:rsidR="003B0F73" w:rsidRPr="000E51C9">
        <w:t>section X.</w:t>
      </w:r>
      <w:r w:rsidRPr="000E51C9">
        <w:t xml:space="preserve">2 was not sufficient. Therefore, various academic writings and </w:t>
      </w:r>
      <w:r w:rsidR="00B46EB7" w:rsidRPr="000E51C9">
        <w:t xml:space="preserve">studies from several fields of </w:t>
      </w:r>
      <w:r w:rsidRPr="000E51C9">
        <w:t xml:space="preserve">social sciences </w:t>
      </w:r>
      <w:r w:rsidR="002D72F3" w:rsidRPr="000E51C9">
        <w:t>were consulted</w:t>
      </w:r>
      <w:r w:rsidRPr="000E51C9">
        <w:t xml:space="preserve">. </w:t>
      </w:r>
    </w:p>
    <w:p w14:paraId="5D9E1D74" w14:textId="7FF2E5C8" w:rsidR="00250BA5" w:rsidRPr="000E51C9" w:rsidRDefault="00250BA5" w:rsidP="007D559F">
      <w:pPr>
        <w:spacing w:line="360" w:lineRule="auto"/>
        <w:ind w:firstLine="288"/>
        <w:jc w:val="both"/>
      </w:pPr>
      <w:r w:rsidRPr="000E51C9">
        <w:t>First, low-capacity governments might accept</w:t>
      </w:r>
      <w:r w:rsidR="00A03A28" w:rsidRPr="000E51C9">
        <w:t>/use</w:t>
      </w:r>
      <w:r w:rsidRPr="000E51C9">
        <w:t xml:space="preserve"> existing PTA templates of more powerful states that include investment chapters. However, th</w:t>
      </w:r>
      <w:r w:rsidR="00D4557D" w:rsidRPr="000E51C9">
        <w:t xml:space="preserve">is </w:t>
      </w:r>
      <w:r w:rsidRPr="000E51C9">
        <w:t>practice</w:t>
      </w:r>
      <w:r w:rsidR="00405D88" w:rsidRPr="000E51C9">
        <w:t xml:space="preserve"> </w:t>
      </w:r>
      <w:r w:rsidRPr="000E51C9">
        <w:t>implies</w:t>
      </w:r>
      <w:r w:rsidR="003F46C5" w:rsidRPr="000E51C9">
        <w:t xml:space="preserve"> the</w:t>
      </w:r>
      <w:r w:rsidR="00787EC7" w:rsidRPr="000E51C9">
        <w:t xml:space="preserve"> lack of tailor-made </w:t>
      </w:r>
      <w:r w:rsidR="00CC1669" w:rsidRPr="000E51C9">
        <w:t>solutions and increases the risk</w:t>
      </w:r>
      <w:r w:rsidR="00405D88" w:rsidRPr="000E51C9">
        <w:t xml:space="preserve"> for weaker states </w:t>
      </w:r>
      <w:r w:rsidR="00F90A3D" w:rsidRPr="000E51C9">
        <w:t>of accepting</w:t>
      </w:r>
      <w:r w:rsidR="00405D88" w:rsidRPr="000E51C9">
        <w:t xml:space="preserve"> </w:t>
      </w:r>
      <w:r w:rsidR="00787EC7" w:rsidRPr="000E51C9">
        <w:t>onerous</w:t>
      </w:r>
      <w:r w:rsidR="00405D88" w:rsidRPr="000E51C9">
        <w:t xml:space="preserve"> </w:t>
      </w:r>
      <w:r w:rsidR="005A56B2" w:rsidRPr="000E51C9">
        <w:t xml:space="preserve">investment </w:t>
      </w:r>
      <w:r w:rsidR="00405D88" w:rsidRPr="000E51C9">
        <w:t xml:space="preserve">commitments. </w:t>
      </w:r>
      <w:r w:rsidR="00F77BCB" w:rsidRPr="000E51C9">
        <w:t xml:space="preserve">Furthermore, </w:t>
      </w:r>
      <w:r w:rsidR="003A606E" w:rsidRPr="000E51C9">
        <w:t>several</w:t>
      </w:r>
      <w:r w:rsidR="00405D88" w:rsidRPr="000E51C9">
        <w:t xml:space="preserve"> states are </w:t>
      </w:r>
      <w:r w:rsidR="003F46C5" w:rsidRPr="000E51C9">
        <w:t>turning against</w:t>
      </w:r>
      <w:r w:rsidR="00405D88" w:rsidRPr="000E51C9">
        <w:t xml:space="preserve"> such practice by </w:t>
      </w:r>
      <w:r w:rsidR="003F46C5" w:rsidRPr="000E51C9">
        <w:t>devising their own treat</w:t>
      </w:r>
      <w:r w:rsidR="006929AD" w:rsidRPr="000E51C9">
        <w:t>y</w:t>
      </w:r>
      <w:r w:rsidR="003F46C5" w:rsidRPr="000E51C9">
        <w:t xml:space="preserve"> models or by refusing to accept investment chapters or ISDS in PTAs. </w:t>
      </w:r>
    </w:p>
    <w:p w14:paraId="02F85185" w14:textId="24662ECE" w:rsidR="00BA402B" w:rsidRPr="000E51C9" w:rsidRDefault="003F3B24" w:rsidP="007D559F">
      <w:pPr>
        <w:spacing w:line="360" w:lineRule="auto"/>
        <w:ind w:firstLine="288"/>
        <w:jc w:val="both"/>
      </w:pPr>
      <w:r w:rsidRPr="000E51C9">
        <w:t xml:space="preserve">Second, </w:t>
      </w:r>
      <w:r w:rsidR="00FF726C" w:rsidRPr="000E51C9">
        <w:t xml:space="preserve">states/REIOS might choose to include </w:t>
      </w:r>
      <w:r w:rsidR="00405D88" w:rsidRPr="000E51C9">
        <w:t xml:space="preserve">investment chapters </w:t>
      </w:r>
      <w:r w:rsidR="003962B3" w:rsidRPr="000E51C9">
        <w:t xml:space="preserve">in PTAs </w:t>
      </w:r>
      <w:r w:rsidR="003A606E" w:rsidRPr="000E51C9">
        <w:t>to</w:t>
      </w:r>
      <w:r w:rsidR="003962B3" w:rsidRPr="000E51C9">
        <w:t xml:space="preserve"> pursue</w:t>
      </w:r>
      <w:r w:rsidR="00405D88" w:rsidRPr="000E51C9">
        <w:t xml:space="preserve"> more </w:t>
      </w:r>
      <w:r w:rsidR="00FF726C" w:rsidRPr="000E51C9">
        <w:t>comprehensive and</w:t>
      </w:r>
      <w:r w:rsidR="0096373F" w:rsidRPr="000E51C9">
        <w:t xml:space="preserve"> </w:t>
      </w:r>
      <w:r w:rsidR="009E5284" w:rsidRPr="000E51C9">
        <w:t>resource-</w:t>
      </w:r>
      <w:r w:rsidR="00405D88" w:rsidRPr="000E51C9">
        <w:t>friendly</w:t>
      </w:r>
      <w:r w:rsidR="006929AD" w:rsidRPr="000E51C9">
        <w:t xml:space="preserve"> </w:t>
      </w:r>
      <w:r w:rsidR="00405D88" w:rsidRPr="000E51C9">
        <w:t>negotiation</w:t>
      </w:r>
      <w:r w:rsidR="00BA5E05" w:rsidRPr="000E51C9">
        <w:t>s</w:t>
      </w:r>
      <w:r w:rsidR="00405D88" w:rsidRPr="000E51C9">
        <w:t>.</w:t>
      </w:r>
      <w:r w:rsidR="00344CBB" w:rsidRPr="000E51C9">
        <w:t xml:space="preserve"> At the same time, </w:t>
      </w:r>
      <w:r w:rsidR="00D30B54" w:rsidRPr="000E51C9">
        <w:t xml:space="preserve">negotiation delays and even deadlocks can occur </w:t>
      </w:r>
      <w:r w:rsidR="00344CBB" w:rsidRPr="000E51C9">
        <w:t xml:space="preserve">if certain </w:t>
      </w:r>
      <w:r w:rsidR="00E57991" w:rsidRPr="000E51C9">
        <w:t xml:space="preserve">highly contested </w:t>
      </w:r>
      <w:r w:rsidR="00344CBB" w:rsidRPr="000E51C9">
        <w:t>issues</w:t>
      </w:r>
      <w:r w:rsidR="00D30B54" w:rsidRPr="000E51C9">
        <w:t xml:space="preserve">, such as ISDS, </w:t>
      </w:r>
      <w:r w:rsidR="00B86FE3" w:rsidRPr="000E51C9">
        <w:t>are</w:t>
      </w:r>
      <w:r w:rsidR="00D30B54" w:rsidRPr="000E51C9">
        <w:t xml:space="preserve"> included in the overall negotiations. </w:t>
      </w:r>
      <w:r w:rsidR="00344CBB" w:rsidRPr="000E51C9">
        <w:t xml:space="preserve">In addition, negotiating over a broader agenda requires sufficient expertise from the negotiators, which may not always be available. </w:t>
      </w:r>
    </w:p>
    <w:p w14:paraId="51E60555" w14:textId="36683E94" w:rsidR="00FC6B0C" w:rsidRPr="000E51C9" w:rsidRDefault="00BA402B" w:rsidP="007D559F">
      <w:pPr>
        <w:spacing w:line="360" w:lineRule="auto"/>
        <w:ind w:firstLine="288"/>
        <w:jc w:val="both"/>
      </w:pPr>
      <w:r w:rsidRPr="000E51C9">
        <w:t xml:space="preserve">Third, </w:t>
      </w:r>
      <w:r w:rsidR="00135014" w:rsidRPr="000E51C9">
        <w:t xml:space="preserve">a more coherent application of international economic law </w:t>
      </w:r>
      <w:r w:rsidR="00702B5B" w:rsidRPr="000E51C9">
        <w:t>might be pursued</w:t>
      </w:r>
      <w:r w:rsidR="00C46E72" w:rsidRPr="000E51C9">
        <w:t xml:space="preserve"> through the inclusion of trade and investment provisions into one agreement</w:t>
      </w:r>
      <w:r w:rsidR="00135014" w:rsidRPr="000E51C9">
        <w:t xml:space="preserve">. </w:t>
      </w:r>
      <w:r w:rsidR="00702B5B" w:rsidRPr="000E51C9">
        <w:t>Nonetheless</w:t>
      </w:r>
      <w:r w:rsidR="00207BAF" w:rsidRPr="000E51C9">
        <w:t>,</w:t>
      </w:r>
      <w:r w:rsidR="00066D15" w:rsidRPr="000E51C9">
        <w:t xml:space="preserve"> </w:t>
      </w:r>
      <w:r w:rsidR="00FC6B0C" w:rsidRPr="000E51C9">
        <w:t>coherence and possible convergence might be hindered by the application and interpretation of the PTAs by various treaty and dispute settlement bodies that are served by distinct epistemic communities.</w:t>
      </w:r>
    </w:p>
    <w:p w14:paraId="1BF13946" w14:textId="77777777" w:rsidR="00FC6B0C" w:rsidRPr="000E51C9" w:rsidRDefault="00FC6B0C" w:rsidP="00163F2E">
      <w:pPr>
        <w:spacing w:line="360" w:lineRule="auto"/>
        <w:ind w:firstLine="426"/>
        <w:jc w:val="both"/>
      </w:pPr>
    </w:p>
    <w:p w14:paraId="3842598D" w14:textId="77777777" w:rsidR="00F641F1" w:rsidRPr="000E51C9" w:rsidRDefault="00F641F1" w:rsidP="00163F2E">
      <w:pPr>
        <w:spacing w:line="360" w:lineRule="auto"/>
        <w:ind w:firstLine="426"/>
        <w:jc w:val="both"/>
      </w:pPr>
    </w:p>
    <w:p w14:paraId="6EAB16DB" w14:textId="2BCE26B7" w:rsidR="003A5831" w:rsidRPr="000E51C9" w:rsidRDefault="00F641F1" w:rsidP="000E51C9">
      <w:pPr>
        <w:spacing w:line="360" w:lineRule="auto"/>
      </w:pPr>
      <w:r w:rsidRPr="000E51C9">
        <w:rPr>
          <w:b/>
        </w:rPr>
        <w:t xml:space="preserve">References </w:t>
      </w:r>
    </w:p>
    <w:p w14:paraId="08FB5F95" w14:textId="320BEDB3" w:rsidR="003A5831" w:rsidRPr="000E51C9" w:rsidRDefault="003A5831" w:rsidP="00F6726A">
      <w:pPr>
        <w:spacing w:line="360" w:lineRule="auto"/>
        <w:ind w:left="284" w:hanging="288"/>
        <w:contextualSpacing/>
        <w:jc w:val="both"/>
        <w:rPr>
          <w:color w:val="000000" w:themeColor="text1"/>
        </w:rPr>
      </w:pPr>
      <w:proofErr w:type="spellStart"/>
      <w:r w:rsidRPr="000E51C9">
        <w:rPr>
          <w:color w:val="000000" w:themeColor="text1"/>
        </w:rPr>
        <w:t>Allee</w:t>
      </w:r>
      <w:proofErr w:type="spellEnd"/>
      <w:r w:rsidRPr="000E51C9">
        <w:rPr>
          <w:color w:val="000000" w:themeColor="text1"/>
        </w:rPr>
        <w:t xml:space="preserve"> T, </w:t>
      </w:r>
      <w:proofErr w:type="spellStart"/>
      <w:r w:rsidRPr="000E51C9">
        <w:rPr>
          <w:color w:val="000000" w:themeColor="text1"/>
        </w:rPr>
        <w:t>Elsig</w:t>
      </w:r>
      <w:proofErr w:type="spellEnd"/>
      <w:r w:rsidRPr="000E51C9">
        <w:rPr>
          <w:color w:val="000000" w:themeColor="text1"/>
        </w:rPr>
        <w:t xml:space="preserve"> M (2016) Are the Content of International Treaties Copied-and-Pasted? </w:t>
      </w:r>
      <w:proofErr w:type="gramStart"/>
      <w:r w:rsidRPr="000E51C9">
        <w:rPr>
          <w:color w:val="000000" w:themeColor="text1"/>
        </w:rPr>
        <w:t>Evidence from Preferential Trade Agreements.</w:t>
      </w:r>
      <w:proofErr w:type="gramEnd"/>
      <w:r w:rsidRPr="000E51C9">
        <w:rPr>
          <w:color w:val="000000" w:themeColor="text1"/>
        </w:rPr>
        <w:t xml:space="preserve"> </w:t>
      </w:r>
      <w:proofErr w:type="gramStart"/>
      <w:r w:rsidRPr="000E51C9">
        <w:rPr>
          <w:color w:val="000000" w:themeColor="text1"/>
        </w:rPr>
        <w:t>World Trade Institute NCCR Working Paper 2016/8.</w:t>
      </w:r>
      <w:proofErr w:type="gramEnd"/>
      <w:r w:rsidRPr="000E51C9">
        <w:rPr>
          <w:color w:val="000000" w:themeColor="text1"/>
        </w:rPr>
        <w:t xml:space="preserve"> http://www.wti.org/research/publications/998/are-the-contents-of-international-treaties-copied-and-pasted-unique-evidence-from-preferential-trade-agreements/. Accessed 23 August 2017</w:t>
      </w:r>
    </w:p>
    <w:p w14:paraId="2E8E7AA5" w14:textId="463C80ED" w:rsidR="003A5831" w:rsidRPr="000E51C9" w:rsidRDefault="003A5831" w:rsidP="00F6726A">
      <w:pPr>
        <w:spacing w:line="360" w:lineRule="auto"/>
        <w:ind w:left="270" w:hanging="270"/>
        <w:contextualSpacing/>
        <w:jc w:val="both"/>
        <w:rPr>
          <w:color w:val="000000" w:themeColor="text1"/>
        </w:rPr>
      </w:pPr>
      <w:proofErr w:type="spellStart"/>
      <w:r w:rsidRPr="000E51C9">
        <w:rPr>
          <w:color w:val="000000" w:themeColor="text1"/>
        </w:rPr>
        <w:lastRenderedPageBreak/>
        <w:t>Alschner</w:t>
      </w:r>
      <w:proofErr w:type="spellEnd"/>
      <w:r w:rsidRPr="000E51C9">
        <w:rPr>
          <w:color w:val="000000" w:themeColor="text1"/>
        </w:rPr>
        <w:t xml:space="preserve"> W, </w:t>
      </w:r>
      <w:proofErr w:type="spellStart"/>
      <w:r w:rsidRPr="000E51C9">
        <w:rPr>
          <w:color w:val="000000" w:themeColor="text1"/>
        </w:rPr>
        <w:t>Seiermann</w:t>
      </w:r>
      <w:proofErr w:type="spellEnd"/>
      <w:r w:rsidRPr="000E51C9">
        <w:rPr>
          <w:color w:val="000000" w:themeColor="text1"/>
        </w:rPr>
        <w:t xml:space="preserve"> J, </w:t>
      </w:r>
      <w:proofErr w:type="spellStart"/>
      <w:r w:rsidRPr="000E51C9">
        <w:rPr>
          <w:color w:val="000000" w:themeColor="text1"/>
        </w:rPr>
        <w:t>Skougarevskiy</w:t>
      </w:r>
      <w:proofErr w:type="spellEnd"/>
      <w:r w:rsidRPr="000E51C9">
        <w:rPr>
          <w:color w:val="000000" w:themeColor="text1"/>
        </w:rPr>
        <w:t xml:space="preserve"> D (2017) Text-as-Data Analysis of Preferential Trade Agreements: Mapping the PTA Landscape. UNCTAD Research Paper No 5. http://unctad.org/en/PublicationsLibrary/ser_rp2017d5_en.pdf. Accessed 23 August 2017</w:t>
      </w:r>
    </w:p>
    <w:p w14:paraId="2B03E987" w14:textId="77777777" w:rsidR="003A5831" w:rsidRPr="000E51C9" w:rsidRDefault="003A5831" w:rsidP="00F6726A">
      <w:pPr>
        <w:spacing w:line="360" w:lineRule="auto"/>
        <w:ind w:left="284" w:hanging="288"/>
        <w:contextualSpacing/>
        <w:jc w:val="both"/>
        <w:rPr>
          <w:color w:val="000000" w:themeColor="text1"/>
        </w:rPr>
      </w:pPr>
      <w:proofErr w:type="spellStart"/>
      <w:r w:rsidRPr="000E51C9">
        <w:rPr>
          <w:color w:val="000000" w:themeColor="text1"/>
        </w:rPr>
        <w:t>Baccini</w:t>
      </w:r>
      <w:proofErr w:type="spellEnd"/>
      <w:r w:rsidRPr="000E51C9">
        <w:rPr>
          <w:color w:val="000000" w:themeColor="text1"/>
        </w:rPr>
        <w:t xml:space="preserve"> L, </w:t>
      </w:r>
      <w:proofErr w:type="spellStart"/>
      <w:r w:rsidRPr="000E51C9">
        <w:rPr>
          <w:color w:val="000000" w:themeColor="text1"/>
        </w:rPr>
        <w:t>Dür</w:t>
      </w:r>
      <w:proofErr w:type="spellEnd"/>
      <w:r w:rsidRPr="000E51C9">
        <w:rPr>
          <w:color w:val="000000" w:themeColor="text1"/>
        </w:rPr>
        <w:t xml:space="preserve"> A, </w:t>
      </w:r>
      <w:proofErr w:type="spellStart"/>
      <w:r w:rsidRPr="000E51C9">
        <w:rPr>
          <w:color w:val="000000" w:themeColor="text1"/>
        </w:rPr>
        <w:t>Elsig</w:t>
      </w:r>
      <w:proofErr w:type="spellEnd"/>
      <w:r w:rsidRPr="000E51C9">
        <w:rPr>
          <w:color w:val="000000" w:themeColor="text1"/>
        </w:rPr>
        <w:t xml:space="preserve"> M, </w:t>
      </w:r>
      <w:proofErr w:type="spellStart"/>
      <w:r w:rsidRPr="000E51C9">
        <w:rPr>
          <w:color w:val="000000" w:themeColor="text1"/>
        </w:rPr>
        <w:t>Milewicz</w:t>
      </w:r>
      <w:proofErr w:type="spellEnd"/>
      <w:r w:rsidRPr="000E51C9">
        <w:rPr>
          <w:color w:val="000000" w:themeColor="text1"/>
        </w:rPr>
        <w:t xml:space="preserve"> K (2011) </w:t>
      </w:r>
      <w:proofErr w:type="gramStart"/>
      <w:r w:rsidRPr="000E51C9">
        <w:rPr>
          <w:color w:val="000000" w:themeColor="text1"/>
        </w:rPr>
        <w:t>The</w:t>
      </w:r>
      <w:proofErr w:type="gramEnd"/>
      <w:r w:rsidRPr="000E51C9">
        <w:rPr>
          <w:color w:val="000000" w:themeColor="text1"/>
        </w:rPr>
        <w:t xml:space="preserve"> Design of Preferential Trade Agreements: A New Dataset in the Making. </w:t>
      </w:r>
      <w:proofErr w:type="gramStart"/>
      <w:r w:rsidRPr="000E51C9">
        <w:rPr>
          <w:color w:val="000000" w:themeColor="text1"/>
        </w:rPr>
        <w:t>WTO Staff Working Paper ERSD-2011-10.</w:t>
      </w:r>
      <w:proofErr w:type="gramEnd"/>
      <w:r w:rsidRPr="000E51C9">
        <w:rPr>
          <w:color w:val="000000" w:themeColor="text1"/>
        </w:rPr>
        <w:t xml:space="preserve"> http://www.academia.edu/2918412/The_design_of_preferential_trade_agreements_A_new_dataset_in_the_Making. Accessed 23 August 2017</w:t>
      </w:r>
    </w:p>
    <w:p w14:paraId="5022B4DC" w14:textId="36906C21" w:rsidR="003A5831" w:rsidRPr="000E51C9" w:rsidRDefault="003A5831" w:rsidP="00F6726A">
      <w:pPr>
        <w:spacing w:line="360" w:lineRule="auto"/>
        <w:ind w:left="284" w:hanging="288"/>
        <w:contextualSpacing/>
        <w:jc w:val="both"/>
        <w:rPr>
          <w:color w:val="000000" w:themeColor="text1"/>
        </w:rPr>
      </w:pPr>
      <w:proofErr w:type="spellStart"/>
      <w:r w:rsidRPr="000E51C9">
        <w:t>Baetens</w:t>
      </w:r>
      <w:proofErr w:type="spellEnd"/>
      <w:r w:rsidRPr="000E51C9">
        <w:t xml:space="preserve"> F (2013) Preferential Trade and Investment Agreements and the Trade/Investment Divide: Is the Whole More than the Sum of Its Parts? In: </w:t>
      </w:r>
      <w:r w:rsidRPr="000E51C9">
        <w:rPr>
          <w:rFonts w:eastAsia="Times New Roman"/>
          <w:color w:val="000000" w:themeColor="text1"/>
        </w:rPr>
        <w:t xml:space="preserve">Hoffmann R, </w:t>
      </w:r>
      <w:proofErr w:type="spellStart"/>
      <w:r w:rsidRPr="000E51C9">
        <w:rPr>
          <w:rFonts w:eastAsia="Times New Roman"/>
          <w:color w:val="000000" w:themeColor="text1"/>
        </w:rPr>
        <w:t>Schill</w:t>
      </w:r>
      <w:proofErr w:type="spellEnd"/>
      <w:r w:rsidRPr="000E51C9">
        <w:rPr>
          <w:rFonts w:eastAsia="Times New Roman"/>
          <w:color w:val="000000" w:themeColor="text1"/>
        </w:rPr>
        <w:t xml:space="preserve"> SW, Tams CJ (</w:t>
      </w:r>
      <w:proofErr w:type="spellStart"/>
      <w:r w:rsidRPr="000E51C9">
        <w:rPr>
          <w:rFonts w:eastAsia="Times New Roman"/>
          <w:color w:val="000000" w:themeColor="text1"/>
        </w:rPr>
        <w:t>eds</w:t>
      </w:r>
      <w:proofErr w:type="spellEnd"/>
      <w:r w:rsidRPr="000E51C9">
        <w:rPr>
          <w:rFonts w:eastAsia="Times New Roman"/>
          <w:color w:val="000000" w:themeColor="text1"/>
        </w:rPr>
        <w:t>)</w:t>
      </w:r>
      <w:r w:rsidRPr="000E51C9">
        <w:rPr>
          <w:color w:val="000000" w:themeColor="text1"/>
        </w:rPr>
        <w:t xml:space="preserve"> Preferential Trade and Investment Agreements: From Recalibration to Reintegration. Nomos, Baden-Baden, 91-128</w:t>
      </w:r>
    </w:p>
    <w:p w14:paraId="5E814D70" w14:textId="77777777"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Barreiro L, </w:t>
      </w:r>
      <w:proofErr w:type="spellStart"/>
      <w:r w:rsidRPr="000E51C9">
        <w:rPr>
          <w:color w:val="000000" w:themeColor="text1"/>
        </w:rPr>
        <w:t>Lemos</w:t>
      </w:r>
      <w:proofErr w:type="spellEnd"/>
      <w:r w:rsidRPr="000E51C9">
        <w:rPr>
          <w:color w:val="000000" w:themeColor="text1"/>
        </w:rPr>
        <w:t xml:space="preserve"> Daniela C (2013) </w:t>
      </w:r>
      <w:proofErr w:type="gramStart"/>
      <w:r w:rsidRPr="000E51C9">
        <w:rPr>
          <w:color w:val="000000" w:themeColor="text1"/>
        </w:rPr>
        <w:t>The</w:t>
      </w:r>
      <w:proofErr w:type="gramEnd"/>
      <w:r w:rsidRPr="000E51C9">
        <w:rPr>
          <w:color w:val="000000" w:themeColor="text1"/>
        </w:rPr>
        <w:t xml:space="preserve"> Non-Ratification of Bilateral Investment Treaties in Brazil: A Story of Conflict in a Land of Cooperation. </w:t>
      </w:r>
      <w:proofErr w:type="gramStart"/>
      <w:r w:rsidRPr="000E51C9">
        <w:rPr>
          <w:color w:val="000000" w:themeColor="text1"/>
        </w:rPr>
        <w:t>SSRN Scholarly Paper 6.</w:t>
      </w:r>
      <w:proofErr w:type="gramEnd"/>
      <w:r w:rsidRPr="000E51C9">
        <w:rPr>
          <w:color w:val="000000" w:themeColor="text1"/>
        </w:rPr>
        <w:t xml:space="preserve"> http://ssrn.com/abstract=2243120. Accessed 23 August 2017</w:t>
      </w:r>
    </w:p>
    <w:p w14:paraId="2184A2A6" w14:textId="5D90FC36" w:rsidR="003A5831" w:rsidRPr="000E51C9" w:rsidRDefault="003A5831" w:rsidP="00F6726A">
      <w:pPr>
        <w:spacing w:line="360" w:lineRule="auto"/>
        <w:ind w:left="284" w:hanging="288"/>
        <w:contextualSpacing/>
        <w:jc w:val="both"/>
        <w:rPr>
          <w:color w:val="000000" w:themeColor="text1"/>
        </w:rPr>
      </w:pPr>
      <w:proofErr w:type="spellStart"/>
      <w:r w:rsidRPr="000E51C9">
        <w:rPr>
          <w:color w:val="000000" w:themeColor="text1"/>
        </w:rPr>
        <w:t>Basedow</w:t>
      </w:r>
      <w:proofErr w:type="spellEnd"/>
      <w:r w:rsidRPr="000E51C9">
        <w:rPr>
          <w:color w:val="000000" w:themeColor="text1"/>
        </w:rPr>
        <w:t xml:space="preserve"> R (2016) A Legal History of the EU’s International Investment Policy. The Journal of World Investment &amp; Trade 17(5):743-772</w:t>
      </w:r>
    </w:p>
    <w:p w14:paraId="78606F6D" w14:textId="1EFF9895"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Braun TR (2013) Investment Chapters in Future European Preferential Trade and Investment Agreements: Two Universes or an Integrated Model? In:</w:t>
      </w:r>
      <w:r w:rsidRPr="000E51C9">
        <w:t xml:space="preserve"> </w:t>
      </w:r>
      <w:r w:rsidRPr="000E51C9">
        <w:rPr>
          <w:rFonts w:eastAsia="Times New Roman"/>
          <w:color w:val="000000" w:themeColor="text1"/>
        </w:rPr>
        <w:t xml:space="preserve">Hoffmann R, </w:t>
      </w:r>
      <w:proofErr w:type="spellStart"/>
      <w:r w:rsidRPr="000E51C9">
        <w:rPr>
          <w:rFonts w:eastAsia="Times New Roman"/>
          <w:color w:val="000000" w:themeColor="text1"/>
        </w:rPr>
        <w:t>Schill</w:t>
      </w:r>
      <w:proofErr w:type="spellEnd"/>
      <w:r w:rsidRPr="000E51C9">
        <w:rPr>
          <w:rFonts w:eastAsia="Times New Roman"/>
          <w:color w:val="000000" w:themeColor="text1"/>
        </w:rPr>
        <w:t xml:space="preserve"> SW, Tams CJ (</w:t>
      </w:r>
      <w:proofErr w:type="spellStart"/>
      <w:r w:rsidRPr="000E51C9">
        <w:rPr>
          <w:rFonts w:eastAsia="Times New Roman"/>
          <w:color w:val="000000" w:themeColor="text1"/>
        </w:rPr>
        <w:t>eds</w:t>
      </w:r>
      <w:proofErr w:type="spellEnd"/>
      <w:r w:rsidRPr="000E51C9">
        <w:rPr>
          <w:rFonts w:eastAsia="Times New Roman"/>
          <w:color w:val="000000" w:themeColor="text1"/>
        </w:rPr>
        <w:t>)</w:t>
      </w:r>
      <w:r w:rsidRPr="000E51C9">
        <w:rPr>
          <w:color w:val="000000" w:themeColor="text1"/>
        </w:rPr>
        <w:t xml:space="preserve"> Preferential Trade and Investment Agreements: From Recalibration to Reintegration. Nomos: Baden-Baden, 129-156</w:t>
      </w:r>
    </w:p>
    <w:p w14:paraId="269FA07C" w14:textId="20ECB403"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Brower CH II (2006) Why the FTC Notes of Interpretation Constitute a Partial Amendment of NAFTA Article 1105. Virginia Journal of International Law 46:347-364</w:t>
      </w:r>
    </w:p>
    <w:p w14:paraId="54DC8080" w14:textId="49506E17" w:rsidR="003A5831" w:rsidRPr="000E51C9" w:rsidRDefault="003A5831" w:rsidP="003A5831">
      <w:pPr>
        <w:spacing w:line="360" w:lineRule="auto"/>
        <w:ind w:left="284" w:hanging="288"/>
        <w:jc w:val="both"/>
        <w:rPr>
          <w:color w:val="000000" w:themeColor="text1"/>
        </w:rPr>
      </w:pPr>
      <w:r w:rsidRPr="000E51C9">
        <w:rPr>
          <w:color w:val="000000" w:themeColor="text1"/>
        </w:rPr>
        <w:t xml:space="preserve">Brown CM, Record J (2015) EU-Korea Free Trade Agreement. In: Lester S, </w:t>
      </w:r>
      <w:proofErr w:type="spellStart"/>
      <w:r w:rsidRPr="000E51C9">
        <w:rPr>
          <w:color w:val="000000" w:themeColor="text1"/>
        </w:rPr>
        <w:t>Mercurio</w:t>
      </w:r>
      <w:proofErr w:type="spellEnd"/>
      <w:r w:rsidRPr="000E51C9">
        <w:rPr>
          <w:color w:val="000000" w:themeColor="text1"/>
        </w:rPr>
        <w:t xml:space="preserve"> B, Bartels L (</w:t>
      </w:r>
      <w:proofErr w:type="spellStart"/>
      <w:r w:rsidRPr="000E51C9">
        <w:rPr>
          <w:color w:val="000000" w:themeColor="text1"/>
        </w:rPr>
        <w:t>eds</w:t>
      </w:r>
      <w:proofErr w:type="spellEnd"/>
      <w:r w:rsidRPr="000E51C9">
        <w:rPr>
          <w:color w:val="000000" w:themeColor="text1"/>
        </w:rPr>
        <w:t xml:space="preserve">) Bilateral and Regional Trade Agreements, 2nd </w:t>
      </w:r>
      <w:proofErr w:type="spellStart"/>
      <w:r w:rsidRPr="000E51C9">
        <w:rPr>
          <w:color w:val="000000" w:themeColor="text1"/>
        </w:rPr>
        <w:t>edn</w:t>
      </w:r>
      <w:proofErr w:type="spellEnd"/>
      <w:r w:rsidRPr="000E51C9">
        <w:rPr>
          <w:color w:val="000000" w:themeColor="text1"/>
        </w:rPr>
        <w:t>.</w:t>
      </w:r>
      <w:r w:rsidRPr="000E51C9">
        <w:rPr>
          <w:i/>
          <w:color w:val="000000" w:themeColor="text1"/>
        </w:rPr>
        <w:t xml:space="preserve"> </w:t>
      </w:r>
      <w:r w:rsidRPr="000E51C9">
        <w:rPr>
          <w:color w:val="000000" w:themeColor="text1"/>
        </w:rPr>
        <w:t>Cambridge University Press, Cambridge, 39-59</w:t>
      </w:r>
    </w:p>
    <w:p w14:paraId="2A3A84F8" w14:textId="77777777" w:rsidR="003A5831" w:rsidRPr="000E51C9" w:rsidRDefault="003A5831" w:rsidP="00F6726A">
      <w:pPr>
        <w:spacing w:line="360" w:lineRule="auto"/>
        <w:ind w:left="284" w:hanging="288"/>
        <w:contextualSpacing/>
        <w:jc w:val="both"/>
        <w:rPr>
          <w:color w:val="000000" w:themeColor="text1"/>
        </w:rPr>
      </w:pPr>
      <w:proofErr w:type="spellStart"/>
      <w:r w:rsidRPr="000E51C9">
        <w:t>Bungenberg</w:t>
      </w:r>
      <w:proofErr w:type="spellEnd"/>
      <w:r w:rsidRPr="000E51C9">
        <w:t xml:space="preserve"> M, </w:t>
      </w:r>
      <w:proofErr w:type="spellStart"/>
      <w:r w:rsidRPr="000E51C9">
        <w:t>Reinisch</w:t>
      </w:r>
      <w:proofErr w:type="spellEnd"/>
      <w:r w:rsidRPr="000E51C9">
        <w:t xml:space="preserve"> A (2014) Special Issue: The Anatomy of the (Invisible) EU Model BIT. The Journal of World Investment &amp; Trade 15:375-378</w:t>
      </w:r>
    </w:p>
    <w:p w14:paraId="220BE919" w14:textId="5D56D8D6"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Chilton AS (2015) </w:t>
      </w:r>
      <w:proofErr w:type="gramStart"/>
      <w:r w:rsidRPr="000E51C9">
        <w:rPr>
          <w:color w:val="000000" w:themeColor="text1"/>
        </w:rPr>
        <w:t>The</w:t>
      </w:r>
      <w:proofErr w:type="gramEnd"/>
      <w:r w:rsidRPr="000E51C9">
        <w:rPr>
          <w:color w:val="000000" w:themeColor="text1"/>
        </w:rPr>
        <w:t xml:space="preserve"> Politics of the United States’ Bilateral Investment Treaty Program. </w:t>
      </w:r>
      <w:proofErr w:type="gramStart"/>
      <w:r w:rsidRPr="000E51C9">
        <w:rPr>
          <w:color w:val="000000" w:themeColor="text1"/>
        </w:rPr>
        <w:t>Coase-Sandor Working Paper Series in Law and Economics No. 722.</w:t>
      </w:r>
      <w:proofErr w:type="gramEnd"/>
      <w:r w:rsidRPr="000E51C9">
        <w:rPr>
          <w:color w:val="000000" w:themeColor="text1"/>
        </w:rPr>
        <w:t xml:space="preserve"> http://chicagounbound.uchicago.edu/cgi/viewcontent.cgi?article=2409&amp;context=law_and_economics. Accessed 23 August 2017</w:t>
      </w:r>
    </w:p>
    <w:p w14:paraId="3DFA371A" w14:textId="67C974D0" w:rsidR="003A5831" w:rsidRPr="000E51C9" w:rsidRDefault="003A5831" w:rsidP="00F6726A">
      <w:pPr>
        <w:spacing w:line="360" w:lineRule="auto"/>
        <w:ind w:left="284" w:hanging="288"/>
        <w:contextualSpacing/>
        <w:jc w:val="both"/>
      </w:pPr>
      <w:r w:rsidRPr="000E51C9">
        <w:rPr>
          <w:color w:val="000000" w:themeColor="text1"/>
        </w:rPr>
        <w:lastRenderedPageBreak/>
        <w:t>Davis CL (2004) International Institutions and Issue Linkage: Building Support for Agricultural Trade Liberalization. American Political Science Review 98(1):153-169</w:t>
      </w:r>
    </w:p>
    <w:p w14:paraId="4320C42D" w14:textId="0C710D37"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De </w:t>
      </w:r>
      <w:proofErr w:type="spellStart"/>
      <w:r w:rsidRPr="000E51C9">
        <w:rPr>
          <w:color w:val="000000" w:themeColor="text1"/>
        </w:rPr>
        <w:t>Brabandere</w:t>
      </w:r>
      <w:proofErr w:type="spellEnd"/>
      <w:r w:rsidRPr="000E51C9">
        <w:rPr>
          <w:color w:val="000000" w:themeColor="text1"/>
        </w:rPr>
        <w:t xml:space="preserve"> E (2013) Co-existence, Complementarity or Conflict? Interaction </w:t>
      </w:r>
      <w:proofErr w:type="gramStart"/>
      <w:r w:rsidRPr="000E51C9">
        <w:rPr>
          <w:color w:val="000000" w:themeColor="text1"/>
        </w:rPr>
        <w:t>Between</w:t>
      </w:r>
      <w:proofErr w:type="gramEnd"/>
      <w:r w:rsidRPr="000E51C9">
        <w:rPr>
          <w:color w:val="000000" w:themeColor="text1"/>
        </w:rPr>
        <w:t xml:space="preserve"> Preferential Trade and Investment Agreements and Bilateral Investment Treaties. </w:t>
      </w:r>
      <w:r w:rsidRPr="000E51C9">
        <w:t xml:space="preserve">In: </w:t>
      </w:r>
      <w:r w:rsidRPr="000E51C9">
        <w:rPr>
          <w:rFonts w:eastAsia="Times New Roman"/>
          <w:color w:val="000000" w:themeColor="text1"/>
        </w:rPr>
        <w:t xml:space="preserve">Hoffmann R, </w:t>
      </w:r>
      <w:proofErr w:type="spellStart"/>
      <w:r w:rsidRPr="000E51C9">
        <w:rPr>
          <w:rFonts w:eastAsia="Times New Roman"/>
          <w:color w:val="000000" w:themeColor="text1"/>
        </w:rPr>
        <w:t>Schill</w:t>
      </w:r>
      <w:proofErr w:type="spellEnd"/>
      <w:r w:rsidRPr="000E51C9">
        <w:rPr>
          <w:rFonts w:eastAsia="Times New Roman"/>
          <w:color w:val="000000" w:themeColor="text1"/>
        </w:rPr>
        <w:t xml:space="preserve"> SW, Tams CJ (</w:t>
      </w:r>
      <w:proofErr w:type="spellStart"/>
      <w:r w:rsidRPr="000E51C9">
        <w:rPr>
          <w:rFonts w:eastAsia="Times New Roman"/>
          <w:color w:val="000000" w:themeColor="text1"/>
        </w:rPr>
        <w:t>eds</w:t>
      </w:r>
      <w:proofErr w:type="spellEnd"/>
      <w:r w:rsidRPr="000E51C9">
        <w:rPr>
          <w:rFonts w:eastAsia="Times New Roman"/>
          <w:color w:val="000000" w:themeColor="text1"/>
        </w:rPr>
        <w:t>)</w:t>
      </w:r>
      <w:r w:rsidRPr="000E51C9">
        <w:rPr>
          <w:color w:val="000000" w:themeColor="text1"/>
        </w:rPr>
        <w:t xml:space="preserve"> Preferential Trade and Investment Agreements: From Recalibration to Reintegration. Nomos, Baden-Baden, 37-69</w:t>
      </w:r>
    </w:p>
    <w:p w14:paraId="5B12C31E" w14:textId="6814AE6D" w:rsidR="003A5831" w:rsidRPr="000E51C9" w:rsidRDefault="003A5831" w:rsidP="00F6726A">
      <w:pPr>
        <w:spacing w:line="360" w:lineRule="auto"/>
        <w:ind w:left="284" w:hanging="288"/>
        <w:contextualSpacing/>
        <w:jc w:val="both"/>
        <w:rPr>
          <w:color w:val="000000" w:themeColor="text1"/>
        </w:rPr>
      </w:pPr>
      <w:proofErr w:type="spellStart"/>
      <w:r w:rsidRPr="000E51C9">
        <w:rPr>
          <w:color w:val="000000" w:themeColor="text1"/>
        </w:rPr>
        <w:t>Dolzer</w:t>
      </w:r>
      <w:proofErr w:type="spellEnd"/>
      <w:r w:rsidRPr="000E51C9">
        <w:rPr>
          <w:color w:val="000000" w:themeColor="text1"/>
        </w:rPr>
        <w:t xml:space="preserve"> R, </w:t>
      </w:r>
      <w:proofErr w:type="spellStart"/>
      <w:r w:rsidRPr="000E51C9">
        <w:rPr>
          <w:color w:val="000000" w:themeColor="text1"/>
        </w:rPr>
        <w:t>Schreuer</w:t>
      </w:r>
      <w:proofErr w:type="spellEnd"/>
      <w:r w:rsidRPr="000E51C9">
        <w:rPr>
          <w:color w:val="000000" w:themeColor="text1"/>
        </w:rPr>
        <w:t xml:space="preserve"> C (2012) Principles of International Investment Law. Oxford University Press, Oxford</w:t>
      </w:r>
    </w:p>
    <w:p w14:paraId="79D44EC1" w14:textId="7C747551" w:rsidR="003A5831" w:rsidRPr="000E51C9" w:rsidRDefault="003A5831" w:rsidP="00F6726A">
      <w:pPr>
        <w:spacing w:line="360" w:lineRule="auto"/>
        <w:ind w:left="284" w:hanging="288"/>
        <w:contextualSpacing/>
        <w:jc w:val="both"/>
        <w:rPr>
          <w:color w:val="000000" w:themeColor="text1"/>
        </w:rPr>
      </w:pPr>
      <w:proofErr w:type="spellStart"/>
      <w:r w:rsidRPr="000E51C9">
        <w:rPr>
          <w:color w:val="000000" w:themeColor="text1"/>
        </w:rPr>
        <w:t>Enia</w:t>
      </w:r>
      <w:proofErr w:type="spellEnd"/>
      <w:r w:rsidRPr="000E51C9">
        <w:rPr>
          <w:color w:val="000000" w:themeColor="text1"/>
        </w:rPr>
        <w:t xml:space="preserve"> JS (2009) Sequencing Negotiating Partners: Implications for the Two-Level Game. Negotiation Journal 25(3):357-383</w:t>
      </w:r>
    </w:p>
    <w:p w14:paraId="60DE41CA" w14:textId="2CFB92A2" w:rsidR="003A5831" w:rsidRPr="000E51C9" w:rsidRDefault="003A5831" w:rsidP="00F6726A">
      <w:pPr>
        <w:spacing w:line="360" w:lineRule="auto"/>
        <w:ind w:left="284" w:hanging="288"/>
        <w:contextualSpacing/>
        <w:jc w:val="both"/>
        <w:rPr>
          <w:color w:val="000000" w:themeColor="text1"/>
        </w:rPr>
      </w:pPr>
      <w:proofErr w:type="spellStart"/>
      <w:r w:rsidRPr="000E51C9">
        <w:rPr>
          <w:color w:val="000000" w:themeColor="text1"/>
        </w:rPr>
        <w:t>Fontanelli</w:t>
      </w:r>
      <w:proofErr w:type="spellEnd"/>
      <w:r w:rsidRPr="000E51C9">
        <w:rPr>
          <w:color w:val="000000" w:themeColor="text1"/>
        </w:rPr>
        <w:t xml:space="preserve"> F, Bianco G (2014) Converging towards NAFTA: An Analysis of FTA Investment Chapters in the European Union and the United States. Stanford Journal of International Law 50:211-245</w:t>
      </w:r>
    </w:p>
    <w:p w14:paraId="498ED001" w14:textId="4A3521C6"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Francis S (2010) Foreign Direct Investment Concepts: Implications for Negotiations. Economic and Political Weekly 45(2):31-36</w:t>
      </w:r>
    </w:p>
    <w:p w14:paraId="06CE863E" w14:textId="735D895C"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Fry JD, </w:t>
      </w:r>
      <w:proofErr w:type="spellStart"/>
      <w:r w:rsidRPr="000E51C9">
        <w:rPr>
          <w:color w:val="000000" w:themeColor="text1"/>
        </w:rPr>
        <w:t>Stampalija</w:t>
      </w:r>
      <w:proofErr w:type="spellEnd"/>
      <w:r w:rsidRPr="000E51C9">
        <w:rPr>
          <w:color w:val="000000" w:themeColor="text1"/>
        </w:rPr>
        <w:t xml:space="preserve"> JI (2012) Towards an Agreement on Investment in Mercosur: Conflict and Complementarity of International Investment Law and International Trade-in-Services Law. Journal of World Investment &amp; Trade 13:556-596</w:t>
      </w:r>
    </w:p>
    <w:p w14:paraId="3C009DC3" w14:textId="45FB10EE" w:rsidR="003A5831" w:rsidRPr="000E51C9" w:rsidRDefault="003A5831" w:rsidP="00F6726A">
      <w:pPr>
        <w:spacing w:line="360" w:lineRule="auto"/>
        <w:ind w:left="284" w:hanging="288"/>
        <w:contextualSpacing/>
        <w:jc w:val="both"/>
      </w:pPr>
      <w:proofErr w:type="spellStart"/>
      <w:r w:rsidRPr="000E51C9">
        <w:t>Gantz</w:t>
      </w:r>
      <w:proofErr w:type="spellEnd"/>
      <w:r w:rsidRPr="000E51C9">
        <w:t xml:space="preserve"> DA (2004) </w:t>
      </w:r>
      <w:proofErr w:type="gramStart"/>
      <w:r w:rsidRPr="000E51C9">
        <w:t>The</w:t>
      </w:r>
      <w:proofErr w:type="gramEnd"/>
      <w:r w:rsidRPr="000E51C9">
        <w:t xml:space="preserve"> Evolution of FTA Investment Provisions: From NAFTA to the United States-Chile Free Trade Agreement. American University International Law Review</w:t>
      </w:r>
      <w:r w:rsidRPr="000E51C9">
        <w:rPr>
          <w:i/>
        </w:rPr>
        <w:t xml:space="preserve"> </w:t>
      </w:r>
      <w:r w:rsidRPr="000E51C9">
        <w:t>19:679-767</w:t>
      </w:r>
    </w:p>
    <w:p w14:paraId="7EB1263E" w14:textId="4BC5434A" w:rsidR="003A5831" w:rsidRPr="000E51C9" w:rsidRDefault="003A5831" w:rsidP="00F6726A">
      <w:pPr>
        <w:spacing w:line="360" w:lineRule="auto"/>
        <w:ind w:left="284" w:hanging="288"/>
        <w:contextualSpacing/>
        <w:jc w:val="both"/>
        <w:rPr>
          <w:color w:val="000000" w:themeColor="text1"/>
        </w:rPr>
      </w:pPr>
      <w:proofErr w:type="gramStart"/>
      <w:r w:rsidRPr="000E51C9">
        <w:rPr>
          <w:color w:val="000000" w:themeColor="text1"/>
        </w:rPr>
        <w:t>Gao</w:t>
      </w:r>
      <w:proofErr w:type="gramEnd"/>
      <w:r w:rsidRPr="000E51C9">
        <w:rPr>
          <w:color w:val="000000" w:themeColor="text1"/>
        </w:rPr>
        <w:t xml:space="preserve"> H (2015) China-New Zealand Free Trade Agreement. In: Lester S, </w:t>
      </w:r>
      <w:proofErr w:type="spellStart"/>
      <w:r w:rsidRPr="000E51C9">
        <w:rPr>
          <w:color w:val="000000" w:themeColor="text1"/>
        </w:rPr>
        <w:t>Mercurio</w:t>
      </w:r>
      <w:proofErr w:type="spellEnd"/>
      <w:r w:rsidRPr="000E51C9">
        <w:rPr>
          <w:color w:val="000000" w:themeColor="text1"/>
        </w:rPr>
        <w:t xml:space="preserve"> B, Bartels L (</w:t>
      </w:r>
      <w:proofErr w:type="spellStart"/>
      <w:r w:rsidRPr="000E51C9">
        <w:rPr>
          <w:color w:val="000000" w:themeColor="text1"/>
        </w:rPr>
        <w:t>eds</w:t>
      </w:r>
      <w:proofErr w:type="spellEnd"/>
      <w:r w:rsidRPr="000E51C9">
        <w:rPr>
          <w:color w:val="000000" w:themeColor="text1"/>
        </w:rPr>
        <w:t xml:space="preserve">) Bilateral and Regional Trade Agreements, 2nd </w:t>
      </w:r>
      <w:proofErr w:type="spellStart"/>
      <w:r w:rsidRPr="000E51C9">
        <w:rPr>
          <w:color w:val="000000" w:themeColor="text1"/>
        </w:rPr>
        <w:t>edn</w:t>
      </w:r>
      <w:proofErr w:type="spellEnd"/>
      <w:r w:rsidRPr="000E51C9">
        <w:rPr>
          <w:color w:val="000000" w:themeColor="text1"/>
        </w:rPr>
        <w:t>.</w:t>
      </w:r>
      <w:r w:rsidRPr="000E51C9">
        <w:rPr>
          <w:i/>
          <w:color w:val="000000" w:themeColor="text1"/>
        </w:rPr>
        <w:t xml:space="preserve"> </w:t>
      </w:r>
      <w:r w:rsidRPr="000E51C9">
        <w:rPr>
          <w:color w:val="000000" w:themeColor="text1"/>
        </w:rPr>
        <w:t>Cambridge University Press, Cambridge, 77-96</w:t>
      </w:r>
    </w:p>
    <w:p w14:paraId="6D1501A5" w14:textId="69B35D00" w:rsidR="003A5831" w:rsidRPr="000E51C9" w:rsidRDefault="003A5831" w:rsidP="00F6726A">
      <w:pPr>
        <w:spacing w:line="360" w:lineRule="auto"/>
        <w:ind w:left="284" w:hanging="288"/>
        <w:contextualSpacing/>
        <w:jc w:val="both"/>
        <w:rPr>
          <w:color w:val="000000" w:themeColor="text1"/>
        </w:rPr>
      </w:pPr>
      <w:proofErr w:type="spellStart"/>
      <w:r w:rsidRPr="000E51C9">
        <w:rPr>
          <w:color w:val="000000" w:themeColor="text1"/>
        </w:rPr>
        <w:t>Gáspár-Szilágyi</w:t>
      </w:r>
      <w:proofErr w:type="spellEnd"/>
      <w:r w:rsidRPr="000E51C9">
        <w:rPr>
          <w:color w:val="000000" w:themeColor="text1"/>
        </w:rPr>
        <w:t xml:space="preserve"> S (2016) Binding Committee Interpretations in the EU’s New Free Trade and Investment Agreements. Under review by European Investment Law and Arbitration Review </w:t>
      </w:r>
    </w:p>
    <w:p w14:paraId="59ED1126" w14:textId="2103B127" w:rsidR="003A5831" w:rsidRPr="000E51C9" w:rsidRDefault="003A5831" w:rsidP="00F6726A">
      <w:pPr>
        <w:spacing w:line="360" w:lineRule="auto"/>
        <w:ind w:left="284" w:hanging="288"/>
        <w:contextualSpacing/>
        <w:jc w:val="both"/>
      </w:pPr>
      <w:r w:rsidRPr="000E51C9">
        <w:rPr>
          <w:color w:val="000000" w:themeColor="text1"/>
        </w:rPr>
        <w:t xml:space="preserve">Gómez KF, </w:t>
      </w:r>
      <w:proofErr w:type="spellStart"/>
      <w:r w:rsidRPr="000E51C9">
        <w:rPr>
          <w:color w:val="000000" w:themeColor="text1"/>
        </w:rPr>
        <w:t>Titi</w:t>
      </w:r>
      <w:proofErr w:type="spellEnd"/>
      <w:r w:rsidRPr="000E51C9">
        <w:rPr>
          <w:color w:val="000000" w:themeColor="text1"/>
        </w:rPr>
        <w:t xml:space="preserve"> C (2016) International Investment Law and ISDS: Mapping Contemporary Latin America. The Journal of World Investment &amp; Trade 17:515-535</w:t>
      </w:r>
    </w:p>
    <w:p w14:paraId="76B7C288" w14:textId="68DA23CC" w:rsidR="003A5831" w:rsidRPr="000E51C9" w:rsidRDefault="003A5831" w:rsidP="00F6726A">
      <w:pPr>
        <w:spacing w:line="360" w:lineRule="auto"/>
        <w:ind w:left="284" w:hanging="288"/>
        <w:contextualSpacing/>
        <w:jc w:val="both"/>
      </w:pPr>
      <w:r w:rsidRPr="000E51C9">
        <w:rPr>
          <w:color w:val="000000" w:themeColor="text1"/>
        </w:rPr>
        <w:lastRenderedPageBreak/>
        <w:t xml:space="preserve">He LL, </w:t>
      </w:r>
      <w:proofErr w:type="spellStart"/>
      <w:r w:rsidRPr="000E51C9">
        <w:rPr>
          <w:color w:val="000000" w:themeColor="text1"/>
        </w:rPr>
        <w:t>Sappideen</w:t>
      </w:r>
      <w:proofErr w:type="spellEnd"/>
      <w:r w:rsidRPr="000E51C9">
        <w:rPr>
          <w:color w:val="000000" w:themeColor="text1"/>
        </w:rPr>
        <w:t xml:space="preserve"> R (2013) Investor-State Arbitration under Bilateral Trade and Investment Agreements: Finding Rhythm in Inconsistent Drumbeats. Journal of World Trade 47(1):215-241</w:t>
      </w:r>
    </w:p>
    <w:p w14:paraId="02AED28C" w14:textId="62BD852D" w:rsidR="003A5831" w:rsidRPr="000E51C9" w:rsidRDefault="003A5831" w:rsidP="00F6726A">
      <w:pPr>
        <w:spacing w:line="360" w:lineRule="auto"/>
        <w:ind w:left="284" w:hanging="288"/>
        <w:contextualSpacing/>
        <w:jc w:val="both"/>
        <w:rPr>
          <w:color w:val="000000" w:themeColor="text1"/>
        </w:rPr>
      </w:pPr>
      <w:proofErr w:type="gramStart"/>
      <w:r w:rsidRPr="000E51C9">
        <w:rPr>
          <w:rFonts w:eastAsia="Times New Roman"/>
          <w:color w:val="000000" w:themeColor="text1"/>
        </w:rPr>
        <w:t xml:space="preserve">Hoffmann R, </w:t>
      </w:r>
      <w:proofErr w:type="spellStart"/>
      <w:r w:rsidRPr="000E51C9">
        <w:rPr>
          <w:rFonts w:eastAsia="Times New Roman"/>
          <w:color w:val="000000" w:themeColor="text1"/>
        </w:rPr>
        <w:t>Schill</w:t>
      </w:r>
      <w:proofErr w:type="spellEnd"/>
      <w:r w:rsidRPr="000E51C9">
        <w:rPr>
          <w:rFonts w:eastAsia="Times New Roman"/>
          <w:color w:val="000000" w:themeColor="text1"/>
        </w:rPr>
        <w:t xml:space="preserve"> SW, Tams CJ </w:t>
      </w:r>
      <w:r w:rsidRPr="000E51C9">
        <w:rPr>
          <w:color w:val="000000" w:themeColor="text1"/>
        </w:rPr>
        <w:t>(2013) Preferential Trade and Investment Agreements: From Recalibration to Reintegration.</w:t>
      </w:r>
      <w:proofErr w:type="gramEnd"/>
      <w:r w:rsidRPr="000E51C9">
        <w:rPr>
          <w:color w:val="000000" w:themeColor="text1"/>
        </w:rPr>
        <w:t xml:space="preserve"> In: </w:t>
      </w:r>
      <w:r w:rsidRPr="000E51C9">
        <w:rPr>
          <w:rFonts w:eastAsia="Times New Roman"/>
          <w:color w:val="000000" w:themeColor="text1"/>
        </w:rPr>
        <w:t xml:space="preserve">Hoffmann R, </w:t>
      </w:r>
      <w:proofErr w:type="spellStart"/>
      <w:r w:rsidRPr="000E51C9">
        <w:rPr>
          <w:rFonts w:eastAsia="Times New Roman"/>
          <w:color w:val="000000" w:themeColor="text1"/>
        </w:rPr>
        <w:t>Schill</w:t>
      </w:r>
      <w:proofErr w:type="spellEnd"/>
      <w:r w:rsidRPr="000E51C9">
        <w:rPr>
          <w:rFonts w:eastAsia="Times New Roman"/>
          <w:color w:val="000000" w:themeColor="text1"/>
        </w:rPr>
        <w:t xml:space="preserve"> SW, Tams CJ (</w:t>
      </w:r>
      <w:proofErr w:type="spellStart"/>
      <w:r w:rsidRPr="000E51C9">
        <w:rPr>
          <w:rFonts w:eastAsia="Times New Roman"/>
          <w:color w:val="000000" w:themeColor="text1"/>
        </w:rPr>
        <w:t>eds</w:t>
      </w:r>
      <w:proofErr w:type="spellEnd"/>
      <w:r w:rsidRPr="000E51C9">
        <w:rPr>
          <w:rFonts w:eastAsia="Times New Roman"/>
          <w:color w:val="000000" w:themeColor="text1"/>
        </w:rPr>
        <w:t xml:space="preserve">) </w:t>
      </w:r>
      <w:r w:rsidRPr="000E51C9">
        <w:rPr>
          <w:color w:val="000000" w:themeColor="text1"/>
        </w:rPr>
        <w:t>Preferential Trade and Investment Agreements: From Recalibration to Reintegration. Nomos, Baden-Baden, 9-23</w:t>
      </w:r>
    </w:p>
    <w:p w14:paraId="07CFF125" w14:textId="1BAAFCD2" w:rsidR="003A5831" w:rsidRPr="000E51C9" w:rsidRDefault="003A5831" w:rsidP="00F6726A">
      <w:pPr>
        <w:tabs>
          <w:tab w:val="left" w:pos="142"/>
        </w:tabs>
        <w:spacing w:line="360" w:lineRule="auto"/>
        <w:ind w:left="284" w:hanging="288"/>
        <w:contextualSpacing/>
        <w:jc w:val="both"/>
        <w:rPr>
          <w:color w:val="000000" w:themeColor="text1"/>
        </w:rPr>
      </w:pPr>
      <w:r w:rsidRPr="000E51C9">
        <w:rPr>
          <w:color w:val="000000" w:themeColor="text1"/>
        </w:rPr>
        <w:t xml:space="preserve">Horn H, </w:t>
      </w:r>
      <w:proofErr w:type="spellStart"/>
      <w:r w:rsidRPr="000E51C9">
        <w:rPr>
          <w:color w:val="000000" w:themeColor="text1"/>
        </w:rPr>
        <w:t>Mavroidis</w:t>
      </w:r>
      <w:proofErr w:type="spellEnd"/>
      <w:r w:rsidRPr="000E51C9">
        <w:rPr>
          <w:color w:val="000000" w:themeColor="text1"/>
        </w:rPr>
        <w:t xml:space="preserve"> PC, Sapir S (2010) Beyond the WTO? </w:t>
      </w:r>
      <w:proofErr w:type="gramStart"/>
      <w:r w:rsidRPr="000E51C9">
        <w:rPr>
          <w:color w:val="000000" w:themeColor="text1"/>
        </w:rPr>
        <w:t>An Anatomy of EU and US Preferential Trade Agreements.</w:t>
      </w:r>
      <w:proofErr w:type="gramEnd"/>
      <w:r w:rsidRPr="000E51C9">
        <w:rPr>
          <w:color w:val="000000" w:themeColor="text1"/>
        </w:rPr>
        <w:t xml:space="preserve"> The World Economy 33:1565-1588</w:t>
      </w:r>
    </w:p>
    <w:p w14:paraId="4F62D955" w14:textId="77777777" w:rsidR="003A5831" w:rsidRPr="000E51C9" w:rsidRDefault="003A5831" w:rsidP="00F6726A">
      <w:pPr>
        <w:tabs>
          <w:tab w:val="left" w:pos="142"/>
        </w:tabs>
        <w:spacing w:line="360" w:lineRule="auto"/>
        <w:ind w:left="284" w:hanging="288"/>
        <w:contextualSpacing/>
        <w:jc w:val="both"/>
        <w:rPr>
          <w:color w:val="000000" w:themeColor="text1"/>
        </w:rPr>
      </w:pPr>
      <w:r w:rsidRPr="000E51C9">
        <w:rPr>
          <w:color w:val="000000" w:themeColor="text1"/>
        </w:rPr>
        <w:t>Kantor M (2012) Little Has Changed in the New US Model Bilateral Investment Treaty. ICSID Review 27(2):335-378</w:t>
      </w:r>
    </w:p>
    <w:p w14:paraId="1E3867E4" w14:textId="09B1C63B"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Kaufmann-Kohler G (2011) Interpretive Powers of the Free Trade Commission and the Rule of Law. In: Gaillard E, </w:t>
      </w:r>
      <w:proofErr w:type="spellStart"/>
      <w:r w:rsidRPr="000E51C9">
        <w:rPr>
          <w:color w:val="000000" w:themeColor="text1"/>
        </w:rPr>
        <w:t>Bachard</w:t>
      </w:r>
      <w:proofErr w:type="spellEnd"/>
      <w:r w:rsidRPr="000E51C9">
        <w:rPr>
          <w:color w:val="000000" w:themeColor="text1"/>
        </w:rPr>
        <w:t xml:space="preserve"> F (</w:t>
      </w:r>
      <w:proofErr w:type="spellStart"/>
      <w:proofErr w:type="gramStart"/>
      <w:r w:rsidRPr="000E51C9">
        <w:rPr>
          <w:color w:val="000000" w:themeColor="text1"/>
        </w:rPr>
        <w:t>eds</w:t>
      </w:r>
      <w:proofErr w:type="spellEnd"/>
      <w:proofErr w:type="gramEnd"/>
      <w:r w:rsidRPr="000E51C9">
        <w:rPr>
          <w:color w:val="000000" w:themeColor="text1"/>
        </w:rPr>
        <w:t xml:space="preserve">) Fifteen Years of NAFTA Chapter 11 Arbitration. </w:t>
      </w:r>
      <w:proofErr w:type="spellStart"/>
      <w:r w:rsidRPr="000E51C9">
        <w:rPr>
          <w:color w:val="000000" w:themeColor="text1"/>
        </w:rPr>
        <w:t>JurisNet</w:t>
      </w:r>
      <w:proofErr w:type="spellEnd"/>
      <w:r w:rsidRPr="000E51C9">
        <w:rPr>
          <w:color w:val="000000" w:themeColor="text1"/>
        </w:rPr>
        <w:t>, Huntington, 175-194</w:t>
      </w:r>
    </w:p>
    <w:p w14:paraId="74F64E19" w14:textId="395B5EAA" w:rsidR="003A5831" w:rsidRPr="000E51C9" w:rsidRDefault="003A5831" w:rsidP="003A5831">
      <w:pPr>
        <w:spacing w:line="360" w:lineRule="auto"/>
        <w:ind w:left="284" w:hanging="288"/>
        <w:jc w:val="both"/>
        <w:rPr>
          <w:color w:val="000000" w:themeColor="text1"/>
        </w:rPr>
      </w:pPr>
      <w:proofErr w:type="spellStart"/>
      <w:r w:rsidRPr="000E51C9">
        <w:rPr>
          <w:color w:val="000000" w:themeColor="text1"/>
        </w:rPr>
        <w:t>Kotschwar</w:t>
      </w:r>
      <w:proofErr w:type="spellEnd"/>
      <w:r w:rsidRPr="000E51C9">
        <w:rPr>
          <w:color w:val="000000" w:themeColor="text1"/>
        </w:rPr>
        <w:t xml:space="preserve"> B (2009) Mapping Investment Provisions in Regional Trade Agreements: Towards an International Investment Regime? In: </w:t>
      </w:r>
      <w:proofErr w:type="spellStart"/>
      <w:r w:rsidRPr="000E51C9">
        <w:rPr>
          <w:color w:val="000000" w:themeColor="text1"/>
        </w:rPr>
        <w:t>Estevadeordal</w:t>
      </w:r>
      <w:proofErr w:type="spellEnd"/>
      <w:r w:rsidRPr="000E51C9">
        <w:rPr>
          <w:color w:val="000000" w:themeColor="text1"/>
        </w:rPr>
        <w:t xml:space="preserve"> A, </w:t>
      </w:r>
      <w:proofErr w:type="spellStart"/>
      <w:r w:rsidRPr="000E51C9">
        <w:rPr>
          <w:color w:val="000000" w:themeColor="text1"/>
        </w:rPr>
        <w:t>Suominen</w:t>
      </w:r>
      <w:proofErr w:type="spellEnd"/>
      <w:r w:rsidRPr="000E51C9">
        <w:rPr>
          <w:color w:val="000000" w:themeColor="text1"/>
        </w:rPr>
        <w:t xml:space="preserve"> K, </w:t>
      </w:r>
      <w:proofErr w:type="spellStart"/>
      <w:r w:rsidRPr="000E51C9">
        <w:rPr>
          <w:color w:val="000000" w:themeColor="text1"/>
        </w:rPr>
        <w:t>Teh</w:t>
      </w:r>
      <w:proofErr w:type="spellEnd"/>
      <w:r w:rsidRPr="000E51C9">
        <w:rPr>
          <w:color w:val="000000" w:themeColor="text1"/>
        </w:rPr>
        <w:t xml:space="preserve"> R (</w:t>
      </w:r>
      <w:proofErr w:type="spellStart"/>
      <w:proofErr w:type="gramStart"/>
      <w:r w:rsidRPr="000E51C9">
        <w:rPr>
          <w:color w:val="000000" w:themeColor="text1"/>
        </w:rPr>
        <w:t>eds</w:t>
      </w:r>
      <w:proofErr w:type="spellEnd"/>
      <w:proofErr w:type="gramEnd"/>
      <w:r w:rsidRPr="000E51C9">
        <w:rPr>
          <w:color w:val="000000" w:themeColor="text1"/>
        </w:rPr>
        <w:t>) Regional Rules in the Global Trading System. Cambridge University Press, Cambridge, 365-417</w:t>
      </w:r>
    </w:p>
    <w:p w14:paraId="281EFEBC" w14:textId="014B6991" w:rsidR="003A5831" w:rsidRPr="000E51C9" w:rsidRDefault="003A5831" w:rsidP="00F6726A">
      <w:pPr>
        <w:tabs>
          <w:tab w:val="left" w:pos="142"/>
        </w:tabs>
        <w:spacing w:line="360" w:lineRule="auto"/>
        <w:ind w:left="284" w:hanging="288"/>
        <w:contextualSpacing/>
        <w:jc w:val="both"/>
      </w:pPr>
      <w:r w:rsidRPr="000E51C9">
        <w:rPr>
          <w:color w:val="000000" w:themeColor="text1"/>
        </w:rPr>
        <w:t xml:space="preserve">Kurtz J, </w:t>
      </w:r>
      <w:proofErr w:type="spellStart"/>
      <w:r w:rsidRPr="000E51C9">
        <w:rPr>
          <w:color w:val="000000" w:themeColor="text1"/>
        </w:rPr>
        <w:t>Nottage</w:t>
      </w:r>
      <w:proofErr w:type="spellEnd"/>
      <w:r w:rsidRPr="000E51C9">
        <w:rPr>
          <w:color w:val="000000" w:themeColor="text1"/>
        </w:rPr>
        <w:t xml:space="preserve"> L (2015) Investment Treaty Arbitration ‘Down Under’: Policy and Politics in Australia. ICSID Review 30(2):465-480</w:t>
      </w:r>
    </w:p>
    <w:p w14:paraId="481F2A45" w14:textId="76F623A8" w:rsidR="003A5831" w:rsidRPr="000E51C9" w:rsidRDefault="003A5831" w:rsidP="00F6726A">
      <w:pPr>
        <w:tabs>
          <w:tab w:val="left" w:pos="142"/>
        </w:tabs>
        <w:spacing w:line="360" w:lineRule="auto"/>
        <w:ind w:left="284" w:hanging="288"/>
        <w:contextualSpacing/>
        <w:jc w:val="both"/>
        <w:rPr>
          <w:color w:val="000000" w:themeColor="text1"/>
        </w:rPr>
      </w:pPr>
      <w:proofErr w:type="spellStart"/>
      <w:r w:rsidRPr="000E51C9">
        <w:rPr>
          <w:color w:val="000000" w:themeColor="text1"/>
        </w:rPr>
        <w:t>Lanyi</w:t>
      </w:r>
      <w:proofErr w:type="spellEnd"/>
      <w:r w:rsidRPr="000E51C9">
        <w:rPr>
          <w:color w:val="000000" w:themeColor="text1"/>
        </w:rPr>
        <w:t xml:space="preserve"> PA, Steinbach A (2017) Promoting Coherence between PTAs and the WTO through Systemic Integration. </w:t>
      </w:r>
      <w:proofErr w:type="gramStart"/>
      <w:r w:rsidRPr="000E51C9">
        <w:rPr>
          <w:color w:val="000000" w:themeColor="text1"/>
        </w:rPr>
        <w:t>Journal of International Economic Law (forthcoming).</w:t>
      </w:r>
      <w:proofErr w:type="gramEnd"/>
      <w:r w:rsidRPr="000E51C9">
        <w:rPr>
          <w:color w:val="000000" w:themeColor="text1"/>
        </w:rPr>
        <w:t xml:space="preserve"> </w:t>
      </w:r>
      <w:r w:rsidRPr="000E51C9">
        <w:t>https://papers.ssrn.com/sol3/papers.cfm?abstract_id=2905375</w:t>
      </w:r>
      <w:r w:rsidRPr="000E51C9">
        <w:rPr>
          <w:color w:val="000000" w:themeColor="text1"/>
        </w:rPr>
        <w:t>. Accessed 13 March 2017</w:t>
      </w:r>
    </w:p>
    <w:p w14:paraId="6EA566D7" w14:textId="5F1F3EF1"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Lee Y (2015) </w:t>
      </w:r>
      <w:proofErr w:type="gramStart"/>
      <w:r w:rsidRPr="000E51C9">
        <w:rPr>
          <w:color w:val="000000" w:themeColor="text1"/>
        </w:rPr>
        <w:t>The</w:t>
      </w:r>
      <w:proofErr w:type="gramEnd"/>
      <w:r w:rsidRPr="000E51C9">
        <w:rPr>
          <w:color w:val="000000" w:themeColor="text1"/>
        </w:rPr>
        <w:t xml:space="preserve"> United States-Korea Free Trade Agreement. In: Lester S, </w:t>
      </w:r>
      <w:proofErr w:type="spellStart"/>
      <w:r w:rsidRPr="000E51C9">
        <w:rPr>
          <w:color w:val="000000" w:themeColor="text1"/>
        </w:rPr>
        <w:t>Mercurio</w:t>
      </w:r>
      <w:proofErr w:type="spellEnd"/>
      <w:r w:rsidRPr="000E51C9">
        <w:rPr>
          <w:color w:val="000000" w:themeColor="text1"/>
        </w:rPr>
        <w:t xml:space="preserve"> B, Bartels L (</w:t>
      </w:r>
      <w:proofErr w:type="spellStart"/>
      <w:r w:rsidRPr="000E51C9">
        <w:rPr>
          <w:color w:val="000000" w:themeColor="text1"/>
        </w:rPr>
        <w:t>eds</w:t>
      </w:r>
      <w:proofErr w:type="spellEnd"/>
      <w:r w:rsidRPr="000E51C9">
        <w:rPr>
          <w:color w:val="000000" w:themeColor="text1"/>
        </w:rPr>
        <w:t xml:space="preserve">) Bilateral and Regional Trade Agreements, 2nd </w:t>
      </w:r>
      <w:proofErr w:type="spellStart"/>
      <w:r w:rsidRPr="000E51C9">
        <w:rPr>
          <w:color w:val="000000" w:themeColor="text1"/>
        </w:rPr>
        <w:t>edn</w:t>
      </w:r>
      <w:proofErr w:type="spellEnd"/>
      <w:r w:rsidRPr="000E51C9">
        <w:rPr>
          <w:color w:val="000000" w:themeColor="text1"/>
        </w:rPr>
        <w:t>.</w:t>
      </w:r>
      <w:r w:rsidRPr="000E51C9">
        <w:rPr>
          <w:i/>
          <w:color w:val="000000" w:themeColor="text1"/>
        </w:rPr>
        <w:t xml:space="preserve"> </w:t>
      </w:r>
      <w:r w:rsidRPr="000E51C9">
        <w:rPr>
          <w:color w:val="000000" w:themeColor="text1"/>
        </w:rPr>
        <w:t>Cambridge University Press, Cambridge, 1-38</w:t>
      </w:r>
    </w:p>
    <w:p w14:paraId="5A6734C6" w14:textId="4CBE8628"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Lester S, </w:t>
      </w:r>
      <w:proofErr w:type="spellStart"/>
      <w:r w:rsidRPr="000E51C9">
        <w:rPr>
          <w:color w:val="000000" w:themeColor="text1"/>
        </w:rPr>
        <w:t>Mercurio</w:t>
      </w:r>
      <w:proofErr w:type="spellEnd"/>
      <w:r w:rsidRPr="000E51C9">
        <w:rPr>
          <w:color w:val="000000" w:themeColor="text1"/>
        </w:rPr>
        <w:t xml:space="preserve"> B, Bartels L (</w:t>
      </w:r>
      <w:proofErr w:type="spellStart"/>
      <w:proofErr w:type="gramStart"/>
      <w:r w:rsidRPr="000E51C9">
        <w:rPr>
          <w:color w:val="000000" w:themeColor="text1"/>
        </w:rPr>
        <w:t>eds</w:t>
      </w:r>
      <w:proofErr w:type="spellEnd"/>
      <w:proofErr w:type="gramEnd"/>
      <w:r w:rsidRPr="000E51C9">
        <w:rPr>
          <w:color w:val="000000" w:themeColor="text1"/>
        </w:rPr>
        <w:t>) (2015) Bilateral and Regional Trade Agreements, 2</w:t>
      </w:r>
      <w:r w:rsidRPr="000E51C9">
        <w:rPr>
          <w:color w:val="000000" w:themeColor="text1"/>
          <w:vertAlign w:val="superscript"/>
        </w:rPr>
        <w:t>nd</w:t>
      </w:r>
      <w:r w:rsidRPr="000E51C9">
        <w:rPr>
          <w:color w:val="000000" w:themeColor="text1"/>
        </w:rPr>
        <w:t xml:space="preserve"> </w:t>
      </w:r>
      <w:proofErr w:type="spellStart"/>
      <w:r w:rsidRPr="000E51C9">
        <w:rPr>
          <w:color w:val="000000" w:themeColor="text1"/>
        </w:rPr>
        <w:t>edn</w:t>
      </w:r>
      <w:proofErr w:type="spellEnd"/>
      <w:r w:rsidRPr="000E51C9">
        <w:rPr>
          <w:color w:val="000000" w:themeColor="text1"/>
        </w:rPr>
        <w:t xml:space="preserve">. </w:t>
      </w:r>
      <w:r w:rsidRPr="000E51C9">
        <w:rPr>
          <w:i/>
          <w:color w:val="000000" w:themeColor="text1"/>
        </w:rPr>
        <w:t xml:space="preserve"> </w:t>
      </w:r>
      <w:r w:rsidRPr="000E51C9">
        <w:rPr>
          <w:color w:val="000000" w:themeColor="text1"/>
        </w:rPr>
        <w:t>Cambridge University Press, Cambridge</w:t>
      </w:r>
    </w:p>
    <w:p w14:paraId="446074B5" w14:textId="33287647" w:rsidR="003A5831" w:rsidRPr="000E51C9" w:rsidRDefault="003A5831" w:rsidP="00F6726A">
      <w:pPr>
        <w:tabs>
          <w:tab w:val="left" w:pos="142"/>
        </w:tabs>
        <w:spacing w:line="360" w:lineRule="auto"/>
        <w:ind w:left="284" w:hanging="288"/>
        <w:contextualSpacing/>
        <w:jc w:val="both"/>
        <w:rPr>
          <w:color w:val="000000" w:themeColor="text1"/>
        </w:rPr>
      </w:pPr>
      <w:r w:rsidRPr="000E51C9">
        <w:t>Lévesque C (2006) Influences on the Canadian FIPA and the US Model BIT: NAFTA Chapter 11 and Beyond. Canadian Yearbook of International Law 44:249-298</w:t>
      </w:r>
    </w:p>
    <w:p w14:paraId="436A295B" w14:textId="02800EA4"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lastRenderedPageBreak/>
        <w:t xml:space="preserve">Lévesque C (2015) Chapter 10 - Inconsistency in Investor-State Awards and the Role of State Interpretations: The Example of the Mexican Sweetener Trio of Cases under NAFTA. In: </w:t>
      </w:r>
      <w:proofErr w:type="spellStart"/>
      <w:r w:rsidRPr="000E51C9">
        <w:rPr>
          <w:color w:val="000000" w:themeColor="text1"/>
        </w:rPr>
        <w:t>Bjorklund</w:t>
      </w:r>
      <w:proofErr w:type="spellEnd"/>
      <w:r w:rsidRPr="000E51C9">
        <w:rPr>
          <w:color w:val="000000" w:themeColor="text1"/>
        </w:rPr>
        <w:t xml:space="preserve"> AK (</w:t>
      </w:r>
      <w:proofErr w:type="spellStart"/>
      <w:proofErr w:type="gramStart"/>
      <w:r w:rsidRPr="000E51C9">
        <w:rPr>
          <w:color w:val="000000" w:themeColor="text1"/>
        </w:rPr>
        <w:t>ed</w:t>
      </w:r>
      <w:proofErr w:type="spellEnd"/>
      <w:proofErr w:type="gramEnd"/>
      <w:r w:rsidRPr="000E51C9">
        <w:rPr>
          <w:color w:val="000000" w:themeColor="text1"/>
        </w:rPr>
        <w:t>) Yearbook on International Investment Law and Policy 2013-2014. Oxford University Press, New York, 361-399</w:t>
      </w:r>
    </w:p>
    <w:p w14:paraId="5AC16D96" w14:textId="05BE5916"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Lewis MK (2015) </w:t>
      </w:r>
      <w:proofErr w:type="gramStart"/>
      <w:r w:rsidRPr="000E51C9">
        <w:rPr>
          <w:color w:val="000000" w:themeColor="text1"/>
        </w:rPr>
        <w:t>The</w:t>
      </w:r>
      <w:proofErr w:type="gramEnd"/>
      <w:r w:rsidRPr="000E51C9">
        <w:rPr>
          <w:color w:val="000000" w:themeColor="text1"/>
        </w:rPr>
        <w:t xml:space="preserve"> ASEAN-Australia-New Zealand FTA (AANZFTA). In: Lester S, </w:t>
      </w:r>
      <w:proofErr w:type="spellStart"/>
      <w:r w:rsidRPr="000E51C9">
        <w:rPr>
          <w:color w:val="000000" w:themeColor="text1"/>
        </w:rPr>
        <w:t>Mercurio</w:t>
      </w:r>
      <w:proofErr w:type="spellEnd"/>
      <w:r w:rsidRPr="000E51C9">
        <w:rPr>
          <w:color w:val="000000" w:themeColor="text1"/>
        </w:rPr>
        <w:t xml:space="preserve"> B, Bartels L (</w:t>
      </w:r>
      <w:proofErr w:type="spellStart"/>
      <w:r w:rsidRPr="000E51C9">
        <w:rPr>
          <w:color w:val="000000" w:themeColor="text1"/>
        </w:rPr>
        <w:t>eds</w:t>
      </w:r>
      <w:proofErr w:type="spellEnd"/>
      <w:r w:rsidRPr="000E51C9">
        <w:rPr>
          <w:color w:val="000000" w:themeColor="text1"/>
        </w:rPr>
        <w:t xml:space="preserve">) Bilateral and Regional Trade Agreements, 2nd </w:t>
      </w:r>
      <w:proofErr w:type="spellStart"/>
      <w:r w:rsidRPr="000E51C9">
        <w:rPr>
          <w:color w:val="000000" w:themeColor="text1"/>
        </w:rPr>
        <w:t>edn</w:t>
      </w:r>
      <w:proofErr w:type="spellEnd"/>
      <w:r w:rsidRPr="000E51C9">
        <w:rPr>
          <w:color w:val="000000" w:themeColor="text1"/>
        </w:rPr>
        <w:t>.</w:t>
      </w:r>
      <w:r w:rsidRPr="000E51C9">
        <w:rPr>
          <w:i/>
          <w:color w:val="000000" w:themeColor="text1"/>
        </w:rPr>
        <w:t xml:space="preserve"> </w:t>
      </w:r>
      <w:r w:rsidRPr="000E51C9">
        <w:rPr>
          <w:color w:val="000000" w:themeColor="text1"/>
        </w:rPr>
        <w:t>Cambridge University Press, Cambridge, 114-132</w:t>
      </w:r>
    </w:p>
    <w:p w14:paraId="4995F20D" w14:textId="726C5A9D"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Lim CL, Elms DK, Low P (</w:t>
      </w:r>
      <w:proofErr w:type="spellStart"/>
      <w:proofErr w:type="gramStart"/>
      <w:r w:rsidRPr="000E51C9">
        <w:rPr>
          <w:color w:val="000000" w:themeColor="text1"/>
        </w:rPr>
        <w:t>eds</w:t>
      </w:r>
      <w:proofErr w:type="spellEnd"/>
      <w:proofErr w:type="gramEnd"/>
      <w:r w:rsidRPr="000E51C9">
        <w:rPr>
          <w:color w:val="000000" w:themeColor="text1"/>
        </w:rPr>
        <w:t>) (2012) The Trans-Pacific Partnership: A Quest for a Twenty-first Century Trade Agreement. Cambridge University Press, Cambridge</w:t>
      </w:r>
    </w:p>
    <w:p w14:paraId="1873BF68" w14:textId="5AC7AC7E" w:rsidR="003A5831" w:rsidRPr="000E51C9" w:rsidRDefault="003A5831" w:rsidP="00F6726A">
      <w:pPr>
        <w:spacing w:line="360" w:lineRule="auto"/>
        <w:ind w:left="284" w:hanging="288"/>
        <w:contextualSpacing/>
        <w:jc w:val="both"/>
        <w:rPr>
          <w:color w:val="000000" w:themeColor="text1"/>
        </w:rPr>
      </w:pPr>
      <w:proofErr w:type="gramStart"/>
      <w:r w:rsidRPr="000E51C9">
        <w:rPr>
          <w:color w:val="000000" w:themeColor="text1"/>
        </w:rPr>
        <w:t>Maggi G (2016) Issue Linkage.</w:t>
      </w:r>
      <w:proofErr w:type="gramEnd"/>
      <w:r w:rsidRPr="000E51C9">
        <w:rPr>
          <w:color w:val="000000" w:themeColor="text1"/>
        </w:rPr>
        <w:t xml:space="preserve"> In: Bagwell K, </w:t>
      </w:r>
      <w:proofErr w:type="spellStart"/>
      <w:r w:rsidRPr="000E51C9">
        <w:rPr>
          <w:color w:val="000000" w:themeColor="text1"/>
        </w:rPr>
        <w:t>Staiger</w:t>
      </w:r>
      <w:proofErr w:type="spellEnd"/>
      <w:r w:rsidRPr="000E51C9">
        <w:rPr>
          <w:color w:val="000000" w:themeColor="text1"/>
        </w:rPr>
        <w:t xml:space="preserve"> RW (</w:t>
      </w:r>
      <w:proofErr w:type="spellStart"/>
      <w:proofErr w:type="gramStart"/>
      <w:r w:rsidRPr="000E51C9">
        <w:rPr>
          <w:color w:val="000000" w:themeColor="text1"/>
        </w:rPr>
        <w:t>eds</w:t>
      </w:r>
      <w:proofErr w:type="spellEnd"/>
      <w:proofErr w:type="gramEnd"/>
      <w:r w:rsidRPr="000E51C9">
        <w:rPr>
          <w:color w:val="000000" w:themeColor="text1"/>
        </w:rPr>
        <w:t>) The Handbook of Commercial Policy. Elsevier, North Holland, 513-564</w:t>
      </w:r>
    </w:p>
    <w:p w14:paraId="2B82B4BA" w14:textId="312F2833" w:rsidR="003A5831" w:rsidRPr="000E51C9" w:rsidRDefault="003A5831" w:rsidP="00F6726A">
      <w:pPr>
        <w:tabs>
          <w:tab w:val="left" w:pos="142"/>
        </w:tabs>
        <w:spacing w:line="360" w:lineRule="auto"/>
        <w:ind w:left="284" w:hanging="288"/>
        <w:contextualSpacing/>
        <w:jc w:val="both"/>
        <w:rPr>
          <w:color w:val="000000" w:themeColor="text1"/>
        </w:rPr>
      </w:pPr>
      <w:proofErr w:type="gramStart"/>
      <w:r w:rsidRPr="000E51C9">
        <w:rPr>
          <w:color w:val="000000" w:themeColor="text1"/>
        </w:rPr>
        <w:t>Mathis J (2012) Multilateral Aspects of Advanced Regulatory Cooperation: Considerations for a Canada-EU Comprehensive Trade Agreement (CETA).</w:t>
      </w:r>
      <w:proofErr w:type="gramEnd"/>
      <w:r w:rsidRPr="000E51C9">
        <w:rPr>
          <w:color w:val="000000" w:themeColor="text1"/>
        </w:rPr>
        <w:t xml:space="preserve"> Legal Issues of Economic Integration 39(1):73-91</w:t>
      </w:r>
    </w:p>
    <w:p w14:paraId="505C0309" w14:textId="3F84DBB7" w:rsidR="003A5831" w:rsidRPr="000E51C9" w:rsidRDefault="003A5831" w:rsidP="00F6726A">
      <w:pPr>
        <w:tabs>
          <w:tab w:val="left" w:pos="142"/>
        </w:tabs>
        <w:spacing w:line="360" w:lineRule="auto"/>
        <w:ind w:left="284" w:hanging="288"/>
        <w:contextualSpacing/>
        <w:jc w:val="both"/>
        <w:rPr>
          <w:color w:val="000000" w:themeColor="text1"/>
        </w:rPr>
      </w:pPr>
      <w:r w:rsidRPr="000E51C9">
        <w:rPr>
          <w:color w:val="000000" w:themeColor="text1"/>
        </w:rPr>
        <w:t xml:space="preserve">Mathis J, </w:t>
      </w:r>
      <w:proofErr w:type="spellStart"/>
      <w:r w:rsidRPr="000E51C9">
        <w:rPr>
          <w:color w:val="000000" w:themeColor="text1"/>
        </w:rPr>
        <w:t>Laurenza</w:t>
      </w:r>
      <w:proofErr w:type="spellEnd"/>
      <w:r w:rsidRPr="000E51C9">
        <w:rPr>
          <w:color w:val="000000" w:themeColor="text1"/>
        </w:rPr>
        <w:t xml:space="preserve"> E (2012) Services and Investment in the EU - South Korea Free-Trade Area: Implications of a New Approach for GATS V Agreements and for Bilateral Investment Treaties. The Journal of World Investment &amp; Trade 13:157-185</w:t>
      </w:r>
    </w:p>
    <w:p w14:paraId="74ED4456" w14:textId="4A629EA5" w:rsidR="003A5831" w:rsidRPr="000E51C9" w:rsidRDefault="003A5831" w:rsidP="00F6726A">
      <w:pPr>
        <w:spacing w:line="360" w:lineRule="auto"/>
        <w:ind w:left="284" w:hanging="288"/>
        <w:contextualSpacing/>
        <w:jc w:val="both"/>
        <w:rPr>
          <w:color w:val="000000" w:themeColor="text1"/>
        </w:rPr>
      </w:pPr>
      <w:proofErr w:type="spellStart"/>
      <w:proofErr w:type="gramStart"/>
      <w:r w:rsidRPr="000E51C9">
        <w:rPr>
          <w:color w:val="000000" w:themeColor="text1"/>
        </w:rPr>
        <w:t>Miroudot</w:t>
      </w:r>
      <w:proofErr w:type="spellEnd"/>
      <w:r w:rsidRPr="000E51C9">
        <w:rPr>
          <w:color w:val="000000" w:themeColor="text1"/>
        </w:rPr>
        <w:t xml:space="preserve"> S (2011) Investment.</w:t>
      </w:r>
      <w:proofErr w:type="gramEnd"/>
      <w:r w:rsidRPr="000E51C9">
        <w:rPr>
          <w:color w:val="000000" w:themeColor="text1"/>
        </w:rPr>
        <w:t xml:space="preserve"> In: </w:t>
      </w:r>
      <w:proofErr w:type="spellStart"/>
      <w:r w:rsidRPr="000E51C9">
        <w:rPr>
          <w:color w:val="000000" w:themeColor="text1"/>
        </w:rPr>
        <w:t>Maur</w:t>
      </w:r>
      <w:proofErr w:type="spellEnd"/>
      <w:r w:rsidRPr="000E51C9">
        <w:rPr>
          <w:color w:val="000000" w:themeColor="text1"/>
        </w:rPr>
        <w:t xml:space="preserve"> J, </w:t>
      </w:r>
      <w:proofErr w:type="spellStart"/>
      <w:r w:rsidRPr="000E51C9">
        <w:rPr>
          <w:color w:val="000000" w:themeColor="text1"/>
        </w:rPr>
        <w:t>Chauffour</w:t>
      </w:r>
      <w:proofErr w:type="spellEnd"/>
      <w:r w:rsidRPr="000E51C9">
        <w:rPr>
          <w:color w:val="000000" w:themeColor="text1"/>
        </w:rPr>
        <w:t xml:space="preserve"> J (</w:t>
      </w:r>
      <w:proofErr w:type="spellStart"/>
      <w:proofErr w:type="gramStart"/>
      <w:r w:rsidRPr="000E51C9">
        <w:rPr>
          <w:color w:val="000000" w:themeColor="text1"/>
        </w:rPr>
        <w:t>eds</w:t>
      </w:r>
      <w:proofErr w:type="spellEnd"/>
      <w:proofErr w:type="gramEnd"/>
      <w:r w:rsidRPr="000E51C9">
        <w:rPr>
          <w:color w:val="000000" w:themeColor="text1"/>
        </w:rPr>
        <w:t xml:space="preserve">) </w:t>
      </w:r>
      <w:r w:rsidRPr="000E51C9">
        <w:rPr>
          <w:iCs/>
          <w:color w:val="000000" w:themeColor="text1"/>
        </w:rPr>
        <w:t xml:space="preserve">Preferential Trade Agreement Policies for Development: A Handbook. </w:t>
      </w:r>
      <w:r w:rsidRPr="000E51C9">
        <w:rPr>
          <w:color w:val="000000" w:themeColor="text1"/>
        </w:rPr>
        <w:t>World Bank, Washington DC, 307-325</w:t>
      </w:r>
    </w:p>
    <w:p w14:paraId="4D638FCD" w14:textId="65C3D2EE" w:rsidR="003A5831" w:rsidRPr="000E51C9" w:rsidRDefault="003A5831" w:rsidP="00F6726A">
      <w:pPr>
        <w:spacing w:line="360" w:lineRule="auto"/>
        <w:ind w:left="284" w:hanging="288"/>
        <w:contextualSpacing/>
        <w:jc w:val="both"/>
        <w:rPr>
          <w:color w:val="000000" w:themeColor="text1"/>
        </w:rPr>
      </w:pPr>
      <w:proofErr w:type="spellStart"/>
      <w:r w:rsidRPr="000E51C9">
        <w:rPr>
          <w:color w:val="000000" w:themeColor="text1"/>
        </w:rPr>
        <w:t>Muchlinski</w:t>
      </w:r>
      <w:proofErr w:type="spellEnd"/>
      <w:r w:rsidRPr="000E51C9">
        <w:rPr>
          <w:color w:val="000000" w:themeColor="text1"/>
        </w:rPr>
        <w:t xml:space="preserve"> P (2013) </w:t>
      </w:r>
      <w:proofErr w:type="gramStart"/>
      <w:r w:rsidRPr="000E51C9">
        <w:rPr>
          <w:color w:val="000000" w:themeColor="text1"/>
        </w:rPr>
        <w:t>The</w:t>
      </w:r>
      <w:proofErr w:type="gramEnd"/>
      <w:r w:rsidRPr="000E51C9">
        <w:rPr>
          <w:color w:val="000000" w:themeColor="text1"/>
        </w:rPr>
        <w:t xml:space="preserve"> Role of Preferential Trade and Investment Agreements in International Investment Law: From Unforeseen Historical Developments to an Uncertain Future. In: </w:t>
      </w:r>
      <w:r w:rsidRPr="000E51C9">
        <w:rPr>
          <w:rFonts w:eastAsia="Times New Roman"/>
          <w:color w:val="000000" w:themeColor="text1"/>
        </w:rPr>
        <w:t xml:space="preserve">Hoffmann R, </w:t>
      </w:r>
      <w:proofErr w:type="spellStart"/>
      <w:r w:rsidRPr="000E51C9">
        <w:rPr>
          <w:rFonts w:eastAsia="Times New Roman"/>
          <w:color w:val="000000" w:themeColor="text1"/>
        </w:rPr>
        <w:t>Schill</w:t>
      </w:r>
      <w:proofErr w:type="spellEnd"/>
      <w:r w:rsidRPr="000E51C9">
        <w:rPr>
          <w:rFonts w:eastAsia="Times New Roman"/>
          <w:color w:val="000000" w:themeColor="text1"/>
        </w:rPr>
        <w:t xml:space="preserve"> SW, Tams CJ (</w:t>
      </w:r>
      <w:proofErr w:type="spellStart"/>
      <w:r w:rsidRPr="000E51C9">
        <w:rPr>
          <w:rFonts w:eastAsia="Times New Roman"/>
          <w:color w:val="000000" w:themeColor="text1"/>
        </w:rPr>
        <w:t>eds</w:t>
      </w:r>
      <w:proofErr w:type="spellEnd"/>
      <w:r w:rsidRPr="000E51C9">
        <w:rPr>
          <w:rFonts w:eastAsia="Times New Roman"/>
          <w:color w:val="000000" w:themeColor="text1"/>
        </w:rPr>
        <w:t xml:space="preserve">) </w:t>
      </w:r>
      <w:r w:rsidRPr="000E51C9">
        <w:rPr>
          <w:color w:val="000000" w:themeColor="text1"/>
        </w:rPr>
        <w:t>Preferential Trade and Investment Agreements: From Recalibration to Reintegration. Nomos, Baden-Baden, 211-227</w:t>
      </w:r>
    </w:p>
    <w:p w14:paraId="7F908F59" w14:textId="247FE634" w:rsidR="003A5831" w:rsidRPr="000E51C9" w:rsidRDefault="003A5831" w:rsidP="00F6726A">
      <w:pPr>
        <w:tabs>
          <w:tab w:val="left" w:pos="142"/>
        </w:tabs>
        <w:spacing w:line="360" w:lineRule="auto"/>
        <w:ind w:left="284" w:hanging="288"/>
        <w:contextualSpacing/>
        <w:jc w:val="both"/>
        <w:rPr>
          <w:color w:val="000000" w:themeColor="text1"/>
        </w:rPr>
      </w:pPr>
      <w:proofErr w:type="spellStart"/>
      <w:r w:rsidRPr="000E51C9">
        <w:rPr>
          <w:color w:val="000000" w:themeColor="text1"/>
        </w:rPr>
        <w:t>Nottage</w:t>
      </w:r>
      <w:proofErr w:type="spellEnd"/>
      <w:r w:rsidRPr="000E51C9">
        <w:rPr>
          <w:color w:val="000000" w:themeColor="text1"/>
        </w:rPr>
        <w:t xml:space="preserve"> L (2013) Throwing the Baby Out with the Bathwater: Australia’s New Policy on Treaty-Based Investor-State Arbitration and its Impact in Asia. Asian Studies Review</w:t>
      </w:r>
      <w:r w:rsidRPr="000E51C9">
        <w:rPr>
          <w:i/>
          <w:color w:val="000000" w:themeColor="text1"/>
        </w:rPr>
        <w:t xml:space="preserve"> </w:t>
      </w:r>
      <w:r w:rsidRPr="000E51C9">
        <w:rPr>
          <w:color w:val="000000" w:themeColor="text1"/>
        </w:rPr>
        <w:t>37(2):253-272</w:t>
      </w:r>
    </w:p>
    <w:p w14:paraId="67D84E67" w14:textId="2FAD5374" w:rsidR="003A5831" w:rsidRPr="000E51C9" w:rsidRDefault="003A5831" w:rsidP="00F6726A">
      <w:pPr>
        <w:tabs>
          <w:tab w:val="left" w:pos="142"/>
        </w:tabs>
        <w:spacing w:line="360" w:lineRule="auto"/>
        <w:ind w:left="284" w:hanging="288"/>
        <w:contextualSpacing/>
        <w:jc w:val="both"/>
        <w:rPr>
          <w:color w:val="000000" w:themeColor="text1"/>
        </w:rPr>
      </w:pPr>
      <w:proofErr w:type="spellStart"/>
      <w:r w:rsidRPr="000E51C9">
        <w:rPr>
          <w:color w:val="000000" w:themeColor="text1"/>
        </w:rPr>
        <w:t>Páez</w:t>
      </w:r>
      <w:proofErr w:type="spellEnd"/>
      <w:r w:rsidRPr="000E51C9">
        <w:rPr>
          <w:color w:val="000000" w:themeColor="text1"/>
        </w:rPr>
        <w:t xml:space="preserve"> L (2017) Bilateral Investment Treaties and Regional Investment Regulation in Africa: Towards a Continental Investment Area. </w:t>
      </w:r>
      <w:r w:rsidRPr="000E51C9">
        <w:rPr>
          <w:rFonts w:eastAsia="Times New Roman"/>
          <w:color w:val="000000" w:themeColor="text1"/>
        </w:rPr>
        <w:t xml:space="preserve">The Journal of World Investment &amp; Trade </w:t>
      </w:r>
      <w:r w:rsidRPr="000E51C9">
        <w:rPr>
          <w:color w:val="000000" w:themeColor="text1"/>
        </w:rPr>
        <w:t>18:379-413</w:t>
      </w:r>
    </w:p>
    <w:p w14:paraId="7044B608" w14:textId="27675BCA" w:rsidR="003A5831" w:rsidRPr="000E51C9" w:rsidRDefault="003A5831" w:rsidP="00F6726A">
      <w:pPr>
        <w:tabs>
          <w:tab w:val="left" w:pos="142"/>
        </w:tabs>
        <w:spacing w:line="360" w:lineRule="auto"/>
        <w:ind w:left="284" w:hanging="288"/>
        <w:contextualSpacing/>
        <w:jc w:val="both"/>
        <w:rPr>
          <w:color w:val="000000" w:themeColor="text1"/>
        </w:rPr>
      </w:pPr>
      <w:r w:rsidRPr="000E51C9">
        <w:rPr>
          <w:color w:val="000000" w:themeColor="text1"/>
        </w:rPr>
        <w:t>Pantaleo L (2014) Member States Prior Agreements and Newly Attributed Competence: What Lesson From Foreign Investment. European Foreign Affairs Review 19(2):307-324</w:t>
      </w:r>
    </w:p>
    <w:p w14:paraId="17085156" w14:textId="77777777"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lastRenderedPageBreak/>
        <w:t xml:space="preserve">Pantaleo L, </w:t>
      </w:r>
      <w:proofErr w:type="spellStart"/>
      <w:r w:rsidRPr="000E51C9">
        <w:rPr>
          <w:color w:val="000000" w:themeColor="text1"/>
        </w:rPr>
        <w:t>Douma</w:t>
      </w:r>
      <w:proofErr w:type="spellEnd"/>
      <w:r w:rsidRPr="000E51C9">
        <w:rPr>
          <w:color w:val="000000" w:themeColor="text1"/>
        </w:rPr>
        <w:t xml:space="preserve"> W, </w:t>
      </w:r>
      <w:proofErr w:type="spellStart"/>
      <w:r w:rsidRPr="000E51C9">
        <w:rPr>
          <w:color w:val="000000" w:themeColor="text1"/>
        </w:rPr>
        <w:t>Takács</w:t>
      </w:r>
      <w:proofErr w:type="spellEnd"/>
      <w:r w:rsidRPr="000E51C9">
        <w:rPr>
          <w:color w:val="000000" w:themeColor="text1"/>
        </w:rPr>
        <w:t xml:space="preserve"> T (2016) Tiptoeing to TTIP: What Kind of Agreement for What Kind of Partnership? </w:t>
      </w:r>
      <w:proofErr w:type="gramStart"/>
      <w:r w:rsidRPr="000E51C9">
        <w:rPr>
          <w:color w:val="000000" w:themeColor="text1"/>
        </w:rPr>
        <w:t>CLEER Working Papers 2016/1.</w:t>
      </w:r>
      <w:proofErr w:type="gramEnd"/>
      <w:r w:rsidRPr="000E51C9">
        <w:rPr>
          <w:color w:val="000000" w:themeColor="text1"/>
        </w:rPr>
        <w:t xml:space="preserve"> http://www.asser.nl/media/3005/cleer16-1_complete_web.pdf. Accessed 23 August 2017</w:t>
      </w:r>
    </w:p>
    <w:p w14:paraId="3525109B" w14:textId="43391545" w:rsidR="003A5831" w:rsidRPr="000E51C9" w:rsidRDefault="003A5831" w:rsidP="00F6726A">
      <w:pPr>
        <w:tabs>
          <w:tab w:val="left" w:pos="142"/>
        </w:tabs>
        <w:spacing w:line="360" w:lineRule="auto"/>
        <w:ind w:left="284" w:hanging="288"/>
        <w:contextualSpacing/>
        <w:jc w:val="both"/>
        <w:rPr>
          <w:color w:val="000000" w:themeColor="text1"/>
        </w:rPr>
      </w:pPr>
      <w:proofErr w:type="spellStart"/>
      <w:r w:rsidRPr="000E51C9">
        <w:rPr>
          <w:color w:val="000000" w:themeColor="text1"/>
        </w:rPr>
        <w:t>Pauwelyn</w:t>
      </w:r>
      <w:proofErr w:type="spellEnd"/>
      <w:r w:rsidRPr="000E51C9">
        <w:rPr>
          <w:color w:val="000000" w:themeColor="text1"/>
        </w:rPr>
        <w:t xml:space="preserve"> J (2015) </w:t>
      </w:r>
      <w:proofErr w:type="gramStart"/>
      <w:r w:rsidRPr="000E51C9">
        <w:rPr>
          <w:color w:val="000000" w:themeColor="text1"/>
        </w:rPr>
        <w:t>The</w:t>
      </w:r>
      <w:proofErr w:type="gramEnd"/>
      <w:r w:rsidRPr="000E51C9">
        <w:rPr>
          <w:color w:val="000000" w:themeColor="text1"/>
        </w:rPr>
        <w:t xml:space="preserve"> Rule of Law without the Rule of Lawyers? Why Investment Arbitrators Are from Mars, Trade Adjudicators from Venus. The American Journal of International Law 109(4):761-805</w:t>
      </w:r>
    </w:p>
    <w:p w14:paraId="69FAE545" w14:textId="7CC92F09" w:rsidR="003A5831" w:rsidRPr="000E51C9" w:rsidRDefault="003A5831" w:rsidP="00F6726A">
      <w:pPr>
        <w:tabs>
          <w:tab w:val="left" w:pos="142"/>
        </w:tabs>
        <w:spacing w:line="360" w:lineRule="auto"/>
        <w:ind w:left="284" w:hanging="288"/>
        <w:contextualSpacing/>
        <w:jc w:val="both"/>
        <w:rPr>
          <w:color w:val="000000" w:themeColor="text1"/>
        </w:rPr>
      </w:pPr>
      <w:r w:rsidRPr="000E51C9">
        <w:rPr>
          <w:color w:val="000000" w:themeColor="text1"/>
        </w:rPr>
        <w:t>Putnam RD (1988) Diplomacy and Domestic Politics: The Logic of Two-Level Games. International Organizations 42(3):427-460</w:t>
      </w:r>
    </w:p>
    <w:p w14:paraId="593A7589" w14:textId="4D1E5731" w:rsidR="003A5831" w:rsidRPr="000E51C9" w:rsidRDefault="003A5831" w:rsidP="00F6726A">
      <w:pPr>
        <w:tabs>
          <w:tab w:val="left" w:pos="142"/>
        </w:tabs>
        <w:spacing w:line="360" w:lineRule="auto"/>
        <w:ind w:left="284" w:hanging="288"/>
        <w:contextualSpacing/>
        <w:jc w:val="both"/>
        <w:rPr>
          <w:rFonts w:eastAsia="Times New Roman"/>
          <w:color w:val="000000" w:themeColor="text1"/>
        </w:rPr>
      </w:pPr>
      <w:proofErr w:type="spellStart"/>
      <w:r w:rsidRPr="000E51C9">
        <w:rPr>
          <w:rFonts w:eastAsia="Times New Roman"/>
          <w:color w:val="000000" w:themeColor="text1"/>
        </w:rPr>
        <w:t>Ranjan</w:t>
      </w:r>
      <w:proofErr w:type="spellEnd"/>
      <w:r w:rsidRPr="000E51C9">
        <w:rPr>
          <w:rFonts w:eastAsia="Times New Roman"/>
          <w:color w:val="000000" w:themeColor="text1"/>
        </w:rPr>
        <w:t xml:space="preserve"> P (2015) Comparing Investment Provisions in India’s FTAs with India’s Stand-Alone BITs: Contributing to the Evolution of New Indian BIT Practice. The Journal of World Investment &amp; Trade 16:899-930</w:t>
      </w:r>
    </w:p>
    <w:p w14:paraId="32BBF112" w14:textId="2003D46F"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Ruse-Khan HG, </w:t>
      </w:r>
      <w:proofErr w:type="spellStart"/>
      <w:r w:rsidRPr="000E51C9">
        <w:rPr>
          <w:color w:val="000000" w:themeColor="text1"/>
        </w:rPr>
        <w:t>Ononaiwu</w:t>
      </w:r>
      <w:proofErr w:type="spellEnd"/>
      <w:r w:rsidRPr="000E51C9">
        <w:rPr>
          <w:color w:val="000000" w:themeColor="text1"/>
        </w:rPr>
        <w:t xml:space="preserve"> C (2015) </w:t>
      </w:r>
      <w:proofErr w:type="gramStart"/>
      <w:r w:rsidRPr="000E51C9">
        <w:rPr>
          <w:color w:val="000000" w:themeColor="text1"/>
        </w:rPr>
        <w:t>The</w:t>
      </w:r>
      <w:proofErr w:type="gramEnd"/>
      <w:r w:rsidRPr="000E51C9">
        <w:rPr>
          <w:color w:val="000000" w:themeColor="text1"/>
        </w:rPr>
        <w:t xml:space="preserve"> CARIFORUM-EU Economic Partnership Agreement. In: Lester S, </w:t>
      </w:r>
      <w:proofErr w:type="spellStart"/>
      <w:r w:rsidRPr="000E51C9">
        <w:rPr>
          <w:color w:val="000000" w:themeColor="text1"/>
        </w:rPr>
        <w:t>Mercurio</w:t>
      </w:r>
      <w:proofErr w:type="spellEnd"/>
      <w:r w:rsidRPr="000E51C9">
        <w:rPr>
          <w:color w:val="000000" w:themeColor="text1"/>
        </w:rPr>
        <w:t xml:space="preserve"> B, Bartels L (</w:t>
      </w:r>
      <w:proofErr w:type="spellStart"/>
      <w:r w:rsidRPr="000E51C9">
        <w:rPr>
          <w:color w:val="000000" w:themeColor="text1"/>
        </w:rPr>
        <w:t>eds</w:t>
      </w:r>
      <w:proofErr w:type="spellEnd"/>
      <w:r w:rsidRPr="000E51C9">
        <w:rPr>
          <w:color w:val="000000" w:themeColor="text1"/>
        </w:rPr>
        <w:t xml:space="preserve">) Bilateral and Regional Trade Agreements, 2nd </w:t>
      </w:r>
      <w:proofErr w:type="spellStart"/>
      <w:r w:rsidRPr="000E51C9">
        <w:rPr>
          <w:color w:val="000000" w:themeColor="text1"/>
        </w:rPr>
        <w:t>edn</w:t>
      </w:r>
      <w:proofErr w:type="spellEnd"/>
      <w:r w:rsidRPr="000E51C9">
        <w:rPr>
          <w:color w:val="000000" w:themeColor="text1"/>
        </w:rPr>
        <w:t>.</w:t>
      </w:r>
      <w:r w:rsidRPr="000E51C9">
        <w:rPr>
          <w:i/>
          <w:color w:val="000000" w:themeColor="text1"/>
        </w:rPr>
        <w:t xml:space="preserve"> </w:t>
      </w:r>
      <w:r w:rsidRPr="000E51C9">
        <w:rPr>
          <w:color w:val="000000" w:themeColor="text1"/>
        </w:rPr>
        <w:t>Cambridge University Press, Cambridge, 133-160</w:t>
      </w:r>
    </w:p>
    <w:p w14:paraId="6F1C1362" w14:textId="204CEFE5" w:rsidR="003A5831" w:rsidRPr="000E51C9" w:rsidRDefault="003A5831" w:rsidP="00F6726A">
      <w:pPr>
        <w:spacing w:line="360" w:lineRule="auto"/>
        <w:ind w:left="284" w:hanging="288"/>
        <w:contextualSpacing/>
        <w:jc w:val="both"/>
        <w:rPr>
          <w:color w:val="000000" w:themeColor="text1"/>
        </w:rPr>
      </w:pPr>
      <w:proofErr w:type="spellStart"/>
      <w:proofErr w:type="gramStart"/>
      <w:r w:rsidRPr="000E51C9">
        <w:rPr>
          <w:color w:val="000000" w:themeColor="text1"/>
        </w:rPr>
        <w:t>Schermers</w:t>
      </w:r>
      <w:proofErr w:type="spellEnd"/>
      <w:r w:rsidRPr="000E51C9">
        <w:rPr>
          <w:color w:val="000000" w:themeColor="text1"/>
        </w:rPr>
        <w:t xml:space="preserve"> HG, </w:t>
      </w:r>
      <w:proofErr w:type="spellStart"/>
      <w:r w:rsidRPr="000E51C9">
        <w:rPr>
          <w:color w:val="000000" w:themeColor="text1"/>
        </w:rPr>
        <w:t>Blokker</w:t>
      </w:r>
      <w:proofErr w:type="spellEnd"/>
      <w:r w:rsidRPr="000E51C9">
        <w:rPr>
          <w:color w:val="000000" w:themeColor="text1"/>
        </w:rPr>
        <w:t xml:space="preserve"> NM (2011) International Institutional Law, 5th </w:t>
      </w:r>
      <w:proofErr w:type="spellStart"/>
      <w:r w:rsidRPr="000E51C9">
        <w:rPr>
          <w:color w:val="000000" w:themeColor="text1"/>
        </w:rPr>
        <w:t>edn</w:t>
      </w:r>
      <w:proofErr w:type="spellEnd"/>
      <w:r w:rsidRPr="000E51C9">
        <w:rPr>
          <w:color w:val="000000" w:themeColor="text1"/>
        </w:rPr>
        <w:t>.</w:t>
      </w:r>
      <w:proofErr w:type="gramEnd"/>
      <w:r w:rsidRPr="000E51C9">
        <w:rPr>
          <w:color w:val="000000" w:themeColor="text1"/>
        </w:rPr>
        <w:t xml:space="preserve"> </w:t>
      </w:r>
      <w:proofErr w:type="spellStart"/>
      <w:r w:rsidRPr="000E51C9">
        <w:rPr>
          <w:color w:val="000000" w:themeColor="text1"/>
        </w:rPr>
        <w:t>Martinus</w:t>
      </w:r>
      <w:proofErr w:type="spellEnd"/>
      <w:r w:rsidRPr="000E51C9">
        <w:rPr>
          <w:color w:val="000000" w:themeColor="text1"/>
        </w:rPr>
        <w:t xml:space="preserve"> </w:t>
      </w:r>
      <w:proofErr w:type="spellStart"/>
      <w:r w:rsidRPr="000E51C9">
        <w:rPr>
          <w:color w:val="000000" w:themeColor="text1"/>
        </w:rPr>
        <w:t>Nijhoff</w:t>
      </w:r>
      <w:proofErr w:type="spellEnd"/>
      <w:r w:rsidRPr="000E51C9">
        <w:rPr>
          <w:color w:val="000000" w:themeColor="text1"/>
        </w:rPr>
        <w:t>, Leiden/Boston</w:t>
      </w:r>
    </w:p>
    <w:p w14:paraId="23207A42" w14:textId="702C071A" w:rsidR="003A5831" w:rsidRPr="000E51C9" w:rsidRDefault="003A5831" w:rsidP="00F6726A">
      <w:pPr>
        <w:spacing w:line="360" w:lineRule="auto"/>
        <w:ind w:left="284" w:hanging="288"/>
        <w:contextualSpacing/>
        <w:jc w:val="both"/>
        <w:rPr>
          <w:color w:val="000000" w:themeColor="text1"/>
        </w:rPr>
      </w:pPr>
      <w:proofErr w:type="spellStart"/>
      <w:proofErr w:type="gramStart"/>
      <w:r w:rsidRPr="000E51C9">
        <w:rPr>
          <w:color w:val="000000" w:themeColor="text1"/>
        </w:rPr>
        <w:t>Schlütter</w:t>
      </w:r>
      <w:proofErr w:type="spellEnd"/>
      <w:r w:rsidRPr="000E51C9">
        <w:rPr>
          <w:color w:val="000000" w:themeColor="text1"/>
        </w:rPr>
        <w:t xml:space="preserve"> B (2012) Aspects of Human Rights Interpretation by the UN Treaty Bodies.</w:t>
      </w:r>
      <w:proofErr w:type="gramEnd"/>
      <w:r w:rsidRPr="000E51C9">
        <w:rPr>
          <w:color w:val="000000" w:themeColor="text1"/>
        </w:rPr>
        <w:t xml:space="preserve"> In: Keller H, </w:t>
      </w:r>
      <w:proofErr w:type="spellStart"/>
      <w:r w:rsidRPr="000E51C9">
        <w:rPr>
          <w:color w:val="000000" w:themeColor="text1"/>
        </w:rPr>
        <w:t>Ulfstein</w:t>
      </w:r>
      <w:proofErr w:type="spellEnd"/>
      <w:r w:rsidRPr="000E51C9">
        <w:rPr>
          <w:color w:val="000000" w:themeColor="text1"/>
        </w:rPr>
        <w:t xml:space="preserve"> G (</w:t>
      </w:r>
      <w:proofErr w:type="spellStart"/>
      <w:proofErr w:type="gramStart"/>
      <w:r w:rsidRPr="000E51C9">
        <w:rPr>
          <w:color w:val="000000" w:themeColor="text1"/>
        </w:rPr>
        <w:t>eds</w:t>
      </w:r>
      <w:proofErr w:type="spellEnd"/>
      <w:proofErr w:type="gramEnd"/>
      <w:r w:rsidRPr="000E51C9">
        <w:rPr>
          <w:color w:val="000000" w:themeColor="text1"/>
        </w:rPr>
        <w:t>) UN Human Rights Treaty Bodies: Law and Legitimacy. Cambridge University Press, Cambridge, 261-319</w:t>
      </w:r>
    </w:p>
    <w:p w14:paraId="2FFEFFEF" w14:textId="64195453" w:rsidR="003A5831" w:rsidRPr="000E51C9" w:rsidRDefault="003A5831" w:rsidP="00F6726A">
      <w:pPr>
        <w:spacing w:line="360" w:lineRule="auto"/>
        <w:ind w:left="284" w:hanging="288"/>
        <w:contextualSpacing/>
        <w:jc w:val="both"/>
        <w:rPr>
          <w:rFonts w:eastAsia="Times New Roman"/>
          <w:color w:val="000000" w:themeColor="text1"/>
        </w:rPr>
      </w:pPr>
      <w:proofErr w:type="spellStart"/>
      <w:r w:rsidRPr="000E51C9">
        <w:rPr>
          <w:rFonts w:eastAsia="Times New Roman"/>
          <w:color w:val="000000" w:themeColor="text1"/>
        </w:rPr>
        <w:t>Tevini</w:t>
      </w:r>
      <w:proofErr w:type="spellEnd"/>
      <w:r w:rsidRPr="000E51C9">
        <w:rPr>
          <w:rFonts w:eastAsia="Times New Roman"/>
          <w:color w:val="000000" w:themeColor="text1"/>
        </w:rPr>
        <w:t xml:space="preserve"> AG (2013) Regional Investment Protection and Liberalization within the Association of Southeast Asian Nations. In: Hoffmann R, </w:t>
      </w:r>
      <w:proofErr w:type="spellStart"/>
      <w:r w:rsidRPr="000E51C9">
        <w:rPr>
          <w:rFonts w:eastAsia="Times New Roman"/>
          <w:color w:val="000000" w:themeColor="text1"/>
        </w:rPr>
        <w:t>Schill</w:t>
      </w:r>
      <w:proofErr w:type="spellEnd"/>
      <w:r w:rsidRPr="000E51C9">
        <w:rPr>
          <w:rFonts w:eastAsia="Times New Roman"/>
          <w:color w:val="000000" w:themeColor="text1"/>
        </w:rPr>
        <w:t xml:space="preserve"> SW, Tams CJ (</w:t>
      </w:r>
      <w:proofErr w:type="spellStart"/>
      <w:r w:rsidRPr="000E51C9">
        <w:rPr>
          <w:rFonts w:eastAsia="Times New Roman"/>
          <w:color w:val="000000" w:themeColor="text1"/>
        </w:rPr>
        <w:t>eds</w:t>
      </w:r>
      <w:proofErr w:type="spellEnd"/>
      <w:r w:rsidRPr="000E51C9">
        <w:rPr>
          <w:rFonts w:eastAsia="Times New Roman"/>
          <w:color w:val="000000" w:themeColor="text1"/>
        </w:rPr>
        <w:t xml:space="preserve">) </w:t>
      </w:r>
      <w:r w:rsidRPr="000E51C9">
        <w:rPr>
          <w:color w:val="000000" w:themeColor="text1"/>
        </w:rPr>
        <w:t>Preferential Trade and Investment Agreements: From Recalibration to Reintegration. Nomos, Baden-Baden,</w:t>
      </w:r>
      <w:r w:rsidRPr="000E51C9">
        <w:rPr>
          <w:rFonts w:eastAsia="Times New Roman"/>
          <w:color w:val="000000" w:themeColor="text1"/>
        </w:rPr>
        <w:t xml:space="preserve"> 335-353</w:t>
      </w:r>
    </w:p>
    <w:p w14:paraId="64AD3203" w14:textId="3AC4D2F0" w:rsidR="003A5831" w:rsidRPr="000E51C9" w:rsidRDefault="003A5831" w:rsidP="00F6726A">
      <w:pPr>
        <w:tabs>
          <w:tab w:val="left" w:pos="142"/>
        </w:tabs>
        <w:spacing w:line="360" w:lineRule="auto"/>
        <w:ind w:left="284" w:hanging="288"/>
        <w:contextualSpacing/>
        <w:jc w:val="both"/>
        <w:rPr>
          <w:color w:val="000000" w:themeColor="text1"/>
        </w:rPr>
      </w:pPr>
      <w:proofErr w:type="spellStart"/>
      <w:r w:rsidRPr="000E51C9">
        <w:rPr>
          <w:color w:val="000000" w:themeColor="text1"/>
        </w:rPr>
        <w:t>Tollison</w:t>
      </w:r>
      <w:proofErr w:type="spellEnd"/>
      <w:r w:rsidRPr="000E51C9">
        <w:rPr>
          <w:color w:val="000000" w:themeColor="text1"/>
        </w:rPr>
        <w:t xml:space="preserve"> RD, Willet TD (1979) </w:t>
      </w:r>
      <w:proofErr w:type="gramStart"/>
      <w:r w:rsidRPr="000E51C9">
        <w:rPr>
          <w:color w:val="000000" w:themeColor="text1"/>
        </w:rPr>
        <w:t>An</w:t>
      </w:r>
      <w:proofErr w:type="gramEnd"/>
      <w:r w:rsidRPr="000E51C9">
        <w:rPr>
          <w:color w:val="000000" w:themeColor="text1"/>
        </w:rPr>
        <w:t xml:space="preserve"> Economic Theory of Mutually Advantageous Issue Linkages in International Negotiations. International Organization 33(4):425-449</w:t>
      </w:r>
    </w:p>
    <w:p w14:paraId="63649426" w14:textId="5B181C16" w:rsidR="003A5831" w:rsidRPr="000E51C9" w:rsidRDefault="003A5831" w:rsidP="00F6726A">
      <w:pPr>
        <w:spacing w:line="360" w:lineRule="auto"/>
        <w:ind w:left="284" w:hanging="288"/>
        <w:contextualSpacing/>
        <w:jc w:val="both"/>
        <w:rPr>
          <w:rFonts w:eastAsia="Times New Roman"/>
          <w:color w:val="000000" w:themeColor="text1"/>
        </w:rPr>
      </w:pPr>
      <w:proofErr w:type="spellStart"/>
      <w:proofErr w:type="gramStart"/>
      <w:r w:rsidRPr="000E51C9">
        <w:rPr>
          <w:rFonts w:eastAsia="Times New Roman"/>
          <w:color w:val="000000" w:themeColor="text1"/>
        </w:rPr>
        <w:t>Ulfstein</w:t>
      </w:r>
      <w:proofErr w:type="spellEnd"/>
      <w:r w:rsidRPr="000E51C9">
        <w:rPr>
          <w:rFonts w:eastAsia="Times New Roman"/>
          <w:color w:val="000000" w:themeColor="text1"/>
        </w:rPr>
        <w:t xml:space="preserve"> G (2012) Treaty Bodies and Regime.</w:t>
      </w:r>
      <w:proofErr w:type="gramEnd"/>
      <w:r w:rsidRPr="000E51C9">
        <w:rPr>
          <w:rFonts w:eastAsia="Times New Roman"/>
          <w:color w:val="000000" w:themeColor="text1"/>
        </w:rPr>
        <w:t xml:space="preserve"> In: Hollis DB (</w:t>
      </w:r>
      <w:proofErr w:type="spellStart"/>
      <w:proofErr w:type="gramStart"/>
      <w:r w:rsidRPr="000E51C9">
        <w:rPr>
          <w:rFonts w:eastAsia="Times New Roman"/>
          <w:color w:val="000000" w:themeColor="text1"/>
        </w:rPr>
        <w:t>ed</w:t>
      </w:r>
      <w:proofErr w:type="spellEnd"/>
      <w:proofErr w:type="gramEnd"/>
      <w:r w:rsidRPr="000E51C9">
        <w:rPr>
          <w:rFonts w:eastAsia="Times New Roman"/>
          <w:color w:val="000000" w:themeColor="text1"/>
        </w:rPr>
        <w:t xml:space="preserve">) The Oxford Guide to Treaties. </w:t>
      </w:r>
      <w:r w:rsidRPr="000E51C9">
        <w:rPr>
          <w:color w:val="000000" w:themeColor="text1"/>
        </w:rPr>
        <w:t>Oxford University Press, Oxford</w:t>
      </w:r>
      <w:r w:rsidRPr="000E51C9">
        <w:rPr>
          <w:rFonts w:eastAsia="Times New Roman"/>
          <w:color w:val="000000" w:themeColor="text1"/>
        </w:rPr>
        <w:t>, 428-447</w:t>
      </w:r>
    </w:p>
    <w:p w14:paraId="6C5AF519" w14:textId="77D670FA" w:rsidR="003A5831" w:rsidRPr="000E51C9" w:rsidRDefault="003A5831" w:rsidP="00F6726A">
      <w:pPr>
        <w:spacing w:line="360" w:lineRule="auto"/>
        <w:ind w:left="284" w:hanging="288"/>
        <w:contextualSpacing/>
        <w:jc w:val="both"/>
        <w:rPr>
          <w:color w:val="000000" w:themeColor="text1"/>
        </w:rPr>
      </w:pPr>
      <w:r w:rsidRPr="000E51C9">
        <w:rPr>
          <w:color w:val="000000" w:themeColor="text1"/>
        </w:rPr>
        <w:t xml:space="preserve">Van </w:t>
      </w:r>
      <w:proofErr w:type="spellStart"/>
      <w:r w:rsidRPr="000E51C9">
        <w:rPr>
          <w:color w:val="000000" w:themeColor="text1"/>
        </w:rPr>
        <w:t>Vooren</w:t>
      </w:r>
      <w:proofErr w:type="spellEnd"/>
      <w:r w:rsidRPr="000E51C9">
        <w:rPr>
          <w:color w:val="000000" w:themeColor="text1"/>
        </w:rPr>
        <w:t xml:space="preserve"> B, Wessel R (2014) EU External Relation Law. Cambridge University Press, </w:t>
      </w:r>
      <w:proofErr w:type="spellStart"/>
      <w:r w:rsidRPr="000E51C9">
        <w:rPr>
          <w:color w:val="000000" w:themeColor="text1"/>
        </w:rPr>
        <w:t>CambridgeVandevelde</w:t>
      </w:r>
      <w:proofErr w:type="spellEnd"/>
      <w:r w:rsidRPr="000E51C9">
        <w:rPr>
          <w:color w:val="000000" w:themeColor="text1"/>
        </w:rPr>
        <w:t xml:space="preserve"> KJ (1992) United States Investment Treaties: Policy and Practice. Kluwer, Deventer</w:t>
      </w:r>
    </w:p>
    <w:p w14:paraId="7879AD53" w14:textId="6EB10A3D" w:rsidR="003A5831" w:rsidRPr="000E51C9" w:rsidRDefault="003A5831" w:rsidP="00F6726A">
      <w:pPr>
        <w:tabs>
          <w:tab w:val="left" w:pos="142"/>
        </w:tabs>
        <w:spacing w:line="360" w:lineRule="auto"/>
        <w:ind w:left="284" w:hanging="288"/>
        <w:contextualSpacing/>
        <w:jc w:val="both"/>
        <w:rPr>
          <w:color w:val="000000" w:themeColor="text1"/>
        </w:rPr>
      </w:pPr>
      <w:proofErr w:type="spellStart"/>
      <w:proofErr w:type="gramStart"/>
      <w:r w:rsidRPr="000E51C9">
        <w:rPr>
          <w:color w:val="000000" w:themeColor="text1"/>
        </w:rPr>
        <w:lastRenderedPageBreak/>
        <w:t>Venzke</w:t>
      </w:r>
      <w:proofErr w:type="spellEnd"/>
      <w:r w:rsidRPr="000E51C9">
        <w:rPr>
          <w:color w:val="000000" w:themeColor="text1"/>
        </w:rPr>
        <w:t xml:space="preserve"> I (2016) Investor-State Dispute Settlement in TTIP from the Perspective of a Public Law Theory of International Adjudication.</w:t>
      </w:r>
      <w:proofErr w:type="gramEnd"/>
      <w:r w:rsidRPr="000E51C9">
        <w:rPr>
          <w:color w:val="000000" w:themeColor="text1"/>
        </w:rPr>
        <w:t xml:space="preserve"> </w:t>
      </w:r>
      <w:r w:rsidRPr="000E51C9">
        <w:rPr>
          <w:rFonts w:eastAsia="Times New Roman"/>
          <w:color w:val="000000" w:themeColor="text1"/>
        </w:rPr>
        <w:t>The Journal of World Investment &amp; Trade 17(3):</w:t>
      </w:r>
      <w:r w:rsidRPr="000E51C9">
        <w:rPr>
          <w:color w:val="000000" w:themeColor="text1"/>
        </w:rPr>
        <w:t>374-400</w:t>
      </w:r>
    </w:p>
    <w:p w14:paraId="6EFB430F" w14:textId="4DE3BAE9" w:rsidR="003A5831" w:rsidRPr="000E51C9" w:rsidRDefault="003A5831" w:rsidP="00F6726A">
      <w:pPr>
        <w:tabs>
          <w:tab w:val="left" w:pos="142"/>
        </w:tabs>
        <w:spacing w:line="360" w:lineRule="auto"/>
        <w:ind w:left="284" w:hanging="288"/>
        <w:contextualSpacing/>
        <w:jc w:val="both"/>
        <w:rPr>
          <w:color w:val="000000" w:themeColor="text1"/>
        </w:rPr>
      </w:pPr>
      <w:r w:rsidRPr="000E51C9">
        <w:rPr>
          <w:color w:val="000000" w:themeColor="text1"/>
        </w:rPr>
        <w:t>Wallace W (1976) Atlantic Relations: Policy, Co-ordination and Conflict: Issue Linkage among Atlantic Governments. International Affairs 52(2):163-179</w:t>
      </w:r>
    </w:p>
    <w:p w14:paraId="296658C9" w14:textId="34866E63" w:rsidR="003A5831" w:rsidRPr="000E51C9" w:rsidRDefault="003A5831" w:rsidP="003A5831">
      <w:pPr>
        <w:tabs>
          <w:tab w:val="left" w:pos="142"/>
        </w:tabs>
        <w:spacing w:line="360" w:lineRule="auto"/>
        <w:ind w:left="284" w:hanging="288"/>
        <w:contextualSpacing/>
        <w:jc w:val="both"/>
        <w:rPr>
          <w:color w:val="000000" w:themeColor="text1"/>
        </w:rPr>
      </w:pPr>
      <w:r w:rsidRPr="000E51C9">
        <w:rPr>
          <w:color w:val="000000" w:themeColor="text1"/>
        </w:rPr>
        <w:t>Wang G (2011) China’s FTAs: Legal Characteristics and Implications. American Journal of International Law 105:493-516</w:t>
      </w:r>
    </w:p>
    <w:p w14:paraId="1AC856B1" w14:textId="24459B77" w:rsidR="003A5831" w:rsidRPr="000E51C9" w:rsidRDefault="003A5831" w:rsidP="003A5831">
      <w:pPr>
        <w:tabs>
          <w:tab w:val="left" w:pos="142"/>
        </w:tabs>
        <w:spacing w:line="360" w:lineRule="auto"/>
        <w:ind w:left="284" w:hanging="288"/>
        <w:contextualSpacing/>
        <w:jc w:val="both"/>
        <w:rPr>
          <w:color w:val="000000" w:themeColor="text1"/>
        </w:rPr>
      </w:pPr>
      <w:proofErr w:type="gramStart"/>
      <w:r w:rsidRPr="000E51C9">
        <w:rPr>
          <w:color w:val="000000" w:themeColor="text1"/>
        </w:rPr>
        <w:t>Watson KW (2015) United States-Colombia Trade Promotion Agreement.</w:t>
      </w:r>
      <w:proofErr w:type="gramEnd"/>
      <w:r w:rsidRPr="000E51C9">
        <w:rPr>
          <w:color w:val="000000" w:themeColor="text1"/>
        </w:rPr>
        <w:t xml:space="preserve"> In: Lester S, </w:t>
      </w:r>
      <w:proofErr w:type="spellStart"/>
      <w:r w:rsidRPr="000E51C9">
        <w:rPr>
          <w:color w:val="000000" w:themeColor="text1"/>
        </w:rPr>
        <w:t>Mercurio</w:t>
      </w:r>
      <w:proofErr w:type="spellEnd"/>
      <w:r w:rsidRPr="000E51C9">
        <w:rPr>
          <w:color w:val="000000" w:themeColor="text1"/>
        </w:rPr>
        <w:t xml:space="preserve"> B, Bartels L (</w:t>
      </w:r>
      <w:proofErr w:type="spellStart"/>
      <w:r w:rsidRPr="000E51C9">
        <w:rPr>
          <w:color w:val="000000" w:themeColor="text1"/>
        </w:rPr>
        <w:t>eds</w:t>
      </w:r>
      <w:proofErr w:type="spellEnd"/>
      <w:r w:rsidRPr="000E51C9">
        <w:rPr>
          <w:color w:val="000000" w:themeColor="text1"/>
        </w:rPr>
        <w:t xml:space="preserve">) Bilateral and Regional Trade Agreements, 2nd </w:t>
      </w:r>
      <w:proofErr w:type="spellStart"/>
      <w:r w:rsidRPr="000E51C9">
        <w:rPr>
          <w:color w:val="000000" w:themeColor="text1"/>
        </w:rPr>
        <w:t>edn</w:t>
      </w:r>
      <w:proofErr w:type="spellEnd"/>
      <w:r w:rsidRPr="000E51C9">
        <w:rPr>
          <w:color w:val="000000" w:themeColor="text1"/>
        </w:rPr>
        <w:t xml:space="preserve">. </w:t>
      </w:r>
      <w:r w:rsidRPr="000E51C9">
        <w:rPr>
          <w:i/>
          <w:color w:val="000000" w:themeColor="text1"/>
        </w:rPr>
        <w:t xml:space="preserve"> </w:t>
      </w:r>
      <w:r w:rsidRPr="000E51C9">
        <w:rPr>
          <w:color w:val="000000" w:themeColor="text1"/>
        </w:rPr>
        <w:t>Cambridge University Press, Cambridge,</w:t>
      </w:r>
      <w:r w:rsidRPr="000E51C9" w:rsidDel="00F17D28">
        <w:rPr>
          <w:color w:val="000000" w:themeColor="text1"/>
        </w:rPr>
        <w:t xml:space="preserve"> </w:t>
      </w:r>
      <w:r w:rsidRPr="000E51C9">
        <w:rPr>
          <w:color w:val="000000" w:themeColor="text1"/>
        </w:rPr>
        <w:t>60-76</w:t>
      </w:r>
    </w:p>
    <w:p w14:paraId="078CAFBC" w14:textId="7EB92CA3" w:rsidR="003A5831" w:rsidRDefault="003A5831" w:rsidP="003A5831">
      <w:pPr>
        <w:ind w:left="270" w:hanging="270"/>
        <w:jc w:val="both"/>
        <w:rPr>
          <w:color w:val="000000" w:themeColor="text1"/>
        </w:rPr>
      </w:pPr>
      <w:r w:rsidRPr="000E51C9">
        <w:rPr>
          <w:color w:val="000000" w:themeColor="text1"/>
        </w:rPr>
        <w:t xml:space="preserve">Wells LT Jr, Tsuchiya C (2012) Japanese Multinationals in Foreign Disputes: Do They Behave Differently and Does It Matter for Host Countries? In: </w:t>
      </w:r>
      <w:proofErr w:type="spellStart"/>
      <w:r w:rsidRPr="000E51C9">
        <w:rPr>
          <w:color w:val="000000" w:themeColor="text1"/>
        </w:rPr>
        <w:t>Sauvant</w:t>
      </w:r>
      <w:proofErr w:type="spellEnd"/>
      <w:r w:rsidRPr="000E51C9">
        <w:rPr>
          <w:color w:val="000000" w:themeColor="text1"/>
        </w:rPr>
        <w:t xml:space="preserve"> KP (</w:t>
      </w:r>
      <w:proofErr w:type="spellStart"/>
      <w:proofErr w:type="gramStart"/>
      <w:r w:rsidRPr="000E51C9">
        <w:rPr>
          <w:color w:val="000000" w:themeColor="text1"/>
        </w:rPr>
        <w:t>ed</w:t>
      </w:r>
      <w:proofErr w:type="spellEnd"/>
      <w:proofErr w:type="gramEnd"/>
      <w:r w:rsidRPr="000E51C9">
        <w:rPr>
          <w:color w:val="000000" w:themeColor="text1"/>
        </w:rPr>
        <w:t>) The Yearbook on International Investment Law and Policy 2010/2011. Oxford University Press, New York, 715-739</w:t>
      </w:r>
    </w:p>
    <w:sectPr w:rsidR="003A5831" w:rsidSect="00CB0A9A">
      <w:footerReference w:type="default" r:id="rId9"/>
      <w:pgSz w:w="12240" w:h="15840"/>
      <w:pgMar w:top="1440" w:right="1440" w:bottom="1440" w:left="162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50F6D" w15:done="0"/>
  <w15:commentEx w15:paraId="20B4B9DB" w15:done="0"/>
  <w15:commentEx w15:paraId="55DDFE28" w15:done="0"/>
  <w15:commentEx w15:paraId="0EBD8E49" w15:done="0"/>
  <w15:commentEx w15:paraId="478E8F35" w15:done="0"/>
  <w15:commentEx w15:paraId="7829FC1E" w15:done="0"/>
  <w15:commentEx w15:paraId="49878A32" w15:done="0"/>
  <w15:commentEx w15:paraId="400147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DEB1" w14:textId="77777777" w:rsidR="005C3AA8" w:rsidRDefault="005C3AA8" w:rsidP="00AA1EE6">
      <w:r>
        <w:separator/>
      </w:r>
    </w:p>
  </w:endnote>
  <w:endnote w:type="continuationSeparator" w:id="0">
    <w:p w14:paraId="5DC78B33" w14:textId="77777777" w:rsidR="005C3AA8" w:rsidRDefault="005C3AA8" w:rsidP="00AA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de">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371832"/>
      <w:docPartObj>
        <w:docPartGallery w:val="Page Numbers (Bottom of Page)"/>
        <w:docPartUnique/>
      </w:docPartObj>
    </w:sdtPr>
    <w:sdtEndPr/>
    <w:sdtContent>
      <w:p w14:paraId="59987178" w14:textId="696B0537" w:rsidR="00F17D28" w:rsidRDefault="00F17D28">
        <w:pPr>
          <w:pStyle w:val="Fuzeile"/>
          <w:jc w:val="center"/>
        </w:pPr>
        <w:r>
          <w:fldChar w:fldCharType="begin"/>
        </w:r>
        <w:r>
          <w:instrText>PAGE   \* MERGEFORMAT</w:instrText>
        </w:r>
        <w:r>
          <w:fldChar w:fldCharType="separate"/>
        </w:r>
        <w:r w:rsidR="000E51C9" w:rsidRPr="000E51C9">
          <w:rPr>
            <w:noProof/>
            <w:lang w:val="nb-NO"/>
          </w:rPr>
          <w:t>36</w:t>
        </w:r>
        <w:r>
          <w:fldChar w:fldCharType="end"/>
        </w:r>
      </w:p>
    </w:sdtContent>
  </w:sdt>
  <w:p w14:paraId="15D72CF0" w14:textId="77777777" w:rsidR="00F17D28" w:rsidRDefault="00F17D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40286" w14:textId="77777777" w:rsidR="005C3AA8" w:rsidRDefault="005C3AA8" w:rsidP="00AA1EE6">
      <w:r>
        <w:separator/>
      </w:r>
    </w:p>
  </w:footnote>
  <w:footnote w:type="continuationSeparator" w:id="0">
    <w:p w14:paraId="1B40E4E7" w14:textId="77777777" w:rsidR="005C3AA8" w:rsidRDefault="005C3AA8" w:rsidP="00AA1EE6">
      <w:r>
        <w:continuationSeparator/>
      </w:r>
    </w:p>
  </w:footnote>
  <w:footnote w:id="1">
    <w:p w14:paraId="7DB9869A" w14:textId="07A169EE" w:rsidR="00F17D28" w:rsidRPr="000E51C9" w:rsidRDefault="00F17D28" w:rsidP="00F93D32">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lang w:val="en-GB"/>
        </w:rPr>
        <w:t>*</w:t>
      </w:r>
      <w:r w:rsidRPr="000E51C9">
        <w:rPr>
          <w:rFonts w:ascii="Times New Roman" w:hAnsi="Times New Roman" w:cs="Times New Roman"/>
          <w:lang w:val="en-GB"/>
        </w:rPr>
        <w:t xml:space="preserve"> </w:t>
      </w:r>
      <w:r w:rsidRPr="000E51C9">
        <w:rPr>
          <w:rFonts w:ascii="Times New Roman" w:hAnsi="Times New Roman" w:cs="Times New Roman"/>
          <w:color w:val="000000" w:themeColor="text1"/>
          <w:lang w:val="en-GB"/>
        </w:rPr>
        <w:t xml:space="preserve">This work was partly supported by the Research Council of Norway through its Centres of Excellence funding scheme, project number 223274, and the Danish Council for Independent Research. We would like to thank </w:t>
      </w:r>
      <w:proofErr w:type="spellStart"/>
      <w:r w:rsidRPr="000E51C9">
        <w:rPr>
          <w:rFonts w:ascii="Times New Roman" w:hAnsi="Times New Roman" w:cs="Times New Roman"/>
          <w:color w:val="000000" w:themeColor="text1"/>
          <w:lang w:val="en-GB"/>
        </w:rPr>
        <w:t>Geir</w:t>
      </w:r>
      <w:proofErr w:type="spellEnd"/>
      <w:r w:rsidRPr="000E51C9">
        <w:rPr>
          <w:rFonts w:ascii="Times New Roman" w:hAnsi="Times New Roman" w:cs="Times New Roman"/>
          <w:color w:val="000000" w:themeColor="text1"/>
          <w:lang w:val="en-GB"/>
        </w:rPr>
        <w:t xml:space="preserve"> </w:t>
      </w:r>
      <w:proofErr w:type="spellStart"/>
      <w:r w:rsidRPr="000E51C9">
        <w:rPr>
          <w:rFonts w:ascii="Times New Roman" w:hAnsi="Times New Roman" w:cs="Times New Roman"/>
          <w:color w:val="000000" w:themeColor="text1"/>
          <w:lang w:val="en-GB"/>
        </w:rPr>
        <w:t>Ulfstein</w:t>
      </w:r>
      <w:proofErr w:type="spellEnd"/>
      <w:r w:rsidRPr="000E51C9">
        <w:rPr>
          <w:rFonts w:ascii="Times New Roman" w:hAnsi="Times New Roman" w:cs="Times New Roman"/>
          <w:color w:val="000000" w:themeColor="text1"/>
          <w:lang w:val="en-GB"/>
        </w:rPr>
        <w:t xml:space="preserve">, Andreas </w:t>
      </w:r>
      <w:proofErr w:type="spellStart"/>
      <w:r w:rsidRPr="000E51C9">
        <w:rPr>
          <w:rFonts w:ascii="Times New Roman" w:hAnsi="Times New Roman" w:cs="Times New Roman"/>
          <w:color w:val="000000" w:themeColor="text1"/>
          <w:lang w:val="en-GB"/>
        </w:rPr>
        <w:t>Føllesdal</w:t>
      </w:r>
      <w:proofErr w:type="spellEnd"/>
      <w:r w:rsidRPr="000E51C9">
        <w:rPr>
          <w:rFonts w:ascii="Times New Roman" w:hAnsi="Times New Roman" w:cs="Times New Roman"/>
          <w:color w:val="000000" w:themeColor="text1"/>
          <w:lang w:val="en-GB"/>
        </w:rPr>
        <w:t xml:space="preserve">, Ole Kristian </w:t>
      </w:r>
      <w:proofErr w:type="spellStart"/>
      <w:r w:rsidRPr="000E51C9">
        <w:rPr>
          <w:rFonts w:ascii="Times New Roman" w:hAnsi="Times New Roman" w:cs="Times New Roman"/>
          <w:color w:val="000000" w:themeColor="text1"/>
          <w:lang w:val="en-GB"/>
        </w:rPr>
        <w:t>Fauchald</w:t>
      </w:r>
      <w:proofErr w:type="spellEnd"/>
      <w:r w:rsidRPr="000E51C9">
        <w:rPr>
          <w:rFonts w:ascii="Times New Roman" w:hAnsi="Times New Roman" w:cs="Times New Roman"/>
          <w:color w:val="000000" w:themeColor="text1"/>
          <w:lang w:val="en-GB"/>
        </w:rPr>
        <w:t xml:space="preserve">, Daniel </w:t>
      </w:r>
      <w:proofErr w:type="spellStart"/>
      <w:r w:rsidRPr="000E51C9">
        <w:rPr>
          <w:rFonts w:ascii="Times New Roman" w:hAnsi="Times New Roman" w:cs="Times New Roman"/>
          <w:color w:val="000000" w:themeColor="text1"/>
          <w:lang w:val="en-GB"/>
        </w:rPr>
        <w:t>Behn</w:t>
      </w:r>
      <w:proofErr w:type="spellEnd"/>
      <w:r w:rsidRPr="000E51C9">
        <w:rPr>
          <w:rFonts w:ascii="Times New Roman" w:hAnsi="Times New Roman" w:cs="Times New Roman"/>
          <w:color w:val="000000" w:themeColor="text1"/>
          <w:lang w:val="en-GB"/>
        </w:rPr>
        <w:t xml:space="preserve">, Taylor St John, Theresa </w:t>
      </w:r>
      <w:proofErr w:type="spellStart"/>
      <w:r w:rsidRPr="000E51C9">
        <w:rPr>
          <w:rFonts w:ascii="Times New Roman" w:hAnsi="Times New Roman" w:cs="Times New Roman"/>
          <w:color w:val="000000" w:themeColor="text1"/>
          <w:lang w:val="en-GB"/>
        </w:rPr>
        <w:t>Squatrito</w:t>
      </w:r>
      <w:proofErr w:type="spellEnd"/>
      <w:r w:rsidRPr="000E51C9">
        <w:rPr>
          <w:rFonts w:ascii="Times New Roman" w:hAnsi="Times New Roman" w:cs="Times New Roman"/>
          <w:color w:val="000000" w:themeColor="text1"/>
          <w:lang w:val="en-GB"/>
        </w:rPr>
        <w:t>, and the reviewers of the NYIL for their useful comments.</w:t>
      </w:r>
    </w:p>
    <w:p w14:paraId="78203BC2" w14:textId="77777777" w:rsidR="00F17D28" w:rsidRPr="000E51C9" w:rsidRDefault="00F17D28" w:rsidP="0018590E">
      <w:pPr>
        <w:pStyle w:val="Funotentext"/>
        <w:spacing w:line="240" w:lineRule="auto"/>
        <w:jc w:val="both"/>
        <w:rPr>
          <w:rFonts w:ascii="Times New Roman" w:hAnsi="Times New Roman" w:cs="Times New Roman"/>
          <w:color w:val="000000" w:themeColor="text1"/>
          <w:lang w:val="en-GB"/>
        </w:rPr>
      </w:pPr>
    </w:p>
    <w:p w14:paraId="56698B07" w14:textId="4201A07D" w:rsidR="00F17D28" w:rsidRPr="000E51C9" w:rsidRDefault="00F17D28">
      <w:pPr>
        <w:pStyle w:val="Funotentext"/>
        <w:spacing w:line="240" w:lineRule="auto"/>
        <w:jc w:val="both"/>
        <w:rPr>
          <w:rFonts w:ascii="Times New Roman" w:hAnsi="Times New Roman" w:cs="Times New Roman"/>
          <w:color w:val="000000" w:themeColor="text1"/>
          <w:lang w:val="en-GB"/>
        </w:rPr>
      </w:pPr>
      <w:r w:rsidRPr="000E51C9">
        <w:rPr>
          <w:rFonts w:ascii="Times New Roman" w:hAnsi="Times New Roman" w:cs="Times New Roman"/>
          <w:color w:val="000000" w:themeColor="text1"/>
          <w:lang w:val="en-GB"/>
        </w:rPr>
        <w:t xml:space="preserve">M. </w:t>
      </w:r>
      <w:proofErr w:type="spellStart"/>
      <w:r w:rsidRPr="000E51C9">
        <w:rPr>
          <w:rFonts w:ascii="Times New Roman" w:hAnsi="Times New Roman" w:cs="Times New Roman"/>
          <w:color w:val="000000" w:themeColor="text1"/>
          <w:lang w:val="en-GB"/>
        </w:rPr>
        <w:t>Usynin</w:t>
      </w:r>
      <w:proofErr w:type="spellEnd"/>
    </w:p>
    <w:p w14:paraId="048A2031" w14:textId="6A6C0735" w:rsidR="00F17D28" w:rsidRPr="000E51C9" w:rsidRDefault="00F17D28">
      <w:pPr>
        <w:pStyle w:val="Funotentext"/>
        <w:spacing w:line="240" w:lineRule="auto"/>
        <w:jc w:val="both"/>
        <w:rPr>
          <w:rFonts w:ascii="Times New Roman" w:hAnsi="Times New Roman" w:cs="Times New Roman"/>
          <w:color w:val="000000" w:themeColor="text1"/>
          <w:lang w:val="en-GB"/>
        </w:rPr>
      </w:pPr>
      <w:r w:rsidRPr="000E51C9">
        <w:rPr>
          <w:rFonts w:ascii="Times New Roman" w:hAnsi="Times New Roman" w:cs="Times New Roman"/>
          <w:color w:val="000000" w:themeColor="text1"/>
          <w:lang w:val="en-GB"/>
        </w:rPr>
        <w:t>Centre for Enterprise Liability (CEVIA), University of Copenhagen, Copenhagen, Denmark</w:t>
      </w:r>
    </w:p>
    <w:p w14:paraId="29818F87" w14:textId="4E7087FE" w:rsidR="00F17D28" w:rsidRPr="000E51C9" w:rsidRDefault="00F17D28">
      <w:pPr>
        <w:pStyle w:val="Funotentext"/>
        <w:spacing w:line="240" w:lineRule="auto"/>
        <w:jc w:val="both"/>
        <w:rPr>
          <w:rFonts w:ascii="Times New Roman" w:hAnsi="Times New Roman" w:cs="Times New Roman"/>
          <w:color w:val="000000" w:themeColor="text1"/>
          <w:lang w:val="it-IT"/>
        </w:rPr>
      </w:pPr>
      <w:proofErr w:type="gramStart"/>
      <w:r w:rsidRPr="000E51C9">
        <w:rPr>
          <w:rFonts w:ascii="Times New Roman" w:hAnsi="Times New Roman" w:cs="Times New Roman"/>
          <w:color w:val="000000" w:themeColor="text1"/>
          <w:lang w:val="it-IT"/>
        </w:rPr>
        <w:t>e-mail</w:t>
      </w:r>
      <w:proofErr w:type="gramEnd"/>
      <w:r w:rsidRPr="000E51C9">
        <w:rPr>
          <w:rFonts w:ascii="Times New Roman" w:hAnsi="Times New Roman" w:cs="Times New Roman"/>
          <w:color w:val="000000" w:themeColor="text1"/>
          <w:lang w:val="it-IT"/>
        </w:rPr>
        <w:t>: maksim.usynin@jur.ku.dk</w:t>
      </w:r>
    </w:p>
    <w:p w14:paraId="4D5D5BF0" w14:textId="77777777" w:rsidR="00F17D28" w:rsidRPr="000E51C9" w:rsidRDefault="00F17D28">
      <w:pPr>
        <w:pStyle w:val="Funotentext"/>
        <w:spacing w:line="240" w:lineRule="auto"/>
        <w:jc w:val="both"/>
        <w:rPr>
          <w:rFonts w:ascii="Times New Roman" w:hAnsi="Times New Roman" w:cs="Times New Roman"/>
          <w:color w:val="000000" w:themeColor="text1"/>
          <w:lang w:val="it-IT"/>
        </w:rPr>
      </w:pPr>
    </w:p>
    <w:p w14:paraId="08344424" w14:textId="31C307C0" w:rsidR="00F17D28" w:rsidRPr="000E51C9" w:rsidRDefault="00F17D28">
      <w:pPr>
        <w:pStyle w:val="Funotentext"/>
        <w:spacing w:line="240" w:lineRule="auto"/>
        <w:jc w:val="both"/>
        <w:rPr>
          <w:rFonts w:ascii="Times New Roman" w:hAnsi="Times New Roman" w:cs="Times New Roman"/>
          <w:color w:val="000000" w:themeColor="text1"/>
          <w:lang w:val="en-GB"/>
        </w:rPr>
      </w:pPr>
      <w:r w:rsidRPr="000E51C9">
        <w:rPr>
          <w:rFonts w:ascii="Times New Roman" w:hAnsi="Times New Roman" w:cs="Times New Roman"/>
          <w:color w:val="000000" w:themeColor="text1"/>
          <w:lang w:val="en-GB"/>
        </w:rPr>
        <w:t xml:space="preserve">S. </w:t>
      </w:r>
      <w:proofErr w:type="spellStart"/>
      <w:r w:rsidRPr="000E51C9">
        <w:rPr>
          <w:rFonts w:ascii="Times New Roman" w:hAnsi="Times New Roman" w:cs="Times New Roman"/>
          <w:color w:val="000000" w:themeColor="text1"/>
          <w:lang w:val="en-GB"/>
        </w:rPr>
        <w:t>Gáspár-Szilágyi</w:t>
      </w:r>
      <w:proofErr w:type="spellEnd"/>
    </w:p>
    <w:p w14:paraId="220D2B6A" w14:textId="414C053B" w:rsidR="00F17D28" w:rsidRPr="000E51C9" w:rsidRDefault="00F17D28">
      <w:pPr>
        <w:pStyle w:val="Funotentext"/>
        <w:spacing w:line="240" w:lineRule="auto"/>
        <w:jc w:val="both"/>
        <w:rPr>
          <w:rFonts w:ascii="Times New Roman" w:hAnsi="Times New Roman" w:cs="Times New Roman"/>
          <w:color w:val="000000" w:themeColor="text1"/>
          <w:lang w:val="en-GB"/>
        </w:rPr>
      </w:pPr>
      <w:proofErr w:type="spellStart"/>
      <w:r w:rsidRPr="000E51C9">
        <w:rPr>
          <w:rFonts w:ascii="Times New Roman" w:hAnsi="Times New Roman" w:cs="Times New Roman"/>
          <w:color w:val="000000" w:themeColor="text1"/>
          <w:lang w:val="en-GB"/>
        </w:rPr>
        <w:t>PluriCourts</w:t>
      </w:r>
      <w:proofErr w:type="spellEnd"/>
      <w:r w:rsidRPr="000E51C9">
        <w:rPr>
          <w:rFonts w:ascii="Times New Roman" w:hAnsi="Times New Roman" w:cs="Times New Roman"/>
          <w:color w:val="000000" w:themeColor="text1"/>
          <w:lang w:val="en-GB"/>
        </w:rPr>
        <w:t xml:space="preserve"> Centre of Excellence, University of Oslo, Oslo, Norway</w:t>
      </w:r>
    </w:p>
    <w:p w14:paraId="6E47531A" w14:textId="17BED53E" w:rsidR="00F17D28" w:rsidRPr="000E51C9" w:rsidRDefault="00F17D28">
      <w:pPr>
        <w:pStyle w:val="Funotentext"/>
        <w:spacing w:line="240" w:lineRule="auto"/>
        <w:jc w:val="both"/>
        <w:rPr>
          <w:rFonts w:ascii="Times New Roman" w:hAnsi="Times New Roman" w:cs="Times New Roman"/>
          <w:color w:val="000000" w:themeColor="text1"/>
          <w:lang w:val="it-IT"/>
        </w:rPr>
      </w:pPr>
      <w:proofErr w:type="gramStart"/>
      <w:r w:rsidRPr="000E51C9">
        <w:rPr>
          <w:rFonts w:ascii="Times New Roman" w:hAnsi="Times New Roman" w:cs="Times New Roman"/>
          <w:color w:val="000000" w:themeColor="text1"/>
          <w:lang w:val="it-IT"/>
        </w:rPr>
        <w:t>e-mail</w:t>
      </w:r>
      <w:proofErr w:type="gramEnd"/>
      <w:r w:rsidRPr="000E51C9">
        <w:rPr>
          <w:rFonts w:ascii="Times New Roman" w:hAnsi="Times New Roman" w:cs="Times New Roman"/>
          <w:color w:val="000000" w:themeColor="text1"/>
          <w:lang w:val="it-IT"/>
        </w:rPr>
        <w:t>: szilard.gaspar-szilagyi@jus.uio.no</w:t>
      </w:r>
    </w:p>
  </w:footnote>
  <w:footnote w:id="2">
    <w:p w14:paraId="09930947" w14:textId="2228C9E5" w:rsidR="00F17D28" w:rsidRPr="000E51C9" w:rsidRDefault="00F17D28">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w:t>
      </w:r>
      <w:proofErr w:type="spellStart"/>
      <w:r w:rsidRPr="000E51C9">
        <w:rPr>
          <w:rFonts w:ascii="Times New Roman" w:hAnsi="Times New Roman" w:cs="Times New Roman"/>
          <w:color w:val="000000" w:themeColor="text1"/>
          <w:lang w:val="en-GB"/>
        </w:rPr>
        <w:t>Kotschwar</w:t>
      </w:r>
      <w:proofErr w:type="spellEnd"/>
      <w:r w:rsidRPr="000E51C9">
        <w:rPr>
          <w:rFonts w:ascii="Times New Roman" w:hAnsi="Times New Roman" w:cs="Times New Roman"/>
          <w:color w:val="000000" w:themeColor="text1"/>
          <w:lang w:val="en-GB"/>
        </w:rPr>
        <w:t xml:space="preserve"> 2009, at 373-375; </w:t>
      </w:r>
      <w:proofErr w:type="spellStart"/>
      <w:r w:rsidRPr="000E51C9">
        <w:rPr>
          <w:rFonts w:ascii="Times New Roman" w:hAnsi="Times New Roman" w:cs="Times New Roman"/>
          <w:color w:val="000000" w:themeColor="text1"/>
          <w:lang w:val="en-GB"/>
        </w:rPr>
        <w:t>Miroudot</w:t>
      </w:r>
      <w:proofErr w:type="spellEnd"/>
      <w:r w:rsidRPr="000E51C9">
        <w:rPr>
          <w:rFonts w:ascii="Times New Roman" w:hAnsi="Times New Roman" w:cs="Times New Roman"/>
          <w:color w:val="000000" w:themeColor="text1"/>
          <w:lang w:val="en-GB"/>
        </w:rPr>
        <w:t xml:space="preserve"> 2011; Lee 2015, at 7-9; </w:t>
      </w:r>
      <w:proofErr w:type="spellStart"/>
      <w:r w:rsidRPr="000E51C9">
        <w:rPr>
          <w:rFonts w:ascii="Times New Roman" w:hAnsi="Times New Roman" w:cs="Times New Roman"/>
          <w:color w:val="000000" w:themeColor="text1"/>
          <w:lang w:val="en-GB"/>
        </w:rPr>
        <w:t>Lanyi</w:t>
      </w:r>
      <w:proofErr w:type="spellEnd"/>
      <w:r w:rsidRPr="000E51C9">
        <w:rPr>
          <w:rFonts w:ascii="Times New Roman" w:hAnsi="Times New Roman" w:cs="Times New Roman"/>
          <w:color w:val="000000" w:themeColor="text1"/>
          <w:lang w:val="en-GB"/>
        </w:rPr>
        <w:t xml:space="preserve"> and Steinbach 2017.</w:t>
      </w:r>
    </w:p>
  </w:footnote>
  <w:footnote w:id="3">
    <w:p w14:paraId="68D78BC8"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fr-FR"/>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fr-FR"/>
        </w:rPr>
        <w:t xml:space="preserve"> </w:t>
      </w:r>
      <w:proofErr w:type="spellStart"/>
      <w:r w:rsidRPr="000E51C9">
        <w:rPr>
          <w:rFonts w:ascii="Times New Roman" w:hAnsi="Times New Roman" w:cs="Times New Roman"/>
          <w:color w:val="000000" w:themeColor="text1"/>
          <w:lang w:val="fr-FR"/>
        </w:rPr>
        <w:t>See</w:t>
      </w:r>
      <w:proofErr w:type="spellEnd"/>
      <w:r w:rsidRPr="000E51C9">
        <w:rPr>
          <w:rFonts w:ascii="Times New Roman" w:hAnsi="Times New Roman" w:cs="Times New Roman"/>
          <w:color w:val="000000" w:themeColor="text1"/>
          <w:lang w:val="fr-FR"/>
        </w:rPr>
        <w:t xml:space="preserve"> Horn et al 2010.</w:t>
      </w:r>
    </w:p>
  </w:footnote>
  <w:footnote w:id="4">
    <w:p w14:paraId="0175301C" w14:textId="20F274F5" w:rsidR="00F17D28" w:rsidRPr="000E51C9" w:rsidRDefault="00F17D28" w:rsidP="00F6726A">
      <w:pPr>
        <w:pStyle w:val="Funotentext"/>
        <w:spacing w:line="240" w:lineRule="auto"/>
        <w:jc w:val="both"/>
        <w:rPr>
          <w:rFonts w:ascii="Times New Roman" w:hAnsi="Times New Roman" w:cs="Times New Roman"/>
          <w:lang w:val="fr-FR"/>
        </w:rPr>
      </w:pPr>
      <w:r w:rsidRPr="000E51C9">
        <w:rPr>
          <w:rStyle w:val="Funotenzeichen"/>
          <w:rFonts w:ascii="Times New Roman" w:hAnsi="Times New Roman" w:cs="Times New Roman"/>
          <w:lang w:val="en-GB"/>
        </w:rPr>
        <w:footnoteRef/>
      </w:r>
      <w:r w:rsidRPr="000E51C9">
        <w:rPr>
          <w:rFonts w:ascii="Times New Roman" w:hAnsi="Times New Roman" w:cs="Times New Roman"/>
          <w:lang w:val="fr-FR"/>
        </w:rPr>
        <w:t xml:space="preserve"> </w:t>
      </w:r>
      <w:proofErr w:type="spellStart"/>
      <w:r w:rsidRPr="000E51C9">
        <w:rPr>
          <w:rFonts w:ascii="Times New Roman" w:hAnsi="Times New Roman" w:cs="Times New Roman"/>
          <w:lang w:val="fr-FR"/>
        </w:rPr>
        <w:t>See</w:t>
      </w:r>
      <w:proofErr w:type="spellEnd"/>
      <w:r w:rsidRPr="000E51C9">
        <w:rPr>
          <w:rFonts w:ascii="Times New Roman" w:hAnsi="Times New Roman" w:cs="Times New Roman"/>
          <w:lang w:val="fr-FR"/>
        </w:rPr>
        <w:t xml:space="preserve"> </w:t>
      </w:r>
      <w:r w:rsidRPr="000E51C9">
        <w:rPr>
          <w:rFonts w:ascii="Times New Roman" w:hAnsi="Times New Roman" w:cs="Times New Roman"/>
          <w:color w:val="000000" w:themeColor="text1"/>
          <w:lang w:val="fr-FR"/>
        </w:rPr>
        <w:t xml:space="preserve">Lim et al 2012; Mathis 2012; </w:t>
      </w:r>
      <w:proofErr w:type="spellStart"/>
      <w:r w:rsidRPr="000E51C9">
        <w:rPr>
          <w:rFonts w:ascii="Times New Roman" w:hAnsi="Times New Roman" w:cs="Times New Roman"/>
          <w:color w:val="000000" w:themeColor="text1"/>
          <w:lang w:val="fr-FR"/>
        </w:rPr>
        <w:t>Venzke</w:t>
      </w:r>
      <w:proofErr w:type="spellEnd"/>
      <w:r w:rsidRPr="000E51C9">
        <w:rPr>
          <w:rFonts w:ascii="Times New Roman" w:hAnsi="Times New Roman" w:cs="Times New Roman"/>
          <w:color w:val="000000" w:themeColor="text1"/>
          <w:lang w:val="fr-FR"/>
        </w:rPr>
        <w:t xml:space="preserve"> 2016; </w:t>
      </w:r>
      <w:proofErr w:type="spellStart"/>
      <w:r w:rsidRPr="000E51C9">
        <w:rPr>
          <w:rFonts w:ascii="Times New Roman" w:hAnsi="Times New Roman" w:cs="Times New Roman"/>
          <w:color w:val="000000" w:themeColor="text1"/>
          <w:lang w:val="fr-FR"/>
        </w:rPr>
        <w:t>Pantaleo</w:t>
      </w:r>
      <w:proofErr w:type="spellEnd"/>
      <w:r w:rsidRPr="000E51C9">
        <w:rPr>
          <w:rFonts w:ascii="Times New Roman" w:hAnsi="Times New Roman" w:cs="Times New Roman"/>
          <w:color w:val="000000" w:themeColor="text1"/>
          <w:lang w:val="fr-FR"/>
        </w:rPr>
        <w:t xml:space="preserve"> et al 2016. </w:t>
      </w:r>
    </w:p>
  </w:footnote>
  <w:footnote w:id="5">
    <w:p w14:paraId="487B92EA" w14:textId="452A221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r w:rsidRPr="000E51C9">
        <w:rPr>
          <w:rFonts w:ascii="Times New Roman" w:hAnsi="Times New Roman" w:cs="Times New Roman"/>
          <w:color w:val="000000" w:themeColor="text1"/>
          <w:lang w:val="en-GB"/>
        </w:rPr>
        <w:t>Kotschwar</w:t>
      </w:r>
      <w:proofErr w:type="spellEnd"/>
      <w:r w:rsidRPr="000E51C9">
        <w:rPr>
          <w:rFonts w:ascii="Times New Roman" w:hAnsi="Times New Roman" w:cs="Times New Roman"/>
          <w:color w:val="000000" w:themeColor="text1"/>
          <w:lang w:val="en-GB"/>
        </w:rPr>
        <w:t xml:space="preserve"> 2009; </w:t>
      </w:r>
      <w:proofErr w:type="spellStart"/>
      <w:r w:rsidRPr="000E51C9">
        <w:rPr>
          <w:rFonts w:ascii="Times New Roman" w:hAnsi="Times New Roman" w:cs="Times New Roman"/>
          <w:color w:val="000000" w:themeColor="text1"/>
          <w:lang w:val="en-GB"/>
        </w:rPr>
        <w:t>Miroudot</w:t>
      </w:r>
      <w:proofErr w:type="spellEnd"/>
      <w:r w:rsidRPr="000E51C9">
        <w:rPr>
          <w:rFonts w:ascii="Times New Roman" w:hAnsi="Times New Roman" w:cs="Times New Roman"/>
          <w:color w:val="000000" w:themeColor="text1"/>
          <w:lang w:val="en-GB"/>
        </w:rPr>
        <w:t xml:space="preserve"> 2011; </w:t>
      </w:r>
      <w:proofErr w:type="spellStart"/>
      <w:r w:rsidRPr="000E51C9">
        <w:rPr>
          <w:rFonts w:ascii="Times New Roman" w:hAnsi="Times New Roman" w:cs="Times New Roman"/>
          <w:color w:val="000000" w:themeColor="text1"/>
          <w:lang w:val="en-GB"/>
        </w:rPr>
        <w:t>Baccini</w:t>
      </w:r>
      <w:proofErr w:type="spellEnd"/>
      <w:r w:rsidRPr="000E51C9">
        <w:rPr>
          <w:rFonts w:ascii="Times New Roman" w:hAnsi="Times New Roman" w:cs="Times New Roman"/>
          <w:color w:val="000000" w:themeColor="text1"/>
          <w:lang w:val="en-GB"/>
        </w:rPr>
        <w:t xml:space="preserve"> et al 2011, at 18-21; He and </w:t>
      </w:r>
      <w:proofErr w:type="spellStart"/>
      <w:r w:rsidRPr="000E51C9">
        <w:rPr>
          <w:rFonts w:ascii="Times New Roman" w:hAnsi="Times New Roman" w:cs="Times New Roman"/>
          <w:color w:val="000000" w:themeColor="text1"/>
          <w:lang w:val="en-GB"/>
        </w:rPr>
        <w:t>Sappideen</w:t>
      </w:r>
      <w:proofErr w:type="spellEnd"/>
      <w:r w:rsidRPr="000E51C9">
        <w:rPr>
          <w:rFonts w:ascii="Times New Roman" w:hAnsi="Times New Roman" w:cs="Times New Roman"/>
          <w:color w:val="000000" w:themeColor="text1"/>
          <w:lang w:val="en-GB"/>
        </w:rPr>
        <w:t xml:space="preserve"> 2013; Lester et al 2015.</w:t>
      </w:r>
    </w:p>
  </w:footnote>
  <w:footnote w:id="6">
    <w:p w14:paraId="040D4F64" w14:textId="107DABB4"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w:t>
      </w:r>
      <w:proofErr w:type="gramStart"/>
      <w:r w:rsidRPr="000E51C9">
        <w:rPr>
          <w:rFonts w:ascii="Times New Roman" w:hAnsi="Times New Roman" w:cs="Times New Roman"/>
          <w:lang w:val="en-GB"/>
        </w:rPr>
        <w:t xml:space="preserve">T.M.C. Asser </w:t>
      </w:r>
      <w:proofErr w:type="spellStart"/>
      <w:r w:rsidRPr="000E51C9">
        <w:rPr>
          <w:rFonts w:ascii="Times New Roman" w:hAnsi="Times New Roman" w:cs="Times New Roman"/>
          <w:lang w:val="en-GB"/>
        </w:rPr>
        <w:t>Instituut</w:t>
      </w:r>
      <w:proofErr w:type="spellEnd"/>
      <w:r w:rsidRPr="000E51C9">
        <w:rPr>
          <w:rFonts w:ascii="Times New Roman" w:hAnsi="Times New Roman" w:cs="Times New Roman"/>
          <w:lang w:val="en-GB"/>
        </w:rPr>
        <w:t xml:space="preserve"> (2017) Topic description, Netherlands Yearbook of International Law, </w:t>
      </w:r>
      <w:proofErr w:type="spellStart"/>
      <w:r w:rsidRPr="000E51C9">
        <w:rPr>
          <w:rFonts w:ascii="Times New Roman" w:hAnsi="Times New Roman" w:cs="Times New Roman"/>
          <w:lang w:val="en-GB"/>
        </w:rPr>
        <w:t>vol</w:t>
      </w:r>
      <w:proofErr w:type="spellEnd"/>
      <w:r w:rsidRPr="000E51C9">
        <w:rPr>
          <w:rFonts w:ascii="Times New Roman" w:hAnsi="Times New Roman" w:cs="Times New Roman"/>
          <w:lang w:val="en-GB"/>
        </w:rPr>
        <w:t xml:space="preserve"> 48 (2017), http://www.asser.nl/media/3314/nyil-2017-topic.pdf, accessed 25 August 2017.</w:t>
      </w:r>
      <w:proofErr w:type="gramEnd"/>
    </w:p>
  </w:footnote>
  <w:footnote w:id="7">
    <w:p w14:paraId="3D2C6112" w14:textId="0E01CEC7"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proofErr w:type="spellStart"/>
      <w:proofErr w:type="gramStart"/>
      <w:r w:rsidRPr="000E51C9">
        <w:rPr>
          <w:rFonts w:ascii="Times New Roman" w:hAnsi="Times New Roman" w:cs="Times New Roman"/>
          <w:color w:val="000000" w:themeColor="text1"/>
          <w:lang w:val="en-GB"/>
        </w:rPr>
        <w:t>Miroudot</w:t>
      </w:r>
      <w:proofErr w:type="spellEnd"/>
      <w:r w:rsidRPr="000E51C9">
        <w:rPr>
          <w:rFonts w:ascii="Times New Roman" w:hAnsi="Times New Roman" w:cs="Times New Roman"/>
          <w:color w:val="000000" w:themeColor="text1"/>
          <w:lang w:val="en-GB"/>
        </w:rPr>
        <w:t xml:space="preserve"> 2011, at 307.</w:t>
      </w:r>
      <w:proofErr w:type="gramEnd"/>
    </w:p>
  </w:footnote>
  <w:footnote w:id="8">
    <w:p w14:paraId="2077B151" w14:textId="2008006E"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Wang 2011, at 494-497. </w:t>
      </w:r>
    </w:p>
  </w:footnote>
  <w:footnote w:id="9">
    <w:p w14:paraId="554C0B7A" w14:textId="4030E3EB"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UNCTAD’s classification of ‘Treaties with Investment Provisions’ includes also PTAs that only mention investment promotion in a cursory manner (UNCTAD (2017) International Investment Agreements Navigator, </w:t>
      </w:r>
      <w:hyperlink r:id="rId1" w:history="1">
        <w:r w:rsidRPr="000E51C9">
          <w:rPr>
            <w:rStyle w:val="Hyperlink"/>
            <w:rFonts w:ascii="Times New Roman" w:hAnsi="Times New Roman" w:cs="Times New Roman"/>
            <w:color w:val="000000" w:themeColor="text1"/>
            <w:u w:val="none"/>
            <w:lang w:val="en-GB"/>
          </w:rPr>
          <w:t>http://investmentpolicyhub.unctad.org/IIA</w:t>
        </w:r>
      </w:hyperlink>
      <w:r w:rsidRPr="000E51C9">
        <w:rPr>
          <w:rFonts w:ascii="Times New Roman" w:hAnsi="Times New Roman" w:cs="Times New Roman"/>
          <w:color w:val="000000" w:themeColor="text1"/>
          <w:lang w:val="en-GB"/>
        </w:rPr>
        <w:t xml:space="preserve">, accessed </w:t>
      </w:r>
      <w:r w:rsidRPr="000E51C9">
        <w:rPr>
          <w:rStyle w:val="Hyperlink"/>
          <w:rFonts w:ascii="Times New Roman" w:hAnsi="Times New Roman" w:cs="Times New Roman"/>
          <w:color w:val="000000" w:themeColor="text1"/>
          <w:u w:val="none"/>
          <w:lang w:val="en-GB"/>
        </w:rPr>
        <w:t>25 August 2017).</w:t>
      </w:r>
      <w:r w:rsidRPr="000E51C9">
        <w:rPr>
          <w:rFonts w:ascii="Times New Roman" w:hAnsi="Times New Roman" w:cs="Times New Roman"/>
          <w:color w:val="000000" w:themeColor="text1"/>
          <w:lang w:val="en-GB"/>
        </w:rPr>
        <w:t xml:space="preserve"> </w:t>
      </w:r>
    </w:p>
  </w:footnote>
  <w:footnote w:id="10">
    <w:p w14:paraId="3161A86F" w14:textId="2EA48BCF"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 xml:space="preserve">He and </w:t>
      </w:r>
      <w:proofErr w:type="spellStart"/>
      <w:r w:rsidRPr="000E51C9">
        <w:rPr>
          <w:rFonts w:ascii="Times New Roman" w:hAnsi="Times New Roman" w:cs="Times New Roman"/>
          <w:color w:val="000000" w:themeColor="text1"/>
          <w:lang w:val="en-GB"/>
        </w:rPr>
        <w:t>Sappideen</w:t>
      </w:r>
      <w:proofErr w:type="spellEnd"/>
      <w:r w:rsidRPr="000E51C9">
        <w:rPr>
          <w:rFonts w:ascii="Times New Roman" w:hAnsi="Times New Roman" w:cs="Times New Roman"/>
          <w:color w:val="000000" w:themeColor="text1"/>
          <w:lang w:val="en-GB"/>
        </w:rPr>
        <w:t xml:space="preserve"> 2013, at 215; </w:t>
      </w:r>
      <w:proofErr w:type="spellStart"/>
      <w:r w:rsidRPr="000E51C9">
        <w:rPr>
          <w:rFonts w:ascii="Times New Roman" w:hAnsi="Times New Roman" w:cs="Times New Roman"/>
          <w:color w:val="000000" w:themeColor="text1"/>
          <w:lang w:val="en-GB"/>
        </w:rPr>
        <w:t>Kotschwar</w:t>
      </w:r>
      <w:proofErr w:type="spellEnd"/>
      <w:r w:rsidRPr="000E51C9">
        <w:rPr>
          <w:rFonts w:ascii="Times New Roman" w:hAnsi="Times New Roman" w:cs="Times New Roman"/>
          <w:color w:val="000000" w:themeColor="text1"/>
          <w:lang w:val="en-GB"/>
        </w:rPr>
        <w:t xml:space="preserve"> 2009, at 366.</w:t>
      </w:r>
      <w:proofErr w:type="gramEnd"/>
      <w:r w:rsidRPr="000E51C9">
        <w:rPr>
          <w:rFonts w:ascii="Times New Roman" w:hAnsi="Times New Roman" w:cs="Times New Roman"/>
          <w:color w:val="000000" w:themeColor="text1"/>
          <w:lang w:val="en-GB"/>
        </w:rPr>
        <w:t xml:space="preserve"> The pre-NAFTA 1989 Canada-US FTA, which was subsequently replaced by NAFTA, dedicated Chapter Sixteen to Investment. The Agreement included two standards of treatment (national treatment and the prohibition of expropriation) but omitted MFN, FET, FPS and ISDS. See also </w:t>
      </w:r>
      <w:proofErr w:type="spellStart"/>
      <w:r w:rsidRPr="000E51C9">
        <w:rPr>
          <w:rFonts w:ascii="Times New Roman" w:hAnsi="Times New Roman" w:cs="Times New Roman"/>
          <w:color w:val="000000" w:themeColor="text1"/>
          <w:lang w:val="en-GB"/>
        </w:rPr>
        <w:t>Fontanelli</w:t>
      </w:r>
      <w:proofErr w:type="spellEnd"/>
      <w:r w:rsidRPr="000E51C9">
        <w:rPr>
          <w:rFonts w:ascii="Times New Roman" w:hAnsi="Times New Roman" w:cs="Times New Roman"/>
          <w:color w:val="000000" w:themeColor="text1"/>
          <w:lang w:val="en-GB"/>
        </w:rPr>
        <w:t xml:space="preserve"> and Bianco 2014, at 219. </w:t>
      </w:r>
    </w:p>
  </w:footnote>
  <w:footnote w:id="11">
    <w:p w14:paraId="0A87757B" w14:textId="22F83C21"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proofErr w:type="gramStart"/>
      <w:r w:rsidRPr="000E51C9">
        <w:rPr>
          <w:rFonts w:ascii="Times New Roman" w:hAnsi="Times New Roman" w:cs="Times New Roman"/>
          <w:lang w:val="en-GB"/>
        </w:rPr>
        <w:t xml:space="preserve">See </w:t>
      </w:r>
      <w:proofErr w:type="spellStart"/>
      <w:r w:rsidRPr="000E51C9">
        <w:rPr>
          <w:rFonts w:ascii="Times New Roman" w:hAnsi="Times New Roman" w:cs="Times New Roman"/>
          <w:color w:val="000000" w:themeColor="text1"/>
          <w:lang w:val="en-GB"/>
        </w:rPr>
        <w:t>Fontanelli</w:t>
      </w:r>
      <w:proofErr w:type="spellEnd"/>
      <w:r w:rsidRPr="000E51C9">
        <w:rPr>
          <w:rFonts w:ascii="Times New Roman" w:hAnsi="Times New Roman" w:cs="Times New Roman"/>
          <w:color w:val="000000" w:themeColor="text1"/>
          <w:lang w:val="en-GB"/>
        </w:rPr>
        <w:t xml:space="preserve"> and Bianco 2014; Lévesque 2006.</w:t>
      </w:r>
      <w:proofErr w:type="gramEnd"/>
      <w:r w:rsidRPr="000E51C9">
        <w:rPr>
          <w:rFonts w:ascii="Times New Roman" w:hAnsi="Times New Roman" w:cs="Times New Roman"/>
          <w:color w:val="000000" w:themeColor="text1"/>
          <w:lang w:val="en-GB"/>
        </w:rPr>
        <w:t xml:space="preserve"> </w:t>
      </w:r>
      <w:proofErr w:type="spellStart"/>
      <w:r w:rsidRPr="000E51C9">
        <w:rPr>
          <w:rFonts w:ascii="Times New Roman" w:hAnsi="Times New Roman" w:cs="Times New Roman"/>
          <w:color w:val="000000" w:themeColor="text1"/>
          <w:lang w:val="en-GB"/>
        </w:rPr>
        <w:t>Alschner</w:t>
      </w:r>
      <w:proofErr w:type="spellEnd"/>
      <w:r w:rsidRPr="000E51C9">
        <w:rPr>
          <w:rFonts w:ascii="Times New Roman" w:hAnsi="Times New Roman" w:cs="Times New Roman"/>
          <w:color w:val="000000" w:themeColor="text1"/>
          <w:lang w:val="en-GB"/>
        </w:rPr>
        <w:t xml:space="preserve"> et al, at 19-20 conclude that many South-South PTAs also included NAFTA language.</w:t>
      </w:r>
    </w:p>
  </w:footnote>
  <w:footnote w:id="12">
    <w:p w14:paraId="41811409" w14:textId="4911380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Almost 300 regional trade agreements have been notified by WTO members (WTO (2017) RTA Database</w:t>
      </w:r>
      <w:r w:rsidR="00B60A73"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 xml:space="preserve"> </w:t>
      </w:r>
      <w:r w:rsidRPr="000E51C9">
        <w:rPr>
          <w:rFonts w:ascii="Times New Roman" w:hAnsi="Times New Roman" w:cs="Times New Roman"/>
          <w:lang w:val="en-GB"/>
        </w:rPr>
        <w:t>https://rtais.wto.org/UI/PublicMaintainRTAHome.aspx</w:t>
      </w:r>
      <w:r w:rsidRPr="000E51C9">
        <w:rPr>
          <w:rStyle w:val="Hyperlink"/>
          <w:rFonts w:ascii="Times New Roman" w:hAnsi="Times New Roman" w:cs="Times New Roman"/>
          <w:color w:val="000000" w:themeColor="text1"/>
          <w:u w:val="none"/>
          <w:lang w:val="en-GB"/>
        </w:rPr>
        <w:t xml:space="preserve">, accessed 25 August 2017). ‘Due to its growing size and complexity, the PTA universe has become increasingly difficult to navigate.’ (See </w:t>
      </w:r>
      <w:proofErr w:type="spellStart"/>
      <w:r w:rsidRPr="000E51C9">
        <w:rPr>
          <w:rStyle w:val="Hyperlink"/>
          <w:rFonts w:ascii="Times New Roman" w:hAnsi="Times New Roman" w:cs="Times New Roman"/>
          <w:color w:val="000000" w:themeColor="text1"/>
          <w:u w:val="none"/>
          <w:lang w:val="en-GB"/>
        </w:rPr>
        <w:t>Alschner</w:t>
      </w:r>
      <w:proofErr w:type="spellEnd"/>
      <w:r w:rsidRPr="000E51C9">
        <w:rPr>
          <w:rStyle w:val="Hyperlink"/>
          <w:rFonts w:ascii="Times New Roman" w:hAnsi="Times New Roman" w:cs="Times New Roman"/>
          <w:color w:val="000000" w:themeColor="text1"/>
          <w:u w:val="none"/>
          <w:lang w:val="en-GB"/>
        </w:rPr>
        <w:t xml:space="preserve"> et al, at 3.) </w:t>
      </w:r>
    </w:p>
  </w:footnote>
  <w:footnote w:id="13">
    <w:p w14:paraId="7A93D597" w14:textId="55095796"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See the various sources mentioned in section X.2.2-5. Examples include: </w:t>
      </w:r>
      <w:proofErr w:type="spellStart"/>
      <w:r w:rsidRPr="000E51C9">
        <w:rPr>
          <w:rFonts w:ascii="Times New Roman" w:hAnsi="Times New Roman" w:cs="Times New Roman"/>
          <w:color w:val="000000" w:themeColor="text1"/>
          <w:lang w:val="en-GB"/>
        </w:rPr>
        <w:t>Fontanelli</w:t>
      </w:r>
      <w:proofErr w:type="spellEnd"/>
      <w:r w:rsidRPr="000E51C9">
        <w:rPr>
          <w:rFonts w:ascii="Times New Roman" w:hAnsi="Times New Roman" w:cs="Times New Roman"/>
          <w:color w:val="000000" w:themeColor="text1"/>
          <w:lang w:val="en-GB"/>
        </w:rPr>
        <w:t xml:space="preserve"> and Bianco 2014; Ruse-Khan and </w:t>
      </w:r>
      <w:proofErr w:type="spellStart"/>
      <w:r w:rsidRPr="000E51C9">
        <w:rPr>
          <w:rFonts w:ascii="Times New Roman" w:hAnsi="Times New Roman" w:cs="Times New Roman"/>
          <w:color w:val="000000" w:themeColor="text1"/>
          <w:lang w:val="en-GB"/>
        </w:rPr>
        <w:t>Ononaiwu</w:t>
      </w:r>
      <w:proofErr w:type="spellEnd"/>
      <w:r w:rsidRPr="000E51C9">
        <w:rPr>
          <w:rFonts w:ascii="Times New Roman" w:hAnsi="Times New Roman" w:cs="Times New Roman"/>
          <w:color w:val="000000" w:themeColor="text1"/>
          <w:lang w:val="en-GB"/>
        </w:rPr>
        <w:t xml:space="preserve"> 2015; European Commission (2015) Investment in TTIP and Beyond - The Path to Reform, Concept Paper, </w:t>
      </w:r>
      <w:r w:rsidRPr="000E51C9">
        <w:rPr>
          <w:rFonts w:ascii="Times New Roman" w:hAnsi="Times New Roman" w:cs="Times New Roman"/>
          <w:lang w:val="en-GB"/>
        </w:rPr>
        <w:t>http://trade.ec.europa.eu/doclib/docs/2015/may/tradoc_153408.PDF</w:t>
      </w:r>
      <w:r w:rsidRPr="000E51C9">
        <w:rPr>
          <w:rFonts w:ascii="Times New Roman" w:hAnsi="Times New Roman" w:cs="Times New Roman"/>
          <w:color w:val="000000" w:themeColor="text1"/>
          <w:lang w:val="en-GB"/>
        </w:rPr>
        <w:t xml:space="preserve">, accessed 25 August 2017; </w:t>
      </w:r>
      <w:r w:rsidRPr="000E51C9">
        <w:rPr>
          <w:rFonts w:ascii="Times New Roman" w:hAnsi="Times New Roman" w:cs="Times New Roman"/>
          <w:lang w:val="en-GB"/>
        </w:rPr>
        <w:t>2004 Canadian Model Foreign Investment Protection Agreement, https://www.italaw.com/documents/Canadian2004-FIPA-model-en.pdf, accessed 8 November 2017.</w:t>
      </w:r>
    </w:p>
  </w:footnote>
  <w:footnote w:id="14">
    <w:p w14:paraId="48022965" w14:textId="2A7495D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Examples of promissory language include the 1999 US-South Africa </w:t>
      </w:r>
      <w:r w:rsidRPr="000E51C9">
        <w:rPr>
          <w:rFonts w:ascii="Times New Roman" w:hAnsi="Times New Roman" w:cs="Times New Roman"/>
          <w:color w:val="000000" w:themeColor="text1"/>
          <w:shd w:val="clear" w:color="auto" w:fill="FFFFFF"/>
          <w:lang w:val="en-GB"/>
        </w:rPr>
        <w:t xml:space="preserve">Trade and Investment Framework Agreement (‘US-South Africa TIFA’), https://ustr.gov/sites/default/files/uploads/agreements/tifa/asset_upload_file224_7728.pdf, accessed 8 November 2017, Article 1(2): ‘The Parties </w:t>
      </w:r>
      <w:r w:rsidRPr="000E51C9">
        <w:rPr>
          <w:rFonts w:ascii="Times New Roman" w:hAnsi="Times New Roman" w:cs="Times New Roman"/>
          <w:i/>
          <w:color w:val="000000" w:themeColor="text1"/>
          <w:shd w:val="clear" w:color="auto" w:fill="FFFFFF"/>
          <w:lang w:val="en-GB"/>
        </w:rPr>
        <w:t>will</w:t>
      </w:r>
      <w:r w:rsidRPr="000E51C9">
        <w:rPr>
          <w:rFonts w:ascii="Times New Roman" w:hAnsi="Times New Roman" w:cs="Times New Roman"/>
          <w:color w:val="000000" w:themeColor="text1"/>
          <w:shd w:val="clear" w:color="auto" w:fill="FFFFFF"/>
          <w:lang w:val="en-GB"/>
        </w:rPr>
        <w:t xml:space="preserve"> </w:t>
      </w:r>
      <w:r w:rsidRPr="000E51C9">
        <w:rPr>
          <w:rFonts w:ascii="Times New Roman" w:hAnsi="Times New Roman" w:cs="Times New Roman"/>
          <w:i/>
          <w:color w:val="000000" w:themeColor="text1"/>
          <w:shd w:val="clear" w:color="auto" w:fill="FFFFFF"/>
          <w:lang w:val="en-GB"/>
        </w:rPr>
        <w:t>seek</w:t>
      </w:r>
      <w:r w:rsidRPr="000E51C9">
        <w:rPr>
          <w:rFonts w:ascii="Times New Roman" w:hAnsi="Times New Roman" w:cs="Times New Roman"/>
          <w:color w:val="000000" w:themeColor="text1"/>
          <w:shd w:val="clear" w:color="auto" w:fill="FFFFFF"/>
          <w:lang w:val="en-GB"/>
        </w:rPr>
        <w:t xml:space="preserve"> to: (2) take appropriate measures to </w:t>
      </w:r>
      <w:r w:rsidRPr="000E51C9">
        <w:rPr>
          <w:rFonts w:ascii="Times New Roman" w:hAnsi="Times New Roman" w:cs="Times New Roman"/>
          <w:i/>
          <w:color w:val="000000" w:themeColor="text1"/>
          <w:shd w:val="clear" w:color="auto" w:fill="FFFFFF"/>
          <w:lang w:val="en-GB"/>
        </w:rPr>
        <w:t>encourage</w:t>
      </w:r>
      <w:r w:rsidRPr="000E51C9">
        <w:rPr>
          <w:rFonts w:ascii="Times New Roman" w:hAnsi="Times New Roman" w:cs="Times New Roman"/>
          <w:color w:val="000000" w:themeColor="text1"/>
          <w:shd w:val="clear" w:color="auto" w:fill="FFFFFF"/>
          <w:lang w:val="en-GB"/>
        </w:rPr>
        <w:t xml:space="preserve"> and </w:t>
      </w:r>
      <w:r w:rsidRPr="000E51C9">
        <w:rPr>
          <w:rFonts w:ascii="Times New Roman" w:hAnsi="Times New Roman" w:cs="Times New Roman"/>
          <w:i/>
          <w:color w:val="000000" w:themeColor="text1"/>
          <w:shd w:val="clear" w:color="auto" w:fill="FFFFFF"/>
          <w:lang w:val="en-GB"/>
        </w:rPr>
        <w:t>facilitate</w:t>
      </w:r>
      <w:r w:rsidRPr="000E51C9">
        <w:rPr>
          <w:rFonts w:ascii="Times New Roman" w:hAnsi="Times New Roman" w:cs="Times New Roman"/>
          <w:color w:val="000000" w:themeColor="text1"/>
          <w:shd w:val="clear" w:color="auto" w:fill="FFFFFF"/>
          <w:lang w:val="en-GB"/>
        </w:rPr>
        <w:t xml:space="preserve"> the exchange of goods and services’ (emphasis added); 2002</w:t>
      </w:r>
      <w:r w:rsidR="00101124" w:rsidRPr="000E51C9">
        <w:rPr>
          <w:rFonts w:ascii="Times New Roman" w:hAnsi="Times New Roman" w:cs="Times New Roman"/>
          <w:color w:val="000000" w:themeColor="text1"/>
          <w:shd w:val="clear" w:color="auto" w:fill="FFFFFF"/>
          <w:lang w:val="en-GB"/>
        </w:rPr>
        <w:t xml:space="preserve"> Trade Agreement between the Government of the Republic of India and the Government of the Republic of Mauritius</w:t>
      </w:r>
      <w:r w:rsidRPr="000E51C9">
        <w:rPr>
          <w:rFonts w:ascii="Times New Roman" w:hAnsi="Times New Roman" w:cs="Times New Roman"/>
          <w:color w:val="000000" w:themeColor="text1"/>
          <w:shd w:val="clear" w:color="auto" w:fill="FFFFFF"/>
          <w:lang w:val="en-GB"/>
        </w:rPr>
        <w:t xml:space="preserve"> </w:t>
      </w:r>
      <w:r w:rsidR="00101124" w:rsidRPr="000E51C9">
        <w:rPr>
          <w:rFonts w:ascii="Times New Roman" w:hAnsi="Times New Roman" w:cs="Times New Roman"/>
          <w:color w:val="000000" w:themeColor="text1"/>
          <w:shd w:val="clear" w:color="auto" w:fill="FFFFFF"/>
          <w:lang w:val="en-GB"/>
        </w:rPr>
        <w:t>(‘</w:t>
      </w:r>
      <w:r w:rsidRPr="000E51C9">
        <w:rPr>
          <w:rFonts w:ascii="Times New Roman" w:hAnsi="Times New Roman" w:cs="Times New Roman"/>
          <w:color w:val="000000" w:themeColor="text1"/>
          <w:lang w:val="en-GB"/>
        </w:rPr>
        <w:t>India-Mauritius Trade Agreement</w:t>
      </w:r>
      <w:r w:rsidR="00101124"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w:t>
      </w:r>
      <w:r w:rsidR="00101124" w:rsidRPr="000E51C9">
        <w:rPr>
          <w:rFonts w:ascii="Times New Roman" w:hAnsi="Times New Roman" w:cs="Times New Roman"/>
          <w:color w:val="000000" w:themeColor="text1"/>
          <w:lang w:val="en-GB"/>
        </w:rPr>
        <w:t xml:space="preserve"> http://commerce.nic.in/trade/Mauritius.pdf, accessed 13 November 2017,</w:t>
      </w:r>
      <w:r w:rsidRPr="000E51C9">
        <w:rPr>
          <w:rFonts w:ascii="Times New Roman" w:hAnsi="Times New Roman" w:cs="Times New Roman"/>
          <w:color w:val="000000" w:themeColor="text1"/>
          <w:lang w:val="en-GB"/>
        </w:rPr>
        <w:t xml:space="preserve"> Article II: ‘The Contracting Parties shall </w:t>
      </w:r>
      <w:r w:rsidRPr="000E51C9">
        <w:rPr>
          <w:rFonts w:ascii="Times New Roman" w:hAnsi="Times New Roman" w:cs="Times New Roman"/>
          <w:i/>
          <w:color w:val="000000" w:themeColor="text1"/>
          <w:lang w:val="en-GB"/>
        </w:rPr>
        <w:t>encourage</w:t>
      </w:r>
      <w:r w:rsidRPr="000E51C9">
        <w:rPr>
          <w:rFonts w:ascii="Times New Roman" w:hAnsi="Times New Roman" w:cs="Times New Roman"/>
          <w:color w:val="000000" w:themeColor="text1"/>
          <w:lang w:val="en-GB"/>
        </w:rPr>
        <w:t xml:space="preserve"> and </w:t>
      </w:r>
      <w:r w:rsidRPr="000E51C9">
        <w:rPr>
          <w:rFonts w:ascii="Times New Roman" w:hAnsi="Times New Roman" w:cs="Times New Roman"/>
          <w:i/>
          <w:color w:val="000000" w:themeColor="text1"/>
          <w:lang w:val="en-GB"/>
        </w:rPr>
        <w:t>facilitate</w:t>
      </w:r>
      <w:r w:rsidRPr="000E51C9">
        <w:rPr>
          <w:rFonts w:ascii="Times New Roman" w:hAnsi="Times New Roman" w:cs="Times New Roman"/>
          <w:color w:val="000000" w:themeColor="text1"/>
          <w:lang w:val="en-GB"/>
        </w:rPr>
        <w:t xml:space="preserve"> contacts between their natural and juridical persons’ (emphasis added). See also </w:t>
      </w:r>
      <w:proofErr w:type="gramStart"/>
      <w:r w:rsidRPr="000E51C9">
        <w:rPr>
          <w:rFonts w:ascii="Times New Roman" w:hAnsi="Times New Roman" w:cs="Times New Roman"/>
          <w:color w:val="000000" w:themeColor="text1"/>
          <w:lang w:val="en-GB"/>
        </w:rPr>
        <w:t>Gao</w:t>
      </w:r>
      <w:proofErr w:type="gramEnd"/>
      <w:r w:rsidRPr="000E51C9">
        <w:rPr>
          <w:rFonts w:ascii="Times New Roman" w:hAnsi="Times New Roman" w:cs="Times New Roman"/>
          <w:color w:val="000000" w:themeColor="text1"/>
          <w:lang w:val="en-GB"/>
        </w:rPr>
        <w:t xml:space="preserve"> 2015, at 80.</w:t>
      </w:r>
    </w:p>
  </w:footnote>
  <w:footnote w:id="15">
    <w:p w14:paraId="224AE48C" w14:textId="22FE59D1"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See </w:t>
      </w:r>
      <w:proofErr w:type="spellStart"/>
      <w:r w:rsidRPr="000E51C9">
        <w:rPr>
          <w:rFonts w:ascii="Times New Roman" w:hAnsi="Times New Roman" w:cs="Times New Roman"/>
          <w:color w:val="000000" w:themeColor="text1"/>
          <w:lang w:val="en-GB"/>
        </w:rPr>
        <w:t>Fontanelli</w:t>
      </w:r>
      <w:proofErr w:type="spellEnd"/>
      <w:r w:rsidRPr="000E51C9">
        <w:rPr>
          <w:rFonts w:ascii="Times New Roman" w:hAnsi="Times New Roman" w:cs="Times New Roman"/>
          <w:color w:val="000000" w:themeColor="text1"/>
          <w:lang w:val="en-GB"/>
        </w:rPr>
        <w:t xml:space="preserve"> and Bianco 2014.</w:t>
      </w:r>
    </w:p>
  </w:footnote>
  <w:footnote w:id="16">
    <w:p w14:paraId="6A5E4198" w14:textId="7D150D30"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proofErr w:type="gramStart"/>
      <w:r w:rsidRPr="000E51C9">
        <w:rPr>
          <w:rFonts w:ascii="Times New Roman" w:hAnsi="Times New Roman" w:cs="Times New Roman"/>
          <w:color w:val="000000" w:themeColor="text1"/>
          <w:lang w:val="en-GB"/>
        </w:rPr>
        <w:t xml:space="preserve">Wang 2011; </w:t>
      </w:r>
      <w:proofErr w:type="spellStart"/>
      <w:r w:rsidRPr="000E51C9">
        <w:rPr>
          <w:rFonts w:ascii="Times New Roman" w:hAnsi="Times New Roman" w:cs="Times New Roman"/>
          <w:color w:val="000000" w:themeColor="text1"/>
          <w:lang w:val="en-GB"/>
        </w:rPr>
        <w:t>Ranjan</w:t>
      </w:r>
      <w:proofErr w:type="spellEnd"/>
      <w:r w:rsidRPr="000E51C9">
        <w:rPr>
          <w:rFonts w:ascii="Times New Roman" w:hAnsi="Times New Roman" w:cs="Times New Roman"/>
          <w:color w:val="000000" w:themeColor="text1"/>
          <w:lang w:val="en-GB"/>
        </w:rPr>
        <w:t xml:space="preserve"> 2015.</w:t>
      </w:r>
      <w:proofErr w:type="gramEnd"/>
    </w:p>
  </w:footnote>
  <w:footnote w:id="17">
    <w:p w14:paraId="5C37DC83" w14:textId="204EF142"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See section </w:t>
      </w:r>
      <w:proofErr w:type="gramStart"/>
      <w:r w:rsidRPr="000E51C9">
        <w:rPr>
          <w:rFonts w:ascii="Times New Roman" w:hAnsi="Times New Roman" w:cs="Times New Roman"/>
          <w:lang w:val="en-GB"/>
        </w:rPr>
        <w:t>X.2.4(</w:t>
      </w:r>
      <w:proofErr w:type="spellStart"/>
      <w:proofErr w:type="gramEnd"/>
      <w:r w:rsidRPr="000E51C9">
        <w:rPr>
          <w:rFonts w:ascii="Times New Roman" w:hAnsi="Times New Roman" w:cs="Times New Roman"/>
          <w:lang w:val="en-GB"/>
        </w:rPr>
        <w:t>i</w:t>
      </w:r>
      <w:proofErr w:type="spellEnd"/>
      <w:r w:rsidRPr="000E51C9">
        <w:rPr>
          <w:rFonts w:ascii="Times New Roman" w:hAnsi="Times New Roman" w:cs="Times New Roman"/>
          <w:lang w:val="en-GB"/>
        </w:rPr>
        <w:t>).</w:t>
      </w:r>
    </w:p>
  </w:footnote>
  <w:footnote w:id="18">
    <w:p w14:paraId="749EAAC4" w14:textId="1E5F14B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 xml:space="preserve">Francis 2010, at 35-36; </w:t>
      </w:r>
      <w:proofErr w:type="spellStart"/>
      <w:r w:rsidRPr="000E51C9">
        <w:rPr>
          <w:rFonts w:ascii="Times New Roman" w:hAnsi="Times New Roman" w:cs="Times New Roman"/>
          <w:color w:val="000000" w:themeColor="text1"/>
          <w:lang w:val="en-GB"/>
        </w:rPr>
        <w:t>Alschner</w:t>
      </w:r>
      <w:proofErr w:type="spellEnd"/>
      <w:r w:rsidRPr="000E51C9">
        <w:rPr>
          <w:rFonts w:ascii="Times New Roman" w:hAnsi="Times New Roman" w:cs="Times New Roman"/>
          <w:color w:val="000000" w:themeColor="text1"/>
          <w:lang w:val="en-GB"/>
        </w:rPr>
        <w:t xml:space="preserve"> et al, at 25.</w:t>
      </w:r>
      <w:proofErr w:type="gramEnd"/>
    </w:p>
  </w:footnote>
  <w:footnote w:id="19">
    <w:p w14:paraId="7D285093" w14:textId="6A4C0BF1"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For similar approaches see </w:t>
      </w:r>
      <w:proofErr w:type="spellStart"/>
      <w:r w:rsidRPr="000E51C9">
        <w:rPr>
          <w:rFonts w:ascii="Times New Roman" w:hAnsi="Times New Roman" w:cs="Times New Roman"/>
          <w:color w:val="000000" w:themeColor="text1"/>
          <w:lang w:val="en-GB"/>
        </w:rPr>
        <w:t>Kotschwar</w:t>
      </w:r>
      <w:proofErr w:type="spellEnd"/>
      <w:r w:rsidRPr="000E51C9">
        <w:rPr>
          <w:rFonts w:ascii="Times New Roman" w:hAnsi="Times New Roman" w:cs="Times New Roman"/>
          <w:color w:val="000000" w:themeColor="text1"/>
          <w:lang w:val="en-GB"/>
        </w:rPr>
        <w:t xml:space="preserve"> 2009, at 370; </w:t>
      </w:r>
      <w:proofErr w:type="spellStart"/>
      <w:r w:rsidRPr="000E51C9">
        <w:rPr>
          <w:rFonts w:ascii="Times New Roman" w:hAnsi="Times New Roman" w:cs="Times New Roman"/>
          <w:color w:val="000000" w:themeColor="text1"/>
          <w:lang w:val="en-GB"/>
        </w:rPr>
        <w:t>Miroudot</w:t>
      </w:r>
      <w:proofErr w:type="spellEnd"/>
      <w:r w:rsidRPr="000E51C9">
        <w:rPr>
          <w:rFonts w:ascii="Times New Roman" w:hAnsi="Times New Roman" w:cs="Times New Roman"/>
          <w:color w:val="000000" w:themeColor="text1"/>
          <w:lang w:val="en-GB"/>
        </w:rPr>
        <w:t xml:space="preserve"> 2011; Mathis and </w:t>
      </w:r>
      <w:proofErr w:type="spellStart"/>
      <w:r w:rsidRPr="000E51C9">
        <w:rPr>
          <w:rFonts w:ascii="Times New Roman" w:hAnsi="Times New Roman" w:cs="Times New Roman"/>
          <w:color w:val="000000" w:themeColor="text1"/>
          <w:lang w:val="en-GB"/>
        </w:rPr>
        <w:t>Laurenza</w:t>
      </w:r>
      <w:proofErr w:type="spellEnd"/>
      <w:r w:rsidRPr="000E51C9">
        <w:rPr>
          <w:rFonts w:ascii="Times New Roman" w:hAnsi="Times New Roman" w:cs="Times New Roman"/>
          <w:color w:val="000000" w:themeColor="text1"/>
          <w:lang w:val="en-GB"/>
        </w:rPr>
        <w:t xml:space="preserve"> 2012; De </w:t>
      </w:r>
      <w:proofErr w:type="spellStart"/>
      <w:r w:rsidRPr="000E51C9">
        <w:rPr>
          <w:rFonts w:ascii="Times New Roman" w:hAnsi="Times New Roman" w:cs="Times New Roman"/>
          <w:color w:val="000000" w:themeColor="text1"/>
          <w:lang w:val="en-GB"/>
        </w:rPr>
        <w:t>Brabandere</w:t>
      </w:r>
      <w:proofErr w:type="spellEnd"/>
      <w:r w:rsidRPr="000E51C9">
        <w:rPr>
          <w:rFonts w:ascii="Times New Roman" w:hAnsi="Times New Roman" w:cs="Times New Roman"/>
          <w:color w:val="000000" w:themeColor="text1"/>
          <w:lang w:val="en-GB"/>
        </w:rPr>
        <w:t xml:space="preserve"> 2013, at 40-41; </w:t>
      </w:r>
      <w:proofErr w:type="spellStart"/>
      <w:r w:rsidRPr="000E51C9">
        <w:rPr>
          <w:rFonts w:ascii="Times New Roman" w:hAnsi="Times New Roman" w:cs="Times New Roman"/>
          <w:color w:val="000000" w:themeColor="text1"/>
          <w:lang w:val="en-GB"/>
        </w:rPr>
        <w:t>Fontanelli</w:t>
      </w:r>
      <w:proofErr w:type="spellEnd"/>
      <w:r w:rsidRPr="000E51C9">
        <w:rPr>
          <w:rFonts w:ascii="Times New Roman" w:hAnsi="Times New Roman" w:cs="Times New Roman"/>
          <w:color w:val="000000" w:themeColor="text1"/>
          <w:lang w:val="en-GB"/>
        </w:rPr>
        <w:t xml:space="preserve"> and Bianco 2014, at 213.</w:t>
      </w:r>
    </w:p>
  </w:footnote>
  <w:footnote w:id="20">
    <w:p w14:paraId="2586E1ED" w14:textId="445448E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Office of the United States Trade Representative (2017) Free Trade Agreements, </w:t>
      </w:r>
      <w:r w:rsidRPr="000E51C9">
        <w:rPr>
          <w:rFonts w:ascii="Times New Roman" w:hAnsi="Times New Roman" w:cs="Times New Roman"/>
          <w:lang w:val="en-GB"/>
        </w:rPr>
        <w:t>https://ustr.gov/trade-agreements/free-trade-agreements/</w:t>
      </w:r>
      <w:r w:rsidRPr="000E51C9">
        <w:rPr>
          <w:rFonts w:ascii="Times New Roman" w:hAnsi="Times New Roman" w:cs="Times New Roman"/>
          <w:color w:val="000000" w:themeColor="text1"/>
          <w:lang w:val="en-GB"/>
        </w:rPr>
        <w:t>, accessed 25 August 2017. In alphabetical order, the FTAs with Australia (2004), Bahrain (2004), CAFTA-DR (2004), Chile (2003), Colombia (2006), Jordan (2000), Korea (2007), Morocco (2004), Oman (2006), Panama (2007), Peru (2006) and Singapore (2003).</w:t>
      </w:r>
    </w:p>
  </w:footnote>
  <w:footnote w:id="21">
    <w:p w14:paraId="7E1A3BA6" w14:textId="5DEABAF4"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proofErr w:type="gramStart"/>
      <w:r w:rsidRPr="000E51C9">
        <w:rPr>
          <w:rFonts w:ascii="Times New Roman" w:hAnsi="Times New Roman" w:cs="Times New Roman"/>
          <w:color w:val="000000" w:themeColor="text1"/>
          <w:lang w:val="en-GB"/>
        </w:rPr>
        <w:t>Gantz</w:t>
      </w:r>
      <w:proofErr w:type="spellEnd"/>
      <w:r w:rsidRPr="000E51C9">
        <w:rPr>
          <w:rFonts w:ascii="Times New Roman" w:hAnsi="Times New Roman" w:cs="Times New Roman"/>
          <w:color w:val="000000" w:themeColor="text1"/>
          <w:lang w:val="en-GB"/>
        </w:rPr>
        <w:t xml:space="preserve"> 2004, at 680 and 711 on the influence of NAFTA case-law on subsequent agreements.</w:t>
      </w:r>
      <w:proofErr w:type="gramEnd"/>
      <w:r w:rsidRPr="000E51C9">
        <w:rPr>
          <w:rFonts w:ascii="Times New Roman" w:hAnsi="Times New Roman" w:cs="Times New Roman"/>
          <w:color w:val="000000" w:themeColor="text1"/>
          <w:lang w:val="en-GB"/>
        </w:rPr>
        <w:t xml:space="preserve"> See also </w:t>
      </w:r>
      <w:proofErr w:type="spellStart"/>
      <w:r w:rsidRPr="000E51C9">
        <w:rPr>
          <w:rFonts w:ascii="Times New Roman" w:hAnsi="Times New Roman" w:cs="Times New Roman"/>
          <w:color w:val="000000" w:themeColor="text1"/>
          <w:lang w:val="en-GB"/>
        </w:rPr>
        <w:t>Fontanelli</w:t>
      </w:r>
      <w:proofErr w:type="spellEnd"/>
      <w:r w:rsidRPr="000E51C9">
        <w:rPr>
          <w:rFonts w:ascii="Times New Roman" w:hAnsi="Times New Roman" w:cs="Times New Roman"/>
          <w:color w:val="000000" w:themeColor="text1"/>
          <w:lang w:val="en-GB"/>
        </w:rPr>
        <w:t xml:space="preserve"> and Bianco 2014, at 218.</w:t>
      </w:r>
    </w:p>
  </w:footnote>
  <w:footnote w:id="22">
    <w:p w14:paraId="6D018909" w14:textId="707DABD1"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2006 United States-Peru Trade Promotion Agreement (‘US-Peru TPA’), https://ustr.gov/trade-agreements/free-trade-agreements/peru-tpa/final-text, accessed 8 November 2017, Article 10.6; 2007 United States-Panama Trade Promotion Agreement (‘US-Panama TPA’), https://ustr.gov/trade-agreements/free-trade-agreements/panama-tpa/final-text, accessed 8 November 2017, Article 10.6. </w:t>
      </w:r>
    </w:p>
  </w:footnote>
  <w:footnote w:id="23">
    <w:p w14:paraId="0CD310D0" w14:textId="736A601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Watson 2015.</w:t>
      </w:r>
    </w:p>
  </w:footnote>
  <w:footnote w:id="24">
    <w:p w14:paraId="5F7843DF" w14:textId="3D6FCEAB"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1999 United States-Bahrain Bilateral Investment Treaty, Treaty Doc 106-25 (‘US-Bahrain BIT’); 1997 United States-Jordan Bilateral Investment Treaty, Treaty Doc 106-30 (‘US-Jordan BIT’).</w:t>
      </w:r>
      <w:proofErr w:type="gramEnd"/>
      <w:r w:rsidRPr="000E51C9">
        <w:rPr>
          <w:rFonts w:ascii="Times New Roman" w:hAnsi="Times New Roman" w:cs="Times New Roman"/>
          <w:color w:val="000000" w:themeColor="text1"/>
          <w:lang w:val="en-GB"/>
        </w:rPr>
        <w:t xml:space="preserve"> </w:t>
      </w:r>
    </w:p>
  </w:footnote>
  <w:footnote w:id="25">
    <w:p w14:paraId="5074F1C1" w14:textId="05583AE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For an explanation of Australia’s policy towards ISDS, see section </w:t>
      </w:r>
      <w:proofErr w:type="gramStart"/>
      <w:r w:rsidRPr="000E51C9">
        <w:rPr>
          <w:rFonts w:ascii="Times New Roman" w:hAnsi="Times New Roman" w:cs="Times New Roman"/>
          <w:color w:val="000000" w:themeColor="text1"/>
          <w:lang w:val="en-GB"/>
        </w:rPr>
        <w:t>X.2.3(</w:t>
      </w:r>
      <w:proofErr w:type="gramEnd"/>
      <w:r w:rsidRPr="000E51C9">
        <w:rPr>
          <w:rFonts w:ascii="Times New Roman" w:hAnsi="Times New Roman" w:cs="Times New Roman"/>
          <w:color w:val="000000" w:themeColor="text1"/>
          <w:lang w:val="en-GB"/>
        </w:rPr>
        <w:t xml:space="preserve">v).  </w:t>
      </w:r>
    </w:p>
  </w:footnote>
  <w:footnote w:id="26">
    <w:p w14:paraId="316B5919" w14:textId="0796B56C"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Government of Canada (2017) Canada’s Free Trade Agreements, </w:t>
      </w:r>
      <w:hyperlink r:id="rId2" w:history="1">
        <w:r w:rsidRPr="000E51C9">
          <w:rPr>
            <w:rStyle w:val="Hyperlink"/>
            <w:rFonts w:ascii="Times New Roman" w:hAnsi="Times New Roman" w:cs="Times New Roman"/>
            <w:color w:val="000000" w:themeColor="text1"/>
            <w:u w:val="none"/>
            <w:lang w:val="en-GB"/>
          </w:rPr>
          <w:t>http://www.international.gc.ca/trade-agreements-accords-commerciaux/agr-acc/fta-ale.aspx?lang=eng</w:t>
        </w:r>
      </w:hyperlink>
      <w:r w:rsidRPr="000E51C9">
        <w:rPr>
          <w:rFonts w:ascii="Times New Roman" w:hAnsi="Times New Roman" w:cs="Times New Roman"/>
          <w:color w:val="000000" w:themeColor="text1"/>
          <w:lang w:val="en-GB"/>
        </w:rPr>
        <w:t>, accessed 25 August 2017. These are the FTAs with Korea (2014), Honduras (2013), Panama (2010), Jordan (2009), Colombia (2008), Peru (2008), EFTA (2008), Costa Rica (2001), Chile (1996) and Israel (1996).</w:t>
      </w:r>
    </w:p>
  </w:footnote>
  <w:footnote w:id="27">
    <w:p w14:paraId="1862CA3F" w14:textId="24D8A66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The FTAs with the EU (CETA, 2016), the Ukraine (2016) and TPP (2016).</w:t>
      </w:r>
      <w:proofErr w:type="gramEnd"/>
      <w:r w:rsidRPr="000E51C9">
        <w:rPr>
          <w:rFonts w:ascii="Times New Roman" w:hAnsi="Times New Roman" w:cs="Times New Roman"/>
          <w:color w:val="000000" w:themeColor="text1"/>
          <w:lang w:val="en-GB"/>
        </w:rPr>
        <w:t xml:space="preserve"> </w:t>
      </w:r>
    </w:p>
  </w:footnote>
  <w:footnote w:id="28">
    <w:p w14:paraId="59F0BD7C" w14:textId="2673B7BF"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There are also several older Trade and Investment Cooperation (TICA) Agreements and Trade and Economic Cooperation Arrangements (TECA) that functioned more as initiators for further collaboration or set a framework for cooperation. These agreements have not been included in the study since they do not provide clear trade liberalisation commitments.</w:t>
      </w:r>
    </w:p>
  </w:footnote>
  <w:footnote w:id="29">
    <w:p w14:paraId="56D32401" w14:textId="07A6D733"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R Willard</w:t>
      </w:r>
      <w:r w:rsidR="00785E5C"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 xml:space="preserve"> S </w:t>
      </w:r>
      <w:proofErr w:type="spellStart"/>
      <w:r w:rsidRPr="000E51C9">
        <w:rPr>
          <w:rFonts w:ascii="Times New Roman" w:hAnsi="Times New Roman" w:cs="Times New Roman"/>
          <w:color w:val="000000" w:themeColor="text1"/>
          <w:lang w:val="en-GB"/>
        </w:rPr>
        <w:t>Morreau</w:t>
      </w:r>
      <w:proofErr w:type="spellEnd"/>
      <w:r w:rsidRPr="000E51C9">
        <w:rPr>
          <w:rFonts w:ascii="Times New Roman" w:hAnsi="Times New Roman" w:cs="Times New Roman"/>
          <w:color w:val="000000" w:themeColor="text1"/>
          <w:lang w:val="en-GB"/>
        </w:rPr>
        <w:t xml:space="preserve"> (2015) The Canadian Model BIT – A Step on the Right Direction for Canadian Investment in Africa? Kluwer Arbitration Blog, 18 July 2015, </w:t>
      </w:r>
      <w:r w:rsidRPr="000E51C9">
        <w:rPr>
          <w:rFonts w:ascii="Times New Roman" w:hAnsi="Times New Roman" w:cs="Times New Roman"/>
          <w:lang w:val="en-GB"/>
        </w:rPr>
        <w:t>http://kluwerarbitrationblog.com/2015/07/18/the-canadian-model-bit-a-step-in-the-right-direction-for-canadian-investment-in-africa/</w:t>
      </w:r>
      <w:r w:rsidRPr="000E51C9">
        <w:rPr>
          <w:rFonts w:ascii="Times New Roman" w:hAnsi="Times New Roman" w:cs="Times New Roman"/>
          <w:color w:val="000000" w:themeColor="text1"/>
          <w:lang w:val="en-GB"/>
        </w:rPr>
        <w:t>, accessed 25 August 2017.</w:t>
      </w:r>
    </w:p>
  </w:footnote>
  <w:footnote w:id="30">
    <w:p w14:paraId="2F289E67" w14:textId="6CE6E271"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2010 Free Trade Agreement </w:t>
      </w:r>
      <w:r w:rsidR="00785E5C" w:rsidRPr="000E51C9">
        <w:rPr>
          <w:rFonts w:ascii="Times New Roman" w:hAnsi="Times New Roman" w:cs="Times New Roman"/>
          <w:color w:val="000000" w:themeColor="text1"/>
          <w:lang w:val="en-GB"/>
        </w:rPr>
        <w:t xml:space="preserve">between the government of Canada and the government of Panama </w:t>
      </w:r>
      <w:r w:rsidRPr="000E51C9">
        <w:rPr>
          <w:rFonts w:ascii="Times New Roman" w:hAnsi="Times New Roman" w:cs="Times New Roman"/>
          <w:color w:val="000000" w:themeColor="text1"/>
          <w:lang w:val="en-GB"/>
        </w:rPr>
        <w:t>(‘Canada-Panama FTA’),</w:t>
      </w:r>
      <w:r w:rsidRPr="000E51C9">
        <w:rPr>
          <w:rFonts w:ascii="Times New Roman" w:hAnsi="Times New Roman" w:cs="Times New Roman"/>
          <w:lang w:val="en-GB"/>
        </w:rPr>
        <w:t xml:space="preserve"> </w:t>
      </w:r>
      <w:r w:rsidRPr="000E51C9">
        <w:rPr>
          <w:rFonts w:ascii="Times New Roman" w:hAnsi="Times New Roman" w:cs="Times New Roman"/>
          <w:color w:val="000000" w:themeColor="text1"/>
          <w:lang w:val="en-GB"/>
        </w:rPr>
        <w:t>http://international.gc.ca/trade-commerce/trade-agreements-accords-commerciaux/agr-acc/panama/fta-ale/index.aspx?lang=eng, accessed 8 November 2017, Article 9.23; 1996 Free Trade Agreement</w:t>
      </w:r>
      <w:r w:rsidR="00785E5C" w:rsidRPr="000E51C9">
        <w:rPr>
          <w:rFonts w:ascii="Times New Roman" w:hAnsi="Times New Roman" w:cs="Times New Roman"/>
          <w:color w:val="000000" w:themeColor="text1"/>
          <w:lang w:val="en-GB"/>
        </w:rPr>
        <w:t xml:space="preserve"> between the Government of Canada and the Government of Chile</w:t>
      </w:r>
      <w:r w:rsidRPr="000E51C9">
        <w:rPr>
          <w:rFonts w:ascii="Times New Roman" w:hAnsi="Times New Roman" w:cs="Times New Roman"/>
          <w:color w:val="000000" w:themeColor="text1"/>
          <w:lang w:val="en-GB"/>
        </w:rPr>
        <w:t xml:space="preserve"> (‘Canada-Chile FTA’), http://international.gc.ca/trade-commerce/trade-agreements-accords-commerciaux/agr-acc/chile-chili/fta-ale/index.aspx?lang=eng, accessed 8 November 2017, Article G-023(2). </w:t>
      </w:r>
    </w:p>
  </w:footnote>
  <w:footnote w:id="31">
    <w:p w14:paraId="06B33208" w14:textId="0AD277A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Lévesque 2006, at 250-251 and 254.</w:t>
      </w:r>
      <w:proofErr w:type="gramEnd"/>
      <w:r w:rsidRPr="000E51C9">
        <w:rPr>
          <w:rFonts w:ascii="Times New Roman" w:hAnsi="Times New Roman" w:cs="Times New Roman"/>
          <w:color w:val="000000" w:themeColor="text1"/>
          <w:lang w:val="en-GB"/>
        </w:rPr>
        <w:t xml:space="preserve"> </w:t>
      </w:r>
    </w:p>
  </w:footnote>
  <w:footnote w:id="32">
    <w:p w14:paraId="6382C91D" w14:textId="39C973F4"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The FIPAs with Jordan (2009), Costa Rica (1998) and Ukraine (1994).</w:t>
      </w:r>
      <w:proofErr w:type="gramEnd"/>
    </w:p>
  </w:footnote>
  <w:footnote w:id="33">
    <w:p w14:paraId="2600625C" w14:textId="76C91FDD"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2007 Treaty on the Functioning of the European Union, OJ C 326/47 (‘TFEU’), Article 207</w:t>
      </w:r>
      <w:r w:rsidR="00785E5C"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 xml:space="preserve"> </w:t>
      </w:r>
      <w:r w:rsidR="00785E5C" w:rsidRPr="000E51C9">
        <w:rPr>
          <w:rFonts w:ascii="Times New Roman" w:hAnsi="Times New Roman" w:cs="Times New Roman"/>
          <w:color w:val="000000" w:themeColor="text1"/>
          <w:lang w:val="en-GB"/>
        </w:rPr>
        <w:t>s</w:t>
      </w:r>
      <w:r w:rsidRPr="000E51C9">
        <w:rPr>
          <w:rFonts w:ascii="Times New Roman" w:hAnsi="Times New Roman" w:cs="Times New Roman"/>
          <w:color w:val="000000" w:themeColor="text1"/>
          <w:lang w:val="en-GB"/>
        </w:rPr>
        <w:t xml:space="preserve">ee </w:t>
      </w:r>
      <w:proofErr w:type="spellStart"/>
      <w:r w:rsidRPr="000E51C9">
        <w:rPr>
          <w:rFonts w:ascii="Times New Roman" w:hAnsi="Times New Roman" w:cs="Times New Roman"/>
          <w:color w:val="000000" w:themeColor="text1"/>
          <w:lang w:val="en-GB"/>
        </w:rPr>
        <w:t>Basedow</w:t>
      </w:r>
      <w:proofErr w:type="spellEnd"/>
      <w:r w:rsidRPr="000E51C9">
        <w:rPr>
          <w:rFonts w:ascii="Times New Roman" w:hAnsi="Times New Roman" w:cs="Times New Roman"/>
          <w:color w:val="000000" w:themeColor="text1"/>
          <w:lang w:val="en-GB"/>
        </w:rPr>
        <w:t xml:space="preserve"> 2016.</w:t>
      </w:r>
    </w:p>
  </w:footnote>
  <w:footnote w:id="34">
    <w:p w14:paraId="77CA1818" w14:textId="315F52B7" w:rsidR="00F17D28" w:rsidRPr="000E51C9" w:rsidRDefault="00F17D28" w:rsidP="00F6726A">
      <w:pPr>
        <w:pStyle w:val="Funotentext"/>
        <w:spacing w:line="240" w:lineRule="auto"/>
        <w:jc w:val="both"/>
        <w:rPr>
          <w:rFonts w:ascii="Times New Roman" w:hAnsi="Times New Roman" w:cs="Times New Roman"/>
          <w:color w:val="000000" w:themeColor="text1"/>
          <w:lang w:val="it-IT"/>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it-IT"/>
        </w:rPr>
        <w:t xml:space="preserve"> </w:t>
      </w:r>
      <w:proofErr w:type="spellStart"/>
      <w:r w:rsidRPr="000E51C9">
        <w:rPr>
          <w:rFonts w:ascii="Times New Roman" w:hAnsi="Times New Roman" w:cs="Times New Roman"/>
          <w:color w:val="000000" w:themeColor="text1"/>
          <w:lang w:val="it-IT"/>
        </w:rPr>
        <w:t>See</w:t>
      </w:r>
      <w:proofErr w:type="spellEnd"/>
      <w:r w:rsidRPr="000E51C9">
        <w:rPr>
          <w:rFonts w:ascii="Times New Roman" w:hAnsi="Times New Roman" w:cs="Times New Roman"/>
          <w:color w:val="000000" w:themeColor="text1"/>
          <w:lang w:val="it-IT"/>
        </w:rPr>
        <w:t xml:space="preserve"> Pantaleo 2014; Fontanelli and Bianco 2014, </w:t>
      </w:r>
      <w:proofErr w:type="spellStart"/>
      <w:proofErr w:type="gramStart"/>
      <w:r w:rsidRPr="000E51C9">
        <w:rPr>
          <w:rFonts w:ascii="Times New Roman" w:hAnsi="Times New Roman" w:cs="Times New Roman"/>
          <w:color w:val="000000" w:themeColor="text1"/>
          <w:lang w:val="it-IT"/>
        </w:rPr>
        <w:t>at</w:t>
      </w:r>
      <w:proofErr w:type="spellEnd"/>
      <w:proofErr w:type="gramEnd"/>
      <w:r w:rsidRPr="000E51C9">
        <w:rPr>
          <w:rFonts w:ascii="Times New Roman" w:hAnsi="Times New Roman" w:cs="Times New Roman"/>
          <w:color w:val="000000" w:themeColor="text1"/>
          <w:lang w:val="it-IT"/>
        </w:rPr>
        <w:t xml:space="preserve"> 215-218. </w:t>
      </w:r>
    </w:p>
  </w:footnote>
  <w:footnote w:id="35">
    <w:p w14:paraId="1F0B4529" w14:textId="103346D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Regulation (EU) No 1219/2012</w:t>
      </w:r>
      <w:r w:rsidRPr="000E51C9">
        <w:rPr>
          <w:rFonts w:ascii="Times New Roman" w:hAnsi="Times New Roman" w:cs="Times New Roman"/>
          <w:lang w:val="en-GB"/>
        </w:rPr>
        <w:t xml:space="preserve"> </w:t>
      </w:r>
      <w:r w:rsidRPr="000E51C9">
        <w:rPr>
          <w:rFonts w:ascii="Times New Roman" w:hAnsi="Times New Roman" w:cs="Times New Roman"/>
          <w:color w:val="000000" w:themeColor="text1"/>
          <w:lang w:val="en-GB"/>
        </w:rPr>
        <w:t>of the European Parliament and of the Council of 12 December 2012 establishing transitional arrangements for bilateral investment agreements between Member States and third countries, OJ L 351/40, Articles 7-11.</w:t>
      </w:r>
    </w:p>
  </w:footnote>
  <w:footnote w:id="36">
    <w:p w14:paraId="6B5A6156" w14:textId="1CD868D5" w:rsidR="00F17D28" w:rsidRPr="000E51C9" w:rsidRDefault="00F17D28" w:rsidP="00F6726A">
      <w:pPr>
        <w:pStyle w:val="Funotentext"/>
        <w:spacing w:line="240" w:lineRule="auto"/>
        <w:jc w:val="both"/>
        <w:rPr>
          <w:rFonts w:ascii="Times New Roman" w:hAnsi="Times New Roman" w:cs="Times New Roman"/>
          <w:i/>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See Brown and Record 2015, at 42</w:t>
      </w:r>
      <w:r w:rsidR="00785E5C"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 xml:space="preserve"> Van </w:t>
      </w:r>
      <w:proofErr w:type="spellStart"/>
      <w:r w:rsidRPr="000E51C9">
        <w:rPr>
          <w:rFonts w:ascii="Times New Roman" w:hAnsi="Times New Roman" w:cs="Times New Roman"/>
          <w:color w:val="000000" w:themeColor="text1"/>
          <w:lang w:val="en-GB"/>
        </w:rPr>
        <w:t>Vooren</w:t>
      </w:r>
      <w:proofErr w:type="spellEnd"/>
      <w:r w:rsidRPr="000E51C9">
        <w:rPr>
          <w:rFonts w:ascii="Times New Roman" w:hAnsi="Times New Roman" w:cs="Times New Roman"/>
          <w:color w:val="000000" w:themeColor="text1"/>
          <w:lang w:val="en-GB"/>
        </w:rPr>
        <w:t xml:space="preserve"> and Wessel 2014, Chapter 15.</w:t>
      </w:r>
      <w:proofErr w:type="gramEnd"/>
    </w:p>
  </w:footnote>
  <w:footnote w:id="37">
    <w:p w14:paraId="568D048D" w14:textId="370275EE"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r w:rsidRPr="000E51C9">
        <w:rPr>
          <w:rFonts w:ascii="Times New Roman" w:hAnsi="Times New Roman" w:cs="Times New Roman"/>
          <w:color w:val="000000" w:themeColor="text1"/>
          <w:lang w:val="en-GB"/>
        </w:rPr>
        <w:t xml:space="preserve">CJEU, Opinion 2/15 of the Court (Full Court), </w:t>
      </w:r>
      <w:r w:rsidRPr="000E51C9">
        <w:rPr>
          <w:rFonts w:ascii="Times New Roman" w:hAnsi="Times New Roman" w:cs="Times New Roman"/>
          <w:color w:val="000000" w:themeColor="text1"/>
          <w:shd w:val="clear" w:color="auto" w:fill="FFFFFF"/>
          <w:lang w:val="en-GB"/>
        </w:rPr>
        <w:t>EU</w:t>
      </w:r>
      <w:proofErr w:type="gramStart"/>
      <w:r w:rsidRPr="000E51C9">
        <w:rPr>
          <w:rFonts w:ascii="Times New Roman" w:hAnsi="Times New Roman" w:cs="Times New Roman"/>
          <w:color w:val="000000" w:themeColor="text1"/>
          <w:shd w:val="clear" w:color="auto" w:fill="FFFFFF"/>
          <w:lang w:val="en-GB"/>
        </w:rPr>
        <w:t>:C:2017:376</w:t>
      </w:r>
      <w:proofErr w:type="gramEnd"/>
      <w:r w:rsidRPr="000E51C9">
        <w:rPr>
          <w:rFonts w:ascii="Times New Roman" w:hAnsi="Times New Roman" w:cs="Times New Roman"/>
          <w:color w:val="000000" w:themeColor="text1"/>
          <w:shd w:val="clear" w:color="auto" w:fill="FFFFFF"/>
          <w:lang w:val="en-GB"/>
        </w:rPr>
        <w:t>, 16 May 2017.</w:t>
      </w:r>
    </w:p>
  </w:footnote>
  <w:footnote w:id="38">
    <w:p w14:paraId="626D7B0D" w14:textId="785D9225"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On the insistence of Wallonia, Belgium has officially requested a CJEU Opinion on the compatibility of the investment court system (ICS) under CETA with EU </w:t>
      </w:r>
      <w:proofErr w:type="gramStart"/>
      <w:r w:rsidRPr="000E51C9">
        <w:rPr>
          <w:rFonts w:ascii="Times New Roman" w:hAnsi="Times New Roman" w:cs="Times New Roman"/>
          <w:lang w:val="en-GB"/>
        </w:rPr>
        <w:t>law.</w:t>
      </w:r>
      <w:proofErr w:type="gramEnd"/>
      <w:r w:rsidRPr="000E51C9">
        <w:rPr>
          <w:rFonts w:ascii="Times New Roman" w:hAnsi="Times New Roman" w:cs="Times New Roman"/>
          <w:lang w:val="en-GB"/>
        </w:rPr>
        <w:t xml:space="preserve"> See Kingdom of Belgium, Foreign Affairs, Foreign Trade and Development Cooperation (2017) Minister Reynders Submits Request for Opinion on CETA, 6 September 2017, https://diplomatie.belgium.be /en/newsroom/news/2017/minister_reynders_submits_request_opinion_ceta</w:t>
      </w:r>
      <w:r w:rsidRPr="000E51C9">
        <w:rPr>
          <w:rStyle w:val="Hyperlink"/>
          <w:rFonts w:ascii="Times New Roman" w:hAnsi="Times New Roman" w:cs="Times New Roman"/>
          <w:color w:val="auto"/>
          <w:u w:val="none"/>
          <w:lang w:val="en-GB"/>
        </w:rPr>
        <w:t>, accessed 8 November 2017</w:t>
      </w:r>
      <w:r w:rsidRPr="000E51C9">
        <w:rPr>
          <w:rFonts w:ascii="Times New Roman" w:hAnsi="Times New Roman" w:cs="Times New Roman"/>
          <w:lang w:val="en-GB"/>
        </w:rPr>
        <w:t xml:space="preserve">. </w:t>
      </w:r>
    </w:p>
  </w:footnote>
  <w:footnote w:id="39">
    <w:p w14:paraId="5E8C1B68" w14:textId="7F4C846B"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S </w:t>
      </w:r>
      <w:proofErr w:type="spellStart"/>
      <w:r w:rsidRPr="000E51C9">
        <w:rPr>
          <w:rFonts w:ascii="Times New Roman" w:hAnsi="Times New Roman" w:cs="Times New Roman"/>
          <w:lang w:val="en-GB"/>
        </w:rPr>
        <w:t>Gáspár-Szilágyi</w:t>
      </w:r>
      <w:proofErr w:type="spellEnd"/>
      <w:r w:rsidRPr="000E51C9">
        <w:rPr>
          <w:rFonts w:ascii="Times New Roman" w:hAnsi="Times New Roman" w:cs="Times New Roman"/>
          <w:lang w:val="en-GB"/>
        </w:rPr>
        <w:t xml:space="preserve"> (2017) A Follow-up to the EU Commission’s Decision to ‘Split’ Trade and Investment Protection, </w:t>
      </w:r>
      <w:r w:rsidRPr="000E51C9">
        <w:rPr>
          <w:rFonts w:ascii="Times New Roman" w:hAnsi="Times New Roman" w:cs="Times New Roman"/>
          <w:iCs/>
          <w:color w:val="000000" w:themeColor="text1"/>
          <w:lang w:val="en-GB"/>
        </w:rPr>
        <w:t>International Economic Law and Policy Blog</w:t>
      </w:r>
      <w:r w:rsidRPr="000E51C9">
        <w:rPr>
          <w:rFonts w:ascii="Times New Roman" w:hAnsi="Times New Roman" w:cs="Times New Roman"/>
          <w:color w:val="000000" w:themeColor="text1"/>
          <w:lang w:val="en-GB"/>
        </w:rPr>
        <w:t xml:space="preserve">, 21 February 2017, </w:t>
      </w:r>
      <w:r w:rsidRPr="000E51C9">
        <w:rPr>
          <w:rFonts w:ascii="Times New Roman" w:hAnsi="Times New Roman" w:cs="Times New Roman"/>
          <w:lang w:val="en-GB"/>
        </w:rPr>
        <w:t xml:space="preserve">http://worldtradelaw.typepad.com/ielpblog /2017/09/guest-post-a-follow-up-to-the-eu-commissions-decision-to-split-trade-and-investment-protection.html, accessed 8 November 2017. </w:t>
      </w:r>
    </w:p>
  </w:footnote>
  <w:footnote w:id="40">
    <w:p w14:paraId="393B7E75" w14:textId="3228C04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These are: FTAs and FTIAs with Korea (2009), Singapore (not signed), Canada (CETA, 2016), Vietnam (not signed); Colombia and Peru (2013, from 2016 also Ecuador); AAs that include DCFTAs with Georgia (2014), Moldova (2014), Ukraine (2014); Central America (2012); SAA with Kosovo (2015); PCA with Iraq (2012); Enhanced PCAs with Kazakhstan (2015); Interim Partnership Agreements with Papua New Guinea and Fiji (2009); EPAs with ECOWAS (not signed), EAC (not signed) and SADC (2016); interim EPA with Cameroon (2009), Ghana (2016) and Madagascar (2009). See European Union External Action (2017) Treaties Office Database, </w:t>
      </w:r>
      <w:r w:rsidRPr="000E51C9">
        <w:rPr>
          <w:rFonts w:ascii="Times New Roman" w:hAnsi="Times New Roman" w:cs="Times New Roman"/>
          <w:lang w:val="en-GB"/>
        </w:rPr>
        <w:t>http://ec.europa.eu/world/agreements/default.home.do</w:t>
      </w:r>
      <w:r w:rsidRPr="000E51C9">
        <w:rPr>
          <w:rStyle w:val="Hyperlink"/>
          <w:rFonts w:ascii="Times New Roman" w:hAnsi="Times New Roman" w:cs="Times New Roman"/>
          <w:color w:val="000000" w:themeColor="text1"/>
          <w:u w:val="none"/>
          <w:lang w:val="en-GB"/>
        </w:rPr>
        <w:t>, accessed 25 August 2017.</w:t>
      </w:r>
    </w:p>
  </w:footnote>
  <w:footnote w:id="41">
    <w:p w14:paraId="15AEE4D4" w14:textId="769D9609" w:rsidR="00F17D28" w:rsidRPr="000E51C9" w:rsidRDefault="00F17D28" w:rsidP="00F6726A">
      <w:pPr>
        <w:pStyle w:val="Funotentext"/>
        <w:spacing w:line="240" w:lineRule="auto"/>
        <w:jc w:val="both"/>
        <w:rPr>
          <w:rFonts w:ascii="Times New Roman" w:hAnsi="Times New Roman" w:cs="Times New Roman"/>
          <w:lang w:val="de-AT"/>
        </w:rPr>
      </w:pPr>
      <w:r w:rsidRPr="000E51C9">
        <w:rPr>
          <w:rStyle w:val="Funotenzeichen"/>
          <w:rFonts w:ascii="Times New Roman" w:hAnsi="Times New Roman" w:cs="Times New Roman"/>
          <w:lang w:val="en-GB"/>
        </w:rPr>
        <w:footnoteRef/>
      </w:r>
      <w:r w:rsidRPr="000E51C9">
        <w:rPr>
          <w:rFonts w:ascii="Times New Roman" w:hAnsi="Times New Roman" w:cs="Times New Roman"/>
          <w:lang w:val="de-AT"/>
        </w:rPr>
        <w:t xml:space="preserve"> 2016 CETA, EU-Vietnam </w:t>
      </w:r>
      <w:proofErr w:type="spellStart"/>
      <w:r w:rsidRPr="000E51C9">
        <w:rPr>
          <w:rFonts w:ascii="Times New Roman" w:hAnsi="Times New Roman" w:cs="Times New Roman"/>
          <w:lang w:val="de-AT"/>
        </w:rPr>
        <w:t>and</w:t>
      </w:r>
      <w:proofErr w:type="spellEnd"/>
      <w:r w:rsidRPr="000E51C9">
        <w:rPr>
          <w:rFonts w:ascii="Times New Roman" w:hAnsi="Times New Roman" w:cs="Times New Roman"/>
          <w:lang w:val="de-AT"/>
        </w:rPr>
        <w:t xml:space="preserve"> EU-</w:t>
      </w:r>
      <w:proofErr w:type="spellStart"/>
      <w:r w:rsidRPr="000E51C9">
        <w:rPr>
          <w:rFonts w:ascii="Times New Roman" w:hAnsi="Times New Roman" w:cs="Times New Roman"/>
          <w:lang w:val="de-AT"/>
        </w:rPr>
        <w:t>Singapore</w:t>
      </w:r>
      <w:proofErr w:type="spellEnd"/>
      <w:r w:rsidRPr="000E51C9">
        <w:rPr>
          <w:rFonts w:ascii="Times New Roman" w:hAnsi="Times New Roman" w:cs="Times New Roman"/>
          <w:lang w:val="de-AT"/>
        </w:rPr>
        <w:t>.</w:t>
      </w:r>
    </w:p>
  </w:footnote>
  <w:footnote w:id="42">
    <w:p w14:paraId="50DF064E" w14:textId="6A0CF998"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proofErr w:type="gramStart"/>
      <w:r w:rsidRPr="000E51C9">
        <w:rPr>
          <w:rFonts w:ascii="Times New Roman" w:hAnsi="Times New Roman" w:cs="Times New Roman"/>
          <w:color w:val="000000" w:themeColor="text1"/>
          <w:lang w:val="en-GB"/>
        </w:rPr>
        <w:t>Miroudot</w:t>
      </w:r>
      <w:proofErr w:type="spellEnd"/>
      <w:r w:rsidRPr="000E51C9">
        <w:rPr>
          <w:rFonts w:ascii="Times New Roman" w:hAnsi="Times New Roman" w:cs="Times New Roman"/>
          <w:color w:val="000000" w:themeColor="text1"/>
          <w:lang w:val="en-GB"/>
        </w:rPr>
        <w:t xml:space="preserve"> 2011, at 316.</w:t>
      </w:r>
      <w:proofErr w:type="gramEnd"/>
      <w:r w:rsidRPr="000E51C9">
        <w:rPr>
          <w:rFonts w:ascii="Times New Roman" w:hAnsi="Times New Roman" w:cs="Times New Roman"/>
          <w:color w:val="000000" w:themeColor="text1"/>
          <w:lang w:val="en-GB"/>
        </w:rPr>
        <w:t xml:space="preserve"> During the 27 February 2017 Stakeholder Meeting on ISDS, Trade Commissioner Cecilia Malmström stated that investment chapters with ISDS shall be included in all future EU FTAs.</w:t>
      </w:r>
    </w:p>
  </w:footnote>
  <w:footnote w:id="43">
    <w:p w14:paraId="23907A10" w14:textId="68163EED"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Council of the European Union, Economic partnership agreement between the West African States, the Economic Community of West African States (ECOWAS) and the West African Economic and Monetary Union (UEMOA), of the one part, and the European Union and its Member States, of the other part, 2014/0265(NLE), 3 December 2014 (‘EU-ECOWAS EPA’), Article 106(2)e; European Commission (2015) Economic Partnership Agreement between the East African Community Partner States, of the one part, and the European Union and its Member States, of the other part (‘EU-EAC EPA’), </w:t>
      </w:r>
      <w:r w:rsidR="00785E5C" w:rsidRPr="000E51C9">
        <w:rPr>
          <w:color w:val="000000" w:themeColor="text1"/>
        </w:rPr>
        <w:t>http://trade.ec.europa.eu/doclib/docs/2015/october/tradoc_153845.compressed.pdf</w:t>
      </w:r>
      <w:r w:rsidRPr="000E51C9">
        <w:rPr>
          <w:rFonts w:ascii="Times New Roman" w:hAnsi="Times New Roman" w:cs="Times New Roman"/>
          <w:color w:val="000000" w:themeColor="text1"/>
          <w:lang w:val="en-GB"/>
        </w:rPr>
        <w:t xml:space="preserve">, accessed 8 November 2017, Article 3(b)ii; 2014 Association Agreement between the European Union and the European Atomic Energy Community and their Member States, of the one part, and Georgia, of the other part, OJ L 261/4 (‘EU-Georgia AA’), Article 80(2); 2014 Association Agreement between the European Union and the European Atomic Energy Community and their Member States, of the one part, and the Republic of Moldova, of the other part, OJ L 260/4 (‘EU-Moldova AA’), Article 206(2); 2014 Association Agreement between the European Union and its Member States, of the one part, and Ukraine, of the other part, OJ L 161/3 (‘EU-Ukraine AA’), Article 89(2); 2012 Agreement establishing an Association between the European Union and its Member States, on the one hand, and Central America on the other, OJ L 346/3 (‘EU-Central America AA’), Article 168; </w:t>
      </w:r>
      <w:r w:rsidR="00101124" w:rsidRPr="000E51C9">
        <w:rPr>
          <w:rFonts w:ascii="Times New Roman" w:hAnsi="Times New Roman" w:cs="Times New Roman"/>
          <w:color w:val="000000" w:themeColor="text1"/>
          <w:lang w:val="en-GB"/>
        </w:rPr>
        <w:t>2012/2016 Trade Agreement between Colombia, Peru and Ecuador and the European Union and its Member States</w:t>
      </w:r>
      <w:r w:rsidR="009462CA" w:rsidRPr="000E51C9">
        <w:rPr>
          <w:rFonts w:ascii="Times New Roman" w:hAnsi="Times New Roman" w:cs="Times New Roman"/>
          <w:color w:val="000000" w:themeColor="text1"/>
          <w:lang w:val="en-GB"/>
        </w:rPr>
        <w:t>, OJ L 354/3, Article 166, OJ L 356/1.</w:t>
      </w:r>
    </w:p>
  </w:footnote>
  <w:footnote w:id="44">
    <w:p w14:paraId="4B42FF38" w14:textId="32FE140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CJEU, Opinion 2/15 of the Court (Full Court), </w:t>
      </w:r>
      <w:r w:rsidRPr="000E51C9">
        <w:rPr>
          <w:rFonts w:ascii="Times New Roman" w:hAnsi="Times New Roman" w:cs="Times New Roman"/>
          <w:color w:val="000000" w:themeColor="text1"/>
          <w:shd w:val="clear" w:color="auto" w:fill="FFFFFF"/>
          <w:lang w:val="en-GB"/>
        </w:rPr>
        <w:t>2017.</w:t>
      </w:r>
    </w:p>
  </w:footnote>
  <w:footnote w:id="45">
    <w:p w14:paraId="6445E0E2" w14:textId="07FA8F7E"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TFEU, Article 217; Van </w:t>
      </w:r>
      <w:proofErr w:type="spellStart"/>
      <w:r w:rsidRPr="000E51C9">
        <w:rPr>
          <w:rFonts w:ascii="Times New Roman" w:hAnsi="Times New Roman" w:cs="Times New Roman"/>
          <w:color w:val="000000" w:themeColor="text1"/>
          <w:lang w:val="en-GB"/>
        </w:rPr>
        <w:t>Vooren</w:t>
      </w:r>
      <w:proofErr w:type="spellEnd"/>
      <w:r w:rsidRPr="000E51C9">
        <w:rPr>
          <w:rFonts w:ascii="Times New Roman" w:hAnsi="Times New Roman" w:cs="Times New Roman"/>
          <w:color w:val="000000" w:themeColor="text1"/>
          <w:lang w:val="en-GB"/>
        </w:rPr>
        <w:t xml:space="preserve"> and Wessel 2014, Chapter 5.</w:t>
      </w:r>
    </w:p>
  </w:footnote>
  <w:footnote w:id="46">
    <w:p w14:paraId="226FBB18"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Even though in 2012 the US drafted a new model BIT, the agreements which entered into force in 2012 (US</w:t>
      </w:r>
      <w:r w:rsidRPr="000E51C9">
        <w:rPr>
          <w:rFonts w:ascii="Times New Roman" w:hAnsi="Times New Roman" w:cs="Times New Roman"/>
          <w:color w:val="000000" w:themeColor="text1"/>
          <w:lang w:val="en-GB"/>
        </w:rPr>
        <w:noBreakHyphen/>
        <w:t xml:space="preserve">Colombia, US-Korea, US-Panama) had been negotiated prior to the 2012 US Model BIT. No FTAs have yet to enter into force after 2012. </w:t>
      </w:r>
    </w:p>
  </w:footnote>
  <w:footnote w:id="47">
    <w:p w14:paraId="33694EFA" w14:textId="07CD5774"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European Commission (2015) Investment in TTIP and Beyond - The Path to Reform, Concept Paper. The goal of reforming ISDS is not restricted to Europe or North America. See for example the South American initiative to create a regional investment dispute settlement institution (Gómez and </w:t>
      </w:r>
      <w:proofErr w:type="spellStart"/>
      <w:r w:rsidRPr="000E51C9">
        <w:rPr>
          <w:rFonts w:ascii="Times New Roman" w:hAnsi="Times New Roman" w:cs="Times New Roman"/>
          <w:color w:val="000000" w:themeColor="text1"/>
          <w:lang w:val="en-GB"/>
        </w:rPr>
        <w:t>Titi</w:t>
      </w:r>
      <w:proofErr w:type="spellEnd"/>
      <w:r w:rsidR="00785E5C" w:rsidRPr="000E51C9">
        <w:rPr>
          <w:rFonts w:ascii="Times New Roman" w:hAnsi="Times New Roman" w:cs="Times New Roman"/>
          <w:color w:val="000000" w:themeColor="text1"/>
          <w:lang w:val="en-GB"/>
        </w:rPr>
        <w:t xml:space="preserve"> 2016</w:t>
      </w:r>
      <w:r w:rsidRPr="000E51C9">
        <w:rPr>
          <w:rFonts w:ascii="Times New Roman" w:hAnsi="Times New Roman" w:cs="Times New Roman"/>
          <w:color w:val="000000" w:themeColor="text1"/>
          <w:lang w:val="en-GB"/>
        </w:rPr>
        <w:t>, at 518-522).</w:t>
      </w:r>
    </w:p>
  </w:footnote>
  <w:footnote w:id="48">
    <w:p w14:paraId="5A084EFD" w14:textId="6849857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iCs/>
          <w:color w:val="000000" w:themeColor="text1"/>
          <w:lang w:val="en-GB"/>
        </w:rPr>
        <w:t>Department of Commerce, Government of India</w:t>
      </w:r>
      <w:r w:rsidRPr="000E51C9">
        <w:rPr>
          <w:rFonts w:ascii="Times New Roman" w:hAnsi="Times New Roman" w:cs="Times New Roman"/>
          <w:color w:val="000000" w:themeColor="text1"/>
          <w:lang w:val="en-GB"/>
        </w:rPr>
        <w:t xml:space="preserve"> (2017) Trade Agreements, updated 8 November 2017, http://commerce.gov.in/InnerContent.aspx?Type=InternationalTrademenu&amp;Id=32, accessed 8 November 2017.</w:t>
      </w:r>
      <w:proofErr w:type="gramEnd"/>
      <w:r w:rsidRPr="000E51C9">
        <w:rPr>
          <w:rFonts w:ascii="Times New Roman" w:hAnsi="Times New Roman" w:cs="Times New Roman"/>
          <w:color w:val="000000" w:themeColor="text1"/>
          <w:lang w:val="en-GB"/>
        </w:rPr>
        <w:t xml:space="preserve"> </w:t>
      </w:r>
      <w:r w:rsidRPr="000E51C9">
        <w:rPr>
          <w:rFonts w:ascii="Times New Roman" w:hAnsi="Times New Roman" w:cs="Times New Roman"/>
          <w:lang w:val="en-GB"/>
        </w:rPr>
        <w:t>Two trade agreements, two framework agreements and four short bilateral trade agreements with African countries were excluded from the analysis due to an absence of substantive legal commitments to liberalise trade.</w:t>
      </w:r>
    </w:p>
  </w:footnote>
  <w:footnote w:id="49">
    <w:p w14:paraId="0BCB201F" w14:textId="5CE07613" w:rsidR="00F17D28" w:rsidRPr="000E51C9" w:rsidRDefault="00F17D28" w:rsidP="00F6726A">
      <w:pPr>
        <w:pStyle w:val="Funotentext"/>
        <w:spacing w:line="240" w:lineRule="auto"/>
        <w:jc w:val="both"/>
        <w:rPr>
          <w:rFonts w:ascii="Times New Roman" w:hAnsi="Times New Roman" w:cs="Times New Roman"/>
          <w:color w:val="000000" w:themeColor="text1"/>
          <w:lang w:val="it-IT"/>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it-IT"/>
        </w:rPr>
        <w:t xml:space="preserve"> India-</w:t>
      </w:r>
      <w:proofErr w:type="spellStart"/>
      <w:r w:rsidRPr="000E51C9">
        <w:rPr>
          <w:rFonts w:ascii="Times New Roman" w:hAnsi="Times New Roman" w:cs="Times New Roman"/>
          <w:color w:val="000000" w:themeColor="text1"/>
          <w:lang w:val="it-IT"/>
        </w:rPr>
        <w:t>Sri</w:t>
      </w:r>
      <w:proofErr w:type="spellEnd"/>
      <w:r w:rsidRPr="000E51C9">
        <w:rPr>
          <w:rFonts w:ascii="Times New Roman" w:hAnsi="Times New Roman" w:cs="Times New Roman"/>
          <w:color w:val="000000" w:themeColor="text1"/>
          <w:lang w:val="it-IT"/>
        </w:rPr>
        <w:t xml:space="preserve"> Lanka</w:t>
      </w:r>
      <w:r w:rsidR="00E943DA" w:rsidRPr="000E51C9">
        <w:rPr>
          <w:rFonts w:ascii="Times New Roman" w:hAnsi="Times New Roman" w:cs="Times New Roman"/>
          <w:color w:val="000000" w:themeColor="text1"/>
          <w:lang w:val="it-IT"/>
        </w:rPr>
        <w:t xml:space="preserve"> (1998)</w:t>
      </w:r>
      <w:r w:rsidRPr="000E51C9">
        <w:rPr>
          <w:rFonts w:ascii="Times New Roman" w:hAnsi="Times New Roman" w:cs="Times New Roman"/>
          <w:color w:val="000000" w:themeColor="text1"/>
          <w:lang w:val="it-IT"/>
        </w:rPr>
        <w:t>; Chile-India</w:t>
      </w:r>
      <w:r w:rsidR="00E943DA" w:rsidRPr="000E51C9">
        <w:rPr>
          <w:rFonts w:ascii="Times New Roman" w:hAnsi="Times New Roman" w:cs="Times New Roman"/>
          <w:color w:val="000000" w:themeColor="text1"/>
          <w:lang w:val="it-IT"/>
        </w:rPr>
        <w:t xml:space="preserve"> (2006)</w:t>
      </w:r>
      <w:r w:rsidR="00785E5C" w:rsidRPr="000E51C9">
        <w:rPr>
          <w:rFonts w:ascii="Times New Roman" w:hAnsi="Times New Roman" w:cs="Times New Roman"/>
          <w:color w:val="000000" w:themeColor="text1"/>
          <w:lang w:val="it-IT"/>
        </w:rPr>
        <w:t>.</w:t>
      </w:r>
      <w:r w:rsidRPr="000E51C9">
        <w:rPr>
          <w:rFonts w:ascii="Times New Roman" w:hAnsi="Times New Roman" w:cs="Times New Roman"/>
          <w:color w:val="000000" w:themeColor="text1"/>
          <w:lang w:val="it-IT"/>
        </w:rPr>
        <w:t xml:space="preserve"> </w:t>
      </w:r>
    </w:p>
  </w:footnote>
  <w:footnote w:id="50">
    <w:p w14:paraId="0A9C016F" w14:textId="091E68F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India-South Africa</w:t>
      </w:r>
      <w:r w:rsidR="00E943DA" w:rsidRPr="000E51C9">
        <w:rPr>
          <w:rFonts w:ascii="Times New Roman" w:hAnsi="Times New Roman" w:cs="Times New Roman"/>
          <w:color w:val="000000" w:themeColor="text1"/>
          <w:lang w:val="en-GB"/>
        </w:rPr>
        <w:t xml:space="preserve"> (1994)</w:t>
      </w:r>
      <w:r w:rsidRPr="000E51C9">
        <w:rPr>
          <w:rFonts w:ascii="Times New Roman" w:hAnsi="Times New Roman" w:cs="Times New Roman"/>
          <w:color w:val="000000" w:themeColor="text1"/>
          <w:lang w:val="en-GB"/>
        </w:rPr>
        <w:t>;</w:t>
      </w:r>
      <w:r w:rsidR="00E943DA" w:rsidRPr="000E51C9">
        <w:rPr>
          <w:rFonts w:ascii="Times New Roman" w:hAnsi="Times New Roman" w:cs="Times New Roman"/>
          <w:color w:val="000000" w:themeColor="text1"/>
          <w:lang w:val="en-GB"/>
        </w:rPr>
        <w:t xml:space="preserve"> </w:t>
      </w:r>
      <w:r w:rsidRPr="000E51C9">
        <w:rPr>
          <w:rFonts w:ascii="Times New Roman" w:hAnsi="Times New Roman" w:cs="Times New Roman"/>
          <w:color w:val="000000" w:themeColor="text1"/>
          <w:lang w:val="en-GB"/>
        </w:rPr>
        <w:t>India-Mongolia</w:t>
      </w:r>
      <w:r w:rsidR="00E943DA" w:rsidRPr="000E51C9">
        <w:rPr>
          <w:rFonts w:ascii="Times New Roman" w:hAnsi="Times New Roman" w:cs="Times New Roman"/>
          <w:color w:val="000000" w:themeColor="text1"/>
          <w:lang w:val="en-GB"/>
        </w:rPr>
        <w:t xml:space="preserve"> (1996)</w:t>
      </w:r>
      <w:r w:rsidRPr="000E51C9">
        <w:rPr>
          <w:rFonts w:ascii="Times New Roman" w:hAnsi="Times New Roman" w:cs="Times New Roman"/>
          <w:color w:val="000000" w:themeColor="text1"/>
          <w:lang w:val="en-GB"/>
        </w:rPr>
        <w:t>; Bangladesh-India</w:t>
      </w:r>
      <w:r w:rsidR="00E943DA" w:rsidRPr="000E51C9">
        <w:rPr>
          <w:rFonts w:ascii="Times New Roman" w:hAnsi="Times New Roman" w:cs="Times New Roman"/>
          <w:color w:val="000000" w:themeColor="text1"/>
          <w:lang w:val="en-GB"/>
        </w:rPr>
        <w:t xml:space="preserve"> (2006)</w:t>
      </w:r>
      <w:r w:rsidRPr="000E51C9">
        <w:rPr>
          <w:rFonts w:ascii="Times New Roman" w:hAnsi="Times New Roman" w:cs="Times New Roman"/>
          <w:color w:val="000000" w:themeColor="text1"/>
          <w:lang w:val="en-GB"/>
        </w:rPr>
        <w:t>.</w:t>
      </w:r>
      <w:proofErr w:type="gramEnd"/>
    </w:p>
  </w:footnote>
  <w:footnote w:id="51">
    <w:p w14:paraId="0ED95D97" w14:textId="74AFEB91"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Ministry of Commerce &amp; Industry, Government of India (2016) Impact of FTAs, 16 November 2016, http://pib.nic.in/newsite/PrintRelease.aspx?relid=153695, accessed 25 August 2017.</w:t>
      </w:r>
    </w:p>
  </w:footnote>
  <w:footnote w:id="52">
    <w:p w14:paraId="43E816D0" w14:textId="6F044124"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R </w:t>
      </w:r>
      <w:proofErr w:type="spellStart"/>
      <w:r w:rsidRPr="000E51C9">
        <w:rPr>
          <w:rFonts w:ascii="Times New Roman" w:hAnsi="Times New Roman" w:cs="Times New Roman"/>
          <w:color w:val="000000" w:themeColor="text1"/>
          <w:lang w:val="en-GB"/>
        </w:rPr>
        <w:t>Howse</w:t>
      </w:r>
      <w:proofErr w:type="spellEnd"/>
      <w:r w:rsidRPr="000E51C9">
        <w:rPr>
          <w:rFonts w:ascii="Times New Roman" w:hAnsi="Times New Roman" w:cs="Times New Roman"/>
          <w:color w:val="000000" w:themeColor="text1"/>
          <w:lang w:val="en-GB"/>
        </w:rPr>
        <w:t xml:space="preserve"> (2017) India Should Hold Firm against the European Efforts to Undermine Its New Model Bilateral Investment Treaty, </w:t>
      </w:r>
      <w:r w:rsidRPr="000E51C9">
        <w:rPr>
          <w:rFonts w:ascii="Times New Roman" w:hAnsi="Times New Roman" w:cs="Times New Roman"/>
          <w:iCs/>
          <w:color w:val="000000" w:themeColor="text1"/>
          <w:lang w:val="en-GB"/>
        </w:rPr>
        <w:t>International Economic Law and Policy Blog</w:t>
      </w:r>
      <w:r w:rsidRPr="000E51C9">
        <w:rPr>
          <w:rFonts w:ascii="Times New Roman" w:hAnsi="Times New Roman" w:cs="Times New Roman"/>
          <w:color w:val="000000" w:themeColor="text1"/>
          <w:lang w:val="en-GB"/>
        </w:rPr>
        <w:t xml:space="preserve">, 21 February 2017, http://worldtradelaw.typepad.com/ielpblog/2017/02/india-should-hold-firm-against-the-european-efforts-to-undermine-its-new-model-bilateral-investment-.html, accessed 25 August 2017. </w:t>
      </w:r>
    </w:p>
  </w:footnote>
  <w:footnote w:id="53">
    <w:p w14:paraId="39C002CE" w14:textId="3A7A4DC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2005 Comprehensive Economic Cooperation Agreement between the Republic of India and the Republic of Singapore (‘India-Singapore CECA’), http://investmentpolicyhub.unctad.org/Download/TreatyFile/2707, accessed 8 November 2017, Article 6.21.</w:t>
      </w:r>
    </w:p>
  </w:footnote>
  <w:footnote w:id="54">
    <w:p w14:paraId="16385921" w14:textId="114400B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2010 Comprehensive Economic Cooperation Agreement between the Government of Malaysia and the Government of the Republic of India (‘India-Malaysia CECA’), http://fta.miti.gov.my/miti-fta/reso</w:t>
      </w:r>
      <w:r w:rsidR="00626452" w:rsidRPr="000E51C9">
        <w:rPr>
          <w:rFonts w:ascii="Times New Roman" w:hAnsi="Times New Roman" w:cs="Times New Roman"/>
          <w:color w:val="000000" w:themeColor="text1"/>
          <w:lang w:val="en-GB"/>
        </w:rPr>
        <w:t>urces/Malaysia-India/MICECA.pdf</w:t>
      </w:r>
      <w:r w:rsidRPr="000E51C9">
        <w:rPr>
          <w:rFonts w:ascii="Times New Roman" w:hAnsi="Times New Roman" w:cs="Times New Roman"/>
          <w:color w:val="000000" w:themeColor="text1"/>
          <w:lang w:val="en-GB"/>
        </w:rPr>
        <w:t>, accessed 8 November 2017, Article 10.14; 2011 Comprehensive Economic Partnership Agreement between the Republic of India and Japan (‘India-Japan CEPA’), http://commerce.nic.in/trade/IJCEPA_Basic_Agreement.pdf, accessed 8 November 2017, Article 96(4); 2014 Comprehensive Economic Cooperation Agreement between the Republic of India and the Republic of Singapore (‘ASEAN–India CECA’), http://investmentpolicyhub.unctad.org/Download/TreatyFile/2707, accessed 8 November 2017, Article 20(7).</w:t>
      </w:r>
    </w:p>
  </w:footnote>
  <w:footnote w:id="55">
    <w:p w14:paraId="0ABFF4A0" w14:textId="2B63808E"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r w:rsidRPr="000E51C9">
        <w:rPr>
          <w:rFonts w:ascii="Times New Roman" w:hAnsi="Times New Roman" w:cs="Times New Roman"/>
          <w:color w:val="000000" w:themeColor="text1"/>
          <w:lang w:val="en-GB"/>
        </w:rPr>
        <w:t>Ranjan</w:t>
      </w:r>
      <w:proofErr w:type="spellEnd"/>
      <w:r w:rsidRPr="000E51C9">
        <w:rPr>
          <w:rFonts w:ascii="Times New Roman" w:hAnsi="Times New Roman" w:cs="Times New Roman"/>
          <w:color w:val="000000" w:themeColor="text1"/>
          <w:lang w:val="en-GB"/>
        </w:rPr>
        <w:t xml:space="preserve"> 2015, at 928–929.</w:t>
      </w:r>
    </w:p>
  </w:footnote>
  <w:footnote w:id="56">
    <w:p w14:paraId="16775C94" w14:textId="4A5EF2BF"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2010 Free Trade Agreement between the Government of the People’s Republic of China and the Government of Costa Rica (‘China-Costa Rica FTA’), http://fta.mofcom.gov.cn/topic/encosta.shtml, accessed 8 November 2017, Article 89, linking to 2007 China</w:t>
      </w:r>
      <w:r w:rsidR="00626452"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Costa Rica BIT; 2013 Free Trade Agreement between the Government of Iceland and the Government of the People’s Republic of China (‘China-Iceland FTA’), https://www.mfa.is/media/fta-kina/Iceland-China.pdf, accessed 8 November 2017, Article 92, linking to 1994 China-Iceland BIT.</w:t>
      </w:r>
    </w:p>
  </w:footnote>
  <w:footnote w:id="57">
    <w:p w14:paraId="7C274AB1" w14:textId="6AE3B59A"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2015 Free Trade Agreement between the Government of Australia and the Government of the People’s Republic of China (‘China-Australia FTA’), http://dfat.gov.au/trade/agreements/chafta/official-documents/Documents/chafta-agreement-text.pdf, accessed 8 November 2017, Article 9.9(2).</w:t>
      </w:r>
    </w:p>
  </w:footnote>
  <w:footnote w:id="58">
    <w:p w14:paraId="0A695999" w14:textId="2F3D605C"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2008 Free Trade Agreement between the Government of the People’s Republic of China and the Government of the Republic of Singapore (‘China-Singapore FTA’), http://fta.mofcom.gov.c</w:t>
      </w:r>
      <w:r w:rsidR="00626452" w:rsidRPr="000E51C9">
        <w:rPr>
          <w:rFonts w:ascii="Times New Roman" w:hAnsi="Times New Roman" w:cs="Times New Roman"/>
          <w:color w:val="000000" w:themeColor="text1"/>
          <w:lang w:val="en-GB"/>
        </w:rPr>
        <w:t>n/singapore/doc/cs_xieyi_en.pdf</w:t>
      </w:r>
      <w:r w:rsidRPr="000E51C9">
        <w:rPr>
          <w:rFonts w:ascii="Times New Roman" w:hAnsi="Times New Roman" w:cs="Times New Roman"/>
          <w:color w:val="000000" w:themeColor="text1"/>
          <w:lang w:val="en-GB"/>
        </w:rPr>
        <w:t>, accessed 8 November 2017, Article 84, referring to the ongoing negotiations of the ASEAN-China Investment Agreement.</w:t>
      </w:r>
    </w:p>
  </w:footnote>
  <w:footnote w:id="59">
    <w:p w14:paraId="069EE846" w14:textId="6D0F5F0F"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Wang 2011, at 497.</w:t>
      </w:r>
      <w:proofErr w:type="gramEnd"/>
    </w:p>
  </w:footnote>
  <w:footnote w:id="60">
    <w:p w14:paraId="1216CC58" w14:textId="379378BB"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2009 Free Trade Agreement between the Government of the People’s Republic of China and the Government of the Republic of Peru (‘China-Peru FTA’),</w:t>
      </w:r>
      <w:r w:rsidRPr="000E51C9">
        <w:rPr>
          <w:rFonts w:ascii="Times New Roman" w:hAnsi="Times New Roman" w:cs="Times New Roman"/>
          <w:lang w:val="en-GB"/>
        </w:rPr>
        <w:t xml:space="preserve"> </w:t>
      </w:r>
      <w:r w:rsidRPr="000E51C9">
        <w:rPr>
          <w:rFonts w:ascii="Times New Roman" w:hAnsi="Times New Roman" w:cs="Times New Roman"/>
          <w:color w:val="000000" w:themeColor="text1"/>
          <w:lang w:val="en-GB"/>
        </w:rPr>
        <w:t>http://fta.mofcom.gov.cn/bilu/annex/bilu_xdwb_en.pdf, accessed 8 November 2017, Article 139; 2009 Agreement on Investment of the Framework Agreement on Comprehensive Economic Cooperation Between the Republic of China and the Association of Southeast Asian Nations (‘ASEAN-China Agreement on Investment’), http://fta.mofcom.gov.cn/inforimages/200908/20090817113007764.pdf, accessed 8 November 2017, Article 14; China</w:t>
      </w:r>
      <w:r w:rsidRPr="000E51C9">
        <w:rPr>
          <w:rFonts w:ascii="Times New Roman" w:hAnsi="Times New Roman" w:cs="Times New Roman"/>
          <w:color w:val="000000" w:themeColor="text1"/>
          <w:lang w:val="en-GB"/>
        </w:rPr>
        <w:noBreakHyphen/>
        <w:t>Australia FTA, Article 9.12(4).</w:t>
      </w:r>
    </w:p>
  </w:footnote>
  <w:footnote w:id="61">
    <w:p w14:paraId="17130E3B"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Wang 2011, at 502–503.</w:t>
      </w:r>
    </w:p>
  </w:footnote>
  <w:footnote w:id="62">
    <w:p w14:paraId="0756EF05" w14:textId="2F8B74A1"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proofErr w:type="gramStart"/>
      <w:r w:rsidRPr="000E51C9">
        <w:rPr>
          <w:rFonts w:ascii="Times New Roman" w:hAnsi="Times New Roman" w:cs="Times New Roman"/>
          <w:lang w:val="en-GB"/>
        </w:rPr>
        <w:t>Ibid.</w:t>
      </w:r>
      <w:proofErr w:type="gramEnd"/>
      <w:r w:rsidRPr="000E51C9">
        <w:rPr>
          <w:rFonts w:ascii="Times New Roman" w:hAnsi="Times New Roman" w:cs="Times New Roman"/>
          <w:lang w:val="en-GB"/>
        </w:rPr>
        <w:t xml:space="preserve"> </w:t>
      </w:r>
    </w:p>
  </w:footnote>
  <w:footnote w:id="63">
    <w:p w14:paraId="51159D9D" w14:textId="44EF65ED"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ASEAN-China Agreement on Investment, Article 4; China-Australia FTA, Article 9.3; 2015 Free Trade Agreement between the Government of the People’s Republic of China and the Government of the Republic of Korea (‘China-Korea FTA’), http://fta.mofcom.gov.cn/korea/annex/xdzw_en.pdf, accessed 8 November 2017, Article 12.3.</w:t>
      </w:r>
    </w:p>
  </w:footnote>
  <w:footnote w:id="64">
    <w:p w14:paraId="454C6202" w14:textId="63BE6BD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 xml:space="preserve">Wang </w:t>
      </w:r>
      <w:r w:rsidR="00626452" w:rsidRPr="000E51C9">
        <w:rPr>
          <w:rFonts w:ascii="Times New Roman" w:hAnsi="Times New Roman" w:cs="Times New Roman"/>
          <w:color w:val="000000" w:themeColor="text1"/>
          <w:lang w:val="en-GB"/>
        </w:rPr>
        <w:t>2</w:t>
      </w:r>
      <w:r w:rsidRPr="000E51C9">
        <w:rPr>
          <w:rFonts w:ascii="Times New Roman" w:hAnsi="Times New Roman" w:cs="Times New Roman"/>
          <w:color w:val="000000" w:themeColor="text1"/>
          <w:lang w:val="en-GB"/>
        </w:rPr>
        <w:t>0</w:t>
      </w:r>
      <w:r w:rsidR="00626452" w:rsidRPr="000E51C9">
        <w:rPr>
          <w:rFonts w:ascii="Times New Roman" w:hAnsi="Times New Roman" w:cs="Times New Roman"/>
          <w:color w:val="000000" w:themeColor="text1"/>
          <w:lang w:val="en-GB"/>
        </w:rPr>
        <w:t>11</w:t>
      </w:r>
      <w:r w:rsidRPr="000E51C9">
        <w:rPr>
          <w:rFonts w:ascii="Times New Roman" w:hAnsi="Times New Roman" w:cs="Times New Roman"/>
          <w:color w:val="000000" w:themeColor="text1"/>
          <w:lang w:val="en-GB"/>
        </w:rPr>
        <w:t>, at 503.</w:t>
      </w:r>
      <w:proofErr w:type="gramEnd"/>
    </w:p>
  </w:footnote>
  <w:footnote w:id="65">
    <w:p w14:paraId="1E58B5A1" w14:textId="1B3C453E"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Ibid.,</w:t>
      </w:r>
      <w:proofErr w:type="gramEnd"/>
      <w:r w:rsidRPr="000E51C9">
        <w:rPr>
          <w:rFonts w:ascii="Times New Roman" w:hAnsi="Times New Roman" w:cs="Times New Roman"/>
          <w:color w:val="000000" w:themeColor="text1"/>
          <w:lang w:val="en-GB"/>
        </w:rPr>
        <w:t xml:space="preserve"> at 498–499. On the evolution of Chinese investment agreements, see </w:t>
      </w:r>
      <w:proofErr w:type="spellStart"/>
      <w:r w:rsidRPr="000E51C9">
        <w:rPr>
          <w:rFonts w:ascii="Times New Roman" w:hAnsi="Times New Roman" w:cs="Times New Roman"/>
          <w:color w:val="000000" w:themeColor="text1"/>
          <w:lang w:val="en-GB"/>
        </w:rPr>
        <w:t>Fontanelli</w:t>
      </w:r>
      <w:proofErr w:type="spellEnd"/>
      <w:r w:rsidRPr="000E51C9">
        <w:rPr>
          <w:rFonts w:ascii="Times New Roman" w:hAnsi="Times New Roman" w:cs="Times New Roman"/>
          <w:color w:val="000000" w:themeColor="text1"/>
          <w:lang w:val="en-GB"/>
        </w:rPr>
        <w:t xml:space="preserve"> and Bianco 2014, at 238-239.</w:t>
      </w:r>
    </w:p>
  </w:footnote>
  <w:footnote w:id="66">
    <w:p w14:paraId="1EE1B40A" w14:textId="2C1889C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 xml:space="preserve">ASEAN Agreement for the Promotion and Protection of Investments </w:t>
      </w:r>
      <w:r w:rsidR="00AC5669" w:rsidRPr="000E51C9">
        <w:rPr>
          <w:rFonts w:ascii="Times New Roman" w:hAnsi="Times New Roman" w:cs="Times New Roman"/>
          <w:color w:val="000000" w:themeColor="text1"/>
          <w:lang w:val="en-GB"/>
        </w:rPr>
        <w:t xml:space="preserve">(1987) </w:t>
      </w:r>
      <w:r w:rsidRPr="000E51C9">
        <w:rPr>
          <w:rFonts w:ascii="Times New Roman" w:hAnsi="Times New Roman" w:cs="Times New Roman"/>
          <w:color w:val="000000" w:themeColor="text1"/>
          <w:lang w:val="en-GB"/>
        </w:rPr>
        <w:t>and the Framework Agreement on the ASEAN Investment Area</w:t>
      </w:r>
      <w:r w:rsidR="00E943DA" w:rsidRPr="000E51C9">
        <w:rPr>
          <w:rFonts w:ascii="Times New Roman" w:hAnsi="Times New Roman" w:cs="Times New Roman"/>
          <w:color w:val="000000" w:themeColor="text1"/>
          <w:lang w:val="en-GB"/>
        </w:rPr>
        <w:t xml:space="preserve"> (1998)</w:t>
      </w:r>
      <w:r w:rsidRPr="000E51C9">
        <w:rPr>
          <w:rFonts w:ascii="Times New Roman" w:hAnsi="Times New Roman" w:cs="Times New Roman"/>
          <w:color w:val="000000" w:themeColor="text1"/>
          <w:lang w:val="en-GB"/>
        </w:rPr>
        <w:t>.</w:t>
      </w:r>
      <w:proofErr w:type="gramEnd"/>
      <w:r w:rsidRPr="000E51C9">
        <w:rPr>
          <w:rFonts w:ascii="Times New Roman" w:hAnsi="Times New Roman" w:cs="Times New Roman"/>
          <w:color w:val="000000" w:themeColor="text1"/>
          <w:lang w:val="en-GB"/>
        </w:rPr>
        <w:t xml:space="preserve"> See also P </w:t>
      </w:r>
      <w:proofErr w:type="spellStart"/>
      <w:r w:rsidRPr="000E51C9">
        <w:rPr>
          <w:rFonts w:ascii="Times New Roman" w:eastAsia="Times New Roman" w:hAnsi="Times New Roman" w:cs="Times New Roman"/>
          <w:color w:val="000000" w:themeColor="text1"/>
          <w:lang w:val="en-GB"/>
        </w:rPr>
        <w:t>Malanczuk</w:t>
      </w:r>
      <w:proofErr w:type="spellEnd"/>
      <w:r w:rsidRPr="000E51C9">
        <w:rPr>
          <w:rFonts w:ascii="Times New Roman" w:eastAsia="Times New Roman" w:hAnsi="Times New Roman" w:cs="Times New Roman"/>
          <w:color w:val="000000" w:themeColor="text1"/>
          <w:lang w:val="en-GB"/>
        </w:rPr>
        <w:t xml:space="preserve"> (2011) Association of Southeast Asian Nations (ASEAN), </w:t>
      </w:r>
      <w:r w:rsidRPr="000E51C9">
        <w:rPr>
          <w:rFonts w:ascii="Times New Roman" w:eastAsia="Times New Roman" w:hAnsi="Times New Roman" w:cs="Times New Roman"/>
          <w:iCs/>
          <w:color w:val="000000" w:themeColor="text1"/>
          <w:lang w:val="en-GB"/>
        </w:rPr>
        <w:t xml:space="preserve">Max Planck </w:t>
      </w:r>
      <w:proofErr w:type="spellStart"/>
      <w:r w:rsidRPr="000E51C9">
        <w:rPr>
          <w:rFonts w:ascii="Times New Roman" w:eastAsia="Times New Roman" w:hAnsi="Times New Roman" w:cs="Times New Roman"/>
          <w:iCs/>
          <w:color w:val="000000" w:themeColor="text1"/>
          <w:lang w:val="en-GB"/>
        </w:rPr>
        <w:t>Encyclopedia</w:t>
      </w:r>
      <w:proofErr w:type="spellEnd"/>
      <w:r w:rsidRPr="000E51C9">
        <w:rPr>
          <w:rFonts w:ascii="Times New Roman" w:eastAsia="Times New Roman" w:hAnsi="Times New Roman" w:cs="Times New Roman"/>
          <w:iCs/>
          <w:color w:val="000000" w:themeColor="text1"/>
          <w:lang w:val="en-GB"/>
        </w:rPr>
        <w:t xml:space="preserve"> of Public International Law</w:t>
      </w:r>
      <w:r w:rsidRPr="000E51C9">
        <w:rPr>
          <w:rFonts w:ascii="Times New Roman" w:eastAsia="Times New Roman" w:hAnsi="Times New Roman" w:cs="Times New Roman"/>
          <w:color w:val="000000" w:themeColor="text1"/>
          <w:lang w:val="en-GB"/>
        </w:rPr>
        <w:t xml:space="preserve">, updated May 2011, http://opil.ouplaw.com/view/10.1093/law:epil/9780199231690/law-9780199231690-e898?rskey=Gk2eXt&amp;result=2&amp;prd=EPIL, </w:t>
      </w:r>
      <w:r w:rsidRPr="000E51C9">
        <w:rPr>
          <w:rFonts w:ascii="Times New Roman" w:hAnsi="Times New Roman" w:cs="Times New Roman"/>
          <w:color w:val="000000" w:themeColor="text1"/>
          <w:lang w:val="en-GB"/>
        </w:rPr>
        <w:t>accessed 25 August 2017,</w:t>
      </w:r>
      <w:r w:rsidRPr="000E51C9">
        <w:rPr>
          <w:rFonts w:ascii="Times New Roman" w:eastAsia="Times New Roman" w:hAnsi="Times New Roman" w:cs="Times New Roman"/>
          <w:color w:val="000000" w:themeColor="text1"/>
          <w:lang w:val="en-GB"/>
        </w:rPr>
        <w:t xml:space="preserve"> paras 24-29; </w:t>
      </w:r>
      <w:proofErr w:type="spellStart"/>
      <w:r w:rsidRPr="000E51C9">
        <w:rPr>
          <w:rFonts w:ascii="Times New Roman" w:eastAsia="Times New Roman" w:hAnsi="Times New Roman" w:cs="Times New Roman"/>
          <w:color w:val="000000" w:themeColor="text1"/>
          <w:lang w:val="en-GB"/>
        </w:rPr>
        <w:t>Tevini</w:t>
      </w:r>
      <w:proofErr w:type="spellEnd"/>
      <w:r w:rsidRPr="000E51C9">
        <w:rPr>
          <w:rFonts w:ascii="Times New Roman" w:eastAsia="Times New Roman" w:hAnsi="Times New Roman" w:cs="Times New Roman"/>
          <w:color w:val="000000" w:themeColor="text1"/>
          <w:lang w:val="en-GB"/>
        </w:rPr>
        <w:t xml:space="preserve"> 2013.</w:t>
      </w:r>
    </w:p>
  </w:footnote>
  <w:footnote w:id="67">
    <w:p w14:paraId="53C4A977" w14:textId="4469574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NT (Article 5), MFN (Article 6), FET and FPS (Article 11), protections against expropriation (Article 16) and others.</w:t>
      </w:r>
      <w:proofErr w:type="gramEnd"/>
    </w:p>
  </w:footnote>
  <w:footnote w:id="68">
    <w:p w14:paraId="3AA61F29" w14:textId="34376675"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2009 ASEAN Comprehensive Investment Agreement (‘ACIA’), http://www.asean.org/storage/images/2013/economic/aia/ACIA_Final_Text_26%20Feb%202009.pdf, accessed 8 November 2017, Article 33(1).</w:t>
      </w:r>
      <w:proofErr w:type="gramEnd"/>
      <w:r w:rsidRPr="000E51C9">
        <w:rPr>
          <w:rFonts w:ascii="Times New Roman" w:hAnsi="Times New Roman" w:cs="Times New Roman"/>
          <w:color w:val="000000" w:themeColor="text1"/>
          <w:lang w:val="en-GB"/>
        </w:rPr>
        <w:t xml:space="preserve"> The Kuala Lumpur Regional Centre for Arbitration also appears in 2005 Agreement between the Government of Malaysia and the Government of Japan for an Economic Partnership (‘Malaysia-Japan EPA’), http://fta.miti.gov.my/miti-fta/resources/auto%20download%20images/55894af110378.pdf, accessed 8 November 2017, Article 85.</w:t>
      </w:r>
    </w:p>
  </w:footnote>
  <w:footnote w:id="69">
    <w:p w14:paraId="12063513" w14:textId="77547373"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2008 Agreement on Comprehensive Economic Partnership among Japan and Member States of the Association of Southeast Asian Nations (‘ASEAN-Japan CEPA’), http://www.mofa.go.jp/policy/economy/fta/asean/agreement.pdf, accessed 8 November 2017, Article 51.</w:t>
      </w:r>
    </w:p>
  </w:footnote>
  <w:footnote w:id="70">
    <w:p w14:paraId="6D5C6FC9" w14:textId="7DDDEF7F"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The Framework Agreement on the ASEAN Investment Area (1998) was excluded from the first group, while the framework agreements with China (2002), Japan (2003), India (2004), Korea (2005) and the US (2006) were excluded from the second.</w:t>
      </w:r>
    </w:p>
  </w:footnote>
  <w:footnote w:id="71">
    <w:p w14:paraId="6074BFC1" w14:textId="321C8753"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Ministry of Foreign Affairs of Japan (2002) Japan’s FTA Strategy, October 2002, http://www.mofa.go.jp/policy/economy/fta/strategy0210.html, accessed 25 August 2017. </w:t>
      </w:r>
    </w:p>
  </w:footnote>
  <w:footnote w:id="72">
    <w:p w14:paraId="79ED3F0E" w14:textId="50DFB8C5" w:rsidR="00F17D28" w:rsidRPr="000E51C9" w:rsidRDefault="00F17D28" w:rsidP="00F6726A">
      <w:pPr>
        <w:spacing w:line="240" w:lineRule="auto"/>
        <w:jc w:val="both"/>
        <w:rPr>
          <w:color w:val="000000" w:themeColor="text1"/>
          <w:sz w:val="20"/>
          <w:szCs w:val="20"/>
        </w:rPr>
      </w:pPr>
      <w:r w:rsidRPr="000E51C9">
        <w:rPr>
          <w:rStyle w:val="Funotenzeichen"/>
          <w:color w:val="000000" w:themeColor="text1"/>
          <w:sz w:val="20"/>
          <w:szCs w:val="20"/>
        </w:rPr>
        <w:footnoteRef/>
      </w:r>
      <w:r w:rsidRPr="000E51C9">
        <w:rPr>
          <w:color w:val="000000" w:themeColor="text1"/>
          <w:sz w:val="20"/>
          <w:szCs w:val="20"/>
        </w:rPr>
        <w:t xml:space="preserve"> These are the EPAs with Mexico (2005), Malaysia (2006), Chile (2007), Thailand (2007), Indonesia (2007), Brunei (2008), Singapore (2006), ASEAN (2007), Philippines (2006), Switzerland (2009), Vietnam (2009), India (2011), Peru (2011), Australia (2014) and Mongolia (2015). Japan is also negotiating EPAs with Canada, Colombia, the Golf Cooperation Council, the EU and South Korea. See Ministry of Foreign Affairs of Japan (2017) Economic Policy, Free Trade Agreement (FTA) and Economic Partnership Agreement (EPA), 12 October 2017, </w:t>
      </w:r>
      <w:hyperlink r:id="rId3" w:history="1">
        <w:r w:rsidRPr="000E51C9">
          <w:rPr>
            <w:rStyle w:val="Hyperlink"/>
            <w:color w:val="000000" w:themeColor="text1"/>
            <w:sz w:val="20"/>
            <w:szCs w:val="20"/>
            <w:u w:val="none"/>
          </w:rPr>
          <w:t>http://www.mofa.go.jp/policy/economy/fta/</w:t>
        </w:r>
      </w:hyperlink>
      <w:r w:rsidRPr="000E51C9">
        <w:rPr>
          <w:color w:val="000000" w:themeColor="text1"/>
          <w:sz w:val="20"/>
          <w:szCs w:val="20"/>
        </w:rPr>
        <w:t>, accessed 25 August 2017.</w:t>
      </w:r>
    </w:p>
  </w:footnote>
  <w:footnote w:id="73">
    <w:p w14:paraId="1D98E42A" w14:textId="60A5F20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2009 Agreement on Free Trade and Economic Partnership between Japan and the Swiss Confederation (‘Japan-Switzerland EPA’), http://www.mofa.go.jp/region/europe/switzerland/epa0902/agreement.pdf, accessed 8 November 2017, Article 92.</w:t>
      </w:r>
    </w:p>
  </w:footnote>
  <w:footnote w:id="74">
    <w:p w14:paraId="1D9520FC"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 xml:space="preserve">Kurtz and </w:t>
      </w:r>
      <w:proofErr w:type="spellStart"/>
      <w:r w:rsidRPr="000E51C9">
        <w:rPr>
          <w:rFonts w:ascii="Times New Roman" w:hAnsi="Times New Roman" w:cs="Times New Roman"/>
          <w:color w:val="000000" w:themeColor="text1"/>
          <w:lang w:val="en-GB"/>
        </w:rPr>
        <w:t>Nottage</w:t>
      </w:r>
      <w:proofErr w:type="spellEnd"/>
      <w:r w:rsidRPr="000E51C9">
        <w:rPr>
          <w:rFonts w:ascii="Times New Roman" w:hAnsi="Times New Roman" w:cs="Times New Roman"/>
          <w:color w:val="000000" w:themeColor="text1"/>
          <w:lang w:val="en-GB"/>
        </w:rPr>
        <w:t xml:space="preserve"> 2015, at 466.</w:t>
      </w:r>
      <w:proofErr w:type="gramEnd"/>
    </w:p>
  </w:footnote>
  <w:footnote w:id="75">
    <w:p w14:paraId="7D1F1705" w14:textId="31C03F4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w:t>
      </w:r>
      <w:proofErr w:type="spellStart"/>
      <w:r w:rsidRPr="000E51C9">
        <w:rPr>
          <w:rFonts w:ascii="Times New Roman" w:hAnsi="Times New Roman" w:cs="Times New Roman"/>
          <w:color w:val="000000" w:themeColor="text1"/>
          <w:lang w:val="en-GB"/>
        </w:rPr>
        <w:t>Nottage</w:t>
      </w:r>
      <w:proofErr w:type="spellEnd"/>
      <w:r w:rsidRPr="000E51C9">
        <w:rPr>
          <w:rFonts w:ascii="Times New Roman" w:hAnsi="Times New Roman" w:cs="Times New Roman"/>
          <w:color w:val="000000" w:themeColor="text1"/>
          <w:lang w:val="en-GB"/>
        </w:rPr>
        <w:t xml:space="preserve"> 2013, at 255-258</w:t>
      </w:r>
      <w:r w:rsidR="004E0D1A"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 xml:space="preserve"> He and </w:t>
      </w:r>
      <w:proofErr w:type="spellStart"/>
      <w:r w:rsidRPr="000E51C9">
        <w:rPr>
          <w:rFonts w:ascii="Times New Roman" w:hAnsi="Times New Roman" w:cs="Times New Roman"/>
          <w:color w:val="000000" w:themeColor="text1"/>
          <w:lang w:val="en-GB"/>
        </w:rPr>
        <w:t>Sappideen</w:t>
      </w:r>
      <w:proofErr w:type="spellEnd"/>
      <w:r w:rsidRPr="000E51C9">
        <w:rPr>
          <w:rFonts w:ascii="Times New Roman" w:hAnsi="Times New Roman" w:cs="Times New Roman"/>
          <w:color w:val="000000" w:themeColor="text1"/>
          <w:lang w:val="en-GB"/>
        </w:rPr>
        <w:t xml:space="preserve"> 2013, at 232.</w:t>
      </w:r>
    </w:p>
  </w:footnote>
  <w:footnote w:id="76">
    <w:p w14:paraId="1F21AA48" w14:textId="57A1117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These are the FTAs with Singapore (2003), Thailand (2003), US (2004), Chile (2008), ASEAN/AANZFTA (2009), Malaysia (2012), Korea (2014), Japan (2014) and China (2015) and the TPP (2016). The ones with the US, China, Japan and ASEAN appear in those sections as well. See Australian Government Department of Foreign Affairs and Trade (2017) Free Trade Agreements, </w:t>
      </w:r>
      <w:hyperlink r:id="rId4" w:history="1">
        <w:r w:rsidRPr="000E51C9">
          <w:rPr>
            <w:rStyle w:val="Hyperlink"/>
            <w:rFonts w:ascii="Times New Roman" w:hAnsi="Times New Roman" w:cs="Times New Roman"/>
            <w:color w:val="000000" w:themeColor="text1"/>
            <w:u w:val="none"/>
            <w:lang w:val="en-GB"/>
          </w:rPr>
          <w:t>http://dfat.gov.au/trade/agreements/pages/trade-agreements.aspx</w:t>
        </w:r>
      </w:hyperlink>
      <w:r w:rsidRPr="000E51C9">
        <w:rPr>
          <w:rStyle w:val="Hyperlink"/>
          <w:rFonts w:ascii="Times New Roman" w:hAnsi="Times New Roman" w:cs="Times New Roman"/>
          <w:color w:val="000000" w:themeColor="text1"/>
          <w:u w:val="none"/>
          <w:lang w:val="en-GB"/>
        </w:rPr>
        <w:t xml:space="preserve">, </w:t>
      </w:r>
      <w:r w:rsidRPr="000E51C9">
        <w:rPr>
          <w:rFonts w:ascii="Times New Roman" w:hAnsi="Times New Roman" w:cs="Times New Roman"/>
          <w:color w:val="000000" w:themeColor="text1"/>
          <w:lang w:val="en-GB"/>
        </w:rPr>
        <w:t>accessed 25 August 2017.</w:t>
      </w:r>
    </w:p>
  </w:footnote>
  <w:footnote w:id="77">
    <w:p w14:paraId="698E51C3" w14:textId="1643F3EC"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r w:rsidRPr="000E51C9">
        <w:rPr>
          <w:rFonts w:ascii="Times New Roman" w:hAnsi="Times New Roman" w:cs="Times New Roman"/>
          <w:color w:val="000000" w:themeColor="text1"/>
          <w:lang w:val="en-GB"/>
        </w:rPr>
        <w:t>Still, Article 11.6 does envisage the possibility of the future setting up of an ISDS.</w:t>
      </w:r>
    </w:p>
  </w:footnote>
  <w:footnote w:id="78">
    <w:p w14:paraId="13E39C3B" w14:textId="3FEF9D9A"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K </w:t>
      </w:r>
      <w:proofErr w:type="spellStart"/>
      <w:r w:rsidRPr="000E51C9">
        <w:rPr>
          <w:rFonts w:ascii="Times New Roman" w:hAnsi="Times New Roman" w:cs="Times New Roman"/>
          <w:color w:val="000000" w:themeColor="text1"/>
          <w:lang w:val="en-GB"/>
        </w:rPr>
        <w:t>Tienhaara</w:t>
      </w:r>
      <w:proofErr w:type="spellEnd"/>
      <w:r w:rsidRPr="000E51C9">
        <w:rPr>
          <w:rFonts w:ascii="Times New Roman" w:hAnsi="Times New Roman" w:cs="Times New Roman"/>
          <w:color w:val="000000" w:themeColor="text1"/>
          <w:lang w:val="en-GB"/>
        </w:rPr>
        <w:t xml:space="preserve">, P Ranald (2011) Australia’s Rejection of Investor-State Dispute Settlement: Four Potential Contributing Factors, Investment Treaty News, 12 July 2011, </w:t>
      </w:r>
      <w:hyperlink r:id="rId5" w:history="1">
        <w:r w:rsidRPr="000E51C9">
          <w:rPr>
            <w:rStyle w:val="Hyperlink"/>
            <w:rFonts w:ascii="Times New Roman" w:hAnsi="Times New Roman" w:cs="Times New Roman"/>
            <w:color w:val="000000" w:themeColor="text1"/>
            <w:u w:val="none"/>
            <w:lang w:val="en-GB"/>
          </w:rPr>
          <w:t>http://www.iisd.org/itn/2011/07/12/australias-rejection-of-investor-state-dispute-settlement-four-potential-contributing-factors/</w:t>
        </w:r>
      </w:hyperlink>
      <w:r w:rsidRPr="000E51C9">
        <w:rPr>
          <w:rFonts w:ascii="Times New Roman" w:hAnsi="Times New Roman" w:cs="Times New Roman"/>
          <w:color w:val="000000" w:themeColor="text1"/>
          <w:lang w:val="en-GB"/>
        </w:rPr>
        <w:t xml:space="preserve">, accessed 25 August 2017; Kurtz and </w:t>
      </w:r>
      <w:proofErr w:type="spellStart"/>
      <w:r w:rsidRPr="000E51C9">
        <w:rPr>
          <w:rFonts w:ascii="Times New Roman" w:hAnsi="Times New Roman" w:cs="Times New Roman"/>
          <w:color w:val="000000" w:themeColor="text1"/>
          <w:lang w:val="en-GB"/>
        </w:rPr>
        <w:t>Nottage</w:t>
      </w:r>
      <w:proofErr w:type="spellEnd"/>
      <w:r w:rsidRPr="000E51C9">
        <w:rPr>
          <w:rFonts w:ascii="Times New Roman" w:hAnsi="Times New Roman" w:cs="Times New Roman"/>
          <w:color w:val="000000" w:themeColor="text1"/>
          <w:lang w:val="en-GB"/>
        </w:rPr>
        <w:t xml:space="preserve"> 2015, at 469.</w:t>
      </w:r>
    </w:p>
  </w:footnote>
  <w:footnote w:id="79">
    <w:p w14:paraId="1DED369D" w14:textId="667E006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w:t>
      </w:r>
      <w:proofErr w:type="spellStart"/>
      <w:r w:rsidRPr="000E51C9">
        <w:rPr>
          <w:rFonts w:ascii="Times New Roman" w:hAnsi="Times New Roman" w:cs="Times New Roman"/>
          <w:color w:val="000000" w:themeColor="text1"/>
          <w:lang w:val="en-GB"/>
        </w:rPr>
        <w:t>Nottage</w:t>
      </w:r>
      <w:proofErr w:type="spellEnd"/>
      <w:r w:rsidRPr="000E51C9">
        <w:rPr>
          <w:rFonts w:ascii="Times New Roman" w:hAnsi="Times New Roman" w:cs="Times New Roman"/>
          <w:color w:val="000000" w:themeColor="text1"/>
          <w:lang w:val="en-GB"/>
        </w:rPr>
        <w:t xml:space="preserve"> 2013, at 255-258; He and </w:t>
      </w:r>
      <w:proofErr w:type="spellStart"/>
      <w:r w:rsidRPr="000E51C9">
        <w:rPr>
          <w:rFonts w:ascii="Times New Roman" w:hAnsi="Times New Roman" w:cs="Times New Roman"/>
          <w:color w:val="000000" w:themeColor="text1"/>
          <w:lang w:val="en-GB"/>
        </w:rPr>
        <w:t>Sappideen</w:t>
      </w:r>
      <w:proofErr w:type="spellEnd"/>
      <w:r w:rsidRPr="000E51C9">
        <w:rPr>
          <w:rFonts w:ascii="Times New Roman" w:hAnsi="Times New Roman" w:cs="Times New Roman"/>
          <w:color w:val="000000" w:themeColor="text1"/>
          <w:lang w:val="en-GB"/>
        </w:rPr>
        <w:t xml:space="preserve"> 2013, at 232.</w:t>
      </w:r>
    </w:p>
  </w:footnote>
  <w:footnote w:id="80">
    <w:p w14:paraId="3054DAD6" w14:textId="3530FA2A"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Australia does not have pre-existing BITs with these countries. See UNCTAD (2013) Australian BITs, </w:t>
      </w:r>
      <w:hyperlink r:id="rId6" w:history="1">
        <w:r w:rsidRPr="000E51C9">
          <w:rPr>
            <w:rStyle w:val="Hyperlink"/>
            <w:rFonts w:ascii="Times New Roman" w:hAnsi="Times New Roman" w:cs="Times New Roman"/>
            <w:color w:val="000000" w:themeColor="text1"/>
            <w:u w:val="none"/>
            <w:lang w:val="en-GB"/>
          </w:rPr>
          <w:t>http://investmentpolicyhub.unctad.org/IIA/CountryBits/11</w:t>
        </w:r>
      </w:hyperlink>
      <w:r w:rsidRPr="000E51C9">
        <w:rPr>
          <w:rFonts w:ascii="Times New Roman" w:hAnsi="Times New Roman" w:cs="Times New Roman"/>
          <w:color w:val="000000" w:themeColor="text1"/>
          <w:lang w:val="en-GB"/>
        </w:rPr>
        <w:t>, accessed 25 August 2017.</w:t>
      </w:r>
    </w:p>
  </w:footnote>
  <w:footnote w:id="81">
    <w:p w14:paraId="425C0741"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 xml:space="preserve">Kurtz and </w:t>
      </w:r>
      <w:proofErr w:type="spellStart"/>
      <w:r w:rsidRPr="000E51C9">
        <w:rPr>
          <w:rFonts w:ascii="Times New Roman" w:hAnsi="Times New Roman" w:cs="Times New Roman"/>
          <w:color w:val="000000" w:themeColor="text1"/>
          <w:lang w:val="en-GB"/>
        </w:rPr>
        <w:t>Nottage</w:t>
      </w:r>
      <w:proofErr w:type="spellEnd"/>
      <w:r w:rsidRPr="000E51C9">
        <w:rPr>
          <w:rFonts w:ascii="Times New Roman" w:hAnsi="Times New Roman" w:cs="Times New Roman"/>
          <w:color w:val="000000" w:themeColor="text1"/>
          <w:lang w:val="en-GB"/>
        </w:rPr>
        <w:t xml:space="preserve"> 2015, at 468.</w:t>
      </w:r>
      <w:proofErr w:type="gramEnd"/>
    </w:p>
  </w:footnote>
  <w:footnote w:id="82">
    <w:p w14:paraId="4271DCC6" w14:textId="20E7716D"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 xml:space="preserve">Barreiro and </w:t>
      </w:r>
      <w:proofErr w:type="spellStart"/>
      <w:r w:rsidRPr="000E51C9">
        <w:rPr>
          <w:rFonts w:ascii="Times New Roman" w:hAnsi="Times New Roman" w:cs="Times New Roman"/>
          <w:color w:val="000000" w:themeColor="text1"/>
          <w:lang w:val="en-GB"/>
        </w:rPr>
        <w:t>Lemos</w:t>
      </w:r>
      <w:proofErr w:type="spellEnd"/>
      <w:r w:rsidRPr="000E51C9">
        <w:rPr>
          <w:rFonts w:ascii="Times New Roman" w:hAnsi="Times New Roman" w:cs="Times New Roman"/>
          <w:color w:val="000000" w:themeColor="text1"/>
          <w:lang w:val="en-GB"/>
        </w:rPr>
        <w:t xml:space="preserve"> Daniela 2013, at 6.</w:t>
      </w:r>
      <w:proofErr w:type="gramEnd"/>
    </w:p>
  </w:footnote>
  <w:footnote w:id="83">
    <w:p w14:paraId="252F5D77" w14:textId="0AE13E24"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Ibid.,</w:t>
      </w:r>
      <w:proofErr w:type="gramEnd"/>
      <w:r w:rsidRPr="000E51C9">
        <w:rPr>
          <w:rFonts w:ascii="Times New Roman" w:hAnsi="Times New Roman" w:cs="Times New Roman"/>
          <w:color w:val="000000" w:themeColor="text1"/>
          <w:lang w:val="en-GB"/>
        </w:rPr>
        <w:t xml:space="preserve"> at 13 et seq.</w:t>
      </w:r>
    </w:p>
  </w:footnote>
  <w:footnote w:id="84">
    <w:p w14:paraId="139DB530" w14:textId="661E8203"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 xml:space="preserve">Gómez and </w:t>
      </w:r>
      <w:proofErr w:type="spellStart"/>
      <w:r w:rsidRPr="000E51C9">
        <w:rPr>
          <w:rFonts w:ascii="Times New Roman" w:hAnsi="Times New Roman" w:cs="Times New Roman"/>
          <w:color w:val="000000" w:themeColor="text1"/>
          <w:lang w:val="en-GB"/>
        </w:rPr>
        <w:t>Titi</w:t>
      </w:r>
      <w:proofErr w:type="spellEnd"/>
      <w:r w:rsidRPr="000E51C9">
        <w:rPr>
          <w:rFonts w:ascii="Times New Roman" w:hAnsi="Times New Roman" w:cs="Times New Roman"/>
          <w:color w:val="000000" w:themeColor="text1"/>
          <w:lang w:val="en-GB"/>
        </w:rPr>
        <w:t xml:space="preserve"> 2016, at 522–524; J de </w:t>
      </w:r>
      <w:proofErr w:type="spellStart"/>
      <w:r w:rsidRPr="000E51C9">
        <w:rPr>
          <w:rFonts w:ascii="Times New Roman" w:hAnsi="Times New Roman" w:cs="Times New Roman"/>
          <w:color w:val="000000" w:themeColor="text1"/>
          <w:lang w:val="en-GB"/>
        </w:rPr>
        <w:t>Paiva</w:t>
      </w:r>
      <w:proofErr w:type="spellEnd"/>
      <w:r w:rsidRPr="000E51C9">
        <w:rPr>
          <w:rFonts w:ascii="Times New Roman" w:hAnsi="Times New Roman" w:cs="Times New Roman"/>
          <w:color w:val="000000" w:themeColor="text1"/>
          <w:lang w:val="en-GB"/>
        </w:rPr>
        <w:t xml:space="preserve"> Muniz, L </w:t>
      </w:r>
      <w:proofErr w:type="spellStart"/>
      <w:r w:rsidRPr="000E51C9">
        <w:rPr>
          <w:rFonts w:ascii="Times New Roman" w:hAnsi="Times New Roman" w:cs="Times New Roman"/>
          <w:color w:val="000000" w:themeColor="text1"/>
          <w:lang w:val="en-GB"/>
        </w:rPr>
        <w:t>Peretti</w:t>
      </w:r>
      <w:proofErr w:type="spellEnd"/>
      <w:r w:rsidRPr="000E51C9">
        <w:rPr>
          <w:rFonts w:ascii="Times New Roman" w:hAnsi="Times New Roman" w:cs="Times New Roman"/>
          <w:color w:val="000000" w:themeColor="text1"/>
          <w:lang w:val="en-GB"/>
        </w:rPr>
        <w:t xml:space="preserve"> (2015) Brazil Signs New Bilateral Investment Treaties with Mozambique and Angola: New Approach to BITs or ‘Toothless Lions’?</w:t>
      </w:r>
      <w:proofErr w:type="gramEnd"/>
      <w:r w:rsidRPr="000E51C9">
        <w:rPr>
          <w:rFonts w:ascii="Times New Roman" w:hAnsi="Times New Roman" w:cs="Times New Roman"/>
          <w:color w:val="000000" w:themeColor="text1"/>
          <w:lang w:val="en-GB"/>
        </w:rPr>
        <w:t xml:space="preserve"> Global Arbitration News, 7 April 2015, https://globalarbitrationnews.com/20150407-brazil-signs-new-bilateral-investment-treaties/, accessed 25 August 2017. </w:t>
      </w:r>
    </w:p>
  </w:footnote>
  <w:footnote w:id="85">
    <w:p w14:paraId="24927580" w14:textId="1A5DA895"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The treaty with MERCOSUR (1996) will be presented below together with other regional treaties, while PTAs with Canada (1996), India and US (both 2003), China (2005), Japan (2007) and Australia (2008) are reviewed together with these countries respectively. The Chile-EU Association Agreement that includes a comprehensive FTA (2003) was concluded before the Lisbon Agreement and therefore excluded from the analysis (see section X.2.2 above).</w:t>
      </w:r>
    </w:p>
  </w:footnote>
  <w:footnote w:id="86">
    <w:p w14:paraId="21B27689" w14:textId="5E7D90AE"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FTAs between Chile and Mexico (1998), Korea (2003), Peru (2006) and Colombia (2006). The latest </w:t>
      </w:r>
      <w:proofErr w:type="spellStart"/>
      <w:r w:rsidRPr="000E51C9">
        <w:rPr>
          <w:rFonts w:ascii="Times New Roman" w:hAnsi="Times New Roman" w:cs="Times New Roman"/>
          <w:color w:val="000000" w:themeColor="text1"/>
          <w:lang w:val="en-GB"/>
        </w:rPr>
        <w:t>plurilateral</w:t>
      </w:r>
      <w:proofErr w:type="spellEnd"/>
      <w:r w:rsidRPr="000E51C9">
        <w:rPr>
          <w:rFonts w:ascii="Times New Roman" w:hAnsi="Times New Roman" w:cs="Times New Roman"/>
          <w:color w:val="000000" w:themeColor="text1"/>
          <w:lang w:val="en-GB"/>
        </w:rPr>
        <w:t xml:space="preserve"> agreement of Chile, Colombia, Mexico and Peru, the Pacific Alliance FTA (2014), also contains a broad investment chapter.</w:t>
      </w:r>
    </w:p>
  </w:footnote>
  <w:footnote w:id="87">
    <w:p w14:paraId="567A20BD" w14:textId="495D6B1A"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1999 Free Trade Agreement between Central America and Chile (‘Chile - Central America FTA’), http://www.sice.oas.org/Trade/chicam/Text.pdf, accessed 8 November 2017, Articles 10.01-10.02.</w:t>
      </w:r>
      <w:proofErr w:type="gramEnd"/>
    </w:p>
  </w:footnote>
  <w:footnote w:id="88">
    <w:p w14:paraId="2646CAA1" w14:textId="1224516F"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2006 Free Trade Agreement between Chile and Panama (‘Chile-Panama FTA’), http://www.sice.oas.org/Trade/CHL_PAN_FTA/TLC-Chile-Panama.pdf, accessed 8 November 2017, Articles 9.2.</w:t>
      </w:r>
      <w:proofErr w:type="gramEnd"/>
    </w:p>
  </w:footnote>
  <w:footnote w:id="89">
    <w:p w14:paraId="04D83F69" w14:textId="17874A88"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FTAs between Chile and Turkey (2009), Malaysia (2010), Vietnam (2011), Hong Kong, China (2012) and Thailand (2013).</w:t>
      </w:r>
    </w:p>
  </w:footnote>
  <w:footnote w:id="90">
    <w:p w14:paraId="7705461B" w14:textId="1654CA3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eastAsia="Times New Roman" w:hAnsi="Times New Roman" w:cs="Times New Roman"/>
          <w:color w:val="000000" w:themeColor="text1"/>
          <w:lang w:val="en-GB"/>
        </w:rPr>
        <w:t xml:space="preserve">Gómez and </w:t>
      </w:r>
      <w:proofErr w:type="spellStart"/>
      <w:r w:rsidRPr="000E51C9">
        <w:rPr>
          <w:rFonts w:ascii="Times New Roman" w:eastAsia="Times New Roman" w:hAnsi="Times New Roman" w:cs="Times New Roman"/>
          <w:color w:val="000000" w:themeColor="text1"/>
          <w:lang w:val="en-GB"/>
        </w:rPr>
        <w:t>Titi</w:t>
      </w:r>
      <w:proofErr w:type="spellEnd"/>
      <w:r w:rsidRPr="000E51C9">
        <w:rPr>
          <w:rFonts w:ascii="Times New Roman" w:eastAsia="Times New Roman" w:hAnsi="Times New Roman" w:cs="Times New Roman"/>
          <w:color w:val="000000" w:themeColor="text1"/>
          <w:lang w:val="en-GB"/>
        </w:rPr>
        <w:t xml:space="preserve"> 2016, at 530; </w:t>
      </w:r>
      <w:proofErr w:type="spellStart"/>
      <w:r w:rsidRPr="000E51C9">
        <w:rPr>
          <w:rFonts w:ascii="Times New Roman" w:eastAsia="Times New Roman" w:hAnsi="Times New Roman" w:cs="Times New Roman"/>
          <w:color w:val="000000" w:themeColor="text1"/>
          <w:lang w:val="en-GB"/>
        </w:rPr>
        <w:t>Tavassi</w:t>
      </w:r>
      <w:proofErr w:type="spellEnd"/>
      <w:r w:rsidRPr="000E51C9">
        <w:rPr>
          <w:rFonts w:ascii="Times New Roman" w:eastAsia="Times New Roman" w:hAnsi="Times New Roman" w:cs="Times New Roman"/>
          <w:color w:val="000000" w:themeColor="text1"/>
          <w:lang w:val="en-GB"/>
        </w:rPr>
        <w:t xml:space="preserve"> 2013, at 366.</w:t>
      </w:r>
      <w:proofErr w:type="gramEnd"/>
    </w:p>
  </w:footnote>
  <w:footnote w:id="91">
    <w:p w14:paraId="205F6509" w14:textId="3CC7987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1996 Free Trade Agreement between Chile and MERCOSUR (‘Chile-MERCOSUR FTA’), ACE No. 35, Article 41; 1996 Economic Complementation Agreement between Bolivia and MERCOSUR (‘Bolivia-MERCOSUR ECA’), ACE No. 36, Articles 35-36; 2005 Free Trade Agreement between MERCOSUR and Peru (‘MERCOSUR-Peru FTA’), ACE No. 58, Articles 29-30; 2010 Free Trade Agreement between MERCOSUR and the Arab Republic of Egypt (‘Egypt-MERCOSUR FTA’), http://www.jmcti.org/kaigai/Latin/2010/2010_09/2010_09_Ms01.pdf, accessed 8 November 2017, Articles 23.</w:t>
      </w:r>
    </w:p>
  </w:footnote>
  <w:footnote w:id="92">
    <w:p w14:paraId="06B3BB0D" w14:textId="313E092C"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Ruse-Khan and </w:t>
      </w:r>
      <w:proofErr w:type="spellStart"/>
      <w:r w:rsidRPr="000E51C9">
        <w:rPr>
          <w:rFonts w:ascii="Times New Roman" w:hAnsi="Times New Roman" w:cs="Times New Roman"/>
          <w:color w:val="000000" w:themeColor="text1"/>
          <w:lang w:val="en-GB"/>
        </w:rPr>
        <w:t>Ononaiwu</w:t>
      </w:r>
      <w:proofErr w:type="spellEnd"/>
      <w:r w:rsidRPr="000E51C9">
        <w:rPr>
          <w:rFonts w:ascii="Times New Roman" w:hAnsi="Times New Roman" w:cs="Times New Roman"/>
          <w:color w:val="000000" w:themeColor="text1"/>
          <w:lang w:val="en-GB"/>
        </w:rPr>
        <w:t xml:space="preserve"> 2015, at 146-149. </w:t>
      </w:r>
    </w:p>
  </w:footnote>
  <w:footnote w:id="93">
    <w:p w14:paraId="16A4A6C7" w14:textId="50C7445F"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w:t>
      </w:r>
      <w:proofErr w:type="gramStart"/>
      <w:r w:rsidRPr="000E51C9">
        <w:rPr>
          <w:rFonts w:ascii="Times New Roman" w:hAnsi="Times New Roman" w:cs="Times New Roman"/>
          <w:color w:val="000000" w:themeColor="text1"/>
          <w:lang w:val="en-GB"/>
        </w:rPr>
        <w:t>1994 Agreement on Trade, Economic and Technical Cooperation between CARICOM and Colombia (‘CARICOM–Colombia ATEC’), AAP.A25TM No. 31, Articles 1 and 18.</w:t>
      </w:r>
      <w:proofErr w:type="gramEnd"/>
    </w:p>
  </w:footnote>
  <w:footnote w:id="94">
    <w:p w14:paraId="459EE108" w14:textId="169A94BE"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1998 Free Trade Agreement between CARICOM and the Dominican Republic (‘CARICOM-Dominican Republic FTA’), Annex III, http://www.sice.oas.org/Trade/Ccdr/English/Annexes/Annx_III_e.pdf, accessed 8 November 2017; 2000 </w:t>
      </w:r>
      <w:r w:rsidR="00DF66FF" w:rsidRPr="000E51C9">
        <w:rPr>
          <w:rFonts w:ascii="Times New Roman" w:hAnsi="Times New Roman" w:cs="Times New Roman"/>
          <w:color w:val="000000" w:themeColor="text1"/>
          <w:lang w:val="en-GB"/>
        </w:rPr>
        <w:t>Trade and Economic Co-operation Agreement between the Caribbean Community (CARICOM) and the Government of the Republic of Cuba (‘</w:t>
      </w:r>
      <w:r w:rsidRPr="000E51C9">
        <w:rPr>
          <w:rFonts w:ascii="Times New Roman" w:hAnsi="Times New Roman" w:cs="Times New Roman"/>
          <w:color w:val="000000" w:themeColor="text1"/>
          <w:lang w:val="en-GB"/>
        </w:rPr>
        <w:t>CARICOM</w:t>
      </w:r>
      <w:r w:rsidR="00DF66FF"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Cuba</w:t>
      </w:r>
      <w:r w:rsidR="00DF66FF" w:rsidRPr="000E51C9">
        <w:rPr>
          <w:rFonts w:ascii="Times New Roman" w:hAnsi="Times New Roman" w:cs="Times New Roman"/>
          <w:color w:val="000000" w:themeColor="text1"/>
          <w:lang w:val="en-GB"/>
        </w:rPr>
        <w:t xml:space="preserve"> TECA’)</w:t>
      </w:r>
      <w:r w:rsidRPr="000E51C9">
        <w:rPr>
          <w:rFonts w:ascii="Times New Roman" w:hAnsi="Times New Roman" w:cs="Times New Roman"/>
          <w:color w:val="000000" w:themeColor="text1"/>
          <w:lang w:val="en-GB"/>
        </w:rPr>
        <w:t xml:space="preserve">, </w:t>
      </w:r>
      <w:r w:rsidR="00DF66FF" w:rsidRPr="000E51C9">
        <w:rPr>
          <w:rFonts w:ascii="Times New Roman" w:hAnsi="Times New Roman" w:cs="Times New Roman"/>
          <w:color w:val="000000" w:themeColor="text1"/>
          <w:lang w:val="en-GB"/>
        </w:rPr>
        <w:t>http://mfaft.gov.jm/wp/wp-content/uploads/2017/06/CARICOM-Cuba.pdf, accessed 13 November 2017, Annex A.</w:t>
      </w:r>
    </w:p>
  </w:footnote>
  <w:footnote w:id="95">
    <w:p w14:paraId="7B2BC758" w14:textId="5FE0547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CARICOM-Dominican Republic FTA, Annex III, Article VIII. </w:t>
      </w:r>
    </w:p>
  </w:footnote>
  <w:footnote w:id="96">
    <w:p w14:paraId="598B7A32" w14:textId="7C1669F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CARICOM-CUBA</w:t>
      </w:r>
      <w:r w:rsidR="00DF66FF" w:rsidRPr="000E51C9">
        <w:rPr>
          <w:rFonts w:ascii="Times New Roman" w:hAnsi="Times New Roman" w:cs="Times New Roman"/>
          <w:color w:val="000000" w:themeColor="text1"/>
          <w:lang w:val="en-GB"/>
        </w:rPr>
        <w:t xml:space="preserve"> TECA</w:t>
      </w:r>
      <w:r w:rsidRPr="000E51C9">
        <w:rPr>
          <w:rFonts w:ascii="Times New Roman" w:hAnsi="Times New Roman" w:cs="Times New Roman"/>
          <w:color w:val="000000" w:themeColor="text1"/>
          <w:lang w:val="en-GB"/>
        </w:rPr>
        <w:t xml:space="preserve">, Annex A, Article XII. </w:t>
      </w:r>
    </w:p>
  </w:footnote>
  <w:footnote w:id="97">
    <w:p w14:paraId="6AC7B896" w14:textId="3C143AFC" w:rsidR="00F17D28" w:rsidRPr="000E51C9" w:rsidRDefault="00F17D28" w:rsidP="00F6726A">
      <w:pPr>
        <w:spacing w:line="240" w:lineRule="auto"/>
        <w:jc w:val="both"/>
        <w:rPr>
          <w:color w:val="000000" w:themeColor="text1"/>
          <w:sz w:val="20"/>
          <w:szCs w:val="20"/>
        </w:rPr>
      </w:pPr>
      <w:r w:rsidRPr="000E51C9">
        <w:rPr>
          <w:rStyle w:val="Funotenzeichen"/>
          <w:color w:val="000000" w:themeColor="text1"/>
          <w:sz w:val="20"/>
          <w:szCs w:val="20"/>
        </w:rPr>
        <w:footnoteRef/>
      </w:r>
      <w:r w:rsidRPr="000E51C9">
        <w:rPr>
          <w:color w:val="000000" w:themeColor="text1"/>
          <w:sz w:val="20"/>
          <w:szCs w:val="20"/>
        </w:rPr>
        <w:t xml:space="preserve"> Export Promotion Council of Kenya (2017) Trade Agreements, </w:t>
      </w:r>
      <w:r w:rsidRPr="000E51C9">
        <w:rPr>
          <w:sz w:val="20"/>
          <w:szCs w:val="20"/>
        </w:rPr>
        <w:t>http://epckenya.org/index.php?option=com_content&amp;task=view&amp;id=50&amp;Itemid=70</w:t>
      </w:r>
      <w:r w:rsidRPr="000E51C9">
        <w:rPr>
          <w:color w:val="000000" w:themeColor="text1"/>
          <w:sz w:val="20"/>
          <w:szCs w:val="20"/>
        </w:rPr>
        <w:t>, accessed 25 August 2017.</w:t>
      </w:r>
    </w:p>
  </w:footnote>
  <w:footnote w:id="98">
    <w:p w14:paraId="0B0131E1"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The Government of Kenya’s website only includes the names of the agreements, not their texts. The WTO RTA Database does not include RTAs with Kenya. The UNCTAD database under ‘Treaties with Investment Provisions’ (TIPs) only includes agreements to which Kenya is a party via its membership to REIOs, such as COMESA. </w:t>
      </w:r>
    </w:p>
  </w:footnote>
  <w:footnote w:id="99">
    <w:p w14:paraId="28AA246B" w14:textId="162DBFA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Department of Trade and Industry, Republic of South Africa (2017) Trade Agreements, </w:t>
      </w:r>
      <w:r w:rsidRPr="000E51C9">
        <w:rPr>
          <w:rFonts w:ascii="Times New Roman" w:hAnsi="Times New Roman" w:cs="Times New Roman"/>
          <w:lang w:val="en-GB"/>
        </w:rPr>
        <w:t xml:space="preserve">https://www.thedti.gov.za/trade_investment/ited_trade_agreement.jsp, </w:t>
      </w:r>
      <w:r w:rsidRPr="000E51C9">
        <w:rPr>
          <w:rFonts w:ascii="Times New Roman" w:hAnsi="Times New Roman" w:cs="Times New Roman"/>
          <w:color w:val="000000" w:themeColor="text1"/>
          <w:lang w:val="en-GB"/>
        </w:rPr>
        <w:t>accessed 25 August 2017. These are 1996 Zimbabwe-South Africa, 1999 Trade and Development Cooperation Agreement with the EU, 2002 South African Customs Union Agreement (SACU), 2006 EFTA-SACU (2006), 2008 SACU-MERCOSUR and 2016 EU-SADC. The TIFA and TIDCA between South Africa and the US were not included due to their hortatory and exploratory character. Neither were two non-reciprocal trade agreements included.</w:t>
      </w:r>
    </w:p>
  </w:footnote>
  <w:footnote w:id="100">
    <w:p w14:paraId="5F072D7C" w14:textId="741E1D71"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r w:rsidRPr="000E51C9">
        <w:rPr>
          <w:rFonts w:ascii="Times New Roman" w:hAnsi="Times New Roman" w:cs="Times New Roman"/>
          <w:color w:val="000000" w:themeColor="text1"/>
          <w:lang w:val="en-GB"/>
        </w:rPr>
        <w:t>These are the FTAs with the EU/EC (1996), the Pan-Arab Free Trade Area (1997), the US (2004), the Agadir Agreement (2004), EFTA (1997) and Turkey (2004).</w:t>
      </w:r>
    </w:p>
  </w:footnote>
  <w:footnote w:id="101">
    <w:p w14:paraId="7BF07EC6" w14:textId="65C3400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2003 ECOWAS Energy Protocol, A/P4/1/03.</w:t>
      </w:r>
      <w:proofErr w:type="gramEnd"/>
    </w:p>
  </w:footnote>
  <w:footnote w:id="102">
    <w:p w14:paraId="4561013A" w14:textId="425C659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1993 Treaty establishing the Common Market for Eastern and Southern Africa, 33 ILM 1067 (1994) (‘COMESA Treaty’), Articles 159(1</w:t>
      </w:r>
      <w:proofErr w:type="gramStart"/>
      <w:r w:rsidRPr="000E51C9">
        <w:rPr>
          <w:rFonts w:ascii="Times New Roman" w:hAnsi="Times New Roman" w:cs="Times New Roman"/>
          <w:color w:val="000000" w:themeColor="text1"/>
          <w:lang w:val="en-GB"/>
        </w:rPr>
        <w:t>)(</w:t>
      </w:r>
      <w:proofErr w:type="gramEnd"/>
      <w:r w:rsidRPr="000E51C9">
        <w:rPr>
          <w:rFonts w:ascii="Times New Roman" w:hAnsi="Times New Roman" w:cs="Times New Roman"/>
          <w:color w:val="000000" w:themeColor="text1"/>
          <w:lang w:val="en-GB"/>
        </w:rPr>
        <w:t>a) and 159(3).</w:t>
      </w:r>
    </w:p>
  </w:footnote>
  <w:footnote w:id="103">
    <w:p w14:paraId="157DC55D" w14:textId="6DB2677C"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Ibid.,</w:t>
      </w:r>
      <w:proofErr w:type="gramEnd"/>
      <w:r w:rsidRPr="000E51C9">
        <w:rPr>
          <w:rFonts w:ascii="Times New Roman" w:hAnsi="Times New Roman" w:cs="Times New Roman"/>
          <w:color w:val="000000" w:themeColor="text1"/>
          <w:lang w:val="en-GB"/>
        </w:rPr>
        <w:t xml:space="preserve"> Chapter III.</w:t>
      </w:r>
    </w:p>
  </w:footnote>
  <w:footnote w:id="104">
    <w:p w14:paraId="15094EB7" w14:textId="7038F62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Ibid.,</w:t>
      </w:r>
      <w:proofErr w:type="gramEnd"/>
      <w:r w:rsidRPr="000E51C9">
        <w:rPr>
          <w:rFonts w:ascii="Times New Roman" w:hAnsi="Times New Roman" w:cs="Times New Roman"/>
          <w:color w:val="000000" w:themeColor="text1"/>
          <w:lang w:val="en-GB"/>
        </w:rPr>
        <w:t xml:space="preserve"> Chapter V, Article 26.</w:t>
      </w:r>
    </w:p>
  </w:footnote>
  <w:footnote w:id="105">
    <w:p w14:paraId="7E036315" w14:textId="755D469B"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proofErr w:type="spellStart"/>
      <w:proofErr w:type="gramStart"/>
      <w:r w:rsidRPr="000E51C9">
        <w:rPr>
          <w:rFonts w:ascii="Times New Roman" w:hAnsi="Times New Roman" w:cs="Times New Roman"/>
          <w:lang w:val="en-GB"/>
        </w:rPr>
        <w:t>Páez</w:t>
      </w:r>
      <w:proofErr w:type="spellEnd"/>
      <w:r w:rsidRPr="000E51C9">
        <w:rPr>
          <w:rFonts w:ascii="Times New Roman" w:hAnsi="Times New Roman" w:cs="Times New Roman"/>
          <w:lang w:val="en-GB"/>
        </w:rPr>
        <w:t xml:space="preserve"> 2017, at 389.</w:t>
      </w:r>
      <w:proofErr w:type="gramEnd"/>
    </w:p>
  </w:footnote>
  <w:footnote w:id="106">
    <w:p w14:paraId="62FD21ED" w14:textId="54475A61"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proofErr w:type="gramStart"/>
      <w:r w:rsidRPr="000E51C9">
        <w:rPr>
          <w:rFonts w:ascii="Times New Roman" w:hAnsi="Times New Roman" w:cs="Times New Roman"/>
          <w:lang w:val="en-GB"/>
        </w:rPr>
        <w:t>Ibid.,</w:t>
      </w:r>
      <w:proofErr w:type="gramEnd"/>
      <w:r w:rsidRPr="000E51C9">
        <w:rPr>
          <w:rFonts w:ascii="Times New Roman" w:hAnsi="Times New Roman" w:cs="Times New Roman"/>
          <w:lang w:val="en-GB"/>
        </w:rPr>
        <w:t xml:space="preserve"> at 394-398. </w:t>
      </w:r>
    </w:p>
  </w:footnote>
  <w:footnote w:id="107">
    <w:p w14:paraId="2CEF26FA" w14:textId="55A74F2D"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Gao 2015, at 89.</w:t>
      </w:r>
      <w:proofErr w:type="gramEnd"/>
    </w:p>
  </w:footnote>
  <w:footnote w:id="108">
    <w:p w14:paraId="62B8F129" w14:textId="506327F5"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Section </w:t>
      </w:r>
      <w:proofErr w:type="gramStart"/>
      <w:r w:rsidRPr="000E51C9">
        <w:rPr>
          <w:rFonts w:ascii="Times New Roman" w:hAnsi="Times New Roman" w:cs="Times New Roman"/>
          <w:lang w:val="en-GB"/>
        </w:rPr>
        <w:t>X.2.2(</w:t>
      </w:r>
      <w:proofErr w:type="spellStart"/>
      <w:proofErr w:type="gramEnd"/>
      <w:r w:rsidRPr="000E51C9">
        <w:rPr>
          <w:rFonts w:ascii="Times New Roman" w:hAnsi="Times New Roman" w:cs="Times New Roman"/>
          <w:lang w:val="en-GB"/>
        </w:rPr>
        <w:t>i</w:t>
      </w:r>
      <w:proofErr w:type="spellEnd"/>
      <w:r w:rsidRPr="000E51C9">
        <w:rPr>
          <w:rFonts w:ascii="Times New Roman" w:hAnsi="Times New Roman" w:cs="Times New Roman"/>
          <w:lang w:val="en-GB"/>
        </w:rPr>
        <w:t>) United States.</w:t>
      </w:r>
    </w:p>
  </w:footnote>
  <w:footnote w:id="109">
    <w:p w14:paraId="794FD31F" w14:textId="0700D15A"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Section </w:t>
      </w:r>
      <w:proofErr w:type="gramStart"/>
      <w:r w:rsidRPr="000E51C9">
        <w:rPr>
          <w:rFonts w:ascii="Times New Roman" w:hAnsi="Times New Roman" w:cs="Times New Roman"/>
          <w:lang w:val="en-GB"/>
        </w:rPr>
        <w:t>X.2.2(</w:t>
      </w:r>
      <w:proofErr w:type="gramEnd"/>
      <w:r w:rsidRPr="000E51C9">
        <w:rPr>
          <w:rFonts w:ascii="Times New Roman" w:hAnsi="Times New Roman" w:cs="Times New Roman"/>
          <w:lang w:val="en-GB"/>
        </w:rPr>
        <w:t>ii) Canada.</w:t>
      </w:r>
    </w:p>
  </w:footnote>
  <w:footnote w:id="110">
    <w:p w14:paraId="65940506" w14:textId="456C1A06"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Section </w:t>
      </w:r>
      <w:proofErr w:type="gramStart"/>
      <w:r w:rsidRPr="000E51C9">
        <w:rPr>
          <w:rFonts w:ascii="Times New Roman" w:hAnsi="Times New Roman" w:cs="Times New Roman"/>
          <w:lang w:val="en-GB"/>
        </w:rPr>
        <w:t>X.2.3(</w:t>
      </w:r>
      <w:proofErr w:type="gramEnd"/>
      <w:r w:rsidRPr="000E51C9">
        <w:rPr>
          <w:rFonts w:ascii="Times New Roman" w:hAnsi="Times New Roman" w:cs="Times New Roman"/>
          <w:lang w:val="en-GB"/>
        </w:rPr>
        <w:t>iv) Japan.</w:t>
      </w:r>
    </w:p>
  </w:footnote>
  <w:footnote w:id="111">
    <w:p w14:paraId="5AF0B02E" w14:textId="5F2F381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European Commission (2015) Investment in TTIP and Beyond - The Path to Reform, Concept Paper.</w:t>
      </w:r>
      <w:proofErr w:type="gramEnd"/>
    </w:p>
  </w:footnote>
  <w:footnote w:id="112">
    <w:p w14:paraId="5EA3ADF3"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Wang 2011, at 509-511.</w:t>
      </w:r>
    </w:p>
  </w:footnote>
  <w:footnote w:id="113">
    <w:p w14:paraId="39BB8AC5"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Lee 2015, at 9; Horn 2010, at 1587.</w:t>
      </w:r>
      <w:proofErr w:type="gramEnd"/>
    </w:p>
  </w:footnote>
  <w:footnote w:id="114">
    <w:p w14:paraId="1950BD5A" w14:textId="59A9505B" w:rsidR="005C7159" w:rsidRPr="000E51C9" w:rsidRDefault="005C7159" w:rsidP="005C7159">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Wang 2011, at 511-513.</w:t>
      </w:r>
    </w:p>
  </w:footnote>
  <w:footnote w:id="115">
    <w:p w14:paraId="27046FD0" w14:textId="12717E2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In the United States this problem does not occur since the power over external affairs is vested exclusively in the Federal Government (mainly the President and in some instances the US Congress. See US Constitution, Articles I Section 8, II Section 2 Clause 2). See </w:t>
      </w:r>
      <w:r w:rsidRPr="000E51C9">
        <w:rPr>
          <w:rFonts w:ascii="Times New Roman" w:hAnsi="Times New Roman" w:cs="Times New Roman"/>
          <w:i/>
          <w:iCs/>
          <w:color w:val="000000" w:themeColor="text1"/>
          <w:lang w:val="en-GB"/>
        </w:rPr>
        <w:t>United States v Belmont</w:t>
      </w:r>
      <w:r w:rsidRPr="000E51C9">
        <w:rPr>
          <w:rFonts w:ascii="Times New Roman" w:hAnsi="Times New Roman" w:cs="Times New Roman"/>
          <w:color w:val="000000" w:themeColor="text1"/>
          <w:lang w:val="en-GB"/>
        </w:rPr>
        <w:t xml:space="preserve">, US Supreme Court, Judgement, 301 U.S. 324, 3 May 1937, at 328-332. Furthermore, US Constitution, Article 1 Section 10 Clause 1 prohibits State governments to enter into any treaties, alliances or confederations. </w:t>
      </w:r>
    </w:p>
  </w:footnote>
  <w:footnote w:id="116">
    <w:p w14:paraId="4005B66B" w14:textId="518A1B0E"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TFEU, Article 207 for FTAs that also cover FDIs; TFEU, Article 217 for Association Agreements.</w:t>
      </w:r>
      <w:proofErr w:type="gramEnd"/>
    </w:p>
  </w:footnote>
  <w:footnote w:id="117">
    <w:p w14:paraId="58B1BBDE" w14:textId="36D894F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 xml:space="preserve">Gómez and </w:t>
      </w:r>
      <w:proofErr w:type="spellStart"/>
      <w:r w:rsidRPr="000E51C9">
        <w:rPr>
          <w:rFonts w:ascii="Times New Roman" w:hAnsi="Times New Roman" w:cs="Times New Roman"/>
          <w:color w:val="000000" w:themeColor="text1"/>
          <w:lang w:val="en-GB"/>
        </w:rPr>
        <w:t>Titi</w:t>
      </w:r>
      <w:proofErr w:type="spellEnd"/>
      <w:r w:rsidRPr="000E51C9">
        <w:rPr>
          <w:rFonts w:ascii="Times New Roman" w:hAnsi="Times New Roman" w:cs="Times New Roman"/>
          <w:color w:val="000000" w:themeColor="text1"/>
          <w:lang w:val="en-GB"/>
        </w:rPr>
        <w:t xml:space="preserve"> 2016, at 523.</w:t>
      </w:r>
      <w:proofErr w:type="gramEnd"/>
    </w:p>
  </w:footnote>
  <w:footnote w:id="118">
    <w:p w14:paraId="0FF3294B" w14:textId="48B4899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The 1993 Colonia Protocol on Promotion and Protection of Investments Coming from Non-MERCOSUR States and the 1994 Buenos Aires Protocol on the Promotion and Protection of intra-MERCUSOR investments have included the traditional investment protection standards and ISDS but never came into force (see Fry and </w:t>
      </w:r>
      <w:proofErr w:type="spellStart"/>
      <w:r w:rsidRPr="000E51C9">
        <w:rPr>
          <w:rFonts w:ascii="Times New Roman" w:hAnsi="Times New Roman" w:cs="Times New Roman"/>
          <w:color w:val="000000" w:themeColor="text1"/>
          <w:lang w:val="en-GB"/>
        </w:rPr>
        <w:t>Stampalija</w:t>
      </w:r>
      <w:proofErr w:type="spellEnd"/>
      <w:r w:rsidRPr="000E51C9">
        <w:rPr>
          <w:rFonts w:ascii="Times New Roman" w:hAnsi="Times New Roman" w:cs="Times New Roman"/>
          <w:color w:val="000000" w:themeColor="text1"/>
          <w:lang w:val="en-GB"/>
        </w:rPr>
        <w:t xml:space="preserve"> 2012). In 2015 Brazil proposed the negotiation of an intra-MERCOSUR investment agreement based on its CFIAs that excludes ISDS. </w:t>
      </w:r>
    </w:p>
  </w:footnote>
  <w:footnote w:id="119">
    <w:p w14:paraId="27D96025" w14:textId="4D5F6BA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Kurtz and </w:t>
      </w:r>
      <w:proofErr w:type="spellStart"/>
      <w:r w:rsidRPr="000E51C9">
        <w:rPr>
          <w:rFonts w:ascii="Times New Roman" w:hAnsi="Times New Roman" w:cs="Times New Roman"/>
          <w:color w:val="000000" w:themeColor="text1"/>
          <w:lang w:val="en-GB"/>
        </w:rPr>
        <w:t>Nottage</w:t>
      </w:r>
      <w:proofErr w:type="spellEnd"/>
      <w:r w:rsidRPr="000E51C9">
        <w:rPr>
          <w:rFonts w:ascii="Times New Roman" w:hAnsi="Times New Roman" w:cs="Times New Roman"/>
          <w:color w:val="000000" w:themeColor="text1"/>
          <w:lang w:val="en-GB"/>
        </w:rPr>
        <w:t xml:space="preserve"> 2015, at 466; D Vis-Dunbar (2009) NGOs claim the Philippine-Japan free trade agreement is unconstitutional, Investment Treaty News, 8 June 2009, </w:t>
      </w:r>
      <w:hyperlink r:id="rId7" w:history="1">
        <w:r w:rsidRPr="000E51C9">
          <w:rPr>
            <w:rStyle w:val="Hyperlink"/>
            <w:rFonts w:ascii="Times New Roman" w:hAnsi="Times New Roman" w:cs="Times New Roman"/>
            <w:color w:val="000000" w:themeColor="text1"/>
            <w:u w:val="none"/>
            <w:lang w:val="en-GB"/>
          </w:rPr>
          <w:t>https://www.iisd.org/itn/2009/06/05/ngos-claim-the-philippine-japan-free-trade-agreement-is-unconstitutional/</w:t>
        </w:r>
      </w:hyperlink>
      <w:r w:rsidRPr="000E51C9">
        <w:rPr>
          <w:rStyle w:val="Hyperlink"/>
          <w:rFonts w:ascii="Times New Roman" w:hAnsi="Times New Roman" w:cs="Times New Roman"/>
          <w:color w:val="000000" w:themeColor="text1"/>
          <w:u w:val="none"/>
          <w:lang w:val="en-GB"/>
        </w:rPr>
        <w:t>, accessed 25 August 2017.</w:t>
      </w:r>
    </w:p>
  </w:footnote>
  <w:footnote w:id="120">
    <w:p w14:paraId="30563C53"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Kantor 2012.</w:t>
      </w:r>
    </w:p>
  </w:footnote>
  <w:footnote w:id="121">
    <w:p w14:paraId="18F2B7FF" w14:textId="48DEE55F"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w:t>
      </w:r>
      <w:r w:rsidRPr="000E51C9">
        <w:rPr>
          <w:rFonts w:ascii="Times New Roman" w:hAnsi="Times New Roman" w:cs="Times New Roman"/>
          <w:i/>
          <w:color w:val="000000" w:themeColor="text1"/>
          <w:lang w:val="en-GB"/>
        </w:rPr>
        <w:t xml:space="preserve"> </w:t>
      </w:r>
      <w:r w:rsidRPr="000E51C9">
        <w:rPr>
          <w:rFonts w:ascii="Times New Roman" w:hAnsi="Times New Roman" w:cs="Times New Roman"/>
          <w:color w:val="000000" w:themeColor="text1"/>
          <w:lang w:val="en-GB"/>
        </w:rPr>
        <w:t xml:space="preserve">European Commission, Communication from the Commission to the Council, the European Parliament, the European Economic and Social Committee and the Committee of the Regions: Towards a Comprehensive European International Investment Policy, </w:t>
      </w:r>
      <w:proofErr w:type="gramStart"/>
      <w:r w:rsidRPr="000E51C9">
        <w:rPr>
          <w:rFonts w:ascii="Times New Roman" w:hAnsi="Times New Roman" w:cs="Times New Roman"/>
          <w:color w:val="000000" w:themeColor="text1"/>
          <w:lang w:val="en-GB"/>
        </w:rPr>
        <w:t>COM(</w:t>
      </w:r>
      <w:proofErr w:type="gramEnd"/>
      <w:r w:rsidRPr="000E51C9">
        <w:rPr>
          <w:rFonts w:ascii="Times New Roman" w:hAnsi="Times New Roman" w:cs="Times New Roman"/>
          <w:color w:val="000000" w:themeColor="text1"/>
          <w:lang w:val="en-GB"/>
        </w:rPr>
        <w:t>2010)343 final, 7 July 2010, at 6.</w:t>
      </w:r>
    </w:p>
  </w:footnote>
  <w:footnote w:id="122">
    <w:p w14:paraId="328975AC" w14:textId="168F6AAA" w:rsidR="00F17D28" w:rsidRPr="000E51C9" w:rsidRDefault="00F17D28" w:rsidP="00F6726A">
      <w:pPr>
        <w:spacing w:line="240" w:lineRule="auto"/>
        <w:jc w:val="both"/>
        <w:rPr>
          <w:color w:val="000000" w:themeColor="text1"/>
          <w:sz w:val="20"/>
          <w:szCs w:val="20"/>
        </w:rPr>
      </w:pPr>
      <w:r w:rsidRPr="000E51C9">
        <w:rPr>
          <w:rStyle w:val="Funotenzeichen"/>
          <w:color w:val="000000" w:themeColor="text1"/>
          <w:sz w:val="20"/>
          <w:szCs w:val="20"/>
        </w:rPr>
        <w:footnoteRef/>
      </w:r>
      <w:r w:rsidRPr="000E51C9">
        <w:rPr>
          <w:color w:val="000000" w:themeColor="text1"/>
          <w:sz w:val="20"/>
          <w:szCs w:val="20"/>
        </w:rPr>
        <w:t xml:space="preserve"> See </w:t>
      </w:r>
      <w:proofErr w:type="spellStart"/>
      <w:r w:rsidRPr="000E51C9">
        <w:rPr>
          <w:color w:val="000000" w:themeColor="text1"/>
          <w:sz w:val="20"/>
          <w:szCs w:val="20"/>
        </w:rPr>
        <w:t>Bungenberg</w:t>
      </w:r>
      <w:proofErr w:type="spellEnd"/>
      <w:r w:rsidRPr="000E51C9">
        <w:rPr>
          <w:color w:val="000000" w:themeColor="text1"/>
          <w:sz w:val="20"/>
          <w:szCs w:val="20"/>
        </w:rPr>
        <w:t xml:space="preserve"> and </w:t>
      </w:r>
      <w:proofErr w:type="spellStart"/>
      <w:r w:rsidRPr="000E51C9">
        <w:rPr>
          <w:color w:val="000000" w:themeColor="text1"/>
          <w:sz w:val="20"/>
          <w:szCs w:val="20"/>
        </w:rPr>
        <w:t>Reinisch</w:t>
      </w:r>
      <w:proofErr w:type="spellEnd"/>
      <w:r w:rsidRPr="000E51C9">
        <w:rPr>
          <w:color w:val="000000" w:themeColor="text1"/>
          <w:sz w:val="20"/>
          <w:szCs w:val="20"/>
        </w:rPr>
        <w:t xml:space="preserve"> 2014, at 377-378.</w:t>
      </w:r>
    </w:p>
  </w:footnote>
  <w:footnote w:id="123">
    <w:p w14:paraId="5176DF5C" w14:textId="79AACF81"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r w:rsidRPr="000E51C9">
        <w:rPr>
          <w:rFonts w:ascii="Times New Roman" w:hAnsi="Times New Roman" w:cs="Times New Roman"/>
          <w:color w:val="000000" w:themeColor="text1"/>
          <w:lang w:val="en-GB"/>
        </w:rPr>
        <w:t xml:space="preserve">H von der </w:t>
      </w:r>
      <w:proofErr w:type="spellStart"/>
      <w:r w:rsidRPr="000E51C9">
        <w:rPr>
          <w:rFonts w:ascii="Times New Roman" w:hAnsi="Times New Roman" w:cs="Times New Roman"/>
          <w:color w:val="000000" w:themeColor="text1"/>
          <w:lang w:val="en-GB"/>
        </w:rPr>
        <w:t>Burchard</w:t>
      </w:r>
      <w:proofErr w:type="spellEnd"/>
      <w:r w:rsidRPr="000E51C9">
        <w:rPr>
          <w:rFonts w:ascii="Times New Roman" w:hAnsi="Times New Roman" w:cs="Times New Roman"/>
          <w:color w:val="000000" w:themeColor="text1"/>
          <w:lang w:val="en-GB"/>
        </w:rPr>
        <w:t xml:space="preserve"> (2017) EU Makes Big Step toward Setting Investor Court as Global Norm, Politico, 2 February 2017, http://www.politico.eu/pro/trump-effect-pushes-singapore-toward-investment-court-reform/, </w:t>
      </w:r>
      <w:r w:rsidRPr="000E51C9">
        <w:rPr>
          <w:rStyle w:val="Hyperlink"/>
          <w:rFonts w:ascii="Times New Roman" w:hAnsi="Times New Roman" w:cs="Times New Roman"/>
          <w:color w:val="000000" w:themeColor="text1"/>
          <w:u w:val="none"/>
          <w:lang w:val="en-GB"/>
        </w:rPr>
        <w:t>accessed</w:t>
      </w:r>
      <w:r w:rsidRPr="000E51C9">
        <w:rPr>
          <w:rFonts w:ascii="Times New Roman" w:hAnsi="Times New Roman" w:cs="Times New Roman"/>
          <w:color w:val="000000" w:themeColor="text1"/>
          <w:lang w:val="en-GB"/>
        </w:rPr>
        <w:t xml:space="preserve"> 25 August 2017</w:t>
      </w:r>
      <w:r w:rsidRPr="000E51C9">
        <w:rPr>
          <w:rStyle w:val="Hyperlink"/>
          <w:rFonts w:ascii="Times New Roman" w:hAnsi="Times New Roman" w:cs="Times New Roman"/>
          <w:color w:val="000000" w:themeColor="text1"/>
          <w:u w:val="none"/>
          <w:lang w:val="en-GB"/>
        </w:rPr>
        <w:t>.</w:t>
      </w:r>
    </w:p>
  </w:footnote>
  <w:footnote w:id="124">
    <w:p w14:paraId="0320293A" w14:textId="28E78705"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proofErr w:type="gramStart"/>
      <w:r w:rsidRPr="000E51C9">
        <w:rPr>
          <w:rFonts w:ascii="Times New Roman" w:hAnsi="Times New Roman" w:cs="Times New Roman"/>
          <w:color w:val="000000" w:themeColor="text1"/>
          <w:lang w:val="en-GB"/>
        </w:rPr>
        <w:t>Allee</w:t>
      </w:r>
      <w:proofErr w:type="spellEnd"/>
      <w:r w:rsidRPr="000E51C9">
        <w:rPr>
          <w:rFonts w:ascii="Times New Roman" w:hAnsi="Times New Roman" w:cs="Times New Roman"/>
          <w:color w:val="000000" w:themeColor="text1"/>
          <w:lang w:val="en-GB"/>
        </w:rPr>
        <w:t xml:space="preserve"> and </w:t>
      </w:r>
      <w:proofErr w:type="spellStart"/>
      <w:r w:rsidRPr="000E51C9">
        <w:rPr>
          <w:rFonts w:ascii="Times New Roman" w:hAnsi="Times New Roman" w:cs="Times New Roman"/>
          <w:color w:val="000000" w:themeColor="text1"/>
          <w:lang w:val="en-GB"/>
        </w:rPr>
        <w:t>Elsig</w:t>
      </w:r>
      <w:proofErr w:type="spellEnd"/>
      <w:r w:rsidRPr="000E51C9">
        <w:rPr>
          <w:rFonts w:ascii="Times New Roman" w:hAnsi="Times New Roman" w:cs="Times New Roman"/>
          <w:color w:val="000000" w:themeColor="text1"/>
          <w:lang w:val="en-GB"/>
        </w:rPr>
        <w:t xml:space="preserve"> 2016.</w:t>
      </w:r>
      <w:proofErr w:type="gramEnd"/>
      <w:r w:rsidRPr="000E51C9">
        <w:rPr>
          <w:rFonts w:ascii="Times New Roman" w:hAnsi="Times New Roman" w:cs="Times New Roman"/>
          <w:color w:val="000000" w:themeColor="text1"/>
          <w:lang w:val="en-GB"/>
        </w:rPr>
        <w:t xml:space="preserve"> </w:t>
      </w:r>
      <w:proofErr w:type="spellStart"/>
      <w:r w:rsidRPr="000E51C9">
        <w:rPr>
          <w:rFonts w:ascii="Times New Roman" w:hAnsi="Times New Roman" w:cs="Times New Roman"/>
          <w:color w:val="000000" w:themeColor="text1"/>
          <w:lang w:val="en-GB"/>
        </w:rPr>
        <w:t>Alschner</w:t>
      </w:r>
      <w:proofErr w:type="spellEnd"/>
      <w:r w:rsidRPr="000E51C9">
        <w:rPr>
          <w:rFonts w:ascii="Times New Roman" w:hAnsi="Times New Roman" w:cs="Times New Roman"/>
          <w:color w:val="000000" w:themeColor="text1"/>
          <w:lang w:val="en-GB"/>
        </w:rPr>
        <w:t xml:space="preserve"> et al argue that powerful states adapt their PTAs strategically to their negotiation partner, rather than following a ‘one-size-fits-all’ approach used for BITs. Nonetheless, more recent PTAs of the US feature much higher similarity (</w:t>
      </w:r>
      <w:proofErr w:type="spellStart"/>
      <w:r w:rsidRPr="000E51C9">
        <w:rPr>
          <w:rFonts w:ascii="Times New Roman" w:hAnsi="Times New Roman" w:cs="Times New Roman"/>
          <w:color w:val="000000" w:themeColor="text1"/>
          <w:lang w:val="en-GB"/>
        </w:rPr>
        <w:t>Alschner</w:t>
      </w:r>
      <w:proofErr w:type="spellEnd"/>
      <w:r w:rsidRPr="000E51C9">
        <w:rPr>
          <w:rFonts w:ascii="Times New Roman" w:hAnsi="Times New Roman" w:cs="Times New Roman"/>
          <w:color w:val="000000" w:themeColor="text1"/>
          <w:lang w:val="en-GB"/>
        </w:rPr>
        <w:t xml:space="preserve"> et al 2017, at 12-13). </w:t>
      </w:r>
    </w:p>
  </w:footnote>
  <w:footnote w:id="125">
    <w:p w14:paraId="03DA3612" w14:textId="553387BB"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proofErr w:type="gramStart"/>
      <w:r w:rsidRPr="000E51C9">
        <w:rPr>
          <w:rFonts w:ascii="Times New Roman" w:hAnsi="Times New Roman" w:cs="Times New Roman"/>
          <w:color w:val="000000" w:themeColor="text1"/>
          <w:lang w:val="en-GB"/>
        </w:rPr>
        <w:t>Allee</w:t>
      </w:r>
      <w:proofErr w:type="spellEnd"/>
      <w:r w:rsidRPr="000E51C9">
        <w:rPr>
          <w:rFonts w:ascii="Times New Roman" w:hAnsi="Times New Roman" w:cs="Times New Roman"/>
          <w:color w:val="000000" w:themeColor="text1"/>
          <w:lang w:val="en-GB"/>
        </w:rPr>
        <w:t xml:space="preserve"> and </w:t>
      </w:r>
      <w:proofErr w:type="spellStart"/>
      <w:r w:rsidRPr="000E51C9">
        <w:rPr>
          <w:rFonts w:ascii="Times New Roman" w:hAnsi="Times New Roman" w:cs="Times New Roman"/>
          <w:color w:val="000000" w:themeColor="text1"/>
          <w:lang w:val="en-GB"/>
        </w:rPr>
        <w:t>Elsig</w:t>
      </w:r>
      <w:proofErr w:type="spellEnd"/>
      <w:r w:rsidRPr="000E51C9">
        <w:rPr>
          <w:rFonts w:ascii="Times New Roman" w:hAnsi="Times New Roman" w:cs="Times New Roman"/>
          <w:color w:val="000000" w:themeColor="text1"/>
          <w:lang w:val="en-GB"/>
        </w:rPr>
        <w:t xml:space="preserve"> 2016, at 2 and 24.</w:t>
      </w:r>
      <w:proofErr w:type="gramEnd"/>
    </w:p>
  </w:footnote>
  <w:footnote w:id="126">
    <w:p w14:paraId="7F60F6A4" w14:textId="34EB04A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Ibid.,</w:t>
      </w:r>
      <w:proofErr w:type="gramEnd"/>
      <w:r w:rsidRPr="000E51C9">
        <w:rPr>
          <w:rFonts w:ascii="Times New Roman" w:hAnsi="Times New Roman" w:cs="Times New Roman"/>
          <w:color w:val="000000" w:themeColor="text1"/>
          <w:lang w:val="en-GB"/>
        </w:rPr>
        <w:t xml:space="preserve"> at 18.</w:t>
      </w:r>
    </w:p>
  </w:footnote>
  <w:footnote w:id="127">
    <w:p w14:paraId="6558F328" w14:textId="371D32FC"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Ibid.,</w:t>
      </w:r>
      <w:proofErr w:type="gramEnd"/>
      <w:r w:rsidRPr="000E51C9">
        <w:rPr>
          <w:rFonts w:ascii="Times New Roman" w:hAnsi="Times New Roman" w:cs="Times New Roman"/>
          <w:color w:val="000000" w:themeColor="text1"/>
          <w:lang w:val="en-GB"/>
        </w:rPr>
        <w:t xml:space="preserve"> at 3.</w:t>
      </w:r>
    </w:p>
  </w:footnote>
  <w:footnote w:id="128">
    <w:p w14:paraId="22858783" w14:textId="7639C49C"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See section </w:t>
      </w:r>
      <w:proofErr w:type="gramStart"/>
      <w:r w:rsidRPr="000E51C9">
        <w:rPr>
          <w:rFonts w:ascii="Times New Roman" w:hAnsi="Times New Roman" w:cs="Times New Roman"/>
          <w:lang w:val="en-GB"/>
        </w:rPr>
        <w:t>X.2.2(</w:t>
      </w:r>
      <w:proofErr w:type="spellStart"/>
      <w:proofErr w:type="gramEnd"/>
      <w:r w:rsidRPr="000E51C9">
        <w:rPr>
          <w:rFonts w:ascii="Times New Roman" w:hAnsi="Times New Roman" w:cs="Times New Roman"/>
          <w:lang w:val="en-GB"/>
        </w:rPr>
        <w:t>i</w:t>
      </w:r>
      <w:proofErr w:type="spellEnd"/>
      <w:r w:rsidRPr="000E51C9">
        <w:rPr>
          <w:rFonts w:ascii="Times New Roman" w:hAnsi="Times New Roman" w:cs="Times New Roman"/>
          <w:lang w:val="en-GB"/>
        </w:rPr>
        <w:t>).</w:t>
      </w:r>
    </w:p>
  </w:footnote>
  <w:footnote w:id="129">
    <w:p w14:paraId="37BF412A" w14:textId="2138976D"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See section </w:t>
      </w:r>
      <w:proofErr w:type="gramStart"/>
      <w:r w:rsidRPr="000E51C9">
        <w:rPr>
          <w:rFonts w:ascii="Times New Roman" w:hAnsi="Times New Roman" w:cs="Times New Roman"/>
          <w:lang w:val="en-GB"/>
        </w:rPr>
        <w:t>X.2.2(</w:t>
      </w:r>
      <w:proofErr w:type="gramEnd"/>
      <w:r w:rsidRPr="000E51C9">
        <w:rPr>
          <w:rFonts w:ascii="Times New Roman" w:hAnsi="Times New Roman" w:cs="Times New Roman"/>
          <w:lang w:val="en-GB"/>
        </w:rPr>
        <w:t>ii) and X.2.3(iv).</w:t>
      </w:r>
    </w:p>
  </w:footnote>
  <w:footnote w:id="130">
    <w:p w14:paraId="04200B27"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proofErr w:type="gramStart"/>
      <w:r w:rsidRPr="000E51C9">
        <w:rPr>
          <w:rFonts w:ascii="Times New Roman" w:hAnsi="Times New Roman" w:cs="Times New Roman"/>
          <w:color w:val="000000" w:themeColor="text1"/>
          <w:lang w:val="en-GB"/>
        </w:rPr>
        <w:t>Ranjan</w:t>
      </w:r>
      <w:proofErr w:type="spellEnd"/>
      <w:r w:rsidRPr="000E51C9">
        <w:rPr>
          <w:rFonts w:ascii="Times New Roman" w:hAnsi="Times New Roman" w:cs="Times New Roman"/>
          <w:color w:val="000000" w:themeColor="text1"/>
          <w:lang w:val="en-GB"/>
        </w:rPr>
        <w:t xml:space="preserve"> 2015, at 928.</w:t>
      </w:r>
      <w:proofErr w:type="gramEnd"/>
    </w:p>
  </w:footnote>
  <w:footnote w:id="131">
    <w:p w14:paraId="1499711A"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Wang 2011.</w:t>
      </w:r>
      <w:proofErr w:type="gramEnd"/>
    </w:p>
  </w:footnote>
  <w:footnote w:id="132">
    <w:p w14:paraId="222CF320" w14:textId="1315E2BA"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proofErr w:type="gramStart"/>
      <w:r w:rsidRPr="000E51C9">
        <w:rPr>
          <w:rFonts w:ascii="Times New Roman" w:hAnsi="Times New Roman" w:cs="Times New Roman"/>
          <w:color w:val="000000" w:themeColor="text1"/>
          <w:lang w:val="en-GB"/>
        </w:rPr>
        <w:t xml:space="preserve">Kurtz and </w:t>
      </w:r>
      <w:proofErr w:type="spellStart"/>
      <w:r w:rsidRPr="000E51C9">
        <w:rPr>
          <w:rFonts w:ascii="Times New Roman" w:hAnsi="Times New Roman" w:cs="Times New Roman"/>
          <w:color w:val="000000" w:themeColor="text1"/>
          <w:lang w:val="en-GB"/>
        </w:rPr>
        <w:t>Nottage</w:t>
      </w:r>
      <w:proofErr w:type="spellEnd"/>
      <w:r w:rsidRPr="000E51C9">
        <w:rPr>
          <w:rFonts w:ascii="Times New Roman" w:hAnsi="Times New Roman" w:cs="Times New Roman"/>
          <w:color w:val="000000" w:themeColor="text1"/>
          <w:lang w:val="en-GB"/>
        </w:rPr>
        <w:t xml:space="preserve"> 2015, at 468.</w:t>
      </w:r>
      <w:proofErr w:type="gramEnd"/>
    </w:p>
  </w:footnote>
  <w:footnote w:id="133">
    <w:p w14:paraId="1EB4E3E0" w14:textId="49A7C0E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Ibid.,</w:t>
      </w:r>
      <w:proofErr w:type="gramEnd"/>
      <w:r w:rsidRPr="000E51C9">
        <w:rPr>
          <w:rFonts w:ascii="Times New Roman" w:hAnsi="Times New Roman" w:cs="Times New Roman"/>
          <w:color w:val="000000" w:themeColor="text1"/>
          <w:lang w:val="en-GB"/>
        </w:rPr>
        <w:t xml:space="preserve"> at 466. </w:t>
      </w:r>
    </w:p>
  </w:footnote>
  <w:footnote w:id="134">
    <w:p w14:paraId="6ED6DA78" w14:textId="5CD75A5A"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D Vis-Dunbar D (2009) NGOs claim the Philippine-Japan free trade agreement is unconstitutional</w:t>
      </w:r>
      <w:r w:rsidRPr="000E51C9">
        <w:rPr>
          <w:rStyle w:val="Hyperlink"/>
          <w:rFonts w:ascii="Times New Roman" w:hAnsi="Times New Roman" w:cs="Times New Roman"/>
          <w:color w:val="000000" w:themeColor="text1"/>
          <w:u w:val="none"/>
          <w:lang w:val="en-GB"/>
        </w:rPr>
        <w:t>.</w:t>
      </w:r>
    </w:p>
  </w:footnote>
  <w:footnote w:id="135">
    <w:p w14:paraId="719B814C" w14:textId="4CB21B31"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Putnam 1988, 439-440. Adding a non-negotiable issue to the agenda can also cause the collapse of the entire negotiations (see Davis 2004, at 156). </w:t>
      </w:r>
    </w:p>
  </w:footnote>
  <w:footnote w:id="136">
    <w:p w14:paraId="61EDCCD6" w14:textId="096F07C8"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Wells and Tsuchiya 2011. </w:t>
      </w:r>
    </w:p>
  </w:footnote>
  <w:footnote w:id="137">
    <w:p w14:paraId="701E2795" w14:textId="7F2DE06C"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One can for example think of the more recent </w:t>
      </w:r>
      <w:proofErr w:type="spellStart"/>
      <w:r w:rsidRPr="000E51C9">
        <w:rPr>
          <w:rFonts w:ascii="Times New Roman" w:hAnsi="Times New Roman" w:cs="Times New Roman"/>
          <w:color w:val="000000" w:themeColor="text1"/>
          <w:lang w:val="en-GB"/>
        </w:rPr>
        <w:t>Wallonian</w:t>
      </w:r>
      <w:proofErr w:type="spellEnd"/>
      <w:r w:rsidRPr="000E51C9">
        <w:rPr>
          <w:rFonts w:ascii="Times New Roman" w:hAnsi="Times New Roman" w:cs="Times New Roman"/>
          <w:color w:val="000000" w:themeColor="text1"/>
          <w:lang w:val="en-GB"/>
        </w:rPr>
        <w:t xml:space="preserve"> ‘rebellion’ against ISDS in CETA and the upset it caused with the Canadian side. See H von der </w:t>
      </w:r>
      <w:proofErr w:type="spellStart"/>
      <w:r w:rsidRPr="000E51C9">
        <w:rPr>
          <w:rFonts w:ascii="Times New Roman" w:hAnsi="Times New Roman" w:cs="Times New Roman"/>
          <w:color w:val="000000" w:themeColor="text1"/>
          <w:lang w:val="en-GB"/>
        </w:rPr>
        <w:t>Burchard</w:t>
      </w:r>
      <w:proofErr w:type="spellEnd"/>
      <w:r w:rsidRPr="000E51C9">
        <w:rPr>
          <w:rFonts w:ascii="Times New Roman" w:hAnsi="Times New Roman" w:cs="Times New Roman"/>
          <w:color w:val="000000" w:themeColor="text1"/>
          <w:lang w:val="en-GB"/>
        </w:rPr>
        <w:t xml:space="preserve">, C Oliver (2016) Walloon revolt against Canada deal torpedoes EU trade policy, Politico, 17 August 2017, </w:t>
      </w:r>
      <w:hyperlink r:id="rId8" w:history="1">
        <w:r w:rsidRPr="000E51C9">
          <w:rPr>
            <w:rStyle w:val="Hyperlink"/>
            <w:rFonts w:ascii="Times New Roman" w:hAnsi="Times New Roman" w:cs="Times New Roman"/>
            <w:color w:val="000000" w:themeColor="text1"/>
            <w:u w:val="none"/>
            <w:lang w:val="en-GB"/>
          </w:rPr>
          <w:t>http://www.politico.eu/article/belgian-regional-government-set-to-block-eu-canada-trade-deal/</w:t>
        </w:r>
      </w:hyperlink>
      <w:r w:rsidRPr="000E51C9">
        <w:rPr>
          <w:rStyle w:val="Hyperlink"/>
          <w:rFonts w:ascii="Times New Roman" w:hAnsi="Times New Roman" w:cs="Times New Roman"/>
          <w:color w:val="000000" w:themeColor="text1"/>
          <w:u w:val="none"/>
          <w:lang w:val="en-GB"/>
        </w:rPr>
        <w:t>, accessed 25 August 2017</w:t>
      </w:r>
      <w:r w:rsidRPr="000E51C9">
        <w:rPr>
          <w:rFonts w:ascii="Times New Roman" w:hAnsi="Times New Roman" w:cs="Times New Roman"/>
          <w:color w:val="000000" w:themeColor="text1"/>
          <w:lang w:val="en-GB"/>
        </w:rPr>
        <w:t xml:space="preserve">. </w:t>
      </w:r>
    </w:p>
  </w:footnote>
  <w:footnote w:id="138">
    <w:p w14:paraId="0649BBD8" w14:textId="4533AB1C"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Wallace 1976, at 169-170.</w:t>
      </w:r>
    </w:p>
  </w:footnote>
  <w:footnote w:id="139">
    <w:p w14:paraId="55B7FD6C" w14:textId="5C6F4B9B"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proofErr w:type="gramStart"/>
      <w:r w:rsidRPr="000E51C9">
        <w:rPr>
          <w:rFonts w:ascii="Times New Roman" w:hAnsi="Times New Roman" w:cs="Times New Roman"/>
          <w:color w:val="000000" w:themeColor="text1"/>
          <w:lang w:val="en-GB"/>
        </w:rPr>
        <w:t>Tollison</w:t>
      </w:r>
      <w:proofErr w:type="spellEnd"/>
      <w:r w:rsidRPr="000E51C9">
        <w:rPr>
          <w:rFonts w:ascii="Times New Roman" w:hAnsi="Times New Roman" w:cs="Times New Roman"/>
          <w:color w:val="000000" w:themeColor="text1"/>
          <w:lang w:val="en-GB"/>
        </w:rPr>
        <w:t xml:space="preserve"> and Willet 1979, at 426.</w:t>
      </w:r>
      <w:proofErr w:type="gramEnd"/>
      <w:r w:rsidRPr="000E51C9">
        <w:rPr>
          <w:rFonts w:ascii="Times New Roman" w:hAnsi="Times New Roman" w:cs="Times New Roman"/>
          <w:color w:val="000000" w:themeColor="text1"/>
          <w:lang w:val="en-GB"/>
        </w:rPr>
        <w:t xml:space="preserve"> Nonetheless, just because two policy areas appear in one agreement does not necessarily mean there is issue linkage. See Maggi 2016, at 517.</w:t>
      </w:r>
    </w:p>
  </w:footnote>
  <w:footnote w:id="140">
    <w:p w14:paraId="55F4B9A9" w14:textId="6B2C1F0D"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Putnam 1988, at 434. For an overview of subsequent literature that built on Putnam’s model, see </w:t>
      </w:r>
      <w:proofErr w:type="spellStart"/>
      <w:r w:rsidRPr="000E51C9">
        <w:rPr>
          <w:rFonts w:ascii="Times New Roman" w:hAnsi="Times New Roman" w:cs="Times New Roman"/>
          <w:color w:val="000000" w:themeColor="text1"/>
          <w:lang w:val="en-GB"/>
        </w:rPr>
        <w:t>Enia</w:t>
      </w:r>
      <w:proofErr w:type="spellEnd"/>
      <w:r w:rsidRPr="000E51C9">
        <w:rPr>
          <w:rFonts w:ascii="Times New Roman" w:hAnsi="Times New Roman" w:cs="Times New Roman"/>
          <w:color w:val="000000" w:themeColor="text1"/>
          <w:lang w:val="en-GB"/>
        </w:rPr>
        <w:t xml:space="preserve"> 2009, at 368-369.</w:t>
      </w:r>
    </w:p>
  </w:footnote>
  <w:footnote w:id="141">
    <w:p w14:paraId="288374AB" w14:textId="3260260D"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r w:rsidRPr="000E51C9">
        <w:rPr>
          <w:rFonts w:ascii="Times New Roman" w:hAnsi="Times New Roman" w:cs="Times New Roman"/>
          <w:color w:val="000000" w:themeColor="text1"/>
          <w:lang w:val="en-GB"/>
        </w:rPr>
        <w:t>Enia</w:t>
      </w:r>
      <w:proofErr w:type="spellEnd"/>
      <w:r w:rsidRPr="000E51C9">
        <w:rPr>
          <w:rFonts w:ascii="Times New Roman" w:hAnsi="Times New Roman" w:cs="Times New Roman"/>
          <w:color w:val="000000" w:themeColor="text1"/>
          <w:lang w:val="en-GB"/>
        </w:rPr>
        <w:t xml:space="preserve"> 2009, at 360-368.</w:t>
      </w:r>
    </w:p>
  </w:footnote>
  <w:footnote w:id="142">
    <w:p w14:paraId="73F94A79"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Due to constraints of space we have slightly simplified the scenarios.</w:t>
      </w:r>
    </w:p>
  </w:footnote>
  <w:footnote w:id="143">
    <w:p w14:paraId="384618A7" w14:textId="5138C9DD"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Gao 2015, at 80.</w:t>
      </w:r>
      <w:proofErr w:type="gramEnd"/>
    </w:p>
  </w:footnote>
  <w:footnote w:id="144">
    <w:p w14:paraId="742C9A74" w14:textId="1E078B8B"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Lee 2015, at 1.</w:t>
      </w:r>
      <w:proofErr w:type="gramEnd"/>
      <w:r w:rsidRPr="000E51C9">
        <w:rPr>
          <w:rFonts w:ascii="Times New Roman" w:hAnsi="Times New Roman" w:cs="Times New Roman"/>
          <w:color w:val="000000" w:themeColor="text1"/>
          <w:lang w:val="en-GB"/>
        </w:rPr>
        <w:t xml:space="preserve"> In the case of this agreement there have been other domestic concerns in Korea. </w:t>
      </w:r>
    </w:p>
  </w:footnote>
  <w:footnote w:id="145">
    <w:p w14:paraId="6E2E4189" w14:textId="1F0299F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Lewis 2015, at 118.</w:t>
      </w:r>
      <w:proofErr w:type="gramEnd"/>
    </w:p>
  </w:footnote>
  <w:footnote w:id="146">
    <w:p w14:paraId="7F950619" w14:textId="1078A823"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 Marks, C Oliver (2016) Belgium’s </w:t>
      </w:r>
      <w:proofErr w:type="spellStart"/>
      <w:r w:rsidRPr="000E51C9">
        <w:rPr>
          <w:rFonts w:ascii="Times New Roman" w:hAnsi="Times New Roman" w:cs="Times New Roman"/>
          <w:color w:val="000000" w:themeColor="text1"/>
          <w:lang w:val="en-GB"/>
        </w:rPr>
        <w:t>Wallons</w:t>
      </w:r>
      <w:proofErr w:type="spellEnd"/>
      <w:r w:rsidRPr="000E51C9">
        <w:rPr>
          <w:rFonts w:ascii="Times New Roman" w:hAnsi="Times New Roman" w:cs="Times New Roman"/>
          <w:color w:val="000000" w:themeColor="text1"/>
          <w:lang w:val="en-GB"/>
        </w:rPr>
        <w:t xml:space="preserve"> cave on EU-Canada Trade Deal, Politico</w:t>
      </w:r>
      <w:r w:rsidRPr="000E51C9">
        <w:rPr>
          <w:rFonts w:ascii="Times New Roman" w:hAnsi="Times New Roman" w:cs="Times New Roman"/>
          <w:i/>
          <w:color w:val="000000" w:themeColor="text1"/>
          <w:lang w:val="en-GB"/>
        </w:rPr>
        <w:t xml:space="preserve">, </w:t>
      </w:r>
      <w:r w:rsidRPr="000E51C9">
        <w:rPr>
          <w:rFonts w:ascii="Times New Roman" w:hAnsi="Times New Roman" w:cs="Times New Roman"/>
          <w:color w:val="000000" w:themeColor="text1"/>
          <w:lang w:val="en-GB"/>
        </w:rPr>
        <w:t xml:space="preserve">27 October 2016, </w:t>
      </w:r>
      <w:hyperlink r:id="rId9" w:history="1">
        <w:r w:rsidRPr="000E51C9">
          <w:rPr>
            <w:rStyle w:val="Hyperlink"/>
            <w:rFonts w:ascii="Times New Roman" w:hAnsi="Times New Roman" w:cs="Times New Roman"/>
            <w:color w:val="000000" w:themeColor="text1"/>
            <w:u w:val="none"/>
            <w:lang w:val="en-GB"/>
          </w:rPr>
          <w:t>http://www.politico.eu/article/belgiums-walloons-cave-on-eu-canada-trade-deal/</w:t>
        </w:r>
      </w:hyperlink>
      <w:r w:rsidRPr="000E51C9">
        <w:rPr>
          <w:rFonts w:ascii="Times New Roman" w:hAnsi="Times New Roman" w:cs="Times New Roman"/>
          <w:color w:val="000000" w:themeColor="text1"/>
          <w:lang w:val="en-GB"/>
        </w:rPr>
        <w:t xml:space="preserve">, </w:t>
      </w:r>
      <w:r w:rsidRPr="000E51C9">
        <w:rPr>
          <w:rStyle w:val="Hyperlink"/>
          <w:rFonts w:ascii="Times New Roman" w:hAnsi="Times New Roman" w:cs="Times New Roman"/>
          <w:color w:val="000000" w:themeColor="text1"/>
          <w:u w:val="none"/>
          <w:lang w:val="en-GB"/>
        </w:rPr>
        <w:t>accessed</w:t>
      </w:r>
      <w:r w:rsidRPr="000E51C9">
        <w:rPr>
          <w:rFonts w:ascii="Times New Roman" w:hAnsi="Times New Roman" w:cs="Times New Roman"/>
          <w:color w:val="000000" w:themeColor="text1"/>
          <w:lang w:val="en-GB"/>
        </w:rPr>
        <w:t xml:space="preserve"> 25 August 2017.</w:t>
      </w:r>
    </w:p>
  </w:footnote>
  <w:footnote w:id="147">
    <w:p w14:paraId="1317EB7D" w14:textId="09BB01B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European Commission, Commission Staff Working Document: Report: Online Public Consultation on Investment Protection and Investor-to-State Dispute Settlement (ISDS) in the Transatlantic Trade and Investment Partnership (TTIP), SWD(2015) 3 final, 13 January 2015.</w:t>
      </w:r>
    </w:p>
  </w:footnote>
  <w:footnote w:id="148">
    <w:p w14:paraId="17B1DE5F" w14:textId="03562B22"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Council of the European Union, Recommendation from the Commission to the Council in order to authorize the Commission to open negotiations for an Economic Integration Agreement with Canada, 9036/09, 24 April 2009. Following the Lisbon changes, investment was also added to the CETA Negotiating Directive. See Council of the European Union, Recommendation from the Commission to the Council on the modification of the negotiating directives for an Economic Integration Agreement with Canada in order to authorise the Commission to negotiate, on behalf of the Union, on investment, 12838/11, 14 July 2011. Even though the initial text was concluded in 2014, the EU decided to add changes to the ISDS mechanism in late 2015, and the final text was thus agreed in February 2016. </w:t>
      </w:r>
    </w:p>
  </w:footnote>
  <w:footnote w:id="149">
    <w:p w14:paraId="1DACB2B0" w14:textId="1DDFF95E"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European Commission (2017) DG Trade, Singapore, Documents archive, updated 8 November 2017, </w:t>
      </w:r>
      <w:hyperlink r:id="rId10" w:history="1">
        <w:r w:rsidRPr="000E51C9">
          <w:rPr>
            <w:rStyle w:val="Hyperlink"/>
            <w:rFonts w:ascii="Times New Roman" w:hAnsi="Times New Roman" w:cs="Times New Roman"/>
            <w:color w:val="000000" w:themeColor="text1"/>
            <w:u w:val="none"/>
            <w:lang w:val="en-GB"/>
          </w:rPr>
          <w:t>http://trade.ec.europa.eu/doclib/cfm/doclib_section.cfm?sec=709</w:t>
        </w:r>
      </w:hyperlink>
      <w:r w:rsidRPr="000E51C9">
        <w:rPr>
          <w:rStyle w:val="Hyperlink"/>
          <w:rFonts w:ascii="Times New Roman" w:hAnsi="Times New Roman" w:cs="Times New Roman"/>
          <w:color w:val="000000" w:themeColor="text1"/>
          <w:u w:val="none"/>
          <w:lang w:val="en-GB"/>
        </w:rPr>
        <w:t>, accessed</w:t>
      </w:r>
      <w:r w:rsidRPr="000E51C9">
        <w:rPr>
          <w:rFonts w:ascii="Times New Roman" w:hAnsi="Times New Roman" w:cs="Times New Roman"/>
          <w:color w:val="000000" w:themeColor="text1"/>
          <w:lang w:val="en-GB"/>
        </w:rPr>
        <w:t xml:space="preserve"> 8 November 2017. See H von der </w:t>
      </w:r>
      <w:proofErr w:type="spellStart"/>
      <w:r w:rsidRPr="000E51C9">
        <w:rPr>
          <w:rFonts w:ascii="Times New Roman" w:hAnsi="Times New Roman" w:cs="Times New Roman"/>
          <w:color w:val="000000" w:themeColor="text1"/>
          <w:lang w:val="en-GB"/>
        </w:rPr>
        <w:t>Burchard</w:t>
      </w:r>
      <w:proofErr w:type="spellEnd"/>
      <w:r w:rsidRPr="000E51C9">
        <w:rPr>
          <w:rFonts w:ascii="Times New Roman" w:hAnsi="Times New Roman" w:cs="Times New Roman"/>
          <w:color w:val="000000" w:themeColor="text1"/>
          <w:lang w:val="en-GB"/>
        </w:rPr>
        <w:t xml:space="preserve"> (2017) EU Makes Big Step toward Setting Investor Court as Global Norm.</w:t>
      </w:r>
    </w:p>
  </w:footnote>
  <w:footnote w:id="150">
    <w:p w14:paraId="054FCB0E" w14:textId="6064F86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Brown and Record 2015, at 41.</w:t>
      </w:r>
      <w:proofErr w:type="gramEnd"/>
    </w:p>
  </w:footnote>
  <w:footnote w:id="151">
    <w:p w14:paraId="2C55C2EF" w14:textId="072E31BA"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J </w:t>
      </w:r>
      <w:proofErr w:type="spellStart"/>
      <w:r w:rsidRPr="000E51C9">
        <w:rPr>
          <w:rFonts w:ascii="Times New Roman" w:hAnsi="Times New Roman" w:cs="Times New Roman"/>
          <w:color w:val="000000" w:themeColor="text1"/>
          <w:lang w:val="en-GB"/>
        </w:rPr>
        <w:t>Pauwelyn</w:t>
      </w:r>
      <w:proofErr w:type="spellEnd"/>
      <w:r w:rsidRPr="000E51C9">
        <w:rPr>
          <w:rFonts w:ascii="Times New Roman" w:hAnsi="Times New Roman" w:cs="Times New Roman"/>
          <w:color w:val="000000" w:themeColor="text1"/>
          <w:lang w:val="en-GB"/>
        </w:rPr>
        <w:t xml:space="preserve"> (2016) If Wallonia Blocks CETA Because of Investor-State Dispute Settlement (ISDS) Why not </w:t>
      </w:r>
      <w:proofErr w:type="gramStart"/>
      <w:r w:rsidRPr="000E51C9">
        <w:rPr>
          <w:rFonts w:ascii="Times New Roman" w:hAnsi="Times New Roman" w:cs="Times New Roman"/>
          <w:color w:val="000000" w:themeColor="text1"/>
          <w:lang w:val="en-GB"/>
        </w:rPr>
        <w:t>Take</w:t>
      </w:r>
      <w:proofErr w:type="gramEnd"/>
      <w:r w:rsidRPr="000E51C9">
        <w:rPr>
          <w:rFonts w:ascii="Times New Roman" w:hAnsi="Times New Roman" w:cs="Times New Roman"/>
          <w:color w:val="000000" w:themeColor="text1"/>
          <w:lang w:val="en-GB"/>
        </w:rPr>
        <w:t xml:space="preserve"> ISDS out of CETA? International Economic Law and Policy Blog, 26 October 2016, http://worldtradelaw.typepad.com/ielpblog/2016/10/if-wallonia-blocks-ceta-because-of-investor-state-dispute-settlement-isds-why-not-take-isds-out-of-ceta.html, accessed 25 August 2017.</w:t>
      </w:r>
    </w:p>
  </w:footnote>
  <w:footnote w:id="152">
    <w:p w14:paraId="612D85A4" w14:textId="595872D5"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Under the new approach the revised CETA text includes a clear recognition of the right to regulate of the contracting parties in the investment chapter, a two-tier dispute settlement system with an Appellate Tribunal, the objective to create a multilateral Investment Court and safeguards concerning domestic law. See European Commission (2016) CETA: EU and Canada agree on new approach on investment in trade agreement, 29 February 2016, </w:t>
      </w:r>
      <w:hyperlink r:id="rId11" w:history="1">
        <w:r w:rsidRPr="000E51C9">
          <w:rPr>
            <w:rStyle w:val="Hyperlink"/>
            <w:rFonts w:ascii="Times New Roman" w:hAnsi="Times New Roman" w:cs="Times New Roman"/>
            <w:color w:val="000000" w:themeColor="text1"/>
            <w:u w:val="none"/>
            <w:lang w:val="en-GB"/>
          </w:rPr>
          <w:t>http://trade.ec.europa.eu/doclib/press/index.cfm?id=1468</w:t>
        </w:r>
      </w:hyperlink>
      <w:r w:rsidRPr="000E51C9">
        <w:rPr>
          <w:rFonts w:ascii="Times New Roman" w:hAnsi="Times New Roman" w:cs="Times New Roman"/>
          <w:color w:val="000000" w:themeColor="text1"/>
          <w:lang w:val="en-GB"/>
        </w:rPr>
        <w:t xml:space="preserve">, </w:t>
      </w:r>
      <w:r w:rsidRPr="000E51C9">
        <w:rPr>
          <w:rStyle w:val="Hyperlink"/>
          <w:rFonts w:ascii="Times New Roman" w:hAnsi="Times New Roman" w:cs="Times New Roman"/>
          <w:color w:val="000000" w:themeColor="text1"/>
          <w:u w:val="none"/>
          <w:lang w:val="en-GB"/>
        </w:rPr>
        <w:t>accessed</w:t>
      </w:r>
      <w:r w:rsidRPr="000E51C9">
        <w:rPr>
          <w:rFonts w:ascii="Times New Roman" w:hAnsi="Times New Roman" w:cs="Times New Roman"/>
          <w:color w:val="000000" w:themeColor="text1"/>
          <w:lang w:val="en-GB"/>
        </w:rPr>
        <w:t xml:space="preserve"> 25 August 2017.</w:t>
      </w:r>
    </w:p>
  </w:footnote>
  <w:footnote w:id="153">
    <w:p w14:paraId="14D38D54" w14:textId="1375E5E3"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Putnam 1988, at 439-440. Adding a non-negotiable issue to the agenda can also cause the collapse of the entire negotiations. See Davis 2004, at 156. </w:t>
      </w:r>
    </w:p>
  </w:footnote>
  <w:footnote w:id="154">
    <w:p w14:paraId="25763DE0" w14:textId="537E357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2009 Free Trade Agreement between the Republic of Chile and the Republic of Turkey (‘Chile-Turkey FTA’), http://www.sice.oas.org/Trade/CHL_TUR_Final/Text_FTA_e.pdf, accessed 10 November 2017, Article 61; 2010 Malaysia-Chile Free Trade Agreement (‘Chile-Malaysia FTA’), http://www.sice.oas.org/Trade/CHL_MYS/CHL_MYS_FTA_e/Full_text.pdf, accessed 10 November 2017, Article 14.5.</w:t>
      </w:r>
    </w:p>
  </w:footnote>
  <w:footnote w:id="155">
    <w:p w14:paraId="50644786" w14:textId="2BD5C4EA"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Hoffmann et al 2013, at 15.</w:t>
      </w:r>
    </w:p>
  </w:footnote>
  <w:footnote w:id="156">
    <w:p w14:paraId="131FC54B" w14:textId="696FC10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European Parliament, Resolution of 6 April 2011 on the Future European International Investment Policy, P7 </w:t>
      </w:r>
      <w:proofErr w:type="gramStart"/>
      <w:r w:rsidRPr="000E51C9">
        <w:rPr>
          <w:rFonts w:ascii="Times New Roman" w:hAnsi="Times New Roman" w:cs="Times New Roman"/>
          <w:color w:val="000000" w:themeColor="text1"/>
          <w:lang w:val="en-GB"/>
        </w:rPr>
        <w:t>TA(</w:t>
      </w:r>
      <w:proofErr w:type="gramEnd"/>
      <w:r w:rsidRPr="000E51C9">
        <w:rPr>
          <w:rFonts w:ascii="Times New Roman" w:hAnsi="Times New Roman" w:cs="Times New Roman"/>
          <w:color w:val="000000" w:themeColor="text1"/>
          <w:lang w:val="en-GB"/>
        </w:rPr>
        <w:t xml:space="preserve">2011)0141, 6 April 2011, </w:t>
      </w:r>
      <w:r w:rsidRPr="000E51C9">
        <w:rPr>
          <w:rStyle w:val="Hyperlink"/>
          <w:rFonts w:ascii="Times New Roman" w:hAnsi="Times New Roman" w:cs="Times New Roman"/>
          <w:color w:val="000000" w:themeColor="text1"/>
          <w:u w:val="none"/>
          <w:lang w:val="en-GB"/>
        </w:rPr>
        <w:t xml:space="preserve">point 16. Currently, Unit B2 under DG Trade is tasked with investment matters (see European Commission (2009) Trade organisation chart, </w:t>
      </w:r>
      <w:hyperlink r:id="rId12" w:history="1">
        <w:r w:rsidRPr="000E51C9">
          <w:rPr>
            <w:rStyle w:val="Hyperlink"/>
            <w:rFonts w:ascii="Times New Roman" w:hAnsi="Times New Roman" w:cs="Times New Roman"/>
            <w:color w:val="000000" w:themeColor="text1"/>
            <w:u w:val="none"/>
            <w:lang w:val="en-GB"/>
          </w:rPr>
          <w:t>http://trade.ec.europa.eu/doclib/docs/2009/december/tradoc_145610.pdf</w:t>
        </w:r>
      </w:hyperlink>
      <w:r w:rsidRPr="000E51C9">
        <w:rPr>
          <w:rStyle w:val="Hyperlink"/>
          <w:rFonts w:ascii="Times New Roman" w:hAnsi="Times New Roman" w:cs="Times New Roman"/>
          <w:color w:val="000000" w:themeColor="text1"/>
          <w:u w:val="none"/>
          <w:lang w:val="en-GB"/>
        </w:rPr>
        <w:t xml:space="preserve">, accessed 16 March 2017. </w:t>
      </w:r>
    </w:p>
  </w:footnote>
  <w:footnote w:id="157">
    <w:p w14:paraId="7CEBFE6B" w14:textId="48951CDE" w:rsidR="00F17D28" w:rsidRPr="000E51C9" w:rsidRDefault="00F17D28" w:rsidP="00F6726A">
      <w:pPr>
        <w:autoSpaceDE w:val="0"/>
        <w:autoSpaceDN w:val="0"/>
        <w:adjustRightInd w:val="0"/>
        <w:spacing w:line="240" w:lineRule="auto"/>
        <w:jc w:val="both"/>
        <w:rPr>
          <w:i/>
          <w:iCs/>
          <w:color w:val="000000" w:themeColor="text1"/>
          <w:sz w:val="20"/>
          <w:szCs w:val="20"/>
          <w:lang w:eastAsia="zh-CN"/>
        </w:rPr>
      </w:pPr>
      <w:r w:rsidRPr="000E51C9">
        <w:rPr>
          <w:rStyle w:val="Funotenzeichen"/>
          <w:color w:val="000000" w:themeColor="text1"/>
          <w:sz w:val="20"/>
          <w:szCs w:val="20"/>
        </w:rPr>
        <w:footnoteRef/>
      </w:r>
      <w:r w:rsidRPr="000E51C9">
        <w:rPr>
          <w:color w:val="000000" w:themeColor="text1"/>
          <w:sz w:val="20"/>
          <w:szCs w:val="20"/>
        </w:rPr>
        <w:t xml:space="preserve"> </w:t>
      </w:r>
      <w:proofErr w:type="spellStart"/>
      <w:proofErr w:type="gramStart"/>
      <w:r w:rsidRPr="000E51C9">
        <w:rPr>
          <w:color w:val="000000" w:themeColor="text1"/>
          <w:sz w:val="20"/>
          <w:szCs w:val="20"/>
        </w:rPr>
        <w:t>V</w:t>
      </w:r>
      <w:r w:rsidRPr="000E51C9">
        <w:rPr>
          <w:color w:val="000000" w:themeColor="text1"/>
          <w:sz w:val="20"/>
          <w:szCs w:val="20"/>
          <w:lang w:eastAsia="zh-CN"/>
        </w:rPr>
        <w:t>andevelde</w:t>
      </w:r>
      <w:proofErr w:type="spellEnd"/>
      <w:r w:rsidRPr="000E51C9">
        <w:rPr>
          <w:color w:val="000000" w:themeColor="text1"/>
          <w:sz w:val="20"/>
          <w:szCs w:val="20"/>
          <w:lang w:eastAsia="zh-CN"/>
        </w:rPr>
        <w:t xml:space="preserve"> 1992, at 30.</w:t>
      </w:r>
      <w:proofErr w:type="gramEnd"/>
    </w:p>
  </w:footnote>
  <w:footnote w:id="158">
    <w:p w14:paraId="048C4F9A" w14:textId="4D5852E8"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proofErr w:type="gramStart"/>
      <w:r w:rsidRPr="000E51C9">
        <w:rPr>
          <w:rFonts w:ascii="Times New Roman" w:hAnsi="Times New Roman" w:cs="Times New Roman"/>
          <w:color w:val="000000" w:themeColor="text1"/>
          <w:lang w:val="en-GB"/>
        </w:rPr>
        <w:t>Baetens</w:t>
      </w:r>
      <w:proofErr w:type="spellEnd"/>
      <w:r w:rsidRPr="000E51C9">
        <w:rPr>
          <w:rFonts w:ascii="Times New Roman" w:hAnsi="Times New Roman" w:cs="Times New Roman"/>
          <w:color w:val="000000" w:themeColor="text1"/>
          <w:lang w:val="en-GB"/>
        </w:rPr>
        <w:t xml:space="preserve"> 2013, at 101.</w:t>
      </w:r>
      <w:proofErr w:type="gramEnd"/>
    </w:p>
  </w:footnote>
  <w:footnote w:id="159">
    <w:p w14:paraId="611480C4" w14:textId="6B7A2F18"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r w:rsidRPr="000E51C9">
        <w:rPr>
          <w:rFonts w:ascii="Times New Roman" w:hAnsi="Times New Roman" w:cs="Times New Roman"/>
          <w:color w:val="000000" w:themeColor="text1"/>
          <w:lang w:val="en-GB"/>
        </w:rPr>
        <w:t xml:space="preserve">Other authors have already noted that international economic agreements are increasingly used as tools to achieve more coherence in a state’s foreign economic policy (see Chilton 2015). </w:t>
      </w:r>
      <w:r w:rsidRPr="000E51C9">
        <w:rPr>
          <w:rFonts w:ascii="Times New Roman" w:hAnsi="Times New Roman" w:cs="Times New Roman"/>
          <w:lang w:val="en-GB"/>
        </w:rPr>
        <w:t>The European Commission’s 2006 Global Europe Communication speaks of the need to build a ‘comprehensive, integrated and forward-looking external trade policy’ of the EU with the help of FTAs that ‘must be comprehensive in scope’ (</w:t>
      </w:r>
      <w:r w:rsidRPr="000E51C9">
        <w:rPr>
          <w:rFonts w:ascii="Times New Roman" w:hAnsi="Times New Roman" w:cs="Times New Roman"/>
          <w:color w:val="000000" w:themeColor="text1"/>
          <w:lang w:val="en-GB"/>
        </w:rPr>
        <w:t xml:space="preserve">European Commission (2006) Global Europe Competing in the World: A Contribution to the EU’s Growth and Jobs Strategy, </w:t>
      </w:r>
      <w:hyperlink r:id="rId13" w:history="1">
        <w:r w:rsidRPr="000E51C9">
          <w:rPr>
            <w:rStyle w:val="Hyperlink"/>
            <w:rFonts w:ascii="Times New Roman" w:hAnsi="Times New Roman" w:cs="Times New Roman"/>
            <w:color w:val="000000" w:themeColor="text1"/>
            <w:u w:val="none"/>
            <w:lang w:val="en-GB"/>
          </w:rPr>
          <w:t>http://trade.ec.europa.eu/doclib/docs/2006/october/tradoc_130376.pdf</w:t>
        </w:r>
      </w:hyperlink>
      <w:r w:rsidRPr="000E51C9">
        <w:rPr>
          <w:rStyle w:val="Hyperlink"/>
          <w:rFonts w:ascii="Times New Roman" w:hAnsi="Times New Roman" w:cs="Times New Roman"/>
          <w:color w:val="000000" w:themeColor="text1"/>
          <w:u w:val="none"/>
          <w:lang w:val="en-GB"/>
        </w:rPr>
        <w:t>, accessed 25 August 2017, at 9-10</w:t>
      </w:r>
      <w:r w:rsidR="00A56ED5" w:rsidRPr="000E51C9">
        <w:rPr>
          <w:rStyle w:val="Hyperlink"/>
          <w:rFonts w:ascii="Times New Roman" w:hAnsi="Times New Roman" w:cs="Times New Roman"/>
          <w:color w:val="000000" w:themeColor="text1"/>
          <w:u w:val="none"/>
          <w:lang w:val="en-GB"/>
        </w:rPr>
        <w:t>)</w:t>
      </w:r>
      <w:r w:rsidRPr="000E51C9">
        <w:rPr>
          <w:rStyle w:val="Hyperlink"/>
          <w:rFonts w:ascii="Times New Roman" w:hAnsi="Times New Roman" w:cs="Times New Roman"/>
          <w:color w:val="000000" w:themeColor="text1"/>
          <w:u w:val="none"/>
          <w:lang w:val="en-GB"/>
        </w:rPr>
        <w:t>.</w:t>
      </w:r>
    </w:p>
  </w:footnote>
  <w:footnote w:id="160">
    <w:p w14:paraId="56E36310" w14:textId="7777777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w:t>
      </w:r>
      <w:proofErr w:type="spellStart"/>
      <w:r w:rsidRPr="000E51C9">
        <w:rPr>
          <w:rFonts w:ascii="Times New Roman" w:hAnsi="Times New Roman" w:cs="Times New Roman"/>
          <w:color w:val="000000" w:themeColor="text1"/>
          <w:lang w:val="en-GB"/>
        </w:rPr>
        <w:t>Schlütter</w:t>
      </w:r>
      <w:proofErr w:type="spellEnd"/>
      <w:r w:rsidRPr="000E51C9">
        <w:rPr>
          <w:rFonts w:ascii="Times New Roman" w:hAnsi="Times New Roman" w:cs="Times New Roman"/>
          <w:color w:val="000000" w:themeColor="text1"/>
          <w:lang w:val="en-GB"/>
        </w:rPr>
        <w:t xml:space="preserve"> 2012.</w:t>
      </w:r>
    </w:p>
  </w:footnote>
  <w:footnote w:id="161">
    <w:p w14:paraId="6C5C35D3" w14:textId="0D72450B"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w:t>
      </w:r>
      <w:proofErr w:type="spellStart"/>
      <w:r w:rsidRPr="000E51C9">
        <w:rPr>
          <w:rFonts w:ascii="Times New Roman" w:hAnsi="Times New Roman" w:cs="Times New Roman"/>
          <w:color w:val="000000" w:themeColor="text1"/>
          <w:lang w:val="en-GB"/>
        </w:rPr>
        <w:t>Ulfstein</w:t>
      </w:r>
      <w:proofErr w:type="spellEnd"/>
      <w:r w:rsidRPr="000E51C9">
        <w:rPr>
          <w:rFonts w:ascii="Times New Roman" w:hAnsi="Times New Roman" w:cs="Times New Roman"/>
          <w:color w:val="000000" w:themeColor="text1"/>
          <w:lang w:val="en-GB"/>
        </w:rPr>
        <w:t xml:space="preserve"> 2012, at 429-430. For a classification of treaty bodies (commissions or committees), see </w:t>
      </w:r>
      <w:proofErr w:type="spellStart"/>
      <w:r w:rsidRPr="000E51C9">
        <w:rPr>
          <w:rFonts w:ascii="Times New Roman" w:hAnsi="Times New Roman" w:cs="Times New Roman"/>
          <w:color w:val="000000" w:themeColor="text1"/>
          <w:lang w:val="en-GB"/>
        </w:rPr>
        <w:t>Schermers</w:t>
      </w:r>
      <w:proofErr w:type="spellEnd"/>
      <w:r w:rsidRPr="000E51C9">
        <w:rPr>
          <w:rFonts w:ascii="Times New Roman" w:hAnsi="Times New Roman" w:cs="Times New Roman"/>
          <w:color w:val="000000" w:themeColor="text1"/>
          <w:lang w:val="en-GB"/>
        </w:rPr>
        <w:t xml:space="preserve"> and </w:t>
      </w:r>
      <w:proofErr w:type="spellStart"/>
      <w:r w:rsidRPr="000E51C9">
        <w:rPr>
          <w:rFonts w:ascii="Times New Roman" w:hAnsi="Times New Roman" w:cs="Times New Roman"/>
          <w:color w:val="000000" w:themeColor="text1"/>
          <w:lang w:val="en-GB"/>
        </w:rPr>
        <w:t>Blokker</w:t>
      </w:r>
      <w:proofErr w:type="spellEnd"/>
      <w:r w:rsidRPr="000E51C9">
        <w:rPr>
          <w:rFonts w:ascii="Times New Roman" w:hAnsi="Times New Roman" w:cs="Times New Roman"/>
          <w:color w:val="000000" w:themeColor="text1"/>
          <w:lang w:val="en-GB"/>
        </w:rPr>
        <w:t xml:space="preserve"> 2011, paras 421-431, who classify them into functional, consultative, </w:t>
      </w:r>
      <w:r w:rsidRPr="000E51C9">
        <w:rPr>
          <w:rFonts w:ascii="Times New Roman" w:hAnsi="Times New Roman" w:cs="Times New Roman"/>
          <w:i/>
          <w:color w:val="000000" w:themeColor="text1"/>
          <w:lang w:val="en-GB"/>
        </w:rPr>
        <w:t xml:space="preserve">ad hoc </w:t>
      </w:r>
      <w:r w:rsidRPr="000E51C9">
        <w:rPr>
          <w:rFonts w:ascii="Times New Roman" w:hAnsi="Times New Roman" w:cs="Times New Roman"/>
          <w:color w:val="000000" w:themeColor="text1"/>
          <w:lang w:val="en-GB"/>
        </w:rPr>
        <w:t xml:space="preserve">advisory, procedural and regional </w:t>
      </w:r>
      <w:proofErr w:type="gramStart"/>
      <w:r w:rsidRPr="000E51C9">
        <w:rPr>
          <w:rFonts w:ascii="Times New Roman" w:hAnsi="Times New Roman" w:cs="Times New Roman"/>
          <w:color w:val="000000" w:themeColor="text1"/>
          <w:lang w:val="en-GB"/>
        </w:rPr>
        <w:t>commissions.</w:t>
      </w:r>
      <w:proofErr w:type="gramEnd"/>
      <w:r w:rsidRPr="000E51C9">
        <w:rPr>
          <w:rFonts w:ascii="Times New Roman" w:hAnsi="Times New Roman" w:cs="Times New Roman"/>
          <w:color w:val="000000" w:themeColor="text1"/>
          <w:lang w:val="en-GB"/>
        </w:rPr>
        <w:t xml:space="preserve"> See also </w:t>
      </w:r>
      <w:proofErr w:type="spellStart"/>
      <w:r w:rsidRPr="000E51C9">
        <w:rPr>
          <w:rFonts w:ascii="Times New Roman" w:hAnsi="Times New Roman" w:cs="Times New Roman"/>
          <w:color w:val="000000" w:themeColor="text1"/>
          <w:lang w:val="en-GB"/>
        </w:rPr>
        <w:t>Gáspár-Szilágyi</w:t>
      </w:r>
      <w:proofErr w:type="spellEnd"/>
      <w:r w:rsidRPr="000E51C9">
        <w:rPr>
          <w:rFonts w:ascii="Times New Roman" w:hAnsi="Times New Roman" w:cs="Times New Roman"/>
          <w:color w:val="000000" w:themeColor="text1"/>
          <w:lang w:val="en-GB"/>
        </w:rPr>
        <w:t xml:space="preserve"> 2016.</w:t>
      </w:r>
    </w:p>
  </w:footnote>
  <w:footnote w:id="162">
    <w:p w14:paraId="36AF5A0A" w14:textId="75FB23B9"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2016 Comprehensive Economic and Trade Agreement (CETA) between Canada, of the one part, and the European Union and its Member Stats, of the other part, OJ L 11/23 (‘</w:t>
      </w:r>
      <w:r w:rsidRPr="000E51C9">
        <w:rPr>
          <w:rFonts w:ascii="Times New Roman" w:hAnsi="Times New Roman" w:cs="Times New Roman"/>
          <w:color w:val="000000" w:themeColor="text1"/>
          <w:lang w:val="en-GB"/>
        </w:rPr>
        <w:t>CETA’), Article 26.1; 2014 Free Trade Agreement between Canada and the Republic of Korea (‘Canada-Korea FTA’), http://investmentpolicyhub.unctad.org/Download/TreatyFile/3076, accessed 10 November 2017, Article 20.1; 2013 Free Trade Agreement between Canada and the Republic of Honduras (‘Canada-Honduras FTA’), http://international.gc.ca/trade-commerce/trade-agreements-accords-commerciaux/agr-acc/honduras/fta-ale/index.aspx?lang=eng, accessed 10 November 2017, Article 21.1; Canada-Panama</w:t>
      </w:r>
      <w:r w:rsidR="00DF66FF" w:rsidRPr="000E51C9">
        <w:rPr>
          <w:rFonts w:ascii="Times New Roman" w:hAnsi="Times New Roman" w:cs="Times New Roman"/>
          <w:color w:val="000000" w:themeColor="text1"/>
          <w:lang w:val="en-GB"/>
        </w:rPr>
        <w:t xml:space="preserve"> FTA</w:t>
      </w:r>
      <w:r w:rsidRPr="000E51C9">
        <w:rPr>
          <w:rFonts w:ascii="Times New Roman" w:hAnsi="Times New Roman" w:cs="Times New Roman"/>
          <w:color w:val="000000" w:themeColor="text1"/>
          <w:lang w:val="en-GB"/>
        </w:rPr>
        <w:t xml:space="preserve">, Article 21.01; </w:t>
      </w:r>
      <w:r w:rsidR="00DF66FF" w:rsidRPr="000E51C9">
        <w:rPr>
          <w:rFonts w:ascii="Times New Roman" w:hAnsi="Times New Roman" w:cs="Times New Roman"/>
          <w:color w:val="000000" w:themeColor="text1"/>
          <w:lang w:val="en-GB"/>
        </w:rPr>
        <w:t>2006 United States-Colombia Trade Promotion Agreement (‘</w:t>
      </w:r>
      <w:r w:rsidRPr="000E51C9">
        <w:rPr>
          <w:rFonts w:ascii="Times New Roman" w:hAnsi="Times New Roman" w:cs="Times New Roman"/>
          <w:color w:val="000000" w:themeColor="text1"/>
          <w:lang w:val="en-GB"/>
        </w:rPr>
        <w:t>US</w:t>
      </w:r>
      <w:r w:rsidRPr="000E51C9">
        <w:rPr>
          <w:rFonts w:ascii="Times New Roman" w:hAnsi="Times New Roman" w:cs="Times New Roman"/>
          <w:color w:val="000000" w:themeColor="text1"/>
          <w:lang w:val="en-GB"/>
        </w:rPr>
        <w:noBreakHyphen/>
        <w:t>Colombia</w:t>
      </w:r>
      <w:r w:rsidR="00DF66FF" w:rsidRPr="000E51C9">
        <w:rPr>
          <w:rFonts w:ascii="Times New Roman" w:hAnsi="Times New Roman" w:cs="Times New Roman"/>
          <w:color w:val="000000" w:themeColor="text1"/>
          <w:lang w:val="en-GB"/>
        </w:rPr>
        <w:t xml:space="preserve"> PTA’)</w:t>
      </w:r>
      <w:r w:rsidR="00DF66FF" w:rsidRPr="000E51C9">
        <w:rPr>
          <w:rFonts w:ascii="Times New Roman" w:hAnsi="Times New Roman" w:cs="Times New Roman"/>
          <w:lang w:val="en-GB"/>
        </w:rPr>
        <w:t xml:space="preserve"> </w:t>
      </w:r>
      <w:r w:rsidR="00DF66FF" w:rsidRPr="000E51C9">
        <w:rPr>
          <w:rFonts w:ascii="Times New Roman" w:hAnsi="Times New Roman" w:cs="Times New Roman"/>
          <w:color w:val="000000" w:themeColor="text1"/>
          <w:lang w:val="en-GB"/>
        </w:rPr>
        <w:t>https://ustr.gov/trade-agreements/free-trade-agreements/colombia-fta/final-text</w:t>
      </w:r>
      <w:r w:rsidRPr="000E51C9">
        <w:rPr>
          <w:rFonts w:ascii="Times New Roman" w:hAnsi="Times New Roman" w:cs="Times New Roman"/>
          <w:color w:val="000000" w:themeColor="text1"/>
          <w:lang w:val="en-GB"/>
        </w:rPr>
        <w:t xml:space="preserve">, </w:t>
      </w:r>
      <w:r w:rsidR="00DF66FF" w:rsidRPr="000E51C9">
        <w:rPr>
          <w:rFonts w:ascii="Times New Roman" w:hAnsi="Times New Roman" w:cs="Times New Roman"/>
          <w:color w:val="000000" w:themeColor="text1"/>
          <w:lang w:val="en-GB"/>
        </w:rPr>
        <w:t xml:space="preserve">accessed 13 November 2017, </w:t>
      </w:r>
      <w:r w:rsidRPr="000E51C9">
        <w:rPr>
          <w:rFonts w:ascii="Times New Roman" w:hAnsi="Times New Roman" w:cs="Times New Roman"/>
          <w:color w:val="000000" w:themeColor="text1"/>
          <w:lang w:val="en-GB"/>
        </w:rPr>
        <w:t xml:space="preserve">Article 20.1; </w:t>
      </w:r>
      <w:r w:rsidR="00DF66FF" w:rsidRPr="000E51C9">
        <w:rPr>
          <w:rFonts w:ascii="Times New Roman" w:hAnsi="Times New Roman" w:cs="Times New Roman"/>
          <w:color w:val="000000" w:themeColor="text1"/>
          <w:lang w:val="en-GB"/>
        </w:rPr>
        <w:t>2006 United States-Oman Free Trade Agreement (‘</w:t>
      </w:r>
      <w:r w:rsidRPr="000E51C9">
        <w:rPr>
          <w:rFonts w:ascii="Times New Roman" w:hAnsi="Times New Roman" w:cs="Times New Roman"/>
          <w:color w:val="000000" w:themeColor="text1"/>
          <w:lang w:val="en-GB"/>
        </w:rPr>
        <w:t>US-Oman</w:t>
      </w:r>
      <w:r w:rsidR="00DF66FF" w:rsidRPr="000E51C9">
        <w:rPr>
          <w:rFonts w:ascii="Times New Roman" w:hAnsi="Times New Roman" w:cs="Times New Roman"/>
          <w:color w:val="000000" w:themeColor="text1"/>
          <w:lang w:val="en-GB"/>
        </w:rPr>
        <w:t xml:space="preserve"> FTA’)</w:t>
      </w:r>
      <w:r w:rsidRPr="000E51C9">
        <w:rPr>
          <w:rFonts w:ascii="Times New Roman" w:hAnsi="Times New Roman" w:cs="Times New Roman"/>
          <w:color w:val="000000" w:themeColor="text1"/>
          <w:lang w:val="en-GB"/>
        </w:rPr>
        <w:t xml:space="preserve">, </w:t>
      </w:r>
      <w:r w:rsidR="00DF66FF" w:rsidRPr="000E51C9">
        <w:rPr>
          <w:rFonts w:ascii="Times New Roman" w:hAnsi="Times New Roman" w:cs="Times New Roman"/>
          <w:color w:val="000000" w:themeColor="text1"/>
          <w:lang w:val="en-GB"/>
        </w:rPr>
        <w:t xml:space="preserve">https://ustr.gov/trade-agreements/free-trade-agreements/oman-fta/final-text , accessed 13 November 2017, </w:t>
      </w:r>
      <w:r w:rsidRPr="000E51C9">
        <w:rPr>
          <w:rFonts w:ascii="Times New Roman" w:hAnsi="Times New Roman" w:cs="Times New Roman"/>
          <w:color w:val="000000" w:themeColor="text1"/>
          <w:lang w:val="en-GB"/>
        </w:rPr>
        <w:t xml:space="preserve">Article 19.2; </w:t>
      </w:r>
      <w:r w:rsidR="00DF66FF" w:rsidRPr="000E51C9">
        <w:rPr>
          <w:rFonts w:ascii="Times New Roman" w:hAnsi="Times New Roman" w:cs="Times New Roman"/>
          <w:color w:val="000000" w:themeColor="text1"/>
          <w:lang w:val="en-GB"/>
        </w:rPr>
        <w:t>2005 Dominican Republic–Central America–United States Free-Trade Agreement (‘CAFTA-DR’), https://wits.worldbank.org/GPTAD/PDF/archive/UnitedStates-DominicanRepublic(CAFTA).pdf, accessed 1 November 2017</w:t>
      </w:r>
      <w:r w:rsidRPr="000E51C9">
        <w:rPr>
          <w:rFonts w:ascii="Times New Roman" w:hAnsi="Times New Roman" w:cs="Times New Roman"/>
          <w:color w:val="000000" w:themeColor="text1"/>
          <w:lang w:val="en-GB"/>
        </w:rPr>
        <w:t xml:space="preserve">, Article 19.1; </w:t>
      </w:r>
      <w:r w:rsidR="00313F13" w:rsidRPr="000E51C9">
        <w:rPr>
          <w:rFonts w:ascii="Times New Roman" w:hAnsi="Times New Roman" w:cs="Times New Roman"/>
          <w:color w:val="000000" w:themeColor="text1"/>
          <w:lang w:val="en-GB"/>
        </w:rPr>
        <w:t>2004 Agreement between Japan and the United Mexican States for the Strengthening of the Economic Partnership (‘</w:t>
      </w:r>
      <w:r w:rsidRPr="000E51C9">
        <w:rPr>
          <w:rFonts w:ascii="Times New Roman" w:hAnsi="Times New Roman" w:cs="Times New Roman"/>
          <w:color w:val="000000" w:themeColor="text1"/>
          <w:lang w:val="en-GB"/>
        </w:rPr>
        <w:t>Japan-Mexico</w:t>
      </w:r>
      <w:r w:rsidR="00313F13" w:rsidRPr="000E51C9">
        <w:rPr>
          <w:rFonts w:ascii="Times New Roman" w:hAnsi="Times New Roman" w:cs="Times New Roman"/>
          <w:color w:val="000000" w:themeColor="text1"/>
          <w:lang w:val="en-GB"/>
        </w:rPr>
        <w:t xml:space="preserve"> EPA’)</w:t>
      </w:r>
      <w:r w:rsidRPr="000E51C9">
        <w:rPr>
          <w:rFonts w:ascii="Times New Roman" w:hAnsi="Times New Roman" w:cs="Times New Roman"/>
          <w:color w:val="000000" w:themeColor="text1"/>
          <w:lang w:val="en-GB"/>
        </w:rPr>
        <w:t>,</w:t>
      </w:r>
      <w:r w:rsidR="00313F13" w:rsidRPr="000E51C9">
        <w:rPr>
          <w:rFonts w:ascii="Times New Roman" w:hAnsi="Times New Roman" w:cs="Times New Roman"/>
          <w:color w:val="000000" w:themeColor="text1"/>
          <w:lang w:val="en-GB"/>
        </w:rPr>
        <w:t xml:space="preserve"> http://www.mofa.go.jp/region/latin/mexico/agreement/pdfs/epa1203.pdf, accessed 13 November 2013,</w:t>
      </w:r>
      <w:r w:rsidRPr="000E51C9">
        <w:rPr>
          <w:rFonts w:ascii="Times New Roman" w:hAnsi="Times New Roman" w:cs="Times New Roman"/>
          <w:color w:val="000000" w:themeColor="text1"/>
          <w:lang w:val="en-GB"/>
        </w:rPr>
        <w:t xml:space="preserve"> Article 165; </w:t>
      </w:r>
      <w:r w:rsidR="00313F13" w:rsidRPr="000E51C9">
        <w:rPr>
          <w:rFonts w:ascii="Times New Roman" w:hAnsi="Times New Roman" w:cs="Times New Roman"/>
          <w:color w:val="000000" w:themeColor="text1"/>
          <w:lang w:val="en-GB"/>
        </w:rPr>
        <w:t>2005 Agreement between the Government of Japan and the Government of Malaysia for an Economic Partnership (‘</w:t>
      </w:r>
      <w:r w:rsidRPr="000E51C9">
        <w:rPr>
          <w:rFonts w:ascii="Times New Roman" w:hAnsi="Times New Roman" w:cs="Times New Roman"/>
          <w:color w:val="000000" w:themeColor="text1"/>
          <w:lang w:val="en-GB"/>
        </w:rPr>
        <w:t>Japan-Malaysia</w:t>
      </w:r>
      <w:r w:rsidR="00313F13" w:rsidRPr="000E51C9">
        <w:rPr>
          <w:rFonts w:ascii="Times New Roman" w:hAnsi="Times New Roman" w:cs="Times New Roman"/>
          <w:color w:val="000000" w:themeColor="text1"/>
          <w:lang w:val="en-GB"/>
        </w:rPr>
        <w:t xml:space="preserve"> EPA’),</w:t>
      </w:r>
      <w:r w:rsidR="00313F13" w:rsidRPr="000E51C9">
        <w:rPr>
          <w:rFonts w:ascii="Times New Roman" w:hAnsi="Times New Roman" w:cs="Times New Roman"/>
          <w:lang w:val="en-GB"/>
        </w:rPr>
        <w:t xml:space="preserve"> </w:t>
      </w:r>
      <w:r w:rsidR="00313F13" w:rsidRPr="000E51C9">
        <w:rPr>
          <w:rFonts w:ascii="Times New Roman" w:hAnsi="Times New Roman" w:cs="Times New Roman"/>
          <w:color w:val="000000" w:themeColor="text1"/>
          <w:lang w:val="en-GB"/>
        </w:rPr>
        <w:t>http://www.mofa.go.jp/region/asia-paci/malaysia/epa/content.pdf</w:t>
      </w:r>
      <w:r w:rsidRPr="000E51C9">
        <w:rPr>
          <w:rFonts w:ascii="Times New Roman" w:hAnsi="Times New Roman" w:cs="Times New Roman"/>
          <w:color w:val="000000" w:themeColor="text1"/>
          <w:lang w:val="en-GB"/>
        </w:rPr>
        <w:t xml:space="preserve">, </w:t>
      </w:r>
      <w:r w:rsidR="00313F13" w:rsidRPr="000E51C9">
        <w:rPr>
          <w:rFonts w:ascii="Times New Roman" w:hAnsi="Times New Roman" w:cs="Times New Roman"/>
          <w:color w:val="000000" w:themeColor="text1"/>
          <w:lang w:val="en-GB"/>
        </w:rPr>
        <w:t xml:space="preserve">accessed 13 November 2017, </w:t>
      </w:r>
      <w:r w:rsidRPr="000E51C9">
        <w:rPr>
          <w:rFonts w:ascii="Times New Roman" w:hAnsi="Times New Roman" w:cs="Times New Roman"/>
          <w:color w:val="000000" w:themeColor="text1"/>
          <w:lang w:val="en-GB"/>
        </w:rPr>
        <w:t>Article 13. For a further discussion</w:t>
      </w:r>
      <w:r w:rsidR="00DF66FF"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 xml:space="preserve"> see </w:t>
      </w:r>
      <w:proofErr w:type="spellStart"/>
      <w:r w:rsidRPr="000E51C9">
        <w:rPr>
          <w:rFonts w:ascii="Times New Roman" w:hAnsi="Times New Roman" w:cs="Times New Roman"/>
          <w:color w:val="000000" w:themeColor="text1"/>
          <w:lang w:val="en-GB"/>
        </w:rPr>
        <w:t>Gáspár-Szilágyi</w:t>
      </w:r>
      <w:proofErr w:type="spellEnd"/>
      <w:r w:rsidRPr="000E51C9">
        <w:rPr>
          <w:rFonts w:ascii="Times New Roman" w:hAnsi="Times New Roman" w:cs="Times New Roman"/>
          <w:color w:val="000000" w:themeColor="text1"/>
          <w:lang w:val="en-GB"/>
        </w:rPr>
        <w:t xml:space="preserve"> 2016.</w:t>
      </w:r>
    </w:p>
  </w:footnote>
  <w:footnote w:id="163">
    <w:p w14:paraId="50B0C5FE" w14:textId="2AA891CF"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Canada-Korea FTA, Annex 20-A; Canada-Honduras FTA, Article 21.1.7; Canada-Panama FTA, Annex 21.01; US-Colombia </w:t>
      </w:r>
      <w:r w:rsidR="00DF66FF" w:rsidRPr="000E51C9">
        <w:rPr>
          <w:rFonts w:ascii="Times New Roman" w:hAnsi="Times New Roman" w:cs="Times New Roman"/>
          <w:color w:val="000000" w:themeColor="text1"/>
          <w:lang w:val="en-GB"/>
        </w:rPr>
        <w:t>TPA</w:t>
      </w:r>
      <w:r w:rsidRPr="000E51C9">
        <w:rPr>
          <w:rFonts w:ascii="Times New Roman" w:hAnsi="Times New Roman" w:cs="Times New Roman"/>
          <w:color w:val="000000" w:themeColor="text1"/>
          <w:lang w:val="en-GB"/>
        </w:rPr>
        <w:t xml:space="preserve">, Article 20.1.3; CAFTA-DR, Article 19.1.3; Japan-Mexico EPA, Articles 19, 37, 103 and 117; Japan-Malaysia EPA, Articles 14, 25, 49, 58, 65, 70, 93, 110, 129, 134 and 143. See also </w:t>
      </w:r>
      <w:proofErr w:type="spellStart"/>
      <w:r w:rsidRPr="000E51C9">
        <w:rPr>
          <w:rFonts w:ascii="Times New Roman" w:hAnsi="Times New Roman" w:cs="Times New Roman"/>
          <w:color w:val="000000" w:themeColor="text1"/>
          <w:lang w:val="en-GB"/>
        </w:rPr>
        <w:t>Ulfstein</w:t>
      </w:r>
      <w:proofErr w:type="spellEnd"/>
      <w:r w:rsidRPr="000E51C9">
        <w:rPr>
          <w:rFonts w:ascii="Times New Roman" w:hAnsi="Times New Roman" w:cs="Times New Roman"/>
          <w:color w:val="000000" w:themeColor="text1"/>
          <w:lang w:val="en-GB"/>
        </w:rPr>
        <w:t xml:space="preserve"> 2012, at 430.</w:t>
      </w:r>
    </w:p>
  </w:footnote>
  <w:footnote w:id="164">
    <w:p w14:paraId="0CB98FD5" w14:textId="478CAF5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CETA, Article 26.2; European Commission (2015) EU-Singapore Free Trade Agreement: Authentic text as of May 2015, 29 June 2015 (‘EU-Singapore FTA’), http://trade.ec.europa.eu/doclib/press/index.cfm?id=961, accessed 10 November 2017, Article 17.2.1; European Commission (2016) EU-Vietnam Free Trade Agreement: Agreed text as of January 2016, 1 February 2016 (‘EU-Vietnam FTA’), http://trade.ec.europa.eu/doclib/press/index.cfm?id=1437, accessed 10 November 2017, Chapter XX, Article X.2.1. </w:t>
      </w:r>
    </w:p>
  </w:footnote>
  <w:footnote w:id="165">
    <w:p w14:paraId="45CFA749" w14:textId="1FEE810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CETA, Article 26.2(b) ‘Committee on Services and Investment’, Article 17.2.1(d) ‘Committee on Trade in Services, Investment and Government Procurement’; EU-Vietnam FTA, Chapter XX, Article </w:t>
      </w:r>
      <w:proofErr w:type="gramStart"/>
      <w:r w:rsidRPr="000E51C9">
        <w:rPr>
          <w:rFonts w:ascii="Times New Roman" w:hAnsi="Times New Roman" w:cs="Times New Roman"/>
          <w:color w:val="000000" w:themeColor="text1"/>
          <w:lang w:val="en-GB"/>
        </w:rPr>
        <w:t>X.2.1(</w:t>
      </w:r>
      <w:proofErr w:type="gramEnd"/>
      <w:r w:rsidRPr="000E51C9">
        <w:rPr>
          <w:rFonts w:ascii="Times New Roman" w:hAnsi="Times New Roman" w:cs="Times New Roman"/>
          <w:color w:val="000000" w:themeColor="text1"/>
          <w:lang w:val="en-GB"/>
        </w:rPr>
        <w:t>b) ‘Committee on Services, Investment and Government Procurement’.</w:t>
      </w:r>
    </w:p>
  </w:footnote>
  <w:footnote w:id="166">
    <w:p w14:paraId="0F87985E" w14:textId="6081F7A9" w:rsidR="00F17D28" w:rsidRPr="000E51C9" w:rsidRDefault="00F17D28" w:rsidP="00F6726A">
      <w:pPr>
        <w:pStyle w:val="Funotentext"/>
        <w:tabs>
          <w:tab w:val="left" w:pos="7957"/>
        </w:tabs>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Canada-Honduras FTA, Article 21.3.</w:t>
      </w:r>
      <w:r w:rsidRPr="000E51C9">
        <w:rPr>
          <w:rFonts w:ascii="Times New Roman" w:hAnsi="Times New Roman" w:cs="Times New Roman"/>
          <w:color w:val="000000" w:themeColor="text1"/>
          <w:lang w:val="en-GB"/>
        </w:rPr>
        <w:tab/>
      </w:r>
    </w:p>
  </w:footnote>
  <w:footnote w:id="167">
    <w:p w14:paraId="117BC2C9" w14:textId="1BD8A051"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See Brower 2006; Kaufmann-Kohler 2011. </w:t>
      </w:r>
    </w:p>
  </w:footnote>
  <w:footnote w:id="168">
    <w:p w14:paraId="22240941" w14:textId="098FFEEA"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Not to be confused with the WTO Dispute Settlement Body. </w:t>
      </w:r>
    </w:p>
  </w:footnote>
  <w:footnote w:id="169">
    <w:p w14:paraId="1EF7DC38" w14:textId="608B14CC"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For a comprehensive review of literature, see Hoffmann et al 2013, at 15</w:t>
      </w:r>
      <w:r w:rsidR="006B62CF" w:rsidRPr="000E51C9">
        <w:rPr>
          <w:rFonts w:ascii="Times New Roman" w:hAnsi="Times New Roman" w:cs="Times New Roman"/>
          <w:color w:val="000000" w:themeColor="text1"/>
          <w:lang w:val="en-GB"/>
        </w:rPr>
        <w:t>,</w:t>
      </w:r>
      <w:r w:rsidRPr="000E51C9">
        <w:rPr>
          <w:rFonts w:ascii="Times New Roman" w:hAnsi="Times New Roman" w:cs="Times New Roman"/>
          <w:color w:val="000000" w:themeColor="text1"/>
          <w:lang w:val="en-GB"/>
        </w:rPr>
        <w:t xml:space="preserve"> f</w:t>
      </w:r>
      <w:r w:rsidR="006B62CF" w:rsidRPr="000E51C9">
        <w:rPr>
          <w:rFonts w:ascii="Times New Roman" w:hAnsi="Times New Roman" w:cs="Times New Roman"/>
          <w:color w:val="000000" w:themeColor="text1"/>
          <w:lang w:val="en-GB"/>
        </w:rPr>
        <w:t>oot</w:t>
      </w:r>
      <w:r w:rsidRPr="000E51C9">
        <w:rPr>
          <w:rFonts w:ascii="Times New Roman" w:hAnsi="Times New Roman" w:cs="Times New Roman"/>
          <w:color w:val="000000" w:themeColor="text1"/>
          <w:lang w:val="en-GB"/>
        </w:rPr>
        <w:t>n</w:t>
      </w:r>
      <w:r w:rsidR="006B62CF" w:rsidRPr="000E51C9">
        <w:rPr>
          <w:rFonts w:ascii="Times New Roman" w:hAnsi="Times New Roman" w:cs="Times New Roman"/>
          <w:color w:val="000000" w:themeColor="text1"/>
          <w:lang w:val="en-GB"/>
        </w:rPr>
        <w:t>ote</w:t>
      </w:r>
      <w:r w:rsidRPr="000E51C9">
        <w:rPr>
          <w:rFonts w:ascii="Times New Roman" w:hAnsi="Times New Roman" w:cs="Times New Roman"/>
          <w:color w:val="000000" w:themeColor="text1"/>
          <w:lang w:val="en-GB"/>
        </w:rPr>
        <w:t xml:space="preserve"> 23.</w:t>
      </w:r>
    </w:p>
  </w:footnote>
  <w:footnote w:id="170">
    <w:p w14:paraId="25C80E29" w14:textId="2E5B3F10"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r w:rsidRPr="000E51C9">
        <w:rPr>
          <w:rFonts w:ascii="Times New Roman" w:hAnsi="Times New Roman" w:cs="Times New Roman"/>
          <w:color w:val="000000" w:themeColor="text1"/>
          <w:lang w:val="en-GB"/>
        </w:rPr>
        <w:t>Dolzer</w:t>
      </w:r>
      <w:proofErr w:type="spellEnd"/>
      <w:r w:rsidR="00A56ED5" w:rsidRPr="000E51C9">
        <w:rPr>
          <w:rFonts w:ascii="Times New Roman" w:eastAsia="Times New Roman" w:hAnsi="Times New Roman" w:cs="Times New Roman"/>
          <w:color w:val="000000" w:themeColor="text1"/>
          <w:lang w:val="en-GB"/>
        </w:rPr>
        <w:t xml:space="preserve"> and </w:t>
      </w:r>
      <w:proofErr w:type="spellStart"/>
      <w:r w:rsidR="00A56ED5" w:rsidRPr="000E51C9">
        <w:rPr>
          <w:rFonts w:ascii="Times New Roman" w:eastAsia="Times New Roman" w:hAnsi="Times New Roman" w:cs="Times New Roman"/>
          <w:color w:val="000000" w:themeColor="text1"/>
          <w:lang w:val="en-GB"/>
        </w:rPr>
        <w:t>Schreuer</w:t>
      </w:r>
      <w:proofErr w:type="spellEnd"/>
      <w:r w:rsidR="00A56ED5" w:rsidRPr="000E51C9">
        <w:rPr>
          <w:rFonts w:ascii="Times New Roman" w:eastAsia="Times New Roman" w:hAnsi="Times New Roman" w:cs="Times New Roman"/>
          <w:color w:val="000000" w:themeColor="text1"/>
          <w:lang w:val="en-GB"/>
        </w:rPr>
        <w:t xml:space="preserve"> 2012, at 204-206; </w:t>
      </w:r>
      <w:proofErr w:type="spellStart"/>
      <w:r w:rsidR="00A56ED5" w:rsidRPr="000E51C9">
        <w:rPr>
          <w:rFonts w:ascii="Times New Roman" w:eastAsia="Times New Roman" w:hAnsi="Times New Roman" w:cs="Times New Roman"/>
          <w:color w:val="000000" w:themeColor="text1"/>
          <w:lang w:val="en-GB"/>
        </w:rPr>
        <w:t>Muchlinski</w:t>
      </w:r>
      <w:proofErr w:type="spellEnd"/>
      <w:r w:rsidR="00A56ED5" w:rsidRPr="000E51C9">
        <w:rPr>
          <w:rFonts w:ascii="Times New Roman" w:eastAsia="Times New Roman" w:hAnsi="Times New Roman" w:cs="Times New Roman"/>
          <w:color w:val="000000" w:themeColor="text1"/>
          <w:lang w:val="en-GB"/>
        </w:rPr>
        <w:t xml:space="preserve"> 2013, at 220-</w:t>
      </w:r>
      <w:r w:rsidRPr="000E51C9">
        <w:rPr>
          <w:rFonts w:ascii="Times New Roman" w:eastAsia="Times New Roman" w:hAnsi="Times New Roman" w:cs="Times New Roman"/>
          <w:color w:val="000000" w:themeColor="text1"/>
          <w:lang w:val="en-GB"/>
        </w:rPr>
        <w:t>221.</w:t>
      </w:r>
    </w:p>
  </w:footnote>
  <w:footnote w:id="171">
    <w:p w14:paraId="4DA96C2A" w14:textId="77777777" w:rsidR="00F17D28" w:rsidRPr="000E51C9" w:rsidRDefault="00F17D28" w:rsidP="00F6726A">
      <w:pPr>
        <w:pStyle w:val="Funotentext"/>
        <w:spacing w:line="240" w:lineRule="auto"/>
        <w:jc w:val="both"/>
        <w:rPr>
          <w:rFonts w:ascii="Times New Roman" w:hAnsi="Times New Roman" w:cs="Times New Roman"/>
          <w:lang w:val="en-GB"/>
        </w:rPr>
      </w:pPr>
      <w:r w:rsidRPr="000E51C9">
        <w:rPr>
          <w:rStyle w:val="Funotenzeichen"/>
          <w:rFonts w:ascii="Times New Roman" w:hAnsi="Times New Roman" w:cs="Times New Roman"/>
          <w:lang w:val="en-GB"/>
        </w:rPr>
        <w:footnoteRef/>
      </w:r>
      <w:r w:rsidRPr="000E51C9">
        <w:rPr>
          <w:rFonts w:ascii="Times New Roman" w:hAnsi="Times New Roman" w:cs="Times New Roman"/>
          <w:lang w:val="en-GB"/>
        </w:rPr>
        <w:t xml:space="preserve"> </w:t>
      </w:r>
      <w:proofErr w:type="spellStart"/>
      <w:proofErr w:type="gramStart"/>
      <w:r w:rsidRPr="000E51C9">
        <w:rPr>
          <w:rFonts w:ascii="Times New Roman" w:hAnsi="Times New Roman" w:cs="Times New Roman"/>
          <w:lang w:val="en-GB"/>
        </w:rPr>
        <w:t>Baetens</w:t>
      </w:r>
      <w:proofErr w:type="spellEnd"/>
      <w:r w:rsidRPr="000E51C9">
        <w:rPr>
          <w:rFonts w:ascii="Times New Roman" w:hAnsi="Times New Roman" w:cs="Times New Roman"/>
          <w:lang w:val="en-GB"/>
        </w:rPr>
        <w:t xml:space="preserve"> 2013, at 96.</w:t>
      </w:r>
      <w:proofErr w:type="gramEnd"/>
    </w:p>
  </w:footnote>
  <w:footnote w:id="172">
    <w:p w14:paraId="06D40F1E" w14:textId="52A9B9FD"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Ibid.;</w:t>
      </w:r>
      <w:proofErr w:type="gramEnd"/>
      <w:r w:rsidRPr="000E51C9">
        <w:rPr>
          <w:rFonts w:ascii="Times New Roman" w:hAnsi="Times New Roman" w:cs="Times New Roman"/>
          <w:color w:val="000000" w:themeColor="text1"/>
          <w:lang w:val="en-GB"/>
        </w:rPr>
        <w:t xml:space="preserve"> De </w:t>
      </w:r>
      <w:proofErr w:type="spellStart"/>
      <w:r w:rsidRPr="000E51C9">
        <w:rPr>
          <w:rFonts w:ascii="Times New Roman" w:hAnsi="Times New Roman" w:cs="Times New Roman"/>
          <w:color w:val="000000" w:themeColor="text1"/>
          <w:lang w:val="en-GB"/>
        </w:rPr>
        <w:t>Brabandere</w:t>
      </w:r>
      <w:proofErr w:type="spellEnd"/>
      <w:r w:rsidRPr="000E51C9">
        <w:rPr>
          <w:rFonts w:ascii="Times New Roman" w:hAnsi="Times New Roman" w:cs="Times New Roman"/>
          <w:color w:val="000000" w:themeColor="text1"/>
          <w:lang w:val="en-GB"/>
        </w:rPr>
        <w:t xml:space="preserve"> 2013, at 65-66.</w:t>
      </w:r>
    </w:p>
  </w:footnote>
  <w:footnote w:id="173">
    <w:p w14:paraId="1054ABAC" w14:textId="112A9CF7"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For an overview of cases,</w:t>
      </w:r>
      <w:r w:rsidR="00A56ED5" w:rsidRPr="000E51C9">
        <w:rPr>
          <w:rFonts w:ascii="Times New Roman" w:hAnsi="Times New Roman" w:cs="Times New Roman"/>
          <w:color w:val="000000" w:themeColor="text1"/>
          <w:lang w:val="en-GB"/>
        </w:rPr>
        <w:t xml:space="preserve"> see Lévesque 2015, at 376-</w:t>
      </w:r>
      <w:r w:rsidRPr="000E51C9">
        <w:rPr>
          <w:rFonts w:ascii="Times New Roman" w:hAnsi="Times New Roman" w:cs="Times New Roman"/>
          <w:color w:val="000000" w:themeColor="text1"/>
          <w:lang w:val="en-GB"/>
        </w:rPr>
        <w:t>386.</w:t>
      </w:r>
    </w:p>
  </w:footnote>
  <w:footnote w:id="174">
    <w:p w14:paraId="181D0411" w14:textId="1CF33F66"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Braun 2013, at 138-141.</w:t>
      </w:r>
    </w:p>
  </w:footnote>
  <w:footnote w:id="175">
    <w:p w14:paraId="70EDE1D1" w14:textId="29B37649"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spellStart"/>
      <w:proofErr w:type="gramStart"/>
      <w:r w:rsidRPr="000E51C9">
        <w:rPr>
          <w:rFonts w:ascii="Times New Roman" w:hAnsi="Times New Roman" w:cs="Times New Roman"/>
          <w:color w:val="000000" w:themeColor="text1"/>
          <w:lang w:val="en-GB"/>
        </w:rPr>
        <w:t>Pauwelyn</w:t>
      </w:r>
      <w:proofErr w:type="spellEnd"/>
      <w:r w:rsidRPr="000E51C9">
        <w:rPr>
          <w:rFonts w:ascii="Times New Roman" w:hAnsi="Times New Roman" w:cs="Times New Roman"/>
          <w:color w:val="000000" w:themeColor="text1"/>
          <w:lang w:val="en-GB"/>
        </w:rPr>
        <w:t xml:space="preserve"> 2015.</w:t>
      </w:r>
      <w:proofErr w:type="gramEnd"/>
    </w:p>
  </w:footnote>
  <w:footnote w:id="176">
    <w:p w14:paraId="70FD1365" w14:textId="5450FD9E" w:rsidR="00F17D28" w:rsidRPr="000E51C9"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w:t>
      </w:r>
      <w:proofErr w:type="gramStart"/>
      <w:r w:rsidRPr="000E51C9">
        <w:rPr>
          <w:rFonts w:ascii="Times New Roman" w:hAnsi="Times New Roman" w:cs="Times New Roman"/>
          <w:color w:val="000000" w:themeColor="text1"/>
          <w:lang w:val="en-GB"/>
        </w:rPr>
        <w:t>Ibid.,</w:t>
      </w:r>
      <w:proofErr w:type="gramEnd"/>
      <w:r w:rsidRPr="000E51C9">
        <w:rPr>
          <w:rFonts w:ascii="Times New Roman" w:hAnsi="Times New Roman" w:cs="Times New Roman"/>
          <w:color w:val="000000" w:themeColor="text1"/>
          <w:lang w:val="en-GB"/>
        </w:rPr>
        <w:t xml:space="preserve"> at 800.</w:t>
      </w:r>
    </w:p>
  </w:footnote>
  <w:footnote w:id="177">
    <w:p w14:paraId="791EC472" w14:textId="226CA925" w:rsidR="00F17D28" w:rsidRPr="0040082B" w:rsidRDefault="00F17D28" w:rsidP="00F6726A">
      <w:pPr>
        <w:pStyle w:val="Funotentext"/>
        <w:spacing w:line="240" w:lineRule="auto"/>
        <w:jc w:val="both"/>
        <w:rPr>
          <w:rFonts w:ascii="Times New Roman" w:hAnsi="Times New Roman" w:cs="Times New Roman"/>
          <w:color w:val="000000" w:themeColor="text1"/>
          <w:lang w:val="en-GB"/>
        </w:rPr>
      </w:pPr>
      <w:r w:rsidRPr="000E51C9">
        <w:rPr>
          <w:rStyle w:val="Funotenzeichen"/>
          <w:rFonts w:ascii="Times New Roman" w:hAnsi="Times New Roman" w:cs="Times New Roman"/>
          <w:color w:val="000000" w:themeColor="text1"/>
          <w:lang w:val="en-GB"/>
        </w:rPr>
        <w:footnoteRef/>
      </w:r>
      <w:r w:rsidRPr="000E51C9">
        <w:rPr>
          <w:rFonts w:ascii="Times New Roman" w:hAnsi="Times New Roman" w:cs="Times New Roman"/>
          <w:color w:val="000000" w:themeColor="text1"/>
          <w:lang w:val="en-GB"/>
        </w:rPr>
        <w:t xml:space="preserve"> For trade DSB see European Commission (2015) Textual Proposal: Dispute Settlement, </w:t>
      </w:r>
      <w:r w:rsidRPr="000E51C9">
        <w:rPr>
          <w:rFonts w:ascii="Times New Roman" w:hAnsi="Times New Roman" w:cs="Times New Roman"/>
          <w:lang w:val="en-GB"/>
        </w:rPr>
        <w:t>http://trade.ec.europa.eu/doclib/docs/</w:t>
      </w:r>
      <w:r w:rsidRPr="000E51C9">
        <w:rPr>
          <w:rFonts w:ascii="Times New Roman" w:hAnsi="Times New Roman" w:cs="Times New Roman"/>
          <w:color w:val="000000" w:themeColor="text1"/>
          <w:lang w:val="en-GB"/>
        </w:rPr>
        <w:t xml:space="preserve">2015/january/tradoc_153032.pdf, </w:t>
      </w:r>
      <w:r w:rsidRPr="000E51C9">
        <w:rPr>
          <w:rStyle w:val="Hyperlink"/>
          <w:rFonts w:ascii="Times New Roman" w:hAnsi="Times New Roman" w:cs="Times New Roman"/>
          <w:color w:val="000000" w:themeColor="text1"/>
          <w:u w:val="none"/>
          <w:lang w:val="en-GB"/>
        </w:rPr>
        <w:t>accessed</w:t>
      </w:r>
      <w:r w:rsidRPr="000E51C9">
        <w:rPr>
          <w:rFonts w:ascii="Times New Roman" w:hAnsi="Times New Roman" w:cs="Times New Roman"/>
          <w:color w:val="000000" w:themeColor="text1"/>
          <w:lang w:val="en-GB"/>
        </w:rPr>
        <w:t xml:space="preserve"> 25 August 2017, Article 22.2; CETA, Article 29.8; EU-Vietnam FTA, Chapter [...] Dispute Settlement, Articles 23.2. For ISDS, see European Commission (2015) Transatlantic Trade and Investment Partnership: Trade in Services, Investment and E-Commerce, http://trade.ec.europa.eu/doclib/docs/2015/september/tradoc_153807.pdf, </w:t>
      </w:r>
      <w:r w:rsidRPr="000E51C9">
        <w:rPr>
          <w:rStyle w:val="Hyperlink"/>
          <w:rFonts w:ascii="Times New Roman" w:hAnsi="Times New Roman" w:cs="Times New Roman"/>
          <w:color w:val="000000" w:themeColor="text1"/>
          <w:u w:val="none"/>
          <w:lang w:val="en-GB"/>
        </w:rPr>
        <w:t xml:space="preserve">accessed </w:t>
      </w:r>
      <w:r w:rsidRPr="000E51C9">
        <w:rPr>
          <w:rFonts w:ascii="Times New Roman" w:hAnsi="Times New Roman" w:cs="Times New Roman"/>
          <w:color w:val="000000" w:themeColor="text1"/>
          <w:lang w:val="en-GB"/>
        </w:rPr>
        <w:t>25 August 2017, Article 9.4; CETA, Article 8.27; EU-Vietnam FTA, Chapter II, Article 12.</w:t>
      </w:r>
      <w:r w:rsidRPr="0040082B">
        <w:rPr>
          <w:rFonts w:ascii="Times New Roman" w:hAnsi="Times New Roman" w:cs="Times New Roman"/>
          <w:color w:val="000000" w:themeColor="text1"/>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74226E"/>
    <w:lvl w:ilvl="0">
      <w:start w:val="1"/>
      <w:numFmt w:val="decimal"/>
      <w:pStyle w:val="Listennummer"/>
      <w:lvlText w:val="%1."/>
      <w:lvlJc w:val="left"/>
      <w:pPr>
        <w:tabs>
          <w:tab w:val="num" w:pos="360"/>
        </w:tabs>
        <w:ind w:left="360" w:hanging="360"/>
      </w:pPr>
    </w:lvl>
  </w:abstractNum>
  <w:abstractNum w:abstractNumId="1">
    <w:nsid w:val="0057478D"/>
    <w:multiLevelType w:val="multilevel"/>
    <w:tmpl w:val="7340003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3415D3"/>
    <w:multiLevelType w:val="hybridMultilevel"/>
    <w:tmpl w:val="13EEE7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543BF2"/>
    <w:multiLevelType w:val="hybridMultilevel"/>
    <w:tmpl w:val="4036BC60"/>
    <w:lvl w:ilvl="0" w:tplc="A8C88E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868F3"/>
    <w:multiLevelType w:val="hybridMultilevel"/>
    <w:tmpl w:val="F06877BE"/>
    <w:lvl w:ilvl="0" w:tplc="FCC492E6">
      <w:start w:val="1"/>
      <w:numFmt w:val="bullet"/>
      <w:lvlText w:val="-"/>
      <w:lvlJc w:val="left"/>
      <w:pPr>
        <w:ind w:left="1080" w:hanging="360"/>
      </w:pPr>
      <w:rPr>
        <w:rFonts w:ascii="Garamond" w:eastAsiaTheme="minorEastAsia" w:hAnsi="Garamond" w:cstheme="minorBidi"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0DCC6E99"/>
    <w:multiLevelType w:val="hybridMultilevel"/>
    <w:tmpl w:val="3884A1A4"/>
    <w:lvl w:ilvl="0" w:tplc="35A0A6A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3316F53"/>
    <w:multiLevelType w:val="hybridMultilevel"/>
    <w:tmpl w:val="DDAA6C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27D19"/>
    <w:multiLevelType w:val="hybridMultilevel"/>
    <w:tmpl w:val="DDF249EE"/>
    <w:lvl w:ilvl="0" w:tplc="A146A1A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73F08"/>
    <w:multiLevelType w:val="hybridMultilevel"/>
    <w:tmpl w:val="890C1116"/>
    <w:lvl w:ilvl="0" w:tplc="4786369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F60C9"/>
    <w:multiLevelType w:val="hybridMultilevel"/>
    <w:tmpl w:val="003C61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EA72082"/>
    <w:multiLevelType w:val="hybridMultilevel"/>
    <w:tmpl w:val="8C865EE6"/>
    <w:lvl w:ilvl="0" w:tplc="F9C235FC">
      <w:start w:val="83"/>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08D6C2E"/>
    <w:multiLevelType w:val="hybridMultilevel"/>
    <w:tmpl w:val="5E066FEA"/>
    <w:lvl w:ilvl="0" w:tplc="B51C6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B91D02"/>
    <w:multiLevelType w:val="hybridMultilevel"/>
    <w:tmpl w:val="691831FE"/>
    <w:lvl w:ilvl="0" w:tplc="414C6552">
      <w:start w:val="1"/>
      <w:numFmt w:val="bullet"/>
      <w:lvlText w:val="-"/>
      <w:lvlJc w:val="left"/>
      <w:pPr>
        <w:ind w:left="1080" w:hanging="360"/>
      </w:pPr>
      <w:rPr>
        <w:rFonts w:ascii="Garamond" w:eastAsia="Malgun Gothic" w:hAnsi="Garamond"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214B04F1"/>
    <w:multiLevelType w:val="hybridMultilevel"/>
    <w:tmpl w:val="8D0EC9E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nsid w:val="22931131"/>
    <w:multiLevelType w:val="multilevel"/>
    <w:tmpl w:val="37BA6C38"/>
    <w:lvl w:ilvl="0">
      <w:start w:val="1"/>
      <w:numFmt w:val="decimal"/>
      <w:pStyle w:val="berschrift1"/>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3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9A07FE"/>
    <w:multiLevelType w:val="hybridMultilevel"/>
    <w:tmpl w:val="FE164FF6"/>
    <w:lvl w:ilvl="0" w:tplc="53984AF4">
      <w:start w:val="1"/>
      <w:numFmt w:val="lowerLetter"/>
      <w:lvlText w:val="%1."/>
      <w:lvlJc w:val="left"/>
      <w:pPr>
        <w:ind w:left="1440" w:hanging="360"/>
      </w:pPr>
      <w:rPr>
        <w:rFonts w:eastAsia="Malgun Gothic"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nsid w:val="2AAC45D0"/>
    <w:multiLevelType w:val="hybridMultilevel"/>
    <w:tmpl w:val="E20A1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75385"/>
    <w:multiLevelType w:val="hybridMultilevel"/>
    <w:tmpl w:val="D4FA230E"/>
    <w:lvl w:ilvl="0" w:tplc="6C8489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A410CC"/>
    <w:multiLevelType w:val="hybridMultilevel"/>
    <w:tmpl w:val="68DE8B08"/>
    <w:lvl w:ilvl="0" w:tplc="A7F86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E30267"/>
    <w:multiLevelType w:val="hybridMultilevel"/>
    <w:tmpl w:val="C6462526"/>
    <w:lvl w:ilvl="0" w:tplc="198C6E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50A26"/>
    <w:multiLevelType w:val="hybridMultilevel"/>
    <w:tmpl w:val="708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ED79EC"/>
    <w:multiLevelType w:val="multilevel"/>
    <w:tmpl w:val="A3D470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C20260E"/>
    <w:multiLevelType w:val="hybridMultilevel"/>
    <w:tmpl w:val="1056F436"/>
    <w:lvl w:ilvl="0" w:tplc="196A63DA">
      <w:start w:val="1"/>
      <w:numFmt w:val="lowerLetter"/>
      <w:lvlText w:val="%1)"/>
      <w:lvlJc w:val="left"/>
      <w:pPr>
        <w:ind w:left="1800" w:hanging="360"/>
      </w:pPr>
      <w:rPr>
        <w:rFonts w:hint="default"/>
        <w:b w:val="0"/>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3">
    <w:nsid w:val="517C3780"/>
    <w:multiLevelType w:val="hybridMultilevel"/>
    <w:tmpl w:val="003C61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4B97CD0"/>
    <w:multiLevelType w:val="hybridMultilevel"/>
    <w:tmpl w:val="F81864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BBF02C7"/>
    <w:multiLevelType w:val="hybridMultilevel"/>
    <w:tmpl w:val="9C62F0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nsid w:val="5D251087"/>
    <w:multiLevelType w:val="hybridMultilevel"/>
    <w:tmpl w:val="B590E396"/>
    <w:lvl w:ilvl="0" w:tplc="5F363648">
      <w:start w:val="83"/>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5F4116B"/>
    <w:multiLevelType w:val="multilevel"/>
    <w:tmpl w:val="B64C114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67643622"/>
    <w:multiLevelType w:val="hybridMultilevel"/>
    <w:tmpl w:val="C8B2E4C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nsid w:val="6CF70688"/>
    <w:multiLevelType w:val="multilevel"/>
    <w:tmpl w:val="7340003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D895E9C"/>
    <w:multiLevelType w:val="hybridMultilevel"/>
    <w:tmpl w:val="4E42A24A"/>
    <w:lvl w:ilvl="0" w:tplc="A35EF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EB15FB"/>
    <w:multiLevelType w:val="multilevel"/>
    <w:tmpl w:val="D5DE5F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5972B3"/>
    <w:multiLevelType w:val="multilevel"/>
    <w:tmpl w:val="3FA893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7153868"/>
    <w:multiLevelType w:val="hybridMultilevel"/>
    <w:tmpl w:val="A242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4"/>
  </w:num>
  <w:num w:numId="4">
    <w:abstractNumId w:val="20"/>
  </w:num>
  <w:num w:numId="5">
    <w:abstractNumId w:val="25"/>
  </w:num>
  <w:num w:numId="6">
    <w:abstractNumId w:val="24"/>
  </w:num>
  <w:num w:numId="7">
    <w:abstractNumId w:val="22"/>
  </w:num>
  <w:num w:numId="8">
    <w:abstractNumId w:val="28"/>
  </w:num>
  <w:num w:numId="9">
    <w:abstractNumId w:val="13"/>
  </w:num>
  <w:num w:numId="10">
    <w:abstractNumId w:val="27"/>
  </w:num>
  <w:num w:numId="11">
    <w:abstractNumId w:val="0"/>
  </w:num>
  <w:num w:numId="12">
    <w:abstractNumId w:val="14"/>
  </w:num>
  <w:num w:numId="13">
    <w:abstractNumId w:val="1"/>
  </w:num>
  <w:num w:numId="14">
    <w:abstractNumId w:val="31"/>
  </w:num>
  <w:num w:numId="15">
    <w:abstractNumId w:val="32"/>
  </w:num>
  <w:num w:numId="16">
    <w:abstractNumId w:val="29"/>
  </w:num>
  <w:num w:numId="17">
    <w:abstractNumId w:val="33"/>
  </w:num>
  <w:num w:numId="18">
    <w:abstractNumId w:val="15"/>
  </w:num>
  <w:num w:numId="19">
    <w:abstractNumId w:val="14"/>
  </w:num>
  <w:num w:numId="20">
    <w:abstractNumId w:val="6"/>
  </w:num>
  <w:num w:numId="21">
    <w:abstractNumId w:val="7"/>
  </w:num>
  <w:num w:numId="22">
    <w:abstractNumId w:val="3"/>
  </w:num>
  <w:num w:numId="23">
    <w:abstractNumId w:val="19"/>
  </w:num>
  <w:num w:numId="24">
    <w:abstractNumId w:val="11"/>
  </w:num>
  <w:num w:numId="25">
    <w:abstractNumId w:val="14"/>
  </w:num>
  <w:num w:numId="26">
    <w:abstractNumId w:val="17"/>
  </w:num>
  <w:num w:numId="27">
    <w:abstractNumId w:val="14"/>
  </w:num>
  <w:num w:numId="28">
    <w:abstractNumId w:val="30"/>
  </w:num>
  <w:num w:numId="29">
    <w:abstractNumId w:val="16"/>
  </w:num>
  <w:num w:numId="30">
    <w:abstractNumId w:val="18"/>
  </w:num>
  <w:num w:numId="31">
    <w:abstractNumId w:val="14"/>
    <w:lvlOverride w:ilvl="0">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2"/>
  </w:num>
  <w:num w:numId="37">
    <w:abstractNumId w:val="5"/>
  </w:num>
  <w:num w:numId="38">
    <w:abstractNumId w:val="26"/>
  </w:num>
  <w:num w:numId="39">
    <w:abstractNumId w:val="10"/>
  </w:num>
  <w:num w:numId="40">
    <w:abstractNumId w:val="2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ier Lin">
    <w15:presenceInfo w15:providerId="None" w15:userId="Beier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EE"/>
    <w:rsid w:val="0000039B"/>
    <w:rsid w:val="0000095A"/>
    <w:rsid w:val="00000DD1"/>
    <w:rsid w:val="00001F17"/>
    <w:rsid w:val="000023D1"/>
    <w:rsid w:val="00002513"/>
    <w:rsid w:val="00002A59"/>
    <w:rsid w:val="00002EB3"/>
    <w:rsid w:val="000031D8"/>
    <w:rsid w:val="000034C9"/>
    <w:rsid w:val="00004EE9"/>
    <w:rsid w:val="0000501F"/>
    <w:rsid w:val="0000502E"/>
    <w:rsid w:val="00005583"/>
    <w:rsid w:val="00007A8C"/>
    <w:rsid w:val="00007D9A"/>
    <w:rsid w:val="0001003F"/>
    <w:rsid w:val="00011528"/>
    <w:rsid w:val="000125A8"/>
    <w:rsid w:val="000127D3"/>
    <w:rsid w:val="000134F0"/>
    <w:rsid w:val="000137E9"/>
    <w:rsid w:val="0001391A"/>
    <w:rsid w:val="00014374"/>
    <w:rsid w:val="0001506A"/>
    <w:rsid w:val="00015122"/>
    <w:rsid w:val="000154E4"/>
    <w:rsid w:val="00015889"/>
    <w:rsid w:val="00015933"/>
    <w:rsid w:val="00017044"/>
    <w:rsid w:val="00017BD9"/>
    <w:rsid w:val="00020022"/>
    <w:rsid w:val="00020217"/>
    <w:rsid w:val="0002033D"/>
    <w:rsid w:val="000206BB"/>
    <w:rsid w:val="00021F1B"/>
    <w:rsid w:val="00022171"/>
    <w:rsid w:val="0002331A"/>
    <w:rsid w:val="00023533"/>
    <w:rsid w:val="00023552"/>
    <w:rsid w:val="00023781"/>
    <w:rsid w:val="000238BA"/>
    <w:rsid w:val="00023EFD"/>
    <w:rsid w:val="00024362"/>
    <w:rsid w:val="00024571"/>
    <w:rsid w:val="0002512A"/>
    <w:rsid w:val="000253D7"/>
    <w:rsid w:val="000263D9"/>
    <w:rsid w:val="0002725A"/>
    <w:rsid w:val="000276E9"/>
    <w:rsid w:val="00027BBF"/>
    <w:rsid w:val="00027BF6"/>
    <w:rsid w:val="000300E9"/>
    <w:rsid w:val="00030482"/>
    <w:rsid w:val="00030642"/>
    <w:rsid w:val="00030777"/>
    <w:rsid w:val="00030CDE"/>
    <w:rsid w:val="000311CB"/>
    <w:rsid w:val="0003132B"/>
    <w:rsid w:val="000319A5"/>
    <w:rsid w:val="00031E66"/>
    <w:rsid w:val="0003292C"/>
    <w:rsid w:val="00032D7A"/>
    <w:rsid w:val="00033AF5"/>
    <w:rsid w:val="0003433E"/>
    <w:rsid w:val="0003460B"/>
    <w:rsid w:val="0003469F"/>
    <w:rsid w:val="000351E2"/>
    <w:rsid w:val="00035793"/>
    <w:rsid w:val="00037C59"/>
    <w:rsid w:val="0004050E"/>
    <w:rsid w:val="00040836"/>
    <w:rsid w:val="000408AC"/>
    <w:rsid w:val="00040A0F"/>
    <w:rsid w:val="00040B02"/>
    <w:rsid w:val="000412B2"/>
    <w:rsid w:val="00041C7A"/>
    <w:rsid w:val="00041F5A"/>
    <w:rsid w:val="0004229C"/>
    <w:rsid w:val="00042944"/>
    <w:rsid w:val="000429C6"/>
    <w:rsid w:val="00042C11"/>
    <w:rsid w:val="0004367D"/>
    <w:rsid w:val="0004432E"/>
    <w:rsid w:val="000444C2"/>
    <w:rsid w:val="0004484C"/>
    <w:rsid w:val="000459BC"/>
    <w:rsid w:val="00045CCF"/>
    <w:rsid w:val="000472D4"/>
    <w:rsid w:val="00047C2E"/>
    <w:rsid w:val="00047C92"/>
    <w:rsid w:val="00047E3F"/>
    <w:rsid w:val="00050A81"/>
    <w:rsid w:val="000523A0"/>
    <w:rsid w:val="00052DCF"/>
    <w:rsid w:val="00053765"/>
    <w:rsid w:val="00054B80"/>
    <w:rsid w:val="0005540E"/>
    <w:rsid w:val="00055888"/>
    <w:rsid w:val="000558CF"/>
    <w:rsid w:val="00055E70"/>
    <w:rsid w:val="0005604D"/>
    <w:rsid w:val="00056207"/>
    <w:rsid w:val="00056A8D"/>
    <w:rsid w:val="00057B2B"/>
    <w:rsid w:val="00057DF9"/>
    <w:rsid w:val="00057EEA"/>
    <w:rsid w:val="00061A8B"/>
    <w:rsid w:val="00061C3F"/>
    <w:rsid w:val="00062463"/>
    <w:rsid w:val="000626FC"/>
    <w:rsid w:val="00062FCC"/>
    <w:rsid w:val="0006340B"/>
    <w:rsid w:val="0006344E"/>
    <w:rsid w:val="00063C89"/>
    <w:rsid w:val="00064512"/>
    <w:rsid w:val="000646B6"/>
    <w:rsid w:val="000657F0"/>
    <w:rsid w:val="0006652F"/>
    <w:rsid w:val="00066D15"/>
    <w:rsid w:val="00066EE7"/>
    <w:rsid w:val="00067636"/>
    <w:rsid w:val="00070487"/>
    <w:rsid w:val="000705B1"/>
    <w:rsid w:val="0007116C"/>
    <w:rsid w:val="00071DEF"/>
    <w:rsid w:val="0007281A"/>
    <w:rsid w:val="00072BF0"/>
    <w:rsid w:val="00072F1E"/>
    <w:rsid w:val="000731CC"/>
    <w:rsid w:val="00073A08"/>
    <w:rsid w:val="00073C01"/>
    <w:rsid w:val="00074935"/>
    <w:rsid w:val="00075077"/>
    <w:rsid w:val="00076E50"/>
    <w:rsid w:val="000774A2"/>
    <w:rsid w:val="00077B1B"/>
    <w:rsid w:val="00077F04"/>
    <w:rsid w:val="000805B2"/>
    <w:rsid w:val="00080844"/>
    <w:rsid w:val="000810A9"/>
    <w:rsid w:val="000812A2"/>
    <w:rsid w:val="000813C6"/>
    <w:rsid w:val="0008251F"/>
    <w:rsid w:val="00082592"/>
    <w:rsid w:val="00083C7D"/>
    <w:rsid w:val="000849E6"/>
    <w:rsid w:val="00084C59"/>
    <w:rsid w:val="000852C2"/>
    <w:rsid w:val="00085E0A"/>
    <w:rsid w:val="00086B9A"/>
    <w:rsid w:val="00086FA7"/>
    <w:rsid w:val="00087406"/>
    <w:rsid w:val="00090611"/>
    <w:rsid w:val="000907ED"/>
    <w:rsid w:val="00091148"/>
    <w:rsid w:val="000920CD"/>
    <w:rsid w:val="00092230"/>
    <w:rsid w:val="00092898"/>
    <w:rsid w:val="000931E5"/>
    <w:rsid w:val="00093331"/>
    <w:rsid w:val="00093893"/>
    <w:rsid w:val="00093DCE"/>
    <w:rsid w:val="0009414F"/>
    <w:rsid w:val="000942BC"/>
    <w:rsid w:val="000944E7"/>
    <w:rsid w:val="000948EA"/>
    <w:rsid w:val="00095147"/>
    <w:rsid w:val="000963DE"/>
    <w:rsid w:val="00096405"/>
    <w:rsid w:val="0009651A"/>
    <w:rsid w:val="00096B13"/>
    <w:rsid w:val="00097235"/>
    <w:rsid w:val="0009742F"/>
    <w:rsid w:val="00097451"/>
    <w:rsid w:val="00097467"/>
    <w:rsid w:val="00097C47"/>
    <w:rsid w:val="000A04AE"/>
    <w:rsid w:val="000A2344"/>
    <w:rsid w:val="000A27B7"/>
    <w:rsid w:val="000A2A35"/>
    <w:rsid w:val="000A339F"/>
    <w:rsid w:val="000A344E"/>
    <w:rsid w:val="000A36F0"/>
    <w:rsid w:val="000A41D9"/>
    <w:rsid w:val="000A42FD"/>
    <w:rsid w:val="000A460D"/>
    <w:rsid w:val="000A46A8"/>
    <w:rsid w:val="000A4DB6"/>
    <w:rsid w:val="000A5189"/>
    <w:rsid w:val="000A55EF"/>
    <w:rsid w:val="000A5BD7"/>
    <w:rsid w:val="000A5C7B"/>
    <w:rsid w:val="000A607B"/>
    <w:rsid w:val="000A710B"/>
    <w:rsid w:val="000A72DF"/>
    <w:rsid w:val="000A7881"/>
    <w:rsid w:val="000A7CEF"/>
    <w:rsid w:val="000B05F7"/>
    <w:rsid w:val="000B13AB"/>
    <w:rsid w:val="000B1524"/>
    <w:rsid w:val="000B184A"/>
    <w:rsid w:val="000B1DEC"/>
    <w:rsid w:val="000B1F49"/>
    <w:rsid w:val="000B2E1A"/>
    <w:rsid w:val="000B37FF"/>
    <w:rsid w:val="000B3829"/>
    <w:rsid w:val="000B3A86"/>
    <w:rsid w:val="000B4024"/>
    <w:rsid w:val="000B435D"/>
    <w:rsid w:val="000B5F75"/>
    <w:rsid w:val="000B6400"/>
    <w:rsid w:val="000B6A07"/>
    <w:rsid w:val="000B6C44"/>
    <w:rsid w:val="000B6E04"/>
    <w:rsid w:val="000B70B9"/>
    <w:rsid w:val="000B7219"/>
    <w:rsid w:val="000B7639"/>
    <w:rsid w:val="000C07D3"/>
    <w:rsid w:val="000C21E8"/>
    <w:rsid w:val="000C2368"/>
    <w:rsid w:val="000C3116"/>
    <w:rsid w:val="000C33C1"/>
    <w:rsid w:val="000C3E3D"/>
    <w:rsid w:val="000C3E95"/>
    <w:rsid w:val="000C4623"/>
    <w:rsid w:val="000C4BF1"/>
    <w:rsid w:val="000C54EC"/>
    <w:rsid w:val="000C57F8"/>
    <w:rsid w:val="000C5A90"/>
    <w:rsid w:val="000C5CEB"/>
    <w:rsid w:val="000C5EB5"/>
    <w:rsid w:val="000C60E7"/>
    <w:rsid w:val="000C6633"/>
    <w:rsid w:val="000C6CB8"/>
    <w:rsid w:val="000C7928"/>
    <w:rsid w:val="000D00A6"/>
    <w:rsid w:val="000D04DE"/>
    <w:rsid w:val="000D0EA7"/>
    <w:rsid w:val="000D0FDE"/>
    <w:rsid w:val="000D12F2"/>
    <w:rsid w:val="000D160D"/>
    <w:rsid w:val="000D21E2"/>
    <w:rsid w:val="000D2564"/>
    <w:rsid w:val="000D28FA"/>
    <w:rsid w:val="000D2DEE"/>
    <w:rsid w:val="000D3588"/>
    <w:rsid w:val="000D37D6"/>
    <w:rsid w:val="000D43CE"/>
    <w:rsid w:val="000D4A83"/>
    <w:rsid w:val="000D599C"/>
    <w:rsid w:val="000D5FFB"/>
    <w:rsid w:val="000D6464"/>
    <w:rsid w:val="000D6CE0"/>
    <w:rsid w:val="000D6DFA"/>
    <w:rsid w:val="000D7331"/>
    <w:rsid w:val="000D794F"/>
    <w:rsid w:val="000D7EFB"/>
    <w:rsid w:val="000D7F6E"/>
    <w:rsid w:val="000E0C28"/>
    <w:rsid w:val="000E0EA8"/>
    <w:rsid w:val="000E190A"/>
    <w:rsid w:val="000E1FDB"/>
    <w:rsid w:val="000E2053"/>
    <w:rsid w:val="000E211D"/>
    <w:rsid w:val="000E246E"/>
    <w:rsid w:val="000E33E5"/>
    <w:rsid w:val="000E3653"/>
    <w:rsid w:val="000E379E"/>
    <w:rsid w:val="000E3B26"/>
    <w:rsid w:val="000E4044"/>
    <w:rsid w:val="000E4191"/>
    <w:rsid w:val="000E4920"/>
    <w:rsid w:val="000E4B8F"/>
    <w:rsid w:val="000E51C9"/>
    <w:rsid w:val="000E522A"/>
    <w:rsid w:val="000E6A50"/>
    <w:rsid w:val="000E6AB8"/>
    <w:rsid w:val="000E6B41"/>
    <w:rsid w:val="000E6D57"/>
    <w:rsid w:val="000E6D7B"/>
    <w:rsid w:val="000E6EB6"/>
    <w:rsid w:val="000E7F71"/>
    <w:rsid w:val="000F0880"/>
    <w:rsid w:val="000F0F7F"/>
    <w:rsid w:val="000F1CFA"/>
    <w:rsid w:val="000F22E2"/>
    <w:rsid w:val="000F237D"/>
    <w:rsid w:val="000F25BA"/>
    <w:rsid w:val="000F32E6"/>
    <w:rsid w:val="000F33E2"/>
    <w:rsid w:val="000F3469"/>
    <w:rsid w:val="000F3D0E"/>
    <w:rsid w:val="000F3F73"/>
    <w:rsid w:val="000F4590"/>
    <w:rsid w:val="000F4BAD"/>
    <w:rsid w:val="000F50CE"/>
    <w:rsid w:val="000F53C5"/>
    <w:rsid w:val="000F5788"/>
    <w:rsid w:val="000F64DB"/>
    <w:rsid w:val="000F6A52"/>
    <w:rsid w:val="000F7A72"/>
    <w:rsid w:val="00101124"/>
    <w:rsid w:val="00101769"/>
    <w:rsid w:val="00101A3C"/>
    <w:rsid w:val="00101FAF"/>
    <w:rsid w:val="001021D9"/>
    <w:rsid w:val="00102843"/>
    <w:rsid w:val="00102E7F"/>
    <w:rsid w:val="001031A1"/>
    <w:rsid w:val="00103603"/>
    <w:rsid w:val="00103B46"/>
    <w:rsid w:val="00104D9C"/>
    <w:rsid w:val="00105018"/>
    <w:rsid w:val="0010584F"/>
    <w:rsid w:val="00105BF6"/>
    <w:rsid w:val="0010689F"/>
    <w:rsid w:val="001068DE"/>
    <w:rsid w:val="00110053"/>
    <w:rsid w:val="001105C1"/>
    <w:rsid w:val="00110B63"/>
    <w:rsid w:val="00111794"/>
    <w:rsid w:val="00111E7B"/>
    <w:rsid w:val="00112573"/>
    <w:rsid w:val="00112DB9"/>
    <w:rsid w:val="001132F4"/>
    <w:rsid w:val="001133E7"/>
    <w:rsid w:val="00113EBE"/>
    <w:rsid w:val="00114036"/>
    <w:rsid w:val="0011520B"/>
    <w:rsid w:val="001154E0"/>
    <w:rsid w:val="00115521"/>
    <w:rsid w:val="0011569F"/>
    <w:rsid w:val="001157CE"/>
    <w:rsid w:val="00115939"/>
    <w:rsid w:val="00116B01"/>
    <w:rsid w:val="00116C3E"/>
    <w:rsid w:val="00116F3F"/>
    <w:rsid w:val="001173A9"/>
    <w:rsid w:val="001174B7"/>
    <w:rsid w:val="00117A5E"/>
    <w:rsid w:val="00117D75"/>
    <w:rsid w:val="00117FCE"/>
    <w:rsid w:val="001214E6"/>
    <w:rsid w:val="001219A8"/>
    <w:rsid w:val="00121E4F"/>
    <w:rsid w:val="001229CF"/>
    <w:rsid w:val="00123998"/>
    <w:rsid w:val="00123FC6"/>
    <w:rsid w:val="00124021"/>
    <w:rsid w:val="00124413"/>
    <w:rsid w:val="00125036"/>
    <w:rsid w:val="00126334"/>
    <w:rsid w:val="0012644B"/>
    <w:rsid w:val="001267C3"/>
    <w:rsid w:val="00127126"/>
    <w:rsid w:val="00127894"/>
    <w:rsid w:val="00127B48"/>
    <w:rsid w:val="00130A89"/>
    <w:rsid w:val="001313A6"/>
    <w:rsid w:val="00132267"/>
    <w:rsid w:val="00132FDD"/>
    <w:rsid w:val="00135014"/>
    <w:rsid w:val="0013501E"/>
    <w:rsid w:val="00135ADB"/>
    <w:rsid w:val="00135AF0"/>
    <w:rsid w:val="00135C99"/>
    <w:rsid w:val="00135D21"/>
    <w:rsid w:val="00136FDE"/>
    <w:rsid w:val="00137B1E"/>
    <w:rsid w:val="00137D0B"/>
    <w:rsid w:val="00137F87"/>
    <w:rsid w:val="0014049B"/>
    <w:rsid w:val="00141309"/>
    <w:rsid w:val="001414DB"/>
    <w:rsid w:val="00141BF6"/>
    <w:rsid w:val="001424D3"/>
    <w:rsid w:val="00143221"/>
    <w:rsid w:val="00143859"/>
    <w:rsid w:val="00143C93"/>
    <w:rsid w:val="00143CB6"/>
    <w:rsid w:val="00144983"/>
    <w:rsid w:val="001449E5"/>
    <w:rsid w:val="00144B77"/>
    <w:rsid w:val="00144CF5"/>
    <w:rsid w:val="00144F0A"/>
    <w:rsid w:val="00145475"/>
    <w:rsid w:val="0014557D"/>
    <w:rsid w:val="00145DC4"/>
    <w:rsid w:val="0014629F"/>
    <w:rsid w:val="0014637E"/>
    <w:rsid w:val="0014645F"/>
    <w:rsid w:val="00147148"/>
    <w:rsid w:val="001478C7"/>
    <w:rsid w:val="00147BA2"/>
    <w:rsid w:val="00147CED"/>
    <w:rsid w:val="00147F7C"/>
    <w:rsid w:val="001500B0"/>
    <w:rsid w:val="0015075D"/>
    <w:rsid w:val="00151840"/>
    <w:rsid w:val="00151D8A"/>
    <w:rsid w:val="00152F8C"/>
    <w:rsid w:val="001530FB"/>
    <w:rsid w:val="0015405A"/>
    <w:rsid w:val="00154C54"/>
    <w:rsid w:val="00155014"/>
    <w:rsid w:val="001550A9"/>
    <w:rsid w:val="001553AA"/>
    <w:rsid w:val="00155AA1"/>
    <w:rsid w:val="00156701"/>
    <w:rsid w:val="00156A2A"/>
    <w:rsid w:val="00157516"/>
    <w:rsid w:val="00157750"/>
    <w:rsid w:val="00160311"/>
    <w:rsid w:val="001603A5"/>
    <w:rsid w:val="00160819"/>
    <w:rsid w:val="00160EE8"/>
    <w:rsid w:val="00163B93"/>
    <w:rsid w:val="00163F2E"/>
    <w:rsid w:val="001641B1"/>
    <w:rsid w:val="001653B8"/>
    <w:rsid w:val="0016565D"/>
    <w:rsid w:val="001662BA"/>
    <w:rsid w:val="001673C7"/>
    <w:rsid w:val="00167516"/>
    <w:rsid w:val="00167592"/>
    <w:rsid w:val="00167A21"/>
    <w:rsid w:val="00167A50"/>
    <w:rsid w:val="001713F3"/>
    <w:rsid w:val="00171728"/>
    <w:rsid w:val="0017307B"/>
    <w:rsid w:val="0017336C"/>
    <w:rsid w:val="00173708"/>
    <w:rsid w:val="00174410"/>
    <w:rsid w:val="00174869"/>
    <w:rsid w:val="001750A4"/>
    <w:rsid w:val="0017605F"/>
    <w:rsid w:val="001767D9"/>
    <w:rsid w:val="0017682B"/>
    <w:rsid w:val="00176D75"/>
    <w:rsid w:val="001800E3"/>
    <w:rsid w:val="00180DBA"/>
    <w:rsid w:val="00181497"/>
    <w:rsid w:val="001817C4"/>
    <w:rsid w:val="0018330B"/>
    <w:rsid w:val="0018386E"/>
    <w:rsid w:val="00183BE7"/>
    <w:rsid w:val="00183CD3"/>
    <w:rsid w:val="00183E99"/>
    <w:rsid w:val="0018404A"/>
    <w:rsid w:val="001844AD"/>
    <w:rsid w:val="00184FB3"/>
    <w:rsid w:val="001857D9"/>
    <w:rsid w:val="0018590E"/>
    <w:rsid w:val="00185C2D"/>
    <w:rsid w:val="0018684F"/>
    <w:rsid w:val="001874E0"/>
    <w:rsid w:val="001904DB"/>
    <w:rsid w:val="001910E0"/>
    <w:rsid w:val="00191338"/>
    <w:rsid w:val="0019165D"/>
    <w:rsid w:val="001916D1"/>
    <w:rsid w:val="00191CEC"/>
    <w:rsid w:val="00192E7B"/>
    <w:rsid w:val="001937CE"/>
    <w:rsid w:val="00193D11"/>
    <w:rsid w:val="00193F5D"/>
    <w:rsid w:val="0019439A"/>
    <w:rsid w:val="00194770"/>
    <w:rsid w:val="00194C7C"/>
    <w:rsid w:val="0019646D"/>
    <w:rsid w:val="00196E33"/>
    <w:rsid w:val="00196FAC"/>
    <w:rsid w:val="001973C0"/>
    <w:rsid w:val="00197710"/>
    <w:rsid w:val="001A0046"/>
    <w:rsid w:val="001A0D88"/>
    <w:rsid w:val="001A1002"/>
    <w:rsid w:val="001A2538"/>
    <w:rsid w:val="001A2634"/>
    <w:rsid w:val="001A2C31"/>
    <w:rsid w:val="001A4432"/>
    <w:rsid w:val="001A47E1"/>
    <w:rsid w:val="001A5D1C"/>
    <w:rsid w:val="001A5DFB"/>
    <w:rsid w:val="001A64A6"/>
    <w:rsid w:val="001A6B0A"/>
    <w:rsid w:val="001A7294"/>
    <w:rsid w:val="001A7AA3"/>
    <w:rsid w:val="001A7E6E"/>
    <w:rsid w:val="001A7F01"/>
    <w:rsid w:val="001B0579"/>
    <w:rsid w:val="001B11B3"/>
    <w:rsid w:val="001B1D06"/>
    <w:rsid w:val="001B1D1D"/>
    <w:rsid w:val="001B1FA2"/>
    <w:rsid w:val="001B43CF"/>
    <w:rsid w:val="001B4C3F"/>
    <w:rsid w:val="001B56B0"/>
    <w:rsid w:val="001B6081"/>
    <w:rsid w:val="001B6476"/>
    <w:rsid w:val="001B6A4B"/>
    <w:rsid w:val="001B6C29"/>
    <w:rsid w:val="001C029A"/>
    <w:rsid w:val="001C1059"/>
    <w:rsid w:val="001C135D"/>
    <w:rsid w:val="001C2258"/>
    <w:rsid w:val="001C359B"/>
    <w:rsid w:val="001C4302"/>
    <w:rsid w:val="001C4F72"/>
    <w:rsid w:val="001C52E1"/>
    <w:rsid w:val="001C58CD"/>
    <w:rsid w:val="001C59B1"/>
    <w:rsid w:val="001C6575"/>
    <w:rsid w:val="001C7064"/>
    <w:rsid w:val="001C76F3"/>
    <w:rsid w:val="001C784C"/>
    <w:rsid w:val="001D0843"/>
    <w:rsid w:val="001D0914"/>
    <w:rsid w:val="001D0CC5"/>
    <w:rsid w:val="001D3894"/>
    <w:rsid w:val="001D3E37"/>
    <w:rsid w:val="001D4701"/>
    <w:rsid w:val="001D4927"/>
    <w:rsid w:val="001D4ACB"/>
    <w:rsid w:val="001D5068"/>
    <w:rsid w:val="001D5664"/>
    <w:rsid w:val="001D5DBF"/>
    <w:rsid w:val="001D6276"/>
    <w:rsid w:val="001D6763"/>
    <w:rsid w:val="001D6861"/>
    <w:rsid w:val="001E0548"/>
    <w:rsid w:val="001E0E7B"/>
    <w:rsid w:val="001E13EA"/>
    <w:rsid w:val="001E1417"/>
    <w:rsid w:val="001E1849"/>
    <w:rsid w:val="001E227A"/>
    <w:rsid w:val="001E2C55"/>
    <w:rsid w:val="001E2E83"/>
    <w:rsid w:val="001E3CA8"/>
    <w:rsid w:val="001E3F81"/>
    <w:rsid w:val="001E44DF"/>
    <w:rsid w:val="001E450C"/>
    <w:rsid w:val="001E4772"/>
    <w:rsid w:val="001E5D5D"/>
    <w:rsid w:val="001E6F32"/>
    <w:rsid w:val="001E780A"/>
    <w:rsid w:val="001E784B"/>
    <w:rsid w:val="001F041A"/>
    <w:rsid w:val="001F0E9E"/>
    <w:rsid w:val="001F100C"/>
    <w:rsid w:val="001F17A3"/>
    <w:rsid w:val="001F1D04"/>
    <w:rsid w:val="001F1EF9"/>
    <w:rsid w:val="001F22B2"/>
    <w:rsid w:val="001F270A"/>
    <w:rsid w:val="001F2944"/>
    <w:rsid w:val="001F2BB7"/>
    <w:rsid w:val="001F3859"/>
    <w:rsid w:val="001F3C55"/>
    <w:rsid w:val="001F3F7A"/>
    <w:rsid w:val="001F3FC6"/>
    <w:rsid w:val="001F4D58"/>
    <w:rsid w:val="001F4E0E"/>
    <w:rsid w:val="001F4E4D"/>
    <w:rsid w:val="001F55F4"/>
    <w:rsid w:val="001F61A8"/>
    <w:rsid w:val="001F6DD2"/>
    <w:rsid w:val="001F7587"/>
    <w:rsid w:val="001F7839"/>
    <w:rsid w:val="0020043A"/>
    <w:rsid w:val="002010AC"/>
    <w:rsid w:val="00202896"/>
    <w:rsid w:val="00202A5B"/>
    <w:rsid w:val="00202CD4"/>
    <w:rsid w:val="00202FC6"/>
    <w:rsid w:val="002038C3"/>
    <w:rsid w:val="0020394E"/>
    <w:rsid w:val="00203A9B"/>
    <w:rsid w:val="00203E3A"/>
    <w:rsid w:val="00204B95"/>
    <w:rsid w:val="002052DB"/>
    <w:rsid w:val="0020677E"/>
    <w:rsid w:val="00206C99"/>
    <w:rsid w:val="002076EF"/>
    <w:rsid w:val="00207B17"/>
    <w:rsid w:val="00207BAF"/>
    <w:rsid w:val="00207EF3"/>
    <w:rsid w:val="002105DE"/>
    <w:rsid w:val="0021070C"/>
    <w:rsid w:val="00210BCE"/>
    <w:rsid w:val="00210F70"/>
    <w:rsid w:val="00211B44"/>
    <w:rsid w:val="002124AC"/>
    <w:rsid w:val="002124AF"/>
    <w:rsid w:val="002128C3"/>
    <w:rsid w:val="00212CA6"/>
    <w:rsid w:val="00213E57"/>
    <w:rsid w:val="00214B6B"/>
    <w:rsid w:val="00214DC9"/>
    <w:rsid w:val="0021507E"/>
    <w:rsid w:val="00215B66"/>
    <w:rsid w:val="00217B19"/>
    <w:rsid w:val="002201A3"/>
    <w:rsid w:val="0022024A"/>
    <w:rsid w:val="002206FD"/>
    <w:rsid w:val="00221810"/>
    <w:rsid w:val="00221C10"/>
    <w:rsid w:val="0022203F"/>
    <w:rsid w:val="0022204B"/>
    <w:rsid w:val="00222393"/>
    <w:rsid w:val="00222586"/>
    <w:rsid w:val="00223F02"/>
    <w:rsid w:val="002245C3"/>
    <w:rsid w:val="00224D60"/>
    <w:rsid w:val="00225032"/>
    <w:rsid w:val="00225839"/>
    <w:rsid w:val="00225BA0"/>
    <w:rsid w:val="00225E42"/>
    <w:rsid w:val="002265B5"/>
    <w:rsid w:val="00226983"/>
    <w:rsid w:val="0022747E"/>
    <w:rsid w:val="00227A76"/>
    <w:rsid w:val="00227DB9"/>
    <w:rsid w:val="002308B6"/>
    <w:rsid w:val="00230D20"/>
    <w:rsid w:val="00230F69"/>
    <w:rsid w:val="00231CC7"/>
    <w:rsid w:val="00232471"/>
    <w:rsid w:val="002327FC"/>
    <w:rsid w:val="00232A46"/>
    <w:rsid w:val="00232EA9"/>
    <w:rsid w:val="002335D0"/>
    <w:rsid w:val="002344C3"/>
    <w:rsid w:val="00234F8A"/>
    <w:rsid w:val="00235541"/>
    <w:rsid w:val="002361CE"/>
    <w:rsid w:val="002364B0"/>
    <w:rsid w:val="0023658B"/>
    <w:rsid w:val="00236841"/>
    <w:rsid w:val="0024056A"/>
    <w:rsid w:val="00240EBD"/>
    <w:rsid w:val="0024106E"/>
    <w:rsid w:val="002415A8"/>
    <w:rsid w:val="00241646"/>
    <w:rsid w:val="00241B0E"/>
    <w:rsid w:val="0024290D"/>
    <w:rsid w:val="0024391A"/>
    <w:rsid w:val="002442B3"/>
    <w:rsid w:val="00244353"/>
    <w:rsid w:val="00244428"/>
    <w:rsid w:val="0024443F"/>
    <w:rsid w:val="002448EE"/>
    <w:rsid w:val="0024662F"/>
    <w:rsid w:val="002468AF"/>
    <w:rsid w:val="00246B86"/>
    <w:rsid w:val="00247424"/>
    <w:rsid w:val="00247445"/>
    <w:rsid w:val="0024751A"/>
    <w:rsid w:val="00247730"/>
    <w:rsid w:val="00247807"/>
    <w:rsid w:val="00247A70"/>
    <w:rsid w:val="00250579"/>
    <w:rsid w:val="00250BA5"/>
    <w:rsid w:val="00250CAF"/>
    <w:rsid w:val="0025127B"/>
    <w:rsid w:val="00251EB5"/>
    <w:rsid w:val="00253426"/>
    <w:rsid w:val="002536A4"/>
    <w:rsid w:val="0025379E"/>
    <w:rsid w:val="00253802"/>
    <w:rsid w:val="00253A4D"/>
    <w:rsid w:val="00253C0C"/>
    <w:rsid w:val="00254003"/>
    <w:rsid w:val="00254DB2"/>
    <w:rsid w:val="00254E01"/>
    <w:rsid w:val="00254E43"/>
    <w:rsid w:val="00254E72"/>
    <w:rsid w:val="00256184"/>
    <w:rsid w:val="0025672D"/>
    <w:rsid w:val="0025699E"/>
    <w:rsid w:val="00257891"/>
    <w:rsid w:val="00257D99"/>
    <w:rsid w:val="002608D6"/>
    <w:rsid w:val="0026182B"/>
    <w:rsid w:val="00262FEA"/>
    <w:rsid w:val="00263C1C"/>
    <w:rsid w:val="002645BC"/>
    <w:rsid w:val="00264782"/>
    <w:rsid w:val="00266032"/>
    <w:rsid w:val="00267287"/>
    <w:rsid w:val="002676EB"/>
    <w:rsid w:val="00267C0B"/>
    <w:rsid w:val="0027049C"/>
    <w:rsid w:val="002706EB"/>
    <w:rsid w:val="00270904"/>
    <w:rsid w:val="002710F1"/>
    <w:rsid w:val="00272D90"/>
    <w:rsid w:val="002730F1"/>
    <w:rsid w:val="002733ED"/>
    <w:rsid w:val="00273474"/>
    <w:rsid w:val="00273B33"/>
    <w:rsid w:val="00273B72"/>
    <w:rsid w:val="002741D7"/>
    <w:rsid w:val="00274C2C"/>
    <w:rsid w:val="002753A2"/>
    <w:rsid w:val="002760E9"/>
    <w:rsid w:val="00280062"/>
    <w:rsid w:val="00280391"/>
    <w:rsid w:val="00280D6E"/>
    <w:rsid w:val="00281459"/>
    <w:rsid w:val="002820A1"/>
    <w:rsid w:val="0028240E"/>
    <w:rsid w:val="0028262D"/>
    <w:rsid w:val="00283480"/>
    <w:rsid w:val="00284138"/>
    <w:rsid w:val="00284AC9"/>
    <w:rsid w:val="00284AE2"/>
    <w:rsid w:val="002857E9"/>
    <w:rsid w:val="002863D5"/>
    <w:rsid w:val="0028691C"/>
    <w:rsid w:val="00286C01"/>
    <w:rsid w:val="00286FC0"/>
    <w:rsid w:val="00287219"/>
    <w:rsid w:val="00290E06"/>
    <w:rsid w:val="0029121A"/>
    <w:rsid w:val="0029183D"/>
    <w:rsid w:val="00291A21"/>
    <w:rsid w:val="00293B68"/>
    <w:rsid w:val="00294608"/>
    <w:rsid w:val="00294740"/>
    <w:rsid w:val="00294F8A"/>
    <w:rsid w:val="00295094"/>
    <w:rsid w:val="002953C6"/>
    <w:rsid w:val="002966D5"/>
    <w:rsid w:val="002974D7"/>
    <w:rsid w:val="00297A76"/>
    <w:rsid w:val="002A05AA"/>
    <w:rsid w:val="002A1E91"/>
    <w:rsid w:val="002A2184"/>
    <w:rsid w:val="002A22A0"/>
    <w:rsid w:val="002A259E"/>
    <w:rsid w:val="002A284C"/>
    <w:rsid w:val="002A2D2F"/>
    <w:rsid w:val="002A37D6"/>
    <w:rsid w:val="002A3DED"/>
    <w:rsid w:val="002A452C"/>
    <w:rsid w:val="002A4655"/>
    <w:rsid w:val="002A682C"/>
    <w:rsid w:val="002A6D05"/>
    <w:rsid w:val="002A7366"/>
    <w:rsid w:val="002A75E3"/>
    <w:rsid w:val="002A77E1"/>
    <w:rsid w:val="002A7966"/>
    <w:rsid w:val="002B0842"/>
    <w:rsid w:val="002B088F"/>
    <w:rsid w:val="002B0CF8"/>
    <w:rsid w:val="002B24B7"/>
    <w:rsid w:val="002B341C"/>
    <w:rsid w:val="002B3E88"/>
    <w:rsid w:val="002B445F"/>
    <w:rsid w:val="002B4D8A"/>
    <w:rsid w:val="002B5197"/>
    <w:rsid w:val="002B54EE"/>
    <w:rsid w:val="002B5583"/>
    <w:rsid w:val="002B55AF"/>
    <w:rsid w:val="002B5C9F"/>
    <w:rsid w:val="002B5ED3"/>
    <w:rsid w:val="002B6613"/>
    <w:rsid w:val="002B7974"/>
    <w:rsid w:val="002B7FAC"/>
    <w:rsid w:val="002C0383"/>
    <w:rsid w:val="002C103C"/>
    <w:rsid w:val="002C1197"/>
    <w:rsid w:val="002C188A"/>
    <w:rsid w:val="002C28D4"/>
    <w:rsid w:val="002C423E"/>
    <w:rsid w:val="002C4FBE"/>
    <w:rsid w:val="002C51EF"/>
    <w:rsid w:val="002C5CA5"/>
    <w:rsid w:val="002C7082"/>
    <w:rsid w:val="002C7ECD"/>
    <w:rsid w:val="002D04FB"/>
    <w:rsid w:val="002D077C"/>
    <w:rsid w:val="002D0785"/>
    <w:rsid w:val="002D096C"/>
    <w:rsid w:val="002D13F3"/>
    <w:rsid w:val="002D1899"/>
    <w:rsid w:val="002D1943"/>
    <w:rsid w:val="002D1D9C"/>
    <w:rsid w:val="002D1F12"/>
    <w:rsid w:val="002D2037"/>
    <w:rsid w:val="002D2C5B"/>
    <w:rsid w:val="002D3135"/>
    <w:rsid w:val="002D394B"/>
    <w:rsid w:val="002D3B9C"/>
    <w:rsid w:val="002D4989"/>
    <w:rsid w:val="002D4B71"/>
    <w:rsid w:val="002D4D68"/>
    <w:rsid w:val="002D4F84"/>
    <w:rsid w:val="002D51AD"/>
    <w:rsid w:val="002D5618"/>
    <w:rsid w:val="002D5E65"/>
    <w:rsid w:val="002D633D"/>
    <w:rsid w:val="002D72F3"/>
    <w:rsid w:val="002E06F7"/>
    <w:rsid w:val="002E0D37"/>
    <w:rsid w:val="002E0EFF"/>
    <w:rsid w:val="002E0F08"/>
    <w:rsid w:val="002E170F"/>
    <w:rsid w:val="002E19F4"/>
    <w:rsid w:val="002E1DD1"/>
    <w:rsid w:val="002E32C3"/>
    <w:rsid w:val="002E333E"/>
    <w:rsid w:val="002E335D"/>
    <w:rsid w:val="002E3406"/>
    <w:rsid w:val="002E3471"/>
    <w:rsid w:val="002E395D"/>
    <w:rsid w:val="002E39E6"/>
    <w:rsid w:val="002E4267"/>
    <w:rsid w:val="002E4BCC"/>
    <w:rsid w:val="002E525A"/>
    <w:rsid w:val="002E5A50"/>
    <w:rsid w:val="002E65C5"/>
    <w:rsid w:val="002E6CCE"/>
    <w:rsid w:val="002F0E4B"/>
    <w:rsid w:val="002F26FE"/>
    <w:rsid w:val="002F2CEC"/>
    <w:rsid w:val="002F36FA"/>
    <w:rsid w:val="002F3D1E"/>
    <w:rsid w:val="002F3E27"/>
    <w:rsid w:val="002F441F"/>
    <w:rsid w:val="002F4867"/>
    <w:rsid w:val="002F48D3"/>
    <w:rsid w:val="002F4C59"/>
    <w:rsid w:val="002F5992"/>
    <w:rsid w:val="002F5CE4"/>
    <w:rsid w:val="002F5D43"/>
    <w:rsid w:val="002F7AD5"/>
    <w:rsid w:val="002F7CD8"/>
    <w:rsid w:val="00300021"/>
    <w:rsid w:val="00300155"/>
    <w:rsid w:val="00300476"/>
    <w:rsid w:val="003007E6"/>
    <w:rsid w:val="00300978"/>
    <w:rsid w:val="00300AB2"/>
    <w:rsid w:val="00300BFE"/>
    <w:rsid w:val="00302D59"/>
    <w:rsid w:val="0030359F"/>
    <w:rsid w:val="003043D5"/>
    <w:rsid w:val="00304789"/>
    <w:rsid w:val="00305D67"/>
    <w:rsid w:val="00305EB2"/>
    <w:rsid w:val="003065E5"/>
    <w:rsid w:val="0030684D"/>
    <w:rsid w:val="00306EC2"/>
    <w:rsid w:val="0030700E"/>
    <w:rsid w:val="00310201"/>
    <w:rsid w:val="003102FF"/>
    <w:rsid w:val="00310DBE"/>
    <w:rsid w:val="00312194"/>
    <w:rsid w:val="00312D96"/>
    <w:rsid w:val="00313589"/>
    <w:rsid w:val="00313F13"/>
    <w:rsid w:val="00314730"/>
    <w:rsid w:val="003149BE"/>
    <w:rsid w:val="00314B85"/>
    <w:rsid w:val="00314FCC"/>
    <w:rsid w:val="0031512F"/>
    <w:rsid w:val="00317321"/>
    <w:rsid w:val="003178D1"/>
    <w:rsid w:val="00320200"/>
    <w:rsid w:val="0032060E"/>
    <w:rsid w:val="0032065F"/>
    <w:rsid w:val="00320A5D"/>
    <w:rsid w:val="00320C7D"/>
    <w:rsid w:val="0032163C"/>
    <w:rsid w:val="00321A39"/>
    <w:rsid w:val="00321C17"/>
    <w:rsid w:val="00321C98"/>
    <w:rsid w:val="0032210B"/>
    <w:rsid w:val="003227B1"/>
    <w:rsid w:val="00322D44"/>
    <w:rsid w:val="00323015"/>
    <w:rsid w:val="003232A4"/>
    <w:rsid w:val="0032406D"/>
    <w:rsid w:val="00326816"/>
    <w:rsid w:val="00326E3D"/>
    <w:rsid w:val="0032706B"/>
    <w:rsid w:val="0033009F"/>
    <w:rsid w:val="00330C38"/>
    <w:rsid w:val="00331BD3"/>
    <w:rsid w:val="00331DA7"/>
    <w:rsid w:val="003320D2"/>
    <w:rsid w:val="00332171"/>
    <w:rsid w:val="00332852"/>
    <w:rsid w:val="00332EDA"/>
    <w:rsid w:val="00333D11"/>
    <w:rsid w:val="003342DB"/>
    <w:rsid w:val="00334B35"/>
    <w:rsid w:val="003375C6"/>
    <w:rsid w:val="00337B67"/>
    <w:rsid w:val="00340547"/>
    <w:rsid w:val="003409CA"/>
    <w:rsid w:val="00341759"/>
    <w:rsid w:val="00341953"/>
    <w:rsid w:val="003419DD"/>
    <w:rsid w:val="00341A7C"/>
    <w:rsid w:val="003421F6"/>
    <w:rsid w:val="00342A5D"/>
    <w:rsid w:val="003433D4"/>
    <w:rsid w:val="00343E4E"/>
    <w:rsid w:val="00344CBB"/>
    <w:rsid w:val="00344CD3"/>
    <w:rsid w:val="00345BB2"/>
    <w:rsid w:val="00346069"/>
    <w:rsid w:val="003460D7"/>
    <w:rsid w:val="0034665A"/>
    <w:rsid w:val="0034678F"/>
    <w:rsid w:val="00346E4A"/>
    <w:rsid w:val="00346F16"/>
    <w:rsid w:val="00346F76"/>
    <w:rsid w:val="00347172"/>
    <w:rsid w:val="003502A9"/>
    <w:rsid w:val="003504C7"/>
    <w:rsid w:val="00350CE7"/>
    <w:rsid w:val="00350DBC"/>
    <w:rsid w:val="00351B4E"/>
    <w:rsid w:val="00351BF9"/>
    <w:rsid w:val="00351DE3"/>
    <w:rsid w:val="00351E23"/>
    <w:rsid w:val="00352505"/>
    <w:rsid w:val="00352E4E"/>
    <w:rsid w:val="00352F23"/>
    <w:rsid w:val="0035457B"/>
    <w:rsid w:val="00355044"/>
    <w:rsid w:val="0035515D"/>
    <w:rsid w:val="00355CDF"/>
    <w:rsid w:val="003562E9"/>
    <w:rsid w:val="0035644F"/>
    <w:rsid w:val="00357750"/>
    <w:rsid w:val="00357995"/>
    <w:rsid w:val="00360B4D"/>
    <w:rsid w:val="00360D31"/>
    <w:rsid w:val="003617EC"/>
    <w:rsid w:val="003625C2"/>
    <w:rsid w:val="003628F5"/>
    <w:rsid w:val="00363632"/>
    <w:rsid w:val="00363A97"/>
    <w:rsid w:val="00363DE6"/>
    <w:rsid w:val="0036424E"/>
    <w:rsid w:val="0036494E"/>
    <w:rsid w:val="003670A2"/>
    <w:rsid w:val="0037130C"/>
    <w:rsid w:val="00371D18"/>
    <w:rsid w:val="003724D6"/>
    <w:rsid w:val="003728E7"/>
    <w:rsid w:val="003732B5"/>
    <w:rsid w:val="00373B1A"/>
    <w:rsid w:val="00373DD2"/>
    <w:rsid w:val="00373E71"/>
    <w:rsid w:val="003747B4"/>
    <w:rsid w:val="003749A1"/>
    <w:rsid w:val="00374C44"/>
    <w:rsid w:val="003750FE"/>
    <w:rsid w:val="00375915"/>
    <w:rsid w:val="00376A3F"/>
    <w:rsid w:val="00376B17"/>
    <w:rsid w:val="00377599"/>
    <w:rsid w:val="003778E7"/>
    <w:rsid w:val="003779CB"/>
    <w:rsid w:val="003801DB"/>
    <w:rsid w:val="00380DC7"/>
    <w:rsid w:val="00380ECC"/>
    <w:rsid w:val="00381114"/>
    <w:rsid w:val="00381264"/>
    <w:rsid w:val="0038179E"/>
    <w:rsid w:val="003819D9"/>
    <w:rsid w:val="00381CCA"/>
    <w:rsid w:val="0038216B"/>
    <w:rsid w:val="00382800"/>
    <w:rsid w:val="00383E22"/>
    <w:rsid w:val="0038490D"/>
    <w:rsid w:val="00384990"/>
    <w:rsid w:val="00384F96"/>
    <w:rsid w:val="00385A51"/>
    <w:rsid w:val="00386040"/>
    <w:rsid w:val="003871D6"/>
    <w:rsid w:val="00387582"/>
    <w:rsid w:val="00387967"/>
    <w:rsid w:val="00387DB6"/>
    <w:rsid w:val="003902CD"/>
    <w:rsid w:val="003908AE"/>
    <w:rsid w:val="00390A24"/>
    <w:rsid w:val="00391CF9"/>
    <w:rsid w:val="00391DD8"/>
    <w:rsid w:val="00393DDD"/>
    <w:rsid w:val="0039429A"/>
    <w:rsid w:val="00394443"/>
    <w:rsid w:val="003945B9"/>
    <w:rsid w:val="0039481B"/>
    <w:rsid w:val="00394B07"/>
    <w:rsid w:val="003954AB"/>
    <w:rsid w:val="00395759"/>
    <w:rsid w:val="003959F4"/>
    <w:rsid w:val="003962B3"/>
    <w:rsid w:val="00396CE7"/>
    <w:rsid w:val="003A0F65"/>
    <w:rsid w:val="003A1DE9"/>
    <w:rsid w:val="003A1F6B"/>
    <w:rsid w:val="003A23CA"/>
    <w:rsid w:val="003A318A"/>
    <w:rsid w:val="003A3C23"/>
    <w:rsid w:val="003A3DDD"/>
    <w:rsid w:val="003A458B"/>
    <w:rsid w:val="003A51C1"/>
    <w:rsid w:val="003A5525"/>
    <w:rsid w:val="003A5831"/>
    <w:rsid w:val="003A5E4A"/>
    <w:rsid w:val="003A5E85"/>
    <w:rsid w:val="003A5F03"/>
    <w:rsid w:val="003A606E"/>
    <w:rsid w:val="003A62D9"/>
    <w:rsid w:val="003A7884"/>
    <w:rsid w:val="003A7D14"/>
    <w:rsid w:val="003B0536"/>
    <w:rsid w:val="003B0EF1"/>
    <w:rsid w:val="003B0F73"/>
    <w:rsid w:val="003B13CD"/>
    <w:rsid w:val="003B2BE4"/>
    <w:rsid w:val="003B3DE2"/>
    <w:rsid w:val="003B4C3D"/>
    <w:rsid w:val="003B4E8F"/>
    <w:rsid w:val="003B554F"/>
    <w:rsid w:val="003B5B93"/>
    <w:rsid w:val="003B6C9F"/>
    <w:rsid w:val="003B708C"/>
    <w:rsid w:val="003C1296"/>
    <w:rsid w:val="003C1E4B"/>
    <w:rsid w:val="003C21C6"/>
    <w:rsid w:val="003C234B"/>
    <w:rsid w:val="003C2532"/>
    <w:rsid w:val="003C322D"/>
    <w:rsid w:val="003C3A39"/>
    <w:rsid w:val="003C40A9"/>
    <w:rsid w:val="003C42A9"/>
    <w:rsid w:val="003C50AA"/>
    <w:rsid w:val="003C531C"/>
    <w:rsid w:val="003C57EB"/>
    <w:rsid w:val="003C5804"/>
    <w:rsid w:val="003C58CF"/>
    <w:rsid w:val="003C5AAA"/>
    <w:rsid w:val="003C674B"/>
    <w:rsid w:val="003C6CEA"/>
    <w:rsid w:val="003C7451"/>
    <w:rsid w:val="003C7C64"/>
    <w:rsid w:val="003D010A"/>
    <w:rsid w:val="003D0B40"/>
    <w:rsid w:val="003D0B4A"/>
    <w:rsid w:val="003D10AD"/>
    <w:rsid w:val="003D10BC"/>
    <w:rsid w:val="003D24D7"/>
    <w:rsid w:val="003D294A"/>
    <w:rsid w:val="003D3015"/>
    <w:rsid w:val="003D4112"/>
    <w:rsid w:val="003D4591"/>
    <w:rsid w:val="003D55C2"/>
    <w:rsid w:val="003D5ECE"/>
    <w:rsid w:val="003D606E"/>
    <w:rsid w:val="003D6224"/>
    <w:rsid w:val="003D6D00"/>
    <w:rsid w:val="003D6EBF"/>
    <w:rsid w:val="003D7359"/>
    <w:rsid w:val="003D7FC9"/>
    <w:rsid w:val="003E02EE"/>
    <w:rsid w:val="003E03A9"/>
    <w:rsid w:val="003E07DF"/>
    <w:rsid w:val="003E133E"/>
    <w:rsid w:val="003E16FB"/>
    <w:rsid w:val="003E223A"/>
    <w:rsid w:val="003E2FFE"/>
    <w:rsid w:val="003E3487"/>
    <w:rsid w:val="003E385E"/>
    <w:rsid w:val="003E4462"/>
    <w:rsid w:val="003E5888"/>
    <w:rsid w:val="003E6D2A"/>
    <w:rsid w:val="003E7546"/>
    <w:rsid w:val="003E79BD"/>
    <w:rsid w:val="003E7A0A"/>
    <w:rsid w:val="003F0366"/>
    <w:rsid w:val="003F0428"/>
    <w:rsid w:val="003F0C33"/>
    <w:rsid w:val="003F1045"/>
    <w:rsid w:val="003F1563"/>
    <w:rsid w:val="003F19EE"/>
    <w:rsid w:val="003F1C50"/>
    <w:rsid w:val="003F1C66"/>
    <w:rsid w:val="003F1D65"/>
    <w:rsid w:val="003F28AD"/>
    <w:rsid w:val="003F291B"/>
    <w:rsid w:val="003F2BD0"/>
    <w:rsid w:val="003F2F22"/>
    <w:rsid w:val="003F3B24"/>
    <w:rsid w:val="003F43E5"/>
    <w:rsid w:val="003F46C5"/>
    <w:rsid w:val="003F46C9"/>
    <w:rsid w:val="003F5090"/>
    <w:rsid w:val="003F54FA"/>
    <w:rsid w:val="003F596E"/>
    <w:rsid w:val="0040082B"/>
    <w:rsid w:val="00401069"/>
    <w:rsid w:val="00401F65"/>
    <w:rsid w:val="00402418"/>
    <w:rsid w:val="0040379E"/>
    <w:rsid w:val="00404732"/>
    <w:rsid w:val="00404F3E"/>
    <w:rsid w:val="004050A1"/>
    <w:rsid w:val="0040530F"/>
    <w:rsid w:val="00405D88"/>
    <w:rsid w:val="004065D3"/>
    <w:rsid w:val="00406C84"/>
    <w:rsid w:val="00406F80"/>
    <w:rsid w:val="004074F1"/>
    <w:rsid w:val="004076DD"/>
    <w:rsid w:val="004077E6"/>
    <w:rsid w:val="00407BDD"/>
    <w:rsid w:val="00407D70"/>
    <w:rsid w:val="00407E8B"/>
    <w:rsid w:val="00410295"/>
    <w:rsid w:val="004103A0"/>
    <w:rsid w:val="004108B4"/>
    <w:rsid w:val="00411006"/>
    <w:rsid w:val="00411932"/>
    <w:rsid w:val="00411934"/>
    <w:rsid w:val="00412BB9"/>
    <w:rsid w:val="004130B8"/>
    <w:rsid w:val="004130CE"/>
    <w:rsid w:val="004144B0"/>
    <w:rsid w:val="00414C2A"/>
    <w:rsid w:val="004157AA"/>
    <w:rsid w:val="00416279"/>
    <w:rsid w:val="0041661C"/>
    <w:rsid w:val="004166E4"/>
    <w:rsid w:val="00416F11"/>
    <w:rsid w:val="00420167"/>
    <w:rsid w:val="00420327"/>
    <w:rsid w:val="0042043F"/>
    <w:rsid w:val="00420A2A"/>
    <w:rsid w:val="004247FA"/>
    <w:rsid w:val="00424B9B"/>
    <w:rsid w:val="00424C96"/>
    <w:rsid w:val="00425332"/>
    <w:rsid w:val="004260DB"/>
    <w:rsid w:val="00426524"/>
    <w:rsid w:val="00426A8D"/>
    <w:rsid w:val="00426ADF"/>
    <w:rsid w:val="00426C38"/>
    <w:rsid w:val="00427159"/>
    <w:rsid w:val="00427A44"/>
    <w:rsid w:val="00427B05"/>
    <w:rsid w:val="00427E6B"/>
    <w:rsid w:val="00427F54"/>
    <w:rsid w:val="004307AF"/>
    <w:rsid w:val="00431764"/>
    <w:rsid w:val="004317AA"/>
    <w:rsid w:val="00431F59"/>
    <w:rsid w:val="00432BAA"/>
    <w:rsid w:val="0043341C"/>
    <w:rsid w:val="004334E8"/>
    <w:rsid w:val="00433A69"/>
    <w:rsid w:val="00433BA7"/>
    <w:rsid w:val="004345FC"/>
    <w:rsid w:val="00434A0A"/>
    <w:rsid w:val="00434A39"/>
    <w:rsid w:val="00434D00"/>
    <w:rsid w:val="00434E25"/>
    <w:rsid w:val="00435234"/>
    <w:rsid w:val="00435C86"/>
    <w:rsid w:val="00436A4B"/>
    <w:rsid w:val="00436E83"/>
    <w:rsid w:val="004378F4"/>
    <w:rsid w:val="00437D90"/>
    <w:rsid w:val="004401A7"/>
    <w:rsid w:val="00440FDA"/>
    <w:rsid w:val="004420D6"/>
    <w:rsid w:val="004423F0"/>
    <w:rsid w:val="004428BA"/>
    <w:rsid w:val="00443398"/>
    <w:rsid w:val="00443E73"/>
    <w:rsid w:val="00444A55"/>
    <w:rsid w:val="004451E5"/>
    <w:rsid w:val="00445200"/>
    <w:rsid w:val="0044585A"/>
    <w:rsid w:val="00445867"/>
    <w:rsid w:val="004468DE"/>
    <w:rsid w:val="00447955"/>
    <w:rsid w:val="00451ACE"/>
    <w:rsid w:val="00451F3D"/>
    <w:rsid w:val="00453B12"/>
    <w:rsid w:val="00453EBA"/>
    <w:rsid w:val="00453FAD"/>
    <w:rsid w:val="00454481"/>
    <w:rsid w:val="00454EC9"/>
    <w:rsid w:val="004551F9"/>
    <w:rsid w:val="00455956"/>
    <w:rsid w:val="00455B1A"/>
    <w:rsid w:val="00456534"/>
    <w:rsid w:val="004565DA"/>
    <w:rsid w:val="004567CF"/>
    <w:rsid w:val="0045703F"/>
    <w:rsid w:val="004572E3"/>
    <w:rsid w:val="00460233"/>
    <w:rsid w:val="004607B5"/>
    <w:rsid w:val="00460A1E"/>
    <w:rsid w:val="00460D6B"/>
    <w:rsid w:val="00460D7E"/>
    <w:rsid w:val="004618F2"/>
    <w:rsid w:val="004619AA"/>
    <w:rsid w:val="00461BDD"/>
    <w:rsid w:val="00461D08"/>
    <w:rsid w:val="00461D5D"/>
    <w:rsid w:val="004620B3"/>
    <w:rsid w:val="004628BC"/>
    <w:rsid w:val="00463119"/>
    <w:rsid w:val="00463421"/>
    <w:rsid w:val="00464008"/>
    <w:rsid w:val="00464AAF"/>
    <w:rsid w:val="00464BD1"/>
    <w:rsid w:val="00464E58"/>
    <w:rsid w:val="00465306"/>
    <w:rsid w:val="004662EA"/>
    <w:rsid w:val="004663B8"/>
    <w:rsid w:val="00466E8B"/>
    <w:rsid w:val="00467B46"/>
    <w:rsid w:val="0047053A"/>
    <w:rsid w:val="004709EE"/>
    <w:rsid w:val="00470CE4"/>
    <w:rsid w:val="00472235"/>
    <w:rsid w:val="004722A1"/>
    <w:rsid w:val="00472980"/>
    <w:rsid w:val="0047372B"/>
    <w:rsid w:val="0047418E"/>
    <w:rsid w:val="00474465"/>
    <w:rsid w:val="004748D3"/>
    <w:rsid w:val="0047591C"/>
    <w:rsid w:val="004763B7"/>
    <w:rsid w:val="004765B2"/>
    <w:rsid w:val="00476778"/>
    <w:rsid w:val="00477586"/>
    <w:rsid w:val="00477B32"/>
    <w:rsid w:val="00480023"/>
    <w:rsid w:val="0048028A"/>
    <w:rsid w:val="0048080C"/>
    <w:rsid w:val="00480997"/>
    <w:rsid w:val="0048128A"/>
    <w:rsid w:val="0048188C"/>
    <w:rsid w:val="00481D38"/>
    <w:rsid w:val="00482706"/>
    <w:rsid w:val="00482A14"/>
    <w:rsid w:val="00482B3E"/>
    <w:rsid w:val="004834F0"/>
    <w:rsid w:val="004839AD"/>
    <w:rsid w:val="00483FF0"/>
    <w:rsid w:val="00484831"/>
    <w:rsid w:val="00486155"/>
    <w:rsid w:val="00486227"/>
    <w:rsid w:val="00486E53"/>
    <w:rsid w:val="004872BF"/>
    <w:rsid w:val="004878E4"/>
    <w:rsid w:val="00487F77"/>
    <w:rsid w:val="00492102"/>
    <w:rsid w:val="004929FA"/>
    <w:rsid w:val="004934A2"/>
    <w:rsid w:val="00494E50"/>
    <w:rsid w:val="00494EF1"/>
    <w:rsid w:val="00494EF7"/>
    <w:rsid w:val="004953BF"/>
    <w:rsid w:val="004954C3"/>
    <w:rsid w:val="00496290"/>
    <w:rsid w:val="004962B9"/>
    <w:rsid w:val="0049675D"/>
    <w:rsid w:val="004972C7"/>
    <w:rsid w:val="00497B15"/>
    <w:rsid w:val="00497C25"/>
    <w:rsid w:val="004A099B"/>
    <w:rsid w:val="004A0D3B"/>
    <w:rsid w:val="004A11BE"/>
    <w:rsid w:val="004A265E"/>
    <w:rsid w:val="004A2863"/>
    <w:rsid w:val="004A32ED"/>
    <w:rsid w:val="004A3986"/>
    <w:rsid w:val="004A3EDF"/>
    <w:rsid w:val="004A4E79"/>
    <w:rsid w:val="004A5186"/>
    <w:rsid w:val="004A5222"/>
    <w:rsid w:val="004A527F"/>
    <w:rsid w:val="004A578C"/>
    <w:rsid w:val="004A57A5"/>
    <w:rsid w:val="004A5943"/>
    <w:rsid w:val="004A5AAE"/>
    <w:rsid w:val="004A7124"/>
    <w:rsid w:val="004A7975"/>
    <w:rsid w:val="004B0CE2"/>
    <w:rsid w:val="004B28F9"/>
    <w:rsid w:val="004B2A3E"/>
    <w:rsid w:val="004B2EFB"/>
    <w:rsid w:val="004B4064"/>
    <w:rsid w:val="004B4133"/>
    <w:rsid w:val="004B4271"/>
    <w:rsid w:val="004B449C"/>
    <w:rsid w:val="004B4E20"/>
    <w:rsid w:val="004B5925"/>
    <w:rsid w:val="004B6135"/>
    <w:rsid w:val="004B65EC"/>
    <w:rsid w:val="004B67A9"/>
    <w:rsid w:val="004C08D2"/>
    <w:rsid w:val="004C0F17"/>
    <w:rsid w:val="004C2427"/>
    <w:rsid w:val="004C2BD2"/>
    <w:rsid w:val="004C352A"/>
    <w:rsid w:val="004C380D"/>
    <w:rsid w:val="004C38B4"/>
    <w:rsid w:val="004C47F7"/>
    <w:rsid w:val="004C559E"/>
    <w:rsid w:val="004C5B74"/>
    <w:rsid w:val="004C5C98"/>
    <w:rsid w:val="004C6027"/>
    <w:rsid w:val="004C62A4"/>
    <w:rsid w:val="004C6A6C"/>
    <w:rsid w:val="004C6D27"/>
    <w:rsid w:val="004C7481"/>
    <w:rsid w:val="004C7B57"/>
    <w:rsid w:val="004D1433"/>
    <w:rsid w:val="004D15F8"/>
    <w:rsid w:val="004D2073"/>
    <w:rsid w:val="004D20E0"/>
    <w:rsid w:val="004D219F"/>
    <w:rsid w:val="004D2376"/>
    <w:rsid w:val="004D24BE"/>
    <w:rsid w:val="004D29F4"/>
    <w:rsid w:val="004D2C3A"/>
    <w:rsid w:val="004D2DE0"/>
    <w:rsid w:val="004D38F0"/>
    <w:rsid w:val="004D3A4F"/>
    <w:rsid w:val="004D4005"/>
    <w:rsid w:val="004D4129"/>
    <w:rsid w:val="004D489A"/>
    <w:rsid w:val="004D52E8"/>
    <w:rsid w:val="004D597B"/>
    <w:rsid w:val="004D698F"/>
    <w:rsid w:val="004D6DCB"/>
    <w:rsid w:val="004D79CB"/>
    <w:rsid w:val="004D7C8B"/>
    <w:rsid w:val="004D7D30"/>
    <w:rsid w:val="004E070B"/>
    <w:rsid w:val="004E0D1A"/>
    <w:rsid w:val="004E1EE6"/>
    <w:rsid w:val="004E24D6"/>
    <w:rsid w:val="004E2BA3"/>
    <w:rsid w:val="004E2E2C"/>
    <w:rsid w:val="004E37D9"/>
    <w:rsid w:val="004E3CF6"/>
    <w:rsid w:val="004E4403"/>
    <w:rsid w:val="004E46E2"/>
    <w:rsid w:val="004E5237"/>
    <w:rsid w:val="004E5C17"/>
    <w:rsid w:val="004E6F68"/>
    <w:rsid w:val="004E781C"/>
    <w:rsid w:val="004E7B7C"/>
    <w:rsid w:val="004F0737"/>
    <w:rsid w:val="004F0A60"/>
    <w:rsid w:val="004F0AAB"/>
    <w:rsid w:val="004F0B7B"/>
    <w:rsid w:val="004F0D2B"/>
    <w:rsid w:val="004F1F31"/>
    <w:rsid w:val="004F1F75"/>
    <w:rsid w:val="004F254E"/>
    <w:rsid w:val="004F2A42"/>
    <w:rsid w:val="004F41EF"/>
    <w:rsid w:val="004F43A9"/>
    <w:rsid w:val="004F5328"/>
    <w:rsid w:val="004F6E0B"/>
    <w:rsid w:val="004F771C"/>
    <w:rsid w:val="004F7ABB"/>
    <w:rsid w:val="00500503"/>
    <w:rsid w:val="00500E16"/>
    <w:rsid w:val="00502259"/>
    <w:rsid w:val="005028E5"/>
    <w:rsid w:val="00502DBE"/>
    <w:rsid w:val="00502E36"/>
    <w:rsid w:val="00503734"/>
    <w:rsid w:val="00503946"/>
    <w:rsid w:val="00503EB9"/>
    <w:rsid w:val="00503EEC"/>
    <w:rsid w:val="005040C1"/>
    <w:rsid w:val="005043F2"/>
    <w:rsid w:val="00504779"/>
    <w:rsid w:val="00504FC7"/>
    <w:rsid w:val="005055A1"/>
    <w:rsid w:val="005056C5"/>
    <w:rsid w:val="00505BEB"/>
    <w:rsid w:val="00505CA2"/>
    <w:rsid w:val="00506B6D"/>
    <w:rsid w:val="00506F9A"/>
    <w:rsid w:val="00507034"/>
    <w:rsid w:val="005077EE"/>
    <w:rsid w:val="00510172"/>
    <w:rsid w:val="00510334"/>
    <w:rsid w:val="00511347"/>
    <w:rsid w:val="00511494"/>
    <w:rsid w:val="0051196F"/>
    <w:rsid w:val="00511E92"/>
    <w:rsid w:val="00512897"/>
    <w:rsid w:val="00512B34"/>
    <w:rsid w:val="00514884"/>
    <w:rsid w:val="00514AE1"/>
    <w:rsid w:val="00515117"/>
    <w:rsid w:val="00515BB7"/>
    <w:rsid w:val="005163A8"/>
    <w:rsid w:val="0051675D"/>
    <w:rsid w:val="0051714E"/>
    <w:rsid w:val="00517E9B"/>
    <w:rsid w:val="005218B1"/>
    <w:rsid w:val="005234EB"/>
    <w:rsid w:val="005240D3"/>
    <w:rsid w:val="00524951"/>
    <w:rsid w:val="005249A0"/>
    <w:rsid w:val="005256AF"/>
    <w:rsid w:val="005268A6"/>
    <w:rsid w:val="005271B1"/>
    <w:rsid w:val="00527BCE"/>
    <w:rsid w:val="005307BE"/>
    <w:rsid w:val="0053098C"/>
    <w:rsid w:val="00531E7E"/>
    <w:rsid w:val="005328EF"/>
    <w:rsid w:val="005330AB"/>
    <w:rsid w:val="0053346C"/>
    <w:rsid w:val="00533ECA"/>
    <w:rsid w:val="0053457F"/>
    <w:rsid w:val="00534692"/>
    <w:rsid w:val="005353A3"/>
    <w:rsid w:val="00535842"/>
    <w:rsid w:val="00535C2B"/>
    <w:rsid w:val="005360A4"/>
    <w:rsid w:val="0053620A"/>
    <w:rsid w:val="00536798"/>
    <w:rsid w:val="00536918"/>
    <w:rsid w:val="005379F9"/>
    <w:rsid w:val="00537AAA"/>
    <w:rsid w:val="00537DDF"/>
    <w:rsid w:val="00540057"/>
    <w:rsid w:val="00540453"/>
    <w:rsid w:val="00540BD4"/>
    <w:rsid w:val="005411BA"/>
    <w:rsid w:val="0054177D"/>
    <w:rsid w:val="005418A5"/>
    <w:rsid w:val="00541B34"/>
    <w:rsid w:val="00541DC8"/>
    <w:rsid w:val="00542115"/>
    <w:rsid w:val="005427CA"/>
    <w:rsid w:val="00542DC7"/>
    <w:rsid w:val="00543194"/>
    <w:rsid w:val="00543A0E"/>
    <w:rsid w:val="00544557"/>
    <w:rsid w:val="005448D6"/>
    <w:rsid w:val="005456F2"/>
    <w:rsid w:val="00545FD0"/>
    <w:rsid w:val="00547867"/>
    <w:rsid w:val="00550077"/>
    <w:rsid w:val="00550473"/>
    <w:rsid w:val="005509BB"/>
    <w:rsid w:val="00550E11"/>
    <w:rsid w:val="005512DC"/>
    <w:rsid w:val="005517A7"/>
    <w:rsid w:val="00551890"/>
    <w:rsid w:val="00551AD8"/>
    <w:rsid w:val="0055201D"/>
    <w:rsid w:val="00552C78"/>
    <w:rsid w:val="00553416"/>
    <w:rsid w:val="00554136"/>
    <w:rsid w:val="0055418F"/>
    <w:rsid w:val="005548C3"/>
    <w:rsid w:val="005550AE"/>
    <w:rsid w:val="0055576C"/>
    <w:rsid w:val="00556056"/>
    <w:rsid w:val="00556AF2"/>
    <w:rsid w:val="00557413"/>
    <w:rsid w:val="00557EC4"/>
    <w:rsid w:val="00560257"/>
    <w:rsid w:val="0056184E"/>
    <w:rsid w:val="00561EA1"/>
    <w:rsid w:val="00562A8D"/>
    <w:rsid w:val="00563D8F"/>
    <w:rsid w:val="00564084"/>
    <w:rsid w:val="0056461B"/>
    <w:rsid w:val="00564C0F"/>
    <w:rsid w:val="00564D14"/>
    <w:rsid w:val="00566231"/>
    <w:rsid w:val="00566509"/>
    <w:rsid w:val="0056694E"/>
    <w:rsid w:val="00566BAB"/>
    <w:rsid w:val="005672C9"/>
    <w:rsid w:val="005673F8"/>
    <w:rsid w:val="00567655"/>
    <w:rsid w:val="00570DF0"/>
    <w:rsid w:val="005714B6"/>
    <w:rsid w:val="005721E9"/>
    <w:rsid w:val="0057243F"/>
    <w:rsid w:val="0057278B"/>
    <w:rsid w:val="00572A20"/>
    <w:rsid w:val="005732EB"/>
    <w:rsid w:val="00573B3B"/>
    <w:rsid w:val="005742B8"/>
    <w:rsid w:val="005742C8"/>
    <w:rsid w:val="00574978"/>
    <w:rsid w:val="00574C9E"/>
    <w:rsid w:val="00574EAB"/>
    <w:rsid w:val="005753BA"/>
    <w:rsid w:val="005758B6"/>
    <w:rsid w:val="00576064"/>
    <w:rsid w:val="005763DF"/>
    <w:rsid w:val="00576AB3"/>
    <w:rsid w:val="00576D43"/>
    <w:rsid w:val="00577F4D"/>
    <w:rsid w:val="00580371"/>
    <w:rsid w:val="005809F1"/>
    <w:rsid w:val="00580C37"/>
    <w:rsid w:val="00581BD2"/>
    <w:rsid w:val="00582FAF"/>
    <w:rsid w:val="00582FC8"/>
    <w:rsid w:val="00583384"/>
    <w:rsid w:val="005839B1"/>
    <w:rsid w:val="00583EE3"/>
    <w:rsid w:val="00584B1C"/>
    <w:rsid w:val="00584FD8"/>
    <w:rsid w:val="0058525D"/>
    <w:rsid w:val="00585CD5"/>
    <w:rsid w:val="00586465"/>
    <w:rsid w:val="00586F66"/>
    <w:rsid w:val="00587CC8"/>
    <w:rsid w:val="00590A75"/>
    <w:rsid w:val="00590BCC"/>
    <w:rsid w:val="00590EB1"/>
    <w:rsid w:val="0059116B"/>
    <w:rsid w:val="00592863"/>
    <w:rsid w:val="00592ED2"/>
    <w:rsid w:val="00592FEB"/>
    <w:rsid w:val="005935A1"/>
    <w:rsid w:val="0059386F"/>
    <w:rsid w:val="00593E32"/>
    <w:rsid w:val="005941D6"/>
    <w:rsid w:val="005950BC"/>
    <w:rsid w:val="00595D06"/>
    <w:rsid w:val="00596BED"/>
    <w:rsid w:val="00596C08"/>
    <w:rsid w:val="00596C93"/>
    <w:rsid w:val="00597C67"/>
    <w:rsid w:val="00597C6D"/>
    <w:rsid w:val="00597FA4"/>
    <w:rsid w:val="005A023E"/>
    <w:rsid w:val="005A0329"/>
    <w:rsid w:val="005A107B"/>
    <w:rsid w:val="005A226C"/>
    <w:rsid w:val="005A2560"/>
    <w:rsid w:val="005A2E3E"/>
    <w:rsid w:val="005A3821"/>
    <w:rsid w:val="005A3DF5"/>
    <w:rsid w:val="005A513A"/>
    <w:rsid w:val="005A5432"/>
    <w:rsid w:val="005A56B2"/>
    <w:rsid w:val="005A655B"/>
    <w:rsid w:val="005A65D4"/>
    <w:rsid w:val="005A6712"/>
    <w:rsid w:val="005A6B89"/>
    <w:rsid w:val="005A70BC"/>
    <w:rsid w:val="005A74C3"/>
    <w:rsid w:val="005A7CC4"/>
    <w:rsid w:val="005B03A6"/>
    <w:rsid w:val="005B0A92"/>
    <w:rsid w:val="005B11B4"/>
    <w:rsid w:val="005B12FD"/>
    <w:rsid w:val="005B31AA"/>
    <w:rsid w:val="005B3A01"/>
    <w:rsid w:val="005B3CC9"/>
    <w:rsid w:val="005B6122"/>
    <w:rsid w:val="005B6591"/>
    <w:rsid w:val="005B7C45"/>
    <w:rsid w:val="005C0A07"/>
    <w:rsid w:val="005C0D75"/>
    <w:rsid w:val="005C17FE"/>
    <w:rsid w:val="005C1AE1"/>
    <w:rsid w:val="005C1EF9"/>
    <w:rsid w:val="005C2A12"/>
    <w:rsid w:val="005C2AF7"/>
    <w:rsid w:val="005C2C93"/>
    <w:rsid w:val="005C2D82"/>
    <w:rsid w:val="005C3569"/>
    <w:rsid w:val="005C37BC"/>
    <w:rsid w:val="005C38E5"/>
    <w:rsid w:val="005C3AA8"/>
    <w:rsid w:val="005C440B"/>
    <w:rsid w:val="005C47E3"/>
    <w:rsid w:val="005C5060"/>
    <w:rsid w:val="005C538E"/>
    <w:rsid w:val="005C56B2"/>
    <w:rsid w:val="005C5879"/>
    <w:rsid w:val="005C5A5B"/>
    <w:rsid w:val="005C5C96"/>
    <w:rsid w:val="005C5CCE"/>
    <w:rsid w:val="005C603B"/>
    <w:rsid w:val="005C64E7"/>
    <w:rsid w:val="005C65E9"/>
    <w:rsid w:val="005C6FB9"/>
    <w:rsid w:val="005C7159"/>
    <w:rsid w:val="005C75C3"/>
    <w:rsid w:val="005D1022"/>
    <w:rsid w:val="005D189C"/>
    <w:rsid w:val="005D2791"/>
    <w:rsid w:val="005D2F3A"/>
    <w:rsid w:val="005D393B"/>
    <w:rsid w:val="005D4373"/>
    <w:rsid w:val="005D5495"/>
    <w:rsid w:val="005D5771"/>
    <w:rsid w:val="005D58A2"/>
    <w:rsid w:val="005D6DFA"/>
    <w:rsid w:val="005D6E07"/>
    <w:rsid w:val="005D70E4"/>
    <w:rsid w:val="005D75C2"/>
    <w:rsid w:val="005E0100"/>
    <w:rsid w:val="005E01A6"/>
    <w:rsid w:val="005E0D1B"/>
    <w:rsid w:val="005E1C5B"/>
    <w:rsid w:val="005E1D4D"/>
    <w:rsid w:val="005E1E09"/>
    <w:rsid w:val="005E2FCE"/>
    <w:rsid w:val="005E300F"/>
    <w:rsid w:val="005E31AB"/>
    <w:rsid w:val="005E3F84"/>
    <w:rsid w:val="005E412F"/>
    <w:rsid w:val="005E4C3D"/>
    <w:rsid w:val="005E5941"/>
    <w:rsid w:val="005E60C9"/>
    <w:rsid w:val="005E62E0"/>
    <w:rsid w:val="005E644D"/>
    <w:rsid w:val="005E697C"/>
    <w:rsid w:val="005E6FEF"/>
    <w:rsid w:val="005E7622"/>
    <w:rsid w:val="005E7D9E"/>
    <w:rsid w:val="005E7FBD"/>
    <w:rsid w:val="005F0443"/>
    <w:rsid w:val="005F07F9"/>
    <w:rsid w:val="005F0ABC"/>
    <w:rsid w:val="005F1645"/>
    <w:rsid w:val="005F1B25"/>
    <w:rsid w:val="005F23DC"/>
    <w:rsid w:val="005F28AA"/>
    <w:rsid w:val="005F3D0E"/>
    <w:rsid w:val="005F3F05"/>
    <w:rsid w:val="005F4C49"/>
    <w:rsid w:val="005F53EB"/>
    <w:rsid w:val="005F54E8"/>
    <w:rsid w:val="005F63C4"/>
    <w:rsid w:val="005F66F0"/>
    <w:rsid w:val="005F6E30"/>
    <w:rsid w:val="005F731E"/>
    <w:rsid w:val="005F7AFF"/>
    <w:rsid w:val="005F7FFA"/>
    <w:rsid w:val="00600BBB"/>
    <w:rsid w:val="00600CF6"/>
    <w:rsid w:val="00601A37"/>
    <w:rsid w:val="0060262B"/>
    <w:rsid w:val="0060296C"/>
    <w:rsid w:val="00603041"/>
    <w:rsid w:val="006033E9"/>
    <w:rsid w:val="00603506"/>
    <w:rsid w:val="00603594"/>
    <w:rsid w:val="00603B14"/>
    <w:rsid w:val="00604661"/>
    <w:rsid w:val="00604E17"/>
    <w:rsid w:val="0060613A"/>
    <w:rsid w:val="006068D5"/>
    <w:rsid w:val="00607594"/>
    <w:rsid w:val="0060769C"/>
    <w:rsid w:val="00607ADF"/>
    <w:rsid w:val="006104C9"/>
    <w:rsid w:val="00611279"/>
    <w:rsid w:val="006118E0"/>
    <w:rsid w:val="0061219D"/>
    <w:rsid w:val="006123D4"/>
    <w:rsid w:val="00612F84"/>
    <w:rsid w:val="00613CDC"/>
    <w:rsid w:val="00613EC8"/>
    <w:rsid w:val="00614480"/>
    <w:rsid w:val="006145FF"/>
    <w:rsid w:val="0061502D"/>
    <w:rsid w:val="00615898"/>
    <w:rsid w:val="00616042"/>
    <w:rsid w:val="00616139"/>
    <w:rsid w:val="00616AF0"/>
    <w:rsid w:val="00616C7D"/>
    <w:rsid w:val="0061765D"/>
    <w:rsid w:val="0061768B"/>
    <w:rsid w:val="0062079E"/>
    <w:rsid w:val="0062080E"/>
    <w:rsid w:val="00620828"/>
    <w:rsid w:val="00620B53"/>
    <w:rsid w:val="00620D91"/>
    <w:rsid w:val="00622541"/>
    <w:rsid w:val="00622709"/>
    <w:rsid w:val="00622830"/>
    <w:rsid w:val="006228F7"/>
    <w:rsid w:val="00622A15"/>
    <w:rsid w:val="00622D12"/>
    <w:rsid w:val="00622D28"/>
    <w:rsid w:val="006232A0"/>
    <w:rsid w:val="0062355D"/>
    <w:rsid w:val="0062362C"/>
    <w:rsid w:val="00623A5E"/>
    <w:rsid w:val="0062412D"/>
    <w:rsid w:val="00625109"/>
    <w:rsid w:val="0062557C"/>
    <w:rsid w:val="0062585F"/>
    <w:rsid w:val="006260A6"/>
    <w:rsid w:val="006262E9"/>
    <w:rsid w:val="00626452"/>
    <w:rsid w:val="0062650A"/>
    <w:rsid w:val="006270C8"/>
    <w:rsid w:val="00627252"/>
    <w:rsid w:val="00627510"/>
    <w:rsid w:val="006302EE"/>
    <w:rsid w:val="006305D0"/>
    <w:rsid w:val="0063092C"/>
    <w:rsid w:val="00630F8A"/>
    <w:rsid w:val="00630FB5"/>
    <w:rsid w:val="00631DAA"/>
    <w:rsid w:val="006326FC"/>
    <w:rsid w:val="0063298E"/>
    <w:rsid w:val="006341F0"/>
    <w:rsid w:val="006344E9"/>
    <w:rsid w:val="00634719"/>
    <w:rsid w:val="0063483A"/>
    <w:rsid w:val="0063582E"/>
    <w:rsid w:val="00635B82"/>
    <w:rsid w:val="00635DEC"/>
    <w:rsid w:val="006361D3"/>
    <w:rsid w:val="006363FD"/>
    <w:rsid w:val="00636E7F"/>
    <w:rsid w:val="006372C2"/>
    <w:rsid w:val="00637C80"/>
    <w:rsid w:val="00637CCE"/>
    <w:rsid w:val="006404F6"/>
    <w:rsid w:val="0064096B"/>
    <w:rsid w:val="00640EB5"/>
    <w:rsid w:val="00641333"/>
    <w:rsid w:val="00641C83"/>
    <w:rsid w:val="00642210"/>
    <w:rsid w:val="00642ED4"/>
    <w:rsid w:val="00642EEA"/>
    <w:rsid w:val="0064341D"/>
    <w:rsid w:val="0064354D"/>
    <w:rsid w:val="00643A48"/>
    <w:rsid w:val="006450CF"/>
    <w:rsid w:val="00645238"/>
    <w:rsid w:val="0064570F"/>
    <w:rsid w:val="00646AE3"/>
    <w:rsid w:val="00647BC6"/>
    <w:rsid w:val="006503FF"/>
    <w:rsid w:val="00650590"/>
    <w:rsid w:val="00650F81"/>
    <w:rsid w:val="00651C82"/>
    <w:rsid w:val="00653919"/>
    <w:rsid w:val="00653EDE"/>
    <w:rsid w:val="00654FD3"/>
    <w:rsid w:val="00655C86"/>
    <w:rsid w:val="006562CA"/>
    <w:rsid w:val="00656A89"/>
    <w:rsid w:val="006571D8"/>
    <w:rsid w:val="00657322"/>
    <w:rsid w:val="00657359"/>
    <w:rsid w:val="006577E8"/>
    <w:rsid w:val="00657BA4"/>
    <w:rsid w:val="00657F22"/>
    <w:rsid w:val="0066139B"/>
    <w:rsid w:val="006618C0"/>
    <w:rsid w:val="00661EBE"/>
    <w:rsid w:val="00662D91"/>
    <w:rsid w:val="0066365D"/>
    <w:rsid w:val="00664642"/>
    <w:rsid w:val="00664C9A"/>
    <w:rsid w:val="00664EC6"/>
    <w:rsid w:val="006657AD"/>
    <w:rsid w:val="00665810"/>
    <w:rsid w:val="006660B8"/>
    <w:rsid w:val="006669DD"/>
    <w:rsid w:val="00666FF9"/>
    <w:rsid w:val="0066719A"/>
    <w:rsid w:val="006672F9"/>
    <w:rsid w:val="00667718"/>
    <w:rsid w:val="00670166"/>
    <w:rsid w:val="0067037F"/>
    <w:rsid w:val="006703C7"/>
    <w:rsid w:val="00670679"/>
    <w:rsid w:val="006708C2"/>
    <w:rsid w:val="006708E4"/>
    <w:rsid w:val="00670B0D"/>
    <w:rsid w:val="0067195F"/>
    <w:rsid w:val="00673838"/>
    <w:rsid w:val="00673E60"/>
    <w:rsid w:val="006748D5"/>
    <w:rsid w:val="00675957"/>
    <w:rsid w:val="00675E24"/>
    <w:rsid w:val="00676E50"/>
    <w:rsid w:val="00677719"/>
    <w:rsid w:val="0068111B"/>
    <w:rsid w:val="006816EF"/>
    <w:rsid w:val="00681B61"/>
    <w:rsid w:val="00681F27"/>
    <w:rsid w:val="00682282"/>
    <w:rsid w:val="006833B3"/>
    <w:rsid w:val="00683B7B"/>
    <w:rsid w:val="0068470E"/>
    <w:rsid w:val="00684D98"/>
    <w:rsid w:val="00684FBE"/>
    <w:rsid w:val="00685876"/>
    <w:rsid w:val="00686533"/>
    <w:rsid w:val="00686555"/>
    <w:rsid w:val="00686A01"/>
    <w:rsid w:val="00686BD5"/>
    <w:rsid w:val="0068701E"/>
    <w:rsid w:val="006871A9"/>
    <w:rsid w:val="00687825"/>
    <w:rsid w:val="006878F6"/>
    <w:rsid w:val="00687A07"/>
    <w:rsid w:val="0069006A"/>
    <w:rsid w:val="00690AD0"/>
    <w:rsid w:val="00692929"/>
    <w:rsid w:val="006929AD"/>
    <w:rsid w:val="00694486"/>
    <w:rsid w:val="00694AED"/>
    <w:rsid w:val="00694CEF"/>
    <w:rsid w:val="00695228"/>
    <w:rsid w:val="00695302"/>
    <w:rsid w:val="00695CC3"/>
    <w:rsid w:val="00696339"/>
    <w:rsid w:val="00697079"/>
    <w:rsid w:val="00697230"/>
    <w:rsid w:val="00697518"/>
    <w:rsid w:val="006975D6"/>
    <w:rsid w:val="006A07A4"/>
    <w:rsid w:val="006A0C41"/>
    <w:rsid w:val="006A0DDA"/>
    <w:rsid w:val="006A0DE3"/>
    <w:rsid w:val="006A18E6"/>
    <w:rsid w:val="006A1DF0"/>
    <w:rsid w:val="006A20A6"/>
    <w:rsid w:val="006A28B2"/>
    <w:rsid w:val="006A2A95"/>
    <w:rsid w:val="006A2BA0"/>
    <w:rsid w:val="006A2C0A"/>
    <w:rsid w:val="006A36C7"/>
    <w:rsid w:val="006A3E87"/>
    <w:rsid w:val="006A47BA"/>
    <w:rsid w:val="006A5365"/>
    <w:rsid w:val="006A680A"/>
    <w:rsid w:val="006A70EB"/>
    <w:rsid w:val="006A73F1"/>
    <w:rsid w:val="006B0192"/>
    <w:rsid w:val="006B0251"/>
    <w:rsid w:val="006B039E"/>
    <w:rsid w:val="006B04A6"/>
    <w:rsid w:val="006B08A5"/>
    <w:rsid w:val="006B09FD"/>
    <w:rsid w:val="006B0B13"/>
    <w:rsid w:val="006B1429"/>
    <w:rsid w:val="006B1D6B"/>
    <w:rsid w:val="006B1EB9"/>
    <w:rsid w:val="006B28A0"/>
    <w:rsid w:val="006B28FA"/>
    <w:rsid w:val="006B2EFA"/>
    <w:rsid w:val="006B357E"/>
    <w:rsid w:val="006B36D1"/>
    <w:rsid w:val="006B387F"/>
    <w:rsid w:val="006B38A8"/>
    <w:rsid w:val="006B3CFD"/>
    <w:rsid w:val="006B3DA5"/>
    <w:rsid w:val="006B4149"/>
    <w:rsid w:val="006B41E2"/>
    <w:rsid w:val="006B4C09"/>
    <w:rsid w:val="006B53C8"/>
    <w:rsid w:val="006B5A54"/>
    <w:rsid w:val="006B62CF"/>
    <w:rsid w:val="006B66F0"/>
    <w:rsid w:val="006B6EC6"/>
    <w:rsid w:val="006B6F43"/>
    <w:rsid w:val="006C01FC"/>
    <w:rsid w:val="006C0245"/>
    <w:rsid w:val="006C084A"/>
    <w:rsid w:val="006C10DD"/>
    <w:rsid w:val="006C1585"/>
    <w:rsid w:val="006C1C46"/>
    <w:rsid w:val="006C201B"/>
    <w:rsid w:val="006C3906"/>
    <w:rsid w:val="006C4129"/>
    <w:rsid w:val="006C42C4"/>
    <w:rsid w:val="006C4853"/>
    <w:rsid w:val="006C5215"/>
    <w:rsid w:val="006C551D"/>
    <w:rsid w:val="006C56CC"/>
    <w:rsid w:val="006C7232"/>
    <w:rsid w:val="006D02E6"/>
    <w:rsid w:val="006D03BE"/>
    <w:rsid w:val="006D0827"/>
    <w:rsid w:val="006D0F9F"/>
    <w:rsid w:val="006D10DA"/>
    <w:rsid w:val="006D1183"/>
    <w:rsid w:val="006D14C4"/>
    <w:rsid w:val="006D1509"/>
    <w:rsid w:val="006D219A"/>
    <w:rsid w:val="006D3151"/>
    <w:rsid w:val="006D3657"/>
    <w:rsid w:val="006D3D09"/>
    <w:rsid w:val="006D3F38"/>
    <w:rsid w:val="006D464B"/>
    <w:rsid w:val="006D4A38"/>
    <w:rsid w:val="006D5023"/>
    <w:rsid w:val="006D5654"/>
    <w:rsid w:val="006D59C1"/>
    <w:rsid w:val="006D5ADD"/>
    <w:rsid w:val="006D5F4B"/>
    <w:rsid w:val="006D713F"/>
    <w:rsid w:val="006D7350"/>
    <w:rsid w:val="006D77F5"/>
    <w:rsid w:val="006E07F6"/>
    <w:rsid w:val="006E0F7C"/>
    <w:rsid w:val="006E1550"/>
    <w:rsid w:val="006E168A"/>
    <w:rsid w:val="006E2791"/>
    <w:rsid w:val="006E28F4"/>
    <w:rsid w:val="006E2DE0"/>
    <w:rsid w:val="006E31B2"/>
    <w:rsid w:val="006E343A"/>
    <w:rsid w:val="006E3B5A"/>
    <w:rsid w:val="006E4230"/>
    <w:rsid w:val="006E4918"/>
    <w:rsid w:val="006E4CC9"/>
    <w:rsid w:val="006E50F1"/>
    <w:rsid w:val="006E5481"/>
    <w:rsid w:val="006E55BA"/>
    <w:rsid w:val="006E5FFE"/>
    <w:rsid w:val="006E6023"/>
    <w:rsid w:val="006F1582"/>
    <w:rsid w:val="006F1C40"/>
    <w:rsid w:val="006F1EEA"/>
    <w:rsid w:val="006F284F"/>
    <w:rsid w:val="006F286C"/>
    <w:rsid w:val="006F2F26"/>
    <w:rsid w:val="006F32BF"/>
    <w:rsid w:val="006F4FF1"/>
    <w:rsid w:val="006F54C2"/>
    <w:rsid w:val="006F6079"/>
    <w:rsid w:val="006F6542"/>
    <w:rsid w:val="006F6A11"/>
    <w:rsid w:val="006F6A76"/>
    <w:rsid w:val="006F6A7C"/>
    <w:rsid w:val="006F7683"/>
    <w:rsid w:val="006F7BAC"/>
    <w:rsid w:val="007008A4"/>
    <w:rsid w:val="007015A1"/>
    <w:rsid w:val="00702619"/>
    <w:rsid w:val="007028B2"/>
    <w:rsid w:val="00702B5B"/>
    <w:rsid w:val="00702D27"/>
    <w:rsid w:val="007032F3"/>
    <w:rsid w:val="0070374C"/>
    <w:rsid w:val="00703B16"/>
    <w:rsid w:val="00703D82"/>
    <w:rsid w:val="00704A61"/>
    <w:rsid w:val="00704EDA"/>
    <w:rsid w:val="00705102"/>
    <w:rsid w:val="007052A9"/>
    <w:rsid w:val="007061BD"/>
    <w:rsid w:val="00706A57"/>
    <w:rsid w:val="00707704"/>
    <w:rsid w:val="00707C7D"/>
    <w:rsid w:val="007101C4"/>
    <w:rsid w:val="00711094"/>
    <w:rsid w:val="007110A8"/>
    <w:rsid w:val="00711289"/>
    <w:rsid w:val="00711E06"/>
    <w:rsid w:val="007134F1"/>
    <w:rsid w:val="00713785"/>
    <w:rsid w:val="00713F67"/>
    <w:rsid w:val="0071458F"/>
    <w:rsid w:val="00715236"/>
    <w:rsid w:val="00715DFB"/>
    <w:rsid w:val="00715F9A"/>
    <w:rsid w:val="007167A9"/>
    <w:rsid w:val="00716FAC"/>
    <w:rsid w:val="007173A7"/>
    <w:rsid w:val="00717D8B"/>
    <w:rsid w:val="00720394"/>
    <w:rsid w:val="007208A7"/>
    <w:rsid w:val="00720CAE"/>
    <w:rsid w:val="007215B3"/>
    <w:rsid w:val="0072187A"/>
    <w:rsid w:val="0072291D"/>
    <w:rsid w:val="00722FD9"/>
    <w:rsid w:val="007236B3"/>
    <w:rsid w:val="00723929"/>
    <w:rsid w:val="00724380"/>
    <w:rsid w:val="0072487E"/>
    <w:rsid w:val="00724B86"/>
    <w:rsid w:val="00725819"/>
    <w:rsid w:val="0072627F"/>
    <w:rsid w:val="0072716B"/>
    <w:rsid w:val="007272A8"/>
    <w:rsid w:val="00727376"/>
    <w:rsid w:val="00727D0B"/>
    <w:rsid w:val="007312DC"/>
    <w:rsid w:val="00731805"/>
    <w:rsid w:val="00731E28"/>
    <w:rsid w:val="007322DF"/>
    <w:rsid w:val="007336A3"/>
    <w:rsid w:val="00733708"/>
    <w:rsid w:val="007339DA"/>
    <w:rsid w:val="0073413F"/>
    <w:rsid w:val="00734344"/>
    <w:rsid w:val="007343B2"/>
    <w:rsid w:val="0073442D"/>
    <w:rsid w:val="00734EBE"/>
    <w:rsid w:val="00734EEC"/>
    <w:rsid w:val="007350FB"/>
    <w:rsid w:val="007355BC"/>
    <w:rsid w:val="00735948"/>
    <w:rsid w:val="00735B6E"/>
    <w:rsid w:val="007366F7"/>
    <w:rsid w:val="007372B6"/>
    <w:rsid w:val="00737D56"/>
    <w:rsid w:val="00737D97"/>
    <w:rsid w:val="00740231"/>
    <w:rsid w:val="00740F3E"/>
    <w:rsid w:val="00741219"/>
    <w:rsid w:val="00741EE2"/>
    <w:rsid w:val="00742A9E"/>
    <w:rsid w:val="00742D15"/>
    <w:rsid w:val="00742F44"/>
    <w:rsid w:val="007444ED"/>
    <w:rsid w:val="00744ED1"/>
    <w:rsid w:val="007455FA"/>
    <w:rsid w:val="00745847"/>
    <w:rsid w:val="00746733"/>
    <w:rsid w:val="00746887"/>
    <w:rsid w:val="00746F5F"/>
    <w:rsid w:val="00747396"/>
    <w:rsid w:val="007473B3"/>
    <w:rsid w:val="007475FA"/>
    <w:rsid w:val="007506E7"/>
    <w:rsid w:val="00750BB5"/>
    <w:rsid w:val="00752AE1"/>
    <w:rsid w:val="00754294"/>
    <w:rsid w:val="00755E48"/>
    <w:rsid w:val="00756EFE"/>
    <w:rsid w:val="00757125"/>
    <w:rsid w:val="00757B0E"/>
    <w:rsid w:val="00757FAF"/>
    <w:rsid w:val="00760851"/>
    <w:rsid w:val="00761396"/>
    <w:rsid w:val="00761787"/>
    <w:rsid w:val="00761CC2"/>
    <w:rsid w:val="00762363"/>
    <w:rsid w:val="0076259A"/>
    <w:rsid w:val="007628FB"/>
    <w:rsid w:val="00762ACF"/>
    <w:rsid w:val="007636F7"/>
    <w:rsid w:val="007640A7"/>
    <w:rsid w:val="0076465A"/>
    <w:rsid w:val="007647CA"/>
    <w:rsid w:val="0076529B"/>
    <w:rsid w:val="0076549D"/>
    <w:rsid w:val="007662C7"/>
    <w:rsid w:val="0076630C"/>
    <w:rsid w:val="00766C79"/>
    <w:rsid w:val="00766F1C"/>
    <w:rsid w:val="007675F7"/>
    <w:rsid w:val="00767892"/>
    <w:rsid w:val="00767DBA"/>
    <w:rsid w:val="00770A57"/>
    <w:rsid w:val="00770EFA"/>
    <w:rsid w:val="00772050"/>
    <w:rsid w:val="00772750"/>
    <w:rsid w:val="007729D2"/>
    <w:rsid w:val="007729D5"/>
    <w:rsid w:val="00772BFD"/>
    <w:rsid w:val="00772D23"/>
    <w:rsid w:val="007755EB"/>
    <w:rsid w:val="007756AF"/>
    <w:rsid w:val="00776804"/>
    <w:rsid w:val="00776CB6"/>
    <w:rsid w:val="00777640"/>
    <w:rsid w:val="007777D1"/>
    <w:rsid w:val="00777989"/>
    <w:rsid w:val="00780697"/>
    <w:rsid w:val="007807B7"/>
    <w:rsid w:val="00780EF4"/>
    <w:rsid w:val="00781111"/>
    <w:rsid w:val="007815DB"/>
    <w:rsid w:val="00781631"/>
    <w:rsid w:val="00781978"/>
    <w:rsid w:val="00781A98"/>
    <w:rsid w:val="00781ACE"/>
    <w:rsid w:val="00781B72"/>
    <w:rsid w:val="00782BA2"/>
    <w:rsid w:val="007830B0"/>
    <w:rsid w:val="007835D1"/>
    <w:rsid w:val="007840AC"/>
    <w:rsid w:val="007843C4"/>
    <w:rsid w:val="007843CE"/>
    <w:rsid w:val="00785A3A"/>
    <w:rsid w:val="00785AFA"/>
    <w:rsid w:val="00785E5C"/>
    <w:rsid w:val="00787EC7"/>
    <w:rsid w:val="00790246"/>
    <w:rsid w:val="00790CAF"/>
    <w:rsid w:val="00790DBF"/>
    <w:rsid w:val="00790E8A"/>
    <w:rsid w:val="00792189"/>
    <w:rsid w:val="007925A3"/>
    <w:rsid w:val="00792644"/>
    <w:rsid w:val="00792883"/>
    <w:rsid w:val="0079299B"/>
    <w:rsid w:val="007936BF"/>
    <w:rsid w:val="007943F4"/>
    <w:rsid w:val="00794758"/>
    <w:rsid w:val="00794FE9"/>
    <w:rsid w:val="0079522C"/>
    <w:rsid w:val="00796128"/>
    <w:rsid w:val="00796C47"/>
    <w:rsid w:val="00797C72"/>
    <w:rsid w:val="007A1470"/>
    <w:rsid w:val="007A14E0"/>
    <w:rsid w:val="007A20E6"/>
    <w:rsid w:val="007A2654"/>
    <w:rsid w:val="007A2F57"/>
    <w:rsid w:val="007A35A5"/>
    <w:rsid w:val="007A406B"/>
    <w:rsid w:val="007A464C"/>
    <w:rsid w:val="007A5A16"/>
    <w:rsid w:val="007A5F2A"/>
    <w:rsid w:val="007A666E"/>
    <w:rsid w:val="007A6A5B"/>
    <w:rsid w:val="007A6F12"/>
    <w:rsid w:val="007A7BCE"/>
    <w:rsid w:val="007A7C00"/>
    <w:rsid w:val="007B18F4"/>
    <w:rsid w:val="007B1FFA"/>
    <w:rsid w:val="007B2305"/>
    <w:rsid w:val="007B2F1A"/>
    <w:rsid w:val="007B3307"/>
    <w:rsid w:val="007B3463"/>
    <w:rsid w:val="007B35C2"/>
    <w:rsid w:val="007B4397"/>
    <w:rsid w:val="007B51BB"/>
    <w:rsid w:val="007B5935"/>
    <w:rsid w:val="007B679C"/>
    <w:rsid w:val="007B6DF7"/>
    <w:rsid w:val="007B782F"/>
    <w:rsid w:val="007C0108"/>
    <w:rsid w:val="007C012A"/>
    <w:rsid w:val="007C06B1"/>
    <w:rsid w:val="007C0F79"/>
    <w:rsid w:val="007C160F"/>
    <w:rsid w:val="007C1BD6"/>
    <w:rsid w:val="007C1CD1"/>
    <w:rsid w:val="007C2042"/>
    <w:rsid w:val="007C2A22"/>
    <w:rsid w:val="007C2D3D"/>
    <w:rsid w:val="007C2EB5"/>
    <w:rsid w:val="007C365A"/>
    <w:rsid w:val="007C3AB2"/>
    <w:rsid w:val="007C3C3A"/>
    <w:rsid w:val="007C4345"/>
    <w:rsid w:val="007C45BC"/>
    <w:rsid w:val="007C532A"/>
    <w:rsid w:val="007C6590"/>
    <w:rsid w:val="007C7110"/>
    <w:rsid w:val="007C7787"/>
    <w:rsid w:val="007C77AA"/>
    <w:rsid w:val="007D1AA4"/>
    <w:rsid w:val="007D287B"/>
    <w:rsid w:val="007D2C42"/>
    <w:rsid w:val="007D4918"/>
    <w:rsid w:val="007D494E"/>
    <w:rsid w:val="007D4F62"/>
    <w:rsid w:val="007D5398"/>
    <w:rsid w:val="007D5411"/>
    <w:rsid w:val="007D559F"/>
    <w:rsid w:val="007D6336"/>
    <w:rsid w:val="007D6611"/>
    <w:rsid w:val="007D66F0"/>
    <w:rsid w:val="007D6929"/>
    <w:rsid w:val="007D6D99"/>
    <w:rsid w:val="007D707B"/>
    <w:rsid w:val="007D74DC"/>
    <w:rsid w:val="007E0A91"/>
    <w:rsid w:val="007E0CC1"/>
    <w:rsid w:val="007E0D90"/>
    <w:rsid w:val="007E150F"/>
    <w:rsid w:val="007E1592"/>
    <w:rsid w:val="007E1F17"/>
    <w:rsid w:val="007E200E"/>
    <w:rsid w:val="007E2BF2"/>
    <w:rsid w:val="007E333A"/>
    <w:rsid w:val="007E37C8"/>
    <w:rsid w:val="007E37D9"/>
    <w:rsid w:val="007E3858"/>
    <w:rsid w:val="007E4B09"/>
    <w:rsid w:val="007E5086"/>
    <w:rsid w:val="007E5124"/>
    <w:rsid w:val="007E5B3F"/>
    <w:rsid w:val="007E6225"/>
    <w:rsid w:val="007E674E"/>
    <w:rsid w:val="007E6AA2"/>
    <w:rsid w:val="007E6DD8"/>
    <w:rsid w:val="007E6EFE"/>
    <w:rsid w:val="007E7908"/>
    <w:rsid w:val="007F00B0"/>
    <w:rsid w:val="007F0E73"/>
    <w:rsid w:val="007F1CAF"/>
    <w:rsid w:val="007F1E1A"/>
    <w:rsid w:val="007F27BB"/>
    <w:rsid w:val="007F2914"/>
    <w:rsid w:val="007F2A83"/>
    <w:rsid w:val="007F3050"/>
    <w:rsid w:val="007F309D"/>
    <w:rsid w:val="007F3ED0"/>
    <w:rsid w:val="007F42E0"/>
    <w:rsid w:val="007F4F6E"/>
    <w:rsid w:val="007F5184"/>
    <w:rsid w:val="007F5307"/>
    <w:rsid w:val="007F5597"/>
    <w:rsid w:val="007F58B4"/>
    <w:rsid w:val="007F5A39"/>
    <w:rsid w:val="007F69AD"/>
    <w:rsid w:val="007F7F36"/>
    <w:rsid w:val="00800021"/>
    <w:rsid w:val="008009E8"/>
    <w:rsid w:val="00800E9A"/>
    <w:rsid w:val="00800EA7"/>
    <w:rsid w:val="00801971"/>
    <w:rsid w:val="008027F0"/>
    <w:rsid w:val="00802ABA"/>
    <w:rsid w:val="00803794"/>
    <w:rsid w:val="00803BCA"/>
    <w:rsid w:val="00803DA5"/>
    <w:rsid w:val="00804553"/>
    <w:rsid w:val="00804FD3"/>
    <w:rsid w:val="00806386"/>
    <w:rsid w:val="008063E7"/>
    <w:rsid w:val="00806830"/>
    <w:rsid w:val="00806B85"/>
    <w:rsid w:val="00806FA6"/>
    <w:rsid w:val="008074D4"/>
    <w:rsid w:val="0081013A"/>
    <w:rsid w:val="0081089F"/>
    <w:rsid w:val="008109B8"/>
    <w:rsid w:val="00810E01"/>
    <w:rsid w:val="00810F1D"/>
    <w:rsid w:val="008112B7"/>
    <w:rsid w:val="0081149F"/>
    <w:rsid w:val="00812E46"/>
    <w:rsid w:val="00813191"/>
    <w:rsid w:val="00813896"/>
    <w:rsid w:val="0081395A"/>
    <w:rsid w:val="00813C8F"/>
    <w:rsid w:val="00813FFC"/>
    <w:rsid w:val="0081430A"/>
    <w:rsid w:val="00815ABE"/>
    <w:rsid w:val="00815CE3"/>
    <w:rsid w:val="00815DC8"/>
    <w:rsid w:val="008165CA"/>
    <w:rsid w:val="00817333"/>
    <w:rsid w:val="008178E9"/>
    <w:rsid w:val="008179EE"/>
    <w:rsid w:val="00821706"/>
    <w:rsid w:val="00821DFD"/>
    <w:rsid w:val="00821E25"/>
    <w:rsid w:val="0082236D"/>
    <w:rsid w:val="008232DD"/>
    <w:rsid w:val="0082404F"/>
    <w:rsid w:val="00824496"/>
    <w:rsid w:val="00824598"/>
    <w:rsid w:val="00824A5E"/>
    <w:rsid w:val="00824DDF"/>
    <w:rsid w:val="008259E0"/>
    <w:rsid w:val="00825D50"/>
    <w:rsid w:val="00826775"/>
    <w:rsid w:val="00826F83"/>
    <w:rsid w:val="00827626"/>
    <w:rsid w:val="00827804"/>
    <w:rsid w:val="008302A7"/>
    <w:rsid w:val="00831163"/>
    <w:rsid w:val="00831525"/>
    <w:rsid w:val="00831593"/>
    <w:rsid w:val="00831624"/>
    <w:rsid w:val="00831770"/>
    <w:rsid w:val="008326A4"/>
    <w:rsid w:val="008338A6"/>
    <w:rsid w:val="00833A8A"/>
    <w:rsid w:val="00833F6D"/>
    <w:rsid w:val="00834DCE"/>
    <w:rsid w:val="0083521B"/>
    <w:rsid w:val="008352E6"/>
    <w:rsid w:val="008359D5"/>
    <w:rsid w:val="00835A37"/>
    <w:rsid w:val="00835B2F"/>
    <w:rsid w:val="00835C91"/>
    <w:rsid w:val="00836FB8"/>
    <w:rsid w:val="008377E1"/>
    <w:rsid w:val="00837D06"/>
    <w:rsid w:val="00837E3E"/>
    <w:rsid w:val="00840F61"/>
    <w:rsid w:val="0084122F"/>
    <w:rsid w:val="00841619"/>
    <w:rsid w:val="0084195E"/>
    <w:rsid w:val="008428F3"/>
    <w:rsid w:val="00842C21"/>
    <w:rsid w:val="00842DBD"/>
    <w:rsid w:val="00843891"/>
    <w:rsid w:val="0084446A"/>
    <w:rsid w:val="0084466E"/>
    <w:rsid w:val="00844A6E"/>
    <w:rsid w:val="00844E3C"/>
    <w:rsid w:val="00845034"/>
    <w:rsid w:val="008451A2"/>
    <w:rsid w:val="00845BC1"/>
    <w:rsid w:val="00845F95"/>
    <w:rsid w:val="00847F98"/>
    <w:rsid w:val="00851201"/>
    <w:rsid w:val="00851489"/>
    <w:rsid w:val="008529AF"/>
    <w:rsid w:val="008529B3"/>
    <w:rsid w:val="00852C93"/>
    <w:rsid w:val="00853D09"/>
    <w:rsid w:val="00856E61"/>
    <w:rsid w:val="00857207"/>
    <w:rsid w:val="00857CA9"/>
    <w:rsid w:val="008613AA"/>
    <w:rsid w:val="008614D4"/>
    <w:rsid w:val="008615BD"/>
    <w:rsid w:val="008621B4"/>
    <w:rsid w:val="00862DDB"/>
    <w:rsid w:val="00862EB0"/>
    <w:rsid w:val="00862FDD"/>
    <w:rsid w:val="008639D1"/>
    <w:rsid w:val="00863AFF"/>
    <w:rsid w:val="0086420A"/>
    <w:rsid w:val="008659CF"/>
    <w:rsid w:val="00865A16"/>
    <w:rsid w:val="00865EA1"/>
    <w:rsid w:val="00866A90"/>
    <w:rsid w:val="00867788"/>
    <w:rsid w:val="00867AA0"/>
    <w:rsid w:val="0087135B"/>
    <w:rsid w:val="00871D62"/>
    <w:rsid w:val="008734BA"/>
    <w:rsid w:val="00873794"/>
    <w:rsid w:val="00873DDE"/>
    <w:rsid w:val="0087494B"/>
    <w:rsid w:val="0087496C"/>
    <w:rsid w:val="00875700"/>
    <w:rsid w:val="008760D3"/>
    <w:rsid w:val="00877EFC"/>
    <w:rsid w:val="0088054E"/>
    <w:rsid w:val="008806B0"/>
    <w:rsid w:val="00880A94"/>
    <w:rsid w:val="00881122"/>
    <w:rsid w:val="00882C41"/>
    <w:rsid w:val="00884F64"/>
    <w:rsid w:val="00885736"/>
    <w:rsid w:val="008859BD"/>
    <w:rsid w:val="00886B55"/>
    <w:rsid w:val="00887CD5"/>
    <w:rsid w:val="008908D8"/>
    <w:rsid w:val="00891104"/>
    <w:rsid w:val="008911E7"/>
    <w:rsid w:val="0089150A"/>
    <w:rsid w:val="0089189A"/>
    <w:rsid w:val="00892417"/>
    <w:rsid w:val="00892B90"/>
    <w:rsid w:val="0089352D"/>
    <w:rsid w:val="00894134"/>
    <w:rsid w:val="0089414C"/>
    <w:rsid w:val="00894176"/>
    <w:rsid w:val="008946F9"/>
    <w:rsid w:val="00894A1E"/>
    <w:rsid w:val="00894A82"/>
    <w:rsid w:val="00894B8C"/>
    <w:rsid w:val="00894DA9"/>
    <w:rsid w:val="00894E3F"/>
    <w:rsid w:val="00895129"/>
    <w:rsid w:val="008952D1"/>
    <w:rsid w:val="008959EE"/>
    <w:rsid w:val="00895E83"/>
    <w:rsid w:val="008963D3"/>
    <w:rsid w:val="00897297"/>
    <w:rsid w:val="008972EB"/>
    <w:rsid w:val="00897A98"/>
    <w:rsid w:val="008A0423"/>
    <w:rsid w:val="008A1948"/>
    <w:rsid w:val="008A2531"/>
    <w:rsid w:val="008A36F2"/>
    <w:rsid w:val="008A3CDD"/>
    <w:rsid w:val="008A3DC0"/>
    <w:rsid w:val="008A3F4A"/>
    <w:rsid w:val="008A4524"/>
    <w:rsid w:val="008A4D28"/>
    <w:rsid w:val="008A51CB"/>
    <w:rsid w:val="008A5578"/>
    <w:rsid w:val="008A614F"/>
    <w:rsid w:val="008A61F1"/>
    <w:rsid w:val="008A6403"/>
    <w:rsid w:val="008A7A12"/>
    <w:rsid w:val="008A7C4E"/>
    <w:rsid w:val="008B0144"/>
    <w:rsid w:val="008B020E"/>
    <w:rsid w:val="008B0B0B"/>
    <w:rsid w:val="008B0C69"/>
    <w:rsid w:val="008B1FA2"/>
    <w:rsid w:val="008B433E"/>
    <w:rsid w:val="008B4A93"/>
    <w:rsid w:val="008B5BFB"/>
    <w:rsid w:val="008B65F8"/>
    <w:rsid w:val="008B6D48"/>
    <w:rsid w:val="008B7250"/>
    <w:rsid w:val="008B7702"/>
    <w:rsid w:val="008B7AE1"/>
    <w:rsid w:val="008B7AFE"/>
    <w:rsid w:val="008B7B12"/>
    <w:rsid w:val="008B7EEA"/>
    <w:rsid w:val="008C0B69"/>
    <w:rsid w:val="008C11DA"/>
    <w:rsid w:val="008C1253"/>
    <w:rsid w:val="008C14B8"/>
    <w:rsid w:val="008C1753"/>
    <w:rsid w:val="008C1E16"/>
    <w:rsid w:val="008C25BE"/>
    <w:rsid w:val="008C27B7"/>
    <w:rsid w:val="008C2A6D"/>
    <w:rsid w:val="008C3B37"/>
    <w:rsid w:val="008C42E8"/>
    <w:rsid w:val="008C4886"/>
    <w:rsid w:val="008C4945"/>
    <w:rsid w:val="008C5CB8"/>
    <w:rsid w:val="008C5EFA"/>
    <w:rsid w:val="008C629F"/>
    <w:rsid w:val="008D0392"/>
    <w:rsid w:val="008D1167"/>
    <w:rsid w:val="008D26BD"/>
    <w:rsid w:val="008D2D10"/>
    <w:rsid w:val="008D309F"/>
    <w:rsid w:val="008D3D2B"/>
    <w:rsid w:val="008D40C2"/>
    <w:rsid w:val="008D4999"/>
    <w:rsid w:val="008D4F5D"/>
    <w:rsid w:val="008D56C2"/>
    <w:rsid w:val="008D57C7"/>
    <w:rsid w:val="008D585B"/>
    <w:rsid w:val="008D5C84"/>
    <w:rsid w:val="008D677D"/>
    <w:rsid w:val="008D6CCF"/>
    <w:rsid w:val="008D7A07"/>
    <w:rsid w:val="008D7D75"/>
    <w:rsid w:val="008E0139"/>
    <w:rsid w:val="008E03E4"/>
    <w:rsid w:val="008E0876"/>
    <w:rsid w:val="008E0BD9"/>
    <w:rsid w:val="008E1151"/>
    <w:rsid w:val="008E1236"/>
    <w:rsid w:val="008E14DB"/>
    <w:rsid w:val="008E16C1"/>
    <w:rsid w:val="008E1D51"/>
    <w:rsid w:val="008E2275"/>
    <w:rsid w:val="008E22BB"/>
    <w:rsid w:val="008E2B00"/>
    <w:rsid w:val="008E359A"/>
    <w:rsid w:val="008E3FF4"/>
    <w:rsid w:val="008E4527"/>
    <w:rsid w:val="008E4BF2"/>
    <w:rsid w:val="008E511D"/>
    <w:rsid w:val="008E5143"/>
    <w:rsid w:val="008E554A"/>
    <w:rsid w:val="008E56DD"/>
    <w:rsid w:val="008E5BF8"/>
    <w:rsid w:val="008E5FA9"/>
    <w:rsid w:val="008E6320"/>
    <w:rsid w:val="008E7503"/>
    <w:rsid w:val="008E7BCA"/>
    <w:rsid w:val="008F0F63"/>
    <w:rsid w:val="008F1595"/>
    <w:rsid w:val="008F1928"/>
    <w:rsid w:val="008F1AFB"/>
    <w:rsid w:val="008F207F"/>
    <w:rsid w:val="008F2F7C"/>
    <w:rsid w:val="008F36AC"/>
    <w:rsid w:val="008F389A"/>
    <w:rsid w:val="008F442A"/>
    <w:rsid w:val="008F4C83"/>
    <w:rsid w:val="008F4E72"/>
    <w:rsid w:val="008F59DE"/>
    <w:rsid w:val="008F5C21"/>
    <w:rsid w:val="008F60BC"/>
    <w:rsid w:val="008F6AFA"/>
    <w:rsid w:val="008F6CAA"/>
    <w:rsid w:val="008F6FCE"/>
    <w:rsid w:val="008F7251"/>
    <w:rsid w:val="008F753F"/>
    <w:rsid w:val="008F7902"/>
    <w:rsid w:val="008F7BFC"/>
    <w:rsid w:val="009007B6"/>
    <w:rsid w:val="009007E6"/>
    <w:rsid w:val="00900D4A"/>
    <w:rsid w:val="00900D52"/>
    <w:rsid w:val="00901559"/>
    <w:rsid w:val="00901A5B"/>
    <w:rsid w:val="00901C7B"/>
    <w:rsid w:val="0090212F"/>
    <w:rsid w:val="00904117"/>
    <w:rsid w:val="0090411C"/>
    <w:rsid w:val="00904F27"/>
    <w:rsid w:val="009059E8"/>
    <w:rsid w:val="00906924"/>
    <w:rsid w:val="009074A8"/>
    <w:rsid w:val="009100BD"/>
    <w:rsid w:val="00910866"/>
    <w:rsid w:val="00910A27"/>
    <w:rsid w:val="00911D6A"/>
    <w:rsid w:val="009133E9"/>
    <w:rsid w:val="009145D0"/>
    <w:rsid w:val="00914B10"/>
    <w:rsid w:val="00914C1D"/>
    <w:rsid w:val="00914E94"/>
    <w:rsid w:val="009154D3"/>
    <w:rsid w:val="00915CB8"/>
    <w:rsid w:val="00916002"/>
    <w:rsid w:val="009163C5"/>
    <w:rsid w:val="009168C0"/>
    <w:rsid w:val="00916CC4"/>
    <w:rsid w:val="00917228"/>
    <w:rsid w:val="00917C04"/>
    <w:rsid w:val="00917FFB"/>
    <w:rsid w:val="00920190"/>
    <w:rsid w:val="0092065C"/>
    <w:rsid w:val="00920866"/>
    <w:rsid w:val="0092097E"/>
    <w:rsid w:val="009212F0"/>
    <w:rsid w:val="00922033"/>
    <w:rsid w:val="00923BF0"/>
    <w:rsid w:val="00923D62"/>
    <w:rsid w:val="0092439D"/>
    <w:rsid w:val="0092447D"/>
    <w:rsid w:val="009244EC"/>
    <w:rsid w:val="009245A5"/>
    <w:rsid w:val="0092563D"/>
    <w:rsid w:val="00926E64"/>
    <w:rsid w:val="00926FEF"/>
    <w:rsid w:val="009273D4"/>
    <w:rsid w:val="00927EC2"/>
    <w:rsid w:val="009302FE"/>
    <w:rsid w:val="00930701"/>
    <w:rsid w:val="009311FB"/>
    <w:rsid w:val="00931C88"/>
    <w:rsid w:val="00932915"/>
    <w:rsid w:val="009329D4"/>
    <w:rsid w:val="00932CB9"/>
    <w:rsid w:val="00932EC6"/>
    <w:rsid w:val="00933244"/>
    <w:rsid w:val="00933D9F"/>
    <w:rsid w:val="009343CF"/>
    <w:rsid w:val="009343D6"/>
    <w:rsid w:val="0093462D"/>
    <w:rsid w:val="00934951"/>
    <w:rsid w:val="00935155"/>
    <w:rsid w:val="00935372"/>
    <w:rsid w:val="009353B8"/>
    <w:rsid w:val="0093574B"/>
    <w:rsid w:val="00935966"/>
    <w:rsid w:val="00936136"/>
    <w:rsid w:val="0093675E"/>
    <w:rsid w:val="009376E5"/>
    <w:rsid w:val="00937B6E"/>
    <w:rsid w:val="00937BA9"/>
    <w:rsid w:val="009400E9"/>
    <w:rsid w:val="009403F2"/>
    <w:rsid w:val="00940ED0"/>
    <w:rsid w:val="0094137A"/>
    <w:rsid w:val="00941E6E"/>
    <w:rsid w:val="00941ED3"/>
    <w:rsid w:val="00941EDE"/>
    <w:rsid w:val="009424C6"/>
    <w:rsid w:val="00942690"/>
    <w:rsid w:val="00942E84"/>
    <w:rsid w:val="00943442"/>
    <w:rsid w:val="009437D2"/>
    <w:rsid w:val="009438B3"/>
    <w:rsid w:val="00944640"/>
    <w:rsid w:val="00944D20"/>
    <w:rsid w:val="009462CA"/>
    <w:rsid w:val="00946633"/>
    <w:rsid w:val="0094690C"/>
    <w:rsid w:val="00946B70"/>
    <w:rsid w:val="00946F00"/>
    <w:rsid w:val="00947A16"/>
    <w:rsid w:val="009500D0"/>
    <w:rsid w:val="0095025C"/>
    <w:rsid w:val="00950F57"/>
    <w:rsid w:val="00951F71"/>
    <w:rsid w:val="009520CB"/>
    <w:rsid w:val="0095210A"/>
    <w:rsid w:val="009522D2"/>
    <w:rsid w:val="009522E3"/>
    <w:rsid w:val="009525F2"/>
    <w:rsid w:val="00952D04"/>
    <w:rsid w:val="009537DF"/>
    <w:rsid w:val="00953B5B"/>
    <w:rsid w:val="00954312"/>
    <w:rsid w:val="00954665"/>
    <w:rsid w:val="00954E1A"/>
    <w:rsid w:val="0095547E"/>
    <w:rsid w:val="00955B23"/>
    <w:rsid w:val="009563F2"/>
    <w:rsid w:val="0095690C"/>
    <w:rsid w:val="00957CDC"/>
    <w:rsid w:val="00961366"/>
    <w:rsid w:val="00961620"/>
    <w:rsid w:val="00962553"/>
    <w:rsid w:val="0096353E"/>
    <w:rsid w:val="0096373F"/>
    <w:rsid w:val="00963A89"/>
    <w:rsid w:val="009647E9"/>
    <w:rsid w:val="00964B43"/>
    <w:rsid w:val="00966069"/>
    <w:rsid w:val="009661D4"/>
    <w:rsid w:val="009665C5"/>
    <w:rsid w:val="00966F27"/>
    <w:rsid w:val="00967AAB"/>
    <w:rsid w:val="00967E11"/>
    <w:rsid w:val="00967F51"/>
    <w:rsid w:val="009710A3"/>
    <w:rsid w:val="009710C7"/>
    <w:rsid w:val="009714F6"/>
    <w:rsid w:val="00971601"/>
    <w:rsid w:val="00971755"/>
    <w:rsid w:val="00974A14"/>
    <w:rsid w:val="00975950"/>
    <w:rsid w:val="009762BB"/>
    <w:rsid w:val="0097677C"/>
    <w:rsid w:val="00976C6D"/>
    <w:rsid w:val="009777B4"/>
    <w:rsid w:val="00977B2B"/>
    <w:rsid w:val="00981644"/>
    <w:rsid w:val="00981736"/>
    <w:rsid w:val="009817A0"/>
    <w:rsid w:val="009819CE"/>
    <w:rsid w:val="00981BB0"/>
    <w:rsid w:val="0098292E"/>
    <w:rsid w:val="00982F5C"/>
    <w:rsid w:val="00983519"/>
    <w:rsid w:val="009841B6"/>
    <w:rsid w:val="00984343"/>
    <w:rsid w:val="009849A7"/>
    <w:rsid w:val="00984C1B"/>
    <w:rsid w:val="0098549F"/>
    <w:rsid w:val="009856DA"/>
    <w:rsid w:val="00985C14"/>
    <w:rsid w:val="00985CD2"/>
    <w:rsid w:val="0098643B"/>
    <w:rsid w:val="00986777"/>
    <w:rsid w:val="00986E86"/>
    <w:rsid w:val="00986EC0"/>
    <w:rsid w:val="009876BD"/>
    <w:rsid w:val="00987FF7"/>
    <w:rsid w:val="00990286"/>
    <w:rsid w:val="00990A34"/>
    <w:rsid w:val="00990E88"/>
    <w:rsid w:val="0099323E"/>
    <w:rsid w:val="009933B4"/>
    <w:rsid w:val="00993BBC"/>
    <w:rsid w:val="009942A9"/>
    <w:rsid w:val="00994DCB"/>
    <w:rsid w:val="00995668"/>
    <w:rsid w:val="00995C1F"/>
    <w:rsid w:val="00996B21"/>
    <w:rsid w:val="009971DE"/>
    <w:rsid w:val="00997581"/>
    <w:rsid w:val="00997CB4"/>
    <w:rsid w:val="009A0BAF"/>
    <w:rsid w:val="009A0D32"/>
    <w:rsid w:val="009A0F92"/>
    <w:rsid w:val="009A163C"/>
    <w:rsid w:val="009A19EE"/>
    <w:rsid w:val="009A26E8"/>
    <w:rsid w:val="009A281B"/>
    <w:rsid w:val="009A2855"/>
    <w:rsid w:val="009A2E9F"/>
    <w:rsid w:val="009A3105"/>
    <w:rsid w:val="009A319A"/>
    <w:rsid w:val="009A3938"/>
    <w:rsid w:val="009A3E09"/>
    <w:rsid w:val="009A405A"/>
    <w:rsid w:val="009A4323"/>
    <w:rsid w:val="009A438D"/>
    <w:rsid w:val="009A481A"/>
    <w:rsid w:val="009A487D"/>
    <w:rsid w:val="009A5263"/>
    <w:rsid w:val="009A5AAB"/>
    <w:rsid w:val="009A633A"/>
    <w:rsid w:val="009A69C1"/>
    <w:rsid w:val="009A6B27"/>
    <w:rsid w:val="009A6C6B"/>
    <w:rsid w:val="009A70B6"/>
    <w:rsid w:val="009A79DD"/>
    <w:rsid w:val="009A79F9"/>
    <w:rsid w:val="009B098A"/>
    <w:rsid w:val="009B0FF4"/>
    <w:rsid w:val="009B1702"/>
    <w:rsid w:val="009B2612"/>
    <w:rsid w:val="009B2E35"/>
    <w:rsid w:val="009B2FAE"/>
    <w:rsid w:val="009B3A6A"/>
    <w:rsid w:val="009B4809"/>
    <w:rsid w:val="009B5356"/>
    <w:rsid w:val="009B54B5"/>
    <w:rsid w:val="009B5A43"/>
    <w:rsid w:val="009B5FC9"/>
    <w:rsid w:val="009B67C7"/>
    <w:rsid w:val="009B74E8"/>
    <w:rsid w:val="009B7692"/>
    <w:rsid w:val="009B7F5B"/>
    <w:rsid w:val="009C011B"/>
    <w:rsid w:val="009C0374"/>
    <w:rsid w:val="009C07C2"/>
    <w:rsid w:val="009C179A"/>
    <w:rsid w:val="009C1D78"/>
    <w:rsid w:val="009C1EE6"/>
    <w:rsid w:val="009C26C8"/>
    <w:rsid w:val="009C27BB"/>
    <w:rsid w:val="009C2883"/>
    <w:rsid w:val="009C3637"/>
    <w:rsid w:val="009C379D"/>
    <w:rsid w:val="009C38EC"/>
    <w:rsid w:val="009C3C45"/>
    <w:rsid w:val="009C417C"/>
    <w:rsid w:val="009C4840"/>
    <w:rsid w:val="009C59AC"/>
    <w:rsid w:val="009C5BEB"/>
    <w:rsid w:val="009C64D9"/>
    <w:rsid w:val="009C7216"/>
    <w:rsid w:val="009C743D"/>
    <w:rsid w:val="009C7CEE"/>
    <w:rsid w:val="009D0169"/>
    <w:rsid w:val="009D03DB"/>
    <w:rsid w:val="009D108B"/>
    <w:rsid w:val="009D14FA"/>
    <w:rsid w:val="009D2DB1"/>
    <w:rsid w:val="009D41A2"/>
    <w:rsid w:val="009D4534"/>
    <w:rsid w:val="009D4569"/>
    <w:rsid w:val="009D4841"/>
    <w:rsid w:val="009D4D4C"/>
    <w:rsid w:val="009D53C9"/>
    <w:rsid w:val="009D55CE"/>
    <w:rsid w:val="009D5B79"/>
    <w:rsid w:val="009D5C14"/>
    <w:rsid w:val="009D60B9"/>
    <w:rsid w:val="009D63DC"/>
    <w:rsid w:val="009D6EF0"/>
    <w:rsid w:val="009D6FD7"/>
    <w:rsid w:val="009D795A"/>
    <w:rsid w:val="009D7C89"/>
    <w:rsid w:val="009E1AFB"/>
    <w:rsid w:val="009E2A19"/>
    <w:rsid w:val="009E2E9B"/>
    <w:rsid w:val="009E39EE"/>
    <w:rsid w:val="009E41C5"/>
    <w:rsid w:val="009E444D"/>
    <w:rsid w:val="009E4DB4"/>
    <w:rsid w:val="009E4F32"/>
    <w:rsid w:val="009E5284"/>
    <w:rsid w:val="009E60B5"/>
    <w:rsid w:val="009E6350"/>
    <w:rsid w:val="009E6A06"/>
    <w:rsid w:val="009E6DCC"/>
    <w:rsid w:val="009E7267"/>
    <w:rsid w:val="009E7895"/>
    <w:rsid w:val="009E7BC7"/>
    <w:rsid w:val="009F030D"/>
    <w:rsid w:val="009F074F"/>
    <w:rsid w:val="009F10E5"/>
    <w:rsid w:val="009F112E"/>
    <w:rsid w:val="009F1584"/>
    <w:rsid w:val="009F1BD2"/>
    <w:rsid w:val="009F1FB7"/>
    <w:rsid w:val="009F21A2"/>
    <w:rsid w:val="009F2BBD"/>
    <w:rsid w:val="009F3D86"/>
    <w:rsid w:val="009F46A4"/>
    <w:rsid w:val="009F4D85"/>
    <w:rsid w:val="009F4FD9"/>
    <w:rsid w:val="009F55FA"/>
    <w:rsid w:val="009F6434"/>
    <w:rsid w:val="009F653D"/>
    <w:rsid w:val="009F6D7C"/>
    <w:rsid w:val="009F6DD2"/>
    <w:rsid w:val="00A000C4"/>
    <w:rsid w:val="00A00DCB"/>
    <w:rsid w:val="00A027BA"/>
    <w:rsid w:val="00A0318D"/>
    <w:rsid w:val="00A0330D"/>
    <w:rsid w:val="00A035D0"/>
    <w:rsid w:val="00A0365E"/>
    <w:rsid w:val="00A037A6"/>
    <w:rsid w:val="00A03A28"/>
    <w:rsid w:val="00A044EB"/>
    <w:rsid w:val="00A0476D"/>
    <w:rsid w:val="00A0481E"/>
    <w:rsid w:val="00A04B28"/>
    <w:rsid w:val="00A056C8"/>
    <w:rsid w:val="00A0583A"/>
    <w:rsid w:val="00A063B2"/>
    <w:rsid w:val="00A06C5B"/>
    <w:rsid w:val="00A073E0"/>
    <w:rsid w:val="00A07813"/>
    <w:rsid w:val="00A1110A"/>
    <w:rsid w:val="00A11149"/>
    <w:rsid w:val="00A112D5"/>
    <w:rsid w:val="00A1142C"/>
    <w:rsid w:val="00A11B87"/>
    <w:rsid w:val="00A12414"/>
    <w:rsid w:val="00A1245B"/>
    <w:rsid w:val="00A12735"/>
    <w:rsid w:val="00A13A3E"/>
    <w:rsid w:val="00A13B0F"/>
    <w:rsid w:val="00A1417D"/>
    <w:rsid w:val="00A14402"/>
    <w:rsid w:val="00A14807"/>
    <w:rsid w:val="00A14866"/>
    <w:rsid w:val="00A14BDA"/>
    <w:rsid w:val="00A14C8C"/>
    <w:rsid w:val="00A155BF"/>
    <w:rsid w:val="00A1598C"/>
    <w:rsid w:val="00A15E8D"/>
    <w:rsid w:val="00A16D05"/>
    <w:rsid w:val="00A16E00"/>
    <w:rsid w:val="00A17403"/>
    <w:rsid w:val="00A17D54"/>
    <w:rsid w:val="00A20AFA"/>
    <w:rsid w:val="00A212BA"/>
    <w:rsid w:val="00A2234C"/>
    <w:rsid w:val="00A22966"/>
    <w:rsid w:val="00A22A57"/>
    <w:rsid w:val="00A24A9E"/>
    <w:rsid w:val="00A24AE2"/>
    <w:rsid w:val="00A24B14"/>
    <w:rsid w:val="00A24D7B"/>
    <w:rsid w:val="00A253F1"/>
    <w:rsid w:val="00A26355"/>
    <w:rsid w:val="00A26DED"/>
    <w:rsid w:val="00A27207"/>
    <w:rsid w:val="00A2733F"/>
    <w:rsid w:val="00A27B29"/>
    <w:rsid w:val="00A301E2"/>
    <w:rsid w:val="00A303CB"/>
    <w:rsid w:val="00A319B7"/>
    <w:rsid w:val="00A319C1"/>
    <w:rsid w:val="00A31F15"/>
    <w:rsid w:val="00A31F92"/>
    <w:rsid w:val="00A331FC"/>
    <w:rsid w:val="00A33BFF"/>
    <w:rsid w:val="00A34572"/>
    <w:rsid w:val="00A34588"/>
    <w:rsid w:val="00A34EC2"/>
    <w:rsid w:val="00A35CB5"/>
    <w:rsid w:val="00A360B7"/>
    <w:rsid w:val="00A37016"/>
    <w:rsid w:val="00A373F7"/>
    <w:rsid w:val="00A40871"/>
    <w:rsid w:val="00A414D7"/>
    <w:rsid w:val="00A41C69"/>
    <w:rsid w:val="00A43673"/>
    <w:rsid w:val="00A43A89"/>
    <w:rsid w:val="00A44078"/>
    <w:rsid w:val="00A446BF"/>
    <w:rsid w:val="00A44B8A"/>
    <w:rsid w:val="00A461CA"/>
    <w:rsid w:val="00A472C0"/>
    <w:rsid w:val="00A475E0"/>
    <w:rsid w:val="00A47E28"/>
    <w:rsid w:val="00A47E59"/>
    <w:rsid w:val="00A47F23"/>
    <w:rsid w:val="00A47F70"/>
    <w:rsid w:val="00A50407"/>
    <w:rsid w:val="00A505A7"/>
    <w:rsid w:val="00A5073F"/>
    <w:rsid w:val="00A50BD2"/>
    <w:rsid w:val="00A50F74"/>
    <w:rsid w:val="00A521DF"/>
    <w:rsid w:val="00A5255C"/>
    <w:rsid w:val="00A52A5B"/>
    <w:rsid w:val="00A53215"/>
    <w:rsid w:val="00A53CBC"/>
    <w:rsid w:val="00A53F75"/>
    <w:rsid w:val="00A54023"/>
    <w:rsid w:val="00A54244"/>
    <w:rsid w:val="00A54F9F"/>
    <w:rsid w:val="00A54FE4"/>
    <w:rsid w:val="00A553CA"/>
    <w:rsid w:val="00A55DD9"/>
    <w:rsid w:val="00A56AA8"/>
    <w:rsid w:val="00A56ED5"/>
    <w:rsid w:val="00A57139"/>
    <w:rsid w:val="00A57172"/>
    <w:rsid w:val="00A60315"/>
    <w:rsid w:val="00A60D06"/>
    <w:rsid w:val="00A624BC"/>
    <w:rsid w:val="00A63FB7"/>
    <w:rsid w:val="00A64E99"/>
    <w:rsid w:val="00A67599"/>
    <w:rsid w:val="00A71025"/>
    <w:rsid w:val="00A72384"/>
    <w:rsid w:val="00A72393"/>
    <w:rsid w:val="00A724B0"/>
    <w:rsid w:val="00A724D5"/>
    <w:rsid w:val="00A726E5"/>
    <w:rsid w:val="00A736CB"/>
    <w:rsid w:val="00A744E6"/>
    <w:rsid w:val="00A751F1"/>
    <w:rsid w:val="00A75749"/>
    <w:rsid w:val="00A76F49"/>
    <w:rsid w:val="00A8072E"/>
    <w:rsid w:val="00A812E5"/>
    <w:rsid w:val="00A81FE5"/>
    <w:rsid w:val="00A82048"/>
    <w:rsid w:val="00A82550"/>
    <w:rsid w:val="00A8308D"/>
    <w:rsid w:val="00A8344C"/>
    <w:rsid w:val="00A836AB"/>
    <w:rsid w:val="00A83AD9"/>
    <w:rsid w:val="00A840D8"/>
    <w:rsid w:val="00A8463F"/>
    <w:rsid w:val="00A859EE"/>
    <w:rsid w:val="00A860A4"/>
    <w:rsid w:val="00A8620D"/>
    <w:rsid w:val="00A86B16"/>
    <w:rsid w:val="00A86E6C"/>
    <w:rsid w:val="00A86F7F"/>
    <w:rsid w:val="00A872BF"/>
    <w:rsid w:val="00A87945"/>
    <w:rsid w:val="00A87C62"/>
    <w:rsid w:val="00A87D75"/>
    <w:rsid w:val="00A9015C"/>
    <w:rsid w:val="00A90398"/>
    <w:rsid w:val="00A904E9"/>
    <w:rsid w:val="00A90A59"/>
    <w:rsid w:val="00A91524"/>
    <w:rsid w:val="00A91763"/>
    <w:rsid w:val="00A92747"/>
    <w:rsid w:val="00A92787"/>
    <w:rsid w:val="00A92EE2"/>
    <w:rsid w:val="00A93FED"/>
    <w:rsid w:val="00A9437A"/>
    <w:rsid w:val="00A94699"/>
    <w:rsid w:val="00A947CD"/>
    <w:rsid w:val="00A948B2"/>
    <w:rsid w:val="00A94DE3"/>
    <w:rsid w:val="00A964BC"/>
    <w:rsid w:val="00A96949"/>
    <w:rsid w:val="00A96AF5"/>
    <w:rsid w:val="00A96CB3"/>
    <w:rsid w:val="00AA07E9"/>
    <w:rsid w:val="00AA0B97"/>
    <w:rsid w:val="00AA1EB1"/>
    <w:rsid w:val="00AA1EE6"/>
    <w:rsid w:val="00AA2107"/>
    <w:rsid w:val="00AA29B4"/>
    <w:rsid w:val="00AA2B69"/>
    <w:rsid w:val="00AA3659"/>
    <w:rsid w:val="00AA4624"/>
    <w:rsid w:val="00AA4C27"/>
    <w:rsid w:val="00AA4DD5"/>
    <w:rsid w:val="00AA5A89"/>
    <w:rsid w:val="00AA6BF3"/>
    <w:rsid w:val="00AA6E64"/>
    <w:rsid w:val="00AA72DE"/>
    <w:rsid w:val="00AA74A8"/>
    <w:rsid w:val="00AB01C2"/>
    <w:rsid w:val="00AB0B3A"/>
    <w:rsid w:val="00AB0F00"/>
    <w:rsid w:val="00AB1510"/>
    <w:rsid w:val="00AB27A8"/>
    <w:rsid w:val="00AB2FD7"/>
    <w:rsid w:val="00AB3B8D"/>
    <w:rsid w:val="00AB4789"/>
    <w:rsid w:val="00AB5394"/>
    <w:rsid w:val="00AB7494"/>
    <w:rsid w:val="00AB7EA5"/>
    <w:rsid w:val="00AC0D2D"/>
    <w:rsid w:val="00AC255A"/>
    <w:rsid w:val="00AC2F8A"/>
    <w:rsid w:val="00AC316C"/>
    <w:rsid w:val="00AC3613"/>
    <w:rsid w:val="00AC382D"/>
    <w:rsid w:val="00AC47A7"/>
    <w:rsid w:val="00AC4B25"/>
    <w:rsid w:val="00AC51B6"/>
    <w:rsid w:val="00AC5669"/>
    <w:rsid w:val="00AC5FED"/>
    <w:rsid w:val="00AC6012"/>
    <w:rsid w:val="00AC6D65"/>
    <w:rsid w:val="00AC6EBD"/>
    <w:rsid w:val="00AD0041"/>
    <w:rsid w:val="00AD127B"/>
    <w:rsid w:val="00AD175A"/>
    <w:rsid w:val="00AD305F"/>
    <w:rsid w:val="00AD30A2"/>
    <w:rsid w:val="00AD3402"/>
    <w:rsid w:val="00AD3ECD"/>
    <w:rsid w:val="00AD4BBD"/>
    <w:rsid w:val="00AD4C8F"/>
    <w:rsid w:val="00AD55E7"/>
    <w:rsid w:val="00AD5FF9"/>
    <w:rsid w:val="00AD67DB"/>
    <w:rsid w:val="00AD6FC9"/>
    <w:rsid w:val="00AD75F2"/>
    <w:rsid w:val="00AD79FB"/>
    <w:rsid w:val="00AE0575"/>
    <w:rsid w:val="00AE0FAD"/>
    <w:rsid w:val="00AE10BF"/>
    <w:rsid w:val="00AE2A8A"/>
    <w:rsid w:val="00AE4A7E"/>
    <w:rsid w:val="00AE5922"/>
    <w:rsid w:val="00AE5A91"/>
    <w:rsid w:val="00AE5D6B"/>
    <w:rsid w:val="00AE5FD4"/>
    <w:rsid w:val="00AE6F62"/>
    <w:rsid w:val="00AE7387"/>
    <w:rsid w:val="00AE739C"/>
    <w:rsid w:val="00AE74C7"/>
    <w:rsid w:val="00AE77C9"/>
    <w:rsid w:val="00AE7813"/>
    <w:rsid w:val="00AE7B5B"/>
    <w:rsid w:val="00AF162D"/>
    <w:rsid w:val="00AF1C3E"/>
    <w:rsid w:val="00AF22CF"/>
    <w:rsid w:val="00AF23F1"/>
    <w:rsid w:val="00AF277A"/>
    <w:rsid w:val="00AF27F5"/>
    <w:rsid w:val="00AF2DD3"/>
    <w:rsid w:val="00AF2EC6"/>
    <w:rsid w:val="00AF3478"/>
    <w:rsid w:val="00AF3544"/>
    <w:rsid w:val="00AF3859"/>
    <w:rsid w:val="00AF40E0"/>
    <w:rsid w:val="00AF44DF"/>
    <w:rsid w:val="00AF4ABC"/>
    <w:rsid w:val="00AF4DFA"/>
    <w:rsid w:val="00AF54BD"/>
    <w:rsid w:val="00AF5FB8"/>
    <w:rsid w:val="00AF6624"/>
    <w:rsid w:val="00AF6A63"/>
    <w:rsid w:val="00B00541"/>
    <w:rsid w:val="00B00AFC"/>
    <w:rsid w:val="00B015FD"/>
    <w:rsid w:val="00B01919"/>
    <w:rsid w:val="00B024D7"/>
    <w:rsid w:val="00B025A6"/>
    <w:rsid w:val="00B036E9"/>
    <w:rsid w:val="00B03D67"/>
    <w:rsid w:val="00B04B01"/>
    <w:rsid w:val="00B05409"/>
    <w:rsid w:val="00B054DA"/>
    <w:rsid w:val="00B05840"/>
    <w:rsid w:val="00B05F49"/>
    <w:rsid w:val="00B06D0E"/>
    <w:rsid w:val="00B07072"/>
    <w:rsid w:val="00B1122E"/>
    <w:rsid w:val="00B12541"/>
    <w:rsid w:val="00B12BB1"/>
    <w:rsid w:val="00B130B2"/>
    <w:rsid w:val="00B13B80"/>
    <w:rsid w:val="00B1488F"/>
    <w:rsid w:val="00B14E71"/>
    <w:rsid w:val="00B16420"/>
    <w:rsid w:val="00B16C88"/>
    <w:rsid w:val="00B16D81"/>
    <w:rsid w:val="00B16F74"/>
    <w:rsid w:val="00B17146"/>
    <w:rsid w:val="00B20680"/>
    <w:rsid w:val="00B210EC"/>
    <w:rsid w:val="00B211B0"/>
    <w:rsid w:val="00B2145A"/>
    <w:rsid w:val="00B21B4B"/>
    <w:rsid w:val="00B224CD"/>
    <w:rsid w:val="00B227A2"/>
    <w:rsid w:val="00B22A48"/>
    <w:rsid w:val="00B23501"/>
    <w:rsid w:val="00B23563"/>
    <w:rsid w:val="00B23B50"/>
    <w:rsid w:val="00B2429F"/>
    <w:rsid w:val="00B2617D"/>
    <w:rsid w:val="00B26451"/>
    <w:rsid w:val="00B264DB"/>
    <w:rsid w:val="00B2682E"/>
    <w:rsid w:val="00B26E70"/>
    <w:rsid w:val="00B30406"/>
    <w:rsid w:val="00B30521"/>
    <w:rsid w:val="00B314D2"/>
    <w:rsid w:val="00B3185E"/>
    <w:rsid w:val="00B321D9"/>
    <w:rsid w:val="00B32360"/>
    <w:rsid w:val="00B32DD0"/>
    <w:rsid w:val="00B3376C"/>
    <w:rsid w:val="00B342A3"/>
    <w:rsid w:val="00B34532"/>
    <w:rsid w:val="00B34674"/>
    <w:rsid w:val="00B34CC0"/>
    <w:rsid w:val="00B35436"/>
    <w:rsid w:val="00B35570"/>
    <w:rsid w:val="00B3558F"/>
    <w:rsid w:val="00B36008"/>
    <w:rsid w:val="00B36DE2"/>
    <w:rsid w:val="00B36E09"/>
    <w:rsid w:val="00B3782F"/>
    <w:rsid w:val="00B400E3"/>
    <w:rsid w:val="00B40278"/>
    <w:rsid w:val="00B40588"/>
    <w:rsid w:val="00B40BB1"/>
    <w:rsid w:val="00B41231"/>
    <w:rsid w:val="00B4137E"/>
    <w:rsid w:val="00B42A49"/>
    <w:rsid w:val="00B42F40"/>
    <w:rsid w:val="00B441FF"/>
    <w:rsid w:val="00B443EC"/>
    <w:rsid w:val="00B44CDB"/>
    <w:rsid w:val="00B4505F"/>
    <w:rsid w:val="00B4543F"/>
    <w:rsid w:val="00B4553D"/>
    <w:rsid w:val="00B45F25"/>
    <w:rsid w:val="00B460F0"/>
    <w:rsid w:val="00B46572"/>
    <w:rsid w:val="00B469B4"/>
    <w:rsid w:val="00B46BF7"/>
    <w:rsid w:val="00B46DB3"/>
    <w:rsid w:val="00B46EB7"/>
    <w:rsid w:val="00B46F21"/>
    <w:rsid w:val="00B476C3"/>
    <w:rsid w:val="00B479EF"/>
    <w:rsid w:val="00B47FCC"/>
    <w:rsid w:val="00B504D6"/>
    <w:rsid w:val="00B50590"/>
    <w:rsid w:val="00B50B76"/>
    <w:rsid w:val="00B52513"/>
    <w:rsid w:val="00B53B4D"/>
    <w:rsid w:val="00B5421C"/>
    <w:rsid w:val="00B54C44"/>
    <w:rsid w:val="00B54F8C"/>
    <w:rsid w:val="00B5501E"/>
    <w:rsid w:val="00B56E82"/>
    <w:rsid w:val="00B572A8"/>
    <w:rsid w:val="00B573B2"/>
    <w:rsid w:val="00B57FA6"/>
    <w:rsid w:val="00B57FF8"/>
    <w:rsid w:val="00B60105"/>
    <w:rsid w:val="00B60A73"/>
    <w:rsid w:val="00B60E2F"/>
    <w:rsid w:val="00B6122F"/>
    <w:rsid w:val="00B618BA"/>
    <w:rsid w:val="00B62226"/>
    <w:rsid w:val="00B62318"/>
    <w:rsid w:val="00B625B6"/>
    <w:rsid w:val="00B62B9E"/>
    <w:rsid w:val="00B63051"/>
    <w:rsid w:val="00B6329F"/>
    <w:rsid w:val="00B6338B"/>
    <w:rsid w:val="00B63578"/>
    <w:rsid w:val="00B640AF"/>
    <w:rsid w:val="00B64894"/>
    <w:rsid w:val="00B64DB2"/>
    <w:rsid w:val="00B653E5"/>
    <w:rsid w:val="00B654C4"/>
    <w:rsid w:val="00B6570F"/>
    <w:rsid w:val="00B6592B"/>
    <w:rsid w:val="00B65F8D"/>
    <w:rsid w:val="00B662AE"/>
    <w:rsid w:val="00B70363"/>
    <w:rsid w:val="00B708B9"/>
    <w:rsid w:val="00B70DB3"/>
    <w:rsid w:val="00B71E31"/>
    <w:rsid w:val="00B72020"/>
    <w:rsid w:val="00B720AF"/>
    <w:rsid w:val="00B728DF"/>
    <w:rsid w:val="00B73085"/>
    <w:rsid w:val="00B73C99"/>
    <w:rsid w:val="00B74841"/>
    <w:rsid w:val="00B74ED4"/>
    <w:rsid w:val="00B7515D"/>
    <w:rsid w:val="00B75E33"/>
    <w:rsid w:val="00B75FA0"/>
    <w:rsid w:val="00B767C8"/>
    <w:rsid w:val="00B767DD"/>
    <w:rsid w:val="00B7720B"/>
    <w:rsid w:val="00B77403"/>
    <w:rsid w:val="00B7757B"/>
    <w:rsid w:val="00B77A1C"/>
    <w:rsid w:val="00B77AEB"/>
    <w:rsid w:val="00B77E4E"/>
    <w:rsid w:val="00B803C0"/>
    <w:rsid w:val="00B80E04"/>
    <w:rsid w:val="00B80ECA"/>
    <w:rsid w:val="00B819A2"/>
    <w:rsid w:val="00B81D63"/>
    <w:rsid w:val="00B81E33"/>
    <w:rsid w:val="00B826D3"/>
    <w:rsid w:val="00B82E4B"/>
    <w:rsid w:val="00B830F6"/>
    <w:rsid w:val="00B8406B"/>
    <w:rsid w:val="00B84503"/>
    <w:rsid w:val="00B84527"/>
    <w:rsid w:val="00B84A61"/>
    <w:rsid w:val="00B85752"/>
    <w:rsid w:val="00B86144"/>
    <w:rsid w:val="00B869D7"/>
    <w:rsid w:val="00B86FE3"/>
    <w:rsid w:val="00B877EB"/>
    <w:rsid w:val="00B900DD"/>
    <w:rsid w:val="00B9047A"/>
    <w:rsid w:val="00B905E7"/>
    <w:rsid w:val="00B916EE"/>
    <w:rsid w:val="00B9188F"/>
    <w:rsid w:val="00B92363"/>
    <w:rsid w:val="00B92524"/>
    <w:rsid w:val="00B92C4F"/>
    <w:rsid w:val="00B932B6"/>
    <w:rsid w:val="00B933A3"/>
    <w:rsid w:val="00B934B2"/>
    <w:rsid w:val="00B93A3E"/>
    <w:rsid w:val="00B9411B"/>
    <w:rsid w:val="00B950EB"/>
    <w:rsid w:val="00B954B0"/>
    <w:rsid w:val="00B95F28"/>
    <w:rsid w:val="00B9661B"/>
    <w:rsid w:val="00B971F5"/>
    <w:rsid w:val="00B97444"/>
    <w:rsid w:val="00B97458"/>
    <w:rsid w:val="00B977FE"/>
    <w:rsid w:val="00B97B61"/>
    <w:rsid w:val="00BA0DF3"/>
    <w:rsid w:val="00BA1783"/>
    <w:rsid w:val="00BA17AA"/>
    <w:rsid w:val="00BA1A00"/>
    <w:rsid w:val="00BA23F8"/>
    <w:rsid w:val="00BA243A"/>
    <w:rsid w:val="00BA287F"/>
    <w:rsid w:val="00BA295B"/>
    <w:rsid w:val="00BA2DEE"/>
    <w:rsid w:val="00BA3ADD"/>
    <w:rsid w:val="00BA402B"/>
    <w:rsid w:val="00BA4088"/>
    <w:rsid w:val="00BA4922"/>
    <w:rsid w:val="00BA5AA8"/>
    <w:rsid w:val="00BA5E05"/>
    <w:rsid w:val="00BA5E6F"/>
    <w:rsid w:val="00BA6CDB"/>
    <w:rsid w:val="00BA7B7C"/>
    <w:rsid w:val="00BA7D64"/>
    <w:rsid w:val="00BB0040"/>
    <w:rsid w:val="00BB0296"/>
    <w:rsid w:val="00BB04FF"/>
    <w:rsid w:val="00BB0FCB"/>
    <w:rsid w:val="00BB279F"/>
    <w:rsid w:val="00BB316F"/>
    <w:rsid w:val="00BB35A4"/>
    <w:rsid w:val="00BB3F45"/>
    <w:rsid w:val="00BB4458"/>
    <w:rsid w:val="00BB4D50"/>
    <w:rsid w:val="00BB4EBC"/>
    <w:rsid w:val="00BB53FA"/>
    <w:rsid w:val="00BB72AD"/>
    <w:rsid w:val="00BB7541"/>
    <w:rsid w:val="00BB76CD"/>
    <w:rsid w:val="00BC05C6"/>
    <w:rsid w:val="00BC07F3"/>
    <w:rsid w:val="00BC0A2C"/>
    <w:rsid w:val="00BC0B40"/>
    <w:rsid w:val="00BC101C"/>
    <w:rsid w:val="00BC12E8"/>
    <w:rsid w:val="00BC2D80"/>
    <w:rsid w:val="00BC2EB6"/>
    <w:rsid w:val="00BC3769"/>
    <w:rsid w:val="00BC42E8"/>
    <w:rsid w:val="00BC44C7"/>
    <w:rsid w:val="00BC4AC0"/>
    <w:rsid w:val="00BC4DDF"/>
    <w:rsid w:val="00BC5383"/>
    <w:rsid w:val="00BC5B14"/>
    <w:rsid w:val="00BC6E35"/>
    <w:rsid w:val="00BC754C"/>
    <w:rsid w:val="00BD192F"/>
    <w:rsid w:val="00BD1AD1"/>
    <w:rsid w:val="00BD1C1B"/>
    <w:rsid w:val="00BD1DB0"/>
    <w:rsid w:val="00BD1F0F"/>
    <w:rsid w:val="00BD252F"/>
    <w:rsid w:val="00BD2628"/>
    <w:rsid w:val="00BD279E"/>
    <w:rsid w:val="00BD2DE3"/>
    <w:rsid w:val="00BD2EF0"/>
    <w:rsid w:val="00BD3009"/>
    <w:rsid w:val="00BD3964"/>
    <w:rsid w:val="00BD3A66"/>
    <w:rsid w:val="00BD4343"/>
    <w:rsid w:val="00BD4598"/>
    <w:rsid w:val="00BD5935"/>
    <w:rsid w:val="00BD5B11"/>
    <w:rsid w:val="00BD604D"/>
    <w:rsid w:val="00BD672C"/>
    <w:rsid w:val="00BD76C5"/>
    <w:rsid w:val="00BD7B56"/>
    <w:rsid w:val="00BE09BD"/>
    <w:rsid w:val="00BE0A28"/>
    <w:rsid w:val="00BE2880"/>
    <w:rsid w:val="00BE2DBB"/>
    <w:rsid w:val="00BE2E0B"/>
    <w:rsid w:val="00BE2FCA"/>
    <w:rsid w:val="00BE30BF"/>
    <w:rsid w:val="00BE33F7"/>
    <w:rsid w:val="00BE3BEA"/>
    <w:rsid w:val="00BE3D95"/>
    <w:rsid w:val="00BE46A5"/>
    <w:rsid w:val="00BE501C"/>
    <w:rsid w:val="00BE564C"/>
    <w:rsid w:val="00BE6141"/>
    <w:rsid w:val="00BE6657"/>
    <w:rsid w:val="00BE6F96"/>
    <w:rsid w:val="00BE73C6"/>
    <w:rsid w:val="00BF0042"/>
    <w:rsid w:val="00BF0159"/>
    <w:rsid w:val="00BF0C35"/>
    <w:rsid w:val="00BF1EF2"/>
    <w:rsid w:val="00BF2C9A"/>
    <w:rsid w:val="00BF3D41"/>
    <w:rsid w:val="00BF4AA7"/>
    <w:rsid w:val="00BF5564"/>
    <w:rsid w:val="00BF59FB"/>
    <w:rsid w:val="00BF7538"/>
    <w:rsid w:val="00BF7E80"/>
    <w:rsid w:val="00BF7E84"/>
    <w:rsid w:val="00C009F2"/>
    <w:rsid w:val="00C023F2"/>
    <w:rsid w:val="00C02BDF"/>
    <w:rsid w:val="00C03AC8"/>
    <w:rsid w:val="00C03EA7"/>
    <w:rsid w:val="00C045B6"/>
    <w:rsid w:val="00C04818"/>
    <w:rsid w:val="00C049F2"/>
    <w:rsid w:val="00C05D05"/>
    <w:rsid w:val="00C06059"/>
    <w:rsid w:val="00C07901"/>
    <w:rsid w:val="00C104B8"/>
    <w:rsid w:val="00C1086E"/>
    <w:rsid w:val="00C10B5D"/>
    <w:rsid w:val="00C10B80"/>
    <w:rsid w:val="00C11461"/>
    <w:rsid w:val="00C12F66"/>
    <w:rsid w:val="00C13E5C"/>
    <w:rsid w:val="00C147E6"/>
    <w:rsid w:val="00C14800"/>
    <w:rsid w:val="00C15248"/>
    <w:rsid w:val="00C15462"/>
    <w:rsid w:val="00C15664"/>
    <w:rsid w:val="00C16213"/>
    <w:rsid w:val="00C1627F"/>
    <w:rsid w:val="00C16DB0"/>
    <w:rsid w:val="00C172D1"/>
    <w:rsid w:val="00C17668"/>
    <w:rsid w:val="00C20318"/>
    <w:rsid w:val="00C204AF"/>
    <w:rsid w:val="00C21A2D"/>
    <w:rsid w:val="00C21E92"/>
    <w:rsid w:val="00C2366F"/>
    <w:rsid w:val="00C245F0"/>
    <w:rsid w:val="00C24B00"/>
    <w:rsid w:val="00C24C6C"/>
    <w:rsid w:val="00C2546C"/>
    <w:rsid w:val="00C256BE"/>
    <w:rsid w:val="00C25E7D"/>
    <w:rsid w:val="00C2606C"/>
    <w:rsid w:val="00C268E5"/>
    <w:rsid w:val="00C26AB3"/>
    <w:rsid w:val="00C26F7A"/>
    <w:rsid w:val="00C274C2"/>
    <w:rsid w:val="00C27723"/>
    <w:rsid w:val="00C302B8"/>
    <w:rsid w:val="00C303D7"/>
    <w:rsid w:val="00C304DF"/>
    <w:rsid w:val="00C308BC"/>
    <w:rsid w:val="00C31472"/>
    <w:rsid w:val="00C31B9E"/>
    <w:rsid w:val="00C3303E"/>
    <w:rsid w:val="00C33153"/>
    <w:rsid w:val="00C332AC"/>
    <w:rsid w:val="00C3358B"/>
    <w:rsid w:val="00C33C21"/>
    <w:rsid w:val="00C34599"/>
    <w:rsid w:val="00C34619"/>
    <w:rsid w:val="00C3495F"/>
    <w:rsid w:val="00C34AC8"/>
    <w:rsid w:val="00C34C2B"/>
    <w:rsid w:val="00C34E5A"/>
    <w:rsid w:val="00C34F39"/>
    <w:rsid w:val="00C3697E"/>
    <w:rsid w:val="00C37D43"/>
    <w:rsid w:val="00C37F67"/>
    <w:rsid w:val="00C4041C"/>
    <w:rsid w:val="00C40866"/>
    <w:rsid w:val="00C40CB0"/>
    <w:rsid w:val="00C41B66"/>
    <w:rsid w:val="00C42202"/>
    <w:rsid w:val="00C423F4"/>
    <w:rsid w:val="00C42A75"/>
    <w:rsid w:val="00C42C4E"/>
    <w:rsid w:val="00C42E55"/>
    <w:rsid w:val="00C42F6D"/>
    <w:rsid w:val="00C433E3"/>
    <w:rsid w:val="00C434EA"/>
    <w:rsid w:val="00C436D0"/>
    <w:rsid w:val="00C44CB6"/>
    <w:rsid w:val="00C45337"/>
    <w:rsid w:val="00C45B46"/>
    <w:rsid w:val="00C45B74"/>
    <w:rsid w:val="00C46667"/>
    <w:rsid w:val="00C467F0"/>
    <w:rsid w:val="00C46E72"/>
    <w:rsid w:val="00C46ED6"/>
    <w:rsid w:val="00C47054"/>
    <w:rsid w:val="00C470D1"/>
    <w:rsid w:val="00C473FE"/>
    <w:rsid w:val="00C475F4"/>
    <w:rsid w:val="00C47746"/>
    <w:rsid w:val="00C4793C"/>
    <w:rsid w:val="00C50011"/>
    <w:rsid w:val="00C50E25"/>
    <w:rsid w:val="00C51134"/>
    <w:rsid w:val="00C514AD"/>
    <w:rsid w:val="00C51946"/>
    <w:rsid w:val="00C51E7B"/>
    <w:rsid w:val="00C541B6"/>
    <w:rsid w:val="00C54698"/>
    <w:rsid w:val="00C549D3"/>
    <w:rsid w:val="00C55125"/>
    <w:rsid w:val="00C55902"/>
    <w:rsid w:val="00C5598B"/>
    <w:rsid w:val="00C559B8"/>
    <w:rsid w:val="00C55D5E"/>
    <w:rsid w:val="00C55FE7"/>
    <w:rsid w:val="00C56DD6"/>
    <w:rsid w:val="00C57E0C"/>
    <w:rsid w:val="00C614C7"/>
    <w:rsid w:val="00C616B5"/>
    <w:rsid w:val="00C62306"/>
    <w:rsid w:val="00C624C6"/>
    <w:rsid w:val="00C628F1"/>
    <w:rsid w:val="00C62FE2"/>
    <w:rsid w:val="00C62FF6"/>
    <w:rsid w:val="00C63232"/>
    <w:rsid w:val="00C6365D"/>
    <w:rsid w:val="00C63B0F"/>
    <w:rsid w:val="00C64546"/>
    <w:rsid w:val="00C64CB7"/>
    <w:rsid w:val="00C6516F"/>
    <w:rsid w:val="00C657BA"/>
    <w:rsid w:val="00C65F8B"/>
    <w:rsid w:val="00C66E20"/>
    <w:rsid w:val="00C672C6"/>
    <w:rsid w:val="00C67BA1"/>
    <w:rsid w:val="00C70A75"/>
    <w:rsid w:val="00C71FB9"/>
    <w:rsid w:val="00C72150"/>
    <w:rsid w:val="00C7263E"/>
    <w:rsid w:val="00C72948"/>
    <w:rsid w:val="00C72C1E"/>
    <w:rsid w:val="00C74458"/>
    <w:rsid w:val="00C74C4D"/>
    <w:rsid w:val="00C75579"/>
    <w:rsid w:val="00C760C3"/>
    <w:rsid w:val="00C765DC"/>
    <w:rsid w:val="00C77327"/>
    <w:rsid w:val="00C77E60"/>
    <w:rsid w:val="00C81C02"/>
    <w:rsid w:val="00C822FD"/>
    <w:rsid w:val="00C82DC0"/>
    <w:rsid w:val="00C830EC"/>
    <w:rsid w:val="00C8311C"/>
    <w:rsid w:val="00C84222"/>
    <w:rsid w:val="00C85785"/>
    <w:rsid w:val="00C85C3A"/>
    <w:rsid w:val="00C85F16"/>
    <w:rsid w:val="00C8620D"/>
    <w:rsid w:val="00C86326"/>
    <w:rsid w:val="00C86B49"/>
    <w:rsid w:val="00C8720D"/>
    <w:rsid w:val="00C87458"/>
    <w:rsid w:val="00C8763A"/>
    <w:rsid w:val="00C876CD"/>
    <w:rsid w:val="00C87D21"/>
    <w:rsid w:val="00C87FB6"/>
    <w:rsid w:val="00C91232"/>
    <w:rsid w:val="00C91A06"/>
    <w:rsid w:val="00C92B63"/>
    <w:rsid w:val="00C93A43"/>
    <w:rsid w:val="00C9484D"/>
    <w:rsid w:val="00C94B97"/>
    <w:rsid w:val="00C94DA9"/>
    <w:rsid w:val="00C95C1D"/>
    <w:rsid w:val="00C95F8B"/>
    <w:rsid w:val="00C96619"/>
    <w:rsid w:val="00C9687E"/>
    <w:rsid w:val="00C96D61"/>
    <w:rsid w:val="00C96D85"/>
    <w:rsid w:val="00C96FD7"/>
    <w:rsid w:val="00C97630"/>
    <w:rsid w:val="00C97FC9"/>
    <w:rsid w:val="00CA00C3"/>
    <w:rsid w:val="00CA1F02"/>
    <w:rsid w:val="00CA2EE5"/>
    <w:rsid w:val="00CA2EF6"/>
    <w:rsid w:val="00CA30C5"/>
    <w:rsid w:val="00CA3490"/>
    <w:rsid w:val="00CA434B"/>
    <w:rsid w:val="00CA4574"/>
    <w:rsid w:val="00CA5185"/>
    <w:rsid w:val="00CA6BFD"/>
    <w:rsid w:val="00CA7FAB"/>
    <w:rsid w:val="00CB0888"/>
    <w:rsid w:val="00CB09A3"/>
    <w:rsid w:val="00CB0A9A"/>
    <w:rsid w:val="00CB11D8"/>
    <w:rsid w:val="00CB15D4"/>
    <w:rsid w:val="00CB3047"/>
    <w:rsid w:val="00CB38CB"/>
    <w:rsid w:val="00CB5D9B"/>
    <w:rsid w:val="00CB6BCA"/>
    <w:rsid w:val="00CB6BEE"/>
    <w:rsid w:val="00CB76A1"/>
    <w:rsid w:val="00CB7992"/>
    <w:rsid w:val="00CC10CA"/>
    <w:rsid w:val="00CC14AA"/>
    <w:rsid w:val="00CC14E5"/>
    <w:rsid w:val="00CC1669"/>
    <w:rsid w:val="00CC26C1"/>
    <w:rsid w:val="00CC3097"/>
    <w:rsid w:val="00CC3778"/>
    <w:rsid w:val="00CC3A21"/>
    <w:rsid w:val="00CC4025"/>
    <w:rsid w:val="00CC406E"/>
    <w:rsid w:val="00CC4619"/>
    <w:rsid w:val="00CC5211"/>
    <w:rsid w:val="00CC5E6E"/>
    <w:rsid w:val="00CC6AC5"/>
    <w:rsid w:val="00CC6FAD"/>
    <w:rsid w:val="00CC7381"/>
    <w:rsid w:val="00CC7739"/>
    <w:rsid w:val="00CC7BDB"/>
    <w:rsid w:val="00CD0C86"/>
    <w:rsid w:val="00CD1FB0"/>
    <w:rsid w:val="00CD215C"/>
    <w:rsid w:val="00CD271F"/>
    <w:rsid w:val="00CD340B"/>
    <w:rsid w:val="00CD3CB0"/>
    <w:rsid w:val="00CD4B4B"/>
    <w:rsid w:val="00CD502F"/>
    <w:rsid w:val="00CD68A5"/>
    <w:rsid w:val="00CD6991"/>
    <w:rsid w:val="00CD71E4"/>
    <w:rsid w:val="00CD7AEF"/>
    <w:rsid w:val="00CE0156"/>
    <w:rsid w:val="00CE02D9"/>
    <w:rsid w:val="00CE03E5"/>
    <w:rsid w:val="00CE061E"/>
    <w:rsid w:val="00CE09D6"/>
    <w:rsid w:val="00CE13EF"/>
    <w:rsid w:val="00CE1D2E"/>
    <w:rsid w:val="00CE2063"/>
    <w:rsid w:val="00CE2278"/>
    <w:rsid w:val="00CE27B4"/>
    <w:rsid w:val="00CE3890"/>
    <w:rsid w:val="00CE38D1"/>
    <w:rsid w:val="00CE484A"/>
    <w:rsid w:val="00CE4E41"/>
    <w:rsid w:val="00CE5264"/>
    <w:rsid w:val="00CE54DB"/>
    <w:rsid w:val="00CE556A"/>
    <w:rsid w:val="00CE58B7"/>
    <w:rsid w:val="00CE5E4A"/>
    <w:rsid w:val="00CE6D76"/>
    <w:rsid w:val="00CE7246"/>
    <w:rsid w:val="00CE7252"/>
    <w:rsid w:val="00CE72A2"/>
    <w:rsid w:val="00CF0A99"/>
    <w:rsid w:val="00CF0AB2"/>
    <w:rsid w:val="00CF179D"/>
    <w:rsid w:val="00CF1A84"/>
    <w:rsid w:val="00CF1B01"/>
    <w:rsid w:val="00CF340D"/>
    <w:rsid w:val="00CF34E9"/>
    <w:rsid w:val="00CF36A0"/>
    <w:rsid w:val="00CF39AB"/>
    <w:rsid w:val="00CF4F0E"/>
    <w:rsid w:val="00CF5D24"/>
    <w:rsid w:val="00CF65A8"/>
    <w:rsid w:val="00CF67CA"/>
    <w:rsid w:val="00CF7756"/>
    <w:rsid w:val="00CF7AB3"/>
    <w:rsid w:val="00CF7B07"/>
    <w:rsid w:val="00CF7B5E"/>
    <w:rsid w:val="00D00077"/>
    <w:rsid w:val="00D0038C"/>
    <w:rsid w:val="00D00982"/>
    <w:rsid w:val="00D01C49"/>
    <w:rsid w:val="00D0221A"/>
    <w:rsid w:val="00D022FC"/>
    <w:rsid w:val="00D029DF"/>
    <w:rsid w:val="00D031E9"/>
    <w:rsid w:val="00D0324A"/>
    <w:rsid w:val="00D042A2"/>
    <w:rsid w:val="00D0430A"/>
    <w:rsid w:val="00D0557B"/>
    <w:rsid w:val="00D0597B"/>
    <w:rsid w:val="00D05D44"/>
    <w:rsid w:val="00D06185"/>
    <w:rsid w:val="00D0662C"/>
    <w:rsid w:val="00D066A8"/>
    <w:rsid w:val="00D06821"/>
    <w:rsid w:val="00D070A8"/>
    <w:rsid w:val="00D072A6"/>
    <w:rsid w:val="00D079DA"/>
    <w:rsid w:val="00D10CDB"/>
    <w:rsid w:val="00D1117E"/>
    <w:rsid w:val="00D11BF4"/>
    <w:rsid w:val="00D11F7D"/>
    <w:rsid w:val="00D11F98"/>
    <w:rsid w:val="00D123C0"/>
    <w:rsid w:val="00D12F27"/>
    <w:rsid w:val="00D13164"/>
    <w:rsid w:val="00D13344"/>
    <w:rsid w:val="00D13CE0"/>
    <w:rsid w:val="00D13EBF"/>
    <w:rsid w:val="00D140D3"/>
    <w:rsid w:val="00D14D77"/>
    <w:rsid w:val="00D14E01"/>
    <w:rsid w:val="00D1523D"/>
    <w:rsid w:val="00D15397"/>
    <w:rsid w:val="00D1556D"/>
    <w:rsid w:val="00D15A97"/>
    <w:rsid w:val="00D15BCE"/>
    <w:rsid w:val="00D1656A"/>
    <w:rsid w:val="00D170B7"/>
    <w:rsid w:val="00D1775E"/>
    <w:rsid w:val="00D2090E"/>
    <w:rsid w:val="00D219D4"/>
    <w:rsid w:val="00D22B29"/>
    <w:rsid w:val="00D22B5E"/>
    <w:rsid w:val="00D23B97"/>
    <w:rsid w:val="00D23C95"/>
    <w:rsid w:val="00D23D46"/>
    <w:rsid w:val="00D23DCF"/>
    <w:rsid w:val="00D240A6"/>
    <w:rsid w:val="00D2420C"/>
    <w:rsid w:val="00D243A6"/>
    <w:rsid w:val="00D24614"/>
    <w:rsid w:val="00D2466A"/>
    <w:rsid w:val="00D24A40"/>
    <w:rsid w:val="00D24D9B"/>
    <w:rsid w:val="00D255DC"/>
    <w:rsid w:val="00D26688"/>
    <w:rsid w:val="00D30B54"/>
    <w:rsid w:val="00D31498"/>
    <w:rsid w:val="00D31B52"/>
    <w:rsid w:val="00D31B59"/>
    <w:rsid w:val="00D32413"/>
    <w:rsid w:val="00D3334F"/>
    <w:rsid w:val="00D346BB"/>
    <w:rsid w:val="00D3479D"/>
    <w:rsid w:val="00D36705"/>
    <w:rsid w:val="00D368EE"/>
    <w:rsid w:val="00D3777C"/>
    <w:rsid w:val="00D37883"/>
    <w:rsid w:val="00D40661"/>
    <w:rsid w:val="00D41166"/>
    <w:rsid w:val="00D4194E"/>
    <w:rsid w:val="00D419C7"/>
    <w:rsid w:val="00D41C1A"/>
    <w:rsid w:val="00D4211E"/>
    <w:rsid w:val="00D4240D"/>
    <w:rsid w:val="00D42D7F"/>
    <w:rsid w:val="00D42F6F"/>
    <w:rsid w:val="00D432C3"/>
    <w:rsid w:val="00D432CA"/>
    <w:rsid w:val="00D433DE"/>
    <w:rsid w:val="00D43B42"/>
    <w:rsid w:val="00D43DC5"/>
    <w:rsid w:val="00D43F43"/>
    <w:rsid w:val="00D44292"/>
    <w:rsid w:val="00D454BB"/>
    <w:rsid w:val="00D4557D"/>
    <w:rsid w:val="00D458EF"/>
    <w:rsid w:val="00D45AB9"/>
    <w:rsid w:val="00D470D0"/>
    <w:rsid w:val="00D4713C"/>
    <w:rsid w:val="00D4756E"/>
    <w:rsid w:val="00D47FA5"/>
    <w:rsid w:val="00D51603"/>
    <w:rsid w:val="00D528AE"/>
    <w:rsid w:val="00D5368D"/>
    <w:rsid w:val="00D537C7"/>
    <w:rsid w:val="00D53A41"/>
    <w:rsid w:val="00D53ED1"/>
    <w:rsid w:val="00D5463D"/>
    <w:rsid w:val="00D546B1"/>
    <w:rsid w:val="00D554D7"/>
    <w:rsid w:val="00D56197"/>
    <w:rsid w:val="00D56667"/>
    <w:rsid w:val="00D57AAD"/>
    <w:rsid w:val="00D60674"/>
    <w:rsid w:val="00D6072C"/>
    <w:rsid w:val="00D61732"/>
    <w:rsid w:val="00D618BC"/>
    <w:rsid w:val="00D61A23"/>
    <w:rsid w:val="00D62905"/>
    <w:rsid w:val="00D635FB"/>
    <w:rsid w:val="00D63BB4"/>
    <w:rsid w:val="00D63EED"/>
    <w:rsid w:val="00D645A0"/>
    <w:rsid w:val="00D64D15"/>
    <w:rsid w:val="00D64E6F"/>
    <w:rsid w:val="00D655BA"/>
    <w:rsid w:val="00D65753"/>
    <w:rsid w:val="00D66465"/>
    <w:rsid w:val="00D6698A"/>
    <w:rsid w:val="00D6779A"/>
    <w:rsid w:val="00D67F58"/>
    <w:rsid w:val="00D70F43"/>
    <w:rsid w:val="00D71588"/>
    <w:rsid w:val="00D719D8"/>
    <w:rsid w:val="00D73457"/>
    <w:rsid w:val="00D7404C"/>
    <w:rsid w:val="00D74DB7"/>
    <w:rsid w:val="00D750B5"/>
    <w:rsid w:val="00D75DAC"/>
    <w:rsid w:val="00D7645B"/>
    <w:rsid w:val="00D81015"/>
    <w:rsid w:val="00D81EFF"/>
    <w:rsid w:val="00D82032"/>
    <w:rsid w:val="00D82343"/>
    <w:rsid w:val="00D8302F"/>
    <w:rsid w:val="00D83833"/>
    <w:rsid w:val="00D83972"/>
    <w:rsid w:val="00D83D14"/>
    <w:rsid w:val="00D83E0A"/>
    <w:rsid w:val="00D84226"/>
    <w:rsid w:val="00D8449C"/>
    <w:rsid w:val="00D84617"/>
    <w:rsid w:val="00D84C49"/>
    <w:rsid w:val="00D84EC0"/>
    <w:rsid w:val="00D850A8"/>
    <w:rsid w:val="00D856C2"/>
    <w:rsid w:val="00D86881"/>
    <w:rsid w:val="00D8729C"/>
    <w:rsid w:val="00D873B8"/>
    <w:rsid w:val="00D90896"/>
    <w:rsid w:val="00D91734"/>
    <w:rsid w:val="00D91D6E"/>
    <w:rsid w:val="00D92F88"/>
    <w:rsid w:val="00D932ED"/>
    <w:rsid w:val="00D946E2"/>
    <w:rsid w:val="00D9472C"/>
    <w:rsid w:val="00D9479C"/>
    <w:rsid w:val="00D94A81"/>
    <w:rsid w:val="00D94B96"/>
    <w:rsid w:val="00D94E31"/>
    <w:rsid w:val="00D95F5D"/>
    <w:rsid w:val="00D963E7"/>
    <w:rsid w:val="00D96ACD"/>
    <w:rsid w:val="00D96EAE"/>
    <w:rsid w:val="00D96F13"/>
    <w:rsid w:val="00D97362"/>
    <w:rsid w:val="00DA11DC"/>
    <w:rsid w:val="00DA1803"/>
    <w:rsid w:val="00DA19B6"/>
    <w:rsid w:val="00DA1AB3"/>
    <w:rsid w:val="00DA21B2"/>
    <w:rsid w:val="00DA22F2"/>
    <w:rsid w:val="00DA2D98"/>
    <w:rsid w:val="00DA3F0F"/>
    <w:rsid w:val="00DA4144"/>
    <w:rsid w:val="00DA4E12"/>
    <w:rsid w:val="00DA65EF"/>
    <w:rsid w:val="00DA6ED4"/>
    <w:rsid w:val="00DA763B"/>
    <w:rsid w:val="00DB0423"/>
    <w:rsid w:val="00DB086C"/>
    <w:rsid w:val="00DB0B16"/>
    <w:rsid w:val="00DB1A5D"/>
    <w:rsid w:val="00DB1F59"/>
    <w:rsid w:val="00DB225E"/>
    <w:rsid w:val="00DB231E"/>
    <w:rsid w:val="00DB25D5"/>
    <w:rsid w:val="00DB2E30"/>
    <w:rsid w:val="00DB314E"/>
    <w:rsid w:val="00DB349B"/>
    <w:rsid w:val="00DB3994"/>
    <w:rsid w:val="00DB450E"/>
    <w:rsid w:val="00DB4796"/>
    <w:rsid w:val="00DB50A2"/>
    <w:rsid w:val="00DB5470"/>
    <w:rsid w:val="00DB5A69"/>
    <w:rsid w:val="00DB6A15"/>
    <w:rsid w:val="00DB6AE7"/>
    <w:rsid w:val="00DB6C6E"/>
    <w:rsid w:val="00DB6CA9"/>
    <w:rsid w:val="00DB7BCB"/>
    <w:rsid w:val="00DC023A"/>
    <w:rsid w:val="00DC1749"/>
    <w:rsid w:val="00DC20B9"/>
    <w:rsid w:val="00DC22B0"/>
    <w:rsid w:val="00DC265B"/>
    <w:rsid w:val="00DC366E"/>
    <w:rsid w:val="00DC37B1"/>
    <w:rsid w:val="00DC4F07"/>
    <w:rsid w:val="00DC50D8"/>
    <w:rsid w:val="00DC63E8"/>
    <w:rsid w:val="00DC65E5"/>
    <w:rsid w:val="00DC66C0"/>
    <w:rsid w:val="00DC69C5"/>
    <w:rsid w:val="00DC6E75"/>
    <w:rsid w:val="00DD0420"/>
    <w:rsid w:val="00DD0CE7"/>
    <w:rsid w:val="00DD0DC9"/>
    <w:rsid w:val="00DD1660"/>
    <w:rsid w:val="00DD18E6"/>
    <w:rsid w:val="00DD1A58"/>
    <w:rsid w:val="00DD2103"/>
    <w:rsid w:val="00DD25A6"/>
    <w:rsid w:val="00DD25AE"/>
    <w:rsid w:val="00DD25B1"/>
    <w:rsid w:val="00DD289F"/>
    <w:rsid w:val="00DD2C31"/>
    <w:rsid w:val="00DD2CA3"/>
    <w:rsid w:val="00DD3A11"/>
    <w:rsid w:val="00DD3CFD"/>
    <w:rsid w:val="00DD459D"/>
    <w:rsid w:val="00DD4787"/>
    <w:rsid w:val="00DD5136"/>
    <w:rsid w:val="00DD535B"/>
    <w:rsid w:val="00DD5712"/>
    <w:rsid w:val="00DD5B2B"/>
    <w:rsid w:val="00DD5F16"/>
    <w:rsid w:val="00DD60E8"/>
    <w:rsid w:val="00DD65D6"/>
    <w:rsid w:val="00DD7357"/>
    <w:rsid w:val="00DE077B"/>
    <w:rsid w:val="00DE10E4"/>
    <w:rsid w:val="00DE18DE"/>
    <w:rsid w:val="00DE1A17"/>
    <w:rsid w:val="00DE1CFD"/>
    <w:rsid w:val="00DE2277"/>
    <w:rsid w:val="00DE22C4"/>
    <w:rsid w:val="00DE23AC"/>
    <w:rsid w:val="00DE28F5"/>
    <w:rsid w:val="00DE2DE5"/>
    <w:rsid w:val="00DE366E"/>
    <w:rsid w:val="00DE3B02"/>
    <w:rsid w:val="00DE41D3"/>
    <w:rsid w:val="00DE4291"/>
    <w:rsid w:val="00DE5190"/>
    <w:rsid w:val="00DE5F32"/>
    <w:rsid w:val="00DE6820"/>
    <w:rsid w:val="00DE6EE1"/>
    <w:rsid w:val="00DE7754"/>
    <w:rsid w:val="00DE7C3B"/>
    <w:rsid w:val="00DF00AA"/>
    <w:rsid w:val="00DF0F5A"/>
    <w:rsid w:val="00DF1737"/>
    <w:rsid w:val="00DF27F2"/>
    <w:rsid w:val="00DF36F9"/>
    <w:rsid w:val="00DF3EA0"/>
    <w:rsid w:val="00DF3F7F"/>
    <w:rsid w:val="00DF4E56"/>
    <w:rsid w:val="00DF5032"/>
    <w:rsid w:val="00DF50E4"/>
    <w:rsid w:val="00DF5424"/>
    <w:rsid w:val="00DF56D8"/>
    <w:rsid w:val="00DF5D84"/>
    <w:rsid w:val="00DF5FB1"/>
    <w:rsid w:val="00DF66FF"/>
    <w:rsid w:val="00DF685E"/>
    <w:rsid w:val="00DF6E3E"/>
    <w:rsid w:val="00DF73F5"/>
    <w:rsid w:val="00DF793E"/>
    <w:rsid w:val="00E000F7"/>
    <w:rsid w:val="00E00281"/>
    <w:rsid w:val="00E0046C"/>
    <w:rsid w:val="00E00697"/>
    <w:rsid w:val="00E01379"/>
    <w:rsid w:val="00E02709"/>
    <w:rsid w:val="00E02D76"/>
    <w:rsid w:val="00E03612"/>
    <w:rsid w:val="00E03B82"/>
    <w:rsid w:val="00E03BAD"/>
    <w:rsid w:val="00E05A0A"/>
    <w:rsid w:val="00E0624E"/>
    <w:rsid w:val="00E064AB"/>
    <w:rsid w:val="00E069C5"/>
    <w:rsid w:val="00E06B4B"/>
    <w:rsid w:val="00E06BF5"/>
    <w:rsid w:val="00E06CBC"/>
    <w:rsid w:val="00E102F8"/>
    <w:rsid w:val="00E103A8"/>
    <w:rsid w:val="00E105D9"/>
    <w:rsid w:val="00E10914"/>
    <w:rsid w:val="00E10D6D"/>
    <w:rsid w:val="00E11B8E"/>
    <w:rsid w:val="00E122FD"/>
    <w:rsid w:val="00E12F7E"/>
    <w:rsid w:val="00E139E2"/>
    <w:rsid w:val="00E13B42"/>
    <w:rsid w:val="00E13BA7"/>
    <w:rsid w:val="00E141A2"/>
    <w:rsid w:val="00E14725"/>
    <w:rsid w:val="00E15073"/>
    <w:rsid w:val="00E15A98"/>
    <w:rsid w:val="00E1686C"/>
    <w:rsid w:val="00E16B44"/>
    <w:rsid w:val="00E16F44"/>
    <w:rsid w:val="00E16FD0"/>
    <w:rsid w:val="00E172F9"/>
    <w:rsid w:val="00E17325"/>
    <w:rsid w:val="00E17826"/>
    <w:rsid w:val="00E203FA"/>
    <w:rsid w:val="00E20521"/>
    <w:rsid w:val="00E20A75"/>
    <w:rsid w:val="00E20D54"/>
    <w:rsid w:val="00E20E4C"/>
    <w:rsid w:val="00E20EE6"/>
    <w:rsid w:val="00E214C5"/>
    <w:rsid w:val="00E2151B"/>
    <w:rsid w:val="00E217A3"/>
    <w:rsid w:val="00E21804"/>
    <w:rsid w:val="00E21AFB"/>
    <w:rsid w:val="00E21CEB"/>
    <w:rsid w:val="00E22C49"/>
    <w:rsid w:val="00E22EDA"/>
    <w:rsid w:val="00E23685"/>
    <w:rsid w:val="00E23C5C"/>
    <w:rsid w:val="00E24913"/>
    <w:rsid w:val="00E258E1"/>
    <w:rsid w:val="00E25B35"/>
    <w:rsid w:val="00E265C4"/>
    <w:rsid w:val="00E268C0"/>
    <w:rsid w:val="00E30521"/>
    <w:rsid w:val="00E31832"/>
    <w:rsid w:val="00E3217D"/>
    <w:rsid w:val="00E3357A"/>
    <w:rsid w:val="00E34145"/>
    <w:rsid w:val="00E351F4"/>
    <w:rsid w:val="00E35DC5"/>
    <w:rsid w:val="00E35E6B"/>
    <w:rsid w:val="00E3610D"/>
    <w:rsid w:val="00E36C2A"/>
    <w:rsid w:val="00E402A0"/>
    <w:rsid w:val="00E4085E"/>
    <w:rsid w:val="00E41799"/>
    <w:rsid w:val="00E420CA"/>
    <w:rsid w:val="00E42563"/>
    <w:rsid w:val="00E43DA7"/>
    <w:rsid w:val="00E43FCF"/>
    <w:rsid w:val="00E45D0A"/>
    <w:rsid w:val="00E46084"/>
    <w:rsid w:val="00E464A2"/>
    <w:rsid w:val="00E46A87"/>
    <w:rsid w:val="00E46F67"/>
    <w:rsid w:val="00E46FB0"/>
    <w:rsid w:val="00E4756A"/>
    <w:rsid w:val="00E4768F"/>
    <w:rsid w:val="00E47AE9"/>
    <w:rsid w:val="00E47FAF"/>
    <w:rsid w:val="00E5057B"/>
    <w:rsid w:val="00E523D6"/>
    <w:rsid w:val="00E529D7"/>
    <w:rsid w:val="00E535C7"/>
    <w:rsid w:val="00E53E84"/>
    <w:rsid w:val="00E54AA7"/>
    <w:rsid w:val="00E54AD3"/>
    <w:rsid w:val="00E54D77"/>
    <w:rsid w:val="00E54DC2"/>
    <w:rsid w:val="00E55F5D"/>
    <w:rsid w:val="00E5632F"/>
    <w:rsid w:val="00E56A1C"/>
    <w:rsid w:val="00E57991"/>
    <w:rsid w:val="00E60187"/>
    <w:rsid w:val="00E60849"/>
    <w:rsid w:val="00E60CDD"/>
    <w:rsid w:val="00E6168E"/>
    <w:rsid w:val="00E62DB2"/>
    <w:rsid w:val="00E63881"/>
    <w:rsid w:val="00E64D50"/>
    <w:rsid w:val="00E64E95"/>
    <w:rsid w:val="00E65137"/>
    <w:rsid w:val="00E655E8"/>
    <w:rsid w:val="00E65618"/>
    <w:rsid w:val="00E66154"/>
    <w:rsid w:val="00E6616D"/>
    <w:rsid w:val="00E6655D"/>
    <w:rsid w:val="00E66882"/>
    <w:rsid w:val="00E67737"/>
    <w:rsid w:val="00E67D18"/>
    <w:rsid w:val="00E67F23"/>
    <w:rsid w:val="00E70381"/>
    <w:rsid w:val="00E716D4"/>
    <w:rsid w:val="00E71DF1"/>
    <w:rsid w:val="00E722F9"/>
    <w:rsid w:val="00E7232C"/>
    <w:rsid w:val="00E726CA"/>
    <w:rsid w:val="00E7312C"/>
    <w:rsid w:val="00E7354E"/>
    <w:rsid w:val="00E740D4"/>
    <w:rsid w:val="00E74205"/>
    <w:rsid w:val="00E74C75"/>
    <w:rsid w:val="00E753A2"/>
    <w:rsid w:val="00E75462"/>
    <w:rsid w:val="00E75D2C"/>
    <w:rsid w:val="00E75DDB"/>
    <w:rsid w:val="00E76FEE"/>
    <w:rsid w:val="00E77520"/>
    <w:rsid w:val="00E7755D"/>
    <w:rsid w:val="00E776DE"/>
    <w:rsid w:val="00E80E27"/>
    <w:rsid w:val="00E8181D"/>
    <w:rsid w:val="00E82818"/>
    <w:rsid w:val="00E82E38"/>
    <w:rsid w:val="00E8303A"/>
    <w:rsid w:val="00E831AF"/>
    <w:rsid w:val="00E83C8D"/>
    <w:rsid w:val="00E84D60"/>
    <w:rsid w:val="00E855E0"/>
    <w:rsid w:val="00E86C22"/>
    <w:rsid w:val="00E8773A"/>
    <w:rsid w:val="00E87907"/>
    <w:rsid w:val="00E87A04"/>
    <w:rsid w:val="00E87F33"/>
    <w:rsid w:val="00E907A9"/>
    <w:rsid w:val="00E92000"/>
    <w:rsid w:val="00E9238F"/>
    <w:rsid w:val="00E92B81"/>
    <w:rsid w:val="00E92E38"/>
    <w:rsid w:val="00E930E4"/>
    <w:rsid w:val="00E94090"/>
    <w:rsid w:val="00E9435B"/>
    <w:rsid w:val="00E943DA"/>
    <w:rsid w:val="00E9443A"/>
    <w:rsid w:val="00E94E35"/>
    <w:rsid w:val="00E95833"/>
    <w:rsid w:val="00E9599E"/>
    <w:rsid w:val="00E95A1A"/>
    <w:rsid w:val="00E95DC4"/>
    <w:rsid w:val="00E961F2"/>
    <w:rsid w:val="00E96308"/>
    <w:rsid w:val="00E979FC"/>
    <w:rsid w:val="00EA0256"/>
    <w:rsid w:val="00EA055D"/>
    <w:rsid w:val="00EA087C"/>
    <w:rsid w:val="00EA0A5C"/>
    <w:rsid w:val="00EA1EBB"/>
    <w:rsid w:val="00EA2B7F"/>
    <w:rsid w:val="00EA2BAD"/>
    <w:rsid w:val="00EA3171"/>
    <w:rsid w:val="00EA3942"/>
    <w:rsid w:val="00EA3EA4"/>
    <w:rsid w:val="00EA43DB"/>
    <w:rsid w:val="00EA5CBA"/>
    <w:rsid w:val="00EA6459"/>
    <w:rsid w:val="00EA662F"/>
    <w:rsid w:val="00EA6B98"/>
    <w:rsid w:val="00EA6FC9"/>
    <w:rsid w:val="00EA77F0"/>
    <w:rsid w:val="00EA7892"/>
    <w:rsid w:val="00EB07BF"/>
    <w:rsid w:val="00EB0BBB"/>
    <w:rsid w:val="00EB19E2"/>
    <w:rsid w:val="00EB21D6"/>
    <w:rsid w:val="00EB2C87"/>
    <w:rsid w:val="00EB39E5"/>
    <w:rsid w:val="00EB3EF3"/>
    <w:rsid w:val="00EB4411"/>
    <w:rsid w:val="00EB5623"/>
    <w:rsid w:val="00EB5839"/>
    <w:rsid w:val="00EB58EC"/>
    <w:rsid w:val="00EB5E54"/>
    <w:rsid w:val="00EB609E"/>
    <w:rsid w:val="00EB63FB"/>
    <w:rsid w:val="00EB670B"/>
    <w:rsid w:val="00EB704E"/>
    <w:rsid w:val="00EB785B"/>
    <w:rsid w:val="00EB796C"/>
    <w:rsid w:val="00EB7FAE"/>
    <w:rsid w:val="00EB7FD8"/>
    <w:rsid w:val="00EC0043"/>
    <w:rsid w:val="00EC0606"/>
    <w:rsid w:val="00EC1B3D"/>
    <w:rsid w:val="00EC1E68"/>
    <w:rsid w:val="00EC23AB"/>
    <w:rsid w:val="00EC2B47"/>
    <w:rsid w:val="00EC2E1E"/>
    <w:rsid w:val="00EC312B"/>
    <w:rsid w:val="00EC33BE"/>
    <w:rsid w:val="00EC464E"/>
    <w:rsid w:val="00EC4BA8"/>
    <w:rsid w:val="00EC5280"/>
    <w:rsid w:val="00EC579D"/>
    <w:rsid w:val="00EC5AA4"/>
    <w:rsid w:val="00EC5C0D"/>
    <w:rsid w:val="00EC69C1"/>
    <w:rsid w:val="00EC793C"/>
    <w:rsid w:val="00EC7FCE"/>
    <w:rsid w:val="00ED0A41"/>
    <w:rsid w:val="00ED2BC0"/>
    <w:rsid w:val="00ED2E6E"/>
    <w:rsid w:val="00ED2F9D"/>
    <w:rsid w:val="00ED310C"/>
    <w:rsid w:val="00ED33D8"/>
    <w:rsid w:val="00ED4321"/>
    <w:rsid w:val="00ED4568"/>
    <w:rsid w:val="00ED5481"/>
    <w:rsid w:val="00ED721C"/>
    <w:rsid w:val="00ED7BE7"/>
    <w:rsid w:val="00ED7DDA"/>
    <w:rsid w:val="00EE0169"/>
    <w:rsid w:val="00EE05EC"/>
    <w:rsid w:val="00EE06A2"/>
    <w:rsid w:val="00EE0F00"/>
    <w:rsid w:val="00EE1063"/>
    <w:rsid w:val="00EE1751"/>
    <w:rsid w:val="00EE18F0"/>
    <w:rsid w:val="00EE1EE1"/>
    <w:rsid w:val="00EE2251"/>
    <w:rsid w:val="00EE34B2"/>
    <w:rsid w:val="00EE378C"/>
    <w:rsid w:val="00EE379D"/>
    <w:rsid w:val="00EE4107"/>
    <w:rsid w:val="00EE4A65"/>
    <w:rsid w:val="00EE553C"/>
    <w:rsid w:val="00EE56FE"/>
    <w:rsid w:val="00EE5F5A"/>
    <w:rsid w:val="00EE6931"/>
    <w:rsid w:val="00EE7059"/>
    <w:rsid w:val="00EE724C"/>
    <w:rsid w:val="00EE726A"/>
    <w:rsid w:val="00EE72F2"/>
    <w:rsid w:val="00EF0332"/>
    <w:rsid w:val="00EF0730"/>
    <w:rsid w:val="00EF09C5"/>
    <w:rsid w:val="00EF0C3E"/>
    <w:rsid w:val="00EF0DE6"/>
    <w:rsid w:val="00EF0EE0"/>
    <w:rsid w:val="00EF1449"/>
    <w:rsid w:val="00EF1DCC"/>
    <w:rsid w:val="00EF2BD0"/>
    <w:rsid w:val="00EF3D69"/>
    <w:rsid w:val="00EF4324"/>
    <w:rsid w:val="00EF438B"/>
    <w:rsid w:val="00EF45C7"/>
    <w:rsid w:val="00EF4735"/>
    <w:rsid w:val="00EF4898"/>
    <w:rsid w:val="00EF4B17"/>
    <w:rsid w:val="00EF4F6B"/>
    <w:rsid w:val="00EF5047"/>
    <w:rsid w:val="00EF5620"/>
    <w:rsid w:val="00EF5D5E"/>
    <w:rsid w:val="00EF6301"/>
    <w:rsid w:val="00EF6833"/>
    <w:rsid w:val="00EF7028"/>
    <w:rsid w:val="00EF786F"/>
    <w:rsid w:val="00F00921"/>
    <w:rsid w:val="00F00931"/>
    <w:rsid w:val="00F00E0F"/>
    <w:rsid w:val="00F01D87"/>
    <w:rsid w:val="00F022B9"/>
    <w:rsid w:val="00F033E1"/>
    <w:rsid w:val="00F0400A"/>
    <w:rsid w:val="00F04DF4"/>
    <w:rsid w:val="00F05BF5"/>
    <w:rsid w:val="00F06122"/>
    <w:rsid w:val="00F06B9A"/>
    <w:rsid w:val="00F06DA5"/>
    <w:rsid w:val="00F07448"/>
    <w:rsid w:val="00F075D7"/>
    <w:rsid w:val="00F07813"/>
    <w:rsid w:val="00F07906"/>
    <w:rsid w:val="00F07DEB"/>
    <w:rsid w:val="00F07F45"/>
    <w:rsid w:val="00F11187"/>
    <w:rsid w:val="00F117DA"/>
    <w:rsid w:val="00F1215B"/>
    <w:rsid w:val="00F12540"/>
    <w:rsid w:val="00F126B7"/>
    <w:rsid w:val="00F13FA0"/>
    <w:rsid w:val="00F14967"/>
    <w:rsid w:val="00F14EFA"/>
    <w:rsid w:val="00F15864"/>
    <w:rsid w:val="00F1635D"/>
    <w:rsid w:val="00F164D4"/>
    <w:rsid w:val="00F16542"/>
    <w:rsid w:val="00F16FAA"/>
    <w:rsid w:val="00F171D5"/>
    <w:rsid w:val="00F171F2"/>
    <w:rsid w:val="00F17271"/>
    <w:rsid w:val="00F17597"/>
    <w:rsid w:val="00F17987"/>
    <w:rsid w:val="00F17AD2"/>
    <w:rsid w:val="00F17D28"/>
    <w:rsid w:val="00F20612"/>
    <w:rsid w:val="00F20A33"/>
    <w:rsid w:val="00F213AD"/>
    <w:rsid w:val="00F215F4"/>
    <w:rsid w:val="00F24732"/>
    <w:rsid w:val="00F24A2B"/>
    <w:rsid w:val="00F24E6B"/>
    <w:rsid w:val="00F24E8E"/>
    <w:rsid w:val="00F24EE8"/>
    <w:rsid w:val="00F25522"/>
    <w:rsid w:val="00F25599"/>
    <w:rsid w:val="00F273C9"/>
    <w:rsid w:val="00F274D4"/>
    <w:rsid w:val="00F276A9"/>
    <w:rsid w:val="00F27D12"/>
    <w:rsid w:val="00F30148"/>
    <w:rsid w:val="00F30747"/>
    <w:rsid w:val="00F30A76"/>
    <w:rsid w:val="00F30F0B"/>
    <w:rsid w:val="00F31607"/>
    <w:rsid w:val="00F3199B"/>
    <w:rsid w:val="00F31EAE"/>
    <w:rsid w:val="00F3215A"/>
    <w:rsid w:val="00F3260A"/>
    <w:rsid w:val="00F329F5"/>
    <w:rsid w:val="00F32EEA"/>
    <w:rsid w:val="00F32F1A"/>
    <w:rsid w:val="00F3310C"/>
    <w:rsid w:val="00F3346E"/>
    <w:rsid w:val="00F3486F"/>
    <w:rsid w:val="00F348A4"/>
    <w:rsid w:val="00F34929"/>
    <w:rsid w:val="00F366E6"/>
    <w:rsid w:val="00F36ABE"/>
    <w:rsid w:val="00F37437"/>
    <w:rsid w:val="00F37668"/>
    <w:rsid w:val="00F376B0"/>
    <w:rsid w:val="00F37FE5"/>
    <w:rsid w:val="00F40016"/>
    <w:rsid w:val="00F4015A"/>
    <w:rsid w:val="00F40263"/>
    <w:rsid w:val="00F40310"/>
    <w:rsid w:val="00F40638"/>
    <w:rsid w:val="00F41A81"/>
    <w:rsid w:val="00F41DA8"/>
    <w:rsid w:val="00F41E81"/>
    <w:rsid w:val="00F41FFB"/>
    <w:rsid w:val="00F4234D"/>
    <w:rsid w:val="00F437B6"/>
    <w:rsid w:val="00F438FB"/>
    <w:rsid w:val="00F43EAE"/>
    <w:rsid w:val="00F45115"/>
    <w:rsid w:val="00F45334"/>
    <w:rsid w:val="00F457E9"/>
    <w:rsid w:val="00F47CE6"/>
    <w:rsid w:val="00F47DBA"/>
    <w:rsid w:val="00F5001C"/>
    <w:rsid w:val="00F508EB"/>
    <w:rsid w:val="00F5216D"/>
    <w:rsid w:val="00F5224F"/>
    <w:rsid w:val="00F5255D"/>
    <w:rsid w:val="00F528A2"/>
    <w:rsid w:val="00F52E04"/>
    <w:rsid w:val="00F5306B"/>
    <w:rsid w:val="00F53BDA"/>
    <w:rsid w:val="00F53EB9"/>
    <w:rsid w:val="00F5424A"/>
    <w:rsid w:val="00F54CE9"/>
    <w:rsid w:val="00F56694"/>
    <w:rsid w:val="00F56897"/>
    <w:rsid w:val="00F577CA"/>
    <w:rsid w:val="00F5786A"/>
    <w:rsid w:val="00F57973"/>
    <w:rsid w:val="00F57ADE"/>
    <w:rsid w:val="00F57B77"/>
    <w:rsid w:val="00F57C1F"/>
    <w:rsid w:val="00F606BE"/>
    <w:rsid w:val="00F6275B"/>
    <w:rsid w:val="00F635EA"/>
    <w:rsid w:val="00F63D23"/>
    <w:rsid w:val="00F63F69"/>
    <w:rsid w:val="00F641F1"/>
    <w:rsid w:val="00F65111"/>
    <w:rsid w:val="00F65356"/>
    <w:rsid w:val="00F65508"/>
    <w:rsid w:val="00F65973"/>
    <w:rsid w:val="00F665E5"/>
    <w:rsid w:val="00F6726A"/>
    <w:rsid w:val="00F674B9"/>
    <w:rsid w:val="00F677B8"/>
    <w:rsid w:val="00F70330"/>
    <w:rsid w:val="00F7059C"/>
    <w:rsid w:val="00F705D8"/>
    <w:rsid w:val="00F70A3D"/>
    <w:rsid w:val="00F70E6C"/>
    <w:rsid w:val="00F70F07"/>
    <w:rsid w:val="00F70F3E"/>
    <w:rsid w:val="00F7148C"/>
    <w:rsid w:val="00F714CB"/>
    <w:rsid w:val="00F718AC"/>
    <w:rsid w:val="00F72B34"/>
    <w:rsid w:val="00F72DB3"/>
    <w:rsid w:val="00F7303B"/>
    <w:rsid w:val="00F738D0"/>
    <w:rsid w:val="00F741D1"/>
    <w:rsid w:val="00F74F1D"/>
    <w:rsid w:val="00F77BB7"/>
    <w:rsid w:val="00F77BCB"/>
    <w:rsid w:val="00F80BA4"/>
    <w:rsid w:val="00F810AF"/>
    <w:rsid w:val="00F819B9"/>
    <w:rsid w:val="00F820D9"/>
    <w:rsid w:val="00F83101"/>
    <w:rsid w:val="00F8319F"/>
    <w:rsid w:val="00F83DD3"/>
    <w:rsid w:val="00F840BC"/>
    <w:rsid w:val="00F8569E"/>
    <w:rsid w:val="00F856E4"/>
    <w:rsid w:val="00F85FAD"/>
    <w:rsid w:val="00F86584"/>
    <w:rsid w:val="00F86A98"/>
    <w:rsid w:val="00F86F4B"/>
    <w:rsid w:val="00F87811"/>
    <w:rsid w:val="00F87DE9"/>
    <w:rsid w:val="00F90110"/>
    <w:rsid w:val="00F9067A"/>
    <w:rsid w:val="00F90A3D"/>
    <w:rsid w:val="00F90E65"/>
    <w:rsid w:val="00F90F5C"/>
    <w:rsid w:val="00F91943"/>
    <w:rsid w:val="00F91AF4"/>
    <w:rsid w:val="00F91E91"/>
    <w:rsid w:val="00F9213B"/>
    <w:rsid w:val="00F92E21"/>
    <w:rsid w:val="00F9305D"/>
    <w:rsid w:val="00F931F9"/>
    <w:rsid w:val="00F93AE8"/>
    <w:rsid w:val="00F93D32"/>
    <w:rsid w:val="00F950BE"/>
    <w:rsid w:val="00F95C88"/>
    <w:rsid w:val="00F96049"/>
    <w:rsid w:val="00F96B00"/>
    <w:rsid w:val="00FA0D50"/>
    <w:rsid w:val="00FA137B"/>
    <w:rsid w:val="00FA25FB"/>
    <w:rsid w:val="00FA3F5E"/>
    <w:rsid w:val="00FA440C"/>
    <w:rsid w:val="00FA4AE6"/>
    <w:rsid w:val="00FA4BD6"/>
    <w:rsid w:val="00FA534E"/>
    <w:rsid w:val="00FA5543"/>
    <w:rsid w:val="00FA6195"/>
    <w:rsid w:val="00FA6642"/>
    <w:rsid w:val="00FA72B7"/>
    <w:rsid w:val="00FA7583"/>
    <w:rsid w:val="00FB0535"/>
    <w:rsid w:val="00FB0718"/>
    <w:rsid w:val="00FB0D35"/>
    <w:rsid w:val="00FB419E"/>
    <w:rsid w:val="00FB4360"/>
    <w:rsid w:val="00FB460B"/>
    <w:rsid w:val="00FB47C9"/>
    <w:rsid w:val="00FB58A9"/>
    <w:rsid w:val="00FB5AC2"/>
    <w:rsid w:val="00FB6143"/>
    <w:rsid w:val="00FB63CB"/>
    <w:rsid w:val="00FB6EE9"/>
    <w:rsid w:val="00FB6EF8"/>
    <w:rsid w:val="00FB70F0"/>
    <w:rsid w:val="00FB7A4C"/>
    <w:rsid w:val="00FB7C5C"/>
    <w:rsid w:val="00FC0A9C"/>
    <w:rsid w:val="00FC141C"/>
    <w:rsid w:val="00FC1C5B"/>
    <w:rsid w:val="00FC2360"/>
    <w:rsid w:val="00FC26B3"/>
    <w:rsid w:val="00FC2C05"/>
    <w:rsid w:val="00FC3237"/>
    <w:rsid w:val="00FC361C"/>
    <w:rsid w:val="00FC392C"/>
    <w:rsid w:val="00FC4A7B"/>
    <w:rsid w:val="00FC4C07"/>
    <w:rsid w:val="00FC4FE9"/>
    <w:rsid w:val="00FC5BE0"/>
    <w:rsid w:val="00FC6B0C"/>
    <w:rsid w:val="00FD0843"/>
    <w:rsid w:val="00FD0872"/>
    <w:rsid w:val="00FD0CE6"/>
    <w:rsid w:val="00FD16BA"/>
    <w:rsid w:val="00FD21F4"/>
    <w:rsid w:val="00FD23FB"/>
    <w:rsid w:val="00FD26E9"/>
    <w:rsid w:val="00FD3529"/>
    <w:rsid w:val="00FD3807"/>
    <w:rsid w:val="00FD3B93"/>
    <w:rsid w:val="00FD3F06"/>
    <w:rsid w:val="00FD4081"/>
    <w:rsid w:val="00FD41AD"/>
    <w:rsid w:val="00FD465D"/>
    <w:rsid w:val="00FD4D53"/>
    <w:rsid w:val="00FD512C"/>
    <w:rsid w:val="00FD5DA4"/>
    <w:rsid w:val="00FD6122"/>
    <w:rsid w:val="00FD63CE"/>
    <w:rsid w:val="00FD65EE"/>
    <w:rsid w:val="00FD6D3F"/>
    <w:rsid w:val="00FD73C2"/>
    <w:rsid w:val="00FD74C3"/>
    <w:rsid w:val="00FD7F77"/>
    <w:rsid w:val="00FE0869"/>
    <w:rsid w:val="00FE1087"/>
    <w:rsid w:val="00FE1840"/>
    <w:rsid w:val="00FE1F67"/>
    <w:rsid w:val="00FE279B"/>
    <w:rsid w:val="00FE2EEA"/>
    <w:rsid w:val="00FE36A4"/>
    <w:rsid w:val="00FE3902"/>
    <w:rsid w:val="00FE3CD0"/>
    <w:rsid w:val="00FE4C75"/>
    <w:rsid w:val="00FE526B"/>
    <w:rsid w:val="00FE5E78"/>
    <w:rsid w:val="00FE6368"/>
    <w:rsid w:val="00FE64D9"/>
    <w:rsid w:val="00FE67DE"/>
    <w:rsid w:val="00FE6A78"/>
    <w:rsid w:val="00FE7ABF"/>
    <w:rsid w:val="00FF0676"/>
    <w:rsid w:val="00FF0AEF"/>
    <w:rsid w:val="00FF135F"/>
    <w:rsid w:val="00FF145B"/>
    <w:rsid w:val="00FF1D9E"/>
    <w:rsid w:val="00FF1F0A"/>
    <w:rsid w:val="00FF218B"/>
    <w:rsid w:val="00FF23A6"/>
    <w:rsid w:val="00FF2A84"/>
    <w:rsid w:val="00FF2B41"/>
    <w:rsid w:val="00FF51A6"/>
    <w:rsid w:val="00FF5209"/>
    <w:rsid w:val="00FF58F5"/>
    <w:rsid w:val="00FF65E5"/>
    <w:rsid w:val="00FF6B6E"/>
    <w:rsid w:val="00FF6BE7"/>
    <w:rsid w:val="00FF726C"/>
    <w:rsid w:val="00FF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47BA"/>
    <w:pPr>
      <w:spacing w:after="0" w:line="360" w:lineRule="atLeast"/>
    </w:pPr>
    <w:rPr>
      <w:rFonts w:ascii="Times New Roman" w:hAnsi="Times New Roman" w:cs="Times New Roman"/>
      <w:sz w:val="24"/>
      <w:szCs w:val="24"/>
      <w:lang w:val="en-GB" w:eastAsia="en-GB"/>
    </w:rPr>
  </w:style>
  <w:style w:type="paragraph" w:styleId="berschrift1">
    <w:name w:val="heading 1"/>
    <w:basedOn w:val="Standard"/>
    <w:next w:val="Standard"/>
    <w:link w:val="berschrift1Zchn"/>
    <w:uiPriority w:val="9"/>
    <w:qFormat/>
    <w:rsid w:val="008A0423"/>
    <w:pPr>
      <w:keepNext/>
      <w:keepLines/>
      <w:numPr>
        <w:numId w:val="12"/>
      </w:numPr>
      <w:spacing w:before="240" w:after="240" w:line="276" w:lineRule="auto"/>
      <w:outlineLvl w:val="0"/>
    </w:pPr>
    <w:rPr>
      <w:rFonts w:eastAsiaTheme="majorEastAsia" w:cstheme="majorBidi"/>
      <w:b/>
      <w:szCs w:val="32"/>
      <w:lang w:val="en-US" w:eastAsia="zh-CN"/>
    </w:rPr>
  </w:style>
  <w:style w:type="paragraph" w:styleId="berschrift2">
    <w:name w:val="heading 2"/>
    <w:basedOn w:val="Standard"/>
    <w:next w:val="Standard"/>
    <w:link w:val="berschrift2Zchn"/>
    <w:uiPriority w:val="9"/>
    <w:unhideWhenUsed/>
    <w:qFormat/>
    <w:rsid w:val="008A0423"/>
    <w:pPr>
      <w:keepNext/>
      <w:keepLines/>
      <w:spacing w:before="240" w:after="240"/>
      <w:outlineLvl w:val="1"/>
    </w:pPr>
    <w:rPr>
      <w:rFonts w:eastAsiaTheme="majorEastAsia" w:cstheme="majorBidi"/>
      <w:b/>
      <w:szCs w:val="26"/>
      <w:lang w:val="en-US" w:eastAsia="zh-CN"/>
    </w:rPr>
  </w:style>
  <w:style w:type="paragraph" w:styleId="berschrift3">
    <w:name w:val="heading 3"/>
    <w:basedOn w:val="Standard"/>
    <w:next w:val="Standard"/>
    <w:link w:val="berschrift3Zchn"/>
    <w:uiPriority w:val="9"/>
    <w:unhideWhenUsed/>
    <w:qFormat/>
    <w:rsid w:val="005F53EB"/>
    <w:pPr>
      <w:keepNext/>
      <w:keepLines/>
      <w:spacing w:before="240" w:after="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5F53EB"/>
    <w:pPr>
      <w:keepNext/>
      <w:keepLines/>
      <w:spacing w:before="240" w:after="24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0F1"/>
    <w:pPr>
      <w:spacing w:after="200" w:line="276" w:lineRule="auto"/>
      <w:ind w:left="720"/>
      <w:contextualSpacing/>
    </w:pPr>
    <w:rPr>
      <w:rFonts w:asciiTheme="minorHAnsi" w:hAnsiTheme="minorHAnsi" w:cstheme="minorBidi"/>
      <w:sz w:val="22"/>
      <w:szCs w:val="22"/>
      <w:lang w:val="en-US" w:eastAsia="zh-CN"/>
    </w:rPr>
  </w:style>
  <w:style w:type="paragraph" w:styleId="Funotentext">
    <w:name w:val="footnote text"/>
    <w:basedOn w:val="Standard"/>
    <w:link w:val="FunotentextZchn"/>
    <w:uiPriority w:val="99"/>
    <w:unhideWhenUsed/>
    <w:rsid w:val="00AA1EE6"/>
    <w:rPr>
      <w:rFonts w:asciiTheme="minorHAnsi" w:hAnsiTheme="minorHAnsi" w:cstheme="minorBidi"/>
      <w:sz w:val="20"/>
      <w:szCs w:val="20"/>
      <w:lang w:val="en-US" w:eastAsia="zh-CN"/>
    </w:rPr>
  </w:style>
  <w:style w:type="character" w:customStyle="1" w:styleId="FunotentextZchn">
    <w:name w:val="Fußnotentext Zchn"/>
    <w:basedOn w:val="Absatz-Standardschriftart"/>
    <w:link w:val="Funotentext"/>
    <w:uiPriority w:val="99"/>
    <w:rsid w:val="00AA1EE6"/>
    <w:rPr>
      <w:sz w:val="20"/>
      <w:szCs w:val="20"/>
    </w:rPr>
  </w:style>
  <w:style w:type="character" w:styleId="Funotenzeichen">
    <w:name w:val="footnote reference"/>
    <w:basedOn w:val="Absatz-Standardschriftart"/>
    <w:uiPriority w:val="99"/>
    <w:unhideWhenUsed/>
    <w:rsid w:val="00AA1EE6"/>
    <w:rPr>
      <w:vertAlign w:val="superscript"/>
    </w:rPr>
  </w:style>
  <w:style w:type="paragraph" w:styleId="Sprechblasentext">
    <w:name w:val="Balloon Text"/>
    <w:basedOn w:val="Standard"/>
    <w:link w:val="SprechblasentextZchn"/>
    <w:uiPriority w:val="99"/>
    <w:semiHidden/>
    <w:unhideWhenUsed/>
    <w:rsid w:val="008F207F"/>
    <w:rPr>
      <w:sz w:val="18"/>
      <w:szCs w:val="18"/>
    </w:rPr>
  </w:style>
  <w:style w:type="character" w:customStyle="1" w:styleId="SprechblasentextZchn">
    <w:name w:val="Sprechblasentext Zchn"/>
    <w:basedOn w:val="Absatz-Standardschriftart"/>
    <w:link w:val="Sprechblasentext"/>
    <w:uiPriority w:val="99"/>
    <w:semiHidden/>
    <w:rsid w:val="008F207F"/>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8A0423"/>
    <w:rPr>
      <w:rFonts w:ascii="Times New Roman" w:eastAsiaTheme="majorEastAsia" w:hAnsi="Times New Roman" w:cstheme="majorBidi"/>
      <w:b/>
      <w:sz w:val="24"/>
      <w:szCs w:val="26"/>
    </w:rPr>
  </w:style>
  <w:style w:type="character" w:styleId="Hyperlink">
    <w:name w:val="Hyperlink"/>
    <w:basedOn w:val="Absatz-Standardschriftart"/>
    <w:uiPriority w:val="99"/>
    <w:unhideWhenUsed/>
    <w:rsid w:val="006A3E87"/>
    <w:rPr>
      <w:color w:val="0000FF" w:themeColor="hyperlink"/>
      <w:u w:val="single"/>
    </w:rPr>
  </w:style>
  <w:style w:type="character" w:customStyle="1" w:styleId="berschrift1Zchn">
    <w:name w:val="Überschrift 1 Zchn"/>
    <w:basedOn w:val="Absatz-Standardschriftart"/>
    <w:link w:val="berschrift1"/>
    <w:uiPriority w:val="9"/>
    <w:rsid w:val="008A0423"/>
    <w:rPr>
      <w:rFonts w:ascii="Times New Roman" w:eastAsiaTheme="majorEastAsia" w:hAnsi="Times New Roman" w:cstheme="majorBidi"/>
      <w:b/>
      <w:sz w:val="24"/>
      <w:szCs w:val="32"/>
    </w:rPr>
  </w:style>
  <w:style w:type="character" w:styleId="Kommentarzeichen">
    <w:name w:val="annotation reference"/>
    <w:basedOn w:val="Absatz-Standardschriftart"/>
    <w:uiPriority w:val="99"/>
    <w:semiHidden/>
    <w:unhideWhenUsed/>
    <w:rsid w:val="00935155"/>
    <w:rPr>
      <w:sz w:val="16"/>
      <w:szCs w:val="16"/>
    </w:rPr>
  </w:style>
  <w:style w:type="paragraph" w:styleId="Kommentartext">
    <w:name w:val="annotation text"/>
    <w:basedOn w:val="Standard"/>
    <w:link w:val="KommentartextZchn"/>
    <w:uiPriority w:val="99"/>
    <w:unhideWhenUsed/>
    <w:rsid w:val="00935155"/>
    <w:rPr>
      <w:sz w:val="20"/>
      <w:szCs w:val="20"/>
    </w:rPr>
  </w:style>
  <w:style w:type="character" w:customStyle="1" w:styleId="KommentartextZchn">
    <w:name w:val="Kommentartext Zchn"/>
    <w:basedOn w:val="Absatz-Standardschriftart"/>
    <w:link w:val="Kommentartext"/>
    <w:uiPriority w:val="99"/>
    <w:rsid w:val="00935155"/>
    <w:rPr>
      <w:sz w:val="20"/>
      <w:szCs w:val="20"/>
    </w:rPr>
  </w:style>
  <w:style w:type="paragraph" w:styleId="Kommentarthema">
    <w:name w:val="annotation subject"/>
    <w:basedOn w:val="Kommentartext"/>
    <w:next w:val="Kommentartext"/>
    <w:link w:val="KommentarthemaZchn"/>
    <w:uiPriority w:val="99"/>
    <w:semiHidden/>
    <w:unhideWhenUsed/>
    <w:rsid w:val="00935155"/>
    <w:rPr>
      <w:b/>
      <w:bCs/>
    </w:rPr>
  </w:style>
  <w:style w:type="character" w:customStyle="1" w:styleId="KommentarthemaZchn">
    <w:name w:val="Kommentarthema Zchn"/>
    <w:basedOn w:val="KommentartextZchn"/>
    <w:link w:val="Kommentarthema"/>
    <w:uiPriority w:val="99"/>
    <w:semiHidden/>
    <w:rsid w:val="00935155"/>
    <w:rPr>
      <w:b/>
      <w:bCs/>
      <w:sz w:val="20"/>
      <w:szCs w:val="20"/>
    </w:rPr>
  </w:style>
  <w:style w:type="character" w:styleId="BesuchterHyperlink">
    <w:name w:val="FollowedHyperlink"/>
    <w:basedOn w:val="Absatz-Standardschriftart"/>
    <w:uiPriority w:val="99"/>
    <w:semiHidden/>
    <w:unhideWhenUsed/>
    <w:rsid w:val="0014049B"/>
    <w:rPr>
      <w:color w:val="800080" w:themeColor="followedHyperlink"/>
      <w:u w:val="single"/>
    </w:rPr>
  </w:style>
  <w:style w:type="character" w:customStyle="1" w:styleId="apple-converted-space">
    <w:name w:val="apple-converted-space"/>
    <w:basedOn w:val="Absatz-Standardschriftart"/>
    <w:rsid w:val="000D7F6E"/>
  </w:style>
  <w:style w:type="character" w:customStyle="1" w:styleId="berschrift3Zchn">
    <w:name w:val="Überschrift 3 Zchn"/>
    <w:basedOn w:val="Absatz-Standardschriftart"/>
    <w:link w:val="berschrift3"/>
    <w:uiPriority w:val="9"/>
    <w:rsid w:val="005F53EB"/>
    <w:rPr>
      <w:rFonts w:ascii="Times New Roman" w:eastAsiaTheme="majorEastAsia" w:hAnsi="Times New Roman" w:cstheme="majorBidi"/>
      <w:b/>
      <w:bCs/>
      <w:sz w:val="24"/>
      <w:szCs w:val="24"/>
      <w:lang w:val="en-GB" w:eastAsia="en-GB"/>
    </w:rPr>
  </w:style>
  <w:style w:type="character" w:customStyle="1" w:styleId="berschrift4Zchn">
    <w:name w:val="Überschrift 4 Zchn"/>
    <w:basedOn w:val="Absatz-Standardschriftart"/>
    <w:link w:val="berschrift4"/>
    <w:uiPriority w:val="9"/>
    <w:semiHidden/>
    <w:rsid w:val="005F53EB"/>
    <w:rPr>
      <w:rFonts w:ascii="Times New Roman" w:eastAsiaTheme="majorEastAsia" w:hAnsi="Times New Roman" w:cstheme="majorBidi"/>
      <w:b/>
      <w:bCs/>
      <w:i/>
      <w:iCs/>
      <w:sz w:val="24"/>
      <w:szCs w:val="24"/>
      <w:lang w:val="en-GB" w:eastAsia="en-GB"/>
    </w:rPr>
  </w:style>
  <w:style w:type="character" w:styleId="Fett">
    <w:name w:val="Strong"/>
    <w:basedOn w:val="Absatz-Standardschriftart"/>
    <w:uiPriority w:val="22"/>
    <w:qFormat/>
    <w:rsid w:val="000D7F6E"/>
    <w:rPr>
      <w:b/>
      <w:bCs/>
    </w:rPr>
  </w:style>
  <w:style w:type="character" w:styleId="Hervorhebung">
    <w:name w:val="Emphasis"/>
    <w:basedOn w:val="Absatz-Standardschriftart"/>
    <w:uiPriority w:val="20"/>
    <w:qFormat/>
    <w:rsid w:val="000D7F6E"/>
    <w:rPr>
      <w:i/>
      <w:iCs/>
    </w:rPr>
  </w:style>
  <w:style w:type="character" w:styleId="SchwacheHervorhebung">
    <w:name w:val="Subtle Emphasis"/>
    <w:basedOn w:val="Absatz-Standardschriftart"/>
    <w:uiPriority w:val="19"/>
    <w:qFormat/>
    <w:rsid w:val="00FE526B"/>
    <w:rPr>
      <w:i/>
      <w:iCs/>
      <w:color w:val="404040" w:themeColor="text1" w:themeTint="BF"/>
    </w:rPr>
  </w:style>
  <w:style w:type="paragraph" w:styleId="Untertitel">
    <w:name w:val="Subtitle"/>
    <w:basedOn w:val="Standard"/>
    <w:next w:val="Standard"/>
    <w:link w:val="UntertitelZchn"/>
    <w:uiPriority w:val="11"/>
    <w:qFormat/>
    <w:rsid w:val="00590EB1"/>
    <w:pPr>
      <w:numPr>
        <w:ilvl w:val="1"/>
      </w:numPr>
      <w:spacing w:after="160" w:line="276" w:lineRule="auto"/>
    </w:pPr>
    <w:rPr>
      <w:rFonts w:asciiTheme="minorHAnsi" w:hAnsiTheme="minorHAnsi" w:cstheme="minorBidi"/>
      <w:color w:val="5A5A5A" w:themeColor="text1" w:themeTint="A5"/>
      <w:spacing w:val="15"/>
      <w:sz w:val="22"/>
      <w:szCs w:val="22"/>
      <w:lang w:val="en-US" w:eastAsia="zh-CN"/>
    </w:rPr>
  </w:style>
  <w:style w:type="character" w:customStyle="1" w:styleId="UntertitelZchn">
    <w:name w:val="Untertitel Zchn"/>
    <w:basedOn w:val="Absatz-Standardschriftart"/>
    <w:link w:val="Untertitel"/>
    <w:uiPriority w:val="11"/>
    <w:rsid w:val="00590EB1"/>
    <w:rPr>
      <w:color w:val="5A5A5A" w:themeColor="text1" w:themeTint="A5"/>
      <w:spacing w:val="15"/>
    </w:rPr>
  </w:style>
  <w:style w:type="character" w:customStyle="1" w:styleId="fileext">
    <w:name w:val="fileext"/>
    <w:basedOn w:val="Absatz-Standardschriftart"/>
    <w:rsid w:val="00AB7EA5"/>
  </w:style>
  <w:style w:type="table" w:styleId="Tabellenraster">
    <w:name w:val="Table Grid"/>
    <w:basedOn w:val="NormaleTabelle"/>
    <w:uiPriority w:val="59"/>
    <w:rsid w:val="009A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A137B"/>
    <w:pPr>
      <w:tabs>
        <w:tab w:val="center" w:pos="4536"/>
        <w:tab w:val="right" w:pos="9072"/>
      </w:tabs>
    </w:pPr>
  </w:style>
  <w:style w:type="character" w:customStyle="1" w:styleId="KopfzeileZchn">
    <w:name w:val="Kopfzeile Zchn"/>
    <w:basedOn w:val="Absatz-Standardschriftart"/>
    <w:link w:val="Kopfzeile"/>
    <w:uiPriority w:val="99"/>
    <w:rsid w:val="00FA137B"/>
    <w:rPr>
      <w:rFonts w:ascii="Times New Roman" w:hAnsi="Times New Roman" w:cs="Times New Roman"/>
      <w:sz w:val="24"/>
      <w:szCs w:val="24"/>
      <w:lang w:val="en-GB" w:eastAsia="en-GB"/>
    </w:rPr>
  </w:style>
  <w:style w:type="paragraph" w:styleId="Fuzeile">
    <w:name w:val="footer"/>
    <w:basedOn w:val="Standard"/>
    <w:link w:val="FuzeileZchn"/>
    <w:uiPriority w:val="99"/>
    <w:unhideWhenUsed/>
    <w:rsid w:val="00FA137B"/>
    <w:pPr>
      <w:tabs>
        <w:tab w:val="center" w:pos="4536"/>
        <w:tab w:val="right" w:pos="9072"/>
      </w:tabs>
    </w:pPr>
  </w:style>
  <w:style w:type="character" w:customStyle="1" w:styleId="FuzeileZchn">
    <w:name w:val="Fußzeile Zchn"/>
    <w:basedOn w:val="Absatz-Standardschriftart"/>
    <w:link w:val="Fuzeile"/>
    <w:uiPriority w:val="99"/>
    <w:rsid w:val="00FA137B"/>
    <w:rPr>
      <w:rFonts w:ascii="Times New Roman" w:hAnsi="Times New Roman" w:cs="Times New Roman"/>
      <w:sz w:val="24"/>
      <w:szCs w:val="24"/>
      <w:lang w:val="en-GB" w:eastAsia="en-GB"/>
    </w:rPr>
  </w:style>
  <w:style w:type="paragraph" w:customStyle="1" w:styleId="Default">
    <w:name w:val="Default"/>
    <w:rsid w:val="004D6DCB"/>
    <w:pPr>
      <w:autoSpaceDE w:val="0"/>
      <w:autoSpaceDN w:val="0"/>
      <w:adjustRightInd w:val="0"/>
      <w:spacing w:after="0" w:line="240" w:lineRule="auto"/>
    </w:pPr>
    <w:rPr>
      <w:rFonts w:ascii="Code" w:hAnsi="Code" w:cs="Code"/>
      <w:color w:val="000000"/>
      <w:sz w:val="24"/>
      <w:szCs w:val="24"/>
      <w:lang w:val="nb-NO"/>
    </w:rPr>
  </w:style>
  <w:style w:type="character" w:styleId="Endnotenzeichen">
    <w:name w:val="endnote reference"/>
    <w:basedOn w:val="Absatz-Standardschriftart"/>
    <w:uiPriority w:val="99"/>
    <w:semiHidden/>
    <w:unhideWhenUsed/>
    <w:rsid w:val="00DE18DE"/>
    <w:rPr>
      <w:vertAlign w:val="superscript"/>
    </w:rPr>
  </w:style>
  <w:style w:type="paragraph" w:styleId="Inhaltsverzeichnisberschrift">
    <w:name w:val="TOC Heading"/>
    <w:basedOn w:val="berschrift1"/>
    <w:next w:val="Standard"/>
    <w:uiPriority w:val="39"/>
    <w:unhideWhenUsed/>
    <w:qFormat/>
    <w:rsid w:val="008A0423"/>
    <w:pPr>
      <w:spacing w:line="259" w:lineRule="auto"/>
      <w:outlineLvl w:val="9"/>
    </w:pPr>
    <w:rPr>
      <w:lang w:eastAsia="en-US"/>
    </w:rPr>
  </w:style>
  <w:style w:type="paragraph" w:styleId="Listennummer">
    <w:name w:val="List Number"/>
    <w:basedOn w:val="Standard"/>
    <w:uiPriority w:val="99"/>
    <w:unhideWhenUsed/>
    <w:rsid w:val="008A0423"/>
    <w:pPr>
      <w:numPr>
        <w:numId w:val="11"/>
      </w:numPr>
      <w:contextualSpacing/>
    </w:pPr>
  </w:style>
  <w:style w:type="paragraph" w:styleId="Verzeichnis1">
    <w:name w:val="toc 1"/>
    <w:basedOn w:val="Standard"/>
    <w:next w:val="Standard"/>
    <w:autoRedefine/>
    <w:uiPriority w:val="39"/>
    <w:unhideWhenUsed/>
    <w:rsid w:val="00F24E6B"/>
    <w:pPr>
      <w:spacing w:after="100"/>
    </w:pPr>
  </w:style>
  <w:style w:type="paragraph" w:styleId="Verzeichnis2">
    <w:name w:val="toc 2"/>
    <w:basedOn w:val="Standard"/>
    <w:next w:val="Standard"/>
    <w:autoRedefine/>
    <w:uiPriority w:val="39"/>
    <w:unhideWhenUsed/>
    <w:rsid w:val="00F24E6B"/>
    <w:pPr>
      <w:spacing w:after="100"/>
      <w:ind w:left="240"/>
    </w:pPr>
  </w:style>
  <w:style w:type="paragraph" w:styleId="Verzeichnis3">
    <w:name w:val="toc 3"/>
    <w:basedOn w:val="Standard"/>
    <w:next w:val="Standard"/>
    <w:autoRedefine/>
    <w:uiPriority w:val="39"/>
    <w:unhideWhenUsed/>
    <w:rsid w:val="0087135B"/>
    <w:pPr>
      <w:spacing w:after="100"/>
      <w:ind w:left="480"/>
    </w:pPr>
  </w:style>
  <w:style w:type="paragraph" w:styleId="berarbeitung">
    <w:name w:val="Revision"/>
    <w:hidden/>
    <w:uiPriority w:val="99"/>
    <w:semiHidden/>
    <w:rsid w:val="00427B05"/>
    <w:pPr>
      <w:spacing w:after="0" w:line="240" w:lineRule="auto"/>
    </w:pPr>
    <w:rPr>
      <w:rFonts w:ascii="Times New Roman" w:hAnsi="Times New Roman" w:cs="Times New Roman"/>
      <w:sz w:val="24"/>
      <w:szCs w:val="24"/>
      <w:lang w:val="en-GB" w:eastAsia="en-GB"/>
    </w:rPr>
  </w:style>
  <w:style w:type="character" w:customStyle="1" w:styleId="UnresolvedMention">
    <w:name w:val="Unresolved Mention"/>
    <w:basedOn w:val="Absatz-Standardschriftart"/>
    <w:uiPriority w:val="99"/>
    <w:semiHidden/>
    <w:unhideWhenUsed/>
    <w:rsid w:val="007134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47BA"/>
    <w:pPr>
      <w:spacing w:after="0" w:line="360" w:lineRule="atLeast"/>
    </w:pPr>
    <w:rPr>
      <w:rFonts w:ascii="Times New Roman" w:hAnsi="Times New Roman" w:cs="Times New Roman"/>
      <w:sz w:val="24"/>
      <w:szCs w:val="24"/>
      <w:lang w:val="en-GB" w:eastAsia="en-GB"/>
    </w:rPr>
  </w:style>
  <w:style w:type="paragraph" w:styleId="berschrift1">
    <w:name w:val="heading 1"/>
    <w:basedOn w:val="Standard"/>
    <w:next w:val="Standard"/>
    <w:link w:val="berschrift1Zchn"/>
    <w:uiPriority w:val="9"/>
    <w:qFormat/>
    <w:rsid w:val="008A0423"/>
    <w:pPr>
      <w:keepNext/>
      <w:keepLines/>
      <w:numPr>
        <w:numId w:val="12"/>
      </w:numPr>
      <w:spacing w:before="240" w:after="240" w:line="276" w:lineRule="auto"/>
      <w:outlineLvl w:val="0"/>
    </w:pPr>
    <w:rPr>
      <w:rFonts w:eastAsiaTheme="majorEastAsia" w:cstheme="majorBidi"/>
      <w:b/>
      <w:szCs w:val="32"/>
      <w:lang w:val="en-US" w:eastAsia="zh-CN"/>
    </w:rPr>
  </w:style>
  <w:style w:type="paragraph" w:styleId="berschrift2">
    <w:name w:val="heading 2"/>
    <w:basedOn w:val="Standard"/>
    <w:next w:val="Standard"/>
    <w:link w:val="berschrift2Zchn"/>
    <w:uiPriority w:val="9"/>
    <w:unhideWhenUsed/>
    <w:qFormat/>
    <w:rsid w:val="008A0423"/>
    <w:pPr>
      <w:keepNext/>
      <w:keepLines/>
      <w:spacing w:before="240" w:after="240"/>
      <w:outlineLvl w:val="1"/>
    </w:pPr>
    <w:rPr>
      <w:rFonts w:eastAsiaTheme="majorEastAsia" w:cstheme="majorBidi"/>
      <w:b/>
      <w:szCs w:val="26"/>
      <w:lang w:val="en-US" w:eastAsia="zh-CN"/>
    </w:rPr>
  </w:style>
  <w:style w:type="paragraph" w:styleId="berschrift3">
    <w:name w:val="heading 3"/>
    <w:basedOn w:val="Standard"/>
    <w:next w:val="Standard"/>
    <w:link w:val="berschrift3Zchn"/>
    <w:uiPriority w:val="9"/>
    <w:unhideWhenUsed/>
    <w:qFormat/>
    <w:rsid w:val="005F53EB"/>
    <w:pPr>
      <w:keepNext/>
      <w:keepLines/>
      <w:spacing w:before="240" w:after="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5F53EB"/>
    <w:pPr>
      <w:keepNext/>
      <w:keepLines/>
      <w:spacing w:before="240" w:after="24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0F1"/>
    <w:pPr>
      <w:spacing w:after="200" w:line="276" w:lineRule="auto"/>
      <w:ind w:left="720"/>
      <w:contextualSpacing/>
    </w:pPr>
    <w:rPr>
      <w:rFonts w:asciiTheme="minorHAnsi" w:hAnsiTheme="minorHAnsi" w:cstheme="minorBidi"/>
      <w:sz w:val="22"/>
      <w:szCs w:val="22"/>
      <w:lang w:val="en-US" w:eastAsia="zh-CN"/>
    </w:rPr>
  </w:style>
  <w:style w:type="paragraph" w:styleId="Funotentext">
    <w:name w:val="footnote text"/>
    <w:basedOn w:val="Standard"/>
    <w:link w:val="FunotentextZchn"/>
    <w:uiPriority w:val="99"/>
    <w:unhideWhenUsed/>
    <w:rsid w:val="00AA1EE6"/>
    <w:rPr>
      <w:rFonts w:asciiTheme="minorHAnsi" w:hAnsiTheme="minorHAnsi" w:cstheme="minorBidi"/>
      <w:sz w:val="20"/>
      <w:szCs w:val="20"/>
      <w:lang w:val="en-US" w:eastAsia="zh-CN"/>
    </w:rPr>
  </w:style>
  <w:style w:type="character" w:customStyle="1" w:styleId="FunotentextZchn">
    <w:name w:val="Fußnotentext Zchn"/>
    <w:basedOn w:val="Absatz-Standardschriftart"/>
    <w:link w:val="Funotentext"/>
    <w:uiPriority w:val="99"/>
    <w:rsid w:val="00AA1EE6"/>
    <w:rPr>
      <w:sz w:val="20"/>
      <w:szCs w:val="20"/>
    </w:rPr>
  </w:style>
  <w:style w:type="character" w:styleId="Funotenzeichen">
    <w:name w:val="footnote reference"/>
    <w:basedOn w:val="Absatz-Standardschriftart"/>
    <w:uiPriority w:val="99"/>
    <w:unhideWhenUsed/>
    <w:rsid w:val="00AA1EE6"/>
    <w:rPr>
      <w:vertAlign w:val="superscript"/>
    </w:rPr>
  </w:style>
  <w:style w:type="paragraph" w:styleId="Sprechblasentext">
    <w:name w:val="Balloon Text"/>
    <w:basedOn w:val="Standard"/>
    <w:link w:val="SprechblasentextZchn"/>
    <w:uiPriority w:val="99"/>
    <w:semiHidden/>
    <w:unhideWhenUsed/>
    <w:rsid w:val="008F207F"/>
    <w:rPr>
      <w:sz w:val="18"/>
      <w:szCs w:val="18"/>
    </w:rPr>
  </w:style>
  <w:style w:type="character" w:customStyle="1" w:styleId="SprechblasentextZchn">
    <w:name w:val="Sprechblasentext Zchn"/>
    <w:basedOn w:val="Absatz-Standardschriftart"/>
    <w:link w:val="Sprechblasentext"/>
    <w:uiPriority w:val="99"/>
    <w:semiHidden/>
    <w:rsid w:val="008F207F"/>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8A0423"/>
    <w:rPr>
      <w:rFonts w:ascii="Times New Roman" w:eastAsiaTheme="majorEastAsia" w:hAnsi="Times New Roman" w:cstheme="majorBidi"/>
      <w:b/>
      <w:sz w:val="24"/>
      <w:szCs w:val="26"/>
    </w:rPr>
  </w:style>
  <w:style w:type="character" w:styleId="Hyperlink">
    <w:name w:val="Hyperlink"/>
    <w:basedOn w:val="Absatz-Standardschriftart"/>
    <w:uiPriority w:val="99"/>
    <w:unhideWhenUsed/>
    <w:rsid w:val="006A3E87"/>
    <w:rPr>
      <w:color w:val="0000FF" w:themeColor="hyperlink"/>
      <w:u w:val="single"/>
    </w:rPr>
  </w:style>
  <w:style w:type="character" w:customStyle="1" w:styleId="berschrift1Zchn">
    <w:name w:val="Überschrift 1 Zchn"/>
    <w:basedOn w:val="Absatz-Standardschriftart"/>
    <w:link w:val="berschrift1"/>
    <w:uiPriority w:val="9"/>
    <w:rsid w:val="008A0423"/>
    <w:rPr>
      <w:rFonts w:ascii="Times New Roman" w:eastAsiaTheme="majorEastAsia" w:hAnsi="Times New Roman" w:cstheme="majorBidi"/>
      <w:b/>
      <w:sz w:val="24"/>
      <w:szCs w:val="32"/>
    </w:rPr>
  </w:style>
  <w:style w:type="character" w:styleId="Kommentarzeichen">
    <w:name w:val="annotation reference"/>
    <w:basedOn w:val="Absatz-Standardschriftart"/>
    <w:uiPriority w:val="99"/>
    <w:semiHidden/>
    <w:unhideWhenUsed/>
    <w:rsid w:val="00935155"/>
    <w:rPr>
      <w:sz w:val="16"/>
      <w:szCs w:val="16"/>
    </w:rPr>
  </w:style>
  <w:style w:type="paragraph" w:styleId="Kommentartext">
    <w:name w:val="annotation text"/>
    <w:basedOn w:val="Standard"/>
    <w:link w:val="KommentartextZchn"/>
    <w:uiPriority w:val="99"/>
    <w:unhideWhenUsed/>
    <w:rsid w:val="00935155"/>
    <w:rPr>
      <w:sz w:val="20"/>
      <w:szCs w:val="20"/>
    </w:rPr>
  </w:style>
  <w:style w:type="character" w:customStyle="1" w:styleId="KommentartextZchn">
    <w:name w:val="Kommentartext Zchn"/>
    <w:basedOn w:val="Absatz-Standardschriftart"/>
    <w:link w:val="Kommentartext"/>
    <w:uiPriority w:val="99"/>
    <w:rsid w:val="00935155"/>
    <w:rPr>
      <w:sz w:val="20"/>
      <w:szCs w:val="20"/>
    </w:rPr>
  </w:style>
  <w:style w:type="paragraph" w:styleId="Kommentarthema">
    <w:name w:val="annotation subject"/>
    <w:basedOn w:val="Kommentartext"/>
    <w:next w:val="Kommentartext"/>
    <w:link w:val="KommentarthemaZchn"/>
    <w:uiPriority w:val="99"/>
    <w:semiHidden/>
    <w:unhideWhenUsed/>
    <w:rsid w:val="00935155"/>
    <w:rPr>
      <w:b/>
      <w:bCs/>
    </w:rPr>
  </w:style>
  <w:style w:type="character" w:customStyle="1" w:styleId="KommentarthemaZchn">
    <w:name w:val="Kommentarthema Zchn"/>
    <w:basedOn w:val="KommentartextZchn"/>
    <w:link w:val="Kommentarthema"/>
    <w:uiPriority w:val="99"/>
    <w:semiHidden/>
    <w:rsid w:val="00935155"/>
    <w:rPr>
      <w:b/>
      <w:bCs/>
      <w:sz w:val="20"/>
      <w:szCs w:val="20"/>
    </w:rPr>
  </w:style>
  <w:style w:type="character" w:styleId="BesuchterHyperlink">
    <w:name w:val="FollowedHyperlink"/>
    <w:basedOn w:val="Absatz-Standardschriftart"/>
    <w:uiPriority w:val="99"/>
    <w:semiHidden/>
    <w:unhideWhenUsed/>
    <w:rsid w:val="0014049B"/>
    <w:rPr>
      <w:color w:val="800080" w:themeColor="followedHyperlink"/>
      <w:u w:val="single"/>
    </w:rPr>
  </w:style>
  <w:style w:type="character" w:customStyle="1" w:styleId="apple-converted-space">
    <w:name w:val="apple-converted-space"/>
    <w:basedOn w:val="Absatz-Standardschriftart"/>
    <w:rsid w:val="000D7F6E"/>
  </w:style>
  <w:style w:type="character" w:customStyle="1" w:styleId="berschrift3Zchn">
    <w:name w:val="Überschrift 3 Zchn"/>
    <w:basedOn w:val="Absatz-Standardschriftart"/>
    <w:link w:val="berschrift3"/>
    <w:uiPriority w:val="9"/>
    <w:rsid w:val="005F53EB"/>
    <w:rPr>
      <w:rFonts w:ascii="Times New Roman" w:eastAsiaTheme="majorEastAsia" w:hAnsi="Times New Roman" w:cstheme="majorBidi"/>
      <w:b/>
      <w:bCs/>
      <w:sz w:val="24"/>
      <w:szCs w:val="24"/>
      <w:lang w:val="en-GB" w:eastAsia="en-GB"/>
    </w:rPr>
  </w:style>
  <w:style w:type="character" w:customStyle="1" w:styleId="berschrift4Zchn">
    <w:name w:val="Überschrift 4 Zchn"/>
    <w:basedOn w:val="Absatz-Standardschriftart"/>
    <w:link w:val="berschrift4"/>
    <w:uiPriority w:val="9"/>
    <w:semiHidden/>
    <w:rsid w:val="005F53EB"/>
    <w:rPr>
      <w:rFonts w:ascii="Times New Roman" w:eastAsiaTheme="majorEastAsia" w:hAnsi="Times New Roman" w:cstheme="majorBidi"/>
      <w:b/>
      <w:bCs/>
      <w:i/>
      <w:iCs/>
      <w:sz w:val="24"/>
      <w:szCs w:val="24"/>
      <w:lang w:val="en-GB" w:eastAsia="en-GB"/>
    </w:rPr>
  </w:style>
  <w:style w:type="character" w:styleId="Fett">
    <w:name w:val="Strong"/>
    <w:basedOn w:val="Absatz-Standardschriftart"/>
    <w:uiPriority w:val="22"/>
    <w:qFormat/>
    <w:rsid w:val="000D7F6E"/>
    <w:rPr>
      <w:b/>
      <w:bCs/>
    </w:rPr>
  </w:style>
  <w:style w:type="character" w:styleId="Hervorhebung">
    <w:name w:val="Emphasis"/>
    <w:basedOn w:val="Absatz-Standardschriftart"/>
    <w:uiPriority w:val="20"/>
    <w:qFormat/>
    <w:rsid w:val="000D7F6E"/>
    <w:rPr>
      <w:i/>
      <w:iCs/>
    </w:rPr>
  </w:style>
  <w:style w:type="character" w:styleId="SchwacheHervorhebung">
    <w:name w:val="Subtle Emphasis"/>
    <w:basedOn w:val="Absatz-Standardschriftart"/>
    <w:uiPriority w:val="19"/>
    <w:qFormat/>
    <w:rsid w:val="00FE526B"/>
    <w:rPr>
      <w:i/>
      <w:iCs/>
      <w:color w:val="404040" w:themeColor="text1" w:themeTint="BF"/>
    </w:rPr>
  </w:style>
  <w:style w:type="paragraph" w:styleId="Untertitel">
    <w:name w:val="Subtitle"/>
    <w:basedOn w:val="Standard"/>
    <w:next w:val="Standard"/>
    <w:link w:val="UntertitelZchn"/>
    <w:uiPriority w:val="11"/>
    <w:qFormat/>
    <w:rsid w:val="00590EB1"/>
    <w:pPr>
      <w:numPr>
        <w:ilvl w:val="1"/>
      </w:numPr>
      <w:spacing w:after="160" w:line="276" w:lineRule="auto"/>
    </w:pPr>
    <w:rPr>
      <w:rFonts w:asciiTheme="minorHAnsi" w:hAnsiTheme="minorHAnsi" w:cstheme="minorBidi"/>
      <w:color w:val="5A5A5A" w:themeColor="text1" w:themeTint="A5"/>
      <w:spacing w:val="15"/>
      <w:sz w:val="22"/>
      <w:szCs w:val="22"/>
      <w:lang w:val="en-US" w:eastAsia="zh-CN"/>
    </w:rPr>
  </w:style>
  <w:style w:type="character" w:customStyle="1" w:styleId="UntertitelZchn">
    <w:name w:val="Untertitel Zchn"/>
    <w:basedOn w:val="Absatz-Standardschriftart"/>
    <w:link w:val="Untertitel"/>
    <w:uiPriority w:val="11"/>
    <w:rsid w:val="00590EB1"/>
    <w:rPr>
      <w:color w:val="5A5A5A" w:themeColor="text1" w:themeTint="A5"/>
      <w:spacing w:val="15"/>
    </w:rPr>
  </w:style>
  <w:style w:type="character" w:customStyle="1" w:styleId="fileext">
    <w:name w:val="fileext"/>
    <w:basedOn w:val="Absatz-Standardschriftart"/>
    <w:rsid w:val="00AB7EA5"/>
  </w:style>
  <w:style w:type="table" w:styleId="Tabellenraster">
    <w:name w:val="Table Grid"/>
    <w:basedOn w:val="NormaleTabelle"/>
    <w:uiPriority w:val="59"/>
    <w:rsid w:val="009A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A137B"/>
    <w:pPr>
      <w:tabs>
        <w:tab w:val="center" w:pos="4536"/>
        <w:tab w:val="right" w:pos="9072"/>
      </w:tabs>
    </w:pPr>
  </w:style>
  <w:style w:type="character" w:customStyle="1" w:styleId="KopfzeileZchn">
    <w:name w:val="Kopfzeile Zchn"/>
    <w:basedOn w:val="Absatz-Standardschriftart"/>
    <w:link w:val="Kopfzeile"/>
    <w:uiPriority w:val="99"/>
    <w:rsid w:val="00FA137B"/>
    <w:rPr>
      <w:rFonts w:ascii="Times New Roman" w:hAnsi="Times New Roman" w:cs="Times New Roman"/>
      <w:sz w:val="24"/>
      <w:szCs w:val="24"/>
      <w:lang w:val="en-GB" w:eastAsia="en-GB"/>
    </w:rPr>
  </w:style>
  <w:style w:type="paragraph" w:styleId="Fuzeile">
    <w:name w:val="footer"/>
    <w:basedOn w:val="Standard"/>
    <w:link w:val="FuzeileZchn"/>
    <w:uiPriority w:val="99"/>
    <w:unhideWhenUsed/>
    <w:rsid w:val="00FA137B"/>
    <w:pPr>
      <w:tabs>
        <w:tab w:val="center" w:pos="4536"/>
        <w:tab w:val="right" w:pos="9072"/>
      </w:tabs>
    </w:pPr>
  </w:style>
  <w:style w:type="character" w:customStyle="1" w:styleId="FuzeileZchn">
    <w:name w:val="Fußzeile Zchn"/>
    <w:basedOn w:val="Absatz-Standardschriftart"/>
    <w:link w:val="Fuzeile"/>
    <w:uiPriority w:val="99"/>
    <w:rsid w:val="00FA137B"/>
    <w:rPr>
      <w:rFonts w:ascii="Times New Roman" w:hAnsi="Times New Roman" w:cs="Times New Roman"/>
      <w:sz w:val="24"/>
      <w:szCs w:val="24"/>
      <w:lang w:val="en-GB" w:eastAsia="en-GB"/>
    </w:rPr>
  </w:style>
  <w:style w:type="paragraph" w:customStyle="1" w:styleId="Default">
    <w:name w:val="Default"/>
    <w:rsid w:val="004D6DCB"/>
    <w:pPr>
      <w:autoSpaceDE w:val="0"/>
      <w:autoSpaceDN w:val="0"/>
      <w:adjustRightInd w:val="0"/>
      <w:spacing w:after="0" w:line="240" w:lineRule="auto"/>
    </w:pPr>
    <w:rPr>
      <w:rFonts w:ascii="Code" w:hAnsi="Code" w:cs="Code"/>
      <w:color w:val="000000"/>
      <w:sz w:val="24"/>
      <w:szCs w:val="24"/>
      <w:lang w:val="nb-NO"/>
    </w:rPr>
  </w:style>
  <w:style w:type="character" w:styleId="Endnotenzeichen">
    <w:name w:val="endnote reference"/>
    <w:basedOn w:val="Absatz-Standardschriftart"/>
    <w:uiPriority w:val="99"/>
    <w:semiHidden/>
    <w:unhideWhenUsed/>
    <w:rsid w:val="00DE18DE"/>
    <w:rPr>
      <w:vertAlign w:val="superscript"/>
    </w:rPr>
  </w:style>
  <w:style w:type="paragraph" w:styleId="Inhaltsverzeichnisberschrift">
    <w:name w:val="TOC Heading"/>
    <w:basedOn w:val="berschrift1"/>
    <w:next w:val="Standard"/>
    <w:uiPriority w:val="39"/>
    <w:unhideWhenUsed/>
    <w:qFormat/>
    <w:rsid w:val="008A0423"/>
    <w:pPr>
      <w:spacing w:line="259" w:lineRule="auto"/>
      <w:outlineLvl w:val="9"/>
    </w:pPr>
    <w:rPr>
      <w:lang w:eastAsia="en-US"/>
    </w:rPr>
  </w:style>
  <w:style w:type="paragraph" w:styleId="Listennummer">
    <w:name w:val="List Number"/>
    <w:basedOn w:val="Standard"/>
    <w:uiPriority w:val="99"/>
    <w:unhideWhenUsed/>
    <w:rsid w:val="008A0423"/>
    <w:pPr>
      <w:numPr>
        <w:numId w:val="11"/>
      </w:numPr>
      <w:contextualSpacing/>
    </w:pPr>
  </w:style>
  <w:style w:type="paragraph" w:styleId="Verzeichnis1">
    <w:name w:val="toc 1"/>
    <w:basedOn w:val="Standard"/>
    <w:next w:val="Standard"/>
    <w:autoRedefine/>
    <w:uiPriority w:val="39"/>
    <w:unhideWhenUsed/>
    <w:rsid w:val="00F24E6B"/>
    <w:pPr>
      <w:spacing w:after="100"/>
    </w:pPr>
  </w:style>
  <w:style w:type="paragraph" w:styleId="Verzeichnis2">
    <w:name w:val="toc 2"/>
    <w:basedOn w:val="Standard"/>
    <w:next w:val="Standard"/>
    <w:autoRedefine/>
    <w:uiPriority w:val="39"/>
    <w:unhideWhenUsed/>
    <w:rsid w:val="00F24E6B"/>
    <w:pPr>
      <w:spacing w:after="100"/>
      <w:ind w:left="240"/>
    </w:pPr>
  </w:style>
  <w:style w:type="paragraph" w:styleId="Verzeichnis3">
    <w:name w:val="toc 3"/>
    <w:basedOn w:val="Standard"/>
    <w:next w:val="Standard"/>
    <w:autoRedefine/>
    <w:uiPriority w:val="39"/>
    <w:unhideWhenUsed/>
    <w:rsid w:val="0087135B"/>
    <w:pPr>
      <w:spacing w:after="100"/>
      <w:ind w:left="480"/>
    </w:pPr>
  </w:style>
  <w:style w:type="paragraph" w:styleId="berarbeitung">
    <w:name w:val="Revision"/>
    <w:hidden/>
    <w:uiPriority w:val="99"/>
    <w:semiHidden/>
    <w:rsid w:val="00427B05"/>
    <w:pPr>
      <w:spacing w:after="0" w:line="240" w:lineRule="auto"/>
    </w:pPr>
    <w:rPr>
      <w:rFonts w:ascii="Times New Roman" w:hAnsi="Times New Roman" w:cs="Times New Roman"/>
      <w:sz w:val="24"/>
      <w:szCs w:val="24"/>
      <w:lang w:val="en-GB" w:eastAsia="en-GB"/>
    </w:rPr>
  </w:style>
  <w:style w:type="character" w:customStyle="1" w:styleId="UnresolvedMention">
    <w:name w:val="Unresolved Mention"/>
    <w:basedOn w:val="Absatz-Standardschriftart"/>
    <w:uiPriority w:val="99"/>
    <w:semiHidden/>
    <w:unhideWhenUsed/>
    <w:rsid w:val="007134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3716">
      <w:bodyDiv w:val="1"/>
      <w:marLeft w:val="0"/>
      <w:marRight w:val="0"/>
      <w:marTop w:val="0"/>
      <w:marBottom w:val="0"/>
      <w:divBdr>
        <w:top w:val="none" w:sz="0" w:space="0" w:color="auto"/>
        <w:left w:val="none" w:sz="0" w:space="0" w:color="auto"/>
        <w:bottom w:val="none" w:sz="0" w:space="0" w:color="auto"/>
        <w:right w:val="none" w:sz="0" w:space="0" w:color="auto"/>
      </w:divBdr>
    </w:div>
    <w:div w:id="82840750">
      <w:bodyDiv w:val="1"/>
      <w:marLeft w:val="0"/>
      <w:marRight w:val="0"/>
      <w:marTop w:val="0"/>
      <w:marBottom w:val="0"/>
      <w:divBdr>
        <w:top w:val="none" w:sz="0" w:space="0" w:color="auto"/>
        <w:left w:val="none" w:sz="0" w:space="0" w:color="auto"/>
        <w:bottom w:val="none" w:sz="0" w:space="0" w:color="auto"/>
        <w:right w:val="none" w:sz="0" w:space="0" w:color="auto"/>
      </w:divBdr>
    </w:div>
    <w:div w:id="136069959">
      <w:bodyDiv w:val="1"/>
      <w:marLeft w:val="0"/>
      <w:marRight w:val="0"/>
      <w:marTop w:val="0"/>
      <w:marBottom w:val="0"/>
      <w:divBdr>
        <w:top w:val="none" w:sz="0" w:space="0" w:color="auto"/>
        <w:left w:val="none" w:sz="0" w:space="0" w:color="auto"/>
        <w:bottom w:val="none" w:sz="0" w:space="0" w:color="auto"/>
        <w:right w:val="none" w:sz="0" w:space="0" w:color="auto"/>
      </w:divBdr>
    </w:div>
    <w:div w:id="170416297">
      <w:bodyDiv w:val="1"/>
      <w:marLeft w:val="0"/>
      <w:marRight w:val="0"/>
      <w:marTop w:val="0"/>
      <w:marBottom w:val="0"/>
      <w:divBdr>
        <w:top w:val="none" w:sz="0" w:space="0" w:color="auto"/>
        <w:left w:val="none" w:sz="0" w:space="0" w:color="auto"/>
        <w:bottom w:val="none" w:sz="0" w:space="0" w:color="auto"/>
        <w:right w:val="none" w:sz="0" w:space="0" w:color="auto"/>
      </w:divBdr>
    </w:div>
    <w:div w:id="174810546">
      <w:bodyDiv w:val="1"/>
      <w:marLeft w:val="0"/>
      <w:marRight w:val="0"/>
      <w:marTop w:val="0"/>
      <w:marBottom w:val="0"/>
      <w:divBdr>
        <w:top w:val="none" w:sz="0" w:space="0" w:color="auto"/>
        <w:left w:val="none" w:sz="0" w:space="0" w:color="auto"/>
        <w:bottom w:val="none" w:sz="0" w:space="0" w:color="auto"/>
        <w:right w:val="none" w:sz="0" w:space="0" w:color="auto"/>
      </w:divBdr>
    </w:div>
    <w:div w:id="338583192">
      <w:bodyDiv w:val="1"/>
      <w:marLeft w:val="0"/>
      <w:marRight w:val="0"/>
      <w:marTop w:val="0"/>
      <w:marBottom w:val="0"/>
      <w:divBdr>
        <w:top w:val="none" w:sz="0" w:space="0" w:color="auto"/>
        <w:left w:val="none" w:sz="0" w:space="0" w:color="auto"/>
        <w:bottom w:val="none" w:sz="0" w:space="0" w:color="auto"/>
        <w:right w:val="none" w:sz="0" w:space="0" w:color="auto"/>
      </w:divBdr>
    </w:div>
    <w:div w:id="365453051">
      <w:bodyDiv w:val="1"/>
      <w:marLeft w:val="0"/>
      <w:marRight w:val="0"/>
      <w:marTop w:val="0"/>
      <w:marBottom w:val="0"/>
      <w:divBdr>
        <w:top w:val="none" w:sz="0" w:space="0" w:color="auto"/>
        <w:left w:val="none" w:sz="0" w:space="0" w:color="auto"/>
        <w:bottom w:val="none" w:sz="0" w:space="0" w:color="auto"/>
        <w:right w:val="none" w:sz="0" w:space="0" w:color="auto"/>
      </w:divBdr>
    </w:div>
    <w:div w:id="385107947">
      <w:bodyDiv w:val="1"/>
      <w:marLeft w:val="0"/>
      <w:marRight w:val="0"/>
      <w:marTop w:val="0"/>
      <w:marBottom w:val="0"/>
      <w:divBdr>
        <w:top w:val="none" w:sz="0" w:space="0" w:color="auto"/>
        <w:left w:val="none" w:sz="0" w:space="0" w:color="auto"/>
        <w:bottom w:val="none" w:sz="0" w:space="0" w:color="auto"/>
        <w:right w:val="none" w:sz="0" w:space="0" w:color="auto"/>
      </w:divBdr>
    </w:div>
    <w:div w:id="452330503">
      <w:bodyDiv w:val="1"/>
      <w:marLeft w:val="0"/>
      <w:marRight w:val="0"/>
      <w:marTop w:val="0"/>
      <w:marBottom w:val="0"/>
      <w:divBdr>
        <w:top w:val="none" w:sz="0" w:space="0" w:color="auto"/>
        <w:left w:val="none" w:sz="0" w:space="0" w:color="auto"/>
        <w:bottom w:val="none" w:sz="0" w:space="0" w:color="auto"/>
        <w:right w:val="none" w:sz="0" w:space="0" w:color="auto"/>
      </w:divBdr>
    </w:div>
    <w:div w:id="464203934">
      <w:bodyDiv w:val="1"/>
      <w:marLeft w:val="0"/>
      <w:marRight w:val="0"/>
      <w:marTop w:val="0"/>
      <w:marBottom w:val="0"/>
      <w:divBdr>
        <w:top w:val="none" w:sz="0" w:space="0" w:color="auto"/>
        <w:left w:val="none" w:sz="0" w:space="0" w:color="auto"/>
        <w:bottom w:val="none" w:sz="0" w:space="0" w:color="auto"/>
        <w:right w:val="none" w:sz="0" w:space="0" w:color="auto"/>
      </w:divBdr>
    </w:div>
    <w:div w:id="542449548">
      <w:bodyDiv w:val="1"/>
      <w:marLeft w:val="0"/>
      <w:marRight w:val="0"/>
      <w:marTop w:val="0"/>
      <w:marBottom w:val="0"/>
      <w:divBdr>
        <w:top w:val="none" w:sz="0" w:space="0" w:color="auto"/>
        <w:left w:val="none" w:sz="0" w:space="0" w:color="auto"/>
        <w:bottom w:val="none" w:sz="0" w:space="0" w:color="auto"/>
        <w:right w:val="none" w:sz="0" w:space="0" w:color="auto"/>
      </w:divBdr>
    </w:div>
    <w:div w:id="568344499">
      <w:bodyDiv w:val="1"/>
      <w:marLeft w:val="0"/>
      <w:marRight w:val="0"/>
      <w:marTop w:val="0"/>
      <w:marBottom w:val="0"/>
      <w:divBdr>
        <w:top w:val="none" w:sz="0" w:space="0" w:color="auto"/>
        <w:left w:val="none" w:sz="0" w:space="0" w:color="auto"/>
        <w:bottom w:val="none" w:sz="0" w:space="0" w:color="auto"/>
        <w:right w:val="none" w:sz="0" w:space="0" w:color="auto"/>
      </w:divBdr>
    </w:div>
    <w:div w:id="570702582">
      <w:bodyDiv w:val="1"/>
      <w:marLeft w:val="0"/>
      <w:marRight w:val="0"/>
      <w:marTop w:val="0"/>
      <w:marBottom w:val="0"/>
      <w:divBdr>
        <w:top w:val="none" w:sz="0" w:space="0" w:color="auto"/>
        <w:left w:val="none" w:sz="0" w:space="0" w:color="auto"/>
        <w:bottom w:val="none" w:sz="0" w:space="0" w:color="auto"/>
        <w:right w:val="none" w:sz="0" w:space="0" w:color="auto"/>
      </w:divBdr>
    </w:div>
    <w:div w:id="621809948">
      <w:bodyDiv w:val="1"/>
      <w:marLeft w:val="0"/>
      <w:marRight w:val="0"/>
      <w:marTop w:val="0"/>
      <w:marBottom w:val="0"/>
      <w:divBdr>
        <w:top w:val="none" w:sz="0" w:space="0" w:color="auto"/>
        <w:left w:val="none" w:sz="0" w:space="0" w:color="auto"/>
        <w:bottom w:val="none" w:sz="0" w:space="0" w:color="auto"/>
        <w:right w:val="none" w:sz="0" w:space="0" w:color="auto"/>
      </w:divBdr>
    </w:div>
    <w:div w:id="666789139">
      <w:bodyDiv w:val="1"/>
      <w:marLeft w:val="0"/>
      <w:marRight w:val="0"/>
      <w:marTop w:val="0"/>
      <w:marBottom w:val="0"/>
      <w:divBdr>
        <w:top w:val="none" w:sz="0" w:space="0" w:color="auto"/>
        <w:left w:val="none" w:sz="0" w:space="0" w:color="auto"/>
        <w:bottom w:val="none" w:sz="0" w:space="0" w:color="auto"/>
        <w:right w:val="none" w:sz="0" w:space="0" w:color="auto"/>
      </w:divBdr>
    </w:div>
    <w:div w:id="803037732">
      <w:bodyDiv w:val="1"/>
      <w:marLeft w:val="0"/>
      <w:marRight w:val="0"/>
      <w:marTop w:val="0"/>
      <w:marBottom w:val="0"/>
      <w:divBdr>
        <w:top w:val="none" w:sz="0" w:space="0" w:color="auto"/>
        <w:left w:val="none" w:sz="0" w:space="0" w:color="auto"/>
        <w:bottom w:val="none" w:sz="0" w:space="0" w:color="auto"/>
        <w:right w:val="none" w:sz="0" w:space="0" w:color="auto"/>
      </w:divBdr>
    </w:div>
    <w:div w:id="912395546">
      <w:bodyDiv w:val="1"/>
      <w:marLeft w:val="0"/>
      <w:marRight w:val="0"/>
      <w:marTop w:val="0"/>
      <w:marBottom w:val="0"/>
      <w:divBdr>
        <w:top w:val="none" w:sz="0" w:space="0" w:color="auto"/>
        <w:left w:val="none" w:sz="0" w:space="0" w:color="auto"/>
        <w:bottom w:val="none" w:sz="0" w:space="0" w:color="auto"/>
        <w:right w:val="none" w:sz="0" w:space="0" w:color="auto"/>
      </w:divBdr>
    </w:div>
    <w:div w:id="916132328">
      <w:bodyDiv w:val="1"/>
      <w:marLeft w:val="0"/>
      <w:marRight w:val="0"/>
      <w:marTop w:val="0"/>
      <w:marBottom w:val="0"/>
      <w:divBdr>
        <w:top w:val="none" w:sz="0" w:space="0" w:color="auto"/>
        <w:left w:val="none" w:sz="0" w:space="0" w:color="auto"/>
        <w:bottom w:val="none" w:sz="0" w:space="0" w:color="auto"/>
        <w:right w:val="none" w:sz="0" w:space="0" w:color="auto"/>
      </w:divBdr>
    </w:div>
    <w:div w:id="971053657">
      <w:bodyDiv w:val="1"/>
      <w:marLeft w:val="0"/>
      <w:marRight w:val="0"/>
      <w:marTop w:val="0"/>
      <w:marBottom w:val="0"/>
      <w:divBdr>
        <w:top w:val="none" w:sz="0" w:space="0" w:color="auto"/>
        <w:left w:val="none" w:sz="0" w:space="0" w:color="auto"/>
        <w:bottom w:val="none" w:sz="0" w:space="0" w:color="auto"/>
        <w:right w:val="none" w:sz="0" w:space="0" w:color="auto"/>
      </w:divBdr>
    </w:div>
    <w:div w:id="976885169">
      <w:bodyDiv w:val="1"/>
      <w:marLeft w:val="0"/>
      <w:marRight w:val="0"/>
      <w:marTop w:val="0"/>
      <w:marBottom w:val="0"/>
      <w:divBdr>
        <w:top w:val="none" w:sz="0" w:space="0" w:color="auto"/>
        <w:left w:val="none" w:sz="0" w:space="0" w:color="auto"/>
        <w:bottom w:val="none" w:sz="0" w:space="0" w:color="auto"/>
        <w:right w:val="none" w:sz="0" w:space="0" w:color="auto"/>
      </w:divBdr>
    </w:div>
    <w:div w:id="1001393273">
      <w:bodyDiv w:val="1"/>
      <w:marLeft w:val="0"/>
      <w:marRight w:val="0"/>
      <w:marTop w:val="0"/>
      <w:marBottom w:val="0"/>
      <w:divBdr>
        <w:top w:val="none" w:sz="0" w:space="0" w:color="auto"/>
        <w:left w:val="none" w:sz="0" w:space="0" w:color="auto"/>
        <w:bottom w:val="none" w:sz="0" w:space="0" w:color="auto"/>
        <w:right w:val="none" w:sz="0" w:space="0" w:color="auto"/>
      </w:divBdr>
    </w:div>
    <w:div w:id="1141072133">
      <w:bodyDiv w:val="1"/>
      <w:marLeft w:val="0"/>
      <w:marRight w:val="0"/>
      <w:marTop w:val="0"/>
      <w:marBottom w:val="0"/>
      <w:divBdr>
        <w:top w:val="none" w:sz="0" w:space="0" w:color="auto"/>
        <w:left w:val="none" w:sz="0" w:space="0" w:color="auto"/>
        <w:bottom w:val="none" w:sz="0" w:space="0" w:color="auto"/>
        <w:right w:val="none" w:sz="0" w:space="0" w:color="auto"/>
      </w:divBdr>
    </w:div>
    <w:div w:id="1170632660">
      <w:bodyDiv w:val="1"/>
      <w:marLeft w:val="0"/>
      <w:marRight w:val="0"/>
      <w:marTop w:val="0"/>
      <w:marBottom w:val="0"/>
      <w:divBdr>
        <w:top w:val="none" w:sz="0" w:space="0" w:color="auto"/>
        <w:left w:val="none" w:sz="0" w:space="0" w:color="auto"/>
        <w:bottom w:val="none" w:sz="0" w:space="0" w:color="auto"/>
        <w:right w:val="none" w:sz="0" w:space="0" w:color="auto"/>
      </w:divBdr>
    </w:div>
    <w:div w:id="1183936762">
      <w:bodyDiv w:val="1"/>
      <w:marLeft w:val="0"/>
      <w:marRight w:val="0"/>
      <w:marTop w:val="0"/>
      <w:marBottom w:val="0"/>
      <w:divBdr>
        <w:top w:val="none" w:sz="0" w:space="0" w:color="auto"/>
        <w:left w:val="none" w:sz="0" w:space="0" w:color="auto"/>
        <w:bottom w:val="none" w:sz="0" w:space="0" w:color="auto"/>
        <w:right w:val="none" w:sz="0" w:space="0" w:color="auto"/>
      </w:divBdr>
    </w:div>
    <w:div w:id="1194339610">
      <w:bodyDiv w:val="1"/>
      <w:marLeft w:val="0"/>
      <w:marRight w:val="0"/>
      <w:marTop w:val="0"/>
      <w:marBottom w:val="0"/>
      <w:divBdr>
        <w:top w:val="none" w:sz="0" w:space="0" w:color="auto"/>
        <w:left w:val="none" w:sz="0" w:space="0" w:color="auto"/>
        <w:bottom w:val="none" w:sz="0" w:space="0" w:color="auto"/>
        <w:right w:val="none" w:sz="0" w:space="0" w:color="auto"/>
      </w:divBdr>
      <w:divsChild>
        <w:div w:id="25061943">
          <w:marLeft w:val="0"/>
          <w:marRight w:val="0"/>
          <w:marTop w:val="0"/>
          <w:marBottom w:val="0"/>
          <w:divBdr>
            <w:top w:val="none" w:sz="0" w:space="0" w:color="auto"/>
            <w:left w:val="none" w:sz="0" w:space="0" w:color="auto"/>
            <w:bottom w:val="none" w:sz="0" w:space="0" w:color="auto"/>
            <w:right w:val="none" w:sz="0" w:space="0" w:color="auto"/>
          </w:divBdr>
        </w:div>
        <w:div w:id="211424749">
          <w:marLeft w:val="0"/>
          <w:marRight w:val="0"/>
          <w:marTop w:val="0"/>
          <w:marBottom w:val="0"/>
          <w:divBdr>
            <w:top w:val="none" w:sz="0" w:space="0" w:color="auto"/>
            <w:left w:val="none" w:sz="0" w:space="0" w:color="auto"/>
            <w:bottom w:val="none" w:sz="0" w:space="0" w:color="auto"/>
            <w:right w:val="none" w:sz="0" w:space="0" w:color="auto"/>
          </w:divBdr>
        </w:div>
        <w:div w:id="638412882">
          <w:marLeft w:val="0"/>
          <w:marRight w:val="0"/>
          <w:marTop w:val="0"/>
          <w:marBottom w:val="0"/>
          <w:divBdr>
            <w:top w:val="none" w:sz="0" w:space="0" w:color="auto"/>
            <w:left w:val="none" w:sz="0" w:space="0" w:color="auto"/>
            <w:bottom w:val="none" w:sz="0" w:space="0" w:color="auto"/>
            <w:right w:val="none" w:sz="0" w:space="0" w:color="auto"/>
          </w:divBdr>
        </w:div>
        <w:div w:id="1024550824">
          <w:marLeft w:val="0"/>
          <w:marRight w:val="0"/>
          <w:marTop w:val="0"/>
          <w:marBottom w:val="0"/>
          <w:divBdr>
            <w:top w:val="none" w:sz="0" w:space="0" w:color="auto"/>
            <w:left w:val="none" w:sz="0" w:space="0" w:color="auto"/>
            <w:bottom w:val="none" w:sz="0" w:space="0" w:color="auto"/>
            <w:right w:val="none" w:sz="0" w:space="0" w:color="auto"/>
          </w:divBdr>
        </w:div>
        <w:div w:id="1581015807">
          <w:marLeft w:val="0"/>
          <w:marRight w:val="0"/>
          <w:marTop w:val="0"/>
          <w:marBottom w:val="0"/>
          <w:divBdr>
            <w:top w:val="none" w:sz="0" w:space="0" w:color="auto"/>
            <w:left w:val="none" w:sz="0" w:space="0" w:color="auto"/>
            <w:bottom w:val="none" w:sz="0" w:space="0" w:color="auto"/>
            <w:right w:val="none" w:sz="0" w:space="0" w:color="auto"/>
          </w:divBdr>
        </w:div>
        <w:div w:id="1864633238">
          <w:marLeft w:val="0"/>
          <w:marRight w:val="0"/>
          <w:marTop w:val="0"/>
          <w:marBottom w:val="0"/>
          <w:divBdr>
            <w:top w:val="none" w:sz="0" w:space="0" w:color="auto"/>
            <w:left w:val="none" w:sz="0" w:space="0" w:color="auto"/>
            <w:bottom w:val="none" w:sz="0" w:space="0" w:color="auto"/>
            <w:right w:val="none" w:sz="0" w:space="0" w:color="auto"/>
          </w:divBdr>
        </w:div>
      </w:divsChild>
    </w:div>
    <w:div w:id="1225794184">
      <w:bodyDiv w:val="1"/>
      <w:marLeft w:val="0"/>
      <w:marRight w:val="0"/>
      <w:marTop w:val="0"/>
      <w:marBottom w:val="0"/>
      <w:divBdr>
        <w:top w:val="none" w:sz="0" w:space="0" w:color="auto"/>
        <w:left w:val="none" w:sz="0" w:space="0" w:color="auto"/>
        <w:bottom w:val="none" w:sz="0" w:space="0" w:color="auto"/>
        <w:right w:val="none" w:sz="0" w:space="0" w:color="auto"/>
      </w:divBdr>
    </w:div>
    <w:div w:id="1290015018">
      <w:bodyDiv w:val="1"/>
      <w:marLeft w:val="0"/>
      <w:marRight w:val="0"/>
      <w:marTop w:val="0"/>
      <w:marBottom w:val="0"/>
      <w:divBdr>
        <w:top w:val="none" w:sz="0" w:space="0" w:color="auto"/>
        <w:left w:val="none" w:sz="0" w:space="0" w:color="auto"/>
        <w:bottom w:val="none" w:sz="0" w:space="0" w:color="auto"/>
        <w:right w:val="none" w:sz="0" w:space="0" w:color="auto"/>
      </w:divBdr>
    </w:div>
    <w:div w:id="1376387877">
      <w:bodyDiv w:val="1"/>
      <w:marLeft w:val="0"/>
      <w:marRight w:val="0"/>
      <w:marTop w:val="0"/>
      <w:marBottom w:val="0"/>
      <w:divBdr>
        <w:top w:val="none" w:sz="0" w:space="0" w:color="auto"/>
        <w:left w:val="none" w:sz="0" w:space="0" w:color="auto"/>
        <w:bottom w:val="none" w:sz="0" w:space="0" w:color="auto"/>
        <w:right w:val="none" w:sz="0" w:space="0" w:color="auto"/>
      </w:divBdr>
    </w:div>
    <w:div w:id="1447311666">
      <w:bodyDiv w:val="1"/>
      <w:marLeft w:val="0"/>
      <w:marRight w:val="0"/>
      <w:marTop w:val="0"/>
      <w:marBottom w:val="0"/>
      <w:divBdr>
        <w:top w:val="none" w:sz="0" w:space="0" w:color="auto"/>
        <w:left w:val="none" w:sz="0" w:space="0" w:color="auto"/>
        <w:bottom w:val="none" w:sz="0" w:space="0" w:color="auto"/>
        <w:right w:val="none" w:sz="0" w:space="0" w:color="auto"/>
      </w:divBdr>
    </w:div>
    <w:div w:id="1508784586">
      <w:bodyDiv w:val="1"/>
      <w:marLeft w:val="0"/>
      <w:marRight w:val="0"/>
      <w:marTop w:val="0"/>
      <w:marBottom w:val="0"/>
      <w:divBdr>
        <w:top w:val="none" w:sz="0" w:space="0" w:color="auto"/>
        <w:left w:val="none" w:sz="0" w:space="0" w:color="auto"/>
        <w:bottom w:val="none" w:sz="0" w:space="0" w:color="auto"/>
        <w:right w:val="none" w:sz="0" w:space="0" w:color="auto"/>
      </w:divBdr>
    </w:div>
    <w:div w:id="1539582539">
      <w:bodyDiv w:val="1"/>
      <w:marLeft w:val="0"/>
      <w:marRight w:val="0"/>
      <w:marTop w:val="0"/>
      <w:marBottom w:val="0"/>
      <w:divBdr>
        <w:top w:val="none" w:sz="0" w:space="0" w:color="auto"/>
        <w:left w:val="none" w:sz="0" w:space="0" w:color="auto"/>
        <w:bottom w:val="none" w:sz="0" w:space="0" w:color="auto"/>
        <w:right w:val="none" w:sz="0" w:space="0" w:color="auto"/>
      </w:divBdr>
    </w:div>
    <w:div w:id="1620574606">
      <w:bodyDiv w:val="1"/>
      <w:marLeft w:val="0"/>
      <w:marRight w:val="0"/>
      <w:marTop w:val="0"/>
      <w:marBottom w:val="0"/>
      <w:divBdr>
        <w:top w:val="single" w:sz="2" w:space="0" w:color="999999"/>
        <w:left w:val="single" w:sz="2" w:space="0" w:color="999999"/>
        <w:bottom w:val="single" w:sz="2" w:space="0" w:color="999999"/>
        <w:right w:val="single" w:sz="2" w:space="0" w:color="999999"/>
      </w:divBdr>
      <w:divsChild>
        <w:div w:id="228542912">
          <w:marLeft w:val="0"/>
          <w:marRight w:val="0"/>
          <w:marTop w:val="0"/>
          <w:marBottom w:val="0"/>
          <w:divBdr>
            <w:top w:val="none" w:sz="0" w:space="0" w:color="auto"/>
            <w:left w:val="none" w:sz="0" w:space="0" w:color="auto"/>
            <w:bottom w:val="none" w:sz="0" w:space="0" w:color="auto"/>
            <w:right w:val="none" w:sz="0" w:space="0" w:color="auto"/>
          </w:divBdr>
        </w:div>
        <w:div w:id="1228567991">
          <w:marLeft w:val="0"/>
          <w:marRight w:val="0"/>
          <w:marTop w:val="0"/>
          <w:marBottom w:val="0"/>
          <w:divBdr>
            <w:top w:val="none" w:sz="0" w:space="0" w:color="auto"/>
            <w:left w:val="none" w:sz="0" w:space="0" w:color="auto"/>
            <w:bottom w:val="none" w:sz="0" w:space="0" w:color="auto"/>
            <w:right w:val="none" w:sz="0" w:space="0" w:color="auto"/>
          </w:divBdr>
          <w:divsChild>
            <w:div w:id="56974395">
              <w:marLeft w:val="0"/>
              <w:marRight w:val="0"/>
              <w:marTop w:val="0"/>
              <w:marBottom w:val="0"/>
              <w:divBdr>
                <w:top w:val="none" w:sz="0" w:space="0" w:color="auto"/>
                <w:left w:val="none" w:sz="0" w:space="0" w:color="auto"/>
                <w:bottom w:val="none" w:sz="0" w:space="0" w:color="auto"/>
                <w:right w:val="none" w:sz="0" w:space="0" w:color="auto"/>
              </w:divBdr>
              <w:divsChild>
                <w:div w:id="1402409408">
                  <w:marLeft w:val="0"/>
                  <w:marRight w:val="0"/>
                  <w:marTop w:val="100"/>
                  <w:marBottom w:val="100"/>
                  <w:divBdr>
                    <w:top w:val="none" w:sz="0" w:space="0" w:color="auto"/>
                    <w:left w:val="none" w:sz="0" w:space="0" w:color="auto"/>
                    <w:bottom w:val="none" w:sz="0" w:space="0" w:color="auto"/>
                    <w:right w:val="none" w:sz="0" w:space="0" w:color="auto"/>
                  </w:divBdr>
                  <w:divsChild>
                    <w:div w:id="476918536">
                      <w:marLeft w:val="0"/>
                      <w:marRight w:val="0"/>
                      <w:marTop w:val="0"/>
                      <w:marBottom w:val="0"/>
                      <w:divBdr>
                        <w:top w:val="none" w:sz="0" w:space="0" w:color="auto"/>
                        <w:left w:val="none" w:sz="0" w:space="0" w:color="auto"/>
                        <w:bottom w:val="none" w:sz="0" w:space="0" w:color="auto"/>
                        <w:right w:val="none" w:sz="0" w:space="0" w:color="auto"/>
                      </w:divBdr>
                      <w:divsChild>
                        <w:div w:id="1575359990">
                          <w:marLeft w:val="150"/>
                          <w:marRight w:val="0"/>
                          <w:marTop w:val="105"/>
                          <w:marBottom w:val="0"/>
                          <w:divBdr>
                            <w:top w:val="none" w:sz="0" w:space="0" w:color="auto"/>
                            <w:left w:val="none" w:sz="0" w:space="0" w:color="auto"/>
                            <w:bottom w:val="none" w:sz="0" w:space="0" w:color="auto"/>
                            <w:right w:val="none" w:sz="0" w:space="0" w:color="auto"/>
                          </w:divBdr>
                          <w:divsChild>
                            <w:div w:id="6941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1635">
                      <w:marLeft w:val="0"/>
                      <w:marRight w:val="0"/>
                      <w:marTop w:val="0"/>
                      <w:marBottom w:val="0"/>
                      <w:divBdr>
                        <w:top w:val="none" w:sz="0" w:space="0" w:color="auto"/>
                        <w:left w:val="none" w:sz="0" w:space="0" w:color="auto"/>
                        <w:bottom w:val="none" w:sz="0" w:space="0" w:color="auto"/>
                        <w:right w:val="none" w:sz="0" w:space="0" w:color="auto"/>
                      </w:divBdr>
                      <w:divsChild>
                        <w:div w:id="1071347870">
                          <w:marLeft w:val="0"/>
                          <w:marRight w:val="0"/>
                          <w:marTop w:val="0"/>
                          <w:marBottom w:val="0"/>
                          <w:divBdr>
                            <w:top w:val="none" w:sz="0" w:space="0" w:color="auto"/>
                            <w:left w:val="none" w:sz="0" w:space="0" w:color="auto"/>
                            <w:bottom w:val="none" w:sz="0" w:space="0" w:color="auto"/>
                            <w:right w:val="none" w:sz="0" w:space="0" w:color="auto"/>
                          </w:divBdr>
                          <w:divsChild>
                            <w:div w:id="1296135441">
                              <w:marLeft w:val="150"/>
                              <w:marRight w:val="150"/>
                              <w:marTop w:val="0"/>
                              <w:marBottom w:val="300"/>
                              <w:divBdr>
                                <w:top w:val="none" w:sz="0" w:space="0" w:color="auto"/>
                                <w:left w:val="none" w:sz="0" w:space="0" w:color="auto"/>
                                <w:bottom w:val="none" w:sz="0" w:space="0" w:color="auto"/>
                                <w:right w:val="none" w:sz="0" w:space="0" w:color="auto"/>
                              </w:divBdr>
                              <w:divsChild>
                                <w:div w:id="186647314">
                                  <w:marLeft w:val="0"/>
                                  <w:marRight w:val="0"/>
                                  <w:marTop w:val="0"/>
                                  <w:marBottom w:val="300"/>
                                  <w:divBdr>
                                    <w:top w:val="none" w:sz="0" w:space="0" w:color="auto"/>
                                    <w:left w:val="none" w:sz="0" w:space="0" w:color="auto"/>
                                    <w:bottom w:val="none" w:sz="0" w:space="0" w:color="auto"/>
                                    <w:right w:val="none" w:sz="0" w:space="0" w:color="auto"/>
                                  </w:divBdr>
                                  <w:divsChild>
                                    <w:div w:id="94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641222">
              <w:marLeft w:val="0"/>
              <w:marRight w:val="0"/>
              <w:marTop w:val="0"/>
              <w:marBottom w:val="0"/>
              <w:divBdr>
                <w:top w:val="none" w:sz="0" w:space="0" w:color="auto"/>
                <w:left w:val="none" w:sz="0" w:space="0" w:color="auto"/>
                <w:bottom w:val="none" w:sz="0" w:space="0" w:color="auto"/>
                <w:right w:val="none" w:sz="0" w:space="0" w:color="auto"/>
              </w:divBdr>
              <w:divsChild>
                <w:div w:id="157156197">
                  <w:marLeft w:val="0"/>
                  <w:marRight w:val="0"/>
                  <w:marTop w:val="0"/>
                  <w:marBottom w:val="0"/>
                  <w:divBdr>
                    <w:top w:val="none" w:sz="0" w:space="0" w:color="auto"/>
                    <w:left w:val="none" w:sz="0" w:space="0" w:color="auto"/>
                    <w:bottom w:val="none" w:sz="0" w:space="0" w:color="auto"/>
                    <w:right w:val="none" w:sz="0" w:space="0" w:color="auto"/>
                  </w:divBdr>
                  <w:divsChild>
                    <w:div w:id="817187115">
                      <w:marLeft w:val="0"/>
                      <w:marRight w:val="0"/>
                      <w:marTop w:val="0"/>
                      <w:marBottom w:val="0"/>
                      <w:divBdr>
                        <w:top w:val="none" w:sz="0" w:space="0" w:color="auto"/>
                        <w:left w:val="none" w:sz="0" w:space="0" w:color="auto"/>
                        <w:bottom w:val="none" w:sz="0" w:space="0" w:color="auto"/>
                        <w:right w:val="none" w:sz="0" w:space="0" w:color="auto"/>
                      </w:divBdr>
                      <w:divsChild>
                        <w:div w:id="622542667">
                          <w:marLeft w:val="0"/>
                          <w:marRight w:val="0"/>
                          <w:marTop w:val="100"/>
                          <w:marBottom w:val="100"/>
                          <w:divBdr>
                            <w:top w:val="none" w:sz="0" w:space="0" w:color="auto"/>
                            <w:left w:val="none" w:sz="0" w:space="0" w:color="auto"/>
                            <w:bottom w:val="none" w:sz="0" w:space="0" w:color="auto"/>
                            <w:right w:val="none" w:sz="0" w:space="0" w:color="auto"/>
                          </w:divBdr>
                          <w:divsChild>
                            <w:div w:id="250743285">
                              <w:marLeft w:val="150"/>
                              <w:marRight w:val="150"/>
                              <w:marTop w:val="0"/>
                              <w:marBottom w:val="0"/>
                              <w:divBdr>
                                <w:top w:val="none" w:sz="0" w:space="0" w:color="auto"/>
                                <w:left w:val="none" w:sz="0" w:space="0" w:color="auto"/>
                                <w:bottom w:val="none" w:sz="0" w:space="0" w:color="auto"/>
                                <w:right w:val="none" w:sz="0" w:space="0" w:color="auto"/>
                              </w:divBdr>
                            </w:div>
                            <w:div w:id="539904532">
                              <w:marLeft w:val="150"/>
                              <w:marRight w:val="150"/>
                              <w:marTop w:val="0"/>
                              <w:marBottom w:val="0"/>
                              <w:divBdr>
                                <w:top w:val="none" w:sz="0" w:space="0" w:color="auto"/>
                                <w:left w:val="none" w:sz="0" w:space="0" w:color="auto"/>
                                <w:bottom w:val="none" w:sz="0" w:space="0" w:color="auto"/>
                                <w:right w:val="none" w:sz="0" w:space="0" w:color="auto"/>
                              </w:divBdr>
                            </w:div>
                            <w:div w:id="1522278390">
                              <w:marLeft w:val="150"/>
                              <w:marRight w:val="150"/>
                              <w:marTop w:val="0"/>
                              <w:marBottom w:val="0"/>
                              <w:divBdr>
                                <w:top w:val="none" w:sz="0" w:space="0" w:color="auto"/>
                                <w:left w:val="none" w:sz="0" w:space="0" w:color="auto"/>
                                <w:bottom w:val="none" w:sz="0" w:space="0" w:color="auto"/>
                                <w:right w:val="none" w:sz="0" w:space="0" w:color="auto"/>
                              </w:divBdr>
                            </w:div>
                            <w:div w:id="1912085118">
                              <w:marLeft w:val="0"/>
                              <w:marRight w:val="0"/>
                              <w:marTop w:val="0"/>
                              <w:marBottom w:val="0"/>
                              <w:divBdr>
                                <w:top w:val="none" w:sz="0" w:space="0" w:color="auto"/>
                                <w:left w:val="none" w:sz="0" w:space="0" w:color="auto"/>
                                <w:bottom w:val="none" w:sz="0" w:space="0" w:color="auto"/>
                                <w:right w:val="none" w:sz="0" w:space="0" w:color="auto"/>
                              </w:divBdr>
                            </w:div>
                            <w:div w:id="21142038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40572070">
                      <w:marLeft w:val="0"/>
                      <w:marRight w:val="0"/>
                      <w:marTop w:val="0"/>
                      <w:marBottom w:val="0"/>
                      <w:divBdr>
                        <w:top w:val="none" w:sz="0" w:space="0" w:color="auto"/>
                        <w:left w:val="none" w:sz="0" w:space="0" w:color="auto"/>
                        <w:bottom w:val="none" w:sz="0" w:space="0" w:color="auto"/>
                        <w:right w:val="none" w:sz="0" w:space="0" w:color="auto"/>
                      </w:divBdr>
                      <w:divsChild>
                        <w:div w:id="2032032046">
                          <w:marLeft w:val="0"/>
                          <w:marRight w:val="0"/>
                          <w:marTop w:val="100"/>
                          <w:marBottom w:val="100"/>
                          <w:divBdr>
                            <w:top w:val="none" w:sz="0" w:space="0" w:color="auto"/>
                            <w:left w:val="none" w:sz="0" w:space="0" w:color="auto"/>
                            <w:bottom w:val="none" w:sz="0" w:space="0" w:color="auto"/>
                            <w:right w:val="none" w:sz="0" w:space="0" w:color="auto"/>
                          </w:divBdr>
                          <w:divsChild>
                            <w:div w:id="18010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3980">
      <w:bodyDiv w:val="1"/>
      <w:marLeft w:val="0"/>
      <w:marRight w:val="0"/>
      <w:marTop w:val="0"/>
      <w:marBottom w:val="0"/>
      <w:divBdr>
        <w:top w:val="none" w:sz="0" w:space="0" w:color="auto"/>
        <w:left w:val="none" w:sz="0" w:space="0" w:color="auto"/>
        <w:bottom w:val="none" w:sz="0" w:space="0" w:color="auto"/>
        <w:right w:val="none" w:sz="0" w:space="0" w:color="auto"/>
      </w:divBdr>
    </w:div>
    <w:div w:id="1630478763">
      <w:bodyDiv w:val="1"/>
      <w:marLeft w:val="0"/>
      <w:marRight w:val="0"/>
      <w:marTop w:val="0"/>
      <w:marBottom w:val="0"/>
      <w:divBdr>
        <w:top w:val="none" w:sz="0" w:space="0" w:color="auto"/>
        <w:left w:val="none" w:sz="0" w:space="0" w:color="auto"/>
        <w:bottom w:val="none" w:sz="0" w:space="0" w:color="auto"/>
        <w:right w:val="none" w:sz="0" w:space="0" w:color="auto"/>
      </w:divBdr>
    </w:div>
    <w:div w:id="1646620057">
      <w:bodyDiv w:val="1"/>
      <w:marLeft w:val="0"/>
      <w:marRight w:val="0"/>
      <w:marTop w:val="0"/>
      <w:marBottom w:val="0"/>
      <w:divBdr>
        <w:top w:val="none" w:sz="0" w:space="0" w:color="auto"/>
        <w:left w:val="none" w:sz="0" w:space="0" w:color="auto"/>
        <w:bottom w:val="none" w:sz="0" w:space="0" w:color="auto"/>
        <w:right w:val="none" w:sz="0" w:space="0" w:color="auto"/>
      </w:divBdr>
    </w:div>
    <w:div w:id="1714113657">
      <w:bodyDiv w:val="1"/>
      <w:marLeft w:val="0"/>
      <w:marRight w:val="0"/>
      <w:marTop w:val="0"/>
      <w:marBottom w:val="0"/>
      <w:divBdr>
        <w:top w:val="none" w:sz="0" w:space="0" w:color="auto"/>
        <w:left w:val="none" w:sz="0" w:space="0" w:color="auto"/>
        <w:bottom w:val="none" w:sz="0" w:space="0" w:color="auto"/>
        <w:right w:val="none" w:sz="0" w:space="0" w:color="auto"/>
      </w:divBdr>
    </w:div>
    <w:div w:id="1750229904">
      <w:bodyDiv w:val="1"/>
      <w:marLeft w:val="0"/>
      <w:marRight w:val="0"/>
      <w:marTop w:val="0"/>
      <w:marBottom w:val="0"/>
      <w:divBdr>
        <w:top w:val="none" w:sz="0" w:space="0" w:color="auto"/>
        <w:left w:val="none" w:sz="0" w:space="0" w:color="auto"/>
        <w:bottom w:val="none" w:sz="0" w:space="0" w:color="auto"/>
        <w:right w:val="none" w:sz="0" w:space="0" w:color="auto"/>
      </w:divBdr>
    </w:div>
    <w:div w:id="1814062064">
      <w:bodyDiv w:val="1"/>
      <w:marLeft w:val="0"/>
      <w:marRight w:val="0"/>
      <w:marTop w:val="0"/>
      <w:marBottom w:val="0"/>
      <w:divBdr>
        <w:top w:val="none" w:sz="0" w:space="0" w:color="auto"/>
        <w:left w:val="none" w:sz="0" w:space="0" w:color="auto"/>
        <w:bottom w:val="none" w:sz="0" w:space="0" w:color="auto"/>
        <w:right w:val="none" w:sz="0" w:space="0" w:color="auto"/>
      </w:divBdr>
    </w:div>
    <w:div w:id="1820927271">
      <w:bodyDiv w:val="1"/>
      <w:marLeft w:val="0"/>
      <w:marRight w:val="0"/>
      <w:marTop w:val="0"/>
      <w:marBottom w:val="0"/>
      <w:divBdr>
        <w:top w:val="none" w:sz="0" w:space="0" w:color="auto"/>
        <w:left w:val="none" w:sz="0" w:space="0" w:color="auto"/>
        <w:bottom w:val="none" w:sz="0" w:space="0" w:color="auto"/>
        <w:right w:val="none" w:sz="0" w:space="0" w:color="auto"/>
      </w:divBdr>
    </w:div>
    <w:div w:id="1833989285">
      <w:bodyDiv w:val="1"/>
      <w:marLeft w:val="0"/>
      <w:marRight w:val="0"/>
      <w:marTop w:val="0"/>
      <w:marBottom w:val="0"/>
      <w:divBdr>
        <w:top w:val="none" w:sz="0" w:space="0" w:color="auto"/>
        <w:left w:val="none" w:sz="0" w:space="0" w:color="auto"/>
        <w:bottom w:val="none" w:sz="0" w:space="0" w:color="auto"/>
        <w:right w:val="none" w:sz="0" w:space="0" w:color="auto"/>
      </w:divBdr>
    </w:div>
    <w:div w:id="2025129514">
      <w:bodyDiv w:val="1"/>
      <w:marLeft w:val="0"/>
      <w:marRight w:val="0"/>
      <w:marTop w:val="0"/>
      <w:marBottom w:val="0"/>
      <w:divBdr>
        <w:top w:val="none" w:sz="0" w:space="0" w:color="auto"/>
        <w:left w:val="none" w:sz="0" w:space="0" w:color="auto"/>
        <w:bottom w:val="none" w:sz="0" w:space="0" w:color="auto"/>
        <w:right w:val="none" w:sz="0" w:space="0" w:color="auto"/>
      </w:divBdr>
    </w:div>
    <w:div w:id="21271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politico.eu/article/belgian-regional-government-set-to-block-eu-canada-trade-deal/" TargetMode="External"/><Relationship Id="rId13" Type="http://schemas.openxmlformats.org/officeDocument/2006/relationships/hyperlink" Target="http://trade.ec.europa.eu/doclib/docs/2006/october/tradoc_130376.pdf" TargetMode="External"/><Relationship Id="rId3" Type="http://schemas.openxmlformats.org/officeDocument/2006/relationships/hyperlink" Target="http://www.mofa.go.jp/policy/economy/fta/" TargetMode="External"/><Relationship Id="rId7" Type="http://schemas.openxmlformats.org/officeDocument/2006/relationships/hyperlink" Target="https://www.iisd.org/itn/2009/06/05/ngos-claim-the-philippine-japan-free-trade-agreement-is-unconstitutional/" TargetMode="External"/><Relationship Id="rId12" Type="http://schemas.openxmlformats.org/officeDocument/2006/relationships/hyperlink" Target="http://trade.ec.europa.eu/doclib/docs/2009/december/tradoc_145610.pdf" TargetMode="External"/><Relationship Id="rId2" Type="http://schemas.openxmlformats.org/officeDocument/2006/relationships/hyperlink" Target="http://www.international.gc.ca/trade-agreements-accords-commerciaux/agr-acc/fta-ale.aspx?lang=eng" TargetMode="External"/><Relationship Id="rId1" Type="http://schemas.openxmlformats.org/officeDocument/2006/relationships/hyperlink" Target="http://investmentpolicyhub.unctad.org/IIA" TargetMode="External"/><Relationship Id="rId6" Type="http://schemas.openxmlformats.org/officeDocument/2006/relationships/hyperlink" Target="http://investmentpolicyhub.unctad.org/IIA/CountryBits/11" TargetMode="External"/><Relationship Id="rId11" Type="http://schemas.openxmlformats.org/officeDocument/2006/relationships/hyperlink" Target="http://trade.ec.europa.eu/doclib/press/index.cfm?id=1468" TargetMode="External"/><Relationship Id="rId5" Type="http://schemas.openxmlformats.org/officeDocument/2006/relationships/hyperlink" Target="http://www.iisd.org/itn/2011/07/12/australias-rejection-of-investor-state-dispute-settlement-four-potential-contributing-factors/" TargetMode="External"/><Relationship Id="rId10" Type="http://schemas.openxmlformats.org/officeDocument/2006/relationships/hyperlink" Target="http://trade.ec.europa.eu/doclib/cfm/doclib_section.cfm?sec=709" TargetMode="External"/><Relationship Id="rId4" Type="http://schemas.openxmlformats.org/officeDocument/2006/relationships/hyperlink" Target="http://dfat.gov.au/trade/agreements/pages/trade-agreements.aspx" TargetMode="External"/><Relationship Id="rId9" Type="http://schemas.openxmlformats.org/officeDocument/2006/relationships/hyperlink" Target="http://www.politico.eu/article/belgiums-walloons-cave-on-eu-canada-trade-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BBF1-9828-41E8-BB82-172D222F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12111</Words>
  <Characters>65642</Characters>
  <Application>Microsoft Office Word</Application>
  <DocSecurity>0</DocSecurity>
  <Lines>1025</Lines>
  <Paragraphs>184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Wien</Company>
  <LinksUpToDate>false</LinksUpToDate>
  <CharactersWithSpaces>77569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Beier Lin</dc:creator>
  <cp:lastModifiedBy>Szilárd Gáspár-Szilágyi</cp:lastModifiedBy>
  <cp:revision>3</cp:revision>
  <dcterms:created xsi:type="dcterms:W3CDTF">2018-01-04T15:19:00Z</dcterms:created>
  <dcterms:modified xsi:type="dcterms:W3CDTF">2018-01-04T15:20:00Z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id="8wxCg5Jh"/&gt;&lt;style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ies>
</file>