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C895" w14:textId="77777777" w:rsidR="00CF72A8" w:rsidRPr="00CF72A8" w:rsidRDefault="00CF72A8" w:rsidP="00CF72A8">
      <w:pPr>
        <w:spacing w:line="480" w:lineRule="auto"/>
        <w:rPr>
          <w:rFonts w:eastAsiaTheme="minorHAnsi" w:cstheme="minorHAnsi"/>
          <w:b/>
          <w:sz w:val="28"/>
          <w:szCs w:val="28"/>
          <w:lang w:val="en-US" w:eastAsia="en-US"/>
        </w:rPr>
      </w:pPr>
      <w:r w:rsidRPr="00450883">
        <w:rPr>
          <w:rFonts w:eastAsiaTheme="minorHAnsi" w:cstheme="minorHAnsi"/>
          <w:b/>
          <w:sz w:val="28"/>
          <w:szCs w:val="28"/>
          <w:lang w:val="en-US" w:eastAsia="en-US"/>
        </w:rPr>
        <w:t>Supplementary appendix</w:t>
      </w:r>
    </w:p>
    <w:p w14:paraId="1E5EC7BC" w14:textId="77777777" w:rsidR="00CF72A8" w:rsidRPr="00764002" w:rsidRDefault="00CF72A8" w:rsidP="00CF72A8">
      <w:pPr>
        <w:rPr>
          <w:rFonts w:cstheme="minorHAnsi"/>
          <w:b/>
          <w:sz w:val="24"/>
          <w:szCs w:val="24"/>
          <w:lang w:val="en-GB"/>
        </w:rPr>
      </w:pPr>
      <w:r w:rsidRPr="00506B24">
        <w:rPr>
          <w:rFonts w:cstheme="minorHAnsi"/>
          <w:b/>
          <w:sz w:val="24"/>
          <w:szCs w:val="24"/>
          <w:lang w:val="en-GB"/>
        </w:rPr>
        <w:t>Table 1 Knee injury codes (ICD-10)</w:t>
      </w:r>
    </w:p>
    <w:tbl>
      <w:tblPr>
        <w:tblStyle w:val="TableGrid"/>
        <w:tblW w:w="38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2134"/>
      </w:tblGrid>
      <w:tr w:rsidR="00CF72A8" w:rsidRPr="0000010D" w14:paraId="0DF5A2EC" w14:textId="77777777" w:rsidTr="008D4070">
        <w:tc>
          <w:tcPr>
            <w:tcW w:w="3462" w:type="pct"/>
            <w:tcBorders>
              <w:top w:val="single" w:sz="4" w:space="0" w:color="auto"/>
            </w:tcBorders>
            <w:shd w:val="clear" w:color="auto" w:fill="auto"/>
          </w:tcPr>
          <w:p w14:paraId="35213557" w14:textId="77777777" w:rsidR="00CF72A8" w:rsidRPr="0000010D" w:rsidRDefault="00CF72A8" w:rsidP="008D4070">
            <w:pPr>
              <w:keepNext/>
              <w:spacing w:line="48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b/>
                <w:sz w:val="20"/>
                <w:szCs w:val="20"/>
                <w:lang w:val="en-GB"/>
              </w:rPr>
              <w:t>Knee injury description</w:t>
            </w:r>
          </w:p>
        </w:tc>
        <w:tc>
          <w:tcPr>
            <w:tcW w:w="1538" w:type="pct"/>
            <w:tcBorders>
              <w:top w:val="single" w:sz="4" w:space="0" w:color="auto"/>
            </w:tcBorders>
            <w:shd w:val="clear" w:color="auto" w:fill="auto"/>
          </w:tcPr>
          <w:p w14:paraId="56080D5E" w14:textId="77777777" w:rsidR="00CF72A8" w:rsidRPr="0000010D" w:rsidRDefault="00CF72A8" w:rsidP="008D4070">
            <w:pPr>
              <w:keepNext/>
              <w:spacing w:line="48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b/>
                <w:sz w:val="20"/>
                <w:szCs w:val="20"/>
                <w:lang w:val="en-GB"/>
              </w:rPr>
              <w:t>Knee injury code</w:t>
            </w:r>
          </w:p>
        </w:tc>
      </w:tr>
      <w:tr w:rsidR="00CF72A8" w:rsidRPr="0000010D" w14:paraId="2160D01F" w14:textId="77777777" w:rsidTr="008D4070">
        <w:tc>
          <w:tcPr>
            <w:tcW w:w="3462" w:type="pct"/>
            <w:tcBorders>
              <w:top w:val="single" w:sz="4" w:space="0" w:color="auto"/>
            </w:tcBorders>
            <w:shd w:val="clear" w:color="auto" w:fill="auto"/>
          </w:tcPr>
          <w:p w14:paraId="2377EE0F" w14:textId="77777777" w:rsidR="00CF72A8" w:rsidRPr="0000010D" w:rsidRDefault="00CF72A8" w:rsidP="008D4070">
            <w:pPr>
              <w:keepNext/>
              <w:spacing w:line="48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Knee contusion</w:t>
            </w:r>
          </w:p>
        </w:tc>
        <w:tc>
          <w:tcPr>
            <w:tcW w:w="1538" w:type="pct"/>
            <w:tcBorders>
              <w:top w:val="single" w:sz="4" w:space="0" w:color="auto"/>
            </w:tcBorders>
            <w:shd w:val="clear" w:color="auto" w:fill="auto"/>
          </w:tcPr>
          <w:p w14:paraId="4AF48360" w14:textId="77777777" w:rsidR="00CF72A8" w:rsidRPr="0000010D" w:rsidRDefault="00CF72A8" w:rsidP="008D4070">
            <w:pPr>
              <w:keepNext/>
              <w:spacing w:line="48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S80.0</w:t>
            </w:r>
          </w:p>
        </w:tc>
      </w:tr>
      <w:tr w:rsidR="00CF72A8" w:rsidRPr="0000010D" w14:paraId="17FE4C72" w14:textId="77777777" w:rsidTr="008D4070">
        <w:tc>
          <w:tcPr>
            <w:tcW w:w="3462" w:type="pct"/>
            <w:shd w:val="clear" w:color="auto" w:fill="auto"/>
          </w:tcPr>
          <w:p w14:paraId="1A1CEB5D" w14:textId="77777777" w:rsidR="00CF72A8" w:rsidRPr="0000010D" w:rsidRDefault="00CF72A8" w:rsidP="008D4070">
            <w:pPr>
              <w:keepNext/>
              <w:spacing w:line="48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Fracture of patellae</w:t>
            </w:r>
          </w:p>
        </w:tc>
        <w:tc>
          <w:tcPr>
            <w:tcW w:w="1538" w:type="pct"/>
            <w:shd w:val="clear" w:color="auto" w:fill="auto"/>
          </w:tcPr>
          <w:p w14:paraId="627E07CE" w14:textId="77777777" w:rsidR="00CF72A8" w:rsidRPr="0000010D" w:rsidRDefault="00CF72A8" w:rsidP="008D4070">
            <w:pPr>
              <w:keepNext/>
              <w:spacing w:line="48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S82.0</w:t>
            </w:r>
          </w:p>
        </w:tc>
      </w:tr>
      <w:tr w:rsidR="00CF72A8" w:rsidRPr="0000010D" w14:paraId="587B5DB4" w14:textId="77777777" w:rsidTr="008D4070">
        <w:tc>
          <w:tcPr>
            <w:tcW w:w="3462" w:type="pct"/>
            <w:shd w:val="clear" w:color="auto" w:fill="auto"/>
          </w:tcPr>
          <w:p w14:paraId="11C76664" w14:textId="77777777" w:rsidR="00CF72A8" w:rsidRPr="0000010D" w:rsidRDefault="00CF72A8" w:rsidP="008D4070">
            <w:pPr>
              <w:keepNext/>
              <w:spacing w:line="48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US"/>
              </w:rPr>
              <w:t>Fracture of the upper end of tibia</w:t>
            </w:r>
          </w:p>
        </w:tc>
        <w:tc>
          <w:tcPr>
            <w:tcW w:w="1538" w:type="pct"/>
            <w:shd w:val="clear" w:color="auto" w:fill="auto"/>
          </w:tcPr>
          <w:p w14:paraId="29AFCDEA" w14:textId="77777777" w:rsidR="00CF72A8" w:rsidRPr="0000010D" w:rsidRDefault="00CF72A8" w:rsidP="008D4070">
            <w:pPr>
              <w:keepNext/>
              <w:spacing w:line="48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S82.1</w:t>
            </w:r>
          </w:p>
        </w:tc>
      </w:tr>
      <w:tr w:rsidR="00CF72A8" w:rsidRPr="0000010D" w14:paraId="60010636" w14:textId="77777777" w:rsidTr="008D4070">
        <w:tc>
          <w:tcPr>
            <w:tcW w:w="3462" w:type="pct"/>
            <w:shd w:val="clear" w:color="auto" w:fill="auto"/>
          </w:tcPr>
          <w:p w14:paraId="0FC6981D" w14:textId="77777777" w:rsidR="00CF72A8" w:rsidRPr="0000010D" w:rsidRDefault="00CF72A8" w:rsidP="008D4070">
            <w:pPr>
              <w:keepNext/>
              <w:spacing w:line="48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Dislocation of patellae</w:t>
            </w:r>
          </w:p>
        </w:tc>
        <w:tc>
          <w:tcPr>
            <w:tcW w:w="1538" w:type="pct"/>
            <w:shd w:val="clear" w:color="auto" w:fill="auto"/>
          </w:tcPr>
          <w:p w14:paraId="50C63C38" w14:textId="77777777" w:rsidR="00CF72A8" w:rsidRPr="0000010D" w:rsidRDefault="00CF72A8" w:rsidP="008D4070">
            <w:pPr>
              <w:keepNext/>
              <w:spacing w:line="48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S83.0</w:t>
            </w:r>
          </w:p>
        </w:tc>
      </w:tr>
      <w:tr w:rsidR="00CF72A8" w:rsidRPr="0000010D" w14:paraId="70178BC5" w14:textId="77777777" w:rsidTr="008D4070">
        <w:tc>
          <w:tcPr>
            <w:tcW w:w="3462" w:type="pct"/>
            <w:shd w:val="clear" w:color="auto" w:fill="auto"/>
          </w:tcPr>
          <w:p w14:paraId="2258259A" w14:textId="77777777" w:rsidR="00CF72A8" w:rsidRPr="0000010D" w:rsidRDefault="00CF72A8" w:rsidP="008D4070">
            <w:pPr>
              <w:keepNext/>
              <w:spacing w:line="48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Dislocation of knee</w:t>
            </w:r>
          </w:p>
        </w:tc>
        <w:tc>
          <w:tcPr>
            <w:tcW w:w="1538" w:type="pct"/>
            <w:shd w:val="clear" w:color="auto" w:fill="auto"/>
          </w:tcPr>
          <w:p w14:paraId="2AA75293" w14:textId="77777777" w:rsidR="00CF72A8" w:rsidRPr="0000010D" w:rsidRDefault="00CF72A8" w:rsidP="008D4070">
            <w:pPr>
              <w:keepNext/>
              <w:spacing w:line="48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S83.1</w:t>
            </w:r>
          </w:p>
        </w:tc>
      </w:tr>
      <w:tr w:rsidR="00CF72A8" w:rsidRPr="0000010D" w14:paraId="27582E64" w14:textId="77777777" w:rsidTr="008D4070">
        <w:tc>
          <w:tcPr>
            <w:tcW w:w="3462" w:type="pct"/>
            <w:shd w:val="clear" w:color="auto" w:fill="auto"/>
          </w:tcPr>
          <w:p w14:paraId="5259F183" w14:textId="77777777" w:rsidR="00CF72A8" w:rsidRPr="0000010D" w:rsidRDefault="00CF72A8" w:rsidP="008D4070">
            <w:pPr>
              <w:keepNext/>
              <w:spacing w:line="48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Meniscal tear</w:t>
            </w:r>
          </w:p>
        </w:tc>
        <w:tc>
          <w:tcPr>
            <w:tcW w:w="1538" w:type="pct"/>
            <w:shd w:val="clear" w:color="auto" w:fill="auto"/>
          </w:tcPr>
          <w:p w14:paraId="5F930CA0" w14:textId="77777777" w:rsidR="00CF72A8" w:rsidRPr="0000010D" w:rsidRDefault="00CF72A8" w:rsidP="008D4070">
            <w:pPr>
              <w:keepNext/>
              <w:spacing w:line="48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S83.2</w:t>
            </w:r>
          </w:p>
        </w:tc>
      </w:tr>
      <w:tr w:rsidR="00CF72A8" w:rsidRPr="0000010D" w14:paraId="57B18F2A" w14:textId="77777777" w:rsidTr="008D4070">
        <w:tc>
          <w:tcPr>
            <w:tcW w:w="3462" w:type="pct"/>
            <w:shd w:val="clear" w:color="auto" w:fill="auto"/>
          </w:tcPr>
          <w:p w14:paraId="7CF88B1D" w14:textId="77777777" w:rsidR="00CF72A8" w:rsidRPr="0000010D" w:rsidRDefault="00CF72A8" w:rsidP="008D4070">
            <w:pPr>
              <w:keepNext/>
              <w:spacing w:line="48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Articular cartilage tear</w:t>
            </w:r>
          </w:p>
        </w:tc>
        <w:tc>
          <w:tcPr>
            <w:tcW w:w="1538" w:type="pct"/>
            <w:shd w:val="clear" w:color="auto" w:fill="auto"/>
          </w:tcPr>
          <w:p w14:paraId="65FDE11A" w14:textId="77777777" w:rsidR="00CF72A8" w:rsidRPr="0000010D" w:rsidRDefault="00CF72A8" w:rsidP="008D4070">
            <w:pPr>
              <w:keepNext/>
              <w:spacing w:line="48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S83.3</w:t>
            </w:r>
          </w:p>
        </w:tc>
      </w:tr>
      <w:tr w:rsidR="00CF72A8" w:rsidRPr="0000010D" w14:paraId="5107A41F" w14:textId="77777777" w:rsidTr="008D4070">
        <w:tc>
          <w:tcPr>
            <w:tcW w:w="3462" w:type="pct"/>
            <w:shd w:val="clear" w:color="auto" w:fill="auto"/>
          </w:tcPr>
          <w:p w14:paraId="51CE2D9A" w14:textId="77777777" w:rsidR="00CF72A8" w:rsidRPr="0000010D" w:rsidRDefault="00CF72A8" w:rsidP="008D4070">
            <w:pPr>
              <w:keepNext/>
              <w:spacing w:line="48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Collateral ligament sprain/strain</w:t>
            </w:r>
          </w:p>
        </w:tc>
        <w:tc>
          <w:tcPr>
            <w:tcW w:w="1538" w:type="pct"/>
            <w:shd w:val="clear" w:color="auto" w:fill="auto"/>
          </w:tcPr>
          <w:p w14:paraId="6DB843A3" w14:textId="77777777" w:rsidR="00CF72A8" w:rsidRPr="0000010D" w:rsidRDefault="00CF72A8" w:rsidP="008D4070">
            <w:pPr>
              <w:keepNext/>
              <w:spacing w:line="48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S83.4</w:t>
            </w:r>
          </w:p>
        </w:tc>
      </w:tr>
      <w:tr w:rsidR="00CF72A8" w:rsidRPr="0000010D" w14:paraId="577DA24C" w14:textId="77777777" w:rsidTr="008D4070">
        <w:tc>
          <w:tcPr>
            <w:tcW w:w="3462" w:type="pct"/>
            <w:shd w:val="clear" w:color="auto" w:fill="auto"/>
          </w:tcPr>
          <w:p w14:paraId="2D302649" w14:textId="77777777" w:rsidR="00CF72A8" w:rsidRPr="0000010D" w:rsidRDefault="00CF72A8" w:rsidP="008D4070">
            <w:pPr>
              <w:keepNext/>
              <w:spacing w:line="48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Cruciate ligament sprain/strain</w:t>
            </w:r>
          </w:p>
        </w:tc>
        <w:tc>
          <w:tcPr>
            <w:tcW w:w="1538" w:type="pct"/>
            <w:shd w:val="clear" w:color="auto" w:fill="auto"/>
          </w:tcPr>
          <w:p w14:paraId="2B397D03" w14:textId="77777777" w:rsidR="00CF72A8" w:rsidRPr="0000010D" w:rsidRDefault="00CF72A8" w:rsidP="008D4070">
            <w:pPr>
              <w:keepNext/>
              <w:spacing w:line="48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S83.5</w:t>
            </w:r>
          </w:p>
        </w:tc>
      </w:tr>
      <w:tr w:rsidR="00CF72A8" w:rsidRPr="0000010D" w14:paraId="7CD3A41F" w14:textId="77777777" w:rsidTr="008D4070">
        <w:tc>
          <w:tcPr>
            <w:tcW w:w="3462" w:type="pct"/>
            <w:shd w:val="clear" w:color="auto" w:fill="auto"/>
          </w:tcPr>
          <w:p w14:paraId="09C81F05" w14:textId="77777777" w:rsidR="00CF72A8" w:rsidRPr="0000010D" w:rsidRDefault="00CF72A8" w:rsidP="008D4070">
            <w:pPr>
              <w:keepNext/>
              <w:spacing w:line="48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Other/unspecified sprain/strain</w:t>
            </w:r>
          </w:p>
        </w:tc>
        <w:tc>
          <w:tcPr>
            <w:tcW w:w="1538" w:type="pct"/>
            <w:shd w:val="clear" w:color="auto" w:fill="auto"/>
          </w:tcPr>
          <w:p w14:paraId="5D5ABB63" w14:textId="77777777" w:rsidR="00CF72A8" w:rsidRPr="0000010D" w:rsidRDefault="00CF72A8" w:rsidP="008D4070">
            <w:pPr>
              <w:keepNext/>
              <w:spacing w:line="48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S83.6</w:t>
            </w:r>
          </w:p>
        </w:tc>
      </w:tr>
      <w:tr w:rsidR="00CF72A8" w:rsidRPr="0000010D" w14:paraId="105763E5" w14:textId="77777777" w:rsidTr="008D4070">
        <w:tc>
          <w:tcPr>
            <w:tcW w:w="3462" w:type="pct"/>
            <w:tcBorders>
              <w:bottom w:val="single" w:sz="4" w:space="0" w:color="auto"/>
            </w:tcBorders>
            <w:shd w:val="clear" w:color="auto" w:fill="auto"/>
          </w:tcPr>
          <w:p w14:paraId="5E4C2D53" w14:textId="77777777" w:rsidR="00CF72A8" w:rsidRPr="0000010D" w:rsidRDefault="00CF72A8" w:rsidP="008D4070">
            <w:pPr>
              <w:spacing w:line="48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Injury to multiple structures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</w:tcPr>
          <w:p w14:paraId="2B73B0EE" w14:textId="77777777" w:rsidR="00CF72A8" w:rsidRPr="0000010D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0010D">
              <w:rPr>
                <w:rFonts w:cstheme="minorHAnsi"/>
                <w:sz w:val="20"/>
                <w:szCs w:val="20"/>
                <w:lang w:val="en-GB"/>
              </w:rPr>
              <w:t>S83.7</w:t>
            </w:r>
          </w:p>
        </w:tc>
      </w:tr>
    </w:tbl>
    <w:p w14:paraId="039FFBF9" w14:textId="77777777" w:rsidR="00CF72A8" w:rsidRDefault="00CF72A8" w:rsidP="00CF72A8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br w:type="page"/>
      </w:r>
    </w:p>
    <w:p w14:paraId="2B922047" w14:textId="77777777" w:rsidR="00C07045" w:rsidRDefault="005B3F89" w:rsidP="00C07045">
      <w:pPr>
        <w:spacing w:after="0"/>
        <w:ind w:left="357"/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32BAF066" wp14:editId="48A54DB9">
            <wp:simplePos x="0" y="0"/>
            <wp:positionH relativeFrom="column">
              <wp:posOffset>-213995</wp:posOffset>
            </wp:positionH>
            <wp:positionV relativeFrom="paragraph">
              <wp:posOffset>738505</wp:posOffset>
            </wp:positionV>
            <wp:extent cx="6600825" cy="3971925"/>
            <wp:effectExtent l="0" t="0" r="9525" b="952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045" w:rsidRPr="00C07045">
        <w:rPr>
          <w:rFonts w:cstheme="minorHAnsi"/>
          <w:b/>
          <w:sz w:val="24"/>
          <w:szCs w:val="24"/>
          <w:lang w:val="en-GB"/>
        </w:rPr>
        <w:t>Figure 1 Directed Acyclic Graph to illustrate the confounders that were adjusted for in the analysis, and unmeasured confounders, both associated with knee injury and knee osteoarthritis</w:t>
      </w:r>
    </w:p>
    <w:p w14:paraId="1FED0CB3" w14:textId="77777777" w:rsidR="00C07045" w:rsidRDefault="00C07045" w:rsidP="00C07045">
      <w:pPr>
        <w:spacing w:after="0"/>
        <w:ind w:left="357"/>
        <w:rPr>
          <w:rFonts w:cstheme="minorHAnsi"/>
          <w:i/>
          <w:sz w:val="24"/>
          <w:szCs w:val="24"/>
          <w:lang w:val="en-US"/>
        </w:rPr>
      </w:pPr>
    </w:p>
    <w:p w14:paraId="640CFEC0" w14:textId="77777777" w:rsidR="00C07045" w:rsidRDefault="00C07045" w:rsidP="00C07045">
      <w:pPr>
        <w:spacing w:after="0"/>
        <w:ind w:left="357"/>
        <w:rPr>
          <w:rFonts w:cstheme="minorHAnsi"/>
          <w:i/>
          <w:sz w:val="24"/>
          <w:szCs w:val="24"/>
          <w:lang w:val="en-US"/>
        </w:rPr>
      </w:pPr>
    </w:p>
    <w:p w14:paraId="6195EFC7" w14:textId="77777777" w:rsidR="00C07045" w:rsidRDefault="00C07045" w:rsidP="00C07045">
      <w:pPr>
        <w:spacing w:after="0"/>
        <w:ind w:left="357"/>
        <w:rPr>
          <w:rFonts w:cstheme="minorHAnsi"/>
          <w:i/>
          <w:sz w:val="24"/>
          <w:szCs w:val="24"/>
          <w:lang w:val="en-US"/>
        </w:rPr>
      </w:pPr>
    </w:p>
    <w:p w14:paraId="501C91F0" w14:textId="77777777" w:rsidR="00C07045" w:rsidRDefault="00C07045" w:rsidP="00C07045">
      <w:pPr>
        <w:spacing w:after="0"/>
        <w:ind w:left="357"/>
        <w:rPr>
          <w:rFonts w:cstheme="minorHAnsi"/>
          <w:i/>
          <w:sz w:val="24"/>
          <w:szCs w:val="24"/>
          <w:lang w:val="en-US"/>
        </w:rPr>
      </w:pPr>
    </w:p>
    <w:p w14:paraId="73178C8F" w14:textId="77777777" w:rsidR="00C07045" w:rsidRDefault="00C07045" w:rsidP="00C07045">
      <w:pPr>
        <w:spacing w:after="0"/>
        <w:ind w:left="357"/>
        <w:rPr>
          <w:rFonts w:cstheme="minorHAnsi"/>
          <w:i/>
          <w:sz w:val="24"/>
          <w:szCs w:val="24"/>
          <w:lang w:val="en-US"/>
        </w:rPr>
      </w:pPr>
    </w:p>
    <w:p w14:paraId="69784B20" w14:textId="77777777" w:rsidR="00C07045" w:rsidRDefault="00C07045" w:rsidP="00C07045">
      <w:pPr>
        <w:spacing w:after="0"/>
        <w:ind w:left="357"/>
        <w:rPr>
          <w:rFonts w:cstheme="minorHAnsi"/>
          <w:i/>
          <w:sz w:val="24"/>
          <w:szCs w:val="24"/>
          <w:lang w:val="en-US"/>
        </w:rPr>
      </w:pPr>
    </w:p>
    <w:p w14:paraId="46E6EA29" w14:textId="77777777" w:rsidR="00C07045" w:rsidRDefault="00C07045" w:rsidP="00C07045">
      <w:pPr>
        <w:spacing w:after="0"/>
        <w:ind w:left="357"/>
        <w:rPr>
          <w:rFonts w:cstheme="minorHAnsi"/>
          <w:i/>
          <w:sz w:val="24"/>
          <w:szCs w:val="24"/>
          <w:lang w:val="en-US"/>
        </w:rPr>
      </w:pPr>
    </w:p>
    <w:p w14:paraId="23B1F113" w14:textId="77777777" w:rsidR="00C07045" w:rsidRDefault="00C07045" w:rsidP="00C07045">
      <w:pPr>
        <w:spacing w:after="0"/>
        <w:ind w:left="357"/>
        <w:rPr>
          <w:rFonts w:cstheme="minorHAnsi"/>
          <w:i/>
          <w:sz w:val="24"/>
          <w:szCs w:val="24"/>
          <w:lang w:val="en-US"/>
        </w:rPr>
      </w:pPr>
    </w:p>
    <w:p w14:paraId="7C7A38FF" w14:textId="77777777" w:rsidR="00C07045" w:rsidRDefault="00C07045" w:rsidP="00C07045">
      <w:pPr>
        <w:spacing w:after="0"/>
        <w:ind w:left="357"/>
        <w:rPr>
          <w:rFonts w:cstheme="minorHAnsi"/>
          <w:i/>
          <w:sz w:val="24"/>
          <w:szCs w:val="24"/>
          <w:lang w:val="en-US"/>
        </w:rPr>
      </w:pPr>
    </w:p>
    <w:p w14:paraId="77E97955" w14:textId="77777777" w:rsidR="00C07045" w:rsidRDefault="00C07045" w:rsidP="00C07045">
      <w:pPr>
        <w:spacing w:after="0"/>
        <w:ind w:left="357"/>
        <w:rPr>
          <w:rFonts w:cstheme="minorHAnsi"/>
          <w:i/>
          <w:sz w:val="24"/>
          <w:szCs w:val="24"/>
          <w:lang w:val="en-US"/>
        </w:rPr>
      </w:pPr>
    </w:p>
    <w:p w14:paraId="52E0A4E5" w14:textId="77777777" w:rsidR="00C07045" w:rsidRDefault="00C07045" w:rsidP="00C07045">
      <w:pPr>
        <w:spacing w:after="0"/>
        <w:ind w:left="357"/>
        <w:rPr>
          <w:rFonts w:cstheme="minorHAnsi"/>
          <w:i/>
          <w:sz w:val="24"/>
          <w:szCs w:val="24"/>
          <w:lang w:val="en-US"/>
        </w:rPr>
      </w:pPr>
    </w:p>
    <w:p w14:paraId="0F22B824" w14:textId="77777777" w:rsidR="00C07045" w:rsidRDefault="00C07045" w:rsidP="00C07045">
      <w:pPr>
        <w:spacing w:after="0"/>
        <w:ind w:left="357"/>
        <w:rPr>
          <w:rFonts w:cstheme="minorHAnsi"/>
          <w:i/>
          <w:sz w:val="24"/>
          <w:szCs w:val="24"/>
          <w:lang w:val="en-US"/>
        </w:rPr>
      </w:pPr>
    </w:p>
    <w:p w14:paraId="41FEF37A" w14:textId="77777777" w:rsidR="00C07045" w:rsidRDefault="00C07045" w:rsidP="00C07045">
      <w:pPr>
        <w:spacing w:after="0"/>
        <w:ind w:left="357"/>
        <w:rPr>
          <w:rFonts w:cstheme="minorHAnsi"/>
          <w:i/>
          <w:sz w:val="24"/>
          <w:szCs w:val="24"/>
          <w:lang w:val="en-US"/>
        </w:rPr>
      </w:pPr>
    </w:p>
    <w:p w14:paraId="6CCF6436" w14:textId="77777777" w:rsidR="00C07045" w:rsidRDefault="00C07045" w:rsidP="00C07045">
      <w:pPr>
        <w:spacing w:after="0"/>
        <w:ind w:left="357"/>
        <w:rPr>
          <w:rFonts w:cstheme="minorHAnsi"/>
          <w:i/>
          <w:sz w:val="24"/>
          <w:szCs w:val="24"/>
          <w:lang w:val="en-US"/>
        </w:rPr>
      </w:pPr>
    </w:p>
    <w:p w14:paraId="6B446419" w14:textId="77777777" w:rsidR="00C07045" w:rsidRPr="00682596" w:rsidRDefault="00C07045" w:rsidP="00C07045">
      <w:pPr>
        <w:tabs>
          <w:tab w:val="left" w:pos="1305"/>
        </w:tabs>
        <w:spacing w:after="0"/>
        <w:ind w:left="357"/>
        <w:rPr>
          <w:rFonts w:cstheme="minorHAnsi"/>
          <w:i/>
          <w:sz w:val="24"/>
          <w:szCs w:val="24"/>
          <w:lang w:val="en-US"/>
        </w:rPr>
      </w:pPr>
      <w:r w:rsidRPr="00682596">
        <w:rPr>
          <w:rFonts w:cstheme="minorHAnsi"/>
          <w:i/>
          <w:sz w:val="24"/>
          <w:szCs w:val="24"/>
          <w:lang w:val="en-US"/>
        </w:rPr>
        <w:tab/>
      </w:r>
      <w:r w:rsidRPr="00682596">
        <w:rPr>
          <w:rFonts w:cstheme="minorHAnsi"/>
          <w:i/>
          <w:sz w:val="24"/>
          <w:szCs w:val="24"/>
          <w:lang w:val="en-US"/>
        </w:rPr>
        <w:tab/>
      </w:r>
    </w:p>
    <w:p w14:paraId="39C11648" w14:textId="77777777" w:rsidR="00C07045" w:rsidRDefault="00C07045" w:rsidP="00C07045">
      <w:pPr>
        <w:spacing w:after="0"/>
        <w:ind w:left="357"/>
        <w:rPr>
          <w:rFonts w:eastAsia="Times New Roman" w:cstheme="minorHAnsi"/>
          <w:sz w:val="20"/>
          <w:szCs w:val="20"/>
          <w:lang w:val="en-US"/>
        </w:rPr>
      </w:pPr>
    </w:p>
    <w:p w14:paraId="3F80A418" w14:textId="77777777" w:rsidR="00C07045" w:rsidRPr="00C07045" w:rsidRDefault="00C07045" w:rsidP="00C07045">
      <w:pPr>
        <w:spacing w:after="0"/>
        <w:ind w:left="357"/>
        <w:rPr>
          <w:rFonts w:eastAsia="Times New Roman" w:cstheme="minorHAnsi"/>
          <w:sz w:val="20"/>
          <w:szCs w:val="20"/>
          <w:lang w:val="en-US"/>
        </w:rPr>
      </w:pPr>
    </w:p>
    <w:p w14:paraId="452401B0" w14:textId="77777777" w:rsidR="00093277" w:rsidRDefault="00093277" w:rsidP="00C07045">
      <w:pPr>
        <w:spacing w:after="0"/>
        <w:ind w:left="357"/>
        <w:rPr>
          <w:rFonts w:eastAsia="Times New Roman" w:cstheme="minorHAnsi"/>
          <w:sz w:val="20"/>
          <w:szCs w:val="20"/>
          <w:lang w:val="en-US"/>
        </w:rPr>
      </w:pPr>
    </w:p>
    <w:p w14:paraId="11619608" w14:textId="77777777" w:rsidR="005B3F89" w:rsidRDefault="005B3F89" w:rsidP="00C07045">
      <w:pPr>
        <w:spacing w:after="0"/>
        <w:ind w:left="357"/>
        <w:rPr>
          <w:rFonts w:eastAsia="Times New Roman" w:cstheme="minorHAnsi"/>
          <w:sz w:val="20"/>
          <w:szCs w:val="20"/>
          <w:lang w:val="en-US"/>
        </w:rPr>
      </w:pPr>
    </w:p>
    <w:p w14:paraId="67C56342" w14:textId="77777777" w:rsidR="005B3F89" w:rsidRPr="005B3F89" w:rsidRDefault="005B3F89" w:rsidP="005B3F89">
      <w:pPr>
        <w:spacing w:after="0"/>
        <w:ind w:left="357"/>
        <w:rPr>
          <w:rFonts w:eastAsia="Times New Roman" w:cstheme="minorHAnsi"/>
          <w:sz w:val="20"/>
          <w:szCs w:val="20"/>
          <w:lang w:val="en-US"/>
        </w:rPr>
      </w:pPr>
    </w:p>
    <w:p w14:paraId="1A7DB737" w14:textId="77777777" w:rsidR="005B3F89" w:rsidRPr="005B3F89" w:rsidRDefault="005B3F89" w:rsidP="005B3F89">
      <w:pPr>
        <w:spacing w:after="0"/>
        <w:ind w:left="357"/>
        <w:rPr>
          <w:rFonts w:cstheme="minorHAnsi"/>
          <w:sz w:val="20"/>
          <w:szCs w:val="20"/>
          <w:lang w:val="en-US"/>
        </w:rPr>
      </w:pPr>
      <w:r w:rsidRPr="005B3F89">
        <w:rPr>
          <w:rFonts w:eastAsia="Times New Roman" w:cstheme="minorHAnsi"/>
          <w:sz w:val="20"/>
          <w:szCs w:val="20"/>
          <w:lang w:val="en-US"/>
        </w:rPr>
        <w:t>*</w:t>
      </w:r>
      <w:r w:rsidRPr="005B3F89">
        <w:rPr>
          <w:rFonts w:cstheme="minorHAnsi"/>
          <w:sz w:val="20"/>
          <w:szCs w:val="20"/>
          <w:lang w:val="en-US"/>
        </w:rPr>
        <w:t xml:space="preserve"> SES= social economic status, which contains the variables income, educational attainment, and residential area. </w:t>
      </w:r>
    </w:p>
    <w:p w14:paraId="63EA8375" w14:textId="380E8ABB" w:rsidR="005B3F89" w:rsidRDefault="005B3F89" w:rsidP="005B3F89">
      <w:pPr>
        <w:spacing w:after="0"/>
        <w:ind w:left="357"/>
        <w:rPr>
          <w:rFonts w:cstheme="minorHAnsi"/>
          <w:sz w:val="20"/>
          <w:szCs w:val="20"/>
          <w:lang w:val="en-US"/>
        </w:rPr>
      </w:pPr>
      <w:r w:rsidRPr="005B3F89">
        <w:rPr>
          <w:rFonts w:cstheme="minorHAnsi"/>
          <w:sz w:val="20"/>
          <w:szCs w:val="20"/>
          <w:lang w:val="en-US"/>
        </w:rPr>
        <w:t xml:space="preserve">† BMI surrogates contain the variables hypertension, diagnosis of diabetes, and obesity. </w:t>
      </w:r>
    </w:p>
    <w:p w14:paraId="109F498F" w14:textId="6763CFF6" w:rsidR="005F21F1" w:rsidRDefault="005F21F1" w:rsidP="00464723">
      <w:pPr>
        <w:spacing w:after="0"/>
        <w:ind w:left="357"/>
        <w:rPr>
          <w:rFonts w:cstheme="minorHAnsi"/>
          <w:sz w:val="20"/>
          <w:szCs w:val="20"/>
          <w:lang w:val="en-US"/>
        </w:rPr>
      </w:pPr>
      <w:bookmarkStart w:id="0" w:name="_GoBack"/>
      <w:bookmarkEnd w:id="0"/>
      <w:r>
        <w:rPr>
          <w:rFonts w:cstheme="minorHAnsi"/>
          <w:sz w:val="20"/>
          <w:szCs w:val="20"/>
          <w:lang w:val="en-US"/>
        </w:rPr>
        <w:t xml:space="preserve">To support the relationships within this graph, we included the following references: </w:t>
      </w:r>
    </w:p>
    <w:p w14:paraId="7B2DEC9A" w14:textId="77777777" w:rsidR="00464723" w:rsidRDefault="00464723" w:rsidP="00464723">
      <w:pPr>
        <w:spacing w:after="0"/>
        <w:ind w:left="357"/>
        <w:rPr>
          <w:rFonts w:cstheme="minorHAnsi"/>
          <w:sz w:val="20"/>
          <w:szCs w:val="20"/>
          <w:lang w:val="en-US"/>
        </w:rPr>
      </w:pPr>
    </w:p>
    <w:p w14:paraId="49D5A2C1" w14:textId="00800B1E" w:rsidR="005F21F1" w:rsidRPr="007E70ED" w:rsidRDefault="005F21F1" w:rsidP="007E70ED">
      <w:pPr>
        <w:rPr>
          <w:rFonts w:cstheme="minorHAnsi"/>
          <w:iCs/>
          <w:sz w:val="20"/>
          <w:szCs w:val="20"/>
          <w:lang w:val="en-US"/>
        </w:rPr>
      </w:pPr>
      <w:r w:rsidRPr="007E70ED">
        <w:rPr>
          <w:rFonts w:cstheme="minorHAnsi"/>
          <w:iCs/>
          <w:sz w:val="20"/>
          <w:szCs w:val="20"/>
          <w:lang w:val="en-US"/>
        </w:rPr>
        <w:t>Zheng H, Chen C. Body mass index and risk of knee osteoarthritis: systematic review and meta-analysis of prospective studies. BMJ Open 2015;5(12). doi:10.1136/bmjopen-2014-007568</w:t>
      </w:r>
    </w:p>
    <w:p w14:paraId="3B4B6CD0" w14:textId="1E3B8559" w:rsidR="005F21F1" w:rsidRPr="007E70ED" w:rsidRDefault="005F21F1" w:rsidP="007E70ED">
      <w:pPr>
        <w:rPr>
          <w:rFonts w:cstheme="minorHAnsi"/>
          <w:iCs/>
          <w:sz w:val="20"/>
          <w:szCs w:val="20"/>
          <w:lang w:val="en-US"/>
        </w:rPr>
      </w:pPr>
      <w:r w:rsidRPr="007E70ED">
        <w:rPr>
          <w:rFonts w:cstheme="minorHAnsi"/>
          <w:iCs/>
          <w:sz w:val="20"/>
          <w:szCs w:val="20"/>
          <w:lang w:val="en-US"/>
        </w:rPr>
        <w:t>Silverwood V, Blagojevic-Bucknall M, Jinks C, et al. Current evidence on risk factors for knee osteoarthritis in older adults: a systematic review and meta-analysis. Osteoarthritis Cartilage 2015;23(4):507-515</w:t>
      </w:r>
    </w:p>
    <w:p w14:paraId="550DCF9B" w14:textId="3D1C83C1" w:rsidR="005F21F1" w:rsidRPr="007E70ED" w:rsidRDefault="005F21F1" w:rsidP="007E70ED">
      <w:pPr>
        <w:rPr>
          <w:rFonts w:cstheme="minorHAnsi"/>
          <w:iCs/>
          <w:sz w:val="20"/>
          <w:szCs w:val="20"/>
          <w:lang w:val="en-US"/>
        </w:rPr>
      </w:pPr>
      <w:r w:rsidRPr="007E70ED">
        <w:rPr>
          <w:rFonts w:cstheme="minorHAnsi"/>
          <w:iCs/>
          <w:sz w:val="20"/>
          <w:szCs w:val="20"/>
        </w:rPr>
        <w:t xml:space="preserve">Srikanth VK, Fryer JL, Zhai G, et al. </w:t>
      </w:r>
      <w:r w:rsidRPr="007E70ED">
        <w:rPr>
          <w:rFonts w:cstheme="minorHAnsi"/>
          <w:iCs/>
          <w:sz w:val="20"/>
          <w:szCs w:val="20"/>
          <w:lang w:val="en-US"/>
        </w:rPr>
        <w:t>A meta-analysis of sex differences prevalence, incidence and severity of osteoarthritis. Osteoarthritis Cartilage 2005;13(9):769-781</w:t>
      </w:r>
    </w:p>
    <w:p w14:paraId="3C911152" w14:textId="72A183B4" w:rsidR="005F21F1" w:rsidRPr="007E70ED" w:rsidRDefault="005F21F1" w:rsidP="007E70ED">
      <w:pPr>
        <w:rPr>
          <w:rFonts w:cstheme="minorHAnsi"/>
          <w:iCs/>
          <w:sz w:val="20"/>
          <w:szCs w:val="20"/>
          <w:lang w:val="en-US"/>
        </w:rPr>
      </w:pPr>
      <w:r w:rsidRPr="007E70ED">
        <w:rPr>
          <w:rFonts w:cstheme="minorHAnsi"/>
          <w:iCs/>
          <w:sz w:val="20"/>
          <w:szCs w:val="20"/>
          <w:lang w:val="en-US"/>
        </w:rPr>
        <w:t>Van Tunen JAC, Peat G, Bricca A, et al. Association of osteoarthritis risk factors with knee and hip pain in a population-based sample of 25-59 year olds in Denmark: a cross-sectional analysis. BMC Musculoskelet Disord 2018;19(1):300. doi: 10.1186/s12891-018-2183-7</w:t>
      </w:r>
    </w:p>
    <w:p w14:paraId="06F16AE3" w14:textId="61B53A07" w:rsidR="005F21F1" w:rsidRPr="007E70ED" w:rsidRDefault="005F21F1" w:rsidP="007E70ED">
      <w:pPr>
        <w:rPr>
          <w:rFonts w:cstheme="minorHAnsi"/>
          <w:iCs/>
          <w:sz w:val="20"/>
          <w:szCs w:val="20"/>
          <w:lang w:val="en-US"/>
        </w:rPr>
      </w:pPr>
      <w:r w:rsidRPr="007E70ED">
        <w:rPr>
          <w:rFonts w:cstheme="minorHAnsi"/>
          <w:iCs/>
          <w:sz w:val="20"/>
          <w:szCs w:val="20"/>
          <w:lang w:val="en-US"/>
        </w:rPr>
        <w:t>Kiadaliri AA, Gerhardsson de Verdier M, Turkiewicz A, Lohmander LS, Englund M. Socioeconomic inequalities in knee pain, knee osteoarthritis, and health-related quality of life: a population-based cohort study in southern Sweden. Scand J Rheumatol 2017;46(2):143-151. doi: 10.1080/03009742.2016.1181203</w:t>
      </w:r>
    </w:p>
    <w:p w14:paraId="2D21FB3E" w14:textId="2090547D" w:rsidR="005F21F1" w:rsidRPr="007E70ED" w:rsidRDefault="005F21F1" w:rsidP="007E70ED">
      <w:pPr>
        <w:rPr>
          <w:rFonts w:cstheme="minorHAnsi"/>
          <w:iCs/>
          <w:sz w:val="20"/>
          <w:szCs w:val="20"/>
          <w:lang w:val="en-GB"/>
        </w:rPr>
      </w:pPr>
      <w:r w:rsidRPr="007E70ED">
        <w:rPr>
          <w:rFonts w:cstheme="minorHAnsi"/>
          <w:iCs/>
          <w:sz w:val="20"/>
          <w:szCs w:val="20"/>
        </w:rPr>
        <w:t xml:space="preserve">Jayanthi NA, Holt DB Jr. </w:t>
      </w:r>
      <w:r w:rsidRPr="007E70ED">
        <w:rPr>
          <w:rFonts w:cstheme="minorHAnsi"/>
          <w:iCs/>
          <w:sz w:val="20"/>
          <w:szCs w:val="20"/>
          <w:lang w:val="en-US"/>
        </w:rPr>
        <w:t xml:space="preserve">LaBella CR, Dugas LR. </w:t>
      </w:r>
      <w:r w:rsidRPr="007E70ED">
        <w:rPr>
          <w:rFonts w:cstheme="minorHAnsi"/>
          <w:iCs/>
          <w:sz w:val="20"/>
          <w:szCs w:val="20"/>
          <w:lang w:val="en-GB"/>
        </w:rPr>
        <w:t>Socioeconomic factors for sports specialization and injury in youth athletes. Sports Health 2018;10(4):303-310. doi: 10.1177/1941738118778510</w:t>
      </w:r>
    </w:p>
    <w:p w14:paraId="4DB2122C" w14:textId="77777777" w:rsidR="00DB205D" w:rsidRDefault="00DB205D">
      <w:pPr>
        <w:rPr>
          <w:rFonts w:eastAsiaTheme="minorHAnsi" w:cstheme="minorHAnsi"/>
          <w:b/>
          <w:sz w:val="24"/>
          <w:szCs w:val="24"/>
          <w:lang w:val="en-US" w:eastAsia="en-US"/>
        </w:rPr>
      </w:pPr>
      <w:r>
        <w:rPr>
          <w:rFonts w:eastAsiaTheme="minorHAnsi" w:cstheme="minorHAnsi"/>
          <w:b/>
          <w:sz w:val="24"/>
          <w:szCs w:val="24"/>
          <w:lang w:val="en-US" w:eastAsia="en-US"/>
        </w:rPr>
        <w:lastRenderedPageBreak/>
        <w:t xml:space="preserve">Figure 2 Log-log </w:t>
      </w:r>
      <w:r w:rsidR="006A3E6D">
        <w:rPr>
          <w:rFonts w:eastAsiaTheme="minorHAnsi" w:cstheme="minorHAnsi"/>
          <w:b/>
          <w:sz w:val="24"/>
          <w:szCs w:val="24"/>
          <w:lang w:val="en-US" w:eastAsia="en-US"/>
        </w:rPr>
        <w:t>survival plot</w:t>
      </w:r>
      <w:r>
        <w:rPr>
          <w:rFonts w:eastAsiaTheme="minorHAnsi" w:cstheme="minorHAnsi"/>
          <w:b/>
          <w:sz w:val="24"/>
          <w:szCs w:val="24"/>
          <w:lang w:val="en-US" w:eastAsia="en-US"/>
        </w:rPr>
        <w:t xml:space="preserve"> to assess the assumption of proportionality of hazards for the Cox regression model</w:t>
      </w:r>
    </w:p>
    <w:p w14:paraId="436FF022" w14:textId="77777777" w:rsidR="00DB205D" w:rsidRDefault="00DB205D">
      <w:pPr>
        <w:rPr>
          <w:rFonts w:eastAsiaTheme="minorHAnsi" w:cstheme="minorHAnsi"/>
          <w:b/>
          <w:sz w:val="24"/>
          <w:szCs w:val="24"/>
          <w:lang w:val="en-US" w:eastAsia="en-US"/>
        </w:rPr>
      </w:pPr>
      <w:r>
        <w:rPr>
          <w:noProof/>
          <w:sz w:val="24"/>
          <w:szCs w:val="24"/>
        </w:rPr>
        <w:drawing>
          <wp:inline distT="0" distB="0" distL="0" distR="0" wp14:anchorId="08A395CA" wp14:editId="06B62939">
            <wp:extent cx="5760720" cy="4189095"/>
            <wp:effectExtent l="0" t="0" r="0" b="1905"/>
            <wp:docPr id="3" name="Bildobjekt 3" descr="C:\Users\Barbara\AppData\Local\Temp\loglog_20190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AppData\Local\Temp\loglog_201905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cstheme="minorHAnsi"/>
          <w:b/>
          <w:sz w:val="24"/>
          <w:szCs w:val="24"/>
          <w:lang w:val="en-US" w:eastAsia="en-US"/>
        </w:rPr>
        <w:br w:type="page"/>
      </w:r>
    </w:p>
    <w:p w14:paraId="385C3380" w14:textId="77777777" w:rsidR="00CF72A8" w:rsidRPr="00CF72A8" w:rsidRDefault="00C07045" w:rsidP="00CF72A8">
      <w:pPr>
        <w:rPr>
          <w:rFonts w:cstheme="minorHAnsi"/>
          <w:b/>
          <w:sz w:val="24"/>
          <w:szCs w:val="24"/>
          <w:lang w:val="en-US"/>
        </w:rPr>
      </w:pPr>
      <w:r>
        <w:rPr>
          <w:rFonts w:eastAsiaTheme="minorHAnsi" w:cstheme="minorHAnsi"/>
          <w:b/>
          <w:sz w:val="24"/>
          <w:szCs w:val="24"/>
          <w:lang w:val="en-US" w:eastAsia="en-US"/>
        </w:rPr>
        <w:lastRenderedPageBreak/>
        <w:t xml:space="preserve">Figure </w:t>
      </w:r>
      <w:r w:rsidR="00DB205D">
        <w:rPr>
          <w:rFonts w:eastAsiaTheme="minorHAnsi" w:cstheme="minorHAnsi"/>
          <w:b/>
          <w:sz w:val="24"/>
          <w:szCs w:val="24"/>
          <w:lang w:val="en-US" w:eastAsia="en-US"/>
        </w:rPr>
        <w:t>3</w:t>
      </w:r>
      <w:r w:rsidR="00CF72A8" w:rsidRPr="00CF72A8">
        <w:rPr>
          <w:rFonts w:cstheme="minorHAnsi"/>
          <w:b/>
          <w:sz w:val="24"/>
          <w:szCs w:val="24"/>
          <w:lang w:val="en-US"/>
        </w:rPr>
        <w:t xml:space="preserve"> Frequency of main type of injury in injured persons</w:t>
      </w:r>
    </w:p>
    <w:p w14:paraId="44308599" w14:textId="77777777" w:rsidR="00CF72A8" w:rsidRDefault="00CF72A8" w:rsidP="00CF72A8">
      <w:pPr>
        <w:rPr>
          <w:rFonts w:cstheme="minorHAnsi"/>
          <w:sz w:val="24"/>
          <w:szCs w:val="24"/>
          <w:lang w:val="en-US"/>
        </w:rPr>
      </w:pPr>
    </w:p>
    <w:p w14:paraId="14821F18" w14:textId="77777777" w:rsidR="00CF72A8" w:rsidRDefault="00CF72A8">
      <w:pPr>
        <w:rPr>
          <w:rFonts w:cstheme="minorHAnsi"/>
          <w:b/>
          <w:sz w:val="24"/>
          <w:szCs w:val="24"/>
          <w:lang w:val="en-US"/>
        </w:rPr>
      </w:pPr>
      <w:r>
        <w:rPr>
          <w:rFonts w:eastAsiaTheme="minorHAnsi" w:cstheme="minorHAnsi"/>
          <w:b/>
          <w:noProof/>
          <w:sz w:val="24"/>
          <w:szCs w:val="24"/>
        </w:rPr>
        <w:drawing>
          <wp:inline distT="0" distB="0" distL="0" distR="0" wp14:anchorId="15582416" wp14:editId="716D1231">
            <wp:extent cx="5756108" cy="5676900"/>
            <wp:effectExtent l="0" t="0" r="0" b="0"/>
            <wp:docPr id="6" name="Bildobjekt 6" descr="C:\Users\Barbara\Box Sync\Skåne Register\Knee injury on OA\Results\Figures\Knee injuries_v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bara\Box Sync\Skåne Register\Knee injury on OA\Results\Figures\Knee injuries_v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06"/>
                    <a:stretch/>
                  </pic:blipFill>
                  <pic:spPr bwMode="auto">
                    <a:xfrm>
                      <a:off x="0" y="0"/>
                      <a:ext cx="5760720" cy="568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  <w:lang w:val="en-US"/>
        </w:rPr>
        <w:br w:type="page"/>
      </w:r>
    </w:p>
    <w:p w14:paraId="5EEF8D65" w14:textId="77777777" w:rsidR="00CF72A8" w:rsidRPr="00506B24" w:rsidRDefault="00CF72A8" w:rsidP="00CF72A8">
      <w:pPr>
        <w:rPr>
          <w:rFonts w:cstheme="minorHAnsi"/>
          <w:b/>
          <w:sz w:val="24"/>
          <w:szCs w:val="24"/>
          <w:lang w:val="en-US"/>
        </w:rPr>
      </w:pPr>
      <w:r w:rsidRPr="00506B24">
        <w:rPr>
          <w:rFonts w:cstheme="minorHAnsi"/>
          <w:b/>
          <w:sz w:val="24"/>
          <w:szCs w:val="24"/>
          <w:lang w:val="en-US"/>
        </w:rPr>
        <w:lastRenderedPageBreak/>
        <w:t>Table 2 Absolute frequencies and cumulative incidence of OA development at different follow-up times for persons with and without knee injury exposure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1701"/>
        <w:gridCol w:w="1701"/>
      </w:tblGrid>
      <w:tr w:rsidR="00CF72A8" w:rsidRPr="005F21F1" w14:paraId="48B12432" w14:textId="77777777" w:rsidTr="008D4070"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14:paraId="271045F1" w14:textId="77777777" w:rsidR="00CF72A8" w:rsidRPr="00D31EC9" w:rsidRDefault="00CF72A8" w:rsidP="008D4070">
            <w:pPr>
              <w:spacing w:line="48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657F7C2" w14:textId="77777777" w:rsidR="00CF72A8" w:rsidRPr="00D31EC9" w:rsidRDefault="00CF72A8" w:rsidP="008D4070">
            <w:pPr>
              <w:spacing w:line="48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Knee </w:t>
            </w:r>
            <w:r w:rsidRPr="00D31EC9">
              <w:rPr>
                <w:rFonts w:cstheme="minorHAnsi"/>
                <w:b/>
                <w:sz w:val="20"/>
                <w:szCs w:val="20"/>
                <w:lang w:val="en-US"/>
              </w:rPr>
              <w:t>OA</w:t>
            </w:r>
          </w:p>
          <w:p w14:paraId="67C892B5" w14:textId="77777777" w:rsidR="00CF72A8" w:rsidRPr="00D31EC9" w:rsidRDefault="00CF72A8" w:rsidP="008D4070">
            <w:pPr>
              <w:spacing w:line="48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u</w:t>
            </w:r>
            <w:r w:rsidRPr="00D31EC9">
              <w:rPr>
                <w:rFonts w:cstheme="minorHAnsi"/>
                <w:b/>
                <w:sz w:val="20"/>
                <w:szCs w:val="20"/>
                <w:lang w:val="en-US"/>
              </w:rPr>
              <w:t>p to 5 years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4B123AA" w14:textId="77777777" w:rsidR="00CF72A8" w:rsidRPr="00D31EC9" w:rsidRDefault="00CF72A8" w:rsidP="008D4070">
            <w:pPr>
              <w:spacing w:line="48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Knee </w:t>
            </w:r>
            <w:r w:rsidRPr="00D31EC9">
              <w:rPr>
                <w:rFonts w:cstheme="minorHAnsi"/>
                <w:b/>
                <w:sz w:val="20"/>
                <w:szCs w:val="20"/>
                <w:lang w:val="en-US"/>
              </w:rPr>
              <w:t>OA</w:t>
            </w:r>
          </w:p>
          <w:p w14:paraId="6AB1F889" w14:textId="77777777" w:rsidR="00CF72A8" w:rsidRPr="00D31EC9" w:rsidRDefault="00CF72A8" w:rsidP="008D4070">
            <w:pPr>
              <w:spacing w:line="48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u</w:t>
            </w:r>
            <w:r w:rsidRPr="00D31EC9">
              <w:rPr>
                <w:rFonts w:cstheme="minorHAnsi"/>
                <w:b/>
                <w:sz w:val="20"/>
                <w:szCs w:val="20"/>
                <w:lang w:val="en-US"/>
              </w:rPr>
              <w:t>p to 10 years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898A06C" w14:textId="77777777" w:rsidR="00CF72A8" w:rsidRPr="00D31EC9" w:rsidRDefault="00CF72A8" w:rsidP="008D4070">
            <w:pPr>
              <w:spacing w:line="48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Knee </w:t>
            </w:r>
            <w:r w:rsidRPr="00D31EC9">
              <w:rPr>
                <w:rFonts w:cstheme="minorHAnsi"/>
                <w:b/>
                <w:sz w:val="20"/>
                <w:szCs w:val="20"/>
                <w:lang w:val="en-US"/>
              </w:rPr>
              <w:t>OA</w:t>
            </w:r>
          </w:p>
          <w:p w14:paraId="224F245B" w14:textId="77777777" w:rsidR="00CF72A8" w:rsidRPr="00D31EC9" w:rsidRDefault="00CF72A8" w:rsidP="008D4070">
            <w:pPr>
              <w:spacing w:line="48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u</w:t>
            </w:r>
            <w:r w:rsidRPr="00D31EC9">
              <w:rPr>
                <w:rFonts w:cstheme="minorHAnsi"/>
                <w:b/>
                <w:sz w:val="20"/>
                <w:szCs w:val="20"/>
                <w:lang w:val="en-US"/>
              </w:rPr>
              <w:t>p to 15 years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13277B9" w14:textId="77777777" w:rsidR="00CF72A8" w:rsidRPr="00D31EC9" w:rsidRDefault="00CF72A8" w:rsidP="008D4070">
            <w:pPr>
              <w:spacing w:line="48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Knee </w:t>
            </w:r>
            <w:r w:rsidRPr="00D31EC9">
              <w:rPr>
                <w:rFonts w:cstheme="minorHAnsi"/>
                <w:b/>
                <w:sz w:val="20"/>
                <w:szCs w:val="20"/>
                <w:lang w:val="en-US"/>
              </w:rPr>
              <w:t>OA</w:t>
            </w:r>
          </w:p>
          <w:p w14:paraId="1827C4AF" w14:textId="77777777" w:rsidR="00CF72A8" w:rsidRPr="00D31EC9" w:rsidRDefault="00CF72A8" w:rsidP="008D4070">
            <w:pPr>
              <w:spacing w:line="48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u</w:t>
            </w:r>
            <w:r w:rsidRPr="00D31EC9">
              <w:rPr>
                <w:rFonts w:cstheme="minorHAnsi"/>
                <w:b/>
                <w:sz w:val="20"/>
                <w:szCs w:val="20"/>
                <w:lang w:val="en-US"/>
              </w:rPr>
              <w:t>p to 19 years</w:t>
            </w:r>
          </w:p>
        </w:tc>
      </w:tr>
      <w:tr w:rsidR="00CF72A8" w14:paraId="65BD453E" w14:textId="77777777" w:rsidTr="008D407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EC67BF6" w14:textId="77777777" w:rsidR="00CF72A8" w:rsidRPr="00D31EC9" w:rsidRDefault="00CF72A8" w:rsidP="008D4070">
            <w:pPr>
              <w:spacing w:line="48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31EC9">
              <w:rPr>
                <w:rFonts w:cstheme="minorHAnsi"/>
                <w:sz w:val="20"/>
                <w:szCs w:val="20"/>
                <w:lang w:val="en-US"/>
              </w:rPr>
              <w:t xml:space="preserve">No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knee </w:t>
            </w:r>
            <w:r w:rsidRPr="00D31EC9">
              <w:rPr>
                <w:rFonts w:cstheme="minorHAnsi"/>
                <w:sz w:val="20"/>
                <w:szCs w:val="20"/>
                <w:lang w:val="en-US"/>
              </w:rPr>
              <w:t xml:space="preserve">injury, </w:t>
            </w:r>
            <w:r w:rsidRPr="00D31EC9">
              <w:rPr>
                <w:rFonts w:eastAsia="Times New Roman" w:cstheme="minorHAnsi"/>
                <w:sz w:val="20"/>
                <w:szCs w:val="20"/>
                <w:lang w:val="en-US"/>
              </w:rPr>
              <w:t>n (%)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*</w:t>
            </w:r>
          </w:p>
          <w:p w14:paraId="2F8E787D" w14:textId="77777777" w:rsidR="00CF72A8" w:rsidRPr="003E3BC1" w:rsidRDefault="00CF72A8" w:rsidP="008D4070">
            <w:pPr>
              <w:spacing w:line="48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3E3BC1">
              <w:rPr>
                <w:rFonts w:eastAsia="Times New Roman" w:cstheme="minorHAnsi"/>
                <w:sz w:val="16"/>
                <w:szCs w:val="16"/>
                <w:lang w:val="en-US"/>
              </w:rPr>
              <w:t>N=142,825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B13160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186 (0.1)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BFDACF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1045 (0.7)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3A141C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2253 (2.1)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225900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2854 (4.0)</w:t>
            </w:r>
          </w:p>
        </w:tc>
      </w:tr>
      <w:tr w:rsidR="00CF72A8" w14:paraId="19BB3600" w14:textId="77777777" w:rsidTr="008D407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916391C" w14:textId="77777777" w:rsidR="00CF72A8" w:rsidRPr="00D31EC9" w:rsidRDefault="00CF72A8" w:rsidP="008D4070">
            <w:pPr>
              <w:spacing w:line="48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31EC9">
              <w:rPr>
                <w:rFonts w:eastAsia="Times New Roman" w:cstheme="minorHAnsi"/>
                <w:sz w:val="20"/>
                <w:szCs w:val="20"/>
                <w:lang w:val="en-US"/>
              </w:rPr>
              <w:t>Knee injury, n (%)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*</w:t>
            </w:r>
          </w:p>
          <w:p w14:paraId="5499BBFD" w14:textId="77777777" w:rsidR="00CF72A8" w:rsidRPr="003E3BC1" w:rsidRDefault="00CF72A8" w:rsidP="008D4070">
            <w:pPr>
              <w:spacing w:line="48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3E3BC1">
              <w:rPr>
                <w:rFonts w:eastAsia="Times New Roman" w:cstheme="minorHAnsi"/>
                <w:sz w:val="16"/>
                <w:szCs w:val="16"/>
                <w:lang w:val="en-US"/>
              </w:rPr>
              <w:t>N=5,247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CDCA6E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55 (1.1)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DB988D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225 (4.4)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785B12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376 (8.3)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4AB980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422 (11.3)</w:t>
            </w:r>
          </w:p>
        </w:tc>
      </w:tr>
      <w:tr w:rsidR="00CF72A8" w14:paraId="6537068C" w14:textId="77777777" w:rsidTr="008D407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E1350F4" w14:textId="77777777" w:rsidR="00CF72A8" w:rsidRPr="00D31EC9" w:rsidRDefault="00CF72A8" w:rsidP="008D4070">
            <w:pPr>
              <w:spacing w:line="48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D31EC9">
              <w:rPr>
                <w:rFonts w:eastAsia="Times New Roman" w:cstheme="minorHAnsi"/>
                <w:sz w:val="20"/>
                <w:szCs w:val="20"/>
                <w:lang w:val="en-US"/>
              </w:rPr>
              <w:t>Specific knee injuries, n (%)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1567E7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3FB26D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ACF190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BC05CB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F72A8" w14:paraId="3952C43E" w14:textId="77777777" w:rsidTr="008D407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B0325D8" w14:textId="77777777" w:rsidR="00CF72A8" w:rsidRPr="00D31EC9" w:rsidRDefault="00CF72A8" w:rsidP="008D4070">
            <w:pPr>
              <w:spacing w:line="48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Cruciate ligament</w:t>
            </w:r>
            <w:r w:rsidRPr="00D31EC9">
              <w:rPr>
                <w:rFonts w:cstheme="minorHAnsi"/>
                <w:sz w:val="20"/>
                <w:szCs w:val="20"/>
                <w:lang w:val="en-US"/>
              </w:rPr>
              <w:t xml:space="preserve"> tear</w:t>
            </w:r>
          </w:p>
          <w:p w14:paraId="12CF820C" w14:textId="77777777" w:rsidR="00CF72A8" w:rsidRPr="003E3BC1" w:rsidRDefault="00CF72A8" w:rsidP="008D4070">
            <w:pPr>
              <w:spacing w:line="48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3E3BC1">
              <w:rPr>
                <w:rFonts w:cstheme="minorHAnsi"/>
                <w:sz w:val="16"/>
                <w:szCs w:val="16"/>
                <w:lang w:val="en-US"/>
              </w:rPr>
              <w:t>N=571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BCD123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10 (1.8)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B01032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35 (6.2)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6A17E4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68 (13.2)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237BD7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80 (18.3)</w:t>
            </w:r>
          </w:p>
        </w:tc>
      </w:tr>
      <w:tr w:rsidR="00CF72A8" w14:paraId="38F667E0" w14:textId="77777777" w:rsidTr="008D407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73F4FE5" w14:textId="77777777" w:rsidR="00CF72A8" w:rsidRPr="00D31EC9" w:rsidRDefault="00CF72A8" w:rsidP="008D4070">
            <w:pPr>
              <w:spacing w:line="48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D31EC9">
              <w:rPr>
                <w:rFonts w:cstheme="minorHAnsi"/>
                <w:sz w:val="20"/>
                <w:szCs w:val="20"/>
                <w:lang w:val="en-US"/>
              </w:rPr>
              <w:t>Meniscal tear</w:t>
            </w:r>
          </w:p>
          <w:p w14:paraId="12E8E813" w14:textId="77777777" w:rsidR="00CF72A8" w:rsidRPr="003E3BC1" w:rsidRDefault="00CF72A8" w:rsidP="008D4070">
            <w:pPr>
              <w:spacing w:line="48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3E3BC1">
              <w:rPr>
                <w:rFonts w:cstheme="minorHAnsi"/>
                <w:sz w:val="16"/>
                <w:szCs w:val="16"/>
                <w:lang w:val="en-US"/>
              </w:rPr>
              <w:t>N=610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1BD940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10 (1.6)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6A3682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35 (5.8)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B9CCED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57 (10.0)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F786AD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65 (13.2)</w:t>
            </w:r>
          </w:p>
        </w:tc>
      </w:tr>
      <w:tr w:rsidR="00CF72A8" w14:paraId="78B18DFD" w14:textId="77777777" w:rsidTr="008D407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FFBCBB9" w14:textId="77777777" w:rsidR="00CF72A8" w:rsidRPr="00D31EC9" w:rsidRDefault="00CF72A8" w:rsidP="008D4070">
            <w:pPr>
              <w:spacing w:line="48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D31EC9">
              <w:rPr>
                <w:rFonts w:cstheme="minorHAnsi"/>
                <w:sz w:val="20"/>
                <w:szCs w:val="20"/>
                <w:lang w:val="en-US"/>
              </w:rPr>
              <w:t>Contusion</w:t>
            </w:r>
          </w:p>
          <w:p w14:paraId="59C35FC2" w14:textId="77777777" w:rsidR="00CF72A8" w:rsidRPr="003E3BC1" w:rsidRDefault="00CF72A8" w:rsidP="008D4070">
            <w:pPr>
              <w:spacing w:line="48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3E3BC1">
              <w:rPr>
                <w:rFonts w:cstheme="minorHAnsi"/>
                <w:sz w:val="16"/>
                <w:szCs w:val="16"/>
                <w:lang w:val="en-US"/>
              </w:rPr>
              <w:t>N=955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3D705E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5 (0.5)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0C8649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22 (2.3)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888AF1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45 (5.7)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471306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49 (7.1)</w:t>
            </w:r>
          </w:p>
        </w:tc>
      </w:tr>
      <w:tr w:rsidR="00CF72A8" w14:paraId="7419CF7F" w14:textId="77777777" w:rsidTr="008D407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EA127AF" w14:textId="77777777" w:rsidR="00CF72A8" w:rsidRDefault="00CF72A8" w:rsidP="008D4070">
            <w:pPr>
              <w:spacing w:line="48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D31EC9">
              <w:rPr>
                <w:rFonts w:cstheme="minorHAnsi"/>
                <w:sz w:val="20"/>
                <w:szCs w:val="20"/>
                <w:lang w:val="en-US"/>
              </w:rPr>
              <w:t>Intra-articular fracture</w:t>
            </w:r>
          </w:p>
          <w:p w14:paraId="177C3952" w14:textId="77777777" w:rsidR="00CF72A8" w:rsidRPr="003E3BC1" w:rsidRDefault="00CF72A8" w:rsidP="008D4070">
            <w:pPr>
              <w:spacing w:line="48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3E3BC1">
              <w:rPr>
                <w:rFonts w:cstheme="minorHAnsi"/>
                <w:sz w:val="16"/>
                <w:szCs w:val="16"/>
                <w:lang w:val="en-US"/>
              </w:rPr>
              <w:t>N=250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AFC2FA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4 (1.6)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D7AF89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12 (4.9)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75F5E1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18 (8.2)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66B424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19 (10.4)</w:t>
            </w:r>
          </w:p>
        </w:tc>
      </w:tr>
      <w:tr w:rsidR="00CF72A8" w14:paraId="041905E9" w14:textId="77777777" w:rsidTr="008D4070">
        <w:trPr>
          <w:trHeight w:val="6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D3A363F" w14:textId="77777777" w:rsidR="00CF72A8" w:rsidRPr="00D31EC9" w:rsidRDefault="00CF72A8" w:rsidP="008D4070">
            <w:pPr>
              <w:spacing w:line="48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D31EC9">
              <w:rPr>
                <w:rFonts w:cstheme="minorHAnsi"/>
                <w:sz w:val="20"/>
                <w:szCs w:val="20"/>
                <w:lang w:val="en-US"/>
              </w:rPr>
              <w:t>Dislocation</w:t>
            </w:r>
          </w:p>
          <w:p w14:paraId="5D3FD325" w14:textId="77777777" w:rsidR="00CF72A8" w:rsidRPr="003E3BC1" w:rsidRDefault="00CF72A8" w:rsidP="008D4070">
            <w:pPr>
              <w:spacing w:line="48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3E3BC1">
              <w:rPr>
                <w:rFonts w:cstheme="minorHAnsi"/>
                <w:sz w:val="16"/>
                <w:szCs w:val="16"/>
                <w:lang w:val="en-US"/>
              </w:rPr>
              <w:t>N=284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941E7C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5 (1.8)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627866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11 (4.0)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B1DCE9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20 (9.1)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74BA39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21 (10.5)</w:t>
            </w:r>
          </w:p>
        </w:tc>
      </w:tr>
      <w:tr w:rsidR="00CF72A8" w14:paraId="34EB6455" w14:textId="77777777" w:rsidTr="008D407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F047005" w14:textId="77777777" w:rsidR="00CF72A8" w:rsidRPr="00D31EC9" w:rsidRDefault="00CF72A8" w:rsidP="008D4070">
            <w:pPr>
              <w:spacing w:line="48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D31EC9">
              <w:rPr>
                <w:rFonts w:cstheme="minorHAnsi"/>
                <w:sz w:val="20"/>
                <w:szCs w:val="20"/>
                <w:lang w:val="en-US"/>
              </w:rPr>
              <w:t>Collateral ligament</w:t>
            </w:r>
          </w:p>
          <w:p w14:paraId="784A4861" w14:textId="77777777" w:rsidR="00CF72A8" w:rsidRPr="003E3BC1" w:rsidRDefault="00CF72A8" w:rsidP="008D4070">
            <w:pPr>
              <w:spacing w:line="48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3E3BC1">
              <w:rPr>
                <w:rFonts w:cstheme="minorHAnsi"/>
                <w:sz w:val="16"/>
                <w:szCs w:val="16"/>
                <w:lang w:val="en-US"/>
              </w:rPr>
              <w:t>N=564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C7A5E7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2 (0.4)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3461B8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23 (4.1)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95784F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34 (6.7)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352578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37 (8.1)</w:t>
            </w:r>
          </w:p>
        </w:tc>
      </w:tr>
      <w:tr w:rsidR="00CF72A8" w14:paraId="3E113A24" w14:textId="77777777" w:rsidTr="008D407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574CE8B" w14:textId="77777777" w:rsidR="00CF72A8" w:rsidRPr="00D31EC9" w:rsidRDefault="00CF72A8" w:rsidP="008D4070">
            <w:pPr>
              <w:spacing w:line="48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D31EC9">
              <w:rPr>
                <w:rFonts w:cstheme="minorHAnsi"/>
                <w:sz w:val="20"/>
                <w:szCs w:val="20"/>
                <w:lang w:val="en-US"/>
              </w:rPr>
              <w:t>Multiple structures</w:t>
            </w:r>
          </w:p>
          <w:p w14:paraId="2D249725" w14:textId="77777777" w:rsidR="00CF72A8" w:rsidRPr="003E3BC1" w:rsidRDefault="00CF72A8" w:rsidP="008D4070">
            <w:pPr>
              <w:spacing w:line="48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3E3BC1">
              <w:rPr>
                <w:rFonts w:cstheme="minorHAnsi"/>
                <w:sz w:val="16"/>
                <w:szCs w:val="16"/>
                <w:lang w:val="en-US"/>
              </w:rPr>
              <w:t>N=1,096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C72873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10 (0.9)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67C4F4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48 (4.4)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FBA42D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81 (8.3)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D61C86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91 (10.9)</w:t>
            </w:r>
          </w:p>
        </w:tc>
      </w:tr>
      <w:tr w:rsidR="00CF72A8" w14:paraId="7EF23304" w14:textId="77777777" w:rsidTr="008D407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03B7D" w14:textId="77777777" w:rsidR="00CF72A8" w:rsidRPr="00D31EC9" w:rsidRDefault="00CF72A8" w:rsidP="008D4070">
            <w:pPr>
              <w:spacing w:line="48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D31EC9">
              <w:rPr>
                <w:rFonts w:cstheme="minorHAnsi"/>
                <w:sz w:val="20"/>
                <w:szCs w:val="20"/>
                <w:lang w:val="en-US"/>
              </w:rPr>
              <w:t>Cartilage tear/other injur</w:t>
            </w:r>
            <w:r>
              <w:rPr>
                <w:rFonts w:cstheme="minorHAnsi"/>
                <w:sz w:val="20"/>
                <w:szCs w:val="20"/>
                <w:lang w:val="en-US"/>
              </w:rPr>
              <w:t>y</w:t>
            </w:r>
          </w:p>
          <w:p w14:paraId="5C26FE07" w14:textId="77777777" w:rsidR="00CF72A8" w:rsidRPr="003E3BC1" w:rsidRDefault="00CF72A8" w:rsidP="008D4070">
            <w:pPr>
              <w:spacing w:line="480" w:lineRule="auto"/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3E3BC1">
              <w:rPr>
                <w:rFonts w:cstheme="minorHAnsi"/>
                <w:sz w:val="16"/>
                <w:szCs w:val="16"/>
                <w:lang w:val="en-US"/>
              </w:rPr>
              <w:t>N=917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C47A8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9 (1.0)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5CE33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39 (4.4)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45006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53 (6.9)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EB353" w14:textId="77777777" w:rsidR="00CF72A8" w:rsidRPr="00965495" w:rsidRDefault="00CF72A8" w:rsidP="008D4070">
            <w:pPr>
              <w:spacing w:line="48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65495">
              <w:rPr>
                <w:rFonts w:cstheme="minorHAnsi"/>
                <w:sz w:val="20"/>
                <w:szCs w:val="20"/>
                <w:lang w:val="en-US"/>
              </w:rPr>
              <w:t>60 (11.9)</w:t>
            </w:r>
          </w:p>
        </w:tc>
      </w:tr>
    </w:tbl>
    <w:p w14:paraId="2C9C25AD" w14:textId="77777777" w:rsidR="00CF72A8" w:rsidRPr="00764002" w:rsidRDefault="00CF72A8" w:rsidP="00CF72A8">
      <w:pPr>
        <w:spacing w:after="0"/>
        <w:rPr>
          <w:rFonts w:cstheme="minorHAnsi"/>
          <w:sz w:val="20"/>
          <w:szCs w:val="20"/>
          <w:lang w:val="en-US"/>
        </w:rPr>
      </w:pPr>
      <w:r w:rsidRPr="00764002">
        <w:rPr>
          <w:rFonts w:cstheme="minorHAnsi"/>
          <w:sz w:val="20"/>
          <w:szCs w:val="20"/>
          <w:lang w:val="en-US"/>
        </w:rPr>
        <w:t xml:space="preserve">OA=Osteoarthritis </w:t>
      </w:r>
    </w:p>
    <w:p w14:paraId="7D5E362F" w14:textId="77777777" w:rsidR="00CF72A8" w:rsidRPr="00764002" w:rsidRDefault="00CF72A8" w:rsidP="00CF72A8">
      <w:pPr>
        <w:spacing w:after="0" w:line="480" w:lineRule="auto"/>
        <w:rPr>
          <w:rFonts w:cstheme="minorHAnsi"/>
          <w:sz w:val="20"/>
          <w:szCs w:val="20"/>
          <w:lang w:val="en-US"/>
        </w:rPr>
      </w:pPr>
      <w:r w:rsidRPr="00764002">
        <w:rPr>
          <w:rFonts w:cstheme="minorHAnsi"/>
          <w:sz w:val="20"/>
          <w:szCs w:val="20"/>
          <w:lang w:val="en-US"/>
        </w:rPr>
        <w:t>*%=cumulative incidence</w:t>
      </w:r>
    </w:p>
    <w:p w14:paraId="2251AF33" w14:textId="77777777" w:rsidR="00C717A3" w:rsidRPr="00CF72A8" w:rsidRDefault="00464723">
      <w:pPr>
        <w:rPr>
          <w:rFonts w:eastAsia="Times New Roman" w:cstheme="minorHAnsi"/>
          <w:sz w:val="20"/>
          <w:szCs w:val="20"/>
          <w:lang w:val="en-US"/>
        </w:rPr>
      </w:pPr>
    </w:p>
    <w:sectPr w:rsidR="00C717A3" w:rsidRPr="00CF7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A8"/>
    <w:rsid w:val="00093277"/>
    <w:rsid w:val="003043AE"/>
    <w:rsid w:val="00464723"/>
    <w:rsid w:val="00475456"/>
    <w:rsid w:val="004E6C5A"/>
    <w:rsid w:val="005B3F89"/>
    <w:rsid w:val="005F21F1"/>
    <w:rsid w:val="005F43A4"/>
    <w:rsid w:val="006A3E6D"/>
    <w:rsid w:val="007E70ED"/>
    <w:rsid w:val="00BE0075"/>
    <w:rsid w:val="00BE4D6B"/>
    <w:rsid w:val="00C07045"/>
    <w:rsid w:val="00C84108"/>
    <w:rsid w:val="00CA549F"/>
    <w:rsid w:val="00CF72A8"/>
    <w:rsid w:val="00DB205D"/>
    <w:rsid w:val="00E8099E"/>
    <w:rsid w:val="00EA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B36606"/>
  <w15:docId w15:val="{3EB50990-067E-427A-BFE8-972BF12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Snoeker</cp:lastModifiedBy>
  <cp:revision>4</cp:revision>
  <dcterms:created xsi:type="dcterms:W3CDTF">2019-09-17T09:24:00Z</dcterms:created>
  <dcterms:modified xsi:type="dcterms:W3CDTF">2019-09-17T09:25:00Z</dcterms:modified>
</cp:coreProperties>
</file>