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E03D6" w14:textId="0F261FEB" w:rsidR="004344BE" w:rsidRPr="00B65579" w:rsidRDefault="004344BE" w:rsidP="0058794F">
      <w:pPr>
        <w:rPr>
          <w:b/>
        </w:rPr>
      </w:pPr>
      <w:bookmarkStart w:id="0" w:name="_GoBack"/>
      <w:bookmarkEnd w:id="0"/>
      <w:r w:rsidRPr="00B65579">
        <w:rPr>
          <w:b/>
        </w:rPr>
        <w:t xml:space="preserve">Reducing carbon emissions in business through </w:t>
      </w:r>
      <w:r w:rsidR="005B530D">
        <w:rPr>
          <w:b/>
        </w:rPr>
        <w:t>Responsible Management Education</w:t>
      </w:r>
      <w:r w:rsidR="00AF1659">
        <w:rPr>
          <w:b/>
        </w:rPr>
        <w:t>: Influence at the Micro</w:t>
      </w:r>
      <w:r w:rsidR="004F223A">
        <w:rPr>
          <w:b/>
        </w:rPr>
        <w:t>-</w:t>
      </w:r>
      <w:r w:rsidR="00AF1659">
        <w:rPr>
          <w:b/>
        </w:rPr>
        <w:t>, Meso</w:t>
      </w:r>
      <w:r w:rsidR="004F223A">
        <w:rPr>
          <w:b/>
        </w:rPr>
        <w:t>-</w:t>
      </w:r>
      <w:r w:rsidR="00AF1659">
        <w:rPr>
          <w:b/>
        </w:rPr>
        <w:t xml:space="preserve"> and Macro-Levels</w:t>
      </w:r>
    </w:p>
    <w:p w14:paraId="5ABDC765" w14:textId="69D946C9" w:rsidR="00C06648" w:rsidRPr="00B65579" w:rsidRDefault="00365DD7" w:rsidP="004D60BC">
      <w:pPr>
        <w:rPr>
          <w:b/>
        </w:rPr>
      </w:pPr>
      <w:r>
        <w:rPr>
          <w:b/>
        </w:rPr>
        <w:t>Abstract</w:t>
      </w:r>
    </w:p>
    <w:p w14:paraId="35863293" w14:textId="151CFC3D" w:rsidR="00C91AE6" w:rsidRDefault="002A4F3A" w:rsidP="00C91AE6">
      <w:r>
        <w:t xml:space="preserve">There has long been an understanding that </w:t>
      </w:r>
      <w:r w:rsidR="009A064E">
        <w:t>to</w:t>
      </w:r>
      <w:r>
        <w:t xml:space="preserve"> achieve meaningful progress against sustainability challenges, action is required at multiple levels. With regard</w:t>
      </w:r>
      <w:r w:rsidR="009A064E">
        <w:t>s</w:t>
      </w:r>
      <w:r>
        <w:t xml:space="preserve"> to education </w:t>
      </w:r>
      <w:r w:rsidR="00074C9A">
        <w:t>initiatives,</w:t>
      </w:r>
      <w:r>
        <w:t xml:space="preserve"> these levels range </w:t>
      </w:r>
      <w:r w:rsidRPr="00B65579">
        <w:t>from macro-</w:t>
      </w:r>
      <w:r>
        <w:t>level</w:t>
      </w:r>
      <w:r w:rsidRPr="00B65579">
        <w:t xml:space="preserve"> international agreements and activities such as the </w:t>
      </w:r>
      <w:r>
        <w:t xml:space="preserve">United Nations Sustainable </w:t>
      </w:r>
      <w:r w:rsidR="009A064E">
        <w:t>D</w:t>
      </w:r>
      <w:r>
        <w:t xml:space="preserve">evelopment Goals </w:t>
      </w:r>
      <w:r w:rsidR="00FB61D4">
        <w:t xml:space="preserve">(SDGs) </w:t>
      </w:r>
      <w:r>
        <w:t xml:space="preserve">and the </w:t>
      </w:r>
      <w:r w:rsidRPr="00B65579">
        <w:t xml:space="preserve">United Nations Principles of Responsible Management Education, </w:t>
      </w:r>
      <w:r w:rsidR="007A637F">
        <w:t>meso-level</w:t>
      </w:r>
      <w:r w:rsidRPr="00B65579">
        <w:t xml:space="preserve"> influences such as the role of national bodies supporting sustainability in higher education, and </w:t>
      </w:r>
      <w:r w:rsidR="007A637F">
        <w:t>micro-level</w:t>
      </w:r>
      <w:r w:rsidRPr="00B65579">
        <w:t xml:space="preserve"> influences such as the commitment of individual </w:t>
      </w:r>
      <w:r w:rsidR="001113A8">
        <w:t>u</w:t>
      </w:r>
      <w:r w:rsidRPr="00B65579">
        <w:t>niversit</w:t>
      </w:r>
      <w:r w:rsidR="001113A8">
        <w:t>ies</w:t>
      </w:r>
      <w:r w:rsidRPr="00B65579">
        <w:t xml:space="preserve"> or </w:t>
      </w:r>
      <w:r w:rsidR="001113A8">
        <w:t>d</w:t>
      </w:r>
      <w:r w:rsidRPr="00B65579">
        <w:t>epartment</w:t>
      </w:r>
      <w:r>
        <w:t>s</w:t>
      </w:r>
      <w:r w:rsidRPr="00B65579">
        <w:t xml:space="preserve">. </w:t>
      </w:r>
      <w:r w:rsidR="00074C9A">
        <w:t xml:space="preserve">However, </w:t>
      </w:r>
      <w:r w:rsidRPr="00B65579">
        <w:t>decision makers are individuals</w:t>
      </w:r>
      <w:r>
        <w:t xml:space="preserve"> </w:t>
      </w:r>
      <w:r w:rsidRPr="00B65579">
        <w:t xml:space="preserve">and the development and delivery of such initiatives requires action at the </w:t>
      </w:r>
      <w:r w:rsidR="00A47E14">
        <w:t>level</w:t>
      </w:r>
      <w:r>
        <w:t xml:space="preserve"> of the </w:t>
      </w:r>
      <w:r w:rsidRPr="00B65579">
        <w:t>individual.</w:t>
      </w:r>
      <w:r w:rsidR="00B53629">
        <w:t xml:space="preserve"> </w:t>
      </w:r>
      <w:r w:rsidR="00C06648" w:rsidRPr="00B65579">
        <w:t xml:space="preserve">This paper explores the impact of </w:t>
      </w:r>
      <w:r w:rsidR="00074C9A">
        <w:t xml:space="preserve">working within and across </w:t>
      </w:r>
      <w:r w:rsidR="009A064E">
        <w:t>these different levels</w:t>
      </w:r>
      <w:r w:rsidR="00C06648" w:rsidRPr="00B65579">
        <w:t xml:space="preserve"> </w:t>
      </w:r>
      <w:r w:rsidR="009A064E">
        <w:t>and how jointly they help to work towards</w:t>
      </w:r>
      <w:r w:rsidR="00067D81">
        <w:t xml:space="preserve"> </w:t>
      </w:r>
      <w:r w:rsidR="009A064E">
        <w:t>addressing carbon reductions in a partnership setting between a business school and various organisations.</w:t>
      </w:r>
      <w:r w:rsidR="003312F6">
        <w:t xml:space="preserve"> </w:t>
      </w:r>
      <w:r w:rsidR="00FB61D4">
        <w:t>In its centre is an</w:t>
      </w:r>
      <w:r w:rsidR="00074C9A" w:rsidRPr="00B65579">
        <w:t xml:space="preserve"> </w:t>
      </w:r>
      <w:r w:rsidR="00C06648" w:rsidRPr="00B65579">
        <w:t xml:space="preserve">educational initiative </w:t>
      </w:r>
      <w:r w:rsidR="00276603">
        <w:t xml:space="preserve">carried out in the United Kingdom </w:t>
      </w:r>
      <w:r w:rsidR="00FB61D4">
        <w:t xml:space="preserve">in the core curriculum of XXX </w:t>
      </w:r>
      <w:r w:rsidR="00C06648" w:rsidRPr="00B65579">
        <w:t>where students conduct a carbon footprint of an organisation and recommend measures to reduce the company’s greenhouse gas emissions.</w:t>
      </w:r>
      <w:r w:rsidR="00B53629">
        <w:t xml:space="preserve"> </w:t>
      </w:r>
      <w:r w:rsidR="00C06648" w:rsidRPr="00B65579">
        <w:t xml:space="preserve">The total recommended greenhouse gas emissions savings from two years of the project </w:t>
      </w:r>
      <w:r w:rsidR="001113A8">
        <w:t>were</w:t>
      </w:r>
      <w:r w:rsidR="00C06648" w:rsidRPr="00B65579">
        <w:t xml:space="preserve"> 507, 435 kg CO</w:t>
      </w:r>
      <w:r w:rsidR="00C06648" w:rsidRPr="00B65579">
        <w:rPr>
          <w:vertAlign w:val="subscript"/>
        </w:rPr>
        <w:t>2</w:t>
      </w:r>
      <w:r w:rsidR="00C06648" w:rsidRPr="00B65579">
        <w:t>e, averaging over 10 tonnes per organisation and 2 tonnes per student.</w:t>
      </w:r>
      <w:r w:rsidR="00B53629">
        <w:t xml:space="preserve"> </w:t>
      </w:r>
      <w:r w:rsidR="00C06648" w:rsidRPr="00B65579">
        <w:t xml:space="preserve">If this project was </w:t>
      </w:r>
      <w:r w:rsidR="00F3112D">
        <w:t>extended</w:t>
      </w:r>
      <w:r w:rsidR="00F3112D" w:rsidRPr="00B65579">
        <w:t xml:space="preserve"> </w:t>
      </w:r>
      <w:r w:rsidR="00C06648" w:rsidRPr="00B65579">
        <w:t xml:space="preserve">over 5 </w:t>
      </w:r>
      <w:r w:rsidR="00B61B62" w:rsidRPr="00B65579">
        <w:t>years and</w:t>
      </w:r>
      <w:r w:rsidR="00C06648" w:rsidRPr="00B65579">
        <w:t xml:space="preserve"> taken on by an additional </w:t>
      </w:r>
      <w:r w:rsidR="00B61B62" w:rsidRPr="00B65579">
        <w:t>educator,</w:t>
      </w:r>
      <w:r w:rsidR="00C06648" w:rsidRPr="00B65579">
        <w:t xml:space="preserve"> the </w:t>
      </w:r>
      <w:r w:rsidR="00074C9A">
        <w:t xml:space="preserve">potential </w:t>
      </w:r>
      <w:r w:rsidR="00C06648" w:rsidRPr="00B65579">
        <w:t>reductions increase to 2,562,418 kg CO</w:t>
      </w:r>
      <w:r w:rsidR="00C06648" w:rsidRPr="00B65579">
        <w:rPr>
          <w:vertAlign w:val="subscript"/>
        </w:rPr>
        <w:t>2</w:t>
      </w:r>
      <w:r w:rsidR="00C06648" w:rsidRPr="00B65579">
        <w:t xml:space="preserve">e. </w:t>
      </w:r>
      <w:r>
        <w:t xml:space="preserve">It </w:t>
      </w:r>
      <w:r w:rsidR="00C91AE6">
        <w:t xml:space="preserve">demonstrates that action undertaken at the micro-level can </w:t>
      </w:r>
      <w:r w:rsidR="00074C9A">
        <w:t xml:space="preserve">result in significant impact </w:t>
      </w:r>
      <w:r w:rsidR="00C91AE6">
        <w:t xml:space="preserve">at the macro-level </w:t>
      </w:r>
      <w:r w:rsidR="00074C9A">
        <w:t xml:space="preserve">when </w:t>
      </w:r>
      <w:r w:rsidR="00C91AE6">
        <w:t>scal</w:t>
      </w:r>
      <w:r w:rsidR="00074C9A">
        <w:t>ed</w:t>
      </w:r>
      <w:r w:rsidR="00C91AE6">
        <w:t xml:space="preserve"> up</w:t>
      </w:r>
      <w:r w:rsidR="00074C9A">
        <w:t xml:space="preserve"> and provide significant benefits to </w:t>
      </w:r>
      <w:r w:rsidR="009A064E">
        <w:t xml:space="preserve">actors </w:t>
      </w:r>
      <w:r w:rsidR="00074C9A">
        <w:t xml:space="preserve">across all </w:t>
      </w:r>
      <w:r w:rsidR="009A064E">
        <w:t xml:space="preserve">levels </w:t>
      </w:r>
      <w:r w:rsidR="00074C9A">
        <w:t>from individuals though to all</w:t>
      </w:r>
      <w:r w:rsidR="009A064E">
        <w:t xml:space="preserve"> participating organisations.</w:t>
      </w:r>
      <w:r w:rsidR="00FB61D4">
        <w:t xml:space="preserve"> This initiative has proven very successful in delivering SDG 7, SDG 13 and SDG17; if taken up by more business schools the impacts on the targets of these SDGs and the climate change agreements could be significant.</w:t>
      </w:r>
    </w:p>
    <w:p w14:paraId="403B7F9E" w14:textId="47E611EA" w:rsidR="00365DD7" w:rsidRPr="00365DD7" w:rsidRDefault="00F83CBB">
      <w:r w:rsidRPr="00F6136F">
        <w:rPr>
          <w:b/>
          <w:bCs/>
        </w:rPr>
        <w:t>Keywords</w:t>
      </w:r>
      <w:r w:rsidRPr="00B65579">
        <w:t xml:space="preserve">: </w:t>
      </w:r>
      <w:r w:rsidR="001B3133">
        <w:t>Climate</w:t>
      </w:r>
      <w:r w:rsidRPr="00B65579">
        <w:t xml:space="preserve"> </w:t>
      </w:r>
      <w:r w:rsidR="001B3133">
        <w:t>mitigation</w:t>
      </w:r>
      <w:r w:rsidR="00082E1A">
        <w:t>, R</w:t>
      </w:r>
      <w:r w:rsidR="00F10A6F">
        <w:t xml:space="preserve">esponsible </w:t>
      </w:r>
      <w:r w:rsidR="00082E1A">
        <w:t>M</w:t>
      </w:r>
      <w:r w:rsidR="00F10A6F">
        <w:t xml:space="preserve">anagement </w:t>
      </w:r>
      <w:r w:rsidR="00082E1A">
        <w:t>E</w:t>
      </w:r>
      <w:r w:rsidR="00F10A6F">
        <w:t>ducation</w:t>
      </w:r>
      <w:r w:rsidR="00082E1A">
        <w:t>, S</w:t>
      </w:r>
      <w:r w:rsidR="00F10A6F">
        <w:t>ustainable Development Goals</w:t>
      </w:r>
      <w:r w:rsidRPr="00B65579">
        <w:t>, E</w:t>
      </w:r>
      <w:r w:rsidR="00F10A6F">
        <w:t>ducation for Sustainable Development</w:t>
      </w:r>
      <w:r w:rsidRPr="00B65579">
        <w:t xml:space="preserve">, </w:t>
      </w:r>
      <w:r w:rsidR="00B61B62" w:rsidRPr="00B65579">
        <w:t>carbon</w:t>
      </w:r>
      <w:r w:rsidR="00B61B62">
        <w:t>,</w:t>
      </w:r>
      <w:r w:rsidRPr="00B65579">
        <w:t xml:space="preserve"> business</w:t>
      </w:r>
      <w:r w:rsidR="009A064E">
        <w:t xml:space="preserve">, </w:t>
      </w:r>
      <w:r w:rsidR="00F10A6F">
        <w:t>Principles of Responsible Management Education.</w:t>
      </w:r>
    </w:p>
    <w:p w14:paraId="4E6FED15" w14:textId="722912BA" w:rsidR="00192FAE" w:rsidRPr="0060211F" w:rsidRDefault="008775B7" w:rsidP="0060211F">
      <w:pPr>
        <w:pStyle w:val="Heading2"/>
      </w:pPr>
      <w:r w:rsidRPr="0060211F">
        <w:t>Introduction</w:t>
      </w:r>
    </w:p>
    <w:p w14:paraId="36E7110D" w14:textId="04557B6F" w:rsidR="007115B6" w:rsidRDefault="00192FAE" w:rsidP="00365DD7">
      <w:r w:rsidRPr="00B65579">
        <w:t xml:space="preserve">Transformation to a more sustainable society </w:t>
      </w:r>
      <w:r w:rsidR="003D26A1" w:rsidRPr="00B65579">
        <w:t xml:space="preserve">and adaptation to climate change </w:t>
      </w:r>
      <w:r w:rsidRPr="00B65579">
        <w:t>require</w:t>
      </w:r>
      <w:r w:rsidR="008775B7" w:rsidRPr="00B65579">
        <w:t>s</w:t>
      </w:r>
      <w:r w:rsidRPr="00B65579">
        <w:t xml:space="preserve"> </w:t>
      </w:r>
      <w:r w:rsidR="008775B7" w:rsidRPr="00B65579">
        <w:t>action</w:t>
      </w:r>
      <w:r w:rsidRPr="00B65579">
        <w:t xml:space="preserve"> at different </w:t>
      </w:r>
      <w:r w:rsidR="00AF1659">
        <w:t>levels</w:t>
      </w:r>
      <w:r w:rsidRPr="00B65579">
        <w:t xml:space="preserve">, </w:t>
      </w:r>
      <w:r w:rsidR="00AF1659">
        <w:t xml:space="preserve">from the </w:t>
      </w:r>
      <w:r w:rsidR="009A064E" w:rsidRPr="00B65579">
        <w:t>international</w:t>
      </w:r>
      <w:r w:rsidR="009A064E">
        <w:t xml:space="preserve"> through</w:t>
      </w:r>
      <w:r w:rsidR="00AF1659">
        <w:t xml:space="preserve"> local action right down to </w:t>
      </w:r>
      <w:r w:rsidR="00074C9A">
        <w:t>that of the</w:t>
      </w:r>
      <w:r w:rsidR="00074C9A" w:rsidRPr="00B65579">
        <w:t xml:space="preserve"> </w:t>
      </w:r>
      <w:r w:rsidRPr="00B65579">
        <w:t>individual</w:t>
      </w:r>
      <w:r w:rsidR="003D26A1" w:rsidRPr="00B65579">
        <w:t xml:space="preserve"> (Adgar </w:t>
      </w:r>
      <w:r w:rsidR="001113A8">
        <w:rPr>
          <w:i/>
        </w:rPr>
        <w:t>et al</w:t>
      </w:r>
      <w:r w:rsidR="003D26A1" w:rsidRPr="00B65579">
        <w:t>, 2005)</w:t>
      </w:r>
      <w:r w:rsidR="008775B7" w:rsidRPr="00B65579">
        <w:t xml:space="preserve">. </w:t>
      </w:r>
      <w:r w:rsidR="00136BAE">
        <w:t>In business</w:t>
      </w:r>
      <w:r w:rsidR="0048777B">
        <w:t xml:space="preserve"> </w:t>
      </w:r>
      <w:r w:rsidR="00136BAE">
        <w:t>terminology</w:t>
      </w:r>
      <w:r w:rsidR="00074C9A">
        <w:t xml:space="preserve"> ‘</w:t>
      </w:r>
      <w:r w:rsidR="0048777B">
        <w:t>level</w:t>
      </w:r>
      <w:r w:rsidR="00074C9A">
        <w:t>’</w:t>
      </w:r>
      <w:r w:rsidR="00136BAE">
        <w:t xml:space="preserve"> is usually expressed in </w:t>
      </w:r>
      <w:r w:rsidR="001113A8">
        <w:t>m</w:t>
      </w:r>
      <w:r w:rsidR="00F97BED">
        <w:t>icro-</w:t>
      </w:r>
      <w:r w:rsidR="00136BAE">
        <w:t xml:space="preserve">, </w:t>
      </w:r>
      <w:r w:rsidR="00F97BED">
        <w:t>meso-</w:t>
      </w:r>
      <w:r w:rsidR="00136BAE">
        <w:t xml:space="preserve"> and </w:t>
      </w:r>
      <w:r w:rsidR="00F97BED">
        <w:t>macro-</w:t>
      </w:r>
      <w:r w:rsidR="00136BAE">
        <w:t xml:space="preserve"> </w:t>
      </w:r>
      <w:r w:rsidR="00074C9A">
        <w:t xml:space="preserve">terms </w:t>
      </w:r>
      <w:r w:rsidR="00136BAE">
        <w:t xml:space="preserve">and the integration of sustainability and responsibility that effect </w:t>
      </w:r>
      <w:r w:rsidR="00136BAE" w:rsidRPr="00136BAE">
        <w:t>social change</w:t>
      </w:r>
      <w:r w:rsidR="00136BAE">
        <w:t xml:space="preserve"> p</w:t>
      </w:r>
      <w:r w:rsidR="00136BAE" w:rsidRPr="00136BAE">
        <w:t xml:space="preserve">roceed simultaneously </w:t>
      </w:r>
      <w:r w:rsidR="00136BAE">
        <w:t xml:space="preserve">across all </w:t>
      </w:r>
      <w:r w:rsidR="00AF1659">
        <w:t>three</w:t>
      </w:r>
      <w:r w:rsidR="009A064E">
        <w:t xml:space="preserve"> (</w:t>
      </w:r>
      <w:r w:rsidR="00AF1659">
        <w:t xml:space="preserve">Jeurissen 1997). </w:t>
      </w:r>
      <w:r w:rsidR="008775B7" w:rsidRPr="00B65579">
        <w:t xml:space="preserve">The direction of influence </w:t>
      </w:r>
      <w:r w:rsidR="00074C9A">
        <w:t>takes place across and within</w:t>
      </w:r>
      <w:r w:rsidR="00074C9A" w:rsidRPr="00B65579">
        <w:t xml:space="preserve"> </w:t>
      </w:r>
      <w:r w:rsidR="00074C9A">
        <w:t xml:space="preserve">all levels and </w:t>
      </w:r>
      <w:r w:rsidR="003D26A1" w:rsidRPr="00B65579">
        <w:t xml:space="preserve">in </w:t>
      </w:r>
      <w:r w:rsidR="00136BAE">
        <w:t>all</w:t>
      </w:r>
      <w:r w:rsidR="003D26A1" w:rsidRPr="00B65579">
        <w:t xml:space="preserve"> directions</w:t>
      </w:r>
      <w:r w:rsidR="008775B7" w:rsidRPr="00B65579">
        <w:t xml:space="preserve">. </w:t>
      </w:r>
      <w:r w:rsidR="006E2139">
        <w:t xml:space="preserve">At the </w:t>
      </w:r>
      <w:r w:rsidR="006857B3">
        <w:t>macro-level</w:t>
      </w:r>
      <w:r w:rsidR="006E2139">
        <w:t xml:space="preserve">, the United Nations Sustainable Development Goals set out a framework to direct actions to meet sustainability challenges. Such </w:t>
      </w:r>
      <w:r w:rsidR="008775B7" w:rsidRPr="00B65579">
        <w:t>I</w:t>
      </w:r>
      <w:r w:rsidRPr="00B65579">
        <w:t>nternational</w:t>
      </w:r>
      <w:r w:rsidR="008775B7" w:rsidRPr="00B65579">
        <w:t xml:space="preserve"> policy, through its effect on national to organisational governance, feeds down to have an impact on the actions of the individual. Broad </w:t>
      </w:r>
      <w:r w:rsidRPr="00B65579">
        <w:t xml:space="preserve">societal paradigms such as neoliberalism, </w:t>
      </w:r>
      <w:r w:rsidR="008775B7" w:rsidRPr="00B65579">
        <w:t xml:space="preserve">which influence cultural norms and expectations, as well as national and organisational governance also </w:t>
      </w:r>
      <w:r w:rsidRPr="00B65579">
        <w:t xml:space="preserve">impact on the actions of the individual. However, </w:t>
      </w:r>
      <w:r w:rsidR="008775B7" w:rsidRPr="00B65579">
        <w:t xml:space="preserve">individuals </w:t>
      </w:r>
      <w:r w:rsidRPr="00B65579">
        <w:t xml:space="preserve">also have an influence at much broader, spatial, temporal and organisational </w:t>
      </w:r>
      <w:r w:rsidR="006857B3">
        <w:t>level</w:t>
      </w:r>
      <w:r w:rsidR="006857B3" w:rsidRPr="00B65579">
        <w:t>s</w:t>
      </w:r>
      <w:r w:rsidRPr="00B65579">
        <w:t xml:space="preserve">. </w:t>
      </w:r>
      <w:r w:rsidR="008775B7" w:rsidRPr="00B65579">
        <w:t>It is individuals</w:t>
      </w:r>
      <w:r w:rsidR="001113A8">
        <w:t xml:space="preserve"> </w:t>
      </w:r>
      <w:r w:rsidR="006857B3">
        <w:t xml:space="preserve">at the </w:t>
      </w:r>
      <w:r w:rsidR="00DA6105">
        <w:t>micro</w:t>
      </w:r>
      <w:r w:rsidR="006857B3">
        <w:t>-level</w:t>
      </w:r>
      <w:r w:rsidR="008775B7" w:rsidRPr="00B65579">
        <w:t xml:space="preserve"> who are key decision makers in government and business, it is individuals </w:t>
      </w:r>
      <w:r w:rsidR="007115B6" w:rsidRPr="00B65579">
        <w:t>who communicate through the traditional and social media</w:t>
      </w:r>
      <w:r w:rsidR="00074C9A">
        <w:t>s</w:t>
      </w:r>
      <w:r w:rsidR="007115B6" w:rsidRPr="00B65579">
        <w:t xml:space="preserve"> and hence influence wider societal opinion, it is individuals who educate classes of students or direct educational policy. Yet</w:t>
      </w:r>
      <w:r w:rsidR="001113A8">
        <w:t>,</w:t>
      </w:r>
      <w:r w:rsidR="007115B6" w:rsidRPr="00B65579">
        <w:t xml:space="preserve"> these individuals rarely work independently. They work in teams </w:t>
      </w:r>
      <w:r w:rsidR="006857B3">
        <w:t xml:space="preserve">at the meso-level through </w:t>
      </w:r>
      <w:r w:rsidR="007115B6" w:rsidRPr="00B65579">
        <w:t>sometimes informal, sometimes formal governanc</w:t>
      </w:r>
      <w:r w:rsidR="003F492E" w:rsidRPr="00B65579">
        <w:t>e structures</w:t>
      </w:r>
      <w:r w:rsidR="00074C9A">
        <w:t>. As such i</w:t>
      </w:r>
      <w:r w:rsidR="00C91AE6">
        <w:t xml:space="preserve">t is important to </w:t>
      </w:r>
      <w:r w:rsidR="00074C9A">
        <w:t xml:space="preserve">recognise </w:t>
      </w:r>
      <w:r w:rsidR="00C91AE6">
        <w:t>that action taken across multiple levels, or a set of interventions by different actors at mic</w:t>
      </w:r>
      <w:r w:rsidR="00344F13">
        <w:t>r</w:t>
      </w:r>
      <w:r w:rsidR="00C91AE6">
        <w:t xml:space="preserve">o-, </w:t>
      </w:r>
      <w:r w:rsidR="00C91AE6">
        <w:lastRenderedPageBreak/>
        <w:t xml:space="preserve">meso- and </w:t>
      </w:r>
      <w:r w:rsidR="000D50EF">
        <w:t>macro-levels</w:t>
      </w:r>
      <w:r w:rsidR="00C91AE6">
        <w:t xml:space="preserve"> can be effective in addressing sustainable development </w:t>
      </w:r>
      <w:r w:rsidR="00F3112D">
        <w:t xml:space="preserve">challenges </w:t>
      </w:r>
      <w:r w:rsidR="00A41F20">
        <w:t>(van den Bosch, 2010).</w:t>
      </w:r>
      <w:r w:rsidR="00B53629">
        <w:t xml:space="preserve"> </w:t>
      </w:r>
    </w:p>
    <w:p w14:paraId="1246C673" w14:textId="20EF6C46" w:rsidR="00953D78" w:rsidRDefault="00276603" w:rsidP="00365DD7">
      <w:r>
        <w:t>When considering initiatives that result in carbon emission reduction</w:t>
      </w:r>
      <w:r w:rsidR="00AD208B">
        <w:t xml:space="preserve">, these take place at a range of different levels. </w:t>
      </w:r>
      <w:r w:rsidR="00561609">
        <w:t>At the macro-level, global agreements between nations such a</w:t>
      </w:r>
      <w:r w:rsidR="00D71EAA">
        <w:t>s</w:t>
      </w:r>
      <w:r w:rsidR="00561609">
        <w:t xml:space="preserve"> the Kyoto Proto</w:t>
      </w:r>
      <w:r w:rsidR="00D71EAA">
        <w:t>col dictate actions across international boundaries. Such international agreements translate to meso-</w:t>
      </w:r>
      <w:r w:rsidR="000F2E69">
        <w:t xml:space="preserve">level </w:t>
      </w:r>
      <w:r w:rsidR="0048777B">
        <w:t xml:space="preserve">national or sub-regional </w:t>
      </w:r>
      <w:r w:rsidR="00D71EAA">
        <w:t xml:space="preserve">actions such as legislation limiting carbon emissions by organisations operating within national boundaries or carbon mitigation activities such as energy policy which promotes renewable sources or energy. </w:t>
      </w:r>
      <w:r w:rsidR="00074C9A">
        <w:t>Action also</w:t>
      </w:r>
      <w:r w:rsidR="00D71EAA">
        <w:t xml:space="preserve"> takes place at the micr</w:t>
      </w:r>
      <w:r w:rsidR="000F2E69">
        <w:t>o</w:t>
      </w:r>
      <w:r w:rsidR="00D71EAA">
        <w:t>-level. Here</w:t>
      </w:r>
      <w:r w:rsidR="00A96D9A">
        <w:t>,</w:t>
      </w:r>
      <w:r w:rsidR="00D71EAA">
        <w:t xml:space="preserve"> individual actors </w:t>
      </w:r>
      <w:r w:rsidR="000F2E69">
        <w:t xml:space="preserve">may undertake specific actions such as deciding to reduce personal flights, switch to a vegetarian diet or other such </w:t>
      </w:r>
      <w:r w:rsidR="00074C9A">
        <w:t xml:space="preserve">personal carbon reducing </w:t>
      </w:r>
      <w:r w:rsidR="000F2E69">
        <w:t xml:space="preserve">initiatives. </w:t>
      </w:r>
    </w:p>
    <w:p w14:paraId="0418BD0E" w14:textId="2ACC9168" w:rsidR="00A82F16" w:rsidRDefault="00074C9A" w:rsidP="00365DD7">
      <w:r>
        <w:t>U</w:t>
      </w:r>
      <w:r w:rsidR="00911A60">
        <w:t>nderstand</w:t>
      </w:r>
      <w:r>
        <w:t>ing</w:t>
      </w:r>
      <w:r w:rsidR="00911A60">
        <w:t xml:space="preserve"> the relationships between the different levels of action</w:t>
      </w:r>
      <w:r>
        <w:t xml:space="preserve"> has been advocated previously by multiple authors. F</w:t>
      </w:r>
      <w:r w:rsidR="00911A60">
        <w:t>rynas and Yamahaki (2016</w:t>
      </w:r>
      <w:r>
        <w:t>)</w:t>
      </w:r>
      <w:r w:rsidR="00911A60">
        <w:t xml:space="preserve"> </w:t>
      </w:r>
      <w:r w:rsidR="00911A60" w:rsidRPr="00333E4B">
        <w:t>demonstrate</w:t>
      </w:r>
      <w:r w:rsidR="00911A60">
        <w:t>d</w:t>
      </w:r>
      <w:r w:rsidR="00911A60" w:rsidRPr="00333E4B">
        <w:t xml:space="preserve"> </w:t>
      </w:r>
      <w:r w:rsidR="00911A60">
        <w:t>the need for sustainability</w:t>
      </w:r>
      <w:r w:rsidR="00911A60" w:rsidRPr="00333E4B">
        <w:t xml:space="preserve"> scholarship </w:t>
      </w:r>
      <w:r w:rsidR="001113A8">
        <w:t>exploring</w:t>
      </w:r>
      <w:r w:rsidR="00911A60" w:rsidRPr="00333E4B">
        <w:t xml:space="preserve"> multiple levels of analysis, in particular connecting the micro-level to the meso-level and</w:t>
      </w:r>
      <w:r w:rsidR="000A666D">
        <w:t xml:space="preserve"> to</w:t>
      </w:r>
      <w:r w:rsidR="00911A60" w:rsidRPr="00333E4B">
        <w:t xml:space="preserve"> the macro-level.</w:t>
      </w:r>
      <w:r w:rsidR="00911A60">
        <w:t xml:space="preserve"> Doh </w:t>
      </w:r>
      <w:r w:rsidR="00F97BED">
        <w:t>and</w:t>
      </w:r>
      <w:r w:rsidR="00911A60">
        <w:t xml:space="preserve"> Quigley (2014) point</w:t>
      </w:r>
      <w:r w:rsidR="00EC65E5">
        <w:t>ed</w:t>
      </w:r>
      <w:r w:rsidR="00911A60">
        <w:t xml:space="preserve"> out </w:t>
      </w:r>
      <w:r w:rsidR="009C7015">
        <w:t>t</w:t>
      </w:r>
      <w:r w:rsidR="00911A60">
        <w:t xml:space="preserve">hat more research is needed to understand the process through which responsible leaders, and leaders in general, manage the process of dealing with divergent stakeholders across all levels of activity. </w:t>
      </w:r>
      <w:r w:rsidR="009C7015">
        <w:t>Similarly,</w:t>
      </w:r>
      <w:r w:rsidR="00911A60">
        <w:t xml:space="preserve"> Aguinis </w:t>
      </w:r>
      <w:r w:rsidR="00F97BED">
        <w:t>and</w:t>
      </w:r>
      <w:r w:rsidR="00911A60">
        <w:t xml:space="preserve"> Glavas (2012) assert</w:t>
      </w:r>
      <w:r w:rsidR="00EC65E5">
        <w:t>ed</w:t>
      </w:r>
      <w:r w:rsidR="00911A60">
        <w:t xml:space="preserve"> that micro-level theories should be used to improve our understanding of the underlying psychological processes associated with </w:t>
      </w:r>
      <w:r w:rsidR="009C7015">
        <w:t xml:space="preserve">sustainability activities. Finally, it is understood that </w:t>
      </w:r>
      <w:r w:rsidR="00911A60">
        <w:t>an</w:t>
      </w:r>
      <w:r w:rsidR="009C7015">
        <w:t xml:space="preserve"> </w:t>
      </w:r>
      <w:r w:rsidR="00911A60">
        <w:t>accumulation</w:t>
      </w:r>
      <w:r w:rsidR="009C7015">
        <w:t xml:space="preserve"> </w:t>
      </w:r>
      <w:r w:rsidR="00911A60">
        <w:t>of relatively small changes</w:t>
      </w:r>
      <w:r w:rsidR="009C7015">
        <w:t xml:space="preserve"> can </w:t>
      </w:r>
      <w:r w:rsidR="00911A60">
        <w:t>add up</w:t>
      </w:r>
      <w:r w:rsidR="009C7015">
        <w:t xml:space="preserve"> </w:t>
      </w:r>
      <w:r w:rsidR="00911A60">
        <w:t xml:space="preserve">to very large changes (Turner </w:t>
      </w:r>
      <w:r w:rsidR="00911A60" w:rsidRPr="009A064E">
        <w:rPr>
          <w:i/>
          <w:iCs/>
        </w:rPr>
        <w:t>et al</w:t>
      </w:r>
      <w:r w:rsidR="00911A60">
        <w:t>,</w:t>
      </w:r>
      <w:r w:rsidR="009C7015">
        <w:t xml:space="preserve"> </w:t>
      </w:r>
      <w:r w:rsidR="00911A60">
        <w:t>1990)</w:t>
      </w:r>
      <w:r w:rsidR="003555EB">
        <w:t>,</w:t>
      </w:r>
      <w:r w:rsidR="009C7015">
        <w:t xml:space="preserve"> however</w:t>
      </w:r>
      <w:r w:rsidR="00EC65E5">
        <w:t xml:space="preserve"> </w:t>
      </w:r>
      <w:r w:rsidR="009C7015">
        <w:t>it is important that educators understand the relationship between</w:t>
      </w:r>
      <w:r w:rsidR="0048777B">
        <w:t xml:space="preserve"> macro-level</w:t>
      </w:r>
      <w:r w:rsidR="00911A60">
        <w:t xml:space="preserve"> driving forces and issues</w:t>
      </w:r>
      <w:r w:rsidR="009C7015">
        <w:t xml:space="preserve">, the </w:t>
      </w:r>
      <w:r w:rsidR="00911A60">
        <w:t>linkages between place</w:t>
      </w:r>
      <w:r w:rsidR="0048777B">
        <w:t>s</w:t>
      </w:r>
      <w:r w:rsidR="00911A60">
        <w:t xml:space="preserve">, and </w:t>
      </w:r>
      <w:r w:rsidR="009C7015">
        <w:t>the importance of</w:t>
      </w:r>
      <w:r w:rsidR="00911A60">
        <w:t xml:space="preserve"> access to resources to support effective actions.</w:t>
      </w:r>
    </w:p>
    <w:p w14:paraId="3F5A2163" w14:textId="348723B8" w:rsidR="009111EE" w:rsidRDefault="009A064E" w:rsidP="009111EE">
      <w:r>
        <w:t>This</w:t>
      </w:r>
      <w:r w:rsidR="00192FAE" w:rsidRPr="00B65579">
        <w:t xml:space="preserve"> paper seeks to explore the </w:t>
      </w:r>
      <w:r w:rsidR="00DA6105">
        <w:t xml:space="preserve">relationships between </w:t>
      </w:r>
      <w:r w:rsidR="00F97BED">
        <w:t>macro-</w:t>
      </w:r>
      <w:r w:rsidR="00DA6105">
        <w:t xml:space="preserve">, </w:t>
      </w:r>
      <w:r w:rsidR="00F97BED">
        <w:t>meso-</w:t>
      </w:r>
      <w:r w:rsidR="00DA6105">
        <w:t xml:space="preserve"> and micro-level actions </w:t>
      </w:r>
      <w:r w:rsidR="00192FAE" w:rsidRPr="00B65579">
        <w:t>within the fie</w:t>
      </w:r>
      <w:r w:rsidR="00DA6105">
        <w:t xml:space="preserve">lds </w:t>
      </w:r>
      <w:r w:rsidR="00192FAE" w:rsidRPr="00B65579">
        <w:t xml:space="preserve">of </w:t>
      </w:r>
      <w:r w:rsidR="00DA6105">
        <w:t xml:space="preserve">Education for Sustainable Development and Responsible Management Education. </w:t>
      </w:r>
      <w:r w:rsidR="00192FAE" w:rsidRPr="00B65579">
        <w:t>With reference to a case study</w:t>
      </w:r>
      <w:r w:rsidR="00A42192">
        <w:t xml:space="preserve"> taken from a UK Higher Education Institution</w:t>
      </w:r>
      <w:r w:rsidR="00192FAE" w:rsidRPr="00B65579">
        <w:t xml:space="preserve">, </w:t>
      </w:r>
      <w:r w:rsidR="004046E6">
        <w:t>the paper</w:t>
      </w:r>
      <w:r w:rsidR="00A303CB" w:rsidRPr="00B65579">
        <w:t xml:space="preserve"> </w:t>
      </w:r>
      <w:r w:rsidR="00DA6105">
        <w:t>examines</w:t>
      </w:r>
      <w:r w:rsidR="00DA6105" w:rsidRPr="00B65579">
        <w:t xml:space="preserve"> </w:t>
      </w:r>
      <w:r w:rsidR="00192FAE" w:rsidRPr="00B65579">
        <w:t xml:space="preserve">an educational </w:t>
      </w:r>
      <w:r w:rsidR="00A33394" w:rsidRPr="00B65579">
        <w:t>initiative where students conduct a carbon footprint of an organisation and recommend measures to reduce the company’s greenhouse gas emissions</w:t>
      </w:r>
      <w:r w:rsidR="00A33394">
        <w:t>.</w:t>
      </w:r>
      <w:r w:rsidR="00B405DC">
        <w:t xml:space="preserve"> In line with the authors discussed above (Turner </w:t>
      </w:r>
      <w:r w:rsidR="00B405DC">
        <w:rPr>
          <w:i/>
          <w:iCs/>
        </w:rPr>
        <w:t xml:space="preserve">et al, </w:t>
      </w:r>
      <w:r w:rsidR="00B405DC">
        <w:t>1990; Aguinis and Glavas 2012; Doh and Quigley, 2014; Frynas and Yamahaki, 2016)</w:t>
      </w:r>
      <w:r w:rsidR="00A33394">
        <w:t xml:space="preserve"> </w:t>
      </w:r>
      <w:r w:rsidR="00B405DC">
        <w:t>i</w:t>
      </w:r>
      <w:r w:rsidR="00A33394">
        <w:t>t</w:t>
      </w:r>
      <w:r>
        <w:t xml:space="preserve"> explores </w:t>
      </w:r>
      <w:r w:rsidR="00880936">
        <w:t xml:space="preserve">the </w:t>
      </w:r>
      <w:r>
        <w:t>research question</w:t>
      </w:r>
      <w:r w:rsidR="00A96D9A">
        <w:t>:</w:t>
      </w:r>
      <w:r w:rsidR="00880936">
        <w:t xml:space="preserve"> </w:t>
      </w:r>
      <w:r w:rsidR="00A96D9A">
        <w:t>‘H</w:t>
      </w:r>
      <w:r>
        <w:t>ow</w:t>
      </w:r>
      <w:r w:rsidR="00880936">
        <w:t xml:space="preserve"> </w:t>
      </w:r>
      <w:r w:rsidR="00B405DC">
        <w:t>may micro level</w:t>
      </w:r>
      <w:r>
        <w:t xml:space="preserve"> project</w:t>
      </w:r>
      <w:r w:rsidR="00B405DC">
        <w:t>s</w:t>
      </w:r>
      <w:r>
        <w:t xml:space="preserve"> </w:t>
      </w:r>
      <w:r w:rsidR="00880936">
        <w:t xml:space="preserve">influence sustainable development </w:t>
      </w:r>
      <w:r w:rsidR="0048777B">
        <w:t xml:space="preserve">across </w:t>
      </w:r>
      <w:r w:rsidR="00880936">
        <w:t>different level</w:t>
      </w:r>
      <w:r>
        <w:t>s</w:t>
      </w:r>
      <w:r w:rsidR="00A96D9A">
        <w:t>?’</w:t>
      </w:r>
      <w:r w:rsidR="00A33394">
        <w:t xml:space="preserve"> </w:t>
      </w:r>
      <w:r w:rsidR="00192FAE" w:rsidRPr="00B65579">
        <w:t>Th</w:t>
      </w:r>
      <w:r w:rsidR="00880936">
        <w:t xml:space="preserve">e </w:t>
      </w:r>
      <w:r w:rsidR="00192FAE" w:rsidRPr="00B65579">
        <w:t>paper analyse</w:t>
      </w:r>
      <w:r w:rsidR="00B405DC">
        <w:t>s</w:t>
      </w:r>
      <w:r w:rsidR="00192FAE" w:rsidRPr="00B65579">
        <w:t xml:space="preserve"> the ‘keystone’ drivers at different </w:t>
      </w:r>
      <w:r w:rsidR="00953D78">
        <w:t xml:space="preserve">levels </w:t>
      </w:r>
      <w:r w:rsidR="00192FAE" w:rsidRPr="00B65579">
        <w:t>for facilitating change within organisations</w:t>
      </w:r>
      <w:r w:rsidR="00EB32C6" w:rsidRPr="00B65579">
        <w:t xml:space="preserve"> through initiatives within higher education.</w:t>
      </w:r>
      <w:r w:rsidR="00B53629">
        <w:t xml:space="preserve"> </w:t>
      </w:r>
      <w:r w:rsidR="00953D78">
        <w:t xml:space="preserve">We </w:t>
      </w:r>
      <w:r w:rsidR="003555EB">
        <w:t>demonstrate</w:t>
      </w:r>
      <w:r w:rsidR="00953D78">
        <w:t xml:space="preserve"> </w:t>
      </w:r>
      <w:r w:rsidR="003555EB">
        <w:t xml:space="preserve">that </w:t>
      </w:r>
      <w:r w:rsidR="00192FAE" w:rsidRPr="00B65579">
        <w:t xml:space="preserve">an analysis across </w:t>
      </w:r>
      <w:r w:rsidR="00953D78">
        <w:t>all levels of influence</w:t>
      </w:r>
      <w:r w:rsidR="00953D78" w:rsidRPr="00B65579">
        <w:t xml:space="preserve"> </w:t>
      </w:r>
      <w:r w:rsidR="00192FAE" w:rsidRPr="00B65579">
        <w:t xml:space="preserve">is necessary to understand </w:t>
      </w:r>
      <w:r w:rsidR="00A303CB" w:rsidRPr="00B65579">
        <w:t xml:space="preserve">both the potential to create and resist change in organisations from </w:t>
      </w:r>
      <w:r w:rsidR="00192FAE" w:rsidRPr="00B65579">
        <w:t>educational initiatives.</w:t>
      </w:r>
      <w:r w:rsidR="003555EB">
        <w:t xml:space="preserve"> In addition, we argue that such an initiative </w:t>
      </w:r>
      <w:r w:rsidR="00053A68">
        <w:t>undertaken at the</w:t>
      </w:r>
      <w:r w:rsidR="003555EB">
        <w:t xml:space="preserve"> micro-level</w:t>
      </w:r>
      <w:r w:rsidR="00053A68">
        <w:t xml:space="preserve"> may achieve significant carbon emissions </w:t>
      </w:r>
      <w:r w:rsidR="005168D3">
        <w:t>when combined with similar initiatives</w:t>
      </w:r>
      <w:r w:rsidR="003555EB">
        <w:t xml:space="preserve"> </w:t>
      </w:r>
      <w:r w:rsidR="005168D3">
        <w:t xml:space="preserve">from </w:t>
      </w:r>
      <w:r w:rsidR="003555EB">
        <w:t>other educators</w:t>
      </w:r>
      <w:r w:rsidR="005168D3">
        <w:t>. Scaling these initiatives</w:t>
      </w:r>
      <w:r w:rsidR="001113A8">
        <w:t xml:space="preserve"> up</w:t>
      </w:r>
      <w:r w:rsidR="005168D3">
        <w:t xml:space="preserve"> to </w:t>
      </w:r>
      <w:r w:rsidR="003555EB">
        <w:t xml:space="preserve">meso- or macro-level </w:t>
      </w:r>
      <w:r w:rsidR="00795106">
        <w:t xml:space="preserve">interventions </w:t>
      </w:r>
      <w:r w:rsidR="003555EB">
        <w:t xml:space="preserve">could achieve </w:t>
      </w:r>
      <w:r w:rsidR="00795106">
        <w:t xml:space="preserve">very significant </w:t>
      </w:r>
      <w:r w:rsidR="003555EB">
        <w:t xml:space="preserve">carbon savings </w:t>
      </w:r>
      <w:r w:rsidR="0078402F">
        <w:t xml:space="preserve">thus contributing to recent calls </w:t>
      </w:r>
      <w:r w:rsidR="00F105C6">
        <w:t xml:space="preserve">from the UK Government and others </w:t>
      </w:r>
      <w:r w:rsidR="003555EB">
        <w:t>to act on the climate emergency</w:t>
      </w:r>
      <w:r w:rsidR="00A11C99">
        <w:t xml:space="preserve"> (</w:t>
      </w:r>
      <w:r w:rsidR="00392A72">
        <w:t>BBC, 2019</w:t>
      </w:r>
      <w:r w:rsidR="00545940">
        <w:t>)</w:t>
      </w:r>
      <w:r w:rsidR="003555EB">
        <w:t>.</w:t>
      </w:r>
      <w:r w:rsidR="00FB61D4">
        <w:t xml:space="preserve"> This education initiative was designed in 2010 long before the related Sustainable Development Goals 7,13 and 17 were announced; however an educator interested in working towards these goals could employ this initiative to address these goals; some of the authors of this paper have explored the link to these SDGs in more detail in another publication (XXX) and </w:t>
      </w:r>
      <w:r w:rsidR="000C4CBB">
        <w:t xml:space="preserve">additional </w:t>
      </w:r>
      <w:r w:rsidR="00FB61D4">
        <w:t>i</w:t>
      </w:r>
      <w:r w:rsidR="000C4CBB">
        <w:t>nformation and teaching material can be provided when contacting the authors.</w:t>
      </w:r>
    </w:p>
    <w:p w14:paraId="5FD50CC0" w14:textId="3E8FCBFD" w:rsidR="009111EE" w:rsidRPr="009111EE" w:rsidRDefault="009111EE" w:rsidP="009111EE">
      <w:pPr>
        <w:pStyle w:val="Heading2"/>
      </w:pPr>
      <w:r>
        <w:t>Literature Review</w:t>
      </w:r>
      <w:r w:rsidR="00B53629">
        <w:t xml:space="preserve"> </w:t>
      </w:r>
    </w:p>
    <w:p w14:paraId="38FB99A2" w14:textId="23BD594E" w:rsidR="00276603" w:rsidRPr="009A064E" w:rsidRDefault="001E3461" w:rsidP="009A064E">
      <w:r>
        <w:t xml:space="preserve">An understanding of the role of </w:t>
      </w:r>
      <w:r w:rsidR="0048777B">
        <w:t>level</w:t>
      </w:r>
      <w:r>
        <w:t xml:space="preserve"> </w:t>
      </w:r>
      <w:r w:rsidR="0099777A">
        <w:t xml:space="preserve">when considering interventions to </w:t>
      </w:r>
      <w:r w:rsidR="00A752A2">
        <w:t>achieve meaningful progress against sustainability challenges</w:t>
      </w:r>
      <w:r w:rsidR="0099777A">
        <w:t xml:space="preserve"> is essential as it is known that </w:t>
      </w:r>
      <w:r w:rsidR="00A752A2">
        <w:t xml:space="preserve">action is required at multiple </w:t>
      </w:r>
      <w:r w:rsidR="0048777B">
        <w:t>levels</w:t>
      </w:r>
      <w:r w:rsidR="00A752A2">
        <w:t xml:space="preserve"> (</w:t>
      </w:r>
      <w:r w:rsidR="00690C0C">
        <w:t xml:space="preserve">see for </w:t>
      </w:r>
      <w:r w:rsidR="00690C0C">
        <w:lastRenderedPageBreak/>
        <w:t>example: J</w:t>
      </w:r>
      <w:r w:rsidR="00A752A2">
        <w:t>eurissen, 1997</w:t>
      </w:r>
      <w:r w:rsidR="00690C0C">
        <w:t xml:space="preserve">; Cash </w:t>
      </w:r>
      <w:r w:rsidR="00690C0C">
        <w:rPr>
          <w:i/>
          <w:iCs/>
        </w:rPr>
        <w:t>et al</w:t>
      </w:r>
      <w:r w:rsidR="00690C0C">
        <w:t xml:space="preserve">, 2006; </w:t>
      </w:r>
      <w:r w:rsidR="00690C0C" w:rsidRPr="00690C0C">
        <w:t>Wilbanks, 2007</w:t>
      </w:r>
      <w:r w:rsidR="00690C0C">
        <w:t xml:space="preserve">). </w:t>
      </w:r>
      <w:r w:rsidR="0099777A">
        <w:t xml:space="preserve">A key reason for this is that </w:t>
      </w:r>
      <w:r w:rsidR="00561609">
        <w:t xml:space="preserve">sustainable development involves the interaction between systems and processes, abilities to act, </w:t>
      </w:r>
      <w:r w:rsidR="00A96D9A">
        <w:t xml:space="preserve">and </w:t>
      </w:r>
      <w:r w:rsidR="00A96D9A" w:rsidRPr="00561609">
        <w:t>potentials for multi</w:t>
      </w:r>
      <w:r w:rsidR="00561609" w:rsidRPr="00561609">
        <w:t>-</w:t>
      </w:r>
      <w:r w:rsidR="0048777B">
        <w:t>level</w:t>
      </w:r>
      <w:r w:rsidR="0048777B" w:rsidRPr="00561609">
        <w:t xml:space="preserve"> </w:t>
      </w:r>
      <w:r w:rsidR="00A96D9A" w:rsidRPr="00561609">
        <w:t>analyses and actions</w:t>
      </w:r>
      <w:r w:rsidR="00561609">
        <w:t xml:space="preserve"> </w:t>
      </w:r>
      <w:r w:rsidR="006630E3">
        <w:t>(Wilbanks, 2007).</w:t>
      </w:r>
      <w:r w:rsidR="00561609">
        <w:t xml:space="preserve"> </w:t>
      </w:r>
      <w:r w:rsidR="0099777A">
        <w:t>A number of researchers point to the</w:t>
      </w:r>
      <w:r w:rsidR="00896620">
        <w:t xml:space="preserve"> need for research that considers </w:t>
      </w:r>
      <w:r w:rsidR="000B324B">
        <w:t xml:space="preserve">the relationships between </w:t>
      </w:r>
      <w:r w:rsidR="00896620">
        <w:t xml:space="preserve">sustainability </w:t>
      </w:r>
      <w:r w:rsidR="000B324B">
        <w:t xml:space="preserve">initiatives and specific actions across and between different levels. </w:t>
      </w:r>
      <w:r w:rsidR="00896620" w:rsidRPr="00896620">
        <w:rPr>
          <w:lang w:val="fr-FR"/>
        </w:rPr>
        <w:t>Bies</w:t>
      </w:r>
      <w:r w:rsidR="00896620">
        <w:t xml:space="preserve"> </w:t>
      </w:r>
      <w:r w:rsidR="00896620">
        <w:rPr>
          <w:i/>
          <w:iCs/>
        </w:rPr>
        <w:t xml:space="preserve">et al </w:t>
      </w:r>
      <w:r w:rsidR="00896620">
        <w:t xml:space="preserve">(2007) </w:t>
      </w:r>
      <w:r w:rsidR="004B28B7">
        <w:t xml:space="preserve">discern three different levels of analysis for </w:t>
      </w:r>
      <w:r w:rsidR="00FC5915">
        <w:t xml:space="preserve">corporate social responsibility </w:t>
      </w:r>
      <w:r w:rsidR="000B324B">
        <w:t>research:</w:t>
      </w:r>
      <w:r w:rsidR="004B28B7">
        <w:t xml:space="preserve"> micro-level (involving psychological </w:t>
      </w:r>
      <w:r w:rsidR="00A96D9A">
        <w:t>bases among individuals), meso-</w:t>
      </w:r>
      <w:r w:rsidR="004B28B7">
        <w:t>level involving relational issues among organizations), and macro-level (involving wider political,</w:t>
      </w:r>
      <w:r w:rsidR="00FC5915">
        <w:t xml:space="preserve"> </w:t>
      </w:r>
      <w:r w:rsidR="004B28B7">
        <w:t>economic and societal dynamics)</w:t>
      </w:r>
      <w:r w:rsidR="000B324B">
        <w:t xml:space="preserve">. </w:t>
      </w:r>
      <w:r w:rsidR="00B405DC">
        <w:t>B</w:t>
      </w:r>
      <w:r w:rsidR="000B324B">
        <w:t xml:space="preserve">usiness educators also need to develop an understanding of the role of </w:t>
      </w:r>
      <w:r w:rsidR="0048777B">
        <w:t xml:space="preserve">examining and undertaking actions across difference </w:t>
      </w:r>
      <w:r w:rsidR="000B324B">
        <w:t>level</w:t>
      </w:r>
      <w:r w:rsidR="0048777B">
        <w:t>s</w:t>
      </w:r>
      <w:r w:rsidR="000B324B">
        <w:t xml:space="preserve">. </w:t>
      </w:r>
      <w:r w:rsidR="00DF339C">
        <w:t>Frynas and Yamhaki (2016) suggest that a</w:t>
      </w:r>
      <w:r w:rsidR="00DF339C" w:rsidRPr="00DF339C">
        <w:t xml:space="preserve"> multi-level approach can enrich many areas of </w:t>
      </w:r>
      <w:r w:rsidR="00DF339C">
        <w:t xml:space="preserve">responsibility </w:t>
      </w:r>
      <w:r w:rsidR="00DF339C" w:rsidRPr="00DF339C">
        <w:t>related scholarship</w:t>
      </w:r>
      <w:r w:rsidR="00DF339C">
        <w:t xml:space="preserve"> pointing out that scholars need to make efforts to better understand the connections between the </w:t>
      </w:r>
      <w:r w:rsidR="00F97BED">
        <w:t>micro-</w:t>
      </w:r>
      <w:r w:rsidR="00DF339C">
        <w:t xml:space="preserve">, </w:t>
      </w:r>
      <w:r w:rsidR="00F97BED">
        <w:t>meso-</w:t>
      </w:r>
      <w:r w:rsidR="00DF339C">
        <w:t xml:space="preserve"> and macro-levels. </w:t>
      </w:r>
    </w:p>
    <w:p w14:paraId="02A467EC" w14:textId="3217CC12" w:rsidR="00192FAE" w:rsidRPr="00B61B62" w:rsidRDefault="00A42192" w:rsidP="009111EE">
      <w:pPr>
        <w:pStyle w:val="Heading2"/>
        <w:numPr>
          <w:ilvl w:val="0"/>
          <w:numId w:val="0"/>
        </w:numPr>
        <w:rPr>
          <w:i/>
        </w:rPr>
      </w:pPr>
      <w:r>
        <w:rPr>
          <w:i/>
        </w:rPr>
        <w:t>2.1</w:t>
      </w:r>
      <w:r w:rsidR="000B324B">
        <w:rPr>
          <w:i/>
        </w:rPr>
        <w:tab/>
      </w:r>
      <w:r w:rsidR="00F3112D">
        <w:rPr>
          <w:i/>
        </w:rPr>
        <w:t>Levels</w:t>
      </w:r>
      <w:r w:rsidR="00F3112D" w:rsidRPr="00B61B62">
        <w:rPr>
          <w:i/>
        </w:rPr>
        <w:t xml:space="preserve"> </w:t>
      </w:r>
      <w:r w:rsidR="00A303CB" w:rsidRPr="00B61B62">
        <w:rPr>
          <w:i/>
        </w:rPr>
        <w:t>of influence on Education for Sustainability in Higher Education</w:t>
      </w:r>
    </w:p>
    <w:p w14:paraId="6FE0CDF7" w14:textId="2A31FC41" w:rsidR="00A303CB" w:rsidRPr="00B65579" w:rsidRDefault="00A303CB" w:rsidP="00365DD7">
      <w:pPr>
        <w:rPr>
          <w:rFonts w:cs="Arial"/>
        </w:rPr>
      </w:pPr>
      <w:r w:rsidRPr="00B65579">
        <w:t>Education for Sustainable Development, also referred to as Education for Sustainability, or Learning for Sustainability, has been defined by many authors</w:t>
      </w:r>
      <w:r w:rsidR="0099777A">
        <w:t xml:space="preserve"> but perhaps the most well used definition stems from the UK</w:t>
      </w:r>
      <w:r w:rsidR="00AF004A">
        <w:t>’</w:t>
      </w:r>
      <w:r w:rsidR="0099777A">
        <w:t>s Quality Assurance Agency for Higher Education (QAA). Here</w:t>
      </w:r>
      <w:r w:rsidR="00A96D9A">
        <w:t>,</w:t>
      </w:r>
      <w:r w:rsidR="0099777A">
        <w:t xml:space="preserve"> </w:t>
      </w:r>
      <w:r w:rsidR="00F10A6F">
        <w:t>Education for Sustainable Development</w:t>
      </w:r>
      <w:r w:rsidR="0099777A">
        <w:t xml:space="preserve"> is defined as the process of equipping students with knowledge and understanding, as well as the skill</w:t>
      </w:r>
      <w:r w:rsidR="00B405DC">
        <w:t>s</w:t>
      </w:r>
      <w:r w:rsidR="0099777A">
        <w:t xml:space="preserve"> and attributes required to work and live in such a way that safeguards environmental, social and economic wellbeing both now an</w:t>
      </w:r>
      <w:r w:rsidR="004B02F1">
        <w:t>d</w:t>
      </w:r>
      <w:r w:rsidR="0099777A">
        <w:t xml:space="preserve"> in the future (</w:t>
      </w:r>
      <w:r w:rsidRPr="00B65579">
        <w:t>QAA</w:t>
      </w:r>
      <w:r w:rsidR="0099777A">
        <w:t xml:space="preserve">, </w:t>
      </w:r>
      <w:r w:rsidRPr="00B65579">
        <w:t>2014</w:t>
      </w:r>
      <w:r w:rsidR="0099777A">
        <w:t xml:space="preserve">). </w:t>
      </w:r>
      <w:r w:rsidR="004F223A">
        <w:t xml:space="preserve">The project portrayed in this paper is following this definition captured in the ‘Future Thinking Framework’ used at </w:t>
      </w:r>
      <w:r w:rsidR="001B3133">
        <w:t>XXX</w:t>
      </w:r>
      <w:r w:rsidR="004F223A">
        <w:t xml:space="preserve"> (Willats et al 2018). </w:t>
      </w:r>
      <w:r w:rsidR="0099777A">
        <w:t xml:space="preserve">Much </w:t>
      </w:r>
      <w:r w:rsidRPr="00B65579">
        <w:rPr>
          <w:rFonts w:cs="Arial"/>
        </w:rPr>
        <w:t xml:space="preserve">has been </w:t>
      </w:r>
      <w:r w:rsidR="00117644" w:rsidRPr="00B65579">
        <w:rPr>
          <w:rFonts w:cs="Arial"/>
        </w:rPr>
        <w:t xml:space="preserve">made of the importance of </w:t>
      </w:r>
      <w:r w:rsidR="00F10A6F">
        <w:rPr>
          <w:rFonts w:cs="Arial"/>
        </w:rPr>
        <w:t>Education for Sustainable Development</w:t>
      </w:r>
      <w:r w:rsidRPr="00B65579">
        <w:rPr>
          <w:rFonts w:cs="Arial"/>
        </w:rPr>
        <w:t xml:space="preserve"> in a higher education setting, both because of the </w:t>
      </w:r>
      <w:r w:rsidR="00117644" w:rsidRPr="00B65579">
        <w:rPr>
          <w:rFonts w:cs="Arial"/>
        </w:rPr>
        <w:t>role of higher e</w:t>
      </w:r>
      <w:r w:rsidR="00687B54" w:rsidRPr="00B65579">
        <w:rPr>
          <w:rFonts w:cs="Arial"/>
        </w:rPr>
        <w:t>ducation institutions in preparing</w:t>
      </w:r>
      <w:r w:rsidR="00117644" w:rsidRPr="00B65579">
        <w:rPr>
          <w:rFonts w:cs="Arial"/>
        </w:rPr>
        <w:t xml:space="preserve"> professionals who will influence society’s institutions (Cortese, 2003</w:t>
      </w:r>
      <w:r w:rsidR="00197CF4" w:rsidRPr="00B65579">
        <w:rPr>
          <w:rFonts w:cs="Arial"/>
        </w:rPr>
        <w:t>)</w:t>
      </w:r>
      <w:r w:rsidRPr="00B65579">
        <w:rPr>
          <w:rFonts w:cs="Arial"/>
        </w:rPr>
        <w:t>, but al</w:t>
      </w:r>
      <w:r w:rsidR="00197CF4" w:rsidRPr="00B65579">
        <w:rPr>
          <w:rFonts w:cs="Arial"/>
        </w:rPr>
        <w:t xml:space="preserve">so because of the potential to </w:t>
      </w:r>
      <w:r w:rsidRPr="00B65579">
        <w:rPr>
          <w:rFonts w:cs="Arial"/>
        </w:rPr>
        <w:t xml:space="preserve">change behaviours </w:t>
      </w:r>
      <w:r w:rsidR="00197CF4" w:rsidRPr="00B65579">
        <w:rPr>
          <w:rFonts w:cs="Arial"/>
        </w:rPr>
        <w:t>as students are undergoing a major life course transition, making them more</w:t>
      </w:r>
      <w:r w:rsidR="00117644" w:rsidRPr="00B65579">
        <w:rPr>
          <w:rFonts w:cs="Arial"/>
        </w:rPr>
        <w:t xml:space="preserve"> likely to shift behaviours (Verplanken </w:t>
      </w:r>
      <w:r w:rsidR="001113A8">
        <w:rPr>
          <w:rFonts w:cs="Arial"/>
          <w:i/>
        </w:rPr>
        <w:t>et al</w:t>
      </w:r>
      <w:r w:rsidR="00117644" w:rsidRPr="00B65579">
        <w:rPr>
          <w:rFonts w:cs="Arial"/>
        </w:rPr>
        <w:t>, 2008</w:t>
      </w:r>
      <w:r w:rsidR="00197CF4" w:rsidRPr="00B65579">
        <w:rPr>
          <w:rFonts w:cs="Arial"/>
        </w:rPr>
        <w:t>).</w:t>
      </w:r>
      <w:r w:rsidR="00B53629">
        <w:rPr>
          <w:rFonts w:cs="Arial"/>
        </w:rPr>
        <w:t xml:space="preserve"> </w:t>
      </w:r>
    </w:p>
    <w:p w14:paraId="2601A41D" w14:textId="242A36DA" w:rsidR="00197CF4" w:rsidRDefault="00197CF4" w:rsidP="00326E82">
      <w:r w:rsidRPr="00B65579">
        <w:t xml:space="preserve">There is strong support for addressing </w:t>
      </w:r>
      <w:r w:rsidR="00F10A6F">
        <w:t>Education for Sustainable Development</w:t>
      </w:r>
      <w:r w:rsidRPr="00B65579">
        <w:t xml:space="preserve"> through</w:t>
      </w:r>
      <w:r w:rsidR="00D54289">
        <w:t xml:space="preserve"> the</w:t>
      </w:r>
      <w:r w:rsidRPr="00B65579">
        <w:t xml:space="preserve"> embedding of sustainability into the curricula of different disciplines</w:t>
      </w:r>
      <w:r w:rsidR="001D39F5" w:rsidRPr="00B65579">
        <w:t xml:space="preserve"> (Dawe </w:t>
      </w:r>
      <w:r w:rsidR="001113A8">
        <w:rPr>
          <w:i/>
        </w:rPr>
        <w:t>et al</w:t>
      </w:r>
      <w:r w:rsidR="001D39F5" w:rsidRPr="00B65579">
        <w:t>, 2005)</w:t>
      </w:r>
      <w:r w:rsidRPr="00B65579">
        <w:t>.</w:t>
      </w:r>
      <w:r w:rsidR="00B53629">
        <w:t xml:space="preserve"> </w:t>
      </w:r>
      <w:r w:rsidRPr="00B65579">
        <w:t xml:space="preserve">In several institutions the </w:t>
      </w:r>
      <w:r w:rsidR="00A96D9A">
        <w:t>b</w:t>
      </w:r>
      <w:r w:rsidRPr="00B65579">
        <w:t>usiness disciplines are at the vanguard of embedding sustainability, driven both by</w:t>
      </w:r>
      <w:r w:rsidR="0099777A">
        <w:t xml:space="preserve"> macro-level</w:t>
      </w:r>
      <w:r w:rsidRPr="00B65579">
        <w:t xml:space="preserve"> international educational initiatives</w:t>
      </w:r>
      <w:r w:rsidR="006E2139">
        <w:t xml:space="preserve"> such as the United Nations Principles of Responsible Management Education</w:t>
      </w:r>
      <w:r w:rsidRPr="00B65579">
        <w:t>, and</w:t>
      </w:r>
      <w:r w:rsidR="0099777A">
        <w:t xml:space="preserve"> a</w:t>
      </w:r>
      <w:r w:rsidRPr="00B65579">
        <w:t xml:space="preserve"> </w:t>
      </w:r>
      <w:r w:rsidR="0099777A">
        <w:t xml:space="preserve">micro-level </w:t>
      </w:r>
      <w:r w:rsidRPr="00B65579">
        <w:t xml:space="preserve">appreciation by individual educators of the potential for business graduates to effect </w:t>
      </w:r>
      <w:r w:rsidR="00F3112D">
        <w:t>macro-level</w:t>
      </w:r>
      <w:r w:rsidRPr="00B65579">
        <w:t xml:space="preserve"> change throughout their careers</w:t>
      </w:r>
      <w:r w:rsidR="0039154D">
        <w:t xml:space="preserve"> (Parkes, 2017)</w:t>
      </w:r>
      <w:r w:rsidRPr="00B65579">
        <w:t>.</w:t>
      </w:r>
      <w:r w:rsidR="00601470">
        <w:t xml:space="preserve"> In </w:t>
      </w:r>
      <w:r w:rsidR="009111EE">
        <w:t>fact,</w:t>
      </w:r>
      <w:r w:rsidR="00601470">
        <w:t xml:space="preserve"> business schools have long played an important role in social responsibility (Rive et al, 2017) and are increasingly seeking to influence the broader institutions within which many exist. </w:t>
      </w:r>
      <w:r w:rsidR="0099777A">
        <w:t xml:space="preserve">In </w:t>
      </w:r>
      <w:r w:rsidR="00326E82">
        <w:t>fact,</w:t>
      </w:r>
      <w:r w:rsidR="0099777A">
        <w:t xml:space="preserve"> the</w:t>
      </w:r>
      <w:r w:rsidR="00326E82">
        <w:t xml:space="preserve"> </w:t>
      </w:r>
      <w:r w:rsidR="0099777A">
        <w:t xml:space="preserve">drivers for </w:t>
      </w:r>
      <w:r w:rsidR="00F10A6F">
        <w:t>Education for Sustainable Development</w:t>
      </w:r>
      <w:r w:rsidRPr="00B65579">
        <w:t xml:space="preserve"> activities carried out within higher education institutions</w:t>
      </w:r>
      <w:r w:rsidR="00326E82">
        <w:t xml:space="preserve"> and</w:t>
      </w:r>
      <w:r w:rsidRPr="00B65579">
        <w:t xml:space="preserve"> more specifically business </w:t>
      </w:r>
      <w:r w:rsidR="00326E82">
        <w:t xml:space="preserve">and management schools, take place across the macro-, meso- and micro-level. </w:t>
      </w:r>
      <w:r w:rsidR="00F574D1">
        <w:t>Some of t</w:t>
      </w:r>
      <w:r w:rsidR="00326E82">
        <w:t xml:space="preserve">hese initiatives are </w:t>
      </w:r>
      <w:r w:rsidR="00ED63D0" w:rsidRPr="00B65579">
        <w:t>summarised in Table 1</w:t>
      </w:r>
      <w:r w:rsidR="003E0032">
        <w:t xml:space="preserve"> </w:t>
      </w:r>
    </w:p>
    <w:p w14:paraId="59F9C0BC" w14:textId="0D1BFE71" w:rsidR="00CD17E6" w:rsidRPr="00B65579" w:rsidRDefault="00CD17E6" w:rsidP="00CD17E6">
      <w:r w:rsidRPr="00B65579">
        <w:rPr>
          <w:b/>
        </w:rPr>
        <w:t>Table 1.</w:t>
      </w:r>
      <w:r w:rsidR="00B53629">
        <w:t xml:space="preserve"> </w:t>
      </w:r>
      <w:r w:rsidR="00326E82">
        <w:t>D</w:t>
      </w:r>
      <w:r w:rsidRPr="00B65579">
        <w:t xml:space="preserve">ifferent </w:t>
      </w:r>
      <w:r w:rsidR="009C2FC7">
        <w:t>l</w:t>
      </w:r>
      <w:r w:rsidR="00A47E14">
        <w:t>evel</w:t>
      </w:r>
      <w:r w:rsidRPr="00B65579">
        <w:t xml:space="preserve"> influences on Education for Sustainable Development in Business Education in the Higher Education sector. </w:t>
      </w:r>
    </w:p>
    <w:tbl>
      <w:tblPr>
        <w:tblStyle w:val="TableGrid"/>
        <w:tblW w:w="0" w:type="auto"/>
        <w:tblLook w:val="04A0" w:firstRow="1" w:lastRow="0" w:firstColumn="1" w:lastColumn="0" w:noHBand="0" w:noVBand="1"/>
      </w:tblPr>
      <w:tblGrid>
        <w:gridCol w:w="1923"/>
        <w:gridCol w:w="2489"/>
        <w:gridCol w:w="2758"/>
        <w:gridCol w:w="2458"/>
      </w:tblGrid>
      <w:tr w:rsidR="00CD17E6" w:rsidRPr="00B65579" w14:paraId="37E870CA" w14:textId="77777777" w:rsidTr="00276603">
        <w:tc>
          <w:tcPr>
            <w:tcW w:w="1951" w:type="dxa"/>
          </w:tcPr>
          <w:p w14:paraId="5D63E06F" w14:textId="54823CEB" w:rsidR="00CD17E6" w:rsidRPr="00B65579" w:rsidRDefault="00A42192" w:rsidP="00276603">
            <w:r>
              <w:t>Level</w:t>
            </w:r>
          </w:p>
        </w:tc>
        <w:tc>
          <w:tcPr>
            <w:tcW w:w="2552" w:type="dxa"/>
          </w:tcPr>
          <w:p w14:paraId="5BA5F0FE" w14:textId="77777777" w:rsidR="00CD17E6" w:rsidRPr="00B65579" w:rsidRDefault="00CD17E6" w:rsidP="00276603">
            <w:r w:rsidRPr="00B65579">
              <w:t>Description of level of analysis</w:t>
            </w:r>
          </w:p>
        </w:tc>
        <w:tc>
          <w:tcPr>
            <w:tcW w:w="2835" w:type="dxa"/>
          </w:tcPr>
          <w:p w14:paraId="081B24FB" w14:textId="2367E5C1" w:rsidR="00CD17E6" w:rsidRPr="00B65579" w:rsidRDefault="00CD17E6" w:rsidP="00276603">
            <w:r w:rsidRPr="00B65579">
              <w:t xml:space="preserve">Type of contribution to </w:t>
            </w:r>
            <w:r w:rsidR="00F10A6F">
              <w:t>Education for Sustainable Development</w:t>
            </w:r>
          </w:p>
        </w:tc>
        <w:tc>
          <w:tcPr>
            <w:tcW w:w="2516" w:type="dxa"/>
          </w:tcPr>
          <w:p w14:paraId="14666975" w14:textId="77777777" w:rsidR="00CD17E6" w:rsidRPr="00B65579" w:rsidRDefault="00CD17E6" w:rsidP="00276603">
            <w:r w:rsidRPr="00B65579">
              <w:t>Examples</w:t>
            </w:r>
          </w:p>
        </w:tc>
      </w:tr>
      <w:tr w:rsidR="00CD17E6" w:rsidRPr="00B65579" w14:paraId="37183B3D" w14:textId="77777777" w:rsidTr="00276603">
        <w:tc>
          <w:tcPr>
            <w:tcW w:w="1951" w:type="dxa"/>
          </w:tcPr>
          <w:p w14:paraId="6B3BD391" w14:textId="77777777" w:rsidR="00CD17E6" w:rsidRPr="00B65579" w:rsidRDefault="00CD17E6" w:rsidP="00276603">
            <w:r w:rsidRPr="00B65579">
              <w:t>Macro (International agreement)</w:t>
            </w:r>
          </w:p>
        </w:tc>
        <w:tc>
          <w:tcPr>
            <w:tcW w:w="2552" w:type="dxa"/>
          </w:tcPr>
          <w:p w14:paraId="713047E0" w14:textId="77777777" w:rsidR="00CD17E6" w:rsidRPr="00B65579" w:rsidRDefault="00CD17E6" w:rsidP="00276603">
            <w:r w:rsidRPr="00B65579">
              <w:t xml:space="preserve">International organisations e.g. World Commission on Environment and </w:t>
            </w:r>
            <w:r w:rsidRPr="00B65579">
              <w:lastRenderedPageBreak/>
              <w:t>Development; United Nations</w:t>
            </w:r>
          </w:p>
        </w:tc>
        <w:tc>
          <w:tcPr>
            <w:tcW w:w="2835" w:type="dxa"/>
          </w:tcPr>
          <w:p w14:paraId="64425349" w14:textId="77777777" w:rsidR="00CD17E6" w:rsidRPr="00B65579" w:rsidRDefault="00CD17E6" w:rsidP="00276603">
            <w:r w:rsidRPr="00B65579">
              <w:lastRenderedPageBreak/>
              <w:t>International agreement of the need for sustainability</w:t>
            </w:r>
          </w:p>
        </w:tc>
        <w:tc>
          <w:tcPr>
            <w:tcW w:w="2516" w:type="dxa"/>
          </w:tcPr>
          <w:p w14:paraId="5F81FB8C" w14:textId="63E5E38B" w:rsidR="00CD17E6" w:rsidRPr="00B65579" w:rsidRDefault="00CD17E6" w:rsidP="00276603">
            <w:r w:rsidRPr="00B65579">
              <w:t>WCED (1987) Our Common Futures.</w:t>
            </w:r>
            <w:r w:rsidR="00B53629">
              <w:t xml:space="preserve"> </w:t>
            </w:r>
          </w:p>
          <w:p w14:paraId="189C1682" w14:textId="77777777" w:rsidR="00CD17E6" w:rsidRPr="00B65579" w:rsidRDefault="00CD17E6" w:rsidP="00276603">
            <w:r w:rsidRPr="00B65579">
              <w:t>UN (1992) Agenda 21</w:t>
            </w:r>
          </w:p>
        </w:tc>
      </w:tr>
      <w:tr w:rsidR="00CD17E6" w:rsidRPr="00B65579" w14:paraId="64986F40" w14:textId="77777777" w:rsidTr="00276603">
        <w:tc>
          <w:tcPr>
            <w:tcW w:w="1951" w:type="dxa"/>
          </w:tcPr>
          <w:p w14:paraId="37A56DF9" w14:textId="77777777" w:rsidR="00CD17E6" w:rsidRPr="00B65579" w:rsidRDefault="00CD17E6" w:rsidP="00276603">
            <w:r w:rsidRPr="00B65579">
              <w:t>Macro (International agreement)</w:t>
            </w:r>
          </w:p>
        </w:tc>
        <w:tc>
          <w:tcPr>
            <w:tcW w:w="2552" w:type="dxa"/>
          </w:tcPr>
          <w:p w14:paraId="6078C8FD" w14:textId="77777777" w:rsidR="00CD17E6" w:rsidRPr="00B65579" w:rsidRDefault="00CD17E6" w:rsidP="00276603">
            <w:r w:rsidRPr="00B65579">
              <w:t>International organisations e.g. United Nations</w:t>
            </w:r>
          </w:p>
        </w:tc>
        <w:tc>
          <w:tcPr>
            <w:tcW w:w="2835" w:type="dxa"/>
          </w:tcPr>
          <w:p w14:paraId="14C38275" w14:textId="055741D0" w:rsidR="00CD17E6" w:rsidRPr="00B65579" w:rsidRDefault="00CD17E6" w:rsidP="00276603">
            <w:r w:rsidRPr="00B65579">
              <w:t xml:space="preserve">International agreement of the need for education to contribute to moving towards a more sustainable society, and international support for </w:t>
            </w:r>
            <w:r w:rsidR="00F10A6F">
              <w:t>Education for Sustainable Development</w:t>
            </w:r>
          </w:p>
        </w:tc>
        <w:tc>
          <w:tcPr>
            <w:tcW w:w="2516" w:type="dxa"/>
          </w:tcPr>
          <w:p w14:paraId="2B706F3D" w14:textId="77777777" w:rsidR="00CD17E6" w:rsidRPr="00B65579" w:rsidRDefault="00CD17E6" w:rsidP="00276603">
            <w:r w:rsidRPr="00B65579">
              <w:t>UN (1992) Agenda 21.</w:t>
            </w:r>
          </w:p>
          <w:p w14:paraId="13683B7F" w14:textId="77777777" w:rsidR="00CD17E6" w:rsidRDefault="00CD17E6" w:rsidP="00276603">
            <w:r w:rsidRPr="00B65579">
              <w:t>UN (2005) UN Decade of Education for Sustainable Development 2005-2014</w:t>
            </w:r>
          </w:p>
          <w:p w14:paraId="20BF43CA" w14:textId="77777777" w:rsidR="00CD17E6" w:rsidRPr="00B65579" w:rsidRDefault="00CD17E6" w:rsidP="00276603">
            <w:r>
              <w:t>UN (2016) UN Sustainable Development Goals</w:t>
            </w:r>
          </w:p>
        </w:tc>
      </w:tr>
      <w:tr w:rsidR="00CD17E6" w:rsidRPr="00B65579" w14:paraId="7FD81585" w14:textId="77777777" w:rsidTr="00276603">
        <w:tc>
          <w:tcPr>
            <w:tcW w:w="1951" w:type="dxa"/>
          </w:tcPr>
          <w:p w14:paraId="46F0E668" w14:textId="77777777" w:rsidR="00CD17E6" w:rsidRPr="00B65579" w:rsidRDefault="00CD17E6" w:rsidP="00276603">
            <w:r w:rsidRPr="00B65579">
              <w:t>Macro (International sector)</w:t>
            </w:r>
          </w:p>
        </w:tc>
        <w:tc>
          <w:tcPr>
            <w:tcW w:w="2552" w:type="dxa"/>
          </w:tcPr>
          <w:p w14:paraId="22C3FCCC" w14:textId="77777777" w:rsidR="00CD17E6" w:rsidRPr="00B65579" w:rsidRDefault="00CD17E6" w:rsidP="00276603">
            <w:r w:rsidRPr="00B65579">
              <w:t>International higher education sector</w:t>
            </w:r>
          </w:p>
        </w:tc>
        <w:tc>
          <w:tcPr>
            <w:tcW w:w="2835" w:type="dxa"/>
          </w:tcPr>
          <w:p w14:paraId="53C5EFDB" w14:textId="77777777" w:rsidR="00CD17E6" w:rsidRPr="00B65579" w:rsidRDefault="00CD17E6" w:rsidP="00276603">
            <w:r w:rsidRPr="00B65579">
              <w:t>International support for the role of higher education in moving towards a more sustainable education</w:t>
            </w:r>
          </w:p>
        </w:tc>
        <w:tc>
          <w:tcPr>
            <w:tcW w:w="2516" w:type="dxa"/>
          </w:tcPr>
          <w:p w14:paraId="6B8F84EA" w14:textId="77777777" w:rsidR="00CD17E6" w:rsidRPr="00B65579" w:rsidRDefault="00CD17E6" w:rsidP="00276603">
            <w:pPr>
              <w:rPr>
                <w:lang w:val="fr-FR"/>
              </w:rPr>
            </w:pPr>
            <w:r w:rsidRPr="00B65579">
              <w:rPr>
                <w:lang w:val="fr-FR"/>
              </w:rPr>
              <w:t xml:space="preserve">ALSF (1990) Talloires Declaration </w:t>
            </w:r>
          </w:p>
          <w:p w14:paraId="7BEAF579" w14:textId="77777777" w:rsidR="00CD17E6" w:rsidRPr="00B65579" w:rsidRDefault="00CD17E6" w:rsidP="00276603">
            <w:pPr>
              <w:rPr>
                <w:lang w:val="fr-FR"/>
              </w:rPr>
            </w:pPr>
            <w:r w:rsidRPr="00B65579">
              <w:rPr>
                <w:lang w:val="fr-FR"/>
              </w:rPr>
              <w:t>UNEP (undated) Global University Partnership on Environment and Sustainability</w:t>
            </w:r>
          </w:p>
        </w:tc>
      </w:tr>
      <w:tr w:rsidR="00CD17E6" w:rsidRPr="00B65579" w14:paraId="525E348F" w14:textId="77777777" w:rsidTr="00276603">
        <w:tc>
          <w:tcPr>
            <w:tcW w:w="1951" w:type="dxa"/>
          </w:tcPr>
          <w:p w14:paraId="1FBE852E" w14:textId="77777777" w:rsidR="00CD17E6" w:rsidRPr="00B65579" w:rsidRDefault="00CD17E6" w:rsidP="00276603">
            <w:r w:rsidRPr="00B65579">
              <w:t>Macro (international sector)</w:t>
            </w:r>
          </w:p>
        </w:tc>
        <w:tc>
          <w:tcPr>
            <w:tcW w:w="2552" w:type="dxa"/>
          </w:tcPr>
          <w:p w14:paraId="6B0804E8" w14:textId="77777777" w:rsidR="00CD17E6" w:rsidRPr="00B65579" w:rsidRDefault="00CD17E6" w:rsidP="00276603">
            <w:r w:rsidRPr="00B65579">
              <w:t>International business and management education in higher education sector</w:t>
            </w:r>
          </w:p>
        </w:tc>
        <w:tc>
          <w:tcPr>
            <w:tcW w:w="2835" w:type="dxa"/>
          </w:tcPr>
          <w:p w14:paraId="2DB13843" w14:textId="77777777" w:rsidR="00CD17E6" w:rsidRPr="00B65579" w:rsidRDefault="00CD17E6" w:rsidP="00276603">
            <w:r w:rsidRPr="00B65579">
              <w:t>Internationally adopted framework for embedding sustainability in business education</w:t>
            </w:r>
          </w:p>
        </w:tc>
        <w:tc>
          <w:tcPr>
            <w:tcW w:w="2516" w:type="dxa"/>
          </w:tcPr>
          <w:p w14:paraId="02C81F1C" w14:textId="77777777" w:rsidR="00CD17E6" w:rsidRPr="00B65579" w:rsidRDefault="00CD17E6" w:rsidP="00276603">
            <w:r w:rsidRPr="00B65579">
              <w:t>UN Principles of Responsible Management Education</w:t>
            </w:r>
          </w:p>
        </w:tc>
      </w:tr>
      <w:tr w:rsidR="00CD17E6" w:rsidRPr="00B65579" w14:paraId="7AAFB35A" w14:textId="77777777" w:rsidTr="00276603">
        <w:tc>
          <w:tcPr>
            <w:tcW w:w="1951" w:type="dxa"/>
          </w:tcPr>
          <w:p w14:paraId="0313456C" w14:textId="77777777" w:rsidR="00CD17E6" w:rsidRPr="00B65579" w:rsidRDefault="00CD17E6" w:rsidP="00276603">
            <w:r w:rsidRPr="00B65579">
              <w:t>Meso (national- devolved government)</w:t>
            </w:r>
          </w:p>
        </w:tc>
        <w:tc>
          <w:tcPr>
            <w:tcW w:w="2552" w:type="dxa"/>
          </w:tcPr>
          <w:p w14:paraId="155AE0D5" w14:textId="77777777" w:rsidR="00CD17E6" w:rsidRPr="00B65579" w:rsidRDefault="00CD17E6" w:rsidP="00276603">
            <w:r w:rsidRPr="00B65579">
              <w:t>National higher education sector</w:t>
            </w:r>
          </w:p>
        </w:tc>
        <w:tc>
          <w:tcPr>
            <w:tcW w:w="2835" w:type="dxa"/>
          </w:tcPr>
          <w:p w14:paraId="5A6FFF61" w14:textId="77777777" w:rsidR="00CD17E6" w:rsidRPr="00B65579" w:rsidRDefault="00CD17E6" w:rsidP="00276603">
            <w:r w:rsidRPr="00B65579">
              <w:t>Higher education strategy</w:t>
            </w:r>
          </w:p>
        </w:tc>
        <w:tc>
          <w:tcPr>
            <w:tcW w:w="2516" w:type="dxa"/>
          </w:tcPr>
          <w:p w14:paraId="15A51F55" w14:textId="77777777" w:rsidR="00CD17E6" w:rsidRPr="00B65579" w:rsidRDefault="00CD17E6" w:rsidP="00276603">
            <w:r w:rsidRPr="00B65579">
              <w:t>HEFCE (2009) Sustainable development in higher education: 2008 update to strategic statement and action plan</w:t>
            </w:r>
          </w:p>
        </w:tc>
      </w:tr>
      <w:tr w:rsidR="00CD17E6" w:rsidRPr="00B65579" w14:paraId="7A9DDED4" w14:textId="77777777" w:rsidTr="00276603">
        <w:tc>
          <w:tcPr>
            <w:tcW w:w="1951" w:type="dxa"/>
          </w:tcPr>
          <w:p w14:paraId="41807BBB" w14:textId="77777777" w:rsidR="00CD17E6" w:rsidRPr="00B65579" w:rsidRDefault="00CD17E6" w:rsidP="00276603">
            <w:r w:rsidRPr="00B65579">
              <w:t>Meso (national organisation)</w:t>
            </w:r>
          </w:p>
        </w:tc>
        <w:tc>
          <w:tcPr>
            <w:tcW w:w="2552" w:type="dxa"/>
          </w:tcPr>
          <w:p w14:paraId="79178E78" w14:textId="77777777" w:rsidR="00CD17E6" w:rsidRPr="00B65579" w:rsidRDefault="00CD17E6" w:rsidP="00276603">
            <w:r w:rsidRPr="00B65579">
              <w:t>National higher education sector</w:t>
            </w:r>
          </w:p>
        </w:tc>
        <w:tc>
          <w:tcPr>
            <w:tcW w:w="2835" w:type="dxa"/>
          </w:tcPr>
          <w:p w14:paraId="17C1941F" w14:textId="77777777" w:rsidR="00CD17E6" w:rsidRPr="00B65579" w:rsidRDefault="00CD17E6" w:rsidP="00276603">
            <w:r w:rsidRPr="00B65579">
              <w:t>National organisation support for sustainability in higher education</w:t>
            </w:r>
          </w:p>
        </w:tc>
        <w:tc>
          <w:tcPr>
            <w:tcW w:w="2516" w:type="dxa"/>
          </w:tcPr>
          <w:p w14:paraId="785C2CEB" w14:textId="7F8474C4" w:rsidR="00CD17E6" w:rsidRPr="00B65579" w:rsidRDefault="00CD17E6" w:rsidP="00276603">
            <w:r w:rsidRPr="00B65579">
              <w:t xml:space="preserve">HEA </w:t>
            </w:r>
            <w:r w:rsidR="00F10A6F">
              <w:t>Education for Sustainable Development</w:t>
            </w:r>
            <w:r w:rsidRPr="00B65579">
              <w:t xml:space="preserve"> project</w:t>
            </w:r>
          </w:p>
          <w:p w14:paraId="03343467" w14:textId="77777777" w:rsidR="00CD17E6" w:rsidRPr="00B65579" w:rsidRDefault="00CD17E6" w:rsidP="00276603">
            <w:r w:rsidRPr="00B65579">
              <w:t>Environmental Association for Universities and Colleges</w:t>
            </w:r>
          </w:p>
          <w:p w14:paraId="04CAFECE" w14:textId="77777777" w:rsidR="00CD17E6" w:rsidRPr="00B65579" w:rsidRDefault="00CD17E6" w:rsidP="00276603">
            <w:r w:rsidRPr="00B65579">
              <w:t>QAA (2014) Education for Sustainable development: A guidance for practitioners</w:t>
            </w:r>
          </w:p>
        </w:tc>
      </w:tr>
      <w:tr w:rsidR="00CD17E6" w:rsidRPr="00B65579" w14:paraId="6EF64762" w14:textId="77777777" w:rsidTr="00276603">
        <w:tc>
          <w:tcPr>
            <w:tcW w:w="1951" w:type="dxa"/>
          </w:tcPr>
          <w:p w14:paraId="157A727B" w14:textId="77777777" w:rsidR="00CD17E6" w:rsidRPr="00B65579" w:rsidRDefault="00CD17E6" w:rsidP="00276603">
            <w:r w:rsidRPr="00B65579">
              <w:t>Micro (organisation)</w:t>
            </w:r>
          </w:p>
        </w:tc>
        <w:tc>
          <w:tcPr>
            <w:tcW w:w="2552" w:type="dxa"/>
          </w:tcPr>
          <w:p w14:paraId="15868C9D" w14:textId="77777777" w:rsidR="00CD17E6" w:rsidRPr="00B65579" w:rsidRDefault="00CD17E6" w:rsidP="00276603">
            <w:r w:rsidRPr="00B65579">
              <w:t>Higher Education Institution</w:t>
            </w:r>
          </w:p>
        </w:tc>
        <w:tc>
          <w:tcPr>
            <w:tcW w:w="2835" w:type="dxa"/>
          </w:tcPr>
          <w:p w14:paraId="65CD11CA" w14:textId="77777777" w:rsidR="00CD17E6" w:rsidRPr="00B65579" w:rsidRDefault="00CD17E6" w:rsidP="00276603">
            <w:r w:rsidRPr="00B65579">
              <w:t>Institutional commitment to and embedding of sustainability</w:t>
            </w:r>
          </w:p>
        </w:tc>
        <w:tc>
          <w:tcPr>
            <w:tcW w:w="2516" w:type="dxa"/>
          </w:tcPr>
          <w:p w14:paraId="0730596A" w14:textId="77777777" w:rsidR="00CD17E6" w:rsidRPr="00B65579" w:rsidRDefault="00CD17E6" w:rsidP="00276603">
            <w:r w:rsidRPr="00B65579">
              <w:t>University Strategy</w:t>
            </w:r>
          </w:p>
          <w:p w14:paraId="64E2E19E" w14:textId="77777777" w:rsidR="00CD17E6" w:rsidRPr="00B65579" w:rsidRDefault="00CD17E6" w:rsidP="00276603">
            <w:r w:rsidRPr="00B65579">
              <w:t>University Teaching and Learning strategy</w:t>
            </w:r>
          </w:p>
        </w:tc>
      </w:tr>
      <w:tr w:rsidR="00CD17E6" w:rsidRPr="00B65579" w14:paraId="4BFC82C8" w14:textId="77777777" w:rsidTr="00276603">
        <w:tc>
          <w:tcPr>
            <w:tcW w:w="1951" w:type="dxa"/>
          </w:tcPr>
          <w:p w14:paraId="791D6466" w14:textId="77777777" w:rsidR="00CD17E6" w:rsidRPr="00B65579" w:rsidRDefault="00CD17E6" w:rsidP="00276603">
            <w:r w:rsidRPr="00B65579">
              <w:t>Micro (sub-organisation)</w:t>
            </w:r>
          </w:p>
        </w:tc>
        <w:tc>
          <w:tcPr>
            <w:tcW w:w="2552" w:type="dxa"/>
          </w:tcPr>
          <w:p w14:paraId="77A1892C" w14:textId="77777777" w:rsidR="00CD17E6" w:rsidRPr="00B65579" w:rsidRDefault="00CD17E6" w:rsidP="00276603">
            <w:r w:rsidRPr="00B65579">
              <w:t>Department</w:t>
            </w:r>
          </w:p>
        </w:tc>
        <w:tc>
          <w:tcPr>
            <w:tcW w:w="2835" w:type="dxa"/>
          </w:tcPr>
          <w:p w14:paraId="0B186163" w14:textId="77777777" w:rsidR="00CD17E6" w:rsidRPr="00B65579" w:rsidRDefault="00CD17E6" w:rsidP="00276603">
            <w:r w:rsidRPr="00B65579">
              <w:t>Departmental commitment to and embedding of sustainability</w:t>
            </w:r>
          </w:p>
        </w:tc>
        <w:tc>
          <w:tcPr>
            <w:tcW w:w="2516" w:type="dxa"/>
          </w:tcPr>
          <w:p w14:paraId="415CC4F1" w14:textId="77777777" w:rsidR="00CD17E6" w:rsidRPr="00B65579" w:rsidRDefault="00CD17E6" w:rsidP="00276603">
            <w:r w:rsidRPr="00B65579">
              <w:t>Signing up to Principles of Responsible Management Education</w:t>
            </w:r>
          </w:p>
          <w:p w14:paraId="1EFC3150" w14:textId="77777777" w:rsidR="00CD17E6" w:rsidRPr="00B65579" w:rsidRDefault="00CD17E6" w:rsidP="00276603">
            <w:r w:rsidRPr="00B65579">
              <w:t>Department Learning and Teaching strategy</w:t>
            </w:r>
          </w:p>
        </w:tc>
      </w:tr>
      <w:tr w:rsidR="00CD17E6" w:rsidRPr="00B65579" w14:paraId="4C159107" w14:textId="77777777" w:rsidTr="00276603">
        <w:tc>
          <w:tcPr>
            <w:tcW w:w="1951" w:type="dxa"/>
          </w:tcPr>
          <w:p w14:paraId="31321FC1" w14:textId="77777777" w:rsidR="00CD17E6" w:rsidRPr="00B65579" w:rsidRDefault="00CD17E6" w:rsidP="00276603">
            <w:r w:rsidRPr="00B65579">
              <w:t>Micro (sub-department)</w:t>
            </w:r>
          </w:p>
        </w:tc>
        <w:tc>
          <w:tcPr>
            <w:tcW w:w="2552" w:type="dxa"/>
          </w:tcPr>
          <w:p w14:paraId="6AF8F492" w14:textId="77777777" w:rsidR="00CD17E6" w:rsidRPr="00B65579" w:rsidRDefault="00CD17E6" w:rsidP="00276603">
            <w:r w:rsidRPr="00B65579">
              <w:t>Programme</w:t>
            </w:r>
          </w:p>
        </w:tc>
        <w:tc>
          <w:tcPr>
            <w:tcW w:w="2835" w:type="dxa"/>
          </w:tcPr>
          <w:p w14:paraId="6BCB6D7D" w14:textId="77777777" w:rsidR="00CD17E6" w:rsidRPr="00B65579" w:rsidRDefault="00CD17E6" w:rsidP="00276603">
            <w:r w:rsidRPr="00B65579">
              <w:t>Programme commitment to and embedding of sustainability</w:t>
            </w:r>
          </w:p>
        </w:tc>
        <w:tc>
          <w:tcPr>
            <w:tcW w:w="2516" w:type="dxa"/>
          </w:tcPr>
          <w:p w14:paraId="76343657" w14:textId="77777777" w:rsidR="00CD17E6" w:rsidRPr="00B65579" w:rsidRDefault="00CD17E6" w:rsidP="00276603">
            <w:r w:rsidRPr="00B65579">
              <w:t>Programme aims</w:t>
            </w:r>
          </w:p>
        </w:tc>
      </w:tr>
      <w:tr w:rsidR="00CD17E6" w:rsidRPr="00B65579" w14:paraId="3C148B3C" w14:textId="77777777" w:rsidTr="00276603">
        <w:tc>
          <w:tcPr>
            <w:tcW w:w="1951" w:type="dxa"/>
          </w:tcPr>
          <w:p w14:paraId="7269A942" w14:textId="77777777" w:rsidR="00CD17E6" w:rsidRPr="00B65579" w:rsidRDefault="00CD17E6" w:rsidP="00276603">
            <w:r w:rsidRPr="00B65579">
              <w:t>Micro (individual)</w:t>
            </w:r>
          </w:p>
        </w:tc>
        <w:tc>
          <w:tcPr>
            <w:tcW w:w="2552" w:type="dxa"/>
          </w:tcPr>
          <w:p w14:paraId="5A8F4282" w14:textId="77777777" w:rsidR="00CD17E6" w:rsidRPr="00B65579" w:rsidRDefault="00CD17E6" w:rsidP="00276603">
            <w:r w:rsidRPr="00B65579">
              <w:t xml:space="preserve">Staff </w:t>
            </w:r>
          </w:p>
        </w:tc>
        <w:tc>
          <w:tcPr>
            <w:tcW w:w="2835" w:type="dxa"/>
          </w:tcPr>
          <w:p w14:paraId="44F7670B" w14:textId="77777777" w:rsidR="00CD17E6" w:rsidRPr="00B65579" w:rsidRDefault="00CD17E6" w:rsidP="00276603">
            <w:r w:rsidRPr="00B65579">
              <w:t>Staff commitment to and embedding of sustainability</w:t>
            </w:r>
          </w:p>
        </w:tc>
        <w:tc>
          <w:tcPr>
            <w:tcW w:w="2516" w:type="dxa"/>
          </w:tcPr>
          <w:p w14:paraId="6238E776" w14:textId="77777777" w:rsidR="00CD17E6" w:rsidRPr="00B65579" w:rsidRDefault="00CD17E6" w:rsidP="00276603">
            <w:r w:rsidRPr="00B65579">
              <w:t>Embedding in teaching</w:t>
            </w:r>
          </w:p>
        </w:tc>
      </w:tr>
      <w:tr w:rsidR="00CD17E6" w:rsidRPr="00B65579" w14:paraId="56FE7A15" w14:textId="77777777" w:rsidTr="00276603">
        <w:tc>
          <w:tcPr>
            <w:tcW w:w="1951" w:type="dxa"/>
          </w:tcPr>
          <w:p w14:paraId="7B2E4FD0" w14:textId="77777777" w:rsidR="00CD17E6" w:rsidRPr="00B65579" w:rsidRDefault="00CD17E6" w:rsidP="00276603">
            <w:r w:rsidRPr="00B65579">
              <w:t>Micro (individual)</w:t>
            </w:r>
          </w:p>
        </w:tc>
        <w:tc>
          <w:tcPr>
            <w:tcW w:w="2552" w:type="dxa"/>
          </w:tcPr>
          <w:p w14:paraId="3AB8E8A8" w14:textId="77777777" w:rsidR="00CD17E6" w:rsidRPr="00B65579" w:rsidRDefault="00CD17E6" w:rsidP="00276603">
            <w:r w:rsidRPr="00B65579">
              <w:t>Student</w:t>
            </w:r>
          </w:p>
        </w:tc>
        <w:tc>
          <w:tcPr>
            <w:tcW w:w="2835" w:type="dxa"/>
          </w:tcPr>
          <w:p w14:paraId="62C245E1" w14:textId="77777777" w:rsidR="00CD17E6" w:rsidRPr="00B65579" w:rsidRDefault="00CD17E6" w:rsidP="00276603">
            <w:r w:rsidRPr="00B65579">
              <w:t>Student engagement in sustainability action</w:t>
            </w:r>
          </w:p>
        </w:tc>
        <w:tc>
          <w:tcPr>
            <w:tcW w:w="2516" w:type="dxa"/>
          </w:tcPr>
          <w:p w14:paraId="51FFA234" w14:textId="77777777" w:rsidR="00CD17E6" w:rsidRPr="00B65579" w:rsidRDefault="00CD17E6" w:rsidP="00276603">
            <w:r w:rsidRPr="00B65579">
              <w:t>Engagement in activity</w:t>
            </w:r>
          </w:p>
        </w:tc>
      </w:tr>
    </w:tbl>
    <w:p w14:paraId="17BC3529" w14:textId="77777777" w:rsidR="00CD17E6" w:rsidRPr="00B65579" w:rsidRDefault="00CD17E6" w:rsidP="00365DD7"/>
    <w:p w14:paraId="06AD777B" w14:textId="7E546DA7" w:rsidR="00CD17E6" w:rsidRDefault="00A42192" w:rsidP="009A064E">
      <w:pPr>
        <w:pStyle w:val="Heading2"/>
        <w:numPr>
          <w:ilvl w:val="0"/>
          <w:numId w:val="0"/>
        </w:numPr>
        <w:ind w:left="360" w:hanging="360"/>
      </w:pPr>
      <w:r>
        <w:rPr>
          <w:i/>
        </w:rPr>
        <w:lastRenderedPageBreak/>
        <w:t>2</w:t>
      </w:r>
      <w:r w:rsidR="0060211F" w:rsidRPr="00B61B62">
        <w:rPr>
          <w:i/>
        </w:rPr>
        <w:t xml:space="preserve">.2 </w:t>
      </w:r>
      <w:r w:rsidR="0060211F">
        <w:rPr>
          <w:i/>
        </w:rPr>
        <w:tab/>
      </w:r>
      <w:r w:rsidR="00F97BED">
        <w:rPr>
          <w:i/>
        </w:rPr>
        <w:t>Macro</w:t>
      </w:r>
      <w:r w:rsidR="00ED63D0" w:rsidRPr="00B61B62">
        <w:rPr>
          <w:i/>
        </w:rPr>
        <w:t xml:space="preserve"> (International) </w:t>
      </w:r>
      <w:r w:rsidR="00AD25F8">
        <w:rPr>
          <w:i/>
        </w:rPr>
        <w:t>Level</w:t>
      </w:r>
    </w:p>
    <w:p w14:paraId="3426F380" w14:textId="02D183E2" w:rsidR="00F40BA0" w:rsidRPr="009A064E" w:rsidRDefault="00CD17E6" w:rsidP="00365DD7">
      <w:r>
        <w:t xml:space="preserve">Sustainable Development </w:t>
      </w:r>
      <w:r w:rsidR="004720D6">
        <w:t xml:space="preserve">by its very nature is a concept defined on the macro-level of society </w:t>
      </w:r>
      <w:r w:rsidR="008B651F">
        <w:t xml:space="preserve">due to the interconnectedness and global </w:t>
      </w:r>
      <w:r w:rsidR="009C2FC7">
        <w:t>nature</w:t>
      </w:r>
      <w:r w:rsidR="008B651F">
        <w:t xml:space="preserve"> of sustainability challenges such as climate change and other environmental issues </w:t>
      </w:r>
      <w:r w:rsidR="004720D6">
        <w:t>(</w:t>
      </w:r>
      <w:r w:rsidR="004720D6" w:rsidRPr="004720D6">
        <w:rPr>
          <w:lang w:val="fr-FR"/>
        </w:rPr>
        <w:t>Baumgartner</w:t>
      </w:r>
      <w:r w:rsidR="004720D6">
        <w:rPr>
          <w:lang w:val="fr-FR"/>
        </w:rPr>
        <w:t xml:space="preserve"> </w:t>
      </w:r>
      <w:r w:rsidR="00F97BED">
        <w:rPr>
          <w:lang w:val="fr-FR"/>
        </w:rPr>
        <w:t>and</w:t>
      </w:r>
      <w:r w:rsidR="004720D6" w:rsidRPr="004720D6">
        <w:rPr>
          <w:lang w:val="fr-FR"/>
        </w:rPr>
        <w:t xml:space="preserve"> Ebner, 2010).</w:t>
      </w:r>
      <w:r w:rsidR="004720D6">
        <w:rPr>
          <w:lang w:val="fr-FR"/>
        </w:rPr>
        <w:t xml:space="preserve"> </w:t>
      </w:r>
      <w:r w:rsidR="00F56A4B" w:rsidRPr="00B65579">
        <w:t>The essenti</w:t>
      </w:r>
      <w:r w:rsidR="00E2431D" w:rsidRPr="00B65579">
        <w:t>al role of education as a</w:t>
      </w:r>
      <w:r w:rsidR="00F56A4B" w:rsidRPr="00B65579">
        <w:t xml:space="preserve"> strategy for sustainable development, was given international recognition in 1992 at the ‘Earth </w:t>
      </w:r>
      <w:r w:rsidR="00E2431D" w:rsidRPr="00B65579">
        <w:t>Summit’ in Rio de Janeiro.</w:t>
      </w:r>
      <w:r w:rsidR="00B53629">
        <w:t xml:space="preserve"> </w:t>
      </w:r>
      <w:r w:rsidR="00E2431D" w:rsidRPr="00B65579">
        <w:t>E</w:t>
      </w:r>
      <w:r w:rsidR="00905E58" w:rsidRPr="00B65579">
        <w:t>ducation was embedded as an enabling strategy in each of the 40 chapters</w:t>
      </w:r>
      <w:r w:rsidR="00D86832" w:rsidRPr="00B65579">
        <w:t>, as well as being a path in its own right,</w:t>
      </w:r>
      <w:r w:rsidR="00905E58" w:rsidRPr="00B65579">
        <w:t xml:space="preserve"> of </w:t>
      </w:r>
      <w:r w:rsidR="00F56A4B" w:rsidRPr="00B65579">
        <w:t>Agenda 21</w:t>
      </w:r>
      <w:r w:rsidR="00905E58" w:rsidRPr="00B65579">
        <w:t>, a voluntary action plan for sustainable development, made public at the conference</w:t>
      </w:r>
      <w:r w:rsidR="002B7311">
        <w:t xml:space="preserve"> </w:t>
      </w:r>
      <w:r w:rsidR="00905E58" w:rsidRPr="00B65579">
        <w:t>and voted on for adoption by 178 governments</w:t>
      </w:r>
      <w:r w:rsidR="00F31DDB">
        <w:t xml:space="preserve"> (Calder </w:t>
      </w:r>
      <w:r w:rsidR="00F97BED">
        <w:t>and</w:t>
      </w:r>
      <w:r w:rsidR="00F31DDB">
        <w:t xml:space="preserve"> Clugston, 2003)</w:t>
      </w:r>
      <w:r w:rsidR="00905E58" w:rsidRPr="00B65579">
        <w:t>.</w:t>
      </w:r>
      <w:r w:rsidR="00B53629">
        <w:t xml:space="preserve"> </w:t>
      </w:r>
      <w:r w:rsidR="00D86832" w:rsidRPr="00B65579">
        <w:t>Following this</w:t>
      </w:r>
      <w:r w:rsidR="00A96D9A">
        <w:t>,</w:t>
      </w:r>
      <w:r w:rsidR="00D86832" w:rsidRPr="00B65579">
        <w:t xml:space="preserve"> the Johannesburg World Summit on Sustainable Development in 2002 proposed a UN Decade for Education for Sustainable Development which ran from 2005 to 2014</w:t>
      </w:r>
      <w:r w:rsidR="00F40367">
        <w:t xml:space="preserve"> </w:t>
      </w:r>
      <w:r w:rsidR="00EC34D1">
        <w:t xml:space="preserve">(Filho, Manolas </w:t>
      </w:r>
      <w:r w:rsidR="00F97BED">
        <w:t>and</w:t>
      </w:r>
      <w:r w:rsidR="00EC34D1">
        <w:t xml:space="preserve"> Pace, 2015)</w:t>
      </w:r>
      <w:r w:rsidR="00D86832" w:rsidRPr="00B65579">
        <w:t>. The Decade sought to</w:t>
      </w:r>
      <w:r w:rsidR="00EE7FA0">
        <w:t xml:space="preserve"> mobilise educational resources worldwide as a means to create a more sustainable future</w:t>
      </w:r>
      <w:r w:rsidR="00D86832" w:rsidRPr="00B65579">
        <w:rPr>
          <w:color w:val="333333"/>
          <w:shd w:val="clear" w:color="auto" w:fill="FFFFFF"/>
        </w:rPr>
        <w:t xml:space="preserve"> (</w:t>
      </w:r>
      <w:r w:rsidR="00D86832" w:rsidRPr="009A064E">
        <w:t>UNESCO</w:t>
      </w:r>
      <w:r w:rsidR="00336357" w:rsidRPr="009A064E">
        <w:t>, undated a</w:t>
      </w:r>
      <w:r w:rsidR="00E2431D" w:rsidRPr="009A064E">
        <w:t>)</w:t>
      </w:r>
      <w:r w:rsidR="00D86832" w:rsidRPr="009A064E">
        <w:t>.</w:t>
      </w:r>
      <w:r w:rsidR="00B53629">
        <w:t xml:space="preserve"> </w:t>
      </w:r>
      <w:r w:rsidR="00D86832" w:rsidRPr="009A064E">
        <w:t xml:space="preserve">The Decade </w:t>
      </w:r>
      <w:r w:rsidR="00EE7FA0" w:rsidRPr="009A064E">
        <w:t>was</w:t>
      </w:r>
      <w:r w:rsidR="00D86832" w:rsidRPr="009A064E">
        <w:t xml:space="preserve"> followed up by the UN’s</w:t>
      </w:r>
      <w:r w:rsidR="00A77EE1" w:rsidRPr="009A064E">
        <w:t xml:space="preserve"> Global Action Programme on </w:t>
      </w:r>
      <w:r w:rsidR="00F10A6F">
        <w:t>Education for Sustainable Development</w:t>
      </w:r>
      <w:r w:rsidR="00D86832" w:rsidRPr="009A064E">
        <w:t xml:space="preserve"> which </w:t>
      </w:r>
      <w:r w:rsidR="000E0033" w:rsidRPr="009A064E">
        <w:t xml:space="preserve">sought </w:t>
      </w:r>
      <w:r w:rsidR="00D86832" w:rsidRPr="009A064E">
        <w:t xml:space="preserve">to generate </w:t>
      </w:r>
      <w:r w:rsidR="009C2FC7">
        <w:t xml:space="preserve">definitive </w:t>
      </w:r>
      <w:r w:rsidR="00D86832" w:rsidRPr="009A064E">
        <w:t xml:space="preserve">actions on </w:t>
      </w:r>
      <w:r w:rsidR="00F10A6F">
        <w:t>Education for Sustainable Development</w:t>
      </w:r>
      <w:r w:rsidR="00D86832" w:rsidRPr="009A064E">
        <w:t xml:space="preserve"> (</w:t>
      </w:r>
      <w:r w:rsidR="00E2431D" w:rsidRPr="009A064E">
        <w:t>UNESCO, undated b).</w:t>
      </w:r>
      <w:r w:rsidR="000E0033">
        <w:t xml:space="preserve"> </w:t>
      </w:r>
      <w:r w:rsidR="000E0DF7" w:rsidRPr="009A064E">
        <w:t>The initiatives outlined above</w:t>
      </w:r>
      <w:r w:rsidR="003C54B2" w:rsidRPr="009A064E">
        <w:t xml:space="preserve"> </w:t>
      </w:r>
      <w:r w:rsidR="000E0DF7" w:rsidRPr="009A064E">
        <w:t xml:space="preserve">culminated in </w:t>
      </w:r>
      <w:r w:rsidR="003C54B2" w:rsidRPr="009A064E">
        <w:t xml:space="preserve">2015 with the advent of </w:t>
      </w:r>
      <w:r w:rsidR="000E0DF7" w:rsidRPr="009A064E">
        <w:t>the development of the United Nations Sustainable Development Goals</w:t>
      </w:r>
      <w:r w:rsidR="00741B1D" w:rsidRPr="009A064E">
        <w:t xml:space="preserve">, </w:t>
      </w:r>
      <w:r w:rsidR="00CA7BC1" w:rsidRPr="009A064E">
        <w:t xml:space="preserve">17 goals which build upon the Millennium Development Goals </w:t>
      </w:r>
      <w:r w:rsidR="00B525D8" w:rsidRPr="009A064E">
        <w:t xml:space="preserve">and act as a universal </w:t>
      </w:r>
      <w:r w:rsidR="00995BBE" w:rsidRPr="009A064E">
        <w:t xml:space="preserve">call to action to end poverty, protect the planet and ensure all people enjoy peace and prosperity </w:t>
      </w:r>
      <w:r w:rsidR="00615CD3" w:rsidRPr="009A064E">
        <w:t>(</w:t>
      </w:r>
      <w:r w:rsidR="00995BBE" w:rsidRPr="009A064E">
        <w:t>UNDP</w:t>
      </w:r>
      <w:r w:rsidR="00615CD3" w:rsidRPr="009A064E">
        <w:t xml:space="preserve">, 2019). </w:t>
      </w:r>
      <w:r w:rsidR="005C3556" w:rsidRPr="009A064E">
        <w:t xml:space="preserve">The </w:t>
      </w:r>
      <w:r w:rsidR="00F10A6F">
        <w:t>Sustainable Development Goals</w:t>
      </w:r>
      <w:r w:rsidR="005C3556" w:rsidRPr="009A064E">
        <w:t xml:space="preserve"> came into effect in January 2016 and guide UN policy and funding </w:t>
      </w:r>
      <w:r w:rsidR="00F25E4B">
        <w:t>until</w:t>
      </w:r>
      <w:r w:rsidR="005C3556" w:rsidRPr="009A064E">
        <w:t xml:space="preserve"> 2030.</w:t>
      </w:r>
    </w:p>
    <w:p w14:paraId="6C43A86E" w14:textId="6525699E" w:rsidR="003C54B2" w:rsidRPr="009A064E" w:rsidRDefault="00A121AB" w:rsidP="00365DD7">
      <w:r w:rsidRPr="009A064E">
        <w:t xml:space="preserve">At the </w:t>
      </w:r>
      <w:r w:rsidR="00F97BED">
        <w:t>macro-</w:t>
      </w:r>
      <w:r w:rsidRPr="009A064E">
        <w:t xml:space="preserve"> (international) </w:t>
      </w:r>
      <w:r w:rsidR="00F25E4B">
        <w:t>level</w:t>
      </w:r>
      <w:r w:rsidRPr="009A064E">
        <w:t xml:space="preserve"> there have also been </w:t>
      </w:r>
      <w:r w:rsidR="00F10A6F">
        <w:t>Education for Sustainable Development</w:t>
      </w:r>
      <w:r w:rsidRPr="009A064E">
        <w:t xml:space="preserve"> initiatives relating to whole discipline areas.</w:t>
      </w:r>
      <w:r w:rsidR="00B53629">
        <w:t xml:space="preserve"> </w:t>
      </w:r>
      <w:r w:rsidR="006B3646">
        <w:t>The United Nations Principles for Responsible Management Education</w:t>
      </w:r>
      <w:r w:rsidRPr="009A064E">
        <w:t xml:space="preserve"> is one such example, launched in 2007 at the UN Global Compact Leaders’ Summit in Geneva</w:t>
      </w:r>
      <w:r w:rsidR="00907302">
        <w:t xml:space="preserve"> (Forray </w:t>
      </w:r>
      <w:r w:rsidR="00F97BED">
        <w:t>and</w:t>
      </w:r>
      <w:r w:rsidR="00907302">
        <w:t xml:space="preserve"> Leigh, 2012)</w:t>
      </w:r>
      <w:r w:rsidR="006A100C">
        <w:t>;</w:t>
      </w:r>
      <w:r w:rsidR="00BC448D">
        <w:t xml:space="preserve"> t</w:t>
      </w:r>
      <w:r w:rsidRPr="009A064E">
        <w:t xml:space="preserve">his principle-based global engagement platform for academic </w:t>
      </w:r>
      <w:r w:rsidR="00DE1879" w:rsidRPr="009A064E">
        <w:t>institutions</w:t>
      </w:r>
      <w:r w:rsidRPr="009A064E">
        <w:t xml:space="preserve"> represents a relationship between the UN and business schools, with the mission of transforming management education, research and thought leadership at a global </w:t>
      </w:r>
      <w:r w:rsidR="009C2FC7">
        <w:t xml:space="preserve">level </w:t>
      </w:r>
      <w:r w:rsidR="006630E3">
        <w:t xml:space="preserve">(Storey </w:t>
      </w:r>
      <w:r w:rsidR="006630E3">
        <w:rPr>
          <w:i/>
          <w:iCs/>
        </w:rPr>
        <w:t xml:space="preserve">et al, </w:t>
      </w:r>
      <w:r w:rsidR="006630E3">
        <w:t>2017)</w:t>
      </w:r>
      <w:r w:rsidR="00851B09" w:rsidRPr="009A064E">
        <w:t>.</w:t>
      </w:r>
      <w:r w:rsidR="00B53629">
        <w:t xml:space="preserve"> </w:t>
      </w:r>
      <w:r w:rsidR="003C54B2" w:rsidRPr="009A064E">
        <w:t>The aims of Responsible Management Education</w:t>
      </w:r>
      <w:r w:rsidR="000E0033">
        <w:t xml:space="preserve"> </w:t>
      </w:r>
      <w:r w:rsidR="003C54B2" w:rsidRPr="009A064E">
        <w:t xml:space="preserve">share many similarities with those of </w:t>
      </w:r>
      <w:r w:rsidR="00F10A6F">
        <w:t>Education for Sustainable Development</w:t>
      </w:r>
      <w:r w:rsidR="003C54B2" w:rsidRPr="009A064E">
        <w:t xml:space="preserve"> in equipping students with the requisite knowledge and understanding to deal with sustainability issues within business as well as contrib</w:t>
      </w:r>
      <w:r w:rsidR="00E32D38">
        <w:t>uting</w:t>
      </w:r>
      <w:r w:rsidR="003C54B2" w:rsidRPr="009A064E">
        <w:t xml:space="preserve"> to progress against the </w:t>
      </w:r>
      <w:r w:rsidR="00F10A6F">
        <w:t>Sustainable Development Goals</w:t>
      </w:r>
      <w:r w:rsidR="003C54B2" w:rsidRPr="009A064E">
        <w:t xml:space="preserve"> though business activities</w:t>
      </w:r>
      <w:r w:rsidR="006630E3">
        <w:t xml:space="preserve"> (Parkes, 2017)</w:t>
      </w:r>
      <w:r w:rsidR="003C54B2" w:rsidRPr="009A064E">
        <w:t xml:space="preserve">. </w:t>
      </w:r>
      <w:r w:rsidR="000E0033">
        <w:t xml:space="preserve">Here </w:t>
      </w:r>
      <w:r w:rsidR="006B3646">
        <w:t>Responsible Management Education</w:t>
      </w:r>
      <w:r w:rsidR="003C54B2" w:rsidRPr="009A064E">
        <w:t xml:space="preserve"> can be defined as any teaching, research or enterprise activities in the areas of ethics, sustainability and responsible corporate practices, which business schools engage with in order to develop a more responsible strategic focus</w:t>
      </w:r>
      <w:r w:rsidR="000E0033">
        <w:t xml:space="preserve"> </w:t>
      </w:r>
      <w:r w:rsidR="003C54B2" w:rsidRPr="009A064E">
        <w:t xml:space="preserve">(Beddewela </w:t>
      </w:r>
      <w:r w:rsidR="003C54B2" w:rsidRPr="006A100C">
        <w:rPr>
          <w:i/>
        </w:rPr>
        <w:t>et al</w:t>
      </w:r>
      <w:r w:rsidR="006A100C" w:rsidRPr="006A100C">
        <w:rPr>
          <w:i/>
        </w:rPr>
        <w:t>,</w:t>
      </w:r>
      <w:r w:rsidR="003C54B2" w:rsidRPr="009A064E">
        <w:t xml:space="preserve"> 2017)</w:t>
      </w:r>
      <w:r w:rsidR="00DC3E57" w:rsidRPr="009A064E">
        <w:t>.</w:t>
      </w:r>
    </w:p>
    <w:p w14:paraId="621BA096" w14:textId="45F5930D" w:rsidR="00EE7FA0" w:rsidRDefault="003D0B3F" w:rsidP="00365DD7">
      <w:r w:rsidRPr="009A064E">
        <w:t>Finally,</w:t>
      </w:r>
      <w:r w:rsidR="00DC3E57" w:rsidRPr="009A064E">
        <w:t xml:space="preserve"> business school a</w:t>
      </w:r>
      <w:r w:rsidR="00851B09" w:rsidRPr="009A064E">
        <w:t xml:space="preserve">ccreditation bodies such as </w:t>
      </w:r>
      <w:r w:rsidR="00DC3E57" w:rsidRPr="009A064E">
        <w:t>Association to Advance Collegiate Schools of Business (</w:t>
      </w:r>
      <w:r w:rsidR="00851B09" w:rsidRPr="009A064E">
        <w:t>AACSB</w:t>
      </w:r>
      <w:r w:rsidR="00DC3E57" w:rsidRPr="009A064E">
        <w:t>)</w:t>
      </w:r>
      <w:r w:rsidR="00851B09" w:rsidRPr="009A064E">
        <w:t xml:space="preserve">, </w:t>
      </w:r>
      <w:r w:rsidR="00DC3E57" w:rsidRPr="009A064E">
        <w:t xml:space="preserve">European Foundation for Management Development (EFMD) </w:t>
      </w:r>
      <w:r w:rsidR="00851B09" w:rsidRPr="009A064E">
        <w:t xml:space="preserve">and </w:t>
      </w:r>
      <w:r w:rsidR="00DC3E57" w:rsidRPr="009A064E">
        <w:t>the Association of MBAs (</w:t>
      </w:r>
      <w:r w:rsidR="00851B09" w:rsidRPr="009A064E">
        <w:t>AMBA</w:t>
      </w:r>
      <w:r w:rsidR="00DC3E57" w:rsidRPr="009A064E">
        <w:t xml:space="preserve">) </w:t>
      </w:r>
      <w:r w:rsidR="00851B09" w:rsidRPr="009A064E">
        <w:t xml:space="preserve">also </w:t>
      </w:r>
      <w:r w:rsidR="00DC3E57" w:rsidRPr="009A064E">
        <w:t xml:space="preserve">have </w:t>
      </w:r>
      <w:r w:rsidR="00851B09" w:rsidRPr="009A064E">
        <w:t xml:space="preserve">a high influence on business schools. </w:t>
      </w:r>
      <w:r w:rsidR="00DC3E57" w:rsidRPr="009A064E">
        <w:t xml:space="preserve">For example, through their EQUIS accreditation scheme, the EFMD </w:t>
      </w:r>
      <w:r w:rsidR="00851B09" w:rsidRPr="009A064E">
        <w:t xml:space="preserve">is influencing business schools by putting a higher emphasis on </w:t>
      </w:r>
      <w:r w:rsidR="00F10A6F">
        <w:t>Education for Sustainable Development</w:t>
      </w:r>
      <w:r w:rsidR="00EF20BE">
        <w:t xml:space="preserve">. Their </w:t>
      </w:r>
      <w:r w:rsidR="00244CB1">
        <w:t xml:space="preserve">EQUIS </w:t>
      </w:r>
      <w:r w:rsidR="00EF20BE">
        <w:t>standard</w:t>
      </w:r>
      <w:r w:rsidR="00244CB1">
        <w:t xml:space="preserve"> </w:t>
      </w:r>
      <w:r w:rsidR="00EF20BE">
        <w:t>state</w:t>
      </w:r>
      <w:r w:rsidR="00244CB1">
        <w:t xml:space="preserve">s </w:t>
      </w:r>
      <w:r w:rsidR="00EF20BE">
        <w:t>that e</w:t>
      </w:r>
      <w:r w:rsidR="00851B09" w:rsidRPr="009A064E">
        <w:t xml:space="preserve">xpanded coverage of Ethics, Responsibility </w:t>
      </w:r>
      <w:r w:rsidR="00F97BED">
        <w:t>and</w:t>
      </w:r>
      <w:r w:rsidR="00851B09" w:rsidRPr="009A064E">
        <w:t xml:space="preserve"> Sustainability reflects the need of business schools to contribute to the resolution of societal challenges and to act as ‘good citizens’ in the environment in which they operate</w:t>
      </w:r>
      <w:r w:rsidR="00244CB1">
        <w:t xml:space="preserve"> (</w:t>
      </w:r>
      <w:r w:rsidR="00DC3E57" w:rsidRPr="009A064E">
        <w:t>EQUIS</w:t>
      </w:r>
      <w:r w:rsidR="00244CB1">
        <w:t xml:space="preserve">, </w:t>
      </w:r>
      <w:r w:rsidR="00DC3E57" w:rsidRPr="009A064E">
        <w:t>2016). All three business accreditation bodies</w:t>
      </w:r>
      <w:r w:rsidRPr="009A064E">
        <w:t xml:space="preserve"> played a part in the conception of the </w:t>
      </w:r>
      <w:r w:rsidR="006B3646">
        <w:t>United Nations Principles for Responsible Management Education</w:t>
      </w:r>
      <w:r w:rsidRPr="009A064E">
        <w:t xml:space="preserve"> Initiative and continue to actively support and promote HEI involvement in it. </w:t>
      </w:r>
    </w:p>
    <w:p w14:paraId="314C8769" w14:textId="0046E2C0" w:rsidR="00AF004A" w:rsidRPr="00CB218E" w:rsidRDefault="00AF004A" w:rsidP="00365DD7">
      <w:pPr>
        <w:rPr>
          <w:color w:val="333333"/>
          <w:shd w:val="clear" w:color="auto" w:fill="FFFFFF"/>
        </w:rPr>
      </w:pPr>
      <w:r>
        <w:t xml:space="preserve">Whilst </w:t>
      </w:r>
      <w:r w:rsidR="006A100C">
        <w:t>m</w:t>
      </w:r>
      <w:r>
        <w:t xml:space="preserve">acro-level action is important in setting the agenda for sustainable development and </w:t>
      </w:r>
      <w:r w:rsidR="00CB218E">
        <w:t xml:space="preserve">indicating where policy makers should focus their attention, such as carbon emission reduction, the sheer complexity of working at this level requires that interventions are devolved down to the </w:t>
      </w:r>
      <w:r w:rsidR="00F97BED">
        <w:t>meso-</w:t>
      </w:r>
      <w:r w:rsidR="00CB218E">
        <w:t xml:space="preserve"> and </w:t>
      </w:r>
      <w:r w:rsidR="006A100C">
        <w:t>m</w:t>
      </w:r>
      <w:r w:rsidR="00F97BED">
        <w:t>icro-</w:t>
      </w:r>
      <w:r w:rsidR="00CB218E">
        <w:t xml:space="preserve"> levels. For example, </w:t>
      </w:r>
      <w:r w:rsidR="00CB218E">
        <w:rPr>
          <w:color w:val="333333"/>
          <w:shd w:val="clear" w:color="auto" w:fill="FFFFFF"/>
        </w:rPr>
        <w:t>t</w:t>
      </w:r>
      <w:r w:rsidR="00CB218E">
        <w:t xml:space="preserve">he UN </w:t>
      </w:r>
      <w:r w:rsidR="00F10A6F">
        <w:t>Sustainable Development Goals</w:t>
      </w:r>
      <w:r w:rsidR="00CB218E">
        <w:t xml:space="preserve"> are referred to as global goals, however the UN is simply a </w:t>
      </w:r>
      <w:r w:rsidR="00CB218E">
        <w:lastRenderedPageBreak/>
        <w:t>forum for nation states to debate policy at the global level whilst retaining their national sovereignty. As such action</w:t>
      </w:r>
      <w:r w:rsidR="009C2FC7">
        <w:t>s</w:t>
      </w:r>
      <w:r w:rsidR="00CB218E">
        <w:t xml:space="preserve"> that result in impact </w:t>
      </w:r>
      <w:r w:rsidR="009C2FC7">
        <w:t>globally</w:t>
      </w:r>
      <w:r w:rsidR="00CB218E">
        <w:t xml:space="preserve"> takes place at the meso-level via national or regional activities.</w:t>
      </w:r>
      <w:r w:rsidR="00B53629">
        <w:t xml:space="preserve"> </w:t>
      </w:r>
    </w:p>
    <w:p w14:paraId="438141CC" w14:textId="7B9E2DEA" w:rsidR="00D86832" w:rsidRPr="00B61B62" w:rsidRDefault="00A42192" w:rsidP="00B61B62">
      <w:pPr>
        <w:pStyle w:val="Heading2"/>
        <w:numPr>
          <w:ilvl w:val="0"/>
          <w:numId w:val="0"/>
        </w:numPr>
        <w:ind w:left="360" w:hanging="360"/>
        <w:rPr>
          <w:i/>
        </w:rPr>
      </w:pPr>
      <w:r>
        <w:rPr>
          <w:i/>
          <w:shd w:val="clear" w:color="auto" w:fill="FFFFFF"/>
        </w:rPr>
        <w:t>2</w:t>
      </w:r>
      <w:r w:rsidR="0060211F" w:rsidRPr="00B61B62">
        <w:rPr>
          <w:i/>
          <w:shd w:val="clear" w:color="auto" w:fill="FFFFFF"/>
        </w:rPr>
        <w:t>.3</w:t>
      </w:r>
      <w:r w:rsidR="0060211F" w:rsidRPr="00B61B62">
        <w:rPr>
          <w:i/>
          <w:shd w:val="clear" w:color="auto" w:fill="FFFFFF"/>
        </w:rPr>
        <w:tab/>
      </w:r>
      <w:r w:rsidR="00F97BED">
        <w:rPr>
          <w:i/>
          <w:shd w:val="clear" w:color="auto" w:fill="FFFFFF"/>
        </w:rPr>
        <w:t>Meso</w:t>
      </w:r>
      <w:r w:rsidR="00D86832" w:rsidRPr="00B61B62">
        <w:rPr>
          <w:i/>
          <w:shd w:val="clear" w:color="auto" w:fill="FFFFFF"/>
        </w:rPr>
        <w:t xml:space="preserve"> (</w:t>
      </w:r>
      <w:r w:rsidR="006A100C">
        <w:rPr>
          <w:i/>
          <w:shd w:val="clear" w:color="auto" w:fill="FFFFFF"/>
        </w:rPr>
        <w:t>N</w:t>
      </w:r>
      <w:r w:rsidR="00D86832" w:rsidRPr="00B61B62">
        <w:rPr>
          <w:i/>
          <w:shd w:val="clear" w:color="auto" w:fill="FFFFFF"/>
        </w:rPr>
        <w:t xml:space="preserve">ational) </w:t>
      </w:r>
      <w:r w:rsidR="00E132E6">
        <w:rPr>
          <w:i/>
          <w:shd w:val="clear" w:color="auto" w:fill="FFFFFF"/>
        </w:rPr>
        <w:t>Level</w:t>
      </w:r>
    </w:p>
    <w:p w14:paraId="4B117C66" w14:textId="57E22CC0" w:rsidR="001F1884" w:rsidRPr="00B65579" w:rsidRDefault="00E1256C" w:rsidP="001F1884">
      <w:r w:rsidRPr="00B65579">
        <w:t>The</w:t>
      </w:r>
      <w:r w:rsidR="00244CB1">
        <w:t xml:space="preserve"> </w:t>
      </w:r>
      <w:r w:rsidRPr="00B65579">
        <w:t>macro-</w:t>
      </w:r>
      <w:r w:rsidR="00244CB1">
        <w:t xml:space="preserve">level </w:t>
      </w:r>
      <w:r w:rsidRPr="00B65579">
        <w:t xml:space="preserve">activity </w:t>
      </w:r>
      <w:r w:rsidR="00244CB1">
        <w:t xml:space="preserve">discussed </w:t>
      </w:r>
      <w:r w:rsidRPr="00B65579">
        <w:t>above, cascades do</w:t>
      </w:r>
      <w:r w:rsidR="0030439B" w:rsidRPr="00B65579">
        <w:t xml:space="preserve">wn to action at a smaller </w:t>
      </w:r>
      <w:r w:rsidR="00A47E14">
        <w:t>level</w:t>
      </w:r>
      <w:r w:rsidR="0030439B" w:rsidRPr="00B65579">
        <w:t xml:space="preserve"> -</w:t>
      </w:r>
      <w:r w:rsidRPr="00B65579">
        <w:t xml:space="preserve"> the national </w:t>
      </w:r>
      <w:r w:rsidR="00A47E14">
        <w:t>level</w:t>
      </w:r>
      <w:r w:rsidRPr="00B65579">
        <w:t>.</w:t>
      </w:r>
      <w:r w:rsidR="00B53629">
        <w:t xml:space="preserve"> </w:t>
      </w:r>
      <w:r w:rsidR="0030439B" w:rsidRPr="00B65579">
        <w:t>At the national level, different countries will respond to the drivers above them in different ways.</w:t>
      </w:r>
      <w:r w:rsidR="001F1884">
        <w:t xml:space="preserve"> The role of policy in promoting sustainability within higher education institution has been key in the UK. In 2005</w:t>
      </w:r>
      <w:r w:rsidR="006A100C">
        <w:t>,</w:t>
      </w:r>
      <w:r w:rsidR="001F1884">
        <w:t xml:space="preserve"> </w:t>
      </w:r>
      <w:r w:rsidR="0030439B" w:rsidRPr="00B65579">
        <w:t>a</w:t>
      </w:r>
      <w:r w:rsidR="001F1884">
        <w:t xml:space="preserve"> </w:t>
      </w:r>
      <w:r w:rsidR="0030439B" w:rsidRPr="00B65579">
        <w:t xml:space="preserve">national level strategy underpinning sustainability in higher education was </w:t>
      </w:r>
      <w:r w:rsidR="001F1884">
        <w:t xml:space="preserve">the focus of </w:t>
      </w:r>
      <w:r w:rsidR="0030439B" w:rsidRPr="00B65579">
        <w:t>the Higher Education Funding Council for England’s Report and action plan on Sustainable Development in Higher Education (</w:t>
      </w:r>
      <w:r w:rsidR="00E349E9" w:rsidRPr="00B65579">
        <w:t xml:space="preserve">HEFCE, </w:t>
      </w:r>
      <w:r w:rsidR="0030439B" w:rsidRPr="00B65579">
        <w:t>200</w:t>
      </w:r>
      <w:r w:rsidR="00AF004A">
        <w:t>5</w:t>
      </w:r>
      <w:r w:rsidR="0030439B" w:rsidRPr="00B65579">
        <w:t xml:space="preserve">). </w:t>
      </w:r>
      <w:r w:rsidR="00AF004A">
        <w:t xml:space="preserve">HEFCE’s support for </w:t>
      </w:r>
      <w:r w:rsidR="00F10A6F">
        <w:t>Education for Sustainable Development</w:t>
      </w:r>
      <w:r w:rsidR="00AF004A">
        <w:t xml:space="preserve"> was further affirmed in its </w:t>
      </w:r>
      <w:r w:rsidR="00FA0727" w:rsidRPr="00B65579">
        <w:t>2009</w:t>
      </w:r>
      <w:r w:rsidR="00AF004A">
        <w:t xml:space="preserve"> report</w:t>
      </w:r>
      <w:r w:rsidR="00FA0727" w:rsidRPr="00B65579">
        <w:t xml:space="preserve"> (</w:t>
      </w:r>
      <w:r w:rsidR="00943907" w:rsidRPr="00B65579">
        <w:t>HEFCE 200</w:t>
      </w:r>
      <w:r w:rsidR="00AF004A">
        <w:t>9</w:t>
      </w:r>
      <w:r w:rsidR="001F1884">
        <w:t xml:space="preserve">). Alongside </w:t>
      </w:r>
      <w:r w:rsidR="00A77EE1" w:rsidRPr="00B65579">
        <w:t>the Higher Education Academy</w:t>
      </w:r>
      <w:r w:rsidR="009A635A" w:rsidRPr="00B65579">
        <w:t xml:space="preserve"> (HEA)</w:t>
      </w:r>
      <w:r w:rsidR="00A77EE1" w:rsidRPr="00B65579">
        <w:t>, which support</w:t>
      </w:r>
      <w:r w:rsidR="001F1884">
        <w:t>s</w:t>
      </w:r>
      <w:r w:rsidR="00A77EE1" w:rsidRPr="00B65579">
        <w:t xml:space="preserve"> teaching quality across the </w:t>
      </w:r>
      <w:r w:rsidR="009A635A" w:rsidRPr="00B65579">
        <w:t>United Kingdom</w:t>
      </w:r>
      <w:r w:rsidR="006A100C">
        <w:t>,</w:t>
      </w:r>
      <w:r w:rsidR="001F1884">
        <w:t xml:space="preserve"> has also been a key meso-level influence. </w:t>
      </w:r>
      <w:r w:rsidR="00A44CC1" w:rsidRPr="00B65579">
        <w:t>In 2005</w:t>
      </w:r>
      <w:r w:rsidR="006A100C">
        <w:t>,</w:t>
      </w:r>
      <w:r w:rsidR="00A44CC1" w:rsidRPr="00B65579">
        <w:t xml:space="preserve"> the HEA initiated </w:t>
      </w:r>
      <w:r w:rsidR="00F10A6F">
        <w:t>Education for Sustainable Development</w:t>
      </w:r>
      <w:r w:rsidR="00A44CC1" w:rsidRPr="00B65579">
        <w:t xml:space="preserve"> as a special theme within the Academy’s overall programme </w:t>
      </w:r>
      <w:r w:rsidR="001F1884">
        <w:t xml:space="preserve">which </w:t>
      </w:r>
      <w:r w:rsidR="00A44CC1" w:rsidRPr="00B65579">
        <w:t xml:space="preserve">was </w:t>
      </w:r>
      <w:r w:rsidR="009A635A" w:rsidRPr="00B65579">
        <w:t>effective in driving the embedding of sustainability within programmes and institutions, often through engaging with individual ‘champions’</w:t>
      </w:r>
      <w:r w:rsidR="00A44CC1" w:rsidRPr="00B65579">
        <w:t xml:space="preserve"> within institutions</w:t>
      </w:r>
      <w:r w:rsidR="001F1884">
        <w:t xml:space="preserve"> </w:t>
      </w:r>
      <w:r w:rsidR="001F1884" w:rsidRPr="00B65579">
        <w:t>(Sterling and Witham, 2008)</w:t>
      </w:r>
      <w:r w:rsidR="009A635A" w:rsidRPr="00B65579">
        <w:t>.</w:t>
      </w:r>
      <w:r w:rsidR="00B53629">
        <w:t xml:space="preserve"> </w:t>
      </w:r>
      <w:r w:rsidR="001F1884">
        <w:t xml:space="preserve">Finally the UK’s </w:t>
      </w:r>
      <w:r w:rsidR="009A635A" w:rsidRPr="00B65579">
        <w:t xml:space="preserve">Quality Assurance Agency (QAA), an independent body </w:t>
      </w:r>
      <w:r w:rsidR="00A44CC1" w:rsidRPr="00B65579">
        <w:t>with the remit of</w:t>
      </w:r>
      <w:r w:rsidR="009A635A" w:rsidRPr="00B65579">
        <w:t xml:space="preserve"> monitoring and advising on standards and quality in UK higher education</w:t>
      </w:r>
      <w:r w:rsidR="001F1884">
        <w:t>,</w:t>
      </w:r>
      <w:r w:rsidR="009A635A" w:rsidRPr="00B65579">
        <w:t xml:space="preserve"> published a ‘guidance document for practitioners’ on Education for Sustainable Development</w:t>
      </w:r>
      <w:r w:rsidR="001F1884">
        <w:t xml:space="preserve">. The </w:t>
      </w:r>
      <w:r w:rsidR="00C74DFC" w:rsidRPr="00B65579">
        <w:t xml:space="preserve">guidance has provided a useful benchmarking of a definition of </w:t>
      </w:r>
      <w:r w:rsidR="00F10A6F">
        <w:t>Education for Sustainable Development</w:t>
      </w:r>
      <w:r w:rsidR="001F1884">
        <w:t xml:space="preserve"> </w:t>
      </w:r>
      <w:r w:rsidR="00C74DFC" w:rsidRPr="00B65579">
        <w:t>(Shephard and Dulgar, 2015)</w:t>
      </w:r>
      <w:r w:rsidR="009A635A" w:rsidRPr="00B65579">
        <w:t>.</w:t>
      </w:r>
      <w:r w:rsidR="00B53629">
        <w:t xml:space="preserve"> </w:t>
      </w:r>
    </w:p>
    <w:p w14:paraId="196CBE2B" w14:textId="120474B0" w:rsidR="00081971" w:rsidRPr="00B65579" w:rsidRDefault="00917129" w:rsidP="00365DD7">
      <w:pPr>
        <w:rPr>
          <w:rFonts w:cs="Arial"/>
          <w:color w:val="000000" w:themeColor="text1"/>
          <w:shd w:val="clear" w:color="auto" w:fill="FFFFFF"/>
        </w:rPr>
      </w:pPr>
      <w:r w:rsidRPr="00B65579">
        <w:t>Meso</w:t>
      </w:r>
      <w:r w:rsidR="00534522">
        <w:t>-</w:t>
      </w:r>
      <w:r w:rsidR="00081971" w:rsidRPr="00B65579">
        <w:t xml:space="preserve">level influences also include national, independent organisations. </w:t>
      </w:r>
      <w:r w:rsidR="001F1884">
        <w:t>T</w:t>
      </w:r>
      <w:r w:rsidR="00081971" w:rsidRPr="00B65579">
        <w:t>he Environmental Association of Universit</w:t>
      </w:r>
      <w:r w:rsidRPr="00B65579">
        <w:t>ies and Colleges</w:t>
      </w:r>
      <w:r w:rsidR="001F1884">
        <w:t xml:space="preserve"> (EAUC)</w:t>
      </w:r>
      <w:r w:rsidRPr="00B65579">
        <w:t xml:space="preserve"> was launched in </w:t>
      </w:r>
      <w:r w:rsidR="009111EE" w:rsidRPr="00B65579">
        <w:t xml:space="preserve">1996 </w:t>
      </w:r>
      <w:r w:rsidR="001F1884">
        <w:t>as</w:t>
      </w:r>
      <w:r w:rsidR="00081971" w:rsidRPr="00B65579">
        <w:t xml:space="preserve"> a membership organisation </w:t>
      </w:r>
      <w:r w:rsidR="001F1884">
        <w:t>aiming to be</w:t>
      </w:r>
      <w:r w:rsidR="001F1884">
        <w:rPr>
          <w:color w:val="000000" w:themeColor="text1"/>
        </w:rPr>
        <w:t xml:space="preserve"> </w:t>
      </w:r>
      <w:r w:rsidR="00081971" w:rsidRPr="00B65579">
        <w:rPr>
          <w:color w:val="000000" w:themeColor="text1"/>
        </w:rPr>
        <w:t>t</w:t>
      </w:r>
      <w:r w:rsidR="00081971" w:rsidRPr="00B65579">
        <w:rPr>
          <w:rFonts w:cs="Arial"/>
          <w:color w:val="000000" w:themeColor="text1"/>
          <w:shd w:val="clear" w:color="auto" w:fill="FFFFFF"/>
        </w:rPr>
        <w:t>he environmental and sustainability champion within Further and Higher Education in the U</w:t>
      </w:r>
      <w:r w:rsidR="001F1884">
        <w:rPr>
          <w:rFonts w:cs="Arial"/>
          <w:color w:val="000000" w:themeColor="text1"/>
          <w:shd w:val="clear" w:color="auto" w:fill="FFFFFF"/>
        </w:rPr>
        <w:t xml:space="preserve">K </w:t>
      </w:r>
      <w:r w:rsidR="00081971" w:rsidRPr="00B65579">
        <w:rPr>
          <w:rFonts w:cs="Arial"/>
          <w:color w:val="000000" w:themeColor="text1"/>
          <w:shd w:val="clear" w:color="auto" w:fill="FFFFFF"/>
        </w:rPr>
        <w:t>(EAUC,</w:t>
      </w:r>
      <w:r w:rsidR="00737AB6" w:rsidRPr="00B65579">
        <w:rPr>
          <w:rFonts w:cs="Arial"/>
          <w:color w:val="000000" w:themeColor="text1"/>
          <w:shd w:val="clear" w:color="auto" w:fill="FFFFFF"/>
        </w:rPr>
        <w:t xml:space="preserve"> 2016)</w:t>
      </w:r>
      <w:r w:rsidR="00081971" w:rsidRPr="00B65579">
        <w:rPr>
          <w:rFonts w:cs="Arial"/>
          <w:color w:val="000000" w:themeColor="text1"/>
          <w:shd w:val="clear" w:color="auto" w:fill="FFFFFF"/>
        </w:rPr>
        <w:t>.</w:t>
      </w:r>
      <w:r w:rsidR="00B53629">
        <w:rPr>
          <w:rFonts w:cs="Arial"/>
          <w:color w:val="000000" w:themeColor="text1"/>
          <w:shd w:val="clear" w:color="auto" w:fill="FFFFFF"/>
        </w:rPr>
        <w:t xml:space="preserve"> </w:t>
      </w:r>
      <w:r w:rsidR="00737AB6" w:rsidRPr="00B65579">
        <w:rPr>
          <w:rFonts w:cs="Arial"/>
          <w:color w:val="000000" w:themeColor="text1"/>
          <w:shd w:val="clear" w:color="auto" w:fill="FFFFFF"/>
        </w:rPr>
        <w:t>The EAUC originally had</w:t>
      </w:r>
      <w:r w:rsidR="002F2584" w:rsidRPr="00B65579">
        <w:rPr>
          <w:rFonts w:cs="Arial"/>
          <w:color w:val="000000" w:themeColor="text1"/>
          <w:shd w:val="clear" w:color="auto" w:fill="FFFFFF"/>
        </w:rPr>
        <w:t xml:space="preserve"> a focus on environmental </w:t>
      </w:r>
      <w:r w:rsidR="00737AB6" w:rsidRPr="00B65579">
        <w:rPr>
          <w:rFonts w:cs="Arial"/>
          <w:color w:val="000000" w:themeColor="text1"/>
          <w:shd w:val="clear" w:color="auto" w:fill="FFFFFF"/>
        </w:rPr>
        <w:t>performance</w:t>
      </w:r>
      <w:r w:rsidR="002F2584" w:rsidRPr="00B65579">
        <w:rPr>
          <w:rFonts w:cs="Arial"/>
          <w:color w:val="000000" w:themeColor="text1"/>
          <w:shd w:val="clear" w:color="auto" w:fill="FFFFFF"/>
        </w:rPr>
        <w:t xml:space="preserve"> issues in the Estate</w:t>
      </w:r>
      <w:r w:rsidR="00737AB6" w:rsidRPr="00B65579">
        <w:rPr>
          <w:rFonts w:cs="Arial"/>
          <w:color w:val="000000" w:themeColor="text1"/>
          <w:shd w:val="clear" w:color="auto" w:fill="FFFFFF"/>
        </w:rPr>
        <w:t>s operations of Universities and Colleges</w:t>
      </w:r>
      <w:r w:rsidR="007A4CC5" w:rsidRPr="00B65579">
        <w:rPr>
          <w:rFonts w:cs="Arial"/>
          <w:color w:val="000000" w:themeColor="text1"/>
          <w:shd w:val="clear" w:color="auto" w:fill="FFFFFF"/>
        </w:rPr>
        <w:t>, but increasingly engage</w:t>
      </w:r>
      <w:r w:rsidR="002F2584" w:rsidRPr="00B65579">
        <w:rPr>
          <w:rFonts w:cs="Arial"/>
          <w:color w:val="000000" w:themeColor="text1"/>
          <w:shd w:val="clear" w:color="auto" w:fill="FFFFFF"/>
        </w:rPr>
        <w:t xml:space="preserve"> in </w:t>
      </w:r>
      <w:r w:rsidR="006408F0" w:rsidRPr="00B65579">
        <w:rPr>
          <w:rFonts w:cs="Arial"/>
          <w:color w:val="000000" w:themeColor="text1"/>
          <w:shd w:val="clear" w:color="auto" w:fill="FFFFFF"/>
        </w:rPr>
        <w:t xml:space="preserve">activities relating to </w:t>
      </w:r>
      <w:r w:rsidR="00F10A6F">
        <w:rPr>
          <w:rFonts w:cs="Arial"/>
          <w:color w:val="000000" w:themeColor="text1"/>
          <w:shd w:val="clear" w:color="auto" w:fill="FFFFFF"/>
        </w:rPr>
        <w:t>Education for Sustainable Development</w:t>
      </w:r>
      <w:r w:rsidR="00B96A9F">
        <w:rPr>
          <w:rFonts w:cs="Arial"/>
          <w:color w:val="000000" w:themeColor="text1"/>
          <w:shd w:val="clear" w:color="auto" w:fill="FFFFFF"/>
        </w:rPr>
        <w:t xml:space="preserve"> and has now become an important </w:t>
      </w:r>
      <w:r w:rsidR="004848F7">
        <w:rPr>
          <w:rFonts w:cs="Arial"/>
          <w:color w:val="000000" w:themeColor="text1"/>
          <w:shd w:val="clear" w:color="auto" w:fill="FFFFFF"/>
        </w:rPr>
        <w:t xml:space="preserve">influence on the adoption of </w:t>
      </w:r>
      <w:r w:rsidR="006B3646">
        <w:rPr>
          <w:rFonts w:cs="Arial"/>
          <w:color w:val="000000" w:themeColor="text1"/>
          <w:shd w:val="clear" w:color="auto" w:fill="FFFFFF"/>
        </w:rPr>
        <w:t>Responsible Management Education</w:t>
      </w:r>
      <w:r w:rsidR="004848F7">
        <w:rPr>
          <w:rFonts w:cs="Arial"/>
          <w:color w:val="000000" w:themeColor="text1"/>
          <w:shd w:val="clear" w:color="auto" w:fill="FFFFFF"/>
        </w:rPr>
        <w:t xml:space="preserve"> in business schools as well (Storey et al, 2017). </w:t>
      </w:r>
      <w:r w:rsidR="00737AB6" w:rsidRPr="00B65579">
        <w:rPr>
          <w:rFonts w:cs="Arial"/>
          <w:color w:val="000000" w:themeColor="text1"/>
          <w:shd w:val="clear" w:color="auto" w:fill="FFFFFF"/>
        </w:rPr>
        <w:t>Another meso</w:t>
      </w:r>
      <w:r w:rsidR="006E612D">
        <w:rPr>
          <w:rFonts w:cs="Arial"/>
          <w:color w:val="000000" w:themeColor="text1"/>
          <w:shd w:val="clear" w:color="auto" w:fill="FFFFFF"/>
        </w:rPr>
        <w:t xml:space="preserve">-level </w:t>
      </w:r>
      <w:r w:rsidR="00A30004" w:rsidRPr="00B65579">
        <w:rPr>
          <w:rFonts w:cs="Arial"/>
          <w:color w:val="000000" w:themeColor="text1"/>
          <w:shd w:val="clear" w:color="auto" w:fill="FFFFFF"/>
        </w:rPr>
        <w:t>influence</w:t>
      </w:r>
      <w:r w:rsidR="006A100C">
        <w:rPr>
          <w:rFonts w:cs="Arial"/>
          <w:color w:val="000000" w:themeColor="text1"/>
          <w:shd w:val="clear" w:color="auto" w:fill="FFFFFF"/>
        </w:rPr>
        <w:t xml:space="preserve"> in the UK</w:t>
      </w:r>
      <w:r w:rsidR="00A30004" w:rsidRPr="00B65579">
        <w:rPr>
          <w:rFonts w:cs="Arial"/>
          <w:color w:val="000000" w:themeColor="text1"/>
          <w:shd w:val="clear" w:color="auto" w:fill="FFFFFF"/>
        </w:rPr>
        <w:t xml:space="preserve"> is the National Union of Students (NUS). Sustainability is only one part of the activity of the NUS, but has grown in size and scope, with an increasing focus on </w:t>
      </w:r>
      <w:r w:rsidR="00F10A6F">
        <w:rPr>
          <w:rFonts w:cs="Arial"/>
          <w:color w:val="000000" w:themeColor="text1"/>
          <w:shd w:val="clear" w:color="auto" w:fill="FFFFFF"/>
        </w:rPr>
        <w:t>Education for Sustainable Development</w:t>
      </w:r>
      <w:r w:rsidR="00A30004" w:rsidRPr="00B65579">
        <w:rPr>
          <w:rFonts w:cs="Arial"/>
          <w:color w:val="000000" w:themeColor="text1"/>
          <w:shd w:val="clear" w:color="auto" w:fill="FFFFFF"/>
        </w:rPr>
        <w:t>-related initiatives</w:t>
      </w:r>
      <w:r w:rsidR="00737AB6" w:rsidRPr="00B65579">
        <w:rPr>
          <w:rFonts w:cs="Arial"/>
          <w:color w:val="000000" w:themeColor="text1"/>
          <w:shd w:val="clear" w:color="auto" w:fill="FFFFFF"/>
        </w:rPr>
        <w:t xml:space="preserve">, including in their activities working </w:t>
      </w:r>
      <w:r w:rsidR="00B31E91" w:rsidRPr="009A064E">
        <w:rPr>
          <w:rFonts w:cs="Arial"/>
          <w:color w:val="000000" w:themeColor="text1"/>
          <w:shd w:val="clear" w:color="auto" w:fill="FFFFFF"/>
        </w:rPr>
        <w:t>t</w:t>
      </w:r>
      <w:r w:rsidR="00737AB6" w:rsidRPr="009A064E">
        <w:rPr>
          <w:rFonts w:cs="Arial"/>
          <w:color w:val="000000" w:themeColor="text1"/>
          <w:shd w:val="clear" w:color="auto" w:fill="FFFFFF"/>
        </w:rPr>
        <w:t>o get sustainable development into the curriculum of every student across every discipline (NUS, undated).</w:t>
      </w:r>
    </w:p>
    <w:p w14:paraId="7BC839DB" w14:textId="43B6277A" w:rsidR="00A30004" w:rsidRDefault="0098251E" w:rsidP="00437E9D">
      <w:pPr>
        <w:rPr>
          <w:rFonts w:cs="Arial"/>
          <w:color w:val="000000" w:themeColor="text1"/>
          <w:shd w:val="clear" w:color="auto" w:fill="FFFFFF"/>
        </w:rPr>
      </w:pPr>
      <w:r>
        <w:rPr>
          <w:rFonts w:cs="Arial"/>
          <w:color w:val="000000" w:themeColor="text1"/>
          <w:shd w:val="clear" w:color="auto" w:fill="FFFFFF"/>
        </w:rPr>
        <w:t xml:space="preserve">League tables are important to UK higher education institutions and as such sustainability focused league tables and awards </w:t>
      </w:r>
      <w:r w:rsidR="00A30004" w:rsidRPr="00B65579">
        <w:rPr>
          <w:rFonts w:cs="Arial"/>
          <w:color w:val="000000" w:themeColor="text1"/>
          <w:shd w:val="clear" w:color="auto" w:fill="FFFFFF"/>
        </w:rPr>
        <w:t xml:space="preserve">have a major influence on </w:t>
      </w:r>
      <w:r w:rsidR="00F10A6F">
        <w:rPr>
          <w:rFonts w:cs="Arial"/>
          <w:color w:val="000000" w:themeColor="text1"/>
          <w:shd w:val="clear" w:color="auto" w:fill="FFFFFF"/>
        </w:rPr>
        <w:t>Education for Sustainable Development</w:t>
      </w:r>
      <w:r w:rsidR="00A30004" w:rsidRPr="00B65579">
        <w:rPr>
          <w:rFonts w:cs="Arial"/>
          <w:color w:val="000000" w:themeColor="text1"/>
          <w:shd w:val="clear" w:color="auto" w:fill="FFFFFF"/>
        </w:rPr>
        <w:t xml:space="preserve"> activities</w:t>
      </w:r>
      <w:r>
        <w:rPr>
          <w:rFonts w:cs="Arial"/>
          <w:color w:val="000000" w:themeColor="text1"/>
          <w:shd w:val="clear" w:color="auto" w:fill="FFFFFF"/>
        </w:rPr>
        <w:t xml:space="preserve">. These </w:t>
      </w:r>
      <w:r w:rsidRPr="00B65579">
        <w:rPr>
          <w:rFonts w:cs="Arial"/>
          <w:color w:val="000000" w:themeColor="text1"/>
          <w:shd w:val="clear" w:color="auto" w:fill="FFFFFF"/>
        </w:rPr>
        <w:t>meso</w:t>
      </w:r>
      <w:r>
        <w:rPr>
          <w:rFonts w:cs="Arial"/>
          <w:color w:val="000000" w:themeColor="text1"/>
          <w:shd w:val="clear" w:color="auto" w:fill="FFFFFF"/>
        </w:rPr>
        <w:t xml:space="preserve">-level initiatives </w:t>
      </w:r>
      <w:r w:rsidR="00A30004" w:rsidRPr="00B65579">
        <w:rPr>
          <w:rFonts w:cs="Arial"/>
          <w:color w:val="000000" w:themeColor="text1"/>
          <w:shd w:val="clear" w:color="auto" w:fill="FFFFFF"/>
        </w:rPr>
        <w:t>include the Green Gown awards, which are run by the EAUC, and the Green League (now University League) run by the national student sustainability organisation, People and Planet</w:t>
      </w:r>
      <w:r w:rsidR="00DE1879" w:rsidRPr="00B65579">
        <w:rPr>
          <w:rFonts w:cs="Arial"/>
          <w:color w:val="000000" w:themeColor="text1"/>
          <w:shd w:val="clear" w:color="auto" w:fill="FFFFFF"/>
        </w:rPr>
        <w:t>,</w:t>
      </w:r>
      <w:r w:rsidR="009F7D69" w:rsidRPr="00B65579">
        <w:rPr>
          <w:rFonts w:cs="Arial"/>
          <w:color w:val="000000" w:themeColor="text1"/>
          <w:shd w:val="clear" w:color="auto" w:fill="FFFFFF"/>
        </w:rPr>
        <w:t xml:space="preserve"> and </w:t>
      </w:r>
      <w:r w:rsidR="005314DE" w:rsidRPr="00B65579">
        <w:rPr>
          <w:rFonts w:cs="Arial"/>
          <w:color w:val="000000" w:themeColor="text1"/>
          <w:shd w:val="clear" w:color="auto" w:fill="FFFFFF"/>
        </w:rPr>
        <w:t xml:space="preserve">published annually in the Guardian </w:t>
      </w:r>
      <w:r w:rsidR="00306E2C" w:rsidRPr="00B65579">
        <w:rPr>
          <w:rFonts w:cs="Arial"/>
          <w:color w:val="000000" w:themeColor="text1"/>
          <w:shd w:val="clear" w:color="auto" w:fill="FFFFFF"/>
        </w:rPr>
        <w:t xml:space="preserve">newspaper </w:t>
      </w:r>
      <w:r w:rsidR="005314DE" w:rsidRPr="00B65579">
        <w:rPr>
          <w:rFonts w:cs="Arial"/>
          <w:color w:val="000000" w:themeColor="text1"/>
          <w:shd w:val="clear" w:color="auto" w:fill="FFFFFF"/>
        </w:rPr>
        <w:t>(Lightfoot</w:t>
      </w:r>
      <w:r w:rsidR="00B71BE4" w:rsidRPr="00B65579">
        <w:rPr>
          <w:rFonts w:cs="Arial"/>
          <w:color w:val="000000" w:themeColor="text1"/>
          <w:shd w:val="clear" w:color="auto" w:fill="FFFFFF"/>
        </w:rPr>
        <w:t>,</w:t>
      </w:r>
      <w:r w:rsidR="005314DE" w:rsidRPr="00B65579">
        <w:rPr>
          <w:rFonts w:cs="Arial"/>
          <w:color w:val="000000" w:themeColor="text1"/>
          <w:shd w:val="clear" w:color="auto" w:fill="FFFFFF"/>
        </w:rPr>
        <w:t xml:space="preserve"> 2016). </w:t>
      </w:r>
      <w:r>
        <w:rPr>
          <w:rFonts w:cs="Arial"/>
          <w:color w:val="000000" w:themeColor="text1"/>
          <w:shd w:val="clear" w:color="auto" w:fill="FFFFFF"/>
        </w:rPr>
        <w:t xml:space="preserve">The Times </w:t>
      </w:r>
      <w:r w:rsidR="00437E9D">
        <w:rPr>
          <w:rFonts w:cs="Arial"/>
          <w:color w:val="000000" w:themeColor="text1"/>
          <w:shd w:val="clear" w:color="auto" w:fill="FFFFFF"/>
        </w:rPr>
        <w:t>Higher Education (THE) rankings</w:t>
      </w:r>
      <w:r w:rsidR="00061398">
        <w:rPr>
          <w:rFonts w:cs="Arial"/>
          <w:color w:val="000000" w:themeColor="text1"/>
          <w:shd w:val="clear" w:color="auto" w:fill="FFFFFF"/>
        </w:rPr>
        <w:t xml:space="preserve">, published by the corporate media company Times </w:t>
      </w:r>
      <w:r w:rsidR="008A5B1F">
        <w:rPr>
          <w:rFonts w:cs="Arial"/>
          <w:color w:val="000000" w:themeColor="text1"/>
          <w:shd w:val="clear" w:color="auto" w:fill="FFFFFF"/>
        </w:rPr>
        <w:t>International, has</w:t>
      </w:r>
      <w:r w:rsidR="00437E9D">
        <w:rPr>
          <w:rFonts w:cs="Arial"/>
          <w:color w:val="000000" w:themeColor="text1"/>
          <w:shd w:val="clear" w:color="auto" w:fill="FFFFFF"/>
        </w:rPr>
        <w:t xml:space="preserve"> become a central </w:t>
      </w:r>
      <w:r w:rsidR="00437E9D" w:rsidRPr="00437E9D">
        <w:rPr>
          <w:rFonts w:cs="Arial"/>
          <w:color w:val="000000" w:themeColor="text1"/>
          <w:shd w:val="clear" w:color="auto" w:fill="FFFFFF"/>
        </w:rPr>
        <w:t xml:space="preserve">part of government policies around global competitiveness that have had a profound influence on Higher Education Institutions </w:t>
      </w:r>
      <w:r w:rsidR="00437E9D">
        <w:rPr>
          <w:rFonts w:cs="Arial"/>
          <w:color w:val="000000" w:themeColor="text1"/>
          <w:shd w:val="clear" w:color="auto" w:fill="FFFFFF"/>
        </w:rPr>
        <w:t xml:space="preserve">(Stack, 2013). </w:t>
      </w:r>
      <w:r w:rsidR="00061398">
        <w:rPr>
          <w:rFonts w:cs="Arial"/>
          <w:color w:val="000000" w:themeColor="text1"/>
          <w:shd w:val="clear" w:color="auto" w:fill="FFFFFF"/>
        </w:rPr>
        <w:t xml:space="preserve">In 2019 the organisation introduced the </w:t>
      </w:r>
      <w:r w:rsidR="00061398" w:rsidRPr="00061398">
        <w:rPr>
          <w:rFonts w:cs="Arial"/>
          <w:color w:val="000000" w:themeColor="text1"/>
          <w:shd w:val="clear" w:color="auto" w:fill="FFFFFF"/>
        </w:rPr>
        <w:t>Times Higher Education University Impact Rankings, a league table based on the United Nations’ Sustainable Development Goals</w:t>
      </w:r>
      <w:r w:rsidR="008A5B1F">
        <w:rPr>
          <w:rFonts w:cs="Arial"/>
          <w:color w:val="000000" w:themeColor="text1"/>
          <w:shd w:val="clear" w:color="auto" w:fill="FFFFFF"/>
        </w:rPr>
        <w:t xml:space="preserve"> (THE, 2019). Whilst the impact of this initiative remains to be seen, the introduction of a new sustainability ranking from one of the most influential organisations demonstrates </w:t>
      </w:r>
      <w:r w:rsidR="00591C8A">
        <w:rPr>
          <w:rFonts w:cs="Arial"/>
          <w:color w:val="000000" w:themeColor="text1"/>
          <w:shd w:val="clear" w:color="auto" w:fill="FFFFFF"/>
        </w:rPr>
        <w:t xml:space="preserve">the importance of considering sustainability in the sector. </w:t>
      </w:r>
    </w:p>
    <w:p w14:paraId="4A60C0B1" w14:textId="14880105" w:rsidR="00A73633" w:rsidRDefault="00591C8A" w:rsidP="00365DD7">
      <w:pPr>
        <w:rPr>
          <w:rFonts w:cs="Arial"/>
          <w:color w:val="000000" w:themeColor="text1"/>
          <w:shd w:val="clear" w:color="auto" w:fill="FFFFFF"/>
        </w:rPr>
      </w:pPr>
      <w:r>
        <w:rPr>
          <w:rFonts w:cs="Arial"/>
          <w:color w:val="000000" w:themeColor="text1"/>
          <w:shd w:val="clear" w:color="auto" w:fill="FFFFFF"/>
        </w:rPr>
        <w:t>As indicated in section 2.1, s</w:t>
      </w:r>
      <w:r w:rsidR="00A73633">
        <w:rPr>
          <w:rFonts w:cs="Arial"/>
          <w:color w:val="000000" w:themeColor="text1"/>
          <w:shd w:val="clear" w:color="auto" w:fill="FFFFFF"/>
        </w:rPr>
        <w:t xml:space="preserve">ome </w:t>
      </w:r>
      <w:r>
        <w:rPr>
          <w:rFonts w:cs="Arial"/>
          <w:color w:val="000000" w:themeColor="text1"/>
          <w:shd w:val="clear" w:color="auto" w:fill="FFFFFF"/>
        </w:rPr>
        <w:t>m</w:t>
      </w:r>
      <w:r w:rsidR="00A73633">
        <w:rPr>
          <w:rFonts w:cs="Arial"/>
          <w:color w:val="000000" w:themeColor="text1"/>
          <w:shd w:val="clear" w:color="auto" w:fill="FFFFFF"/>
        </w:rPr>
        <w:t>acro-</w:t>
      </w:r>
      <w:r>
        <w:rPr>
          <w:rFonts w:cs="Arial"/>
          <w:color w:val="000000" w:themeColor="text1"/>
          <w:shd w:val="clear" w:color="auto" w:fill="FFFFFF"/>
        </w:rPr>
        <w:t>level</w:t>
      </w:r>
      <w:r w:rsidR="00A73633">
        <w:rPr>
          <w:rFonts w:cs="Arial"/>
          <w:color w:val="000000" w:themeColor="text1"/>
          <w:shd w:val="clear" w:color="auto" w:fill="FFFFFF"/>
        </w:rPr>
        <w:t xml:space="preserve"> international organisations have devolved some of their actions and influences down to the </w:t>
      </w:r>
      <w:r>
        <w:rPr>
          <w:rFonts w:cs="Arial"/>
          <w:color w:val="000000" w:themeColor="text1"/>
          <w:shd w:val="clear" w:color="auto" w:fill="FFFFFF"/>
        </w:rPr>
        <w:t>m</w:t>
      </w:r>
      <w:r w:rsidR="00A73633">
        <w:rPr>
          <w:rFonts w:cs="Arial"/>
          <w:color w:val="000000" w:themeColor="text1"/>
          <w:shd w:val="clear" w:color="auto" w:fill="FFFFFF"/>
        </w:rPr>
        <w:t>eso-</w:t>
      </w:r>
      <w:r>
        <w:rPr>
          <w:rFonts w:cs="Arial"/>
          <w:color w:val="000000" w:themeColor="text1"/>
          <w:shd w:val="clear" w:color="auto" w:fill="FFFFFF"/>
        </w:rPr>
        <w:t xml:space="preserve">level </w:t>
      </w:r>
      <w:r w:rsidR="00A73633">
        <w:rPr>
          <w:rFonts w:cs="Arial"/>
          <w:color w:val="000000" w:themeColor="text1"/>
          <w:shd w:val="clear" w:color="auto" w:fill="FFFFFF"/>
        </w:rPr>
        <w:t xml:space="preserve">and as such it is appropriate to consider these institutions as </w:t>
      </w:r>
      <w:r w:rsidR="00A73633">
        <w:rPr>
          <w:rFonts w:cs="Arial"/>
          <w:color w:val="000000" w:themeColor="text1"/>
          <w:shd w:val="clear" w:color="auto" w:fill="FFFFFF"/>
        </w:rPr>
        <w:lastRenderedPageBreak/>
        <w:t xml:space="preserve">important actors at this </w:t>
      </w:r>
      <w:r w:rsidR="00A47E14">
        <w:rPr>
          <w:rFonts w:cs="Arial"/>
          <w:color w:val="000000" w:themeColor="text1"/>
          <w:shd w:val="clear" w:color="auto" w:fill="FFFFFF"/>
        </w:rPr>
        <w:t>level</w:t>
      </w:r>
      <w:r w:rsidR="00A73633">
        <w:rPr>
          <w:rFonts w:cs="Arial"/>
          <w:color w:val="000000" w:themeColor="text1"/>
          <w:shd w:val="clear" w:color="auto" w:fill="FFFFFF"/>
        </w:rPr>
        <w:t xml:space="preserve">. In business, the </w:t>
      </w:r>
      <w:r w:rsidR="006B3646">
        <w:rPr>
          <w:rFonts w:cs="Arial"/>
          <w:color w:val="000000" w:themeColor="text1"/>
          <w:shd w:val="clear" w:color="auto" w:fill="FFFFFF"/>
        </w:rPr>
        <w:t>United Nations Principles for Responsible Management Education</w:t>
      </w:r>
      <w:r w:rsidR="00A73633">
        <w:rPr>
          <w:rFonts w:cs="Arial"/>
          <w:color w:val="000000" w:themeColor="text1"/>
          <w:shd w:val="clear" w:color="auto" w:fill="FFFFFF"/>
        </w:rPr>
        <w:t xml:space="preserve"> initiative relies heavily on its regional and national </w:t>
      </w:r>
      <w:r w:rsidR="00A47E14">
        <w:rPr>
          <w:rFonts w:cs="Arial"/>
          <w:color w:val="000000" w:themeColor="text1"/>
          <w:shd w:val="clear" w:color="auto" w:fill="FFFFFF"/>
        </w:rPr>
        <w:t>level</w:t>
      </w:r>
      <w:r w:rsidR="00A73633">
        <w:rPr>
          <w:rFonts w:cs="Arial"/>
          <w:color w:val="000000" w:themeColor="text1"/>
          <w:shd w:val="clear" w:color="auto" w:fill="FFFFFF"/>
        </w:rPr>
        <w:t xml:space="preserve"> Chapters to carry out activities and build influence locally. </w:t>
      </w:r>
      <w:r w:rsidR="006B3646">
        <w:rPr>
          <w:rFonts w:cs="Arial"/>
          <w:color w:val="000000" w:themeColor="text1"/>
          <w:shd w:val="clear" w:color="auto" w:fill="FFFFFF"/>
        </w:rPr>
        <w:t>United Nations Principles of</w:t>
      </w:r>
      <w:r w:rsidR="00B53629">
        <w:rPr>
          <w:rFonts w:cs="Arial"/>
          <w:color w:val="000000" w:themeColor="text1"/>
          <w:shd w:val="clear" w:color="auto" w:fill="FFFFFF"/>
        </w:rPr>
        <w:t xml:space="preserve"> </w:t>
      </w:r>
      <w:r w:rsidR="006B3646">
        <w:rPr>
          <w:rFonts w:cs="Arial"/>
          <w:color w:val="000000" w:themeColor="text1"/>
          <w:shd w:val="clear" w:color="auto" w:fill="FFFFFF"/>
        </w:rPr>
        <w:t>Responsible Management Education</w:t>
      </w:r>
      <w:r w:rsidR="00E4798C">
        <w:rPr>
          <w:rFonts w:cs="Arial"/>
          <w:color w:val="000000" w:themeColor="text1"/>
          <w:shd w:val="clear" w:color="auto" w:fill="FFFFFF"/>
        </w:rPr>
        <w:t xml:space="preserve"> Chapters </w:t>
      </w:r>
      <w:r w:rsidR="00B14CAC">
        <w:rPr>
          <w:rFonts w:cs="Arial"/>
          <w:color w:val="000000" w:themeColor="text1"/>
          <w:shd w:val="clear" w:color="auto" w:fill="FFFFFF"/>
        </w:rPr>
        <w:t>develop their own internal arrangements and activities whilst committing to the broader aims of providing a platform for dialogue, learning and action on responsible management and leadership education and research (UNPRME, 2019</w:t>
      </w:r>
      <w:r w:rsidR="007E3DDF">
        <w:rPr>
          <w:rFonts w:cs="Arial"/>
          <w:color w:val="000000" w:themeColor="text1"/>
          <w:shd w:val="clear" w:color="auto" w:fill="FFFFFF"/>
        </w:rPr>
        <w:t>a</w:t>
      </w:r>
      <w:r w:rsidR="00B14CAC">
        <w:rPr>
          <w:rFonts w:cs="Arial"/>
          <w:color w:val="000000" w:themeColor="text1"/>
          <w:shd w:val="clear" w:color="auto" w:fill="FFFFFF"/>
        </w:rPr>
        <w:t xml:space="preserve">). </w:t>
      </w:r>
      <w:r w:rsidR="000A1461">
        <w:rPr>
          <w:rFonts w:cs="Arial"/>
          <w:color w:val="000000" w:themeColor="text1"/>
          <w:shd w:val="clear" w:color="auto" w:fill="FFFFFF"/>
        </w:rPr>
        <w:t xml:space="preserve">As such the Chapters compliment the </w:t>
      </w:r>
      <w:r>
        <w:rPr>
          <w:rFonts w:cs="Arial"/>
          <w:color w:val="000000" w:themeColor="text1"/>
          <w:shd w:val="clear" w:color="auto" w:fill="FFFFFF"/>
        </w:rPr>
        <w:t>macro</w:t>
      </w:r>
      <w:r w:rsidR="000A1461">
        <w:rPr>
          <w:rFonts w:cs="Arial"/>
          <w:color w:val="000000" w:themeColor="text1"/>
          <w:shd w:val="clear" w:color="auto" w:fill="FFFFFF"/>
        </w:rPr>
        <w:t>-</w:t>
      </w:r>
      <w:r>
        <w:rPr>
          <w:rFonts w:cs="Arial"/>
          <w:color w:val="000000" w:themeColor="text1"/>
          <w:shd w:val="clear" w:color="auto" w:fill="FFFFFF"/>
        </w:rPr>
        <w:t>level</w:t>
      </w:r>
      <w:r w:rsidR="000A1461">
        <w:rPr>
          <w:rFonts w:cs="Arial"/>
          <w:color w:val="000000" w:themeColor="text1"/>
          <w:shd w:val="clear" w:color="auto" w:fill="FFFFFF"/>
        </w:rPr>
        <w:t xml:space="preserve"> influences and activities of the </w:t>
      </w:r>
      <w:r w:rsidR="006B3646">
        <w:rPr>
          <w:rFonts w:cs="Arial"/>
          <w:color w:val="000000" w:themeColor="text1"/>
          <w:shd w:val="clear" w:color="auto" w:fill="FFFFFF"/>
        </w:rPr>
        <w:t>United Nations Principles for Responsible Management Education</w:t>
      </w:r>
      <w:r w:rsidR="000A1461">
        <w:rPr>
          <w:rFonts w:cs="Arial"/>
          <w:color w:val="000000" w:themeColor="text1"/>
          <w:shd w:val="clear" w:color="auto" w:fill="FFFFFF"/>
        </w:rPr>
        <w:t xml:space="preserve"> initiative at the </w:t>
      </w:r>
      <w:r>
        <w:rPr>
          <w:rFonts w:cs="Arial"/>
          <w:color w:val="000000" w:themeColor="text1"/>
          <w:shd w:val="clear" w:color="auto" w:fill="FFFFFF"/>
        </w:rPr>
        <w:t>meso</w:t>
      </w:r>
      <w:r w:rsidR="000A1461">
        <w:rPr>
          <w:rFonts w:cs="Arial"/>
          <w:color w:val="000000" w:themeColor="text1"/>
          <w:shd w:val="clear" w:color="auto" w:fill="FFFFFF"/>
        </w:rPr>
        <w:t xml:space="preserve">-level. </w:t>
      </w:r>
    </w:p>
    <w:p w14:paraId="66557492" w14:textId="214D8963" w:rsidR="001F1884" w:rsidRPr="00B65579" w:rsidRDefault="00591C8A" w:rsidP="00365DD7">
      <w:r>
        <w:rPr>
          <w:rFonts w:cs="Arial"/>
          <w:color w:val="000000" w:themeColor="text1"/>
          <w:shd w:val="clear" w:color="auto" w:fill="FFFFFF"/>
        </w:rPr>
        <w:t xml:space="preserve">There are challenges associated relying solely on meso-level activities to generate impact for sustainability within higher education institutions. As many of the </w:t>
      </w:r>
      <w:r w:rsidR="001441EA">
        <w:rPr>
          <w:rFonts w:cs="Arial"/>
          <w:color w:val="000000" w:themeColor="text1"/>
          <w:shd w:val="clear" w:color="auto" w:fill="FFFFFF"/>
        </w:rPr>
        <w:t xml:space="preserve">initiatives are developed within quasi-governmental organisations, they are susceptible to political change. For </w:t>
      </w:r>
      <w:r w:rsidR="007B6564">
        <w:rPr>
          <w:rFonts w:cs="Arial"/>
          <w:color w:val="000000" w:themeColor="text1"/>
          <w:shd w:val="clear" w:color="auto" w:fill="FFFFFF"/>
        </w:rPr>
        <w:t>example,</w:t>
      </w:r>
      <w:r w:rsidR="001441EA">
        <w:rPr>
          <w:rFonts w:cs="Arial"/>
          <w:color w:val="000000" w:themeColor="text1"/>
          <w:shd w:val="clear" w:color="auto" w:fill="FFFFFF"/>
        </w:rPr>
        <w:t xml:space="preserve"> </w:t>
      </w:r>
      <w:r w:rsidR="001441EA" w:rsidRPr="00B65579">
        <w:t xml:space="preserve">a change in government and a change in leadership, and departure of specific ‘champion’ individuals, within HEFCE led to a significant reduction in the visible support for </w:t>
      </w:r>
      <w:r w:rsidR="00F10A6F">
        <w:t>Education for Sustainable Development</w:t>
      </w:r>
      <w:r w:rsidR="001441EA" w:rsidRPr="00B65579">
        <w:t xml:space="preserve"> from </w:t>
      </w:r>
      <w:r w:rsidR="009F0C3A">
        <w:t xml:space="preserve">the organisation </w:t>
      </w:r>
      <w:r w:rsidR="001441EA">
        <w:t xml:space="preserve">(Chalkley </w:t>
      </w:r>
      <w:r w:rsidR="00F97BED">
        <w:t>and</w:t>
      </w:r>
      <w:r w:rsidR="001441EA">
        <w:t xml:space="preserve"> Stirling, 2011). </w:t>
      </w:r>
      <w:r w:rsidR="007B6564">
        <w:t>Similarly,</w:t>
      </w:r>
      <w:r w:rsidR="001441EA">
        <w:t xml:space="preserve"> a </w:t>
      </w:r>
      <w:r w:rsidR="001441EA" w:rsidRPr="00B65579">
        <w:t xml:space="preserve">reduction in central government funding of the HEA </w:t>
      </w:r>
      <w:r w:rsidR="001441EA">
        <w:t>saw</w:t>
      </w:r>
      <w:r w:rsidR="001441EA" w:rsidRPr="00B65579">
        <w:t xml:space="preserve"> a decline in its activity</w:t>
      </w:r>
      <w:r w:rsidR="001441EA">
        <w:t xml:space="preserve"> in relation to </w:t>
      </w:r>
      <w:r w:rsidR="00F10A6F">
        <w:t>Education for Sustainable Development</w:t>
      </w:r>
      <w:r w:rsidR="001441EA" w:rsidRPr="00914777">
        <w:t xml:space="preserve"> </w:t>
      </w:r>
      <w:r w:rsidR="00B27F6B">
        <w:t xml:space="preserve">(Fiselier </w:t>
      </w:r>
      <w:r w:rsidR="00F97BED">
        <w:t>and</w:t>
      </w:r>
      <w:r w:rsidR="00B27F6B">
        <w:t xml:space="preserve"> Longhurst, 2018). </w:t>
      </w:r>
      <w:r w:rsidR="001441EA" w:rsidRPr="00914777">
        <w:t xml:space="preserve">Within the UK, the </w:t>
      </w:r>
      <w:r w:rsidR="00F97BED">
        <w:t>meso-</w:t>
      </w:r>
      <w:r w:rsidR="001441EA" w:rsidRPr="00914777">
        <w:t xml:space="preserve"> </w:t>
      </w:r>
      <w:r w:rsidR="00A47E14">
        <w:t>level</w:t>
      </w:r>
      <w:r w:rsidR="001441EA" w:rsidRPr="00914777">
        <w:t xml:space="preserve"> is further complicated by the devolution of educa</w:t>
      </w:r>
      <w:r w:rsidR="001441EA" w:rsidRPr="00B65579">
        <w:t xml:space="preserve">tional powers to the four constituent countries that make up the United Kingdom, with Wales and Scotland having notably greater continued commitment to </w:t>
      </w:r>
      <w:r w:rsidR="00F10A6F">
        <w:t>Education for Sustainable Development</w:t>
      </w:r>
      <w:r w:rsidR="001441EA">
        <w:t xml:space="preserve"> (Martin </w:t>
      </w:r>
      <w:r w:rsidR="001441EA">
        <w:rPr>
          <w:i/>
          <w:iCs/>
        </w:rPr>
        <w:t xml:space="preserve">et al, </w:t>
      </w:r>
      <w:r w:rsidR="001441EA">
        <w:t xml:space="preserve">2013). </w:t>
      </w:r>
      <w:r w:rsidR="007B6564">
        <w:t>Finally, despite th</w:t>
      </w:r>
      <w:r w:rsidR="006A100C">
        <w:t>e</w:t>
      </w:r>
      <w:r w:rsidR="007B6564">
        <w:t xml:space="preserve"> fact that the initiatives above all occur at the meso-level, it is at the level of the individual that the implementation of such </w:t>
      </w:r>
      <w:r w:rsidR="00671602">
        <w:t>initiatives</w:t>
      </w:r>
      <w:r w:rsidR="007B6564">
        <w:t xml:space="preserve"> actually takes place.</w:t>
      </w:r>
    </w:p>
    <w:p w14:paraId="7FA6F43D" w14:textId="710467CA" w:rsidR="00DF339C" w:rsidRDefault="00A42192" w:rsidP="009A064E">
      <w:pPr>
        <w:pStyle w:val="Heading2"/>
        <w:numPr>
          <w:ilvl w:val="0"/>
          <w:numId w:val="0"/>
        </w:numPr>
        <w:ind w:left="360" w:hanging="360"/>
      </w:pPr>
      <w:r>
        <w:rPr>
          <w:i/>
        </w:rPr>
        <w:t>2</w:t>
      </w:r>
      <w:r w:rsidR="0060211F" w:rsidRPr="00B61B62">
        <w:rPr>
          <w:i/>
        </w:rPr>
        <w:t xml:space="preserve">.4 </w:t>
      </w:r>
      <w:r w:rsidR="007A637F">
        <w:rPr>
          <w:i/>
        </w:rPr>
        <w:t>Micro-level</w:t>
      </w:r>
      <w:r w:rsidR="007374D7" w:rsidRPr="00B61B62">
        <w:rPr>
          <w:i/>
        </w:rPr>
        <w:t xml:space="preserve"> (Institution and individual</w:t>
      </w:r>
      <w:r w:rsidR="002705B2" w:rsidRPr="00B61B62">
        <w:rPr>
          <w:i/>
        </w:rPr>
        <w:t>)</w:t>
      </w:r>
    </w:p>
    <w:p w14:paraId="07C2B2B2" w14:textId="6346E2A7" w:rsidR="002705B2" w:rsidRPr="00B65579" w:rsidRDefault="00942197" w:rsidP="00365DD7">
      <w:r w:rsidRPr="00B65579">
        <w:t>T</w:t>
      </w:r>
      <w:r w:rsidR="00407595" w:rsidRPr="00B65579">
        <w:t xml:space="preserve">he </w:t>
      </w:r>
      <w:r w:rsidR="007A637F">
        <w:t>micro-level</w:t>
      </w:r>
      <w:r w:rsidR="00407595" w:rsidRPr="00B65579">
        <w:t xml:space="preserve"> can range from the individual to the organisational</w:t>
      </w:r>
      <w:r w:rsidRPr="00B65579">
        <w:t>, which within the educational sphere could be a Higher Education Institution (HEI).</w:t>
      </w:r>
      <w:r w:rsidR="00B53629">
        <w:t xml:space="preserve"> </w:t>
      </w:r>
      <w:r w:rsidRPr="00B65579">
        <w:t>HEIs</w:t>
      </w:r>
      <w:r w:rsidR="00407595" w:rsidRPr="00B65579">
        <w:t xml:space="preserve"> can respond to </w:t>
      </w:r>
      <w:r w:rsidR="00F10A6F">
        <w:t>Education for Sustainable Development</w:t>
      </w:r>
      <w:r w:rsidR="00407595" w:rsidRPr="00B65579">
        <w:t xml:space="preserve"> drivers, through adoption of institution-wide strategies, either holistically, covering all of the activities of an institution, or through just one element, for example the Teaching and Learning Strategy.</w:t>
      </w:r>
      <w:r w:rsidR="00B53629">
        <w:t xml:space="preserve"> </w:t>
      </w:r>
      <w:r w:rsidR="00407595" w:rsidRPr="00B65579">
        <w:t xml:space="preserve">Embedding of Sustainability at this </w:t>
      </w:r>
      <w:r w:rsidR="00A47E14">
        <w:t>level</w:t>
      </w:r>
      <w:r w:rsidR="00407595" w:rsidRPr="00B65579">
        <w:t xml:space="preserve"> may then influence activity at other </w:t>
      </w:r>
      <w:r w:rsidR="007A637F">
        <w:t>micro-level</w:t>
      </w:r>
      <w:r w:rsidR="00407595" w:rsidRPr="00B65579">
        <w:t xml:space="preserve">s </w:t>
      </w:r>
      <w:r w:rsidR="001F3333" w:rsidRPr="00B65579">
        <w:t>from decision</w:t>
      </w:r>
      <w:r w:rsidRPr="00B65579">
        <w:t>s</w:t>
      </w:r>
      <w:r w:rsidR="001F3333" w:rsidRPr="00B65579">
        <w:t xml:space="preserve"> to embed </w:t>
      </w:r>
      <w:r w:rsidR="00F10A6F">
        <w:t>Education for Sustainable Development</w:t>
      </w:r>
      <w:r w:rsidR="00407595" w:rsidRPr="00B65579">
        <w:t xml:space="preserve"> considerations at a programme level, to the choices that an individual educator makes</w:t>
      </w:r>
      <w:r w:rsidR="001F3333" w:rsidRPr="00B65579">
        <w:t xml:space="preserve"> to their own curriculum design</w:t>
      </w:r>
      <w:r w:rsidR="00407595" w:rsidRPr="00B65579">
        <w:t>.</w:t>
      </w:r>
      <w:r w:rsidR="001F3333" w:rsidRPr="00B65579">
        <w:t xml:space="preserve"> Th</w:t>
      </w:r>
      <w:r w:rsidR="006A100C">
        <w:t>e</w:t>
      </w:r>
      <w:r w:rsidR="001F3333" w:rsidRPr="00B65579">
        <w:t xml:space="preserve"> latter is made possible within HEIs due to the high level of autonomy that individual educators often have over their teachin</w:t>
      </w:r>
      <w:r w:rsidR="007A637F">
        <w:t>g (Holmberg</w:t>
      </w:r>
      <w:r w:rsidR="00A41F20">
        <w:t xml:space="preserve"> </w:t>
      </w:r>
      <w:r w:rsidR="00A41F20">
        <w:rPr>
          <w:i/>
          <w:iCs/>
        </w:rPr>
        <w:t xml:space="preserve">et al, </w:t>
      </w:r>
      <w:r w:rsidR="00A41F20">
        <w:t xml:space="preserve">2008). </w:t>
      </w:r>
      <w:r w:rsidR="001F3333" w:rsidRPr="00B65579">
        <w:t xml:space="preserve">The adoption of </w:t>
      </w:r>
      <w:r w:rsidR="00F10A6F">
        <w:t>Education for Sustainable Development</w:t>
      </w:r>
      <w:r w:rsidR="001F3333" w:rsidRPr="00B65579">
        <w:t xml:space="preserve"> at an organisational or programme level may be influenced by competition at a </w:t>
      </w:r>
      <w:r w:rsidR="009111EE" w:rsidRPr="00B65579">
        <w:t>higher-level</w:t>
      </w:r>
      <w:r w:rsidR="001F3333" w:rsidRPr="00B65579">
        <w:t xml:space="preserve"> </w:t>
      </w:r>
      <w:r w:rsidR="00A47E14">
        <w:t>level</w:t>
      </w:r>
      <w:r w:rsidR="001F3333" w:rsidRPr="00B65579">
        <w:t xml:space="preserve">, whether competition between </w:t>
      </w:r>
      <w:r w:rsidRPr="00B65579">
        <w:t xml:space="preserve">universities (supported by </w:t>
      </w:r>
      <w:r w:rsidR="007A637F">
        <w:t>meso-level</w:t>
      </w:r>
      <w:r w:rsidR="001F3333" w:rsidRPr="00B65579">
        <w:t xml:space="preserve"> instruments such as awards and league tables), or competition within institutions. </w:t>
      </w:r>
      <w:r w:rsidR="000A1461">
        <w:t xml:space="preserve">In this respect, some HEIs are beginning to develop institutionally wide policies around </w:t>
      </w:r>
      <w:r w:rsidR="00F10A6F">
        <w:t>Education for Sustainable Development</w:t>
      </w:r>
      <w:r w:rsidR="000A1461">
        <w:t xml:space="preserve"> such as embedding the UN </w:t>
      </w:r>
      <w:r w:rsidR="00F10A6F">
        <w:t>Sustainable Development Goals</w:t>
      </w:r>
      <w:r w:rsidR="000A1461">
        <w:t xml:space="preserve"> into their organisational strategies</w:t>
      </w:r>
      <w:r w:rsidR="00873E3D">
        <w:t xml:space="preserve"> </w:t>
      </w:r>
      <w:r w:rsidR="004A191A" w:rsidRPr="006A100C">
        <w:t>(</w:t>
      </w:r>
      <w:r w:rsidR="006A100C">
        <w:rPr>
          <w:rStyle w:val="Hyperlink"/>
          <w:color w:val="auto"/>
          <w:u w:val="none"/>
        </w:rPr>
        <w:t>Fleacă</w:t>
      </w:r>
      <w:r w:rsidR="004A191A" w:rsidRPr="006A100C">
        <w:rPr>
          <w:rStyle w:val="Hyperlink"/>
          <w:color w:val="auto"/>
          <w:u w:val="none"/>
        </w:rPr>
        <w:t xml:space="preserve"> </w:t>
      </w:r>
      <w:r w:rsidR="004A191A" w:rsidRPr="006A100C">
        <w:rPr>
          <w:rStyle w:val="Hyperlink"/>
          <w:i/>
          <w:iCs/>
          <w:color w:val="auto"/>
          <w:u w:val="none"/>
        </w:rPr>
        <w:t xml:space="preserve">et al, </w:t>
      </w:r>
      <w:r w:rsidR="004A191A" w:rsidRPr="006A100C">
        <w:rPr>
          <w:rStyle w:val="Hyperlink"/>
          <w:color w:val="auto"/>
          <w:u w:val="none"/>
        </w:rPr>
        <w:t>2018</w:t>
      </w:r>
      <w:r w:rsidR="006A100C">
        <w:rPr>
          <w:rStyle w:val="Hyperlink"/>
          <w:color w:val="auto"/>
          <w:u w:val="none"/>
        </w:rPr>
        <w:t xml:space="preserve">; Willats </w:t>
      </w:r>
      <w:r w:rsidR="006A100C" w:rsidRPr="006A100C">
        <w:rPr>
          <w:rStyle w:val="Hyperlink"/>
          <w:i/>
          <w:color w:val="auto"/>
          <w:u w:val="none"/>
        </w:rPr>
        <w:t>et al,</w:t>
      </w:r>
      <w:r w:rsidR="006A100C">
        <w:rPr>
          <w:rStyle w:val="Hyperlink"/>
          <w:color w:val="auto"/>
          <w:u w:val="none"/>
        </w:rPr>
        <w:t xml:space="preserve"> 2018</w:t>
      </w:r>
      <w:r w:rsidR="004A191A" w:rsidRPr="006A100C">
        <w:rPr>
          <w:rStyle w:val="Hyperlink"/>
          <w:color w:val="auto"/>
          <w:u w:val="none"/>
        </w:rPr>
        <w:t>).</w:t>
      </w:r>
    </w:p>
    <w:p w14:paraId="534E03EB" w14:textId="4550AE9B" w:rsidR="0097621D" w:rsidRPr="00B65579" w:rsidRDefault="0097621D" w:rsidP="00365DD7">
      <w:r w:rsidRPr="00B65579">
        <w:t xml:space="preserve">The smallest </w:t>
      </w:r>
      <w:r w:rsidR="007A637F">
        <w:t>micro-level</w:t>
      </w:r>
      <w:r w:rsidRPr="00B65579">
        <w:t xml:space="preserve"> is the </w:t>
      </w:r>
      <w:r w:rsidR="006A100C" w:rsidRPr="00B65579">
        <w:t>individual</w:t>
      </w:r>
      <w:r w:rsidR="006A100C">
        <w:t>;</w:t>
      </w:r>
      <w:r w:rsidR="00DA1B30">
        <w:t xml:space="preserve"> h</w:t>
      </w:r>
      <w:r w:rsidRPr="00B65579">
        <w:t xml:space="preserve">owever </w:t>
      </w:r>
      <w:r w:rsidR="007A637F">
        <w:t>micro-level</w:t>
      </w:r>
      <w:r w:rsidRPr="00B65579">
        <w:t xml:space="preserve"> clearly has influences on all other </w:t>
      </w:r>
      <w:r w:rsidR="00800EE5">
        <w:t>levels</w:t>
      </w:r>
      <w:r w:rsidRPr="00B65579">
        <w:t xml:space="preserve">, </w:t>
      </w:r>
      <w:r w:rsidR="00942197" w:rsidRPr="00B65579">
        <w:t xml:space="preserve">just </w:t>
      </w:r>
      <w:r w:rsidRPr="00B65579">
        <w:t>as they are</w:t>
      </w:r>
      <w:r w:rsidR="00942197" w:rsidRPr="00B65579">
        <w:t xml:space="preserve"> also</w:t>
      </w:r>
      <w:r w:rsidRPr="00B65579">
        <w:t xml:space="preserve"> influenced by all other </w:t>
      </w:r>
      <w:r w:rsidR="00800EE5">
        <w:t>levels</w:t>
      </w:r>
      <w:r w:rsidRPr="00B65579">
        <w:t>.</w:t>
      </w:r>
      <w:r w:rsidR="00B53629">
        <w:t xml:space="preserve"> </w:t>
      </w:r>
      <w:r w:rsidRPr="00B65579">
        <w:t xml:space="preserve">In an </w:t>
      </w:r>
      <w:r w:rsidR="00F10A6F">
        <w:t>Education for Sustainable Development</w:t>
      </w:r>
      <w:r w:rsidRPr="00B65579">
        <w:t xml:space="preserve"> context</w:t>
      </w:r>
      <w:r w:rsidR="006A100C">
        <w:t>,</w:t>
      </w:r>
      <w:r w:rsidRPr="00B65579">
        <w:t xml:space="preserve"> the influence of the individual does not remain at an individual level, as the very point of </w:t>
      </w:r>
      <w:r w:rsidR="00F10A6F">
        <w:t>Education for Sustainable Development</w:t>
      </w:r>
      <w:r w:rsidRPr="00B65579">
        <w:t xml:space="preserve"> is to have a large impact.</w:t>
      </w:r>
      <w:r w:rsidR="00B53629">
        <w:t xml:space="preserve"> </w:t>
      </w:r>
      <w:r w:rsidRPr="00B65579">
        <w:t>The individual sustainability educator aims</w:t>
      </w:r>
      <w:r w:rsidR="00942197" w:rsidRPr="00B65579">
        <w:t xml:space="preserve"> to influence students, from individual students</w:t>
      </w:r>
      <w:r w:rsidRPr="00B65579">
        <w:t xml:space="preserve"> to entire cohorts</w:t>
      </w:r>
      <w:r w:rsidR="00942197" w:rsidRPr="00B65579">
        <w:t xml:space="preserve"> over several years</w:t>
      </w:r>
      <w:r w:rsidRPr="00B65579">
        <w:t>. These students may then go on to drive other activity in the University through student organisations and activism, or to have influences on sustainability in their future professional careers.</w:t>
      </w:r>
      <w:r w:rsidR="00B53629">
        <w:t xml:space="preserve"> </w:t>
      </w:r>
    </w:p>
    <w:p w14:paraId="5F9EC236" w14:textId="1C369C11" w:rsidR="0097621D" w:rsidRPr="00B65579" w:rsidRDefault="0097621D" w:rsidP="00365DD7">
      <w:r w:rsidRPr="00B65579">
        <w:t xml:space="preserve">The activities and assessment devised by individual educators may directly influence at other </w:t>
      </w:r>
      <w:r w:rsidR="00A47E14">
        <w:t>level</w:t>
      </w:r>
      <w:r w:rsidRPr="00B65579">
        <w:t>s of activity</w:t>
      </w:r>
      <w:r w:rsidR="00DE1879" w:rsidRPr="00B65579">
        <w:t xml:space="preserve"> outside the university</w:t>
      </w:r>
      <w:r w:rsidRPr="00B65579">
        <w:t xml:space="preserve">. For example, community-based educational assignments are </w:t>
      </w:r>
      <w:r w:rsidR="002F227D" w:rsidRPr="00B65579">
        <w:t xml:space="preserve">a </w:t>
      </w:r>
      <w:r w:rsidRPr="00B65579">
        <w:t xml:space="preserve">common </w:t>
      </w:r>
      <w:r w:rsidR="002F227D" w:rsidRPr="00B65579">
        <w:lastRenderedPageBreak/>
        <w:t>feature of</w:t>
      </w:r>
      <w:r w:rsidRPr="00B65579">
        <w:t xml:space="preserve"> </w:t>
      </w:r>
      <w:r w:rsidR="00F10A6F">
        <w:t>Education for Sustainable Development</w:t>
      </w:r>
      <w:r w:rsidRPr="00B65579">
        <w:t>, where students in some way work within the local community to make positive change</w:t>
      </w:r>
      <w:r w:rsidR="00AC43BB">
        <w:t xml:space="preserve"> (</w:t>
      </w:r>
      <w:r w:rsidR="00AC43BB" w:rsidRPr="007E7011">
        <w:t xml:space="preserve">Zachariou </w:t>
      </w:r>
      <w:r w:rsidR="00F97BED">
        <w:t>and</w:t>
      </w:r>
      <w:r w:rsidR="00AC43BB" w:rsidRPr="007E7011">
        <w:t xml:space="preserve"> Symeou,</w:t>
      </w:r>
      <w:r w:rsidR="00AC43BB">
        <w:t xml:space="preserve"> </w:t>
      </w:r>
      <w:r w:rsidR="00AC43BB" w:rsidRPr="007E7011">
        <w:t>2009</w:t>
      </w:r>
      <w:r w:rsidR="00AC43BB">
        <w:t xml:space="preserve">). </w:t>
      </w:r>
      <w:r w:rsidR="009111EE" w:rsidRPr="00B65579">
        <w:t>Likewise,</w:t>
      </w:r>
      <w:r w:rsidRPr="00B65579">
        <w:t xml:space="preserve"> educational assignments in businesses may see students positively influencing the sustainability of an organisation’s operations</w:t>
      </w:r>
      <w:r w:rsidR="009410C6">
        <w:t xml:space="preserve"> (</w:t>
      </w:r>
      <w:r w:rsidR="009410C6" w:rsidRPr="009410C6">
        <w:rPr>
          <w:rFonts w:cs="Arial"/>
        </w:rPr>
        <w:t>Stubb</w:t>
      </w:r>
      <w:r w:rsidR="009410C6">
        <w:rPr>
          <w:rFonts w:cs="Arial"/>
        </w:rPr>
        <w:t xml:space="preserve">s </w:t>
      </w:r>
      <w:r w:rsidR="00F97BED">
        <w:rPr>
          <w:rFonts w:cs="Arial"/>
        </w:rPr>
        <w:t>and</w:t>
      </w:r>
      <w:r w:rsidR="009410C6" w:rsidRPr="009410C6">
        <w:rPr>
          <w:rFonts w:cs="Arial"/>
        </w:rPr>
        <w:t xml:space="preserve"> Cocklin, 2008).</w:t>
      </w:r>
      <w:r w:rsidRPr="00B65579">
        <w:t xml:space="preserve"> </w:t>
      </w:r>
      <w:r w:rsidR="009111EE" w:rsidRPr="00B65579">
        <w:t>Thus,</w:t>
      </w:r>
      <w:r w:rsidRPr="00B65579">
        <w:t xml:space="preserve"> the impact at the </w:t>
      </w:r>
      <w:r w:rsidR="007A637F">
        <w:t>micro-level</w:t>
      </w:r>
      <w:r w:rsidRPr="00B65579">
        <w:t xml:space="preserve"> in the form of the individual educator has the potential to influence directly the organisational </w:t>
      </w:r>
      <w:r w:rsidR="00A47E14">
        <w:t>level</w:t>
      </w:r>
      <w:r w:rsidRPr="00B65579">
        <w:t xml:space="preserve">. </w:t>
      </w:r>
      <w:r w:rsidR="00AF3C22" w:rsidRPr="00B65579">
        <w:t xml:space="preserve">The educator might also </w:t>
      </w:r>
      <w:r w:rsidR="00D1401D">
        <w:t>exert</w:t>
      </w:r>
      <w:r w:rsidR="00AF3C22" w:rsidRPr="00B65579">
        <w:t xml:space="preserve"> impact on the other </w:t>
      </w:r>
      <w:r w:rsidR="00A47E14">
        <w:t>level</w:t>
      </w:r>
      <w:r w:rsidR="00AF3C22" w:rsidRPr="00B65579">
        <w:t>s by occupying positions within organisations such as</w:t>
      </w:r>
      <w:r w:rsidR="009410C6">
        <w:t xml:space="preserve"> </w:t>
      </w:r>
      <w:r w:rsidR="00C21C8E">
        <w:t xml:space="preserve">the local </w:t>
      </w:r>
      <w:r w:rsidR="006B3646">
        <w:t>United Nations Principles for Responsible Management Education</w:t>
      </w:r>
      <w:r w:rsidR="00C21C8E">
        <w:t xml:space="preserve"> chapter as well as </w:t>
      </w:r>
      <w:r w:rsidR="00AF3C22" w:rsidRPr="00B65579">
        <w:t xml:space="preserve">publishing </w:t>
      </w:r>
      <w:r w:rsidR="009410C6">
        <w:t xml:space="preserve">scholarly </w:t>
      </w:r>
      <w:r w:rsidR="00AF3C22" w:rsidRPr="00B65579">
        <w:t>textbooks and articles. T</w:t>
      </w:r>
      <w:r w:rsidR="00DF2E3B" w:rsidRPr="00B65579">
        <w:t xml:space="preserve">hrough the sharing and adoption of best practice, often facilitated through </w:t>
      </w:r>
      <w:r w:rsidR="007A637F">
        <w:t>meso-level</w:t>
      </w:r>
      <w:r w:rsidR="00DF2E3B" w:rsidRPr="00B65579">
        <w:t xml:space="preserve"> organisations, the actions of these </w:t>
      </w:r>
      <w:r w:rsidR="007A637F">
        <w:t>micro-level</w:t>
      </w:r>
      <w:r w:rsidR="00DF2E3B" w:rsidRPr="00B65579">
        <w:t xml:space="preserve"> individual educators may have an impact on the </w:t>
      </w:r>
      <w:r w:rsidR="007A637F">
        <w:t>meso-level</w:t>
      </w:r>
      <w:r w:rsidR="00DF2E3B" w:rsidRPr="00B65579">
        <w:t xml:space="preserve"> sector, and potentially, where individuals become involved in </w:t>
      </w:r>
      <w:r w:rsidR="007A637F">
        <w:t>macro-level</w:t>
      </w:r>
      <w:r w:rsidR="00DF2E3B" w:rsidRPr="00B65579">
        <w:t xml:space="preserve"> activities such as through the UN</w:t>
      </w:r>
      <w:r w:rsidR="00C21C8E">
        <w:t xml:space="preserve"> more broadly</w:t>
      </w:r>
      <w:r w:rsidR="00DF2E3B" w:rsidRPr="00B65579">
        <w:t xml:space="preserve"> can have an impact on this </w:t>
      </w:r>
      <w:r w:rsidR="007A637F">
        <w:t>macro-level</w:t>
      </w:r>
      <w:r w:rsidR="00DF2E3B" w:rsidRPr="00B65579">
        <w:t xml:space="preserve">. In addition to individual educators, </w:t>
      </w:r>
      <w:r w:rsidR="009410C6">
        <w:t xml:space="preserve">there is increasingly a shift amongst traditional Environmental and Facilities Managers in </w:t>
      </w:r>
      <w:r w:rsidR="0010689E">
        <w:t>HEIs</w:t>
      </w:r>
      <w:r w:rsidR="009410C6">
        <w:t xml:space="preserve"> towards a broader sustainability remit which </w:t>
      </w:r>
      <w:r w:rsidR="00A82F16">
        <w:t xml:space="preserve">often includes some responsibility for </w:t>
      </w:r>
      <w:r w:rsidR="00F10A6F">
        <w:t>Education for Sustainable Development</w:t>
      </w:r>
      <w:r w:rsidR="00A82F16">
        <w:t xml:space="preserve"> at the </w:t>
      </w:r>
      <w:r w:rsidR="00DF2E3B" w:rsidRPr="00B65579">
        <w:t>institutional level</w:t>
      </w:r>
      <w:r w:rsidR="00A82F16">
        <w:t xml:space="preserve"> (</w:t>
      </w:r>
      <w:r w:rsidR="00A82F16" w:rsidRPr="00A82F16">
        <w:rPr>
          <w:lang w:val="en-US"/>
        </w:rPr>
        <w:t xml:space="preserve">Mcmillin, </w:t>
      </w:r>
      <w:r w:rsidR="00F97BED">
        <w:rPr>
          <w:lang w:val="en-US"/>
        </w:rPr>
        <w:t>and</w:t>
      </w:r>
      <w:r w:rsidR="00A82F16" w:rsidRPr="00A82F16">
        <w:rPr>
          <w:lang w:val="en-US"/>
        </w:rPr>
        <w:t xml:space="preserve"> Dyball,</w:t>
      </w:r>
      <w:r w:rsidR="00A82F16">
        <w:rPr>
          <w:lang w:val="en-US"/>
        </w:rPr>
        <w:t xml:space="preserve"> </w:t>
      </w:r>
      <w:r w:rsidR="00A82F16" w:rsidRPr="00A82F16">
        <w:rPr>
          <w:lang w:val="en-US"/>
        </w:rPr>
        <w:t>2009</w:t>
      </w:r>
      <w:r w:rsidR="00A82F16">
        <w:rPr>
          <w:lang w:val="en-US"/>
        </w:rPr>
        <w:t xml:space="preserve">; </w:t>
      </w:r>
      <w:r w:rsidR="00A82F16" w:rsidRPr="00A82F16">
        <w:t>Wright</w:t>
      </w:r>
      <w:r w:rsidR="00A82F16">
        <w:t xml:space="preserve"> </w:t>
      </w:r>
      <w:r w:rsidR="00F97BED">
        <w:t>and</w:t>
      </w:r>
      <w:r w:rsidR="00A82F16" w:rsidRPr="00A82F16">
        <w:t xml:space="preserve"> Wilton, 2012</w:t>
      </w:r>
      <w:r w:rsidR="00A82F16" w:rsidRPr="00A82F16">
        <w:rPr>
          <w:lang w:val="en-US"/>
        </w:rPr>
        <w:t>)</w:t>
      </w:r>
      <w:r w:rsidR="00A82F16">
        <w:rPr>
          <w:lang w:val="en-US"/>
        </w:rPr>
        <w:t>.</w:t>
      </w:r>
      <w:r w:rsidR="00DF2E3B" w:rsidRPr="00B65579">
        <w:t xml:space="preserve"> Such roles tend to </w:t>
      </w:r>
      <w:r w:rsidR="00E4474D">
        <w:t xml:space="preserve">emerge through </w:t>
      </w:r>
      <w:r w:rsidR="00DF2E3B" w:rsidRPr="00B65579">
        <w:t xml:space="preserve">a combination of </w:t>
      </w:r>
      <w:r w:rsidR="007A637F">
        <w:t>micro-level</w:t>
      </w:r>
      <w:r w:rsidR="00DF2E3B" w:rsidRPr="00B65579">
        <w:t xml:space="preserve"> influences, driven by personal values and interests, and </w:t>
      </w:r>
      <w:r w:rsidR="007A637F">
        <w:t>micro-level</w:t>
      </w:r>
      <w:r w:rsidR="00DF2E3B" w:rsidRPr="00B65579">
        <w:t xml:space="preserve"> organisational influences, driving the support of such positions.</w:t>
      </w:r>
    </w:p>
    <w:p w14:paraId="4FB5D377" w14:textId="7DEF3FE4" w:rsidR="00E03743" w:rsidRDefault="00E03743" w:rsidP="00365DD7">
      <w:r w:rsidRPr="00B65579">
        <w:t xml:space="preserve">These different </w:t>
      </w:r>
      <w:r w:rsidR="00A47E14">
        <w:t>level</w:t>
      </w:r>
      <w:r w:rsidRPr="00B65579">
        <w:t xml:space="preserve">s of influence are used in the analysis of a case study of an </w:t>
      </w:r>
      <w:r w:rsidR="00F10A6F">
        <w:t>Education for Sustainable Development</w:t>
      </w:r>
      <w:r w:rsidRPr="00B65579">
        <w:t xml:space="preserve"> initiative at one business school in one University in England, in order to explore th</w:t>
      </w:r>
      <w:r w:rsidR="00813160" w:rsidRPr="00B65579">
        <w:t xml:space="preserve">e importance of different </w:t>
      </w:r>
      <w:r w:rsidR="00A47E14">
        <w:t>level</w:t>
      </w:r>
      <w:r w:rsidRPr="00B65579">
        <w:t xml:space="preserve"> influences on such an initi</w:t>
      </w:r>
      <w:r w:rsidR="007E7DD7" w:rsidRPr="00B65579">
        <w:t>ative, as well as to identify</w:t>
      </w:r>
      <w:r w:rsidRPr="00B65579">
        <w:t xml:space="preserve"> the different </w:t>
      </w:r>
      <w:r w:rsidR="00A47E14">
        <w:t>level</w:t>
      </w:r>
      <w:r w:rsidRPr="00B65579">
        <w:t xml:space="preserve">s </w:t>
      </w:r>
      <w:r w:rsidR="007E7DD7" w:rsidRPr="00B65579">
        <w:t xml:space="preserve">that </w:t>
      </w:r>
      <w:r w:rsidRPr="00B65579">
        <w:t>such an initiative</w:t>
      </w:r>
      <w:r w:rsidR="007E7DD7" w:rsidRPr="00B65579">
        <w:t xml:space="preserve"> can have influence on</w:t>
      </w:r>
      <w:r w:rsidRPr="00B65579">
        <w:t>.</w:t>
      </w:r>
      <w:r w:rsidR="00B53629">
        <w:t xml:space="preserve"> </w:t>
      </w:r>
      <w:r w:rsidR="00813160" w:rsidRPr="00B65579">
        <w:t>This particular initiative focuses specifically on greenhouse gas emissions from organisations.</w:t>
      </w:r>
      <w:r w:rsidR="00B53629">
        <w:t xml:space="preserve"> </w:t>
      </w:r>
    </w:p>
    <w:p w14:paraId="0D7E6535" w14:textId="77777777" w:rsidR="00E03743" w:rsidRPr="00B65579" w:rsidRDefault="00E03743" w:rsidP="0060211F">
      <w:pPr>
        <w:pStyle w:val="Heading2"/>
      </w:pPr>
      <w:r w:rsidRPr="00B65579">
        <w:t>Methodology</w:t>
      </w:r>
    </w:p>
    <w:p w14:paraId="49265B42" w14:textId="7E614110" w:rsidR="003E1DBE" w:rsidRDefault="006C3E72" w:rsidP="00D171AB">
      <w:r w:rsidRPr="00B65579">
        <w:t>This paper adopts a single holistic case study design</w:t>
      </w:r>
      <w:r w:rsidR="00597ED8">
        <w:t xml:space="preserve"> as a means to better understand the relationships between </w:t>
      </w:r>
      <w:r w:rsidR="00F97BED">
        <w:t>micro-</w:t>
      </w:r>
      <w:r w:rsidR="00597ED8">
        <w:t xml:space="preserve">, </w:t>
      </w:r>
      <w:r w:rsidR="00F97BED">
        <w:t>meso-</w:t>
      </w:r>
      <w:r w:rsidR="00597ED8">
        <w:t xml:space="preserve"> and </w:t>
      </w:r>
      <w:r w:rsidR="00F97BED">
        <w:t>macro-</w:t>
      </w:r>
      <w:r w:rsidR="00597ED8">
        <w:t xml:space="preserve"> level impacts. As</w:t>
      </w:r>
      <w:r w:rsidRPr="00B65579">
        <w:t xml:space="preserve"> Yin</w:t>
      </w:r>
      <w:r w:rsidR="00597ED8">
        <w:t xml:space="preserve"> (</w:t>
      </w:r>
      <w:r w:rsidRPr="00B65579">
        <w:t>2003) describes</w:t>
      </w:r>
      <w:r w:rsidR="00597ED8">
        <w:t>,</w:t>
      </w:r>
      <w:r w:rsidRPr="00B65579">
        <w:t xml:space="preserve"> a case study </w:t>
      </w:r>
      <w:r w:rsidR="00D171AB">
        <w:t>is</w:t>
      </w:r>
      <w:r w:rsidRPr="00B65579">
        <w:t xml:space="preserve"> an empirical inquiry that investigates a contemporary phenomenon within its real-life context, especially when the boundaries between phenomenon and context are not clearly evident</w:t>
      </w:r>
      <w:r w:rsidR="00D171AB">
        <w:t xml:space="preserve">. In this respect this micro-level perspective offers the opportunity to investigate the way in which small </w:t>
      </w:r>
      <w:r w:rsidR="00A47E14">
        <w:t>level</w:t>
      </w:r>
      <w:r w:rsidR="00D171AB">
        <w:t xml:space="preserve"> educational interventions may result in macro-</w:t>
      </w:r>
      <w:r w:rsidR="00800EE5">
        <w:t>level</w:t>
      </w:r>
      <w:r w:rsidR="00D171AB">
        <w:t xml:space="preserve"> impact. </w:t>
      </w:r>
      <w:r w:rsidR="00D171AB" w:rsidRPr="00B65579">
        <w:t xml:space="preserve">The case study explored in this paper is a ‘Greenhouse Gas Management Project’ undertaken by </w:t>
      </w:r>
      <w:r w:rsidR="001B3133">
        <w:t>XXX</w:t>
      </w:r>
      <w:r w:rsidR="00D171AB" w:rsidRPr="00B65579">
        <w:t xml:space="preserve"> at </w:t>
      </w:r>
      <w:r w:rsidR="001B3133">
        <w:t>XXX</w:t>
      </w:r>
      <w:r w:rsidR="00D171AB" w:rsidRPr="00B65579">
        <w:t xml:space="preserve">. This </w:t>
      </w:r>
      <w:r w:rsidR="00D171AB">
        <w:t>study</w:t>
      </w:r>
      <w:r w:rsidR="00D171AB" w:rsidRPr="00B65579">
        <w:t xml:space="preserve"> details how the project is carried out and explores both the results of the project at different </w:t>
      </w:r>
      <w:r w:rsidR="00A47E14">
        <w:t>level</w:t>
      </w:r>
      <w:r w:rsidR="00D171AB" w:rsidRPr="00B65579">
        <w:t xml:space="preserve">s, and the different </w:t>
      </w:r>
      <w:r w:rsidR="00800EE5">
        <w:t>level</w:t>
      </w:r>
      <w:r w:rsidR="00D171AB" w:rsidRPr="00B65579">
        <w:t>s of influence on the project, hence both the context and the phenomenon under investigation are of equal import</w:t>
      </w:r>
      <w:r w:rsidR="006A100C">
        <w:t>ance</w:t>
      </w:r>
      <w:r w:rsidR="00D171AB" w:rsidRPr="00B65579">
        <w:t xml:space="preserve">. </w:t>
      </w:r>
      <w:r w:rsidR="00D171AB">
        <w:t xml:space="preserve">Whilst the case study provides insight on a single initiative in a single HEI, case study research such as this can provide generalisations to theory and practice where theoretical explanations of the data observed may also be applicable to similar cases where similar conditions prevail (Yin, 2003). Such generalisations are likely to be possible in this research given the similar conditions within which many HEIs operate internationally. </w:t>
      </w:r>
    </w:p>
    <w:p w14:paraId="3A52C423" w14:textId="6BDC6662" w:rsidR="003555EB" w:rsidRPr="00461564" w:rsidRDefault="007137F8" w:rsidP="00365DD7">
      <w:pPr>
        <w:rPr>
          <w:rFonts w:ascii="Calibri" w:eastAsiaTheme="minorEastAsia" w:hAnsi="Calibri"/>
          <w:lang w:eastAsia="zh-CN"/>
        </w:rPr>
      </w:pPr>
      <w:r w:rsidRPr="00B15566">
        <w:t xml:space="preserve">This paper is based on the analysis of </w:t>
      </w:r>
      <w:r w:rsidR="000D3246">
        <w:t xml:space="preserve">43 </w:t>
      </w:r>
      <w:r w:rsidRPr="00B15566">
        <w:t>individual student reports</w:t>
      </w:r>
      <w:r w:rsidR="000D3246">
        <w:t xml:space="preserve"> </w:t>
      </w:r>
      <w:r w:rsidR="009C34E0" w:rsidRPr="00B65579">
        <w:t>from projects completed in academic years 2014/15 and 2015/16.</w:t>
      </w:r>
      <w:r w:rsidR="000D3246">
        <w:t xml:space="preserve"> </w:t>
      </w:r>
      <w:r w:rsidR="00EE722A" w:rsidRPr="00B65579">
        <w:rPr>
          <w:rFonts w:ascii="Calibri" w:eastAsiaTheme="minorEastAsia" w:hAnsi="Calibri"/>
          <w:lang w:eastAsia="zh-CN"/>
        </w:rPr>
        <w:t xml:space="preserve">Elo </w:t>
      </w:r>
      <w:r w:rsidR="00EE722A" w:rsidRPr="00B65579">
        <w:rPr>
          <w:rFonts w:ascii="Calibri" w:eastAsiaTheme="minorEastAsia" w:hAnsi="Calibri"/>
          <w:i/>
          <w:lang w:eastAsia="zh-CN"/>
        </w:rPr>
        <w:t>et al</w:t>
      </w:r>
      <w:r w:rsidR="00E75375">
        <w:rPr>
          <w:rFonts w:ascii="Calibri" w:eastAsiaTheme="minorEastAsia" w:hAnsi="Calibri"/>
          <w:i/>
          <w:lang w:eastAsia="zh-CN"/>
        </w:rPr>
        <w:t xml:space="preserve"> </w:t>
      </w:r>
      <w:r w:rsidR="00E75375">
        <w:rPr>
          <w:rFonts w:ascii="Calibri" w:eastAsiaTheme="minorEastAsia" w:hAnsi="Calibri"/>
          <w:iCs/>
          <w:lang w:eastAsia="zh-CN"/>
        </w:rPr>
        <w:t>(2014)</w:t>
      </w:r>
      <w:r w:rsidR="00EE722A" w:rsidRPr="00B65579">
        <w:rPr>
          <w:rFonts w:ascii="Calibri" w:eastAsiaTheme="minorEastAsia" w:hAnsi="Calibri"/>
          <w:lang w:eastAsia="zh-CN"/>
        </w:rPr>
        <w:t xml:space="preserve"> argue that</w:t>
      </w:r>
      <w:r w:rsidR="00EE722A" w:rsidRPr="00B65579">
        <w:t xml:space="preserve"> content analysis of secondary data can be utilised both inductively or deductively, with the inductive approach, including open coding, creating categories, and abstractio</w:t>
      </w:r>
      <w:r w:rsidR="00D01B32">
        <w:t>n, whist in</w:t>
      </w:r>
      <w:r w:rsidR="00EE722A" w:rsidRPr="00B65579">
        <w:t xml:space="preserve"> deductive content analysis the organization phase involves categorisation matrix development</w:t>
      </w:r>
      <w:r w:rsidR="00D01B32">
        <w:t xml:space="preserve"> </w:t>
      </w:r>
      <w:r w:rsidR="00EE722A" w:rsidRPr="00B65579">
        <w:t>whereby all the data are reviewed for content and coded for correspondence to or exemplification of the identified categories</w:t>
      </w:r>
      <w:r w:rsidR="00EE722A" w:rsidRPr="00B65579">
        <w:rPr>
          <w:rFonts w:ascii="Calibri" w:eastAsiaTheme="minorEastAsia" w:hAnsi="Calibri"/>
          <w:lang w:eastAsia="zh-CN"/>
        </w:rPr>
        <w:t xml:space="preserve">. </w:t>
      </w:r>
      <w:r w:rsidR="00EE722A" w:rsidRPr="00B65579">
        <w:rPr>
          <w:rStyle w:val="CommentReference"/>
          <w:rFonts w:ascii="Calibri" w:hAnsi="Calibri"/>
          <w:sz w:val="22"/>
          <w:szCs w:val="22"/>
        </w:rPr>
        <w:t xml:space="preserve">Despite </w:t>
      </w:r>
      <w:r w:rsidR="008C36BB">
        <w:rPr>
          <w:rStyle w:val="CommentReference"/>
          <w:rFonts w:ascii="Calibri" w:hAnsi="Calibri"/>
          <w:sz w:val="22"/>
          <w:szCs w:val="22"/>
        </w:rPr>
        <w:t xml:space="preserve">the </w:t>
      </w:r>
      <w:r w:rsidR="00EE722A" w:rsidRPr="00B65579">
        <w:rPr>
          <w:rFonts w:ascii="Calibri" w:eastAsiaTheme="minorEastAsia" w:hAnsi="Calibri"/>
          <w:lang w:eastAsia="zh-CN"/>
        </w:rPr>
        <w:t>open coding</w:t>
      </w:r>
      <w:r w:rsidR="008C36BB">
        <w:rPr>
          <w:rFonts w:ascii="Calibri" w:eastAsiaTheme="minorEastAsia" w:hAnsi="Calibri"/>
          <w:lang w:eastAsia="zh-CN"/>
        </w:rPr>
        <w:t xml:space="preserve"> approach adopted in this study</w:t>
      </w:r>
      <w:r w:rsidR="00EE722A" w:rsidRPr="00B65579">
        <w:rPr>
          <w:rFonts w:ascii="Calibri" w:eastAsiaTheme="minorEastAsia" w:hAnsi="Calibri"/>
          <w:lang w:eastAsia="zh-CN"/>
        </w:rPr>
        <w:t>, creating categories, and abstractio</w:t>
      </w:r>
      <w:r w:rsidR="00D01B32">
        <w:rPr>
          <w:rFonts w:ascii="Calibri" w:eastAsiaTheme="minorEastAsia" w:hAnsi="Calibri"/>
          <w:lang w:eastAsia="zh-CN"/>
        </w:rPr>
        <w:t>n</w:t>
      </w:r>
      <w:r w:rsidR="00EE722A" w:rsidRPr="00B65579">
        <w:rPr>
          <w:rFonts w:ascii="Calibri" w:eastAsiaTheme="minorEastAsia" w:hAnsi="Calibri"/>
          <w:lang w:eastAsia="zh-CN"/>
        </w:rPr>
        <w:t xml:space="preserve"> process, which Elo </w:t>
      </w:r>
      <w:r w:rsidR="00EE722A" w:rsidRPr="00B65579">
        <w:rPr>
          <w:rFonts w:ascii="Calibri" w:eastAsiaTheme="minorEastAsia" w:hAnsi="Calibri"/>
          <w:i/>
          <w:lang w:eastAsia="zh-CN"/>
        </w:rPr>
        <w:t>et al</w:t>
      </w:r>
      <w:r w:rsidR="00EE722A" w:rsidRPr="00B65579">
        <w:rPr>
          <w:rFonts w:ascii="Calibri" w:eastAsiaTheme="minorEastAsia" w:hAnsi="Calibri"/>
          <w:lang w:eastAsia="zh-CN"/>
        </w:rPr>
        <w:t xml:space="preserve"> (2014) would argue </w:t>
      </w:r>
      <w:r w:rsidR="006A100C">
        <w:rPr>
          <w:rFonts w:ascii="Calibri" w:eastAsiaTheme="minorEastAsia" w:hAnsi="Calibri"/>
          <w:lang w:eastAsia="zh-CN"/>
        </w:rPr>
        <w:t>i</w:t>
      </w:r>
      <w:r w:rsidR="00EE722A" w:rsidRPr="00B65579">
        <w:rPr>
          <w:rFonts w:ascii="Calibri" w:eastAsiaTheme="minorEastAsia" w:hAnsi="Calibri"/>
          <w:lang w:eastAsia="zh-CN"/>
        </w:rPr>
        <w:t>s an inductive method, we contend that there is more than just ‘either inductive or deductive approach’ to content analysis.</w:t>
      </w:r>
      <w:r w:rsidR="00461564">
        <w:rPr>
          <w:rFonts w:ascii="Calibri" w:eastAsiaTheme="minorEastAsia" w:hAnsi="Calibri"/>
          <w:lang w:eastAsia="zh-CN"/>
        </w:rPr>
        <w:t xml:space="preserve"> The analysis was facilitated through the use of </w:t>
      </w:r>
      <w:r w:rsidR="00461564" w:rsidRPr="00B65579">
        <w:t>NVivo</w:t>
      </w:r>
      <w:r w:rsidR="008C36BB">
        <w:t xml:space="preserve"> software</w:t>
      </w:r>
      <w:r w:rsidR="00461564">
        <w:t xml:space="preserve"> to develop</w:t>
      </w:r>
      <w:r w:rsidR="00461564" w:rsidRPr="00B65579">
        <w:t xml:space="preserve"> hierarchical </w:t>
      </w:r>
      <w:r w:rsidR="00461564">
        <w:t xml:space="preserve">themes. </w:t>
      </w:r>
      <w:r w:rsidR="00461564">
        <w:rPr>
          <w:rFonts w:ascii="Calibri" w:eastAsiaTheme="minorEastAsia" w:hAnsi="Calibri"/>
          <w:lang w:eastAsia="zh-CN"/>
        </w:rPr>
        <w:t>I</w:t>
      </w:r>
      <w:r w:rsidR="003555EB">
        <w:t xml:space="preserve">n the following </w:t>
      </w:r>
      <w:r w:rsidR="003555EB">
        <w:lastRenderedPageBreak/>
        <w:t xml:space="preserve">section, more detail about the actual project is provided to give the background </w:t>
      </w:r>
      <w:r w:rsidR="006A100C">
        <w:t>for</w:t>
      </w:r>
      <w:r w:rsidR="003555EB">
        <w:t xml:space="preserve"> the analysis methods used in this paper.</w:t>
      </w:r>
    </w:p>
    <w:p w14:paraId="2FF042E9" w14:textId="62CA083B" w:rsidR="00E72D55" w:rsidRPr="00B65579" w:rsidRDefault="003E1DBE" w:rsidP="003555EB">
      <w:pPr>
        <w:pStyle w:val="Heading2"/>
        <w:numPr>
          <w:ilvl w:val="1"/>
          <w:numId w:val="12"/>
        </w:numPr>
      </w:pPr>
      <w:r>
        <w:t>Case Study: The Greenhouse Gas Management Project</w:t>
      </w:r>
    </w:p>
    <w:p w14:paraId="2F43C1EE" w14:textId="73549C23" w:rsidR="00F26798" w:rsidRDefault="00E72D55" w:rsidP="00365DD7">
      <w:r w:rsidRPr="00B65579">
        <w:t>The Greenhouse Gas M</w:t>
      </w:r>
      <w:r w:rsidR="006C3E72" w:rsidRPr="00B65579">
        <w:t xml:space="preserve">anagement Project was founded in 2010 </w:t>
      </w:r>
      <w:r w:rsidRPr="00B65579">
        <w:t>by on</w:t>
      </w:r>
      <w:r w:rsidR="006C3E72" w:rsidRPr="00B65579">
        <w:t xml:space="preserve">e of the authors as part of </w:t>
      </w:r>
      <w:r w:rsidR="00A220D8" w:rsidRPr="00B65579">
        <w:t xml:space="preserve">a final year </w:t>
      </w:r>
      <w:r w:rsidR="00277563" w:rsidRPr="00B65579">
        <w:t>undergraduate</w:t>
      </w:r>
      <w:r w:rsidR="006C3E72" w:rsidRPr="00B65579">
        <w:t xml:space="preserve"> option module available to Business students</w:t>
      </w:r>
      <w:r w:rsidR="00F17866" w:rsidRPr="00B65579">
        <w:t xml:space="preserve">. </w:t>
      </w:r>
      <w:r w:rsidR="006C3E72" w:rsidRPr="00B65579">
        <w:t xml:space="preserve">In its first iteration it </w:t>
      </w:r>
      <w:r w:rsidR="00F17866" w:rsidRPr="00B65579">
        <w:t>was undertaken as</w:t>
      </w:r>
      <w:r w:rsidR="006C3E72" w:rsidRPr="00B65579">
        <w:t xml:space="preserve"> </w:t>
      </w:r>
      <w:r w:rsidR="00F17866" w:rsidRPr="00B65579">
        <w:t>a desk</w:t>
      </w:r>
      <w:r w:rsidR="006C3E72" w:rsidRPr="00B65579">
        <w:t>-based exercise to identify areas of potential greenhouse gas</w:t>
      </w:r>
      <w:r w:rsidR="00376145">
        <w:t xml:space="preserve"> </w:t>
      </w:r>
      <w:r w:rsidR="006C3E72" w:rsidRPr="00B65579">
        <w:t>reduction in companies.</w:t>
      </w:r>
      <w:r w:rsidR="00B53629">
        <w:t xml:space="preserve"> </w:t>
      </w:r>
      <w:r w:rsidR="00F17866" w:rsidRPr="00B65579">
        <w:t xml:space="preserve">In </w:t>
      </w:r>
      <w:r w:rsidR="00277563" w:rsidRPr="00B65579">
        <w:t xml:space="preserve">2011 </w:t>
      </w:r>
      <w:r w:rsidR="00F17866" w:rsidRPr="00B65579">
        <w:t>it became p</w:t>
      </w:r>
      <w:r w:rsidR="006C3E72" w:rsidRPr="00B65579">
        <w:t>art of the core curriculum of an</w:t>
      </w:r>
      <w:r w:rsidR="00F17866" w:rsidRPr="00B65579">
        <w:t xml:space="preserve"> undergraduate degree</w:t>
      </w:r>
      <w:r w:rsidR="00551BBE" w:rsidRPr="00B65579">
        <w:t xml:space="preserve"> at </w:t>
      </w:r>
      <w:r w:rsidR="001B3133">
        <w:t>XXXX</w:t>
      </w:r>
      <w:r w:rsidR="00F17866" w:rsidRPr="00B65579">
        <w:t xml:space="preserve">. Parallel to this, the educator contacted the </w:t>
      </w:r>
      <w:r w:rsidR="001B3133">
        <w:t>XXX</w:t>
      </w:r>
      <w:r w:rsidR="00F17866" w:rsidRPr="00B65579">
        <w:t xml:space="preserve"> </w:t>
      </w:r>
      <w:r w:rsidR="00551BBE" w:rsidRPr="00B65579">
        <w:t>‘</w:t>
      </w:r>
      <w:r w:rsidR="00F17866" w:rsidRPr="00B65579">
        <w:t>Future Factory</w:t>
      </w:r>
      <w:r w:rsidR="00551BBE" w:rsidRPr="00B65579">
        <w:t>’</w:t>
      </w:r>
      <w:r w:rsidR="00F17866" w:rsidRPr="00B65579">
        <w:t xml:space="preserve"> project, part funded by the European Regional Development Fund</w:t>
      </w:r>
      <w:r w:rsidR="006C3E72" w:rsidRPr="00B65579">
        <w:t>,</w:t>
      </w:r>
      <w:r w:rsidR="00F17866" w:rsidRPr="00B65579">
        <w:t xml:space="preserve"> and with their financial support the first small and medium enterprises</w:t>
      </w:r>
      <w:r w:rsidR="005F5048" w:rsidRPr="00B65579">
        <w:t xml:space="preserve"> (SMEs)</w:t>
      </w:r>
      <w:r w:rsidR="00C043DF" w:rsidRPr="00B65579">
        <w:t xml:space="preserve"> took </w:t>
      </w:r>
      <w:r w:rsidR="00F17866" w:rsidRPr="00B65579">
        <w:t xml:space="preserve">part </w:t>
      </w:r>
      <w:r w:rsidR="006C3E72" w:rsidRPr="00B65579">
        <w:t xml:space="preserve">directly </w:t>
      </w:r>
      <w:r w:rsidR="00F17866" w:rsidRPr="00B65579">
        <w:t xml:space="preserve">in the project, </w:t>
      </w:r>
      <w:r w:rsidR="006C3E72" w:rsidRPr="00B65579">
        <w:t>with</w:t>
      </w:r>
      <w:r w:rsidR="00F17866" w:rsidRPr="00B65579">
        <w:t xml:space="preserve"> the students </w:t>
      </w:r>
      <w:r w:rsidR="006C3E72" w:rsidRPr="00B65579">
        <w:t>acting</w:t>
      </w:r>
      <w:r w:rsidR="005F5048" w:rsidRPr="00B65579">
        <w:t xml:space="preserve"> as consultants to local businesses </w:t>
      </w:r>
      <w:r w:rsidR="0013771D" w:rsidRPr="00B65579">
        <w:t xml:space="preserve">to help them to reduce </w:t>
      </w:r>
      <w:r w:rsidR="008C36BB">
        <w:t>greenhouse gas emissions</w:t>
      </w:r>
      <w:r w:rsidR="0013771D" w:rsidRPr="00B65579">
        <w:t>. Most of the organisations</w:t>
      </w:r>
      <w:r w:rsidR="005F5048" w:rsidRPr="00B65579">
        <w:t xml:space="preserve"> </w:t>
      </w:r>
      <w:r w:rsidR="00C043DF" w:rsidRPr="00B65579">
        <w:t xml:space="preserve">involved </w:t>
      </w:r>
      <w:r w:rsidR="005F5048" w:rsidRPr="00B65579">
        <w:t xml:space="preserve">were </w:t>
      </w:r>
      <w:r w:rsidR="0013771D" w:rsidRPr="00B65579">
        <w:t xml:space="preserve">small and medium-sized enterprises </w:t>
      </w:r>
      <w:r w:rsidR="00C043DF" w:rsidRPr="00B65579">
        <w:t xml:space="preserve">and </w:t>
      </w:r>
      <w:r w:rsidR="005F5048" w:rsidRPr="00B65579">
        <w:t>local companies, which were part of national or international chains. In these first years</w:t>
      </w:r>
      <w:r w:rsidR="00C043DF" w:rsidRPr="00B65579">
        <w:t xml:space="preserve"> (2011-2013)</w:t>
      </w:r>
      <w:r w:rsidR="005F5048" w:rsidRPr="00B65579">
        <w:t xml:space="preserve"> over 200 students and 50 companies </w:t>
      </w:r>
      <w:r w:rsidR="0013771D" w:rsidRPr="00B65579">
        <w:t xml:space="preserve">ranging </w:t>
      </w:r>
      <w:r w:rsidR="005F5048" w:rsidRPr="00B65579">
        <w:t xml:space="preserve">from shopping centres to Indian restaurants took part. </w:t>
      </w:r>
    </w:p>
    <w:p w14:paraId="7C9AEA70" w14:textId="18A1C451" w:rsidR="007E0B36" w:rsidRDefault="00734FA9" w:rsidP="00365DD7">
      <w:r>
        <w:t xml:space="preserve">The students act as consultants to these companies. At the beginning of the autumn term, students in group of 4 or 5 get a company/organisation and a first set of data. They have three further points of contacts with the organisation: After having worked with the data provided by and about the company and having an introduction to </w:t>
      </w:r>
      <w:r w:rsidR="006A100C">
        <w:t>GHG</w:t>
      </w:r>
      <w:r>
        <w:t xml:space="preserve"> management by their lecturers, they visit their company on their own. </w:t>
      </w:r>
      <w:r w:rsidR="000C4CBB">
        <w:t>A few weeks later they send an</w:t>
      </w:r>
      <w:r>
        <w:t xml:space="preserve"> email with further questions and then prepare the final poster. The company approves the poster for a public low carbon event, where all students present their calculations and recommendations to their own company and all the other visitors. The presentation is part of the assessment, the other parts relate to the poster and the written report. Generally, students learn about GHG management in lectures and then apply the theory to ‘their’ company getting support from their tutors </w:t>
      </w:r>
      <w:r w:rsidR="007E0B36">
        <w:t>when</w:t>
      </w:r>
      <w:r>
        <w:t xml:space="preserve"> needed.</w:t>
      </w:r>
      <w:r w:rsidR="007E0B36">
        <w:t xml:space="preserve"> Broadly, the lectures follow the steps Lingl</w:t>
      </w:r>
      <w:r w:rsidR="006A100C">
        <w:t xml:space="preserve"> </w:t>
      </w:r>
      <w:r w:rsidR="006A100C" w:rsidRPr="006A100C">
        <w:rPr>
          <w:i/>
        </w:rPr>
        <w:t>et al</w:t>
      </w:r>
      <w:r w:rsidR="007E0B36">
        <w:t xml:space="preserve"> (2010) outlines which is also used as a guide for the students while they are working on the report and the poster.</w:t>
      </w:r>
    </w:p>
    <w:p w14:paraId="5573A6C5" w14:textId="3AF67B00" w:rsidR="004D060E" w:rsidRPr="00B65579" w:rsidRDefault="005F5048" w:rsidP="00365DD7">
      <w:r w:rsidRPr="00B65579">
        <w:t>In 2013</w:t>
      </w:r>
      <w:r w:rsidR="006A100C">
        <w:t>,</w:t>
      </w:r>
      <w:r w:rsidRPr="00B65579">
        <w:t xml:space="preserve"> the educator </w:t>
      </w:r>
      <w:r w:rsidR="006A100C">
        <w:t xml:space="preserve">- </w:t>
      </w:r>
      <w:r w:rsidRPr="00B65579">
        <w:t>with the financial help of Future Factory</w:t>
      </w:r>
      <w:r w:rsidR="006A100C">
        <w:t xml:space="preserve"> -</w:t>
      </w:r>
      <w:r w:rsidRPr="00B65579">
        <w:t xml:space="preserve"> enlisted an </w:t>
      </w:r>
      <w:r w:rsidR="0013771D" w:rsidRPr="00B65579">
        <w:t xml:space="preserve">external </w:t>
      </w:r>
      <w:r w:rsidR="00F26798" w:rsidRPr="00B65579">
        <w:t>environmental</w:t>
      </w:r>
      <w:r w:rsidRPr="00B65579">
        <w:t xml:space="preserve"> consultant </w:t>
      </w:r>
      <w:r w:rsidR="00C043DF" w:rsidRPr="00B65579">
        <w:t>from Nottingham Energy Partnershi</w:t>
      </w:r>
      <w:r w:rsidR="008C36BB">
        <w:t>p</w:t>
      </w:r>
      <w:r w:rsidR="00C043DF" w:rsidRPr="00B65579">
        <w:t xml:space="preserve"> </w:t>
      </w:r>
      <w:r w:rsidRPr="00B65579">
        <w:t xml:space="preserve">to give further advice to the students </w:t>
      </w:r>
      <w:r w:rsidR="0013771D" w:rsidRPr="00B65579">
        <w:t>through</w:t>
      </w:r>
      <w:r w:rsidR="00C043DF" w:rsidRPr="00B65579">
        <w:t xml:space="preserve"> lectures and seminars, and to form</w:t>
      </w:r>
      <w:r w:rsidRPr="00B65579">
        <w:t xml:space="preserve"> </w:t>
      </w:r>
      <w:r w:rsidR="00315C0A" w:rsidRPr="00B65579">
        <w:t>a</w:t>
      </w:r>
      <w:r w:rsidRPr="00B65579">
        <w:t xml:space="preserve"> </w:t>
      </w:r>
      <w:r w:rsidR="00C043DF" w:rsidRPr="00B65579">
        <w:t xml:space="preserve">higher-level </w:t>
      </w:r>
      <w:r w:rsidRPr="00B65579">
        <w:t>strategic partnership</w:t>
      </w:r>
      <w:r w:rsidR="00315C0A" w:rsidRPr="00B65579">
        <w:t xml:space="preserve">. Part of this new strategic partnership was to link the student projects to the Investor in the Environment (iiE) network. </w:t>
      </w:r>
      <w:r w:rsidR="00551BBE" w:rsidRPr="00B65579">
        <w:t xml:space="preserve">The </w:t>
      </w:r>
      <w:r w:rsidR="008C36BB">
        <w:t xml:space="preserve">network </w:t>
      </w:r>
      <w:r w:rsidR="00551BBE" w:rsidRPr="00B65579">
        <w:t>is run as a franchise, owned in Nottinghamshire and Derbyshire by NetPositive Ltd, while nationally the network is run by Peterborough Environment City Trust</w:t>
      </w:r>
      <w:r w:rsidR="00C043DF" w:rsidRPr="00B65579">
        <w:rPr>
          <w:vertAlign w:val="subscript"/>
        </w:rPr>
        <w:t>.</w:t>
      </w:r>
      <w:r w:rsidR="00B53629">
        <w:rPr>
          <w:vertAlign w:val="subscript"/>
        </w:rPr>
        <w:t xml:space="preserve"> </w:t>
      </w:r>
      <w:r w:rsidR="00551BBE" w:rsidRPr="00B65579">
        <w:t xml:space="preserve">It offers a </w:t>
      </w:r>
      <w:r w:rsidR="009111EE" w:rsidRPr="00B65579">
        <w:t>three-part</w:t>
      </w:r>
      <w:r w:rsidR="00551BBE" w:rsidRPr="00B65579">
        <w:t xml:space="preserve"> environmental management accreditation scheme (bronze, silver or green) and a local low-carbon business network. Members are supported to implement an Environmental Management System</w:t>
      </w:r>
      <w:r w:rsidR="008C36BB">
        <w:t xml:space="preserve"> </w:t>
      </w:r>
      <w:r w:rsidR="00551BBE" w:rsidRPr="00B65579">
        <w:t>and are encouraged to network and trade amongst themselves.</w:t>
      </w:r>
      <w:r w:rsidR="00315C0A" w:rsidRPr="00B65579">
        <w:t xml:space="preserve"> </w:t>
      </w:r>
      <w:r w:rsidRPr="00B65579">
        <w:t xml:space="preserve">The key barriers to small business taking on </w:t>
      </w:r>
      <w:r w:rsidR="008C36BB">
        <w:t xml:space="preserve">an environmental </w:t>
      </w:r>
      <w:r w:rsidRPr="00B65579">
        <w:t xml:space="preserve">accreditation are usually cost, time and expertise. By working with </w:t>
      </w:r>
      <w:r w:rsidR="008C36BB">
        <w:t xml:space="preserve">the Nottingham </w:t>
      </w:r>
      <w:r w:rsidRPr="00B65579">
        <w:t>E</w:t>
      </w:r>
      <w:r w:rsidR="008C36BB">
        <w:t xml:space="preserve">nergy </w:t>
      </w:r>
      <w:r w:rsidRPr="00B65579">
        <w:t>P</w:t>
      </w:r>
      <w:r w:rsidR="008C36BB">
        <w:t>artnership</w:t>
      </w:r>
      <w:r w:rsidRPr="00B65579">
        <w:t xml:space="preserve"> to build the accreditation into the curriculum as a student project, all </w:t>
      </w:r>
      <w:r w:rsidR="0013771D" w:rsidRPr="00B65579">
        <w:t>three</w:t>
      </w:r>
      <w:r w:rsidRPr="00B65579">
        <w:t xml:space="preserve"> of these issues have been addressed </w:t>
      </w:r>
      <w:r w:rsidR="00551BBE" w:rsidRPr="00B65579">
        <w:t>while at the same time</w:t>
      </w:r>
      <w:r w:rsidRPr="00B65579">
        <w:t xml:space="preserve"> </w:t>
      </w:r>
      <w:r w:rsidR="001B3133">
        <w:t>XXX</w:t>
      </w:r>
      <w:r w:rsidR="00551BBE" w:rsidRPr="00B65579">
        <w:t xml:space="preserve"> has offered </w:t>
      </w:r>
      <w:r w:rsidRPr="00B65579">
        <w:t xml:space="preserve">students </w:t>
      </w:r>
      <w:r w:rsidR="00551BBE" w:rsidRPr="00B65579">
        <w:t>the chance to also</w:t>
      </w:r>
      <w:r w:rsidRPr="00B65579">
        <w:t xml:space="preserve"> gain the practical skills, understanding and experience to engage with the low carbon economy in their careers beyond graduation.</w:t>
      </w:r>
      <w:r w:rsidR="004D060E" w:rsidRPr="00B65579">
        <w:t xml:space="preserve"> Since 2014, the students </w:t>
      </w:r>
      <w:r w:rsidR="0013771D" w:rsidRPr="00B65579">
        <w:t xml:space="preserve">have </w:t>
      </w:r>
      <w:r w:rsidR="004D060E" w:rsidRPr="00B65579">
        <w:t>work</w:t>
      </w:r>
      <w:r w:rsidR="0013771D" w:rsidRPr="00B65579">
        <w:t>ed</w:t>
      </w:r>
      <w:r w:rsidR="004D060E" w:rsidRPr="00B65579">
        <w:t xml:space="preserve"> </w:t>
      </w:r>
      <w:r w:rsidR="00950758" w:rsidRPr="00B65579">
        <w:t xml:space="preserve">in groups </w:t>
      </w:r>
      <w:r w:rsidR="004D060E" w:rsidRPr="00B65579">
        <w:t>with companies</w:t>
      </w:r>
      <w:r w:rsidR="0013771D" w:rsidRPr="00B65579">
        <w:t>,</w:t>
      </w:r>
      <w:r w:rsidR="004D060E" w:rsidRPr="00B65579">
        <w:t xml:space="preserve"> and </w:t>
      </w:r>
      <w:r w:rsidR="0013771D" w:rsidRPr="00B65579">
        <w:t>increasingly</w:t>
      </w:r>
      <w:r w:rsidR="004D060E" w:rsidRPr="00B65579">
        <w:t xml:space="preserve"> organisations from the public sector</w:t>
      </w:r>
      <w:r w:rsidR="0013771D" w:rsidRPr="00B65579">
        <w:t>,</w:t>
      </w:r>
      <w:r w:rsidR="004D060E" w:rsidRPr="00B65579">
        <w:t xml:space="preserve"> in order to reduce carbon emissions and associated costs while at the same time encouraging them to achieve</w:t>
      </w:r>
      <w:r w:rsidR="00E42D32" w:rsidRPr="00E42D32">
        <w:t xml:space="preserve"> </w:t>
      </w:r>
      <w:r w:rsidR="00E42D32" w:rsidRPr="00B65579">
        <w:t xml:space="preserve">Investor in the Environment </w:t>
      </w:r>
      <w:r w:rsidR="00F26798" w:rsidRPr="00B65579">
        <w:t>accreditation</w:t>
      </w:r>
      <w:r w:rsidR="004D060E" w:rsidRPr="00B65579">
        <w:t xml:space="preserve">. As a result of this collaboration, </w:t>
      </w:r>
      <w:r w:rsidR="00E42D32">
        <w:t>XXX</w:t>
      </w:r>
      <w:r w:rsidR="00E42D32" w:rsidRPr="00B65579">
        <w:t xml:space="preserve"> </w:t>
      </w:r>
      <w:r w:rsidR="004D060E" w:rsidRPr="00B65579">
        <w:t>and Nottingham Energy Partnership (now NetPositive Ltd) received the Guardian University Award for Business Partnership in 2015 (Thomas</w:t>
      </w:r>
      <w:r w:rsidR="0013771D" w:rsidRPr="00B65579">
        <w:t>,</w:t>
      </w:r>
      <w:r w:rsidR="004D060E" w:rsidRPr="00B65579">
        <w:t xml:space="preserve"> 2015).</w:t>
      </w:r>
      <w:r w:rsidR="00672C9F" w:rsidRPr="00B65579">
        <w:t xml:space="preserve"> </w:t>
      </w:r>
    </w:p>
    <w:p w14:paraId="50D1AF34" w14:textId="1CD97044" w:rsidR="00341B02" w:rsidRPr="00B65579" w:rsidRDefault="00672C9F" w:rsidP="00365DD7">
      <w:r w:rsidRPr="00B65579">
        <w:t xml:space="preserve">The project is </w:t>
      </w:r>
      <w:r w:rsidR="006A100C" w:rsidRPr="00B65579">
        <w:t>ongoing;</w:t>
      </w:r>
      <w:r w:rsidRPr="00B65579">
        <w:t xml:space="preserve"> however i</w:t>
      </w:r>
      <w:r w:rsidR="004D060E" w:rsidRPr="00B65579">
        <w:t xml:space="preserve">n our analysis </w:t>
      </w:r>
      <w:r w:rsidRPr="00B65579">
        <w:t xml:space="preserve">for this paper </w:t>
      </w:r>
      <w:r w:rsidR="004D060E" w:rsidRPr="00B65579">
        <w:t xml:space="preserve">we focus on the </w:t>
      </w:r>
      <w:r w:rsidR="002F6357" w:rsidRPr="00B65579">
        <w:t xml:space="preserve">student </w:t>
      </w:r>
      <w:r w:rsidRPr="00B65579">
        <w:t xml:space="preserve">reports </w:t>
      </w:r>
      <w:r w:rsidR="0013771D" w:rsidRPr="00B65579">
        <w:t xml:space="preserve">detailing </w:t>
      </w:r>
      <w:r w:rsidR="006A100C">
        <w:t>GHG</w:t>
      </w:r>
      <w:r w:rsidR="0013771D" w:rsidRPr="00B65579">
        <w:t xml:space="preserve"> reduction strategies, </w:t>
      </w:r>
      <w:r w:rsidRPr="00B65579">
        <w:t xml:space="preserve">produced by the students </w:t>
      </w:r>
      <w:r w:rsidR="002F6357" w:rsidRPr="00B65579">
        <w:t>in 2014/2015 and in 2015/2016</w:t>
      </w:r>
      <w:r w:rsidR="0013771D" w:rsidRPr="00B65579">
        <w:t>.</w:t>
      </w:r>
      <w:r w:rsidR="00B53629">
        <w:t xml:space="preserve"> </w:t>
      </w:r>
      <w:r w:rsidR="001B46D1" w:rsidRPr="00B65579">
        <w:t>T</w:t>
      </w:r>
      <w:r w:rsidR="00341B02" w:rsidRPr="00B65579">
        <w:t xml:space="preserve">he purpose </w:t>
      </w:r>
      <w:r w:rsidR="001B46D1" w:rsidRPr="00B65579">
        <w:t xml:space="preserve">of using </w:t>
      </w:r>
      <w:r w:rsidR="001B46D1" w:rsidRPr="00B65579">
        <w:lastRenderedPageBreak/>
        <w:t>these reports is two-</w:t>
      </w:r>
      <w:r w:rsidR="00341B02" w:rsidRPr="00B65579">
        <w:t xml:space="preserve">fold: 1) to measure, on a </w:t>
      </w:r>
      <w:r w:rsidR="007A637F">
        <w:t>micro-level</w:t>
      </w:r>
      <w:r w:rsidR="00341B02" w:rsidRPr="00B65579">
        <w:t>, any positive impact undergraduate work can have on compan</w:t>
      </w:r>
      <w:r w:rsidR="00E23105" w:rsidRPr="00B65579">
        <w:t xml:space="preserve">y’s </w:t>
      </w:r>
      <w:r w:rsidR="00341B02" w:rsidRPr="00B65579">
        <w:t xml:space="preserve">overall </w:t>
      </w:r>
      <w:r w:rsidR="006A100C">
        <w:t>GHG</w:t>
      </w:r>
      <w:r w:rsidR="00E23105" w:rsidRPr="00B65579">
        <w:t xml:space="preserve"> emissions</w:t>
      </w:r>
      <w:r w:rsidR="00376145">
        <w:t>,</w:t>
      </w:r>
      <w:r w:rsidR="00E23105" w:rsidRPr="00B65579">
        <w:t xml:space="preserve"> </w:t>
      </w:r>
      <w:r w:rsidR="00341B02" w:rsidRPr="00B65579">
        <w:t xml:space="preserve">and 2) to analyse how a company can influence the sector itself, in relation to addressing GHG emissions. </w:t>
      </w:r>
    </w:p>
    <w:p w14:paraId="6E2B7B1B" w14:textId="64188909" w:rsidR="008E4D0C" w:rsidRPr="00B65579" w:rsidRDefault="00E23105" w:rsidP="00365DD7">
      <w:r w:rsidRPr="00B65579">
        <w:t xml:space="preserve">Students were introduced to the concept of carbon </w:t>
      </w:r>
      <w:r w:rsidR="009111EE" w:rsidRPr="00B65579">
        <w:t>foot</w:t>
      </w:r>
      <w:r w:rsidR="009111EE">
        <w:t>-</w:t>
      </w:r>
      <w:r w:rsidR="009111EE" w:rsidRPr="00B65579">
        <w:t>printing</w:t>
      </w:r>
      <w:r w:rsidRPr="00B65579">
        <w:t xml:space="preserve"> at an organisational </w:t>
      </w:r>
      <w:r w:rsidR="00A47E14">
        <w:t>level</w:t>
      </w:r>
      <w:r w:rsidRPr="00B65579">
        <w:t>.</w:t>
      </w:r>
      <w:r w:rsidR="00B53629">
        <w:t xml:space="preserve"> </w:t>
      </w:r>
      <w:r w:rsidRPr="00B65579">
        <w:t xml:space="preserve">A carbon footprint at this </w:t>
      </w:r>
      <w:r w:rsidR="00A47E14">
        <w:t>level</w:t>
      </w:r>
      <w:r w:rsidRPr="00B65579">
        <w:t xml:space="preserve"> </w:t>
      </w:r>
      <w:r w:rsidR="008E4D0C" w:rsidRPr="00B65579">
        <w:t>is the measure of an organisation</w:t>
      </w:r>
      <w:r w:rsidR="00CB18F3" w:rsidRPr="00B65579">
        <w:t>’</w:t>
      </w:r>
      <w:r w:rsidR="008E4D0C" w:rsidRPr="00B65579">
        <w:t xml:space="preserve">s direct or indirect </w:t>
      </w:r>
      <w:r w:rsidR="00E42D32">
        <w:t>greenhouse gas</w:t>
      </w:r>
      <w:r w:rsidR="008E4D0C" w:rsidRPr="00B65579">
        <w:t xml:space="preserve"> emissions, these are a combination of the six emissions covered by the Kyoto protocol. It is measured in tonnes of CO</w:t>
      </w:r>
      <w:r w:rsidR="008E4D0C" w:rsidRPr="00B65579">
        <w:rPr>
          <w:vertAlign w:val="subscript"/>
        </w:rPr>
        <w:t>2</w:t>
      </w:r>
      <w:r w:rsidR="008E4D0C" w:rsidRPr="00B65579">
        <w:t xml:space="preserve"> equivalent</w:t>
      </w:r>
      <w:r w:rsidR="00CB18F3" w:rsidRPr="00B65579">
        <w:t xml:space="preserve"> (tCO</w:t>
      </w:r>
      <w:r w:rsidR="00CB18F3" w:rsidRPr="00B65579">
        <w:rPr>
          <w:vertAlign w:val="subscript"/>
        </w:rPr>
        <w:t>2</w:t>
      </w:r>
      <w:r w:rsidRPr="00B65579">
        <w:t>e</w:t>
      </w:r>
      <w:r w:rsidR="008E4D0C" w:rsidRPr="00B65579">
        <w:t xml:space="preserve">). The simplest way for a business to calculate their carbon footprint is to collect monthly data </w:t>
      </w:r>
      <w:r w:rsidRPr="00B65579">
        <w:t>on the following areas</w:t>
      </w:r>
      <w:r w:rsidR="008E4D0C" w:rsidRPr="00B65579">
        <w:t>: Gas</w:t>
      </w:r>
      <w:r w:rsidR="00CB18F3" w:rsidRPr="00B65579">
        <w:t xml:space="preserve">, </w:t>
      </w:r>
      <w:r w:rsidR="008E4D0C" w:rsidRPr="00B65579">
        <w:t>Electricity</w:t>
      </w:r>
      <w:r w:rsidR="00CB18F3" w:rsidRPr="00B65579">
        <w:t xml:space="preserve">, </w:t>
      </w:r>
      <w:r w:rsidR="008E4D0C" w:rsidRPr="00B65579">
        <w:t>Water</w:t>
      </w:r>
      <w:r w:rsidR="00CB18F3" w:rsidRPr="00B65579">
        <w:t xml:space="preserve">, </w:t>
      </w:r>
      <w:r w:rsidR="008E4D0C" w:rsidRPr="00B65579">
        <w:t>Waste</w:t>
      </w:r>
      <w:r w:rsidR="00CB18F3" w:rsidRPr="00B65579">
        <w:t xml:space="preserve">, </w:t>
      </w:r>
      <w:r w:rsidR="008E4D0C" w:rsidRPr="00B65579">
        <w:t xml:space="preserve">Paper </w:t>
      </w:r>
      <w:r w:rsidR="00CB18F3" w:rsidRPr="00B65579">
        <w:t xml:space="preserve">and </w:t>
      </w:r>
      <w:r w:rsidR="008E4D0C" w:rsidRPr="00B65579">
        <w:t>Organisational Travel</w:t>
      </w:r>
      <w:r w:rsidR="00CB18F3" w:rsidRPr="00B65579">
        <w:t xml:space="preserve">. </w:t>
      </w:r>
      <w:r w:rsidRPr="00B65579">
        <w:t>There are other emissions-related data</w:t>
      </w:r>
      <w:r w:rsidR="008E4D0C" w:rsidRPr="00B65579">
        <w:t xml:space="preserve"> that could be included</w:t>
      </w:r>
      <w:r w:rsidRPr="00B65579">
        <w:t>, such as refrigeration, oil,</w:t>
      </w:r>
      <w:r w:rsidR="008E4D0C" w:rsidRPr="00B65579">
        <w:t xml:space="preserve"> differentiated waste streams such as wood, cardboard, plastic, batteries and printer ink cartridges. </w:t>
      </w:r>
      <w:r w:rsidR="00CB18F3" w:rsidRPr="00B65579">
        <w:t>The UK government</w:t>
      </w:r>
      <w:r w:rsidR="008E4D0C" w:rsidRPr="00B65579">
        <w:t xml:space="preserve"> recommend</w:t>
      </w:r>
      <w:r w:rsidR="00CB18F3" w:rsidRPr="00B65579">
        <w:t>s</w:t>
      </w:r>
      <w:r w:rsidR="008E4D0C" w:rsidRPr="00B65579">
        <w:t xml:space="preserve"> that </w:t>
      </w:r>
      <w:r w:rsidRPr="00B65579">
        <w:t xml:space="preserve">this </w:t>
      </w:r>
      <w:r w:rsidR="008E4D0C" w:rsidRPr="00B65579">
        <w:t xml:space="preserve">primary information is collected from the organisation over a 12-month period </w:t>
      </w:r>
      <w:r w:rsidRPr="00B65579">
        <w:t>from which to calculate</w:t>
      </w:r>
      <w:r w:rsidR="008E4D0C" w:rsidRPr="00B65579">
        <w:t xml:space="preserve"> carbon emission</w:t>
      </w:r>
      <w:r w:rsidRPr="00B65579">
        <w:t>s</w:t>
      </w:r>
      <w:r w:rsidR="006A0537" w:rsidRPr="00B65579">
        <w:t xml:space="preserve"> (Defra, 2013).</w:t>
      </w:r>
      <w:r w:rsidR="00B53629">
        <w:t xml:space="preserve"> </w:t>
      </w:r>
      <w:r w:rsidR="008E4D0C" w:rsidRPr="00B65579">
        <w:t>The emissions data for each resource is then multiplied by the correct carbon conversion factor supplied by the UK Government</w:t>
      </w:r>
      <w:r w:rsidR="00025727" w:rsidRPr="00B65579">
        <w:t>.</w:t>
      </w:r>
      <w:r w:rsidR="008E4D0C" w:rsidRPr="00B65579">
        <w:t xml:space="preserve"> These factors are updated every year to reflect any changes in </w:t>
      </w:r>
      <w:r w:rsidR="00025727" w:rsidRPr="00B65579">
        <w:t>emissions</w:t>
      </w:r>
      <w:r w:rsidR="008E4D0C" w:rsidRPr="00B65579">
        <w:t xml:space="preserve"> from </w:t>
      </w:r>
      <w:r w:rsidR="00025727" w:rsidRPr="00B65579">
        <w:t xml:space="preserve">changes in </w:t>
      </w:r>
      <w:r w:rsidR="008E4D0C" w:rsidRPr="00B65579">
        <w:t xml:space="preserve">various production processes. The factors are based on recommendations made by the </w:t>
      </w:r>
      <w:r w:rsidR="00CB18F3" w:rsidRPr="00B65579">
        <w:t>internationally agreed</w:t>
      </w:r>
      <w:r w:rsidR="00E42D32">
        <w:t xml:space="preserve"> greenhouse gas</w:t>
      </w:r>
      <w:r w:rsidR="008E4D0C" w:rsidRPr="00B65579">
        <w:t xml:space="preserve"> protocol corporate standard (WRI </w:t>
      </w:r>
      <w:r w:rsidR="00F97BED">
        <w:t>and</w:t>
      </w:r>
      <w:r w:rsidR="008E4D0C" w:rsidRPr="00B65579">
        <w:t xml:space="preserve"> WBCSD, 2004). Th</w:t>
      </w:r>
      <w:r w:rsidR="00CB18F3" w:rsidRPr="00B65579">
        <w:t>ese</w:t>
      </w:r>
      <w:r w:rsidR="008E4D0C" w:rsidRPr="00B65579">
        <w:t xml:space="preserve"> calculation</w:t>
      </w:r>
      <w:r w:rsidR="00CB18F3" w:rsidRPr="00B65579">
        <w:t>s</w:t>
      </w:r>
      <w:r w:rsidR="008E4D0C" w:rsidRPr="00B65579">
        <w:t xml:space="preserve"> </w:t>
      </w:r>
      <w:r w:rsidR="009111EE" w:rsidRPr="00B65579">
        <w:t>result</w:t>
      </w:r>
      <w:r w:rsidR="008E4D0C" w:rsidRPr="00B65579">
        <w:t xml:space="preserve"> in a final carbon equivale</w:t>
      </w:r>
      <w:r w:rsidR="00025727" w:rsidRPr="00B65579">
        <w:t>nt output associated with each area of activity or resource use</w:t>
      </w:r>
      <w:r w:rsidR="008E4D0C" w:rsidRPr="00B65579">
        <w:t xml:space="preserve">. </w:t>
      </w:r>
    </w:p>
    <w:p w14:paraId="151EB518" w14:textId="04E55972" w:rsidR="008E4D0C" w:rsidRPr="00B65579" w:rsidRDefault="00BF1D26" w:rsidP="00365DD7">
      <w:r w:rsidRPr="00B65579">
        <w:t>The emissions are</w:t>
      </w:r>
      <w:r w:rsidR="008E4D0C" w:rsidRPr="00B65579">
        <w:t xml:space="preserve"> divided into </w:t>
      </w:r>
      <w:r w:rsidRPr="00B65579">
        <w:t xml:space="preserve">different </w:t>
      </w:r>
      <w:r w:rsidR="008E4D0C" w:rsidRPr="00B65579">
        <w:t>Scopes</w:t>
      </w:r>
      <w:r w:rsidR="00E42D32">
        <w:t xml:space="preserve">; </w:t>
      </w:r>
      <w:r w:rsidR="008E4D0C" w:rsidRPr="00B65579">
        <w:t xml:space="preserve">Scope 1: Direct Emissions from organisational activities </w:t>
      </w:r>
      <w:r w:rsidR="008B241B" w:rsidRPr="00B65579">
        <w:t>such as</w:t>
      </w:r>
      <w:r w:rsidR="008E4D0C" w:rsidRPr="00B65579">
        <w:t xml:space="preserve"> Gas for heat and Fuel for travel</w:t>
      </w:r>
      <w:r w:rsidR="008B241B" w:rsidRPr="00B65579">
        <w:t>;</w:t>
      </w:r>
      <w:r w:rsidR="00B53629">
        <w:t xml:space="preserve"> </w:t>
      </w:r>
      <w:r w:rsidR="008E4D0C" w:rsidRPr="00B65579">
        <w:t>Scope 2: Indirect Emissions from electricity, heat and steam</w:t>
      </w:r>
      <w:r w:rsidR="008B241B" w:rsidRPr="00B65579">
        <w:t xml:space="preserve">; </w:t>
      </w:r>
      <w:r w:rsidR="008E4D0C" w:rsidRPr="00B65579">
        <w:t xml:space="preserve">Scope 3: Other indirect emissions beyond </w:t>
      </w:r>
      <w:r w:rsidR="009D46DC" w:rsidRPr="00B65579">
        <w:t xml:space="preserve">the </w:t>
      </w:r>
      <w:r w:rsidR="008E4D0C" w:rsidRPr="00B65579">
        <w:t xml:space="preserve">control </w:t>
      </w:r>
      <w:r w:rsidR="009D46DC" w:rsidRPr="00B65579">
        <w:t xml:space="preserve">of the company </w:t>
      </w:r>
      <w:r w:rsidR="0001774A">
        <w:t xml:space="preserve">or where the company has limited control </w:t>
      </w:r>
      <w:r w:rsidR="008E4D0C" w:rsidRPr="00B65579">
        <w:t xml:space="preserve">such as waste disposal, employee commuting, transport and distribution, leased assets, purchased goods and services. An organisational boundary is then </w:t>
      </w:r>
      <w:r w:rsidR="005F148F">
        <w:t>established</w:t>
      </w:r>
      <w:r w:rsidR="008E4D0C" w:rsidRPr="00B65579">
        <w:t xml:space="preserve"> to determine which </w:t>
      </w:r>
      <w:r w:rsidR="005A1803" w:rsidRPr="00B65579">
        <w:t xml:space="preserve">area of operations or </w:t>
      </w:r>
      <w:r w:rsidR="008E4D0C" w:rsidRPr="00B65579">
        <w:t>resource</w:t>
      </w:r>
      <w:r w:rsidR="009D46DC" w:rsidRPr="00B65579">
        <w:t>s</w:t>
      </w:r>
      <w:r w:rsidR="008E4D0C" w:rsidRPr="00B65579">
        <w:t xml:space="preserve"> use</w:t>
      </w:r>
      <w:r w:rsidR="008B241B" w:rsidRPr="00B65579">
        <w:t>d</w:t>
      </w:r>
      <w:r w:rsidR="008E4D0C" w:rsidRPr="00B65579">
        <w:t xml:space="preserve"> have the greatest environmental impact. </w:t>
      </w:r>
    </w:p>
    <w:p w14:paraId="3B920BC0" w14:textId="509F38FB" w:rsidR="00D33C71" w:rsidRPr="00B65579" w:rsidRDefault="008E4D0C" w:rsidP="00365DD7">
      <w:r w:rsidRPr="00B65579">
        <w:t>Primary resource data was provided to the students by the participating businesses from either manual meter readings or utility bills</w:t>
      </w:r>
      <w:r w:rsidR="00BF7563" w:rsidRPr="00B65579">
        <w:t>, and students also visited the organisations</w:t>
      </w:r>
      <w:r w:rsidR="0001774A">
        <w:t xml:space="preserve"> as mentioned above</w:t>
      </w:r>
      <w:r w:rsidRPr="00B65579">
        <w:t xml:space="preserve">. These were then used to measure the emitted carbon </w:t>
      </w:r>
      <w:r w:rsidR="00B15566">
        <w:t>along with calculations based on observations and questions to the company such as how much waste is generated.</w:t>
      </w:r>
      <w:r w:rsidRPr="00B65579">
        <w:t xml:space="preserve"> </w:t>
      </w:r>
      <w:r w:rsidR="00316025" w:rsidRPr="00B65579">
        <w:t>There are 43 student reports from the projects completed in academic years 2014/15 and 2015/16. The reports contain a full carbon calculation of the businesses’ use of resources over the preceding year</w:t>
      </w:r>
      <w:r w:rsidR="00B72CE0" w:rsidRPr="00B65579">
        <w:t xml:space="preserve"> and </w:t>
      </w:r>
      <w:r w:rsidRPr="00B65579">
        <w:t xml:space="preserve">recommendations to reduce the carbon output through a number of various efficiency measures to be implemented by the companies involved. </w:t>
      </w:r>
      <w:r w:rsidR="000C00C2" w:rsidRPr="00B65579">
        <w:t>Students</w:t>
      </w:r>
      <w:r w:rsidRPr="00B65579">
        <w:t xml:space="preserve"> then calculated the likely reduction in carbon emissions after the improvements had been made. </w:t>
      </w:r>
      <w:r w:rsidR="00FA7BF4" w:rsidRPr="00B65579">
        <w:t>Although the students were given different companies each, some of the companies may be similar in terms of the s</w:t>
      </w:r>
      <w:r w:rsidR="00837E3B" w:rsidRPr="00B65579">
        <w:t>ector they belong to</w:t>
      </w:r>
      <w:r w:rsidR="00FA7BF4" w:rsidRPr="00B65579">
        <w:t xml:space="preserve">. </w:t>
      </w:r>
      <w:r w:rsidR="00D33C71" w:rsidRPr="00B65579">
        <w:t>The names of the companies involved are not used in this paper due to ethical and confidentiality reasons.</w:t>
      </w:r>
      <w:r w:rsidR="00B53629">
        <w:t xml:space="preserve"> </w:t>
      </w:r>
      <w:r w:rsidR="00D33C71" w:rsidRPr="00B65579">
        <w:t>As part of the consultancy project, students sign</w:t>
      </w:r>
      <w:r w:rsidR="00C61A1D">
        <w:t xml:space="preserve"> </w:t>
      </w:r>
      <w:r w:rsidR="00D33C71" w:rsidRPr="00B65579">
        <w:t xml:space="preserve">a confidentiality agreement that the name of companies will be only disclosed with their explicit permissions. </w:t>
      </w:r>
    </w:p>
    <w:p w14:paraId="1AB79415" w14:textId="04D6BC27" w:rsidR="009175E5" w:rsidRDefault="00FA7BF4" w:rsidP="003555EB">
      <w:pPr>
        <w:pStyle w:val="Heading2"/>
        <w:numPr>
          <w:ilvl w:val="1"/>
          <w:numId w:val="12"/>
        </w:numPr>
      </w:pPr>
      <w:r w:rsidRPr="0060211F">
        <w:t>Analysis of reports</w:t>
      </w:r>
    </w:p>
    <w:p w14:paraId="611F1DA5" w14:textId="0B688577" w:rsidR="00FA7BF4" w:rsidRPr="00B65579" w:rsidRDefault="00B15566" w:rsidP="00365DD7">
      <w:r>
        <w:t xml:space="preserve">When analysing the reports, our first research question was </w:t>
      </w:r>
      <w:r w:rsidR="00C61A1D">
        <w:t>what would be the extent of</w:t>
      </w:r>
      <w:r>
        <w:t xml:space="preserve"> carbon savings if </w:t>
      </w:r>
      <w:r w:rsidR="007300F4">
        <w:t>the organisations</w:t>
      </w:r>
      <w:r>
        <w:t xml:space="preserve"> </w:t>
      </w:r>
      <w:r w:rsidR="00C61A1D">
        <w:t xml:space="preserve">were to </w:t>
      </w:r>
      <w:r>
        <w:t xml:space="preserve">follow the recommendations. We also wanted to analyse whether the recommendations in the report were mainly focusing on one functional area of business or whether they would include various </w:t>
      </w:r>
      <w:r w:rsidR="007300F4">
        <w:t>functions</w:t>
      </w:r>
      <w:r>
        <w:t xml:space="preserve">. Our teaching had covered all functions of an organisation, however when setting the assessment </w:t>
      </w:r>
      <w:r w:rsidR="00C61A1D">
        <w:t>it was made</w:t>
      </w:r>
      <w:r>
        <w:t xml:space="preserve"> clear to the students that their recommendations could be linked to any functional area, so </w:t>
      </w:r>
      <w:r w:rsidR="00C61A1D">
        <w:t xml:space="preserve">there may </w:t>
      </w:r>
      <w:r>
        <w:t xml:space="preserve">have </w:t>
      </w:r>
      <w:r w:rsidR="00C61A1D">
        <w:t>been a</w:t>
      </w:r>
      <w:r>
        <w:t xml:space="preserve"> preference for one function such as marketing</w:t>
      </w:r>
      <w:r w:rsidR="00C61A1D">
        <w:t>.</w:t>
      </w:r>
      <w:r w:rsidR="00DD52F1">
        <w:t xml:space="preserve"> </w:t>
      </w:r>
      <w:r w:rsidR="00FA7BF4" w:rsidRPr="00B65579">
        <w:t xml:space="preserve">Each report </w:t>
      </w:r>
      <w:r w:rsidR="00C61A1D">
        <w:t>was</w:t>
      </w:r>
      <w:r w:rsidR="00FA7BF4" w:rsidRPr="00B65579">
        <w:t xml:space="preserve"> analysed to calculate the total amount of possible </w:t>
      </w:r>
      <w:r w:rsidR="00C61A1D">
        <w:t>greenhouse gas</w:t>
      </w:r>
      <w:r w:rsidR="00C61A1D" w:rsidRPr="00B65579">
        <w:t xml:space="preserve"> </w:t>
      </w:r>
      <w:r w:rsidR="00FA7BF4" w:rsidRPr="00B65579">
        <w:t xml:space="preserve">savings for each business </w:t>
      </w:r>
      <w:r w:rsidR="00C61A1D">
        <w:t xml:space="preserve">within </w:t>
      </w:r>
      <w:r w:rsidR="00FA7BF4" w:rsidRPr="00B65579">
        <w:t xml:space="preserve">the </w:t>
      </w:r>
      <w:r w:rsidR="00FA7BF4" w:rsidRPr="00B65579">
        <w:lastRenderedPageBreak/>
        <w:t xml:space="preserve">following categories: Gas, Electricity, Water, Waste, Paper and Fuel. The overall potential savings were then calculated for all of the businesses each year. </w:t>
      </w:r>
    </w:p>
    <w:p w14:paraId="3C067B76" w14:textId="2CCEB02E" w:rsidR="00865513" w:rsidRPr="00B65579" w:rsidRDefault="00865513" w:rsidP="00365DD7">
      <w:r w:rsidRPr="00B65579">
        <w:t xml:space="preserve">Through NVivo, we used hierarchical themes </w:t>
      </w:r>
      <w:r w:rsidR="00847AA7" w:rsidRPr="00B65579">
        <w:t xml:space="preserve">first looking at the different functions of companies </w:t>
      </w:r>
      <w:r w:rsidR="00D418FE" w:rsidRPr="00B65579">
        <w:t>that,</w:t>
      </w:r>
      <w:r w:rsidR="008A7C92">
        <w:t xml:space="preserve"> </w:t>
      </w:r>
      <w:r w:rsidR="00D418FE" w:rsidRPr="00B65579">
        <w:t>based on students’ analyse</w:t>
      </w:r>
      <w:r w:rsidR="00847AA7" w:rsidRPr="00B65579">
        <w:t xml:space="preserve">s, have been involved (directly or indirectly) in addressing the </w:t>
      </w:r>
      <w:r w:rsidR="008A7C92">
        <w:t>greenhouse gas</w:t>
      </w:r>
      <w:r w:rsidR="008A7C92" w:rsidRPr="00B65579">
        <w:t xml:space="preserve"> </w:t>
      </w:r>
      <w:r w:rsidR="00847AA7" w:rsidRPr="00B65579">
        <w:t>emissions of the companies</w:t>
      </w:r>
      <w:r w:rsidRPr="00B65579">
        <w:t xml:space="preserve">, through the companies’ business processes, such as </w:t>
      </w:r>
      <w:r w:rsidR="008A7C92">
        <w:t>m</w:t>
      </w:r>
      <w:r w:rsidRPr="00B65579">
        <w:t xml:space="preserve">arketing, </w:t>
      </w:r>
      <w:r w:rsidR="008A7C92">
        <w:t>a</w:t>
      </w:r>
      <w:r w:rsidRPr="00B65579">
        <w:t xml:space="preserve">ccounting, </w:t>
      </w:r>
      <w:r w:rsidR="008A7C92">
        <w:t>o</w:t>
      </w:r>
      <w:r w:rsidRPr="00B65579">
        <w:t xml:space="preserve">perations, and </w:t>
      </w:r>
      <w:r w:rsidR="008A7C92">
        <w:t>h</w:t>
      </w:r>
      <w:r w:rsidRPr="00B65579">
        <w:t xml:space="preserve">uman </w:t>
      </w:r>
      <w:r w:rsidR="008A7C92">
        <w:t>r</w:t>
      </w:r>
      <w:r w:rsidRPr="00B65579">
        <w:t>esource</w:t>
      </w:r>
      <w:r w:rsidR="00847AA7" w:rsidRPr="00B65579">
        <w:t>s</w:t>
      </w:r>
      <w:r w:rsidRPr="00B65579">
        <w:t xml:space="preserve">, </w:t>
      </w:r>
      <w:r w:rsidR="003B2B3A">
        <w:t>and secondly</w:t>
      </w:r>
      <w:r w:rsidRPr="00B65579">
        <w:t xml:space="preserve"> through recommendations made by the students in the two-year period.</w:t>
      </w:r>
      <w:r w:rsidR="003B2B3A">
        <w:t xml:space="preserve"> Here we analysed whether the recommendations given by students was directed towards operation</w:t>
      </w:r>
      <w:r w:rsidR="008A7C92">
        <w:t>s</w:t>
      </w:r>
      <w:r w:rsidR="003B2B3A">
        <w:t>, marketing or any other business function.</w:t>
      </w:r>
      <w:r w:rsidRPr="00B65579">
        <w:t xml:space="preserve"> </w:t>
      </w:r>
      <w:r w:rsidR="00847AA7" w:rsidRPr="00B65579">
        <w:t xml:space="preserve">Due to the fact that most of the companies involved in </w:t>
      </w:r>
      <w:r w:rsidR="009111EE" w:rsidRPr="00B65579">
        <w:t>this project</w:t>
      </w:r>
      <w:r w:rsidR="00847AA7" w:rsidRPr="00B65579">
        <w:t xml:space="preserve"> are </w:t>
      </w:r>
      <w:r w:rsidR="008A7C92">
        <w:t>small or medium enterprises</w:t>
      </w:r>
      <w:r w:rsidR="008A7C92" w:rsidRPr="00B65579">
        <w:t>, some</w:t>
      </w:r>
      <w:r w:rsidR="00847AA7" w:rsidRPr="00B65579">
        <w:t xml:space="preserve"> no bigger than 5 employees, we </w:t>
      </w:r>
      <w:r w:rsidR="0001774A">
        <w:t>were</w:t>
      </w:r>
      <w:r w:rsidR="00847AA7" w:rsidRPr="00B65579">
        <w:t xml:space="preserve"> analysing the functions of companies instead of departments. However, the role of these functions </w:t>
      </w:r>
      <w:r w:rsidR="009111EE" w:rsidRPr="00B65579">
        <w:t>does</w:t>
      </w:r>
      <w:r w:rsidR="00847AA7" w:rsidRPr="00B65579">
        <w:t xml:space="preserve"> not differ from that of departments within big organisations. </w:t>
      </w:r>
      <w:r w:rsidRPr="00B65579">
        <w:t xml:space="preserve">Additionally, the process of how the companies communicate with their internal and external stakeholders about their climate change management programme </w:t>
      </w:r>
      <w:r w:rsidR="00847AA7" w:rsidRPr="00B65579">
        <w:t>was analysed</w:t>
      </w:r>
      <w:r w:rsidRPr="00B65579">
        <w:t xml:space="preserve">, as companies involved in this project have highlighted that students have discovered that </w:t>
      </w:r>
      <w:r w:rsidRPr="00B65579">
        <w:rPr>
          <w:i/>
          <w:iCs/>
        </w:rPr>
        <w:t>what</w:t>
      </w:r>
      <w:r w:rsidRPr="00B65579">
        <w:t xml:space="preserve"> and </w:t>
      </w:r>
      <w:r w:rsidRPr="00B65579">
        <w:rPr>
          <w:i/>
          <w:iCs/>
        </w:rPr>
        <w:t>how</w:t>
      </w:r>
      <w:r w:rsidRPr="00B65579">
        <w:t xml:space="preserve"> the companies communicate their carbon emission initiatives can have a positive impact on </w:t>
      </w:r>
      <w:r w:rsidR="0001774A">
        <w:t xml:space="preserve">their </w:t>
      </w:r>
      <w:r w:rsidR="0001774A" w:rsidRPr="00B65579">
        <w:t>branding</w:t>
      </w:r>
      <w:r w:rsidRPr="00B65579">
        <w:t>.</w:t>
      </w:r>
      <w:r w:rsidR="00B53629">
        <w:t xml:space="preserve"> </w:t>
      </w:r>
    </w:p>
    <w:p w14:paraId="35334491" w14:textId="243163AB" w:rsidR="00B15566" w:rsidRDefault="00865513" w:rsidP="00B15566">
      <w:r w:rsidRPr="00B65579">
        <w:t xml:space="preserve">To analyse the different </w:t>
      </w:r>
      <w:r w:rsidR="00A47E14">
        <w:t>level</w:t>
      </w:r>
      <w:r w:rsidRPr="00B65579">
        <w:t xml:space="preserve">s that have motivated the companies to be involved in this project, we examined for individuals who, on a </w:t>
      </w:r>
      <w:r w:rsidR="007A637F">
        <w:t>micro-level</w:t>
      </w:r>
      <w:r w:rsidRPr="00B65579">
        <w:t xml:space="preserve">, have played a part in getting their companies to be part of </w:t>
      </w:r>
      <w:r w:rsidR="008A7C92" w:rsidRPr="00B65579">
        <w:t>th</w:t>
      </w:r>
      <w:r w:rsidR="008A7C92">
        <w:t>e</w:t>
      </w:r>
      <w:r w:rsidR="008A7C92" w:rsidRPr="00B65579">
        <w:t xml:space="preserve"> </w:t>
      </w:r>
      <w:r w:rsidR="008A7C92">
        <w:t>p</w:t>
      </w:r>
      <w:r w:rsidRPr="00B65579">
        <w:t xml:space="preserve">roject. We also explored for any </w:t>
      </w:r>
      <w:r w:rsidR="007A637F">
        <w:t>micro-level</w:t>
      </w:r>
      <w:r w:rsidRPr="00B65579">
        <w:t xml:space="preserve"> possibilities of companies working collaboratively to collectively reduce their </w:t>
      </w:r>
      <w:r w:rsidR="008A7C92">
        <w:t>e</w:t>
      </w:r>
      <w:r w:rsidRPr="00B65579">
        <w:t xml:space="preserve">missions. </w:t>
      </w:r>
      <w:r w:rsidR="008A7C92">
        <w:t>We</w:t>
      </w:r>
      <w:r w:rsidRPr="00B65579">
        <w:t xml:space="preserve"> also compared 2014/15 companies with 2015/16 companies, to</w:t>
      </w:r>
      <w:r w:rsidR="00A23966">
        <w:t xml:space="preserve"> look</w:t>
      </w:r>
      <w:r w:rsidRPr="00B65579">
        <w:t xml:space="preserve"> for any </w:t>
      </w:r>
      <w:r w:rsidR="0001774A">
        <w:t>m</w:t>
      </w:r>
      <w:r w:rsidRPr="00B65579">
        <w:t>eso-level of influence, for example, was there a company that participated in 2015/16 whose competitor</w:t>
      </w:r>
      <w:r w:rsidR="00847AA7" w:rsidRPr="00B65579">
        <w:t>s</w:t>
      </w:r>
      <w:r w:rsidRPr="00B65579">
        <w:t xml:space="preserve"> had already participated in 2014/15</w:t>
      </w:r>
      <w:r w:rsidR="008A7C92">
        <w:t xml:space="preserve">. </w:t>
      </w:r>
      <w:r w:rsidR="00BF4DF7">
        <w:t xml:space="preserve">The factors that acted as drivers to encourage companies to participate in the </w:t>
      </w:r>
      <w:r w:rsidR="00B15566" w:rsidRPr="00B15566">
        <w:t xml:space="preserve">project </w:t>
      </w:r>
      <w:r w:rsidR="00BF4DF7">
        <w:t>were</w:t>
      </w:r>
      <w:r w:rsidR="00B15566" w:rsidRPr="00B15566">
        <w:t xml:space="preserve"> also </w:t>
      </w:r>
      <w:r w:rsidR="008A7C92">
        <w:t>considered. F</w:t>
      </w:r>
      <w:r w:rsidR="00B15566" w:rsidRPr="00B15566">
        <w:t>or example</w:t>
      </w:r>
      <w:r w:rsidR="008A7C92">
        <w:t>,</w:t>
      </w:r>
      <w:r w:rsidR="00B15566" w:rsidRPr="00B15566">
        <w:t xml:space="preserve"> did a company participate in the project due to an individual employee or because the company as a whole believe</w:t>
      </w:r>
      <w:r w:rsidR="008A7C92">
        <w:t>d</w:t>
      </w:r>
      <w:r w:rsidR="00B15566" w:rsidRPr="00B15566">
        <w:t xml:space="preserve"> </w:t>
      </w:r>
      <w:r w:rsidR="008A7C92">
        <w:t xml:space="preserve">there was a </w:t>
      </w:r>
      <w:r w:rsidR="00B15566" w:rsidRPr="00B15566">
        <w:t>need to play a part in addressing their carbon footprint (both Micro – individual and company), or did the company participate because reporting their emissions was man</w:t>
      </w:r>
      <w:r w:rsidR="000C4CBB">
        <w:t>datory (Meso – National policy)?</w:t>
      </w:r>
      <w:r w:rsidR="00B15566" w:rsidRPr="00B15566">
        <w:t xml:space="preserve"> </w:t>
      </w:r>
    </w:p>
    <w:p w14:paraId="76D56FB2" w14:textId="32CFA686" w:rsidR="00865513" w:rsidRPr="00B65579" w:rsidRDefault="003B2B3A" w:rsidP="00365DD7">
      <w:r>
        <w:t>All students completed the assessment successfully</w:t>
      </w:r>
      <w:r w:rsidR="007F5C04">
        <w:t xml:space="preserve"> and </w:t>
      </w:r>
      <w:r w:rsidR="00E276D6">
        <w:t xml:space="preserve">provided </w:t>
      </w:r>
      <w:r w:rsidR="007F5C04">
        <w:t>standardised</w:t>
      </w:r>
      <w:r>
        <w:t xml:space="preserve"> feedback </w:t>
      </w:r>
      <w:r w:rsidR="00E276D6">
        <w:t>in the form of module evaluations</w:t>
      </w:r>
      <w:r w:rsidR="000F4557">
        <w:t xml:space="preserve">. </w:t>
      </w:r>
      <w:r w:rsidR="008A7C92">
        <w:t>Feedback</w:t>
      </w:r>
      <w:r>
        <w:t xml:space="preserve"> indicate</w:t>
      </w:r>
      <w:r w:rsidR="000F4557">
        <w:t>d</w:t>
      </w:r>
      <w:r>
        <w:t xml:space="preserve"> that</w:t>
      </w:r>
      <w:r w:rsidR="000F4557">
        <w:t xml:space="preserve"> the project did have a</w:t>
      </w:r>
      <w:r>
        <w:t xml:space="preserve"> big impact. We also had emails </w:t>
      </w:r>
      <w:r w:rsidR="00BE64BF">
        <w:t xml:space="preserve">from students </w:t>
      </w:r>
      <w:r w:rsidR="008A7C92">
        <w:t>post-graduation</w:t>
      </w:r>
      <w:r>
        <w:t xml:space="preserve"> </w:t>
      </w:r>
      <w:r w:rsidR="00BE64BF">
        <w:t>communicating that</w:t>
      </w:r>
      <w:r>
        <w:t xml:space="preserve"> </w:t>
      </w:r>
      <w:r w:rsidR="008A7C92">
        <w:t>they found the</w:t>
      </w:r>
      <w:r>
        <w:t xml:space="preserve"> project extremely valuable for their employers</w:t>
      </w:r>
      <w:r w:rsidR="00D56D47">
        <w:t xml:space="preserve">, some of which had </w:t>
      </w:r>
      <w:r>
        <w:t xml:space="preserve">asked </w:t>
      </w:r>
      <w:r w:rsidR="00D56D47">
        <w:t xml:space="preserve">the graduates to initiate </w:t>
      </w:r>
      <w:r>
        <w:t xml:space="preserve">a </w:t>
      </w:r>
      <w:r w:rsidR="008A7C92">
        <w:t xml:space="preserve">greenhouse gas </w:t>
      </w:r>
      <w:r>
        <w:t xml:space="preserve">management project </w:t>
      </w:r>
      <w:r w:rsidR="004C0390">
        <w:t xml:space="preserve">in their new roles. </w:t>
      </w:r>
      <w:r w:rsidR="00865513" w:rsidRPr="00B65579">
        <w:t xml:space="preserve">Finally, we analysed the </w:t>
      </w:r>
      <w:r w:rsidR="008A7C92" w:rsidRPr="00B65579">
        <w:t xml:space="preserve">Investor in the Environment </w:t>
      </w:r>
      <w:r w:rsidR="00865513" w:rsidRPr="00B65579">
        <w:t>documents of companies/organisations that had taken part in the student project and then</w:t>
      </w:r>
      <w:r w:rsidR="00020188" w:rsidRPr="00B65579">
        <w:t xml:space="preserve"> had </w:t>
      </w:r>
      <w:r w:rsidR="00865513" w:rsidRPr="00B65579">
        <w:t xml:space="preserve">moved on to acquire </w:t>
      </w:r>
      <w:r w:rsidR="008A7C92">
        <w:t xml:space="preserve">the </w:t>
      </w:r>
      <w:r w:rsidR="00020188" w:rsidRPr="00B65579">
        <w:t>accreditation</w:t>
      </w:r>
      <w:r w:rsidR="00865513" w:rsidRPr="00B65579">
        <w:t>.</w:t>
      </w:r>
      <w:r w:rsidR="00020188" w:rsidRPr="00B65579">
        <w:t xml:space="preserve"> Here we were interested in finding out whether and then how many of the recommendations given by the students the organisations had actually taken up and implemented.</w:t>
      </w:r>
    </w:p>
    <w:p w14:paraId="0AB87B3A" w14:textId="008E048B" w:rsidR="006C28A9" w:rsidRPr="00B65579" w:rsidRDefault="004A47AC" w:rsidP="00365DD7">
      <w:pPr>
        <w:pStyle w:val="Heading2"/>
      </w:pPr>
      <w:r w:rsidRPr="00B65579">
        <w:t>Res</w:t>
      </w:r>
      <w:r w:rsidR="00950758" w:rsidRPr="00B65579">
        <w:t>ults</w:t>
      </w:r>
      <w:r w:rsidR="000C2075" w:rsidRPr="00B65579">
        <w:t xml:space="preserve">: </w:t>
      </w:r>
      <w:r w:rsidR="00E03743" w:rsidRPr="00B65579">
        <w:t>The impacts</w:t>
      </w:r>
      <w:r w:rsidRPr="00B65579">
        <w:t xml:space="preserve"> on greenhouse gas reductions</w:t>
      </w:r>
    </w:p>
    <w:p w14:paraId="3501DA61" w14:textId="16B38A10" w:rsidR="00541ABA" w:rsidRDefault="00541ABA" w:rsidP="00365DD7">
      <w:r w:rsidRPr="00B65579">
        <w:t>Over the two years of data analysed, there were 50 Organisations that took part in total. 34 were from the private sector, 8 from the third sector and 8 from the public sector. Recommendations amounted to a potential of 507 tonnes of carbon equivalent savings.</w:t>
      </w:r>
      <w:r w:rsidR="004C0390">
        <w:t xml:space="preserve"> T</w:t>
      </w:r>
      <w:r w:rsidRPr="00B65579">
        <w:t>he majority of this was within the private sector with an ave</w:t>
      </w:r>
      <w:r w:rsidR="004B68A4" w:rsidRPr="00B65579">
        <w:t xml:space="preserve">rage </w:t>
      </w:r>
      <w:r w:rsidRPr="00B65579">
        <w:t xml:space="preserve">potential saving of around 9 tonnes each. The majority of these savings were identified through the potential reduction </w:t>
      </w:r>
      <w:r w:rsidR="00950758" w:rsidRPr="00B65579">
        <w:t xml:space="preserve">of electricity usage (189,788 </w:t>
      </w:r>
      <w:r w:rsidRPr="00B65579">
        <w:t>kg CO</w:t>
      </w:r>
      <w:r w:rsidRPr="00B65579">
        <w:rPr>
          <w:vertAlign w:val="subscript"/>
        </w:rPr>
        <w:t>2</w:t>
      </w:r>
      <w:r w:rsidR="00950758" w:rsidRPr="00B65579">
        <w:t>e).</w:t>
      </w:r>
      <w:r w:rsidR="00B53629">
        <w:t xml:space="preserve"> </w:t>
      </w:r>
      <w:r w:rsidR="00950758" w:rsidRPr="00B65579">
        <w:t>F</w:t>
      </w:r>
      <w:r w:rsidRPr="00B65579">
        <w:t>or both the public and third sector the largest reductions were seen through more efficient use of alterna</w:t>
      </w:r>
      <w:r w:rsidR="00950758" w:rsidRPr="00B65579">
        <w:t>tives to natural gas (125,301</w:t>
      </w:r>
      <w:r w:rsidRPr="00B65579">
        <w:t xml:space="preserve"> kg CO</w:t>
      </w:r>
      <w:r w:rsidRPr="00B65579">
        <w:rPr>
          <w:vertAlign w:val="subscript"/>
        </w:rPr>
        <w:t>2</w:t>
      </w:r>
      <w:r w:rsidR="00950758" w:rsidRPr="00B65579">
        <w:t>e).</w:t>
      </w:r>
      <w:r w:rsidR="00B53629">
        <w:t xml:space="preserve"> </w:t>
      </w:r>
      <w:r w:rsidR="00950758" w:rsidRPr="00B65579">
        <w:t>G</w:t>
      </w:r>
      <w:r w:rsidRPr="00B65579">
        <w:t xml:space="preserve">iven that the organisations involved operate a number of </w:t>
      </w:r>
      <w:r w:rsidR="00410016">
        <w:t>business</w:t>
      </w:r>
      <w:r w:rsidRPr="00B65579">
        <w:t xml:space="preserve"> facilities with a focus on warmth rather than production this was to be expected. Over the two years a total of 219 students were educated in the systematic operation of conducting an organisational audit </w:t>
      </w:r>
      <w:r w:rsidR="00BC480E" w:rsidRPr="00B65579">
        <w:t xml:space="preserve">and carbon footprint </w:t>
      </w:r>
      <w:r w:rsidRPr="00B65579">
        <w:t xml:space="preserve">to identify potential </w:t>
      </w:r>
      <w:r w:rsidRPr="00B65579">
        <w:lastRenderedPageBreak/>
        <w:t>resource reductions.</w:t>
      </w:r>
      <w:r w:rsidR="00B53629">
        <w:t xml:space="preserve"> </w:t>
      </w:r>
      <w:r w:rsidR="00BC480E" w:rsidRPr="00B65579">
        <w:t>T</w:t>
      </w:r>
      <w:r w:rsidRPr="00B65579">
        <w:t>he average carbon equivalent saving per student was 2.</w:t>
      </w:r>
      <w:r w:rsidR="0001774A">
        <w:t>42</w:t>
      </w:r>
      <w:r w:rsidRPr="00B65579">
        <w:t xml:space="preserve"> tonnes. </w:t>
      </w:r>
      <w:r w:rsidR="00950758" w:rsidRPr="00B65579">
        <w:t xml:space="preserve">The potential </w:t>
      </w:r>
      <w:r w:rsidR="008A7C92">
        <w:t xml:space="preserve">greenhouse gas </w:t>
      </w:r>
      <w:r w:rsidR="00950758" w:rsidRPr="00B65579">
        <w:t xml:space="preserve">savings identified by </w:t>
      </w:r>
      <w:r w:rsidR="00BC480E" w:rsidRPr="00B65579">
        <w:t>the project are shown in Table 2</w:t>
      </w:r>
      <w:r w:rsidR="00950758" w:rsidRPr="00B65579">
        <w:t>.</w:t>
      </w:r>
    </w:p>
    <w:p w14:paraId="1E303727" w14:textId="4FFFB1A6" w:rsidR="00410016" w:rsidRPr="00B65579" w:rsidRDefault="00410016" w:rsidP="00365DD7">
      <w:r>
        <w:t>Students recommended basic improvements to the buildings such as insulation and window films to stop heat loss. However, they also looked at more unusual improvements such as inserting balloons in chimneys in a listed building or investing into a new incinerator to turn the residues of the bee</w:t>
      </w:r>
      <w:r w:rsidR="0001774A">
        <w:t>r</w:t>
      </w:r>
      <w:r>
        <w:t xml:space="preserve"> brewing process into energy. Recommendations included technological </w:t>
      </w:r>
      <w:r w:rsidR="0001774A">
        <w:t>and behavioural</w:t>
      </w:r>
      <w:r>
        <w:t xml:space="preserve"> changes. For example</w:t>
      </w:r>
      <w:r w:rsidR="0001774A">
        <w:t>,</w:t>
      </w:r>
      <w:r>
        <w:t xml:space="preserve"> one student group recommended a competition for students in a privately owned student accommodation along with individual meters to be installed in the flats in order to run the competition. In addition, they designed the posters to be distributed in student accommodation</w:t>
      </w:r>
      <w:r w:rsidR="0001774A">
        <w:t>s</w:t>
      </w:r>
      <w:r>
        <w:t xml:space="preserve">. Generally, the students were asked to give two recommendations based on their calculations and one ‘free’ recommendation. This could be for </w:t>
      </w:r>
      <w:r w:rsidR="0001774A">
        <w:t>example a</w:t>
      </w:r>
      <w:r>
        <w:t xml:space="preserve"> marketing campaign, designing signs or advertisements on cars how to promote their carbon savings to the customers.</w:t>
      </w:r>
    </w:p>
    <w:p w14:paraId="2EBDA6D5" w14:textId="3C9C2A07" w:rsidR="00541ABA" w:rsidRPr="00B65579" w:rsidRDefault="00950758" w:rsidP="00365DD7">
      <w:r w:rsidRPr="00B65579">
        <w:t xml:space="preserve">In addition to potential </w:t>
      </w:r>
      <w:r w:rsidR="006A100C">
        <w:t>GHG</w:t>
      </w:r>
      <w:r w:rsidRPr="00B65579">
        <w:t xml:space="preserve"> reductions, the students identified savings opportunities, </w:t>
      </w:r>
      <w:r w:rsidR="00541ABA" w:rsidRPr="00B65579">
        <w:t xml:space="preserve">and some </w:t>
      </w:r>
      <w:r w:rsidRPr="00B65579">
        <w:t xml:space="preserve">organisations </w:t>
      </w:r>
      <w:r w:rsidR="00541ABA" w:rsidRPr="00B65579">
        <w:t>were very quick to recognise the potential savings to be made. For example, the potential monetary savings from the recommended reductions in electricity usage within the private sector alone, amount to approximately £60,000 with an average saving of £1</w:t>
      </w:r>
      <w:r w:rsidRPr="00B65579">
        <w:t>,</w:t>
      </w:r>
      <w:r w:rsidR="00541ABA" w:rsidRPr="00B65579">
        <w:t xml:space="preserve">200 per business. </w:t>
      </w:r>
    </w:p>
    <w:p w14:paraId="0304FBEF" w14:textId="3E46EE99" w:rsidR="00725601" w:rsidRPr="00B65579" w:rsidRDefault="00725601" w:rsidP="00211E6C">
      <w:pPr>
        <w:spacing w:line="480" w:lineRule="auto"/>
      </w:pPr>
      <w:r w:rsidRPr="00B65579">
        <w:rPr>
          <w:b/>
          <w:bCs/>
        </w:rPr>
        <w:t xml:space="preserve">Table </w:t>
      </w:r>
      <w:r w:rsidR="00BC480E" w:rsidRPr="00B65579">
        <w:rPr>
          <w:b/>
          <w:bCs/>
        </w:rPr>
        <w:t>2</w:t>
      </w:r>
      <w:r w:rsidRPr="00B65579">
        <w:t xml:space="preserve"> Potential carbon savings through the Greenhouse Gas Management Project</w:t>
      </w:r>
    </w:p>
    <w:tbl>
      <w:tblPr>
        <w:tblStyle w:val="TableGridLight1"/>
        <w:tblW w:w="0" w:type="auto"/>
        <w:tblLook w:val="04A0" w:firstRow="1" w:lastRow="0" w:firstColumn="1" w:lastColumn="0" w:noHBand="0" w:noVBand="1"/>
      </w:tblPr>
      <w:tblGrid>
        <w:gridCol w:w="1287"/>
        <w:gridCol w:w="1515"/>
        <w:gridCol w:w="1401"/>
        <w:gridCol w:w="2085"/>
        <w:gridCol w:w="1365"/>
        <w:gridCol w:w="1498"/>
      </w:tblGrid>
      <w:tr w:rsidR="00541ABA" w:rsidRPr="00B65579" w14:paraId="79203259" w14:textId="77777777" w:rsidTr="00541ABA">
        <w:trPr>
          <w:trHeight w:val="1234"/>
        </w:trPr>
        <w:tc>
          <w:tcPr>
            <w:tcW w:w="1287" w:type="dxa"/>
            <w:tcBorders>
              <w:bottom w:val="single" w:sz="4" w:space="0" w:color="BFBFBF" w:themeColor="background1" w:themeShade="BF"/>
            </w:tcBorders>
            <w:hideMark/>
          </w:tcPr>
          <w:p w14:paraId="104BC08E" w14:textId="77777777" w:rsidR="00541ABA" w:rsidRPr="00B65579" w:rsidRDefault="00541ABA" w:rsidP="00365DD7">
            <w:r w:rsidRPr="00B65579">
              <w:t>Sector</w:t>
            </w:r>
          </w:p>
        </w:tc>
        <w:tc>
          <w:tcPr>
            <w:tcW w:w="1515" w:type="dxa"/>
            <w:hideMark/>
          </w:tcPr>
          <w:p w14:paraId="4526BE82" w14:textId="77777777" w:rsidR="00541ABA" w:rsidRPr="00B65579" w:rsidRDefault="00541ABA" w:rsidP="00365DD7">
            <w:r w:rsidRPr="00B65579">
              <w:t>Resource Measured</w:t>
            </w:r>
          </w:p>
        </w:tc>
        <w:tc>
          <w:tcPr>
            <w:tcW w:w="1401" w:type="dxa"/>
            <w:hideMark/>
          </w:tcPr>
          <w:p w14:paraId="7A676088" w14:textId="77777777" w:rsidR="00541ABA" w:rsidRPr="00B65579" w:rsidRDefault="00541ABA" w:rsidP="00365DD7">
            <w:r w:rsidRPr="00B65579">
              <w:t>Potential CO</w:t>
            </w:r>
            <w:r w:rsidRPr="00B65579">
              <w:rPr>
                <w:vertAlign w:val="subscript"/>
              </w:rPr>
              <w:t>2</w:t>
            </w:r>
            <w:r w:rsidRPr="00B65579">
              <w:t>e Saving Per Resource Measured</w:t>
            </w:r>
          </w:p>
        </w:tc>
        <w:tc>
          <w:tcPr>
            <w:tcW w:w="2085" w:type="dxa"/>
            <w:hideMark/>
          </w:tcPr>
          <w:p w14:paraId="6AEF4368" w14:textId="77777777" w:rsidR="00541ABA" w:rsidRPr="00B65579" w:rsidRDefault="00541ABA" w:rsidP="00365DD7">
            <w:r w:rsidRPr="00B65579">
              <w:t>Total kg CO</w:t>
            </w:r>
            <w:r w:rsidRPr="00B65579">
              <w:rPr>
                <w:vertAlign w:val="subscript"/>
              </w:rPr>
              <w:t>2</w:t>
            </w:r>
            <w:r w:rsidRPr="00B65579">
              <w:t>e Reduction Recommendations</w:t>
            </w:r>
          </w:p>
        </w:tc>
        <w:tc>
          <w:tcPr>
            <w:tcW w:w="1365" w:type="dxa"/>
            <w:hideMark/>
          </w:tcPr>
          <w:p w14:paraId="77F9CC50" w14:textId="77777777" w:rsidR="00541ABA" w:rsidRPr="00B65579" w:rsidRDefault="00541ABA" w:rsidP="00365DD7">
            <w:r w:rsidRPr="00B65579">
              <w:t>Potential kg CO</w:t>
            </w:r>
            <w:r w:rsidRPr="00B65579">
              <w:rPr>
                <w:vertAlign w:val="subscript"/>
              </w:rPr>
              <w:t>2</w:t>
            </w:r>
            <w:r w:rsidRPr="00B65579">
              <w:t>e Savings Per Student</w:t>
            </w:r>
          </w:p>
        </w:tc>
        <w:tc>
          <w:tcPr>
            <w:tcW w:w="1498" w:type="dxa"/>
            <w:hideMark/>
          </w:tcPr>
          <w:p w14:paraId="452009AE" w14:textId="77777777" w:rsidR="00541ABA" w:rsidRPr="00B65579" w:rsidRDefault="00541ABA" w:rsidP="00365DD7">
            <w:r w:rsidRPr="00B65579">
              <w:t>Potential kg CO</w:t>
            </w:r>
            <w:r w:rsidRPr="00B65579">
              <w:rPr>
                <w:vertAlign w:val="subscript"/>
              </w:rPr>
              <w:t>2</w:t>
            </w:r>
            <w:r w:rsidRPr="00B65579">
              <w:t>e Savings per Organisation</w:t>
            </w:r>
          </w:p>
        </w:tc>
      </w:tr>
      <w:tr w:rsidR="00541ABA" w:rsidRPr="00B65579" w14:paraId="119184FB" w14:textId="77777777" w:rsidTr="00541ABA">
        <w:trPr>
          <w:trHeight w:val="562"/>
        </w:trPr>
        <w:tc>
          <w:tcPr>
            <w:tcW w:w="1287" w:type="dxa"/>
            <w:tcBorders>
              <w:bottom w:val="nil"/>
            </w:tcBorders>
            <w:hideMark/>
          </w:tcPr>
          <w:p w14:paraId="63386DE0" w14:textId="77777777" w:rsidR="00541ABA" w:rsidRPr="00B65579" w:rsidRDefault="00541ABA" w:rsidP="00365DD7">
            <w:r w:rsidRPr="00B65579">
              <w:t>Private Sector</w:t>
            </w:r>
          </w:p>
        </w:tc>
        <w:tc>
          <w:tcPr>
            <w:tcW w:w="1515" w:type="dxa"/>
            <w:hideMark/>
          </w:tcPr>
          <w:p w14:paraId="06DC19CC" w14:textId="77777777" w:rsidR="00541ABA" w:rsidRPr="00B65579" w:rsidRDefault="00541ABA" w:rsidP="00365DD7">
            <w:r w:rsidRPr="00B65579">
              <w:t>Gas</w:t>
            </w:r>
          </w:p>
        </w:tc>
        <w:tc>
          <w:tcPr>
            <w:tcW w:w="1401" w:type="dxa"/>
            <w:hideMark/>
          </w:tcPr>
          <w:p w14:paraId="44D65E68" w14:textId="12BD9F95" w:rsidR="00541ABA" w:rsidRPr="00B65579" w:rsidRDefault="00541ABA" w:rsidP="00365DD7">
            <w:r w:rsidRPr="00B65579">
              <w:t>21</w:t>
            </w:r>
            <w:r w:rsidR="00950758" w:rsidRPr="00B65579">
              <w:t>,279</w:t>
            </w:r>
          </w:p>
        </w:tc>
        <w:tc>
          <w:tcPr>
            <w:tcW w:w="2085" w:type="dxa"/>
            <w:tcBorders>
              <w:bottom w:val="nil"/>
            </w:tcBorders>
            <w:hideMark/>
          </w:tcPr>
          <w:p w14:paraId="6EF09791" w14:textId="77777777" w:rsidR="00541ABA" w:rsidRPr="00B65579" w:rsidRDefault="00541ABA" w:rsidP="00365DD7"/>
        </w:tc>
        <w:tc>
          <w:tcPr>
            <w:tcW w:w="1365" w:type="dxa"/>
            <w:tcBorders>
              <w:bottom w:val="nil"/>
            </w:tcBorders>
            <w:hideMark/>
          </w:tcPr>
          <w:p w14:paraId="1EF38313" w14:textId="77777777" w:rsidR="00541ABA" w:rsidRPr="00B65579" w:rsidRDefault="00541ABA" w:rsidP="00365DD7"/>
        </w:tc>
        <w:tc>
          <w:tcPr>
            <w:tcW w:w="1498" w:type="dxa"/>
            <w:tcBorders>
              <w:bottom w:val="nil"/>
            </w:tcBorders>
            <w:hideMark/>
          </w:tcPr>
          <w:p w14:paraId="7EF82ADE" w14:textId="77777777" w:rsidR="00541ABA" w:rsidRPr="00B65579" w:rsidRDefault="00541ABA" w:rsidP="00365DD7"/>
        </w:tc>
      </w:tr>
      <w:tr w:rsidR="00541ABA" w:rsidRPr="00B65579" w14:paraId="2C1F20AC" w14:textId="77777777" w:rsidTr="00541ABA">
        <w:trPr>
          <w:trHeight w:val="320"/>
        </w:trPr>
        <w:tc>
          <w:tcPr>
            <w:tcW w:w="1287" w:type="dxa"/>
            <w:tcBorders>
              <w:top w:val="nil"/>
              <w:bottom w:val="nil"/>
            </w:tcBorders>
            <w:hideMark/>
          </w:tcPr>
          <w:p w14:paraId="16A74E41" w14:textId="77777777" w:rsidR="00541ABA" w:rsidRPr="00B65579" w:rsidRDefault="00541ABA" w:rsidP="00365DD7"/>
        </w:tc>
        <w:tc>
          <w:tcPr>
            <w:tcW w:w="1515" w:type="dxa"/>
            <w:hideMark/>
          </w:tcPr>
          <w:p w14:paraId="2B71C884" w14:textId="77777777" w:rsidR="00541ABA" w:rsidRPr="00B65579" w:rsidRDefault="00541ABA" w:rsidP="00365DD7">
            <w:r w:rsidRPr="00B65579">
              <w:t>Electricity</w:t>
            </w:r>
          </w:p>
        </w:tc>
        <w:tc>
          <w:tcPr>
            <w:tcW w:w="1401" w:type="dxa"/>
            <w:hideMark/>
          </w:tcPr>
          <w:p w14:paraId="47262C92" w14:textId="213C4CAC" w:rsidR="00541ABA" w:rsidRPr="00B65579" w:rsidRDefault="00541ABA" w:rsidP="00365DD7">
            <w:r w:rsidRPr="00B65579">
              <w:t>189</w:t>
            </w:r>
            <w:r w:rsidR="00950758" w:rsidRPr="00B65579">
              <w:t>,789</w:t>
            </w:r>
          </w:p>
        </w:tc>
        <w:tc>
          <w:tcPr>
            <w:tcW w:w="2085" w:type="dxa"/>
            <w:tcBorders>
              <w:top w:val="nil"/>
              <w:bottom w:val="nil"/>
            </w:tcBorders>
            <w:hideMark/>
          </w:tcPr>
          <w:p w14:paraId="1E88B4DB" w14:textId="77777777" w:rsidR="00541ABA" w:rsidRPr="00B65579" w:rsidRDefault="00541ABA" w:rsidP="00365DD7"/>
        </w:tc>
        <w:tc>
          <w:tcPr>
            <w:tcW w:w="1365" w:type="dxa"/>
            <w:tcBorders>
              <w:top w:val="nil"/>
              <w:bottom w:val="nil"/>
            </w:tcBorders>
            <w:hideMark/>
          </w:tcPr>
          <w:p w14:paraId="7D8F0AE6" w14:textId="77777777" w:rsidR="00541ABA" w:rsidRPr="00B65579" w:rsidRDefault="00541ABA" w:rsidP="00365DD7"/>
        </w:tc>
        <w:tc>
          <w:tcPr>
            <w:tcW w:w="1498" w:type="dxa"/>
            <w:tcBorders>
              <w:top w:val="nil"/>
              <w:bottom w:val="nil"/>
            </w:tcBorders>
          </w:tcPr>
          <w:p w14:paraId="73A2157C" w14:textId="77777777" w:rsidR="00541ABA" w:rsidRPr="00B65579" w:rsidRDefault="00541ABA" w:rsidP="00365DD7"/>
        </w:tc>
      </w:tr>
      <w:tr w:rsidR="00541ABA" w:rsidRPr="00B65579" w14:paraId="03AF96F6" w14:textId="77777777" w:rsidTr="00541ABA">
        <w:trPr>
          <w:trHeight w:val="506"/>
        </w:trPr>
        <w:tc>
          <w:tcPr>
            <w:tcW w:w="1287" w:type="dxa"/>
            <w:tcBorders>
              <w:top w:val="nil"/>
              <w:bottom w:val="nil"/>
            </w:tcBorders>
            <w:hideMark/>
          </w:tcPr>
          <w:p w14:paraId="41352C3E" w14:textId="77777777" w:rsidR="00541ABA" w:rsidRPr="00B65579" w:rsidRDefault="00541ABA" w:rsidP="00365DD7"/>
        </w:tc>
        <w:tc>
          <w:tcPr>
            <w:tcW w:w="1515" w:type="dxa"/>
            <w:hideMark/>
          </w:tcPr>
          <w:p w14:paraId="2FEF247C" w14:textId="77777777" w:rsidR="00541ABA" w:rsidRPr="00B65579" w:rsidRDefault="00541ABA" w:rsidP="00365DD7">
            <w:r w:rsidRPr="00B65579">
              <w:t xml:space="preserve">Water </w:t>
            </w:r>
          </w:p>
        </w:tc>
        <w:tc>
          <w:tcPr>
            <w:tcW w:w="1401" w:type="dxa"/>
            <w:hideMark/>
          </w:tcPr>
          <w:p w14:paraId="04577A59" w14:textId="0233E060" w:rsidR="00541ABA" w:rsidRPr="00B65579" w:rsidRDefault="00950758" w:rsidP="00365DD7">
            <w:r w:rsidRPr="00B65579">
              <w:t>101</w:t>
            </w:r>
          </w:p>
        </w:tc>
        <w:tc>
          <w:tcPr>
            <w:tcW w:w="2085" w:type="dxa"/>
            <w:tcBorders>
              <w:top w:val="nil"/>
              <w:bottom w:val="nil"/>
            </w:tcBorders>
            <w:hideMark/>
          </w:tcPr>
          <w:p w14:paraId="2AFD5EE2" w14:textId="459B4DB4" w:rsidR="00541ABA" w:rsidRPr="00B65579" w:rsidRDefault="00541ABA" w:rsidP="00365DD7">
            <w:r w:rsidRPr="00B65579">
              <w:t>326</w:t>
            </w:r>
            <w:r w:rsidR="00950758" w:rsidRPr="00B65579">
              <w:t>,418</w:t>
            </w:r>
          </w:p>
        </w:tc>
        <w:tc>
          <w:tcPr>
            <w:tcW w:w="1365" w:type="dxa"/>
            <w:tcBorders>
              <w:top w:val="nil"/>
              <w:bottom w:val="nil"/>
            </w:tcBorders>
            <w:hideMark/>
          </w:tcPr>
          <w:p w14:paraId="552DC091" w14:textId="4872790A" w:rsidR="00541ABA" w:rsidRPr="00B65579" w:rsidRDefault="00541ABA" w:rsidP="00365DD7">
            <w:r w:rsidRPr="00B65579">
              <w:t>2</w:t>
            </w:r>
            <w:r w:rsidR="00950758" w:rsidRPr="00B65579">
              <w:t>,743</w:t>
            </w:r>
          </w:p>
        </w:tc>
        <w:tc>
          <w:tcPr>
            <w:tcW w:w="1498" w:type="dxa"/>
            <w:tcBorders>
              <w:top w:val="nil"/>
              <w:bottom w:val="nil"/>
            </w:tcBorders>
            <w:hideMark/>
          </w:tcPr>
          <w:p w14:paraId="57416AEB" w14:textId="24755712" w:rsidR="00541ABA" w:rsidRPr="00B65579" w:rsidRDefault="00541ABA" w:rsidP="00365DD7">
            <w:r w:rsidRPr="00B65579">
              <w:t>9</w:t>
            </w:r>
            <w:r w:rsidR="00950758" w:rsidRPr="00B65579">
              <w:t>,601</w:t>
            </w:r>
          </w:p>
        </w:tc>
      </w:tr>
      <w:tr w:rsidR="00541ABA" w:rsidRPr="00B65579" w14:paraId="3458DF3E" w14:textId="77777777" w:rsidTr="00541ABA">
        <w:trPr>
          <w:trHeight w:val="320"/>
        </w:trPr>
        <w:tc>
          <w:tcPr>
            <w:tcW w:w="1287" w:type="dxa"/>
            <w:tcBorders>
              <w:top w:val="nil"/>
              <w:bottom w:val="nil"/>
            </w:tcBorders>
            <w:hideMark/>
          </w:tcPr>
          <w:p w14:paraId="023F09D4" w14:textId="77777777" w:rsidR="00541ABA" w:rsidRPr="00B65579" w:rsidRDefault="00541ABA" w:rsidP="00365DD7"/>
        </w:tc>
        <w:tc>
          <w:tcPr>
            <w:tcW w:w="1515" w:type="dxa"/>
            <w:hideMark/>
          </w:tcPr>
          <w:p w14:paraId="4768AECE" w14:textId="77777777" w:rsidR="00541ABA" w:rsidRPr="00B65579" w:rsidRDefault="00541ABA" w:rsidP="00365DD7">
            <w:r w:rsidRPr="00B65579">
              <w:t>Waste</w:t>
            </w:r>
          </w:p>
        </w:tc>
        <w:tc>
          <w:tcPr>
            <w:tcW w:w="1401" w:type="dxa"/>
            <w:hideMark/>
          </w:tcPr>
          <w:p w14:paraId="1606F5CC" w14:textId="677B3440" w:rsidR="00541ABA" w:rsidRPr="00B65579" w:rsidRDefault="00950758" w:rsidP="00365DD7">
            <w:r w:rsidRPr="00B65579">
              <w:t>7,361</w:t>
            </w:r>
          </w:p>
        </w:tc>
        <w:tc>
          <w:tcPr>
            <w:tcW w:w="2085" w:type="dxa"/>
            <w:tcBorders>
              <w:top w:val="nil"/>
              <w:bottom w:val="nil"/>
            </w:tcBorders>
            <w:hideMark/>
          </w:tcPr>
          <w:p w14:paraId="24105F3D" w14:textId="77777777" w:rsidR="00541ABA" w:rsidRPr="00B65579" w:rsidRDefault="00541ABA" w:rsidP="00365DD7"/>
        </w:tc>
        <w:tc>
          <w:tcPr>
            <w:tcW w:w="1365" w:type="dxa"/>
            <w:tcBorders>
              <w:top w:val="nil"/>
              <w:bottom w:val="nil"/>
            </w:tcBorders>
            <w:hideMark/>
          </w:tcPr>
          <w:p w14:paraId="23226F9E" w14:textId="77777777" w:rsidR="00541ABA" w:rsidRPr="00B65579" w:rsidRDefault="00541ABA" w:rsidP="00365DD7"/>
        </w:tc>
        <w:tc>
          <w:tcPr>
            <w:tcW w:w="1498" w:type="dxa"/>
            <w:tcBorders>
              <w:top w:val="nil"/>
              <w:bottom w:val="nil"/>
            </w:tcBorders>
            <w:hideMark/>
          </w:tcPr>
          <w:p w14:paraId="7B20CCAC" w14:textId="77777777" w:rsidR="00541ABA" w:rsidRPr="00B65579" w:rsidRDefault="00541ABA" w:rsidP="00365DD7"/>
        </w:tc>
      </w:tr>
      <w:tr w:rsidR="00541ABA" w:rsidRPr="00B65579" w14:paraId="1972C38A" w14:textId="77777777" w:rsidTr="00541ABA">
        <w:trPr>
          <w:trHeight w:val="320"/>
        </w:trPr>
        <w:tc>
          <w:tcPr>
            <w:tcW w:w="1287" w:type="dxa"/>
            <w:tcBorders>
              <w:top w:val="nil"/>
              <w:bottom w:val="nil"/>
            </w:tcBorders>
            <w:hideMark/>
          </w:tcPr>
          <w:p w14:paraId="507911A2" w14:textId="77777777" w:rsidR="00541ABA" w:rsidRPr="00B65579" w:rsidRDefault="00541ABA" w:rsidP="00365DD7"/>
        </w:tc>
        <w:tc>
          <w:tcPr>
            <w:tcW w:w="1515" w:type="dxa"/>
            <w:hideMark/>
          </w:tcPr>
          <w:p w14:paraId="4FA651F6" w14:textId="77777777" w:rsidR="00541ABA" w:rsidRPr="00B65579" w:rsidRDefault="00541ABA" w:rsidP="00365DD7">
            <w:r w:rsidRPr="00B65579">
              <w:t>Paper</w:t>
            </w:r>
          </w:p>
        </w:tc>
        <w:tc>
          <w:tcPr>
            <w:tcW w:w="1401" w:type="dxa"/>
            <w:hideMark/>
          </w:tcPr>
          <w:p w14:paraId="3AA3299A" w14:textId="7C905ED4" w:rsidR="00541ABA" w:rsidRPr="00B65579" w:rsidRDefault="00950758" w:rsidP="00365DD7">
            <w:r w:rsidRPr="00B65579">
              <w:t>8,513</w:t>
            </w:r>
          </w:p>
        </w:tc>
        <w:tc>
          <w:tcPr>
            <w:tcW w:w="2085" w:type="dxa"/>
            <w:tcBorders>
              <w:top w:val="nil"/>
              <w:bottom w:val="nil"/>
            </w:tcBorders>
            <w:hideMark/>
          </w:tcPr>
          <w:p w14:paraId="207FCD9E" w14:textId="77777777" w:rsidR="00541ABA" w:rsidRPr="00B65579" w:rsidRDefault="00541ABA" w:rsidP="00365DD7"/>
        </w:tc>
        <w:tc>
          <w:tcPr>
            <w:tcW w:w="1365" w:type="dxa"/>
            <w:tcBorders>
              <w:top w:val="nil"/>
              <w:bottom w:val="nil"/>
            </w:tcBorders>
            <w:hideMark/>
          </w:tcPr>
          <w:p w14:paraId="61FFE39D" w14:textId="77777777" w:rsidR="00541ABA" w:rsidRPr="00B65579" w:rsidRDefault="00541ABA" w:rsidP="00365DD7"/>
        </w:tc>
        <w:tc>
          <w:tcPr>
            <w:tcW w:w="1498" w:type="dxa"/>
            <w:tcBorders>
              <w:top w:val="nil"/>
              <w:bottom w:val="nil"/>
            </w:tcBorders>
            <w:hideMark/>
          </w:tcPr>
          <w:p w14:paraId="30CBE73C" w14:textId="77777777" w:rsidR="00541ABA" w:rsidRPr="00B65579" w:rsidRDefault="00541ABA" w:rsidP="00365DD7"/>
        </w:tc>
      </w:tr>
      <w:tr w:rsidR="00541ABA" w:rsidRPr="00B65579" w14:paraId="4BA68CDB" w14:textId="77777777" w:rsidTr="00541ABA">
        <w:trPr>
          <w:trHeight w:val="320"/>
        </w:trPr>
        <w:tc>
          <w:tcPr>
            <w:tcW w:w="1287" w:type="dxa"/>
            <w:tcBorders>
              <w:top w:val="nil"/>
              <w:bottom w:val="nil"/>
            </w:tcBorders>
            <w:hideMark/>
          </w:tcPr>
          <w:p w14:paraId="62C43755" w14:textId="77777777" w:rsidR="00541ABA" w:rsidRPr="00B65579" w:rsidRDefault="00541ABA" w:rsidP="00365DD7"/>
        </w:tc>
        <w:tc>
          <w:tcPr>
            <w:tcW w:w="1515" w:type="dxa"/>
            <w:hideMark/>
          </w:tcPr>
          <w:p w14:paraId="1C8BAC8B" w14:textId="77777777" w:rsidR="00541ABA" w:rsidRPr="00B65579" w:rsidRDefault="00541ABA" w:rsidP="00365DD7">
            <w:r w:rsidRPr="00B65579">
              <w:t>Fuel</w:t>
            </w:r>
          </w:p>
        </w:tc>
        <w:tc>
          <w:tcPr>
            <w:tcW w:w="1401" w:type="dxa"/>
            <w:hideMark/>
          </w:tcPr>
          <w:p w14:paraId="35672338" w14:textId="4992D437" w:rsidR="00541ABA" w:rsidRPr="00B65579" w:rsidRDefault="00950758" w:rsidP="00365DD7">
            <w:r w:rsidRPr="00B65579">
              <w:t>84,332</w:t>
            </w:r>
          </w:p>
        </w:tc>
        <w:tc>
          <w:tcPr>
            <w:tcW w:w="2085" w:type="dxa"/>
            <w:tcBorders>
              <w:top w:val="nil"/>
              <w:bottom w:val="nil"/>
            </w:tcBorders>
            <w:hideMark/>
          </w:tcPr>
          <w:p w14:paraId="50BEE333" w14:textId="77777777" w:rsidR="00541ABA" w:rsidRPr="00B65579" w:rsidRDefault="00541ABA" w:rsidP="00365DD7"/>
        </w:tc>
        <w:tc>
          <w:tcPr>
            <w:tcW w:w="1365" w:type="dxa"/>
            <w:tcBorders>
              <w:top w:val="nil"/>
              <w:bottom w:val="nil"/>
            </w:tcBorders>
            <w:hideMark/>
          </w:tcPr>
          <w:p w14:paraId="461EFCC9" w14:textId="77777777" w:rsidR="00541ABA" w:rsidRPr="00B65579" w:rsidRDefault="00541ABA" w:rsidP="00365DD7"/>
        </w:tc>
        <w:tc>
          <w:tcPr>
            <w:tcW w:w="1498" w:type="dxa"/>
            <w:tcBorders>
              <w:top w:val="nil"/>
              <w:bottom w:val="nil"/>
            </w:tcBorders>
            <w:hideMark/>
          </w:tcPr>
          <w:p w14:paraId="2DD47C05" w14:textId="77777777" w:rsidR="00541ABA" w:rsidRPr="00B65579" w:rsidRDefault="00541ABA" w:rsidP="00365DD7"/>
        </w:tc>
      </w:tr>
      <w:tr w:rsidR="00541ABA" w:rsidRPr="00B65579" w14:paraId="2A7606CB" w14:textId="77777777" w:rsidTr="00541ABA">
        <w:trPr>
          <w:trHeight w:val="320"/>
        </w:trPr>
        <w:tc>
          <w:tcPr>
            <w:tcW w:w="1287" w:type="dxa"/>
            <w:tcBorders>
              <w:top w:val="nil"/>
            </w:tcBorders>
            <w:hideMark/>
          </w:tcPr>
          <w:p w14:paraId="4F767A82" w14:textId="77777777" w:rsidR="00541ABA" w:rsidRPr="00B65579" w:rsidRDefault="00541ABA" w:rsidP="00365DD7"/>
        </w:tc>
        <w:tc>
          <w:tcPr>
            <w:tcW w:w="1515" w:type="dxa"/>
            <w:hideMark/>
          </w:tcPr>
          <w:p w14:paraId="0F46BBF9" w14:textId="77777777" w:rsidR="00541ABA" w:rsidRPr="00B65579" w:rsidRDefault="00541ABA" w:rsidP="00365DD7">
            <w:r w:rsidRPr="00B65579">
              <w:t>Other</w:t>
            </w:r>
          </w:p>
        </w:tc>
        <w:tc>
          <w:tcPr>
            <w:tcW w:w="1401" w:type="dxa"/>
            <w:hideMark/>
          </w:tcPr>
          <w:p w14:paraId="27A604C4" w14:textId="20E41CB9" w:rsidR="00541ABA" w:rsidRPr="00B65579" w:rsidRDefault="00950758" w:rsidP="00365DD7">
            <w:r w:rsidRPr="00B65579">
              <w:t>15,044</w:t>
            </w:r>
          </w:p>
        </w:tc>
        <w:tc>
          <w:tcPr>
            <w:tcW w:w="2085" w:type="dxa"/>
            <w:tcBorders>
              <w:top w:val="nil"/>
            </w:tcBorders>
            <w:hideMark/>
          </w:tcPr>
          <w:p w14:paraId="2711ADB8" w14:textId="77777777" w:rsidR="00541ABA" w:rsidRPr="00B65579" w:rsidRDefault="00541ABA" w:rsidP="00365DD7"/>
        </w:tc>
        <w:tc>
          <w:tcPr>
            <w:tcW w:w="1365" w:type="dxa"/>
            <w:tcBorders>
              <w:top w:val="nil"/>
            </w:tcBorders>
            <w:hideMark/>
          </w:tcPr>
          <w:p w14:paraId="6C422F80" w14:textId="77777777" w:rsidR="00541ABA" w:rsidRPr="00B65579" w:rsidRDefault="00541ABA" w:rsidP="00365DD7"/>
        </w:tc>
        <w:tc>
          <w:tcPr>
            <w:tcW w:w="1498" w:type="dxa"/>
            <w:tcBorders>
              <w:top w:val="nil"/>
            </w:tcBorders>
            <w:hideMark/>
          </w:tcPr>
          <w:p w14:paraId="42254287" w14:textId="77777777" w:rsidR="00541ABA" w:rsidRPr="00B65579" w:rsidRDefault="00541ABA" w:rsidP="00365DD7"/>
        </w:tc>
      </w:tr>
      <w:tr w:rsidR="00541ABA" w:rsidRPr="00B65579" w14:paraId="3C9FEFFE" w14:textId="77777777" w:rsidTr="00541ABA">
        <w:trPr>
          <w:trHeight w:val="320"/>
        </w:trPr>
        <w:tc>
          <w:tcPr>
            <w:tcW w:w="1287" w:type="dxa"/>
            <w:tcBorders>
              <w:bottom w:val="nil"/>
            </w:tcBorders>
            <w:hideMark/>
          </w:tcPr>
          <w:p w14:paraId="0CEF53BE" w14:textId="77777777" w:rsidR="00541ABA" w:rsidRPr="00B65579" w:rsidRDefault="00541ABA" w:rsidP="00365DD7">
            <w:r w:rsidRPr="00B65579">
              <w:t>Third Sector</w:t>
            </w:r>
          </w:p>
        </w:tc>
        <w:tc>
          <w:tcPr>
            <w:tcW w:w="1515" w:type="dxa"/>
            <w:hideMark/>
          </w:tcPr>
          <w:p w14:paraId="546C6A20" w14:textId="77777777" w:rsidR="00541ABA" w:rsidRPr="00B65579" w:rsidRDefault="00541ABA" w:rsidP="00365DD7">
            <w:r w:rsidRPr="00B65579">
              <w:t>Gas</w:t>
            </w:r>
          </w:p>
        </w:tc>
        <w:tc>
          <w:tcPr>
            <w:tcW w:w="1401" w:type="dxa"/>
            <w:hideMark/>
          </w:tcPr>
          <w:p w14:paraId="5E30401D" w14:textId="6A2E9768" w:rsidR="00541ABA" w:rsidRPr="00B65579" w:rsidRDefault="00950758" w:rsidP="00365DD7">
            <w:r w:rsidRPr="00B65579">
              <w:t>90,317</w:t>
            </w:r>
          </w:p>
        </w:tc>
        <w:tc>
          <w:tcPr>
            <w:tcW w:w="2085" w:type="dxa"/>
            <w:tcBorders>
              <w:bottom w:val="nil"/>
            </w:tcBorders>
            <w:hideMark/>
          </w:tcPr>
          <w:p w14:paraId="7C18875A" w14:textId="77777777" w:rsidR="00541ABA" w:rsidRPr="00B65579" w:rsidRDefault="00541ABA" w:rsidP="00365DD7"/>
        </w:tc>
        <w:tc>
          <w:tcPr>
            <w:tcW w:w="1365" w:type="dxa"/>
            <w:tcBorders>
              <w:bottom w:val="nil"/>
            </w:tcBorders>
            <w:hideMark/>
          </w:tcPr>
          <w:p w14:paraId="540D7A56" w14:textId="77777777" w:rsidR="00541ABA" w:rsidRPr="00B65579" w:rsidRDefault="00541ABA" w:rsidP="00365DD7"/>
        </w:tc>
        <w:tc>
          <w:tcPr>
            <w:tcW w:w="1498" w:type="dxa"/>
            <w:tcBorders>
              <w:bottom w:val="nil"/>
            </w:tcBorders>
            <w:hideMark/>
          </w:tcPr>
          <w:p w14:paraId="241B0BC9" w14:textId="77777777" w:rsidR="00541ABA" w:rsidRPr="00B65579" w:rsidRDefault="00541ABA" w:rsidP="00365DD7"/>
        </w:tc>
      </w:tr>
      <w:tr w:rsidR="00541ABA" w:rsidRPr="00B65579" w14:paraId="111E7988" w14:textId="77777777" w:rsidTr="00541ABA">
        <w:trPr>
          <w:trHeight w:val="320"/>
        </w:trPr>
        <w:tc>
          <w:tcPr>
            <w:tcW w:w="1287" w:type="dxa"/>
            <w:tcBorders>
              <w:top w:val="nil"/>
              <w:bottom w:val="nil"/>
            </w:tcBorders>
            <w:hideMark/>
          </w:tcPr>
          <w:p w14:paraId="5EC6B22C" w14:textId="77777777" w:rsidR="00541ABA" w:rsidRPr="00B65579" w:rsidRDefault="00541ABA" w:rsidP="00365DD7"/>
        </w:tc>
        <w:tc>
          <w:tcPr>
            <w:tcW w:w="1515" w:type="dxa"/>
            <w:hideMark/>
          </w:tcPr>
          <w:p w14:paraId="07AE2618" w14:textId="77777777" w:rsidR="00541ABA" w:rsidRPr="00B65579" w:rsidRDefault="00541ABA" w:rsidP="00365DD7">
            <w:r w:rsidRPr="00B65579">
              <w:t>Electricity</w:t>
            </w:r>
          </w:p>
        </w:tc>
        <w:tc>
          <w:tcPr>
            <w:tcW w:w="1401" w:type="dxa"/>
            <w:hideMark/>
          </w:tcPr>
          <w:p w14:paraId="3EF80D9B" w14:textId="18736573" w:rsidR="00541ABA" w:rsidRPr="00B65579" w:rsidRDefault="00950758" w:rsidP="00365DD7">
            <w:r w:rsidRPr="00B65579">
              <w:t>13,816</w:t>
            </w:r>
          </w:p>
        </w:tc>
        <w:tc>
          <w:tcPr>
            <w:tcW w:w="2085" w:type="dxa"/>
            <w:tcBorders>
              <w:top w:val="nil"/>
              <w:bottom w:val="nil"/>
            </w:tcBorders>
            <w:hideMark/>
          </w:tcPr>
          <w:p w14:paraId="4D2ED790" w14:textId="77777777" w:rsidR="00541ABA" w:rsidRPr="00B65579" w:rsidRDefault="00541ABA" w:rsidP="00365DD7"/>
        </w:tc>
        <w:tc>
          <w:tcPr>
            <w:tcW w:w="1365" w:type="dxa"/>
            <w:tcBorders>
              <w:top w:val="nil"/>
              <w:bottom w:val="nil"/>
            </w:tcBorders>
            <w:hideMark/>
          </w:tcPr>
          <w:p w14:paraId="19108A81" w14:textId="77777777" w:rsidR="00541ABA" w:rsidRPr="00B65579" w:rsidRDefault="00541ABA" w:rsidP="00365DD7"/>
        </w:tc>
        <w:tc>
          <w:tcPr>
            <w:tcW w:w="1498" w:type="dxa"/>
            <w:tcBorders>
              <w:top w:val="nil"/>
              <w:bottom w:val="nil"/>
            </w:tcBorders>
            <w:hideMark/>
          </w:tcPr>
          <w:p w14:paraId="2A9E2C83" w14:textId="77777777" w:rsidR="00541ABA" w:rsidRPr="00B65579" w:rsidRDefault="00541ABA" w:rsidP="00365DD7"/>
        </w:tc>
      </w:tr>
      <w:tr w:rsidR="00541ABA" w:rsidRPr="00B65579" w14:paraId="21483F2B" w14:textId="77777777" w:rsidTr="00541ABA">
        <w:trPr>
          <w:trHeight w:val="320"/>
        </w:trPr>
        <w:tc>
          <w:tcPr>
            <w:tcW w:w="1287" w:type="dxa"/>
            <w:tcBorders>
              <w:top w:val="nil"/>
              <w:bottom w:val="nil"/>
            </w:tcBorders>
            <w:hideMark/>
          </w:tcPr>
          <w:p w14:paraId="59290503" w14:textId="77777777" w:rsidR="00541ABA" w:rsidRPr="00B65579" w:rsidRDefault="00541ABA" w:rsidP="00365DD7"/>
        </w:tc>
        <w:tc>
          <w:tcPr>
            <w:tcW w:w="1515" w:type="dxa"/>
            <w:hideMark/>
          </w:tcPr>
          <w:p w14:paraId="15B21D2F" w14:textId="77777777" w:rsidR="00541ABA" w:rsidRPr="00B65579" w:rsidRDefault="00541ABA" w:rsidP="00365DD7">
            <w:r w:rsidRPr="00B65579">
              <w:t xml:space="preserve">Water </w:t>
            </w:r>
          </w:p>
        </w:tc>
        <w:tc>
          <w:tcPr>
            <w:tcW w:w="1401" w:type="dxa"/>
            <w:hideMark/>
          </w:tcPr>
          <w:p w14:paraId="6D16466C" w14:textId="7384051A" w:rsidR="00541ABA" w:rsidRPr="00B65579" w:rsidRDefault="00950758" w:rsidP="00365DD7">
            <w:r w:rsidRPr="00B65579">
              <w:t>20</w:t>
            </w:r>
          </w:p>
        </w:tc>
        <w:tc>
          <w:tcPr>
            <w:tcW w:w="2085" w:type="dxa"/>
            <w:tcBorders>
              <w:top w:val="nil"/>
              <w:bottom w:val="nil"/>
            </w:tcBorders>
            <w:hideMark/>
          </w:tcPr>
          <w:p w14:paraId="0A989FD7" w14:textId="485285A1" w:rsidR="00541ABA" w:rsidRPr="00B65579" w:rsidRDefault="00541ABA" w:rsidP="00365DD7">
            <w:r w:rsidRPr="00B65579">
              <w:t>110</w:t>
            </w:r>
            <w:r w:rsidR="00950758" w:rsidRPr="00B65579">
              <w:t>,314</w:t>
            </w:r>
          </w:p>
        </w:tc>
        <w:tc>
          <w:tcPr>
            <w:tcW w:w="1365" w:type="dxa"/>
            <w:tcBorders>
              <w:top w:val="nil"/>
              <w:bottom w:val="nil"/>
            </w:tcBorders>
            <w:hideMark/>
          </w:tcPr>
          <w:p w14:paraId="1C389F4C" w14:textId="29728CF6" w:rsidR="00541ABA" w:rsidRPr="00B65579" w:rsidRDefault="00541ABA" w:rsidP="00365DD7">
            <w:r w:rsidRPr="00B65579">
              <w:t>3</w:t>
            </w:r>
            <w:r w:rsidR="00950758" w:rsidRPr="00B65579">
              <w:t>,245</w:t>
            </w:r>
          </w:p>
        </w:tc>
        <w:tc>
          <w:tcPr>
            <w:tcW w:w="1498" w:type="dxa"/>
            <w:tcBorders>
              <w:top w:val="nil"/>
              <w:bottom w:val="nil"/>
            </w:tcBorders>
            <w:hideMark/>
          </w:tcPr>
          <w:p w14:paraId="4343F62F" w14:textId="3F1A1A99" w:rsidR="00541ABA" w:rsidRPr="00B65579" w:rsidRDefault="00541ABA" w:rsidP="00365DD7">
            <w:r w:rsidRPr="00B65579">
              <w:t>13</w:t>
            </w:r>
            <w:r w:rsidR="00950758" w:rsidRPr="00B65579">
              <w:t>,789</w:t>
            </w:r>
          </w:p>
        </w:tc>
      </w:tr>
      <w:tr w:rsidR="00541ABA" w:rsidRPr="00B65579" w14:paraId="0AA1C5C0" w14:textId="77777777" w:rsidTr="00541ABA">
        <w:trPr>
          <w:trHeight w:val="320"/>
        </w:trPr>
        <w:tc>
          <w:tcPr>
            <w:tcW w:w="1287" w:type="dxa"/>
            <w:tcBorders>
              <w:top w:val="nil"/>
              <w:bottom w:val="nil"/>
            </w:tcBorders>
            <w:hideMark/>
          </w:tcPr>
          <w:p w14:paraId="6BAC2325" w14:textId="77777777" w:rsidR="00541ABA" w:rsidRPr="00B65579" w:rsidRDefault="00541ABA" w:rsidP="00365DD7"/>
        </w:tc>
        <w:tc>
          <w:tcPr>
            <w:tcW w:w="1515" w:type="dxa"/>
            <w:hideMark/>
          </w:tcPr>
          <w:p w14:paraId="45CD2A11" w14:textId="77777777" w:rsidR="00541ABA" w:rsidRPr="00B65579" w:rsidRDefault="00541ABA" w:rsidP="00365DD7">
            <w:r w:rsidRPr="00B65579">
              <w:t>Waste</w:t>
            </w:r>
          </w:p>
        </w:tc>
        <w:tc>
          <w:tcPr>
            <w:tcW w:w="1401" w:type="dxa"/>
            <w:hideMark/>
          </w:tcPr>
          <w:p w14:paraId="6AD3B01B" w14:textId="1E079923" w:rsidR="00541ABA" w:rsidRPr="00B65579" w:rsidRDefault="00950758" w:rsidP="00365DD7">
            <w:r w:rsidRPr="00B65579">
              <w:t>6,161</w:t>
            </w:r>
          </w:p>
        </w:tc>
        <w:tc>
          <w:tcPr>
            <w:tcW w:w="2085" w:type="dxa"/>
            <w:tcBorders>
              <w:top w:val="nil"/>
              <w:bottom w:val="nil"/>
            </w:tcBorders>
            <w:hideMark/>
          </w:tcPr>
          <w:p w14:paraId="5617E528" w14:textId="77777777" w:rsidR="00541ABA" w:rsidRPr="00B65579" w:rsidRDefault="00541ABA" w:rsidP="00365DD7"/>
        </w:tc>
        <w:tc>
          <w:tcPr>
            <w:tcW w:w="1365" w:type="dxa"/>
            <w:tcBorders>
              <w:top w:val="nil"/>
              <w:bottom w:val="nil"/>
            </w:tcBorders>
            <w:hideMark/>
          </w:tcPr>
          <w:p w14:paraId="6DBF185A" w14:textId="77777777" w:rsidR="00541ABA" w:rsidRPr="00B65579" w:rsidRDefault="00541ABA" w:rsidP="00365DD7"/>
        </w:tc>
        <w:tc>
          <w:tcPr>
            <w:tcW w:w="1498" w:type="dxa"/>
            <w:tcBorders>
              <w:top w:val="nil"/>
              <w:bottom w:val="nil"/>
            </w:tcBorders>
            <w:hideMark/>
          </w:tcPr>
          <w:p w14:paraId="57163951" w14:textId="77777777" w:rsidR="00541ABA" w:rsidRPr="00B65579" w:rsidRDefault="00541ABA" w:rsidP="00365DD7"/>
        </w:tc>
      </w:tr>
      <w:tr w:rsidR="00541ABA" w:rsidRPr="00B65579" w14:paraId="67C3405C" w14:textId="77777777" w:rsidTr="00541ABA">
        <w:trPr>
          <w:trHeight w:val="320"/>
        </w:trPr>
        <w:tc>
          <w:tcPr>
            <w:tcW w:w="1287" w:type="dxa"/>
            <w:tcBorders>
              <w:top w:val="nil"/>
              <w:bottom w:val="nil"/>
            </w:tcBorders>
            <w:hideMark/>
          </w:tcPr>
          <w:p w14:paraId="7B2C0ABF" w14:textId="77777777" w:rsidR="00541ABA" w:rsidRPr="00B65579" w:rsidRDefault="00541ABA" w:rsidP="00365DD7"/>
        </w:tc>
        <w:tc>
          <w:tcPr>
            <w:tcW w:w="1515" w:type="dxa"/>
            <w:hideMark/>
          </w:tcPr>
          <w:p w14:paraId="63A543D6" w14:textId="77777777" w:rsidR="00541ABA" w:rsidRPr="00B65579" w:rsidRDefault="00541ABA" w:rsidP="00365DD7">
            <w:r w:rsidRPr="00B65579">
              <w:t>Paper</w:t>
            </w:r>
          </w:p>
        </w:tc>
        <w:tc>
          <w:tcPr>
            <w:tcW w:w="1401" w:type="dxa"/>
            <w:hideMark/>
          </w:tcPr>
          <w:p w14:paraId="56284BB9" w14:textId="5385C217" w:rsidR="00541ABA" w:rsidRPr="00B65579" w:rsidRDefault="00950758" w:rsidP="00365DD7">
            <w:r w:rsidRPr="00B65579">
              <w:t>0</w:t>
            </w:r>
          </w:p>
        </w:tc>
        <w:tc>
          <w:tcPr>
            <w:tcW w:w="2085" w:type="dxa"/>
            <w:tcBorders>
              <w:top w:val="nil"/>
              <w:bottom w:val="nil"/>
            </w:tcBorders>
            <w:hideMark/>
          </w:tcPr>
          <w:p w14:paraId="62EDD005" w14:textId="77777777" w:rsidR="00541ABA" w:rsidRPr="00B65579" w:rsidRDefault="00541ABA" w:rsidP="00365DD7"/>
        </w:tc>
        <w:tc>
          <w:tcPr>
            <w:tcW w:w="1365" w:type="dxa"/>
            <w:tcBorders>
              <w:top w:val="nil"/>
              <w:bottom w:val="nil"/>
            </w:tcBorders>
            <w:hideMark/>
          </w:tcPr>
          <w:p w14:paraId="58524B86" w14:textId="77777777" w:rsidR="00541ABA" w:rsidRPr="00B65579" w:rsidRDefault="00541ABA" w:rsidP="00365DD7"/>
        </w:tc>
        <w:tc>
          <w:tcPr>
            <w:tcW w:w="1498" w:type="dxa"/>
            <w:tcBorders>
              <w:top w:val="nil"/>
              <w:bottom w:val="nil"/>
            </w:tcBorders>
            <w:hideMark/>
          </w:tcPr>
          <w:p w14:paraId="6828293F" w14:textId="77777777" w:rsidR="00541ABA" w:rsidRPr="00B65579" w:rsidRDefault="00541ABA" w:rsidP="00365DD7"/>
        </w:tc>
      </w:tr>
      <w:tr w:rsidR="00541ABA" w:rsidRPr="00B65579" w14:paraId="57457297" w14:textId="77777777" w:rsidTr="00541ABA">
        <w:trPr>
          <w:trHeight w:val="479"/>
        </w:trPr>
        <w:tc>
          <w:tcPr>
            <w:tcW w:w="1287" w:type="dxa"/>
            <w:tcBorders>
              <w:top w:val="nil"/>
              <w:bottom w:val="nil"/>
            </w:tcBorders>
            <w:hideMark/>
          </w:tcPr>
          <w:p w14:paraId="4888E788" w14:textId="77777777" w:rsidR="00541ABA" w:rsidRPr="00B65579" w:rsidRDefault="00541ABA" w:rsidP="00365DD7"/>
        </w:tc>
        <w:tc>
          <w:tcPr>
            <w:tcW w:w="1515" w:type="dxa"/>
            <w:hideMark/>
          </w:tcPr>
          <w:p w14:paraId="47272BA4" w14:textId="77777777" w:rsidR="00541ABA" w:rsidRPr="00B65579" w:rsidRDefault="00541ABA" w:rsidP="00365DD7">
            <w:r w:rsidRPr="00B65579">
              <w:t>Fuel</w:t>
            </w:r>
          </w:p>
        </w:tc>
        <w:tc>
          <w:tcPr>
            <w:tcW w:w="1401" w:type="dxa"/>
            <w:hideMark/>
          </w:tcPr>
          <w:p w14:paraId="44C2073F" w14:textId="7939AFAA" w:rsidR="00541ABA" w:rsidRPr="00B65579" w:rsidRDefault="00950758" w:rsidP="00365DD7">
            <w:r w:rsidRPr="00B65579">
              <w:t>0</w:t>
            </w:r>
          </w:p>
        </w:tc>
        <w:tc>
          <w:tcPr>
            <w:tcW w:w="2085" w:type="dxa"/>
            <w:tcBorders>
              <w:top w:val="nil"/>
              <w:bottom w:val="nil"/>
            </w:tcBorders>
            <w:hideMark/>
          </w:tcPr>
          <w:p w14:paraId="629CDF77" w14:textId="77777777" w:rsidR="00541ABA" w:rsidRPr="00B65579" w:rsidRDefault="00541ABA" w:rsidP="00365DD7"/>
        </w:tc>
        <w:tc>
          <w:tcPr>
            <w:tcW w:w="1365" w:type="dxa"/>
            <w:tcBorders>
              <w:top w:val="nil"/>
              <w:bottom w:val="nil"/>
            </w:tcBorders>
            <w:hideMark/>
          </w:tcPr>
          <w:p w14:paraId="3735C16E" w14:textId="77777777" w:rsidR="00541ABA" w:rsidRPr="00B65579" w:rsidRDefault="00541ABA" w:rsidP="00365DD7"/>
        </w:tc>
        <w:tc>
          <w:tcPr>
            <w:tcW w:w="1498" w:type="dxa"/>
            <w:tcBorders>
              <w:top w:val="nil"/>
              <w:bottom w:val="nil"/>
            </w:tcBorders>
            <w:hideMark/>
          </w:tcPr>
          <w:p w14:paraId="244A73B3" w14:textId="77777777" w:rsidR="00541ABA" w:rsidRPr="00B65579" w:rsidRDefault="00541ABA" w:rsidP="00365DD7"/>
        </w:tc>
      </w:tr>
      <w:tr w:rsidR="00541ABA" w:rsidRPr="00B65579" w14:paraId="4EE688DB" w14:textId="77777777" w:rsidTr="00541ABA">
        <w:trPr>
          <w:trHeight w:val="320"/>
        </w:trPr>
        <w:tc>
          <w:tcPr>
            <w:tcW w:w="1287" w:type="dxa"/>
            <w:tcBorders>
              <w:top w:val="nil"/>
              <w:bottom w:val="single" w:sz="4" w:space="0" w:color="BFBFBF" w:themeColor="background1" w:themeShade="BF"/>
            </w:tcBorders>
            <w:hideMark/>
          </w:tcPr>
          <w:p w14:paraId="1E49FF85" w14:textId="77777777" w:rsidR="00541ABA" w:rsidRPr="00B65579" w:rsidRDefault="00541ABA" w:rsidP="00365DD7"/>
        </w:tc>
        <w:tc>
          <w:tcPr>
            <w:tcW w:w="1515" w:type="dxa"/>
            <w:tcBorders>
              <w:bottom w:val="single" w:sz="4" w:space="0" w:color="BFBFBF" w:themeColor="background1" w:themeShade="BF"/>
            </w:tcBorders>
            <w:hideMark/>
          </w:tcPr>
          <w:p w14:paraId="17DC640A" w14:textId="77777777" w:rsidR="00541ABA" w:rsidRPr="00B65579" w:rsidRDefault="00541ABA" w:rsidP="00365DD7">
            <w:r w:rsidRPr="00B65579">
              <w:t>Other</w:t>
            </w:r>
          </w:p>
        </w:tc>
        <w:tc>
          <w:tcPr>
            <w:tcW w:w="1401" w:type="dxa"/>
            <w:tcBorders>
              <w:bottom w:val="single" w:sz="4" w:space="0" w:color="BFBFBF" w:themeColor="background1" w:themeShade="BF"/>
            </w:tcBorders>
            <w:hideMark/>
          </w:tcPr>
          <w:p w14:paraId="7CF69B7C" w14:textId="1FE984CB" w:rsidR="00541ABA" w:rsidRPr="00B65579" w:rsidRDefault="00950758" w:rsidP="00365DD7">
            <w:r w:rsidRPr="00B65579">
              <w:t>0</w:t>
            </w:r>
          </w:p>
        </w:tc>
        <w:tc>
          <w:tcPr>
            <w:tcW w:w="2085" w:type="dxa"/>
            <w:tcBorders>
              <w:top w:val="nil"/>
              <w:bottom w:val="single" w:sz="4" w:space="0" w:color="BFBFBF" w:themeColor="background1" w:themeShade="BF"/>
            </w:tcBorders>
            <w:hideMark/>
          </w:tcPr>
          <w:p w14:paraId="1BB7EBAB" w14:textId="77777777" w:rsidR="00541ABA" w:rsidRPr="00B65579" w:rsidRDefault="00541ABA" w:rsidP="00365DD7"/>
        </w:tc>
        <w:tc>
          <w:tcPr>
            <w:tcW w:w="1365" w:type="dxa"/>
            <w:tcBorders>
              <w:top w:val="nil"/>
              <w:bottom w:val="single" w:sz="4" w:space="0" w:color="BFBFBF" w:themeColor="background1" w:themeShade="BF"/>
            </w:tcBorders>
            <w:hideMark/>
          </w:tcPr>
          <w:p w14:paraId="79D8D044" w14:textId="77777777" w:rsidR="00541ABA" w:rsidRPr="00B65579" w:rsidRDefault="00541ABA" w:rsidP="00365DD7"/>
        </w:tc>
        <w:tc>
          <w:tcPr>
            <w:tcW w:w="1498" w:type="dxa"/>
            <w:tcBorders>
              <w:top w:val="nil"/>
              <w:bottom w:val="single" w:sz="4" w:space="0" w:color="BFBFBF" w:themeColor="background1" w:themeShade="BF"/>
            </w:tcBorders>
            <w:hideMark/>
          </w:tcPr>
          <w:p w14:paraId="0DBAB60B" w14:textId="77777777" w:rsidR="00541ABA" w:rsidRPr="00B65579" w:rsidRDefault="00541ABA" w:rsidP="00365DD7"/>
        </w:tc>
      </w:tr>
      <w:tr w:rsidR="00541ABA" w:rsidRPr="00B65579" w14:paraId="1C0BDEDD" w14:textId="77777777" w:rsidTr="00541ABA">
        <w:trPr>
          <w:trHeight w:val="320"/>
        </w:trPr>
        <w:tc>
          <w:tcPr>
            <w:tcW w:w="1287" w:type="dxa"/>
            <w:tcBorders>
              <w:bottom w:val="nil"/>
            </w:tcBorders>
            <w:hideMark/>
          </w:tcPr>
          <w:p w14:paraId="7D1D109F" w14:textId="77777777" w:rsidR="00541ABA" w:rsidRPr="00B65579" w:rsidRDefault="00541ABA" w:rsidP="00365DD7">
            <w:r w:rsidRPr="00B65579">
              <w:t>Public Sector</w:t>
            </w:r>
          </w:p>
        </w:tc>
        <w:tc>
          <w:tcPr>
            <w:tcW w:w="1515" w:type="dxa"/>
            <w:hideMark/>
          </w:tcPr>
          <w:p w14:paraId="5F13A683" w14:textId="77777777" w:rsidR="00541ABA" w:rsidRPr="00B65579" w:rsidRDefault="00541ABA" w:rsidP="00365DD7">
            <w:r w:rsidRPr="00B65579">
              <w:t>Gas</w:t>
            </w:r>
          </w:p>
        </w:tc>
        <w:tc>
          <w:tcPr>
            <w:tcW w:w="1401" w:type="dxa"/>
            <w:hideMark/>
          </w:tcPr>
          <w:p w14:paraId="0FE7C815" w14:textId="069FBA1A" w:rsidR="00541ABA" w:rsidRPr="00B65579" w:rsidRDefault="00950758" w:rsidP="00365DD7">
            <w:r w:rsidRPr="00B65579">
              <w:t>34,985</w:t>
            </w:r>
          </w:p>
        </w:tc>
        <w:tc>
          <w:tcPr>
            <w:tcW w:w="2085" w:type="dxa"/>
            <w:tcBorders>
              <w:bottom w:val="nil"/>
            </w:tcBorders>
            <w:hideMark/>
          </w:tcPr>
          <w:p w14:paraId="49F394F6" w14:textId="77777777" w:rsidR="00541ABA" w:rsidRPr="00B65579" w:rsidRDefault="00541ABA" w:rsidP="00365DD7"/>
        </w:tc>
        <w:tc>
          <w:tcPr>
            <w:tcW w:w="1365" w:type="dxa"/>
            <w:tcBorders>
              <w:bottom w:val="nil"/>
            </w:tcBorders>
            <w:hideMark/>
          </w:tcPr>
          <w:p w14:paraId="20A67836" w14:textId="77777777" w:rsidR="00541ABA" w:rsidRPr="00B65579" w:rsidRDefault="00541ABA" w:rsidP="00365DD7"/>
        </w:tc>
        <w:tc>
          <w:tcPr>
            <w:tcW w:w="1498" w:type="dxa"/>
            <w:tcBorders>
              <w:bottom w:val="nil"/>
            </w:tcBorders>
            <w:hideMark/>
          </w:tcPr>
          <w:p w14:paraId="2D5E771A" w14:textId="77777777" w:rsidR="00541ABA" w:rsidRPr="00B65579" w:rsidRDefault="00541ABA" w:rsidP="00365DD7"/>
        </w:tc>
      </w:tr>
      <w:tr w:rsidR="00541ABA" w:rsidRPr="00B65579" w14:paraId="5E3F0289" w14:textId="77777777" w:rsidTr="00541ABA">
        <w:trPr>
          <w:trHeight w:val="320"/>
        </w:trPr>
        <w:tc>
          <w:tcPr>
            <w:tcW w:w="1287" w:type="dxa"/>
            <w:tcBorders>
              <w:top w:val="nil"/>
              <w:bottom w:val="nil"/>
            </w:tcBorders>
            <w:hideMark/>
          </w:tcPr>
          <w:p w14:paraId="0E718387" w14:textId="77777777" w:rsidR="00541ABA" w:rsidRPr="00B65579" w:rsidRDefault="00541ABA" w:rsidP="00365DD7"/>
        </w:tc>
        <w:tc>
          <w:tcPr>
            <w:tcW w:w="1515" w:type="dxa"/>
            <w:hideMark/>
          </w:tcPr>
          <w:p w14:paraId="33CF9135" w14:textId="77777777" w:rsidR="00541ABA" w:rsidRPr="00B65579" w:rsidRDefault="00541ABA" w:rsidP="00365DD7">
            <w:r w:rsidRPr="00B65579">
              <w:t>Electricity</w:t>
            </w:r>
          </w:p>
        </w:tc>
        <w:tc>
          <w:tcPr>
            <w:tcW w:w="1401" w:type="dxa"/>
            <w:hideMark/>
          </w:tcPr>
          <w:p w14:paraId="3D027CD0" w14:textId="6A0BEC23" w:rsidR="00541ABA" w:rsidRPr="00B65579" w:rsidRDefault="00950758" w:rsidP="00365DD7">
            <w:r w:rsidRPr="00B65579">
              <w:t>10,219</w:t>
            </w:r>
          </w:p>
        </w:tc>
        <w:tc>
          <w:tcPr>
            <w:tcW w:w="2085" w:type="dxa"/>
            <w:tcBorders>
              <w:top w:val="nil"/>
              <w:bottom w:val="nil"/>
            </w:tcBorders>
            <w:hideMark/>
          </w:tcPr>
          <w:p w14:paraId="237B1A3F" w14:textId="77777777" w:rsidR="00541ABA" w:rsidRPr="00B65579" w:rsidRDefault="00541ABA" w:rsidP="00365DD7"/>
        </w:tc>
        <w:tc>
          <w:tcPr>
            <w:tcW w:w="1365" w:type="dxa"/>
            <w:tcBorders>
              <w:top w:val="nil"/>
              <w:bottom w:val="nil"/>
            </w:tcBorders>
            <w:hideMark/>
          </w:tcPr>
          <w:p w14:paraId="44AA9ED4" w14:textId="77777777" w:rsidR="00541ABA" w:rsidRPr="00B65579" w:rsidRDefault="00541ABA" w:rsidP="00365DD7"/>
        </w:tc>
        <w:tc>
          <w:tcPr>
            <w:tcW w:w="1498" w:type="dxa"/>
            <w:tcBorders>
              <w:top w:val="nil"/>
              <w:bottom w:val="nil"/>
            </w:tcBorders>
            <w:hideMark/>
          </w:tcPr>
          <w:p w14:paraId="609C10D7" w14:textId="77777777" w:rsidR="00541ABA" w:rsidRPr="00B65579" w:rsidRDefault="00541ABA" w:rsidP="00365DD7"/>
        </w:tc>
      </w:tr>
      <w:tr w:rsidR="00541ABA" w:rsidRPr="00B65579" w14:paraId="3507F3E7" w14:textId="77777777" w:rsidTr="00541ABA">
        <w:trPr>
          <w:trHeight w:val="320"/>
        </w:trPr>
        <w:tc>
          <w:tcPr>
            <w:tcW w:w="1287" w:type="dxa"/>
            <w:tcBorders>
              <w:top w:val="nil"/>
              <w:bottom w:val="nil"/>
            </w:tcBorders>
            <w:hideMark/>
          </w:tcPr>
          <w:p w14:paraId="32513A55" w14:textId="77777777" w:rsidR="00541ABA" w:rsidRPr="00B65579" w:rsidRDefault="00541ABA" w:rsidP="00365DD7"/>
        </w:tc>
        <w:tc>
          <w:tcPr>
            <w:tcW w:w="1515" w:type="dxa"/>
            <w:hideMark/>
          </w:tcPr>
          <w:p w14:paraId="71378C51" w14:textId="77777777" w:rsidR="00541ABA" w:rsidRPr="00B65579" w:rsidRDefault="00541ABA" w:rsidP="00365DD7">
            <w:r w:rsidRPr="00B65579">
              <w:t xml:space="preserve">Water </w:t>
            </w:r>
          </w:p>
        </w:tc>
        <w:tc>
          <w:tcPr>
            <w:tcW w:w="1401" w:type="dxa"/>
            <w:hideMark/>
          </w:tcPr>
          <w:p w14:paraId="7B0EFD87" w14:textId="09F5FD9B" w:rsidR="00541ABA" w:rsidRPr="00B65579" w:rsidRDefault="00950758" w:rsidP="00365DD7">
            <w:r w:rsidRPr="00B65579">
              <w:t>0</w:t>
            </w:r>
          </w:p>
        </w:tc>
        <w:tc>
          <w:tcPr>
            <w:tcW w:w="2085" w:type="dxa"/>
            <w:tcBorders>
              <w:top w:val="nil"/>
              <w:bottom w:val="nil"/>
            </w:tcBorders>
            <w:hideMark/>
          </w:tcPr>
          <w:p w14:paraId="092118DC" w14:textId="7BC7C3B5" w:rsidR="00541ABA" w:rsidRPr="00B65579" w:rsidRDefault="00541ABA" w:rsidP="00365DD7">
            <w:r w:rsidRPr="00B65579">
              <w:t>70</w:t>
            </w:r>
            <w:r w:rsidR="00950758" w:rsidRPr="00B65579">
              <w:t>,703</w:t>
            </w:r>
          </w:p>
        </w:tc>
        <w:tc>
          <w:tcPr>
            <w:tcW w:w="1365" w:type="dxa"/>
            <w:tcBorders>
              <w:top w:val="nil"/>
              <w:bottom w:val="nil"/>
            </w:tcBorders>
            <w:hideMark/>
          </w:tcPr>
          <w:p w14:paraId="55C36A4A" w14:textId="1CC79394" w:rsidR="00541ABA" w:rsidRPr="00B65579" w:rsidRDefault="00950758" w:rsidP="00365DD7">
            <w:r w:rsidRPr="00B65579">
              <w:t>2,080</w:t>
            </w:r>
          </w:p>
        </w:tc>
        <w:tc>
          <w:tcPr>
            <w:tcW w:w="1498" w:type="dxa"/>
            <w:tcBorders>
              <w:top w:val="nil"/>
              <w:bottom w:val="nil"/>
            </w:tcBorders>
            <w:hideMark/>
          </w:tcPr>
          <w:p w14:paraId="44D185D4" w14:textId="548109FB" w:rsidR="00541ABA" w:rsidRPr="00B65579" w:rsidRDefault="00950758" w:rsidP="00365DD7">
            <w:r w:rsidRPr="00B65579">
              <w:t>8,838</w:t>
            </w:r>
          </w:p>
        </w:tc>
      </w:tr>
      <w:tr w:rsidR="00541ABA" w:rsidRPr="00B65579" w14:paraId="7C69E937" w14:textId="77777777" w:rsidTr="00541ABA">
        <w:trPr>
          <w:trHeight w:val="320"/>
        </w:trPr>
        <w:tc>
          <w:tcPr>
            <w:tcW w:w="1287" w:type="dxa"/>
            <w:tcBorders>
              <w:top w:val="nil"/>
              <w:bottom w:val="nil"/>
            </w:tcBorders>
            <w:hideMark/>
          </w:tcPr>
          <w:p w14:paraId="0D24AF40" w14:textId="77777777" w:rsidR="00541ABA" w:rsidRPr="00B65579" w:rsidRDefault="00541ABA" w:rsidP="00365DD7"/>
        </w:tc>
        <w:tc>
          <w:tcPr>
            <w:tcW w:w="1515" w:type="dxa"/>
            <w:hideMark/>
          </w:tcPr>
          <w:p w14:paraId="5363E4EB" w14:textId="77777777" w:rsidR="00541ABA" w:rsidRPr="00B65579" w:rsidRDefault="00541ABA" w:rsidP="00365DD7">
            <w:r w:rsidRPr="00B65579">
              <w:t>Waste</w:t>
            </w:r>
          </w:p>
        </w:tc>
        <w:tc>
          <w:tcPr>
            <w:tcW w:w="1401" w:type="dxa"/>
            <w:hideMark/>
          </w:tcPr>
          <w:p w14:paraId="3A51EDD4" w14:textId="39E36F71" w:rsidR="00541ABA" w:rsidRPr="00B65579" w:rsidRDefault="00950758" w:rsidP="00365DD7">
            <w:r w:rsidRPr="00B65579">
              <w:t>495</w:t>
            </w:r>
          </w:p>
        </w:tc>
        <w:tc>
          <w:tcPr>
            <w:tcW w:w="2085" w:type="dxa"/>
            <w:tcBorders>
              <w:top w:val="nil"/>
              <w:bottom w:val="nil"/>
            </w:tcBorders>
            <w:hideMark/>
          </w:tcPr>
          <w:p w14:paraId="741DAB6A" w14:textId="77777777" w:rsidR="00541ABA" w:rsidRPr="00B65579" w:rsidRDefault="00541ABA" w:rsidP="00365DD7"/>
        </w:tc>
        <w:tc>
          <w:tcPr>
            <w:tcW w:w="1365" w:type="dxa"/>
            <w:tcBorders>
              <w:top w:val="nil"/>
              <w:bottom w:val="nil"/>
            </w:tcBorders>
            <w:hideMark/>
          </w:tcPr>
          <w:p w14:paraId="3145F3B3" w14:textId="77777777" w:rsidR="00541ABA" w:rsidRPr="00B65579" w:rsidRDefault="00541ABA" w:rsidP="00365DD7"/>
        </w:tc>
        <w:tc>
          <w:tcPr>
            <w:tcW w:w="1498" w:type="dxa"/>
            <w:tcBorders>
              <w:top w:val="nil"/>
              <w:bottom w:val="nil"/>
            </w:tcBorders>
            <w:hideMark/>
          </w:tcPr>
          <w:p w14:paraId="63A2ECF9" w14:textId="77777777" w:rsidR="00541ABA" w:rsidRPr="00B65579" w:rsidRDefault="00541ABA" w:rsidP="00365DD7"/>
        </w:tc>
      </w:tr>
      <w:tr w:rsidR="00541ABA" w:rsidRPr="00B65579" w14:paraId="467B208C" w14:textId="77777777" w:rsidTr="00541ABA">
        <w:trPr>
          <w:trHeight w:val="320"/>
        </w:trPr>
        <w:tc>
          <w:tcPr>
            <w:tcW w:w="1287" w:type="dxa"/>
            <w:tcBorders>
              <w:top w:val="nil"/>
              <w:bottom w:val="nil"/>
            </w:tcBorders>
            <w:hideMark/>
          </w:tcPr>
          <w:p w14:paraId="0624DE3E" w14:textId="77777777" w:rsidR="00541ABA" w:rsidRPr="00B65579" w:rsidRDefault="00541ABA" w:rsidP="00365DD7"/>
        </w:tc>
        <w:tc>
          <w:tcPr>
            <w:tcW w:w="1515" w:type="dxa"/>
            <w:hideMark/>
          </w:tcPr>
          <w:p w14:paraId="4F6E9C5B" w14:textId="77777777" w:rsidR="00541ABA" w:rsidRPr="00B65579" w:rsidRDefault="00541ABA" w:rsidP="00365DD7">
            <w:r w:rsidRPr="00B65579">
              <w:t>Paper</w:t>
            </w:r>
          </w:p>
        </w:tc>
        <w:tc>
          <w:tcPr>
            <w:tcW w:w="1401" w:type="dxa"/>
            <w:hideMark/>
          </w:tcPr>
          <w:p w14:paraId="617132DD" w14:textId="31023618" w:rsidR="00541ABA" w:rsidRPr="00B65579" w:rsidRDefault="00950758" w:rsidP="00365DD7">
            <w:r w:rsidRPr="00B65579">
              <w:t>4,531</w:t>
            </w:r>
          </w:p>
        </w:tc>
        <w:tc>
          <w:tcPr>
            <w:tcW w:w="2085" w:type="dxa"/>
            <w:tcBorders>
              <w:top w:val="nil"/>
              <w:bottom w:val="nil"/>
            </w:tcBorders>
            <w:hideMark/>
          </w:tcPr>
          <w:p w14:paraId="4EB92007" w14:textId="77777777" w:rsidR="00541ABA" w:rsidRPr="00B65579" w:rsidRDefault="00541ABA" w:rsidP="00365DD7"/>
        </w:tc>
        <w:tc>
          <w:tcPr>
            <w:tcW w:w="1365" w:type="dxa"/>
            <w:tcBorders>
              <w:top w:val="nil"/>
              <w:bottom w:val="nil"/>
            </w:tcBorders>
            <w:hideMark/>
          </w:tcPr>
          <w:p w14:paraId="2F0E7AEB" w14:textId="77777777" w:rsidR="00541ABA" w:rsidRPr="00B65579" w:rsidRDefault="00541ABA" w:rsidP="00365DD7"/>
        </w:tc>
        <w:tc>
          <w:tcPr>
            <w:tcW w:w="1498" w:type="dxa"/>
            <w:tcBorders>
              <w:top w:val="nil"/>
              <w:bottom w:val="nil"/>
            </w:tcBorders>
            <w:hideMark/>
          </w:tcPr>
          <w:p w14:paraId="598E630F" w14:textId="77777777" w:rsidR="00541ABA" w:rsidRPr="00B65579" w:rsidRDefault="00541ABA" w:rsidP="00365DD7"/>
        </w:tc>
      </w:tr>
      <w:tr w:rsidR="00541ABA" w:rsidRPr="00B65579" w14:paraId="489D7C66" w14:textId="77777777" w:rsidTr="00541ABA">
        <w:trPr>
          <w:trHeight w:val="320"/>
        </w:trPr>
        <w:tc>
          <w:tcPr>
            <w:tcW w:w="1287" w:type="dxa"/>
            <w:tcBorders>
              <w:top w:val="nil"/>
              <w:bottom w:val="nil"/>
            </w:tcBorders>
            <w:hideMark/>
          </w:tcPr>
          <w:p w14:paraId="7C9C7C7D" w14:textId="77777777" w:rsidR="00541ABA" w:rsidRPr="00B65579" w:rsidRDefault="00541ABA" w:rsidP="00365DD7"/>
        </w:tc>
        <w:tc>
          <w:tcPr>
            <w:tcW w:w="1515" w:type="dxa"/>
            <w:hideMark/>
          </w:tcPr>
          <w:p w14:paraId="1A60BB40" w14:textId="77777777" w:rsidR="00541ABA" w:rsidRPr="00B65579" w:rsidRDefault="00541ABA" w:rsidP="00365DD7">
            <w:r w:rsidRPr="00B65579">
              <w:t>Fuel</w:t>
            </w:r>
          </w:p>
        </w:tc>
        <w:tc>
          <w:tcPr>
            <w:tcW w:w="1401" w:type="dxa"/>
            <w:hideMark/>
          </w:tcPr>
          <w:p w14:paraId="0BFC5933" w14:textId="10BD59A5" w:rsidR="00541ABA" w:rsidRPr="00B65579" w:rsidRDefault="00950758" w:rsidP="00365DD7">
            <w:r w:rsidRPr="00B65579">
              <w:t>20,473</w:t>
            </w:r>
          </w:p>
        </w:tc>
        <w:tc>
          <w:tcPr>
            <w:tcW w:w="2085" w:type="dxa"/>
            <w:tcBorders>
              <w:top w:val="nil"/>
              <w:bottom w:val="nil"/>
            </w:tcBorders>
            <w:hideMark/>
          </w:tcPr>
          <w:p w14:paraId="6AF6AFEC" w14:textId="77777777" w:rsidR="00541ABA" w:rsidRPr="00B65579" w:rsidRDefault="00541ABA" w:rsidP="00365DD7"/>
        </w:tc>
        <w:tc>
          <w:tcPr>
            <w:tcW w:w="1365" w:type="dxa"/>
            <w:tcBorders>
              <w:top w:val="nil"/>
              <w:bottom w:val="nil"/>
            </w:tcBorders>
            <w:hideMark/>
          </w:tcPr>
          <w:p w14:paraId="14C7EBFF" w14:textId="77777777" w:rsidR="00541ABA" w:rsidRPr="00B65579" w:rsidRDefault="00541ABA" w:rsidP="00365DD7"/>
        </w:tc>
        <w:tc>
          <w:tcPr>
            <w:tcW w:w="1498" w:type="dxa"/>
            <w:tcBorders>
              <w:top w:val="nil"/>
              <w:bottom w:val="nil"/>
            </w:tcBorders>
            <w:hideMark/>
          </w:tcPr>
          <w:p w14:paraId="54B54178" w14:textId="77777777" w:rsidR="00541ABA" w:rsidRPr="00B65579" w:rsidRDefault="00541ABA" w:rsidP="00365DD7"/>
        </w:tc>
      </w:tr>
      <w:tr w:rsidR="00541ABA" w:rsidRPr="00B65579" w14:paraId="54626260" w14:textId="77777777" w:rsidTr="00541ABA">
        <w:trPr>
          <w:trHeight w:val="320"/>
        </w:trPr>
        <w:tc>
          <w:tcPr>
            <w:tcW w:w="1287" w:type="dxa"/>
            <w:tcBorders>
              <w:top w:val="nil"/>
            </w:tcBorders>
            <w:hideMark/>
          </w:tcPr>
          <w:p w14:paraId="5CBA2CCB" w14:textId="77777777" w:rsidR="00541ABA" w:rsidRPr="00B65579" w:rsidRDefault="00541ABA" w:rsidP="00365DD7"/>
        </w:tc>
        <w:tc>
          <w:tcPr>
            <w:tcW w:w="1515" w:type="dxa"/>
            <w:hideMark/>
          </w:tcPr>
          <w:p w14:paraId="6D555C7B" w14:textId="77777777" w:rsidR="00541ABA" w:rsidRPr="00B65579" w:rsidRDefault="00541ABA" w:rsidP="00365DD7">
            <w:r w:rsidRPr="00B65579">
              <w:t>Other</w:t>
            </w:r>
          </w:p>
        </w:tc>
        <w:tc>
          <w:tcPr>
            <w:tcW w:w="1401" w:type="dxa"/>
            <w:hideMark/>
          </w:tcPr>
          <w:p w14:paraId="7EC9DABC" w14:textId="638C198E" w:rsidR="00541ABA" w:rsidRPr="00B65579" w:rsidRDefault="00950758" w:rsidP="00365DD7">
            <w:r w:rsidRPr="00B65579">
              <w:t>0</w:t>
            </w:r>
          </w:p>
        </w:tc>
        <w:tc>
          <w:tcPr>
            <w:tcW w:w="2085" w:type="dxa"/>
            <w:tcBorders>
              <w:top w:val="nil"/>
            </w:tcBorders>
            <w:hideMark/>
          </w:tcPr>
          <w:p w14:paraId="20D94879" w14:textId="77777777" w:rsidR="00541ABA" w:rsidRPr="00B65579" w:rsidRDefault="00541ABA" w:rsidP="00365DD7"/>
        </w:tc>
        <w:tc>
          <w:tcPr>
            <w:tcW w:w="1365" w:type="dxa"/>
            <w:tcBorders>
              <w:top w:val="nil"/>
            </w:tcBorders>
            <w:hideMark/>
          </w:tcPr>
          <w:p w14:paraId="4ABE0C45" w14:textId="77777777" w:rsidR="00541ABA" w:rsidRPr="00B65579" w:rsidRDefault="00541ABA" w:rsidP="00365DD7"/>
        </w:tc>
        <w:tc>
          <w:tcPr>
            <w:tcW w:w="1498" w:type="dxa"/>
            <w:tcBorders>
              <w:top w:val="nil"/>
            </w:tcBorders>
            <w:hideMark/>
          </w:tcPr>
          <w:p w14:paraId="77E98363" w14:textId="77777777" w:rsidR="00541ABA" w:rsidRPr="00B65579" w:rsidRDefault="00541ABA" w:rsidP="00365DD7"/>
        </w:tc>
      </w:tr>
      <w:tr w:rsidR="00541ABA" w:rsidRPr="00B65579" w14:paraId="6076E229" w14:textId="77777777" w:rsidTr="00541ABA">
        <w:trPr>
          <w:trHeight w:val="339"/>
        </w:trPr>
        <w:tc>
          <w:tcPr>
            <w:tcW w:w="1287" w:type="dxa"/>
            <w:hideMark/>
          </w:tcPr>
          <w:p w14:paraId="5D64EEFD" w14:textId="77777777" w:rsidR="00541ABA" w:rsidRPr="00B65579" w:rsidRDefault="00541ABA" w:rsidP="00365DD7">
            <w:r w:rsidRPr="00B65579">
              <w:t xml:space="preserve">Total </w:t>
            </w:r>
          </w:p>
        </w:tc>
        <w:tc>
          <w:tcPr>
            <w:tcW w:w="1515" w:type="dxa"/>
            <w:hideMark/>
          </w:tcPr>
          <w:p w14:paraId="04315241" w14:textId="77777777" w:rsidR="00541ABA" w:rsidRPr="00B65579" w:rsidRDefault="00541ABA" w:rsidP="00365DD7"/>
        </w:tc>
        <w:tc>
          <w:tcPr>
            <w:tcW w:w="1401" w:type="dxa"/>
            <w:hideMark/>
          </w:tcPr>
          <w:p w14:paraId="732D4221" w14:textId="77777777" w:rsidR="00541ABA" w:rsidRPr="00B65579" w:rsidRDefault="00541ABA" w:rsidP="00365DD7"/>
        </w:tc>
        <w:tc>
          <w:tcPr>
            <w:tcW w:w="2085" w:type="dxa"/>
            <w:hideMark/>
          </w:tcPr>
          <w:p w14:paraId="2A4EE6DF" w14:textId="0FF0F21D" w:rsidR="00541ABA" w:rsidRPr="00B65579" w:rsidRDefault="00950758" w:rsidP="00365DD7">
            <w:r w:rsidRPr="00B65579">
              <w:t>507,435</w:t>
            </w:r>
          </w:p>
        </w:tc>
        <w:tc>
          <w:tcPr>
            <w:tcW w:w="1365" w:type="dxa"/>
            <w:hideMark/>
          </w:tcPr>
          <w:p w14:paraId="2FFBCEA8" w14:textId="16F65720" w:rsidR="00541ABA" w:rsidRPr="00B65579" w:rsidRDefault="00950758" w:rsidP="00365DD7">
            <w:pPr>
              <w:rPr>
                <w:rFonts w:eastAsia="Times New Roman" w:cs="Times New Roman"/>
                <w:color w:val="000000"/>
              </w:rPr>
            </w:pPr>
            <w:r w:rsidRPr="00B65579">
              <w:rPr>
                <w:rFonts w:eastAsia="Times New Roman" w:cs="Times New Roman"/>
                <w:color w:val="000000"/>
              </w:rPr>
              <w:t>2,428</w:t>
            </w:r>
          </w:p>
        </w:tc>
        <w:tc>
          <w:tcPr>
            <w:tcW w:w="1498" w:type="dxa"/>
            <w:hideMark/>
          </w:tcPr>
          <w:p w14:paraId="6A33CE1B" w14:textId="3831E78B" w:rsidR="00541ABA" w:rsidRPr="00B65579" w:rsidRDefault="005F6689" w:rsidP="00365DD7">
            <w:r w:rsidRPr="00B65579">
              <w:t>10,149</w:t>
            </w:r>
          </w:p>
        </w:tc>
      </w:tr>
    </w:tbl>
    <w:p w14:paraId="0EFDC86B" w14:textId="77777777" w:rsidR="00EA2FFF" w:rsidRDefault="00EA2FFF" w:rsidP="00365DD7"/>
    <w:p w14:paraId="3775228B" w14:textId="047B9127" w:rsidR="005F6689" w:rsidRPr="00B65579" w:rsidRDefault="00341B02" w:rsidP="00365DD7">
      <w:r w:rsidRPr="00B65579">
        <w:t xml:space="preserve">One of the </w:t>
      </w:r>
      <w:r w:rsidR="005F6689" w:rsidRPr="00B65579">
        <w:t>key issues identified by the students in their reports</w:t>
      </w:r>
      <w:r w:rsidRPr="00B65579">
        <w:t xml:space="preserve">, was how important it was for companies to have </w:t>
      </w:r>
      <w:r w:rsidR="005F6689" w:rsidRPr="00B65579">
        <w:t xml:space="preserve">a </w:t>
      </w:r>
      <w:r w:rsidRPr="00B65579">
        <w:t xml:space="preserve">full set of data, in order to measure and recommend effective steps that their companies can take to reduce their emissions. Consequently, for this to happen, </w:t>
      </w:r>
      <w:r w:rsidR="00BC480E" w:rsidRPr="00B65579">
        <w:t xml:space="preserve">different functions </w:t>
      </w:r>
      <w:r w:rsidRPr="00B65579">
        <w:t>of companies need to collaborate, to ensure that there is clear understanding of what the functions need to do in order to meet the</w:t>
      </w:r>
      <w:r w:rsidR="00BC480E" w:rsidRPr="00B65579">
        <w:t xml:space="preserve"> </w:t>
      </w:r>
      <w:r w:rsidR="008A7C92">
        <w:t>greenhouse gas</w:t>
      </w:r>
      <w:r w:rsidR="008A7C92" w:rsidRPr="00B65579">
        <w:t xml:space="preserve"> </w:t>
      </w:r>
      <w:r w:rsidR="00BC480E" w:rsidRPr="00B65579">
        <w:t>target set</w:t>
      </w:r>
      <w:r w:rsidRPr="00B65579">
        <w:t>. For example, the analysis denotes that about 80% of the companies in the Private, 87% in the Public, and 71% of the Third Sector respectively, would benefit from these functions working</w:t>
      </w:r>
      <w:r w:rsidR="00EA2FFF">
        <w:t xml:space="preserve"> </w:t>
      </w:r>
      <w:r w:rsidRPr="00B65579">
        <w:t>together should they decide to take up the recommendations developed by their student groups. For instance, such recommendations include investing in IT facilities that would enable the companies to have video conferencing to reduce business travel, or to change their packaging so that they can communicate their emission goals to their stakeholders. This highlights the importance of collaboration between the different function</w:t>
      </w:r>
      <w:r w:rsidR="005F6689" w:rsidRPr="00B65579">
        <w:t>s of companies</w:t>
      </w:r>
      <w:r w:rsidRPr="00B65579">
        <w:t xml:space="preserve">, to address how </w:t>
      </w:r>
      <w:r w:rsidR="004B68A4" w:rsidRPr="00B65579">
        <w:t>emissions are</w:t>
      </w:r>
      <w:r w:rsidRPr="00B65579">
        <w:t xml:space="preserve"> being reduced by business. </w:t>
      </w:r>
      <w:r w:rsidR="009111EE" w:rsidRPr="00B65579">
        <w:t>Therefore,</w:t>
      </w:r>
      <w:r w:rsidR="005F6689" w:rsidRPr="00B65579">
        <w:t xml:space="preserve"> our findings indicate that from the different functions in a company, Operations (including Estate Facilities), Accounting, and Communicating with both internal and external stakeholders (under the theme of Marketing) are the main three that need to be heavily involved when working to reduce </w:t>
      </w:r>
      <w:r w:rsidR="004008B6">
        <w:t xml:space="preserve">greenhouse gas </w:t>
      </w:r>
      <w:r w:rsidR="005F6689" w:rsidRPr="00B65579">
        <w:t>emissions</w:t>
      </w:r>
      <w:r w:rsidR="0001774A">
        <w:t>.</w:t>
      </w:r>
      <w:r w:rsidR="005F6689" w:rsidRPr="00B65579">
        <w:t xml:space="preserve"> </w:t>
      </w:r>
    </w:p>
    <w:p w14:paraId="6E242489" w14:textId="0C5E3D2B" w:rsidR="007831C4" w:rsidRPr="00365DD7" w:rsidRDefault="005F6689" w:rsidP="00365DD7">
      <w:r w:rsidRPr="00B65579">
        <w:t>T</w:t>
      </w:r>
      <w:r w:rsidR="00341B02" w:rsidRPr="00B65579">
        <w:t>a</w:t>
      </w:r>
      <w:r w:rsidR="00BC480E" w:rsidRPr="00B65579">
        <w:t>ble 3</w:t>
      </w:r>
      <w:r w:rsidRPr="00B65579">
        <w:t xml:space="preserve"> </w:t>
      </w:r>
      <w:r w:rsidR="00341B02" w:rsidRPr="00B65579">
        <w:t>indicates that before the projects, not man</w:t>
      </w:r>
      <w:r w:rsidR="008078FB" w:rsidRPr="00B65579">
        <w:t>y functions of the companies were</w:t>
      </w:r>
      <w:r w:rsidR="00341B02" w:rsidRPr="00B65579">
        <w:t xml:space="preserve"> involved, either collaboratively or separately, in reducing their</w:t>
      </w:r>
      <w:r w:rsidR="008078FB" w:rsidRPr="00B65579">
        <w:t xml:space="preserve"> </w:t>
      </w:r>
      <w:r w:rsidR="00341B02" w:rsidRPr="00B65579">
        <w:t>emissions. However, after the projects and based on the studen</w:t>
      </w:r>
      <w:r w:rsidR="008078FB" w:rsidRPr="00B65579">
        <w:t>ts’ recommendations, there has been</w:t>
      </w:r>
      <w:r w:rsidR="00341B02" w:rsidRPr="00B65579">
        <w:t xml:space="preserve"> an increase in the </w:t>
      </w:r>
      <w:r w:rsidR="008078FB" w:rsidRPr="00B65579">
        <w:t xml:space="preserve">company </w:t>
      </w:r>
      <w:r w:rsidR="00341B02" w:rsidRPr="00B65579">
        <w:t>functions</w:t>
      </w:r>
      <w:r w:rsidR="008078FB" w:rsidRPr="00B65579">
        <w:t xml:space="preserve"> involved in this, including</w:t>
      </w:r>
      <w:r w:rsidR="00341B02" w:rsidRPr="00B65579">
        <w:t xml:space="preserve"> Innovation, Human Resource</w:t>
      </w:r>
      <w:r w:rsidR="008078FB" w:rsidRPr="00B65579">
        <w:t>s</w:t>
      </w:r>
      <w:r w:rsidR="00341B02" w:rsidRPr="00B65579">
        <w:t xml:space="preserve">, and </w:t>
      </w:r>
      <w:r w:rsidR="0001774A">
        <w:t>collaborations</w:t>
      </w:r>
      <w:r w:rsidR="00341B02" w:rsidRPr="00B65579">
        <w:t xml:space="preserve"> wi</w:t>
      </w:r>
      <w:r w:rsidR="0009425A" w:rsidRPr="00B65579">
        <w:t>th other companies</w:t>
      </w:r>
      <w:r w:rsidR="00341B02" w:rsidRPr="00B65579">
        <w:t>. Innovation is a theme included based on students’ recommendations such as looking at alternative types of packaging, human resource is a function that encompass training of staff about the process to reduce</w:t>
      </w:r>
      <w:r w:rsidR="00BC480E" w:rsidRPr="00B65579">
        <w:t xml:space="preserve"> their emissions, whilst</w:t>
      </w:r>
      <w:r w:rsidR="00341B02" w:rsidRPr="00B65579">
        <w:t xml:space="preserve"> collaborations include elements of companies looking for suppliers with similar environmental accreditations, for example, so as to enable them to build on their existing branding. </w:t>
      </w:r>
    </w:p>
    <w:p w14:paraId="421EE8F3" w14:textId="13CC2F4B" w:rsidR="00341B02" w:rsidRPr="00B65579" w:rsidRDefault="007831C4" w:rsidP="00365DD7">
      <w:r w:rsidRPr="00B65579">
        <w:rPr>
          <w:b/>
          <w:bCs/>
        </w:rPr>
        <w:t>Table 3</w:t>
      </w:r>
      <w:r w:rsidR="00341B02" w:rsidRPr="00B65579">
        <w:t xml:space="preserve">: Number of functions involved </w:t>
      </w:r>
      <w:r w:rsidR="008078FB" w:rsidRPr="00B65579">
        <w:t xml:space="preserve">in addressing greenhouse gas emissions </w:t>
      </w:r>
      <w:r w:rsidR="00341B02" w:rsidRPr="00B65579">
        <w:t xml:space="preserve">before and after </w:t>
      </w:r>
      <w:r w:rsidR="004008B6">
        <w:t>the</w:t>
      </w:r>
      <w:r w:rsidR="004008B6" w:rsidRPr="00B65579">
        <w:t xml:space="preserve"> </w:t>
      </w:r>
      <w:r w:rsidR="004008B6">
        <w:t>p</w:t>
      </w:r>
      <w:r w:rsidR="00341B02" w:rsidRPr="00B65579">
        <w:t>roject</w:t>
      </w:r>
    </w:p>
    <w:tbl>
      <w:tblPr>
        <w:tblStyle w:val="TableGrid"/>
        <w:tblW w:w="0" w:type="auto"/>
        <w:tblLook w:val="04A0" w:firstRow="1" w:lastRow="0" w:firstColumn="1" w:lastColumn="0" w:noHBand="0" w:noVBand="1"/>
      </w:tblPr>
      <w:tblGrid>
        <w:gridCol w:w="2645"/>
        <w:gridCol w:w="1178"/>
        <w:gridCol w:w="1134"/>
        <w:gridCol w:w="1134"/>
        <w:gridCol w:w="1134"/>
        <w:gridCol w:w="1134"/>
        <w:gridCol w:w="1269"/>
      </w:tblGrid>
      <w:tr w:rsidR="00341B02" w:rsidRPr="00B65579" w14:paraId="2A62A08D" w14:textId="34E0D48D" w:rsidTr="00113EA7">
        <w:tc>
          <w:tcPr>
            <w:tcW w:w="2645" w:type="dxa"/>
          </w:tcPr>
          <w:p w14:paraId="36DB8AC5" w14:textId="40E5D5A6" w:rsidR="00341B02" w:rsidRPr="00B65579" w:rsidRDefault="00341B02" w:rsidP="00365DD7">
            <w:r w:rsidRPr="00B65579">
              <w:t>Functions</w:t>
            </w:r>
          </w:p>
          <w:p w14:paraId="1F676EE7" w14:textId="4C421633" w:rsidR="00341B02" w:rsidRPr="00B65579" w:rsidRDefault="00341B02" w:rsidP="00365DD7"/>
        </w:tc>
        <w:tc>
          <w:tcPr>
            <w:tcW w:w="6983" w:type="dxa"/>
            <w:gridSpan w:val="6"/>
          </w:tcPr>
          <w:p w14:paraId="5E164465" w14:textId="0F39E125" w:rsidR="00341B02" w:rsidRPr="00B65579" w:rsidRDefault="00341B02" w:rsidP="00365DD7">
            <w:r w:rsidRPr="00B65579">
              <w:t>Number of organisations</w:t>
            </w:r>
          </w:p>
          <w:p w14:paraId="174AC48A" w14:textId="3A7EFDF1" w:rsidR="00341B02" w:rsidRPr="00B65579" w:rsidRDefault="00341B02" w:rsidP="00365DD7"/>
        </w:tc>
      </w:tr>
      <w:tr w:rsidR="00341B02" w:rsidRPr="00B65579" w14:paraId="4E3D0B14" w14:textId="593F999B" w:rsidTr="00113EA7">
        <w:tc>
          <w:tcPr>
            <w:tcW w:w="2645" w:type="dxa"/>
          </w:tcPr>
          <w:p w14:paraId="24B60077" w14:textId="3047026F" w:rsidR="00341B02" w:rsidRPr="00B65579" w:rsidRDefault="00341B02" w:rsidP="00365DD7"/>
        </w:tc>
        <w:tc>
          <w:tcPr>
            <w:tcW w:w="3446" w:type="dxa"/>
            <w:gridSpan w:val="3"/>
          </w:tcPr>
          <w:p w14:paraId="753C9464" w14:textId="27323D85" w:rsidR="00341B02" w:rsidRPr="00B65579" w:rsidRDefault="00341B02" w:rsidP="00365DD7">
            <w:r w:rsidRPr="00B65579">
              <w:t>Before</w:t>
            </w:r>
          </w:p>
        </w:tc>
        <w:tc>
          <w:tcPr>
            <w:tcW w:w="3537" w:type="dxa"/>
            <w:gridSpan w:val="3"/>
          </w:tcPr>
          <w:p w14:paraId="3015C541" w14:textId="2F2FD65E" w:rsidR="00341B02" w:rsidRPr="00B65579" w:rsidRDefault="00341B02" w:rsidP="00365DD7">
            <w:r w:rsidRPr="00B65579">
              <w:t>After</w:t>
            </w:r>
          </w:p>
        </w:tc>
      </w:tr>
      <w:tr w:rsidR="00341B02" w:rsidRPr="00B65579" w14:paraId="035323BB" w14:textId="755DD30B" w:rsidTr="00113EA7">
        <w:tc>
          <w:tcPr>
            <w:tcW w:w="2645" w:type="dxa"/>
          </w:tcPr>
          <w:p w14:paraId="16DEEE83" w14:textId="77F4B7C1" w:rsidR="00341B02" w:rsidRPr="00B65579" w:rsidRDefault="00341B02" w:rsidP="00365DD7"/>
        </w:tc>
        <w:tc>
          <w:tcPr>
            <w:tcW w:w="1178" w:type="dxa"/>
          </w:tcPr>
          <w:p w14:paraId="0170CED1" w14:textId="079030C2" w:rsidR="00341B02" w:rsidRPr="00B65579" w:rsidRDefault="00341B02" w:rsidP="00365DD7">
            <w:r w:rsidRPr="00B65579">
              <w:t>Private Sector</w:t>
            </w:r>
          </w:p>
        </w:tc>
        <w:tc>
          <w:tcPr>
            <w:tcW w:w="1134" w:type="dxa"/>
          </w:tcPr>
          <w:p w14:paraId="5FBAD661" w14:textId="5AC49EE0" w:rsidR="00341B02" w:rsidRPr="00B65579" w:rsidRDefault="00341B02" w:rsidP="00365DD7">
            <w:r w:rsidRPr="00B65579">
              <w:t>Public Sector</w:t>
            </w:r>
          </w:p>
        </w:tc>
        <w:tc>
          <w:tcPr>
            <w:tcW w:w="1134" w:type="dxa"/>
          </w:tcPr>
          <w:p w14:paraId="1DBF38C2" w14:textId="32914656" w:rsidR="00341B02" w:rsidRPr="00B65579" w:rsidRDefault="00341B02" w:rsidP="00365DD7">
            <w:r w:rsidRPr="00B65579">
              <w:t>Third Sector</w:t>
            </w:r>
          </w:p>
        </w:tc>
        <w:tc>
          <w:tcPr>
            <w:tcW w:w="1134" w:type="dxa"/>
          </w:tcPr>
          <w:p w14:paraId="4BF13089" w14:textId="7377DED5" w:rsidR="00341B02" w:rsidRPr="00B65579" w:rsidRDefault="00341B02" w:rsidP="00365DD7">
            <w:r w:rsidRPr="00B65579">
              <w:t>Private Sector</w:t>
            </w:r>
          </w:p>
        </w:tc>
        <w:tc>
          <w:tcPr>
            <w:tcW w:w="1134" w:type="dxa"/>
          </w:tcPr>
          <w:p w14:paraId="7EDFCB3C" w14:textId="6FCCCDB3" w:rsidR="00341B02" w:rsidRPr="00B65579" w:rsidRDefault="00341B02" w:rsidP="00365DD7">
            <w:r w:rsidRPr="00B65579">
              <w:t>Public Sector</w:t>
            </w:r>
          </w:p>
        </w:tc>
        <w:tc>
          <w:tcPr>
            <w:tcW w:w="1269" w:type="dxa"/>
          </w:tcPr>
          <w:p w14:paraId="6A84CA56" w14:textId="4F4A6DA9" w:rsidR="00341B02" w:rsidRPr="00B65579" w:rsidRDefault="00341B02" w:rsidP="00365DD7">
            <w:r w:rsidRPr="00B65579">
              <w:t>Third Sector</w:t>
            </w:r>
          </w:p>
        </w:tc>
      </w:tr>
      <w:tr w:rsidR="00341B02" w:rsidRPr="00B65579" w14:paraId="238655FE" w14:textId="68F055FA" w:rsidTr="00113EA7">
        <w:trPr>
          <w:trHeight w:val="982"/>
        </w:trPr>
        <w:tc>
          <w:tcPr>
            <w:tcW w:w="2645" w:type="dxa"/>
          </w:tcPr>
          <w:p w14:paraId="278E7249" w14:textId="4B516D51" w:rsidR="00341B02" w:rsidRPr="00B65579" w:rsidRDefault="00341B02" w:rsidP="00365DD7">
            <w:r w:rsidRPr="00B65579">
              <w:t>Marketing (branding and communicating)</w:t>
            </w:r>
          </w:p>
        </w:tc>
        <w:tc>
          <w:tcPr>
            <w:tcW w:w="1178" w:type="dxa"/>
          </w:tcPr>
          <w:p w14:paraId="1EC31A97" w14:textId="3B238BC2" w:rsidR="00341B02" w:rsidRPr="00B65579" w:rsidRDefault="00341B02" w:rsidP="00365DD7">
            <w:r w:rsidRPr="00B65579">
              <w:t>10</w:t>
            </w:r>
          </w:p>
          <w:p w14:paraId="3DDFC296" w14:textId="5DB555E2" w:rsidR="00341B02" w:rsidRPr="00B65579" w:rsidRDefault="00341B02" w:rsidP="00365DD7"/>
          <w:p w14:paraId="4C38C304" w14:textId="10ACB917" w:rsidR="00341B02" w:rsidRPr="00B65579" w:rsidRDefault="00341B02" w:rsidP="00365DD7"/>
        </w:tc>
        <w:tc>
          <w:tcPr>
            <w:tcW w:w="1134" w:type="dxa"/>
          </w:tcPr>
          <w:p w14:paraId="389E5814" w14:textId="77110230" w:rsidR="00341B02" w:rsidRPr="00B65579" w:rsidRDefault="00341B02" w:rsidP="00365DD7">
            <w:r w:rsidRPr="00B65579">
              <w:t>0</w:t>
            </w:r>
          </w:p>
        </w:tc>
        <w:tc>
          <w:tcPr>
            <w:tcW w:w="1134" w:type="dxa"/>
          </w:tcPr>
          <w:p w14:paraId="2DA5D920" w14:textId="78EF0BD3" w:rsidR="00341B02" w:rsidRPr="00B65579" w:rsidRDefault="00341B02" w:rsidP="00365DD7">
            <w:r w:rsidRPr="00B65579">
              <w:t>1</w:t>
            </w:r>
          </w:p>
        </w:tc>
        <w:tc>
          <w:tcPr>
            <w:tcW w:w="1134" w:type="dxa"/>
          </w:tcPr>
          <w:p w14:paraId="4E875CA4" w14:textId="3A3333EF" w:rsidR="00341B02" w:rsidRPr="00B65579" w:rsidRDefault="00341B02" w:rsidP="00365DD7">
            <w:r w:rsidRPr="00B65579">
              <w:t>35</w:t>
            </w:r>
          </w:p>
          <w:p w14:paraId="39F9EC60" w14:textId="595C3063" w:rsidR="00341B02" w:rsidRPr="00B65579" w:rsidRDefault="00341B02" w:rsidP="00365DD7"/>
        </w:tc>
        <w:tc>
          <w:tcPr>
            <w:tcW w:w="1134" w:type="dxa"/>
          </w:tcPr>
          <w:p w14:paraId="43EDEED3" w14:textId="1D0B0536" w:rsidR="00341B02" w:rsidRPr="00B65579" w:rsidRDefault="00341B02" w:rsidP="00365DD7">
            <w:r w:rsidRPr="00B65579">
              <w:t>8</w:t>
            </w:r>
          </w:p>
        </w:tc>
        <w:tc>
          <w:tcPr>
            <w:tcW w:w="1269" w:type="dxa"/>
          </w:tcPr>
          <w:p w14:paraId="19EFE73A" w14:textId="3625F337" w:rsidR="00341B02" w:rsidRPr="00B65579" w:rsidRDefault="00341B02" w:rsidP="00365DD7">
            <w:r w:rsidRPr="00B65579">
              <w:t>7</w:t>
            </w:r>
          </w:p>
        </w:tc>
      </w:tr>
      <w:tr w:rsidR="00341B02" w:rsidRPr="00B65579" w14:paraId="2BE860FE" w14:textId="547BA455" w:rsidTr="00113EA7">
        <w:tc>
          <w:tcPr>
            <w:tcW w:w="2645" w:type="dxa"/>
          </w:tcPr>
          <w:p w14:paraId="739DB468" w14:textId="34C93AA9" w:rsidR="00341B02" w:rsidRPr="00B65579" w:rsidRDefault="00341B02" w:rsidP="00365DD7">
            <w:r w:rsidRPr="00B65579">
              <w:t>Accounting</w:t>
            </w:r>
          </w:p>
        </w:tc>
        <w:tc>
          <w:tcPr>
            <w:tcW w:w="1178" w:type="dxa"/>
          </w:tcPr>
          <w:p w14:paraId="041EF066" w14:textId="67D4F099" w:rsidR="00341B02" w:rsidRPr="00B65579" w:rsidRDefault="00341B02" w:rsidP="00365DD7">
            <w:r w:rsidRPr="00B65579">
              <w:t>28</w:t>
            </w:r>
          </w:p>
        </w:tc>
        <w:tc>
          <w:tcPr>
            <w:tcW w:w="1134" w:type="dxa"/>
          </w:tcPr>
          <w:p w14:paraId="31F91AD9" w14:textId="17E05888" w:rsidR="00341B02" w:rsidRPr="00B65579" w:rsidRDefault="00341B02" w:rsidP="00365DD7">
            <w:r w:rsidRPr="00B65579">
              <w:t>8</w:t>
            </w:r>
          </w:p>
        </w:tc>
        <w:tc>
          <w:tcPr>
            <w:tcW w:w="1134" w:type="dxa"/>
          </w:tcPr>
          <w:p w14:paraId="3C87CD99" w14:textId="676A8A38" w:rsidR="00341B02" w:rsidRPr="00B65579" w:rsidRDefault="00341B02" w:rsidP="00365DD7">
            <w:r w:rsidRPr="00B65579">
              <w:t>5</w:t>
            </w:r>
          </w:p>
        </w:tc>
        <w:tc>
          <w:tcPr>
            <w:tcW w:w="1134" w:type="dxa"/>
          </w:tcPr>
          <w:p w14:paraId="40E74D75" w14:textId="6D8CCE72" w:rsidR="00341B02" w:rsidRPr="00B65579" w:rsidRDefault="00341B02" w:rsidP="00365DD7">
            <w:r w:rsidRPr="00B65579">
              <w:t>35</w:t>
            </w:r>
          </w:p>
        </w:tc>
        <w:tc>
          <w:tcPr>
            <w:tcW w:w="1134" w:type="dxa"/>
          </w:tcPr>
          <w:p w14:paraId="04936A68" w14:textId="1321FD30" w:rsidR="00341B02" w:rsidRPr="00B65579" w:rsidRDefault="00341B02" w:rsidP="00365DD7">
            <w:r w:rsidRPr="00B65579">
              <w:t>8</w:t>
            </w:r>
          </w:p>
        </w:tc>
        <w:tc>
          <w:tcPr>
            <w:tcW w:w="1269" w:type="dxa"/>
          </w:tcPr>
          <w:p w14:paraId="2665D6A6" w14:textId="45727EEA" w:rsidR="00341B02" w:rsidRPr="00B65579" w:rsidRDefault="00341B02" w:rsidP="00365DD7">
            <w:r w:rsidRPr="00B65579">
              <w:t>7</w:t>
            </w:r>
          </w:p>
        </w:tc>
      </w:tr>
      <w:tr w:rsidR="00341B02" w:rsidRPr="00B65579" w14:paraId="08592C2B" w14:textId="1334883B" w:rsidTr="00113EA7">
        <w:tc>
          <w:tcPr>
            <w:tcW w:w="2645" w:type="dxa"/>
          </w:tcPr>
          <w:p w14:paraId="0CDDBD14" w14:textId="66D3E5F9" w:rsidR="00341B02" w:rsidRPr="00B65579" w:rsidRDefault="00341B02" w:rsidP="00365DD7">
            <w:r w:rsidRPr="00B65579">
              <w:t>Operations (including supply chain and estate facilities)</w:t>
            </w:r>
          </w:p>
        </w:tc>
        <w:tc>
          <w:tcPr>
            <w:tcW w:w="1178" w:type="dxa"/>
          </w:tcPr>
          <w:p w14:paraId="31AB62B6" w14:textId="7B866485" w:rsidR="00341B02" w:rsidRPr="00B65579" w:rsidRDefault="00341B02" w:rsidP="00365DD7">
            <w:r w:rsidRPr="00B65579">
              <w:t>18</w:t>
            </w:r>
          </w:p>
        </w:tc>
        <w:tc>
          <w:tcPr>
            <w:tcW w:w="1134" w:type="dxa"/>
          </w:tcPr>
          <w:p w14:paraId="16F6ADAC" w14:textId="29EED833" w:rsidR="00341B02" w:rsidRPr="00B65579" w:rsidRDefault="00341B02" w:rsidP="00365DD7">
            <w:r w:rsidRPr="00B65579">
              <w:t>4</w:t>
            </w:r>
          </w:p>
        </w:tc>
        <w:tc>
          <w:tcPr>
            <w:tcW w:w="1134" w:type="dxa"/>
          </w:tcPr>
          <w:p w14:paraId="107152E3" w14:textId="64C4D6E4" w:rsidR="00341B02" w:rsidRPr="00B65579" w:rsidRDefault="00341B02" w:rsidP="00365DD7">
            <w:r w:rsidRPr="00B65579">
              <w:t>1</w:t>
            </w:r>
          </w:p>
        </w:tc>
        <w:tc>
          <w:tcPr>
            <w:tcW w:w="1134" w:type="dxa"/>
          </w:tcPr>
          <w:p w14:paraId="6685992B" w14:textId="115420AD" w:rsidR="00341B02" w:rsidRPr="00B65579" w:rsidRDefault="00341B02" w:rsidP="00365DD7">
            <w:r w:rsidRPr="00B65579">
              <w:t>30</w:t>
            </w:r>
          </w:p>
        </w:tc>
        <w:tc>
          <w:tcPr>
            <w:tcW w:w="1134" w:type="dxa"/>
          </w:tcPr>
          <w:p w14:paraId="2E51E422" w14:textId="491E9261" w:rsidR="00341B02" w:rsidRPr="00B65579" w:rsidRDefault="00341B02" w:rsidP="00365DD7">
            <w:r w:rsidRPr="00B65579">
              <w:t>8</w:t>
            </w:r>
          </w:p>
        </w:tc>
        <w:tc>
          <w:tcPr>
            <w:tcW w:w="1269" w:type="dxa"/>
          </w:tcPr>
          <w:p w14:paraId="16A9BA34" w14:textId="6BFE3B44" w:rsidR="00341B02" w:rsidRPr="00B65579" w:rsidRDefault="00341B02" w:rsidP="00365DD7">
            <w:r w:rsidRPr="00B65579">
              <w:t>7</w:t>
            </w:r>
          </w:p>
        </w:tc>
      </w:tr>
      <w:tr w:rsidR="00341B02" w:rsidRPr="00B65579" w14:paraId="0A552958" w14:textId="11DFF390" w:rsidTr="00113EA7">
        <w:tc>
          <w:tcPr>
            <w:tcW w:w="2645" w:type="dxa"/>
          </w:tcPr>
          <w:p w14:paraId="600027D7" w14:textId="7B648C73" w:rsidR="00341B02" w:rsidRPr="00B65579" w:rsidRDefault="00341B02" w:rsidP="00365DD7">
            <w:r w:rsidRPr="00B65579">
              <w:t>Human Resource</w:t>
            </w:r>
          </w:p>
        </w:tc>
        <w:tc>
          <w:tcPr>
            <w:tcW w:w="1178" w:type="dxa"/>
          </w:tcPr>
          <w:p w14:paraId="0105421E" w14:textId="0063AAC9" w:rsidR="00341B02" w:rsidRPr="00B65579" w:rsidRDefault="00341B02" w:rsidP="00365DD7">
            <w:r w:rsidRPr="00B65579">
              <w:t>15</w:t>
            </w:r>
          </w:p>
        </w:tc>
        <w:tc>
          <w:tcPr>
            <w:tcW w:w="1134" w:type="dxa"/>
          </w:tcPr>
          <w:p w14:paraId="41C638AA" w14:textId="0A7AA1E5" w:rsidR="00341B02" w:rsidRPr="00B65579" w:rsidRDefault="00341B02" w:rsidP="00365DD7">
            <w:r w:rsidRPr="00B65579">
              <w:t>3</w:t>
            </w:r>
          </w:p>
        </w:tc>
        <w:tc>
          <w:tcPr>
            <w:tcW w:w="1134" w:type="dxa"/>
          </w:tcPr>
          <w:p w14:paraId="6C789B56" w14:textId="59E37CB1" w:rsidR="00341B02" w:rsidRPr="00B65579" w:rsidRDefault="00341B02" w:rsidP="00365DD7">
            <w:r w:rsidRPr="00B65579">
              <w:t>3</w:t>
            </w:r>
          </w:p>
        </w:tc>
        <w:tc>
          <w:tcPr>
            <w:tcW w:w="1134" w:type="dxa"/>
          </w:tcPr>
          <w:p w14:paraId="69EC25C8" w14:textId="5F23C092" w:rsidR="00341B02" w:rsidRPr="00B65579" w:rsidRDefault="00341B02" w:rsidP="00365DD7">
            <w:r w:rsidRPr="00B65579">
              <w:t>21</w:t>
            </w:r>
          </w:p>
        </w:tc>
        <w:tc>
          <w:tcPr>
            <w:tcW w:w="1134" w:type="dxa"/>
          </w:tcPr>
          <w:p w14:paraId="23724718" w14:textId="780006F9" w:rsidR="00341B02" w:rsidRPr="00B65579" w:rsidRDefault="00341B02" w:rsidP="00365DD7">
            <w:r w:rsidRPr="00B65579">
              <w:t>7</w:t>
            </w:r>
          </w:p>
        </w:tc>
        <w:tc>
          <w:tcPr>
            <w:tcW w:w="1269" w:type="dxa"/>
          </w:tcPr>
          <w:p w14:paraId="721E2A99" w14:textId="2AD6EA1C" w:rsidR="00341B02" w:rsidRPr="00B65579" w:rsidRDefault="00341B02" w:rsidP="00365DD7">
            <w:r w:rsidRPr="00B65579">
              <w:t>3</w:t>
            </w:r>
          </w:p>
        </w:tc>
      </w:tr>
      <w:tr w:rsidR="00341B02" w:rsidRPr="00B65579" w14:paraId="564C6AFE" w14:textId="60939308" w:rsidTr="00113EA7">
        <w:tc>
          <w:tcPr>
            <w:tcW w:w="2645" w:type="dxa"/>
          </w:tcPr>
          <w:p w14:paraId="001FCEE4" w14:textId="3D3CC0D3" w:rsidR="00341B02" w:rsidRPr="00B65579" w:rsidRDefault="00341B02" w:rsidP="00365DD7">
            <w:r w:rsidRPr="00B65579">
              <w:lastRenderedPageBreak/>
              <w:t>Innovation</w:t>
            </w:r>
          </w:p>
        </w:tc>
        <w:tc>
          <w:tcPr>
            <w:tcW w:w="1178" w:type="dxa"/>
          </w:tcPr>
          <w:p w14:paraId="5F50C3F6" w14:textId="43F9FAE4" w:rsidR="00341B02" w:rsidRPr="00B65579" w:rsidRDefault="00341B02" w:rsidP="00365DD7">
            <w:r w:rsidRPr="00B65579">
              <w:t>10</w:t>
            </w:r>
          </w:p>
        </w:tc>
        <w:tc>
          <w:tcPr>
            <w:tcW w:w="1134" w:type="dxa"/>
          </w:tcPr>
          <w:p w14:paraId="387AAAFB" w14:textId="6A08E003" w:rsidR="00341B02" w:rsidRPr="00B65579" w:rsidRDefault="00341B02" w:rsidP="00365DD7">
            <w:r w:rsidRPr="00B65579">
              <w:t>0</w:t>
            </w:r>
          </w:p>
        </w:tc>
        <w:tc>
          <w:tcPr>
            <w:tcW w:w="1134" w:type="dxa"/>
          </w:tcPr>
          <w:p w14:paraId="54FE35A6" w14:textId="5BB83DAD" w:rsidR="00341B02" w:rsidRPr="00B65579" w:rsidRDefault="00341B02" w:rsidP="00365DD7">
            <w:r w:rsidRPr="00B65579">
              <w:t>0</w:t>
            </w:r>
          </w:p>
        </w:tc>
        <w:tc>
          <w:tcPr>
            <w:tcW w:w="1134" w:type="dxa"/>
          </w:tcPr>
          <w:p w14:paraId="375D12AC" w14:textId="47D5E7A4" w:rsidR="00341B02" w:rsidRPr="00B65579" w:rsidRDefault="00341B02" w:rsidP="00365DD7">
            <w:r w:rsidRPr="00B65579">
              <w:t>18</w:t>
            </w:r>
          </w:p>
        </w:tc>
        <w:tc>
          <w:tcPr>
            <w:tcW w:w="1134" w:type="dxa"/>
          </w:tcPr>
          <w:p w14:paraId="08A22382" w14:textId="30F39775" w:rsidR="00341B02" w:rsidRPr="00B65579" w:rsidRDefault="00341B02" w:rsidP="00365DD7">
            <w:r w:rsidRPr="00B65579">
              <w:t>3</w:t>
            </w:r>
          </w:p>
        </w:tc>
        <w:tc>
          <w:tcPr>
            <w:tcW w:w="1269" w:type="dxa"/>
          </w:tcPr>
          <w:p w14:paraId="4F38EF98" w14:textId="66D3A5FC" w:rsidR="00341B02" w:rsidRPr="00B65579" w:rsidRDefault="00341B02" w:rsidP="00365DD7">
            <w:r w:rsidRPr="00B65579">
              <w:t>4</w:t>
            </w:r>
          </w:p>
        </w:tc>
      </w:tr>
      <w:tr w:rsidR="00341B02" w:rsidRPr="00B65579" w14:paraId="5C5ACC52" w14:textId="4A155976" w:rsidTr="00113EA7">
        <w:tc>
          <w:tcPr>
            <w:tcW w:w="2645" w:type="dxa"/>
          </w:tcPr>
          <w:p w14:paraId="4CB164C5" w14:textId="79B914D2" w:rsidR="00341B02" w:rsidRPr="00B65579" w:rsidRDefault="00341B02" w:rsidP="00365DD7">
            <w:r w:rsidRPr="00B65579">
              <w:t>Logistics</w:t>
            </w:r>
          </w:p>
        </w:tc>
        <w:tc>
          <w:tcPr>
            <w:tcW w:w="1178" w:type="dxa"/>
          </w:tcPr>
          <w:p w14:paraId="4C73B2E1" w14:textId="37E98B8D" w:rsidR="00341B02" w:rsidRPr="00B65579" w:rsidRDefault="00341B02" w:rsidP="00365DD7">
            <w:r w:rsidRPr="00B65579">
              <w:t>0</w:t>
            </w:r>
          </w:p>
        </w:tc>
        <w:tc>
          <w:tcPr>
            <w:tcW w:w="1134" w:type="dxa"/>
          </w:tcPr>
          <w:p w14:paraId="0DA24F5D" w14:textId="06EEBD46" w:rsidR="00341B02" w:rsidRPr="00B65579" w:rsidRDefault="00341B02" w:rsidP="00365DD7">
            <w:r w:rsidRPr="00B65579">
              <w:t>0</w:t>
            </w:r>
          </w:p>
        </w:tc>
        <w:tc>
          <w:tcPr>
            <w:tcW w:w="1134" w:type="dxa"/>
          </w:tcPr>
          <w:p w14:paraId="26CB4C4C" w14:textId="1C272EE4" w:rsidR="00341B02" w:rsidRPr="00B65579" w:rsidRDefault="00341B02" w:rsidP="00365DD7">
            <w:r w:rsidRPr="00B65579">
              <w:t>0</w:t>
            </w:r>
          </w:p>
        </w:tc>
        <w:tc>
          <w:tcPr>
            <w:tcW w:w="1134" w:type="dxa"/>
          </w:tcPr>
          <w:p w14:paraId="603ACB36" w14:textId="4DB1B922" w:rsidR="00341B02" w:rsidRPr="00B65579" w:rsidRDefault="00341B02" w:rsidP="00365DD7">
            <w:r w:rsidRPr="00B65579">
              <w:t>15</w:t>
            </w:r>
          </w:p>
        </w:tc>
        <w:tc>
          <w:tcPr>
            <w:tcW w:w="1134" w:type="dxa"/>
          </w:tcPr>
          <w:p w14:paraId="4A92BB05" w14:textId="55FDC77C" w:rsidR="00341B02" w:rsidRPr="00B65579" w:rsidRDefault="00341B02" w:rsidP="00365DD7">
            <w:r w:rsidRPr="00B65579">
              <w:t>4</w:t>
            </w:r>
          </w:p>
        </w:tc>
        <w:tc>
          <w:tcPr>
            <w:tcW w:w="1269" w:type="dxa"/>
          </w:tcPr>
          <w:p w14:paraId="7A1D97F0" w14:textId="77D539BF" w:rsidR="00341B02" w:rsidRPr="00B65579" w:rsidRDefault="00341B02" w:rsidP="00365DD7">
            <w:r w:rsidRPr="00B65579">
              <w:t>2</w:t>
            </w:r>
          </w:p>
        </w:tc>
      </w:tr>
      <w:tr w:rsidR="00341B02" w:rsidRPr="00B65579" w14:paraId="61C6F9BF" w14:textId="153FF199" w:rsidTr="00113EA7">
        <w:tc>
          <w:tcPr>
            <w:tcW w:w="2645" w:type="dxa"/>
          </w:tcPr>
          <w:p w14:paraId="225D42A1" w14:textId="2F82AF3C" w:rsidR="00341B02" w:rsidRPr="00B65579" w:rsidRDefault="008078FB" w:rsidP="00365DD7">
            <w:r w:rsidRPr="00B65579">
              <w:t xml:space="preserve">Collaborating with other companies </w:t>
            </w:r>
          </w:p>
          <w:p w14:paraId="6ED1CFFC" w14:textId="158337BB" w:rsidR="00341B02" w:rsidRPr="00B65579" w:rsidRDefault="00341B02" w:rsidP="00365DD7"/>
        </w:tc>
        <w:tc>
          <w:tcPr>
            <w:tcW w:w="1178" w:type="dxa"/>
          </w:tcPr>
          <w:p w14:paraId="0224EAEA" w14:textId="54D325B7" w:rsidR="00341B02" w:rsidRPr="00B65579" w:rsidRDefault="00341B02" w:rsidP="00365DD7">
            <w:r w:rsidRPr="00B65579">
              <w:t>0</w:t>
            </w:r>
          </w:p>
        </w:tc>
        <w:tc>
          <w:tcPr>
            <w:tcW w:w="1134" w:type="dxa"/>
          </w:tcPr>
          <w:p w14:paraId="5D54C9EE" w14:textId="0C459ECC" w:rsidR="00341B02" w:rsidRPr="00B65579" w:rsidRDefault="00341B02" w:rsidP="00365DD7">
            <w:r w:rsidRPr="00B65579">
              <w:t>0</w:t>
            </w:r>
          </w:p>
        </w:tc>
        <w:tc>
          <w:tcPr>
            <w:tcW w:w="1134" w:type="dxa"/>
          </w:tcPr>
          <w:p w14:paraId="18D38EC6" w14:textId="524E354F" w:rsidR="00341B02" w:rsidRPr="00B65579" w:rsidRDefault="00341B02" w:rsidP="00365DD7">
            <w:r w:rsidRPr="00B65579">
              <w:t>0</w:t>
            </w:r>
          </w:p>
        </w:tc>
        <w:tc>
          <w:tcPr>
            <w:tcW w:w="1134" w:type="dxa"/>
          </w:tcPr>
          <w:p w14:paraId="07190E36" w14:textId="03CDB7CD" w:rsidR="00341B02" w:rsidRPr="00B65579" w:rsidRDefault="00341B02" w:rsidP="00365DD7">
            <w:r w:rsidRPr="00B65579">
              <w:t>35</w:t>
            </w:r>
          </w:p>
        </w:tc>
        <w:tc>
          <w:tcPr>
            <w:tcW w:w="1134" w:type="dxa"/>
          </w:tcPr>
          <w:p w14:paraId="6742DDA5" w14:textId="5228220F" w:rsidR="00341B02" w:rsidRPr="00B65579" w:rsidRDefault="00341B02" w:rsidP="00365DD7">
            <w:r w:rsidRPr="00B65579">
              <w:t>8</w:t>
            </w:r>
          </w:p>
        </w:tc>
        <w:tc>
          <w:tcPr>
            <w:tcW w:w="1269" w:type="dxa"/>
          </w:tcPr>
          <w:p w14:paraId="0B3DED58" w14:textId="3067B2B7" w:rsidR="00341B02" w:rsidRPr="00B65579" w:rsidRDefault="00341B02" w:rsidP="00365DD7">
            <w:r w:rsidRPr="00B65579">
              <w:t>7</w:t>
            </w:r>
          </w:p>
        </w:tc>
      </w:tr>
    </w:tbl>
    <w:p w14:paraId="2967F7BE" w14:textId="51242943" w:rsidR="00341B02" w:rsidRPr="00B65579" w:rsidRDefault="00341B02" w:rsidP="00365DD7"/>
    <w:p w14:paraId="458D9ECE" w14:textId="5BF19CB4" w:rsidR="004B68A4" w:rsidRPr="00B65579" w:rsidRDefault="004B68A4" w:rsidP="00365DD7">
      <w:r w:rsidRPr="00B65579">
        <w:t>26 of the 50 organisations involved went on to achieve the Investors in the Environment Accreditation. As a result of their continued involvement, it is realistic to say</w:t>
      </w:r>
      <w:r w:rsidR="007831C4" w:rsidRPr="00B65579">
        <w:t xml:space="preserve"> that of the original 500 kg</w:t>
      </w:r>
      <w:r w:rsidRPr="00B65579">
        <w:t xml:space="preserve"> of CO</w:t>
      </w:r>
      <w:r w:rsidRPr="00B65579">
        <w:rPr>
          <w:vertAlign w:val="subscript"/>
        </w:rPr>
        <w:t>2</w:t>
      </w:r>
      <w:r w:rsidRPr="00B65579">
        <w:t xml:space="preserve">e savings recommended around one third of those savings have the potential to be realised. </w:t>
      </w:r>
      <w:r w:rsidR="0009425A" w:rsidRPr="00B65579">
        <w:t>A</w:t>
      </w:r>
      <w:r w:rsidRPr="00B65579">
        <w:t xml:space="preserve">lthough there was limited capital available for efficiency improvements in the beginning, the recommendations of the students were taken very </w:t>
      </w:r>
      <w:r w:rsidR="009111EE" w:rsidRPr="00B65579">
        <w:t>seriously,</w:t>
      </w:r>
      <w:r w:rsidRPr="00B65579">
        <w:t xml:space="preserve"> and a number of budgetary measures were implemented by senior management the following financial year.</w:t>
      </w:r>
      <w:r w:rsidR="00B53629">
        <w:t xml:space="preserve"> </w:t>
      </w:r>
      <w:r w:rsidR="0009425A" w:rsidRPr="00B65579">
        <w:t xml:space="preserve">Developments stemming from the project </w:t>
      </w:r>
      <w:r w:rsidR="00FC3BA7" w:rsidRPr="00B65579">
        <w:t xml:space="preserve">and in particular Investors in the Environment members, </w:t>
      </w:r>
      <w:r w:rsidR="0009425A" w:rsidRPr="00B65579">
        <w:t xml:space="preserve">include </w:t>
      </w:r>
      <w:r w:rsidRPr="00B65579">
        <w:t xml:space="preserve">a knowledge transfer partnership </w:t>
      </w:r>
      <w:r w:rsidR="0009425A" w:rsidRPr="00B65579">
        <w:t xml:space="preserve">with a local university </w:t>
      </w:r>
      <w:r w:rsidRPr="00B65579">
        <w:t>to develop less resource intensive process</w:t>
      </w:r>
      <w:r w:rsidR="0009425A" w:rsidRPr="00B65579">
        <w:t>es</w:t>
      </w:r>
      <w:r w:rsidR="00FC3BA7" w:rsidRPr="00B65579">
        <w:t>, and recommendations to six businesses within their network to take part in the student project</w:t>
      </w:r>
      <w:r w:rsidR="007831C4" w:rsidRPr="00B65579">
        <w:t>, four of which took</w:t>
      </w:r>
      <w:r w:rsidRPr="00B65579">
        <w:t xml:space="preserve"> part in </w:t>
      </w:r>
      <w:r w:rsidR="007831C4" w:rsidRPr="00B65579">
        <w:t xml:space="preserve">following </w:t>
      </w:r>
      <w:r w:rsidRPr="00B65579">
        <w:t xml:space="preserve">year’s programme. </w:t>
      </w:r>
    </w:p>
    <w:p w14:paraId="3390B98A" w14:textId="7A51427E" w:rsidR="000C1595" w:rsidRPr="00365DD7" w:rsidRDefault="004008B6" w:rsidP="00365DD7">
      <w:r>
        <w:t>Anecdotal evidence suggests</w:t>
      </w:r>
      <w:r w:rsidR="006B7E52" w:rsidRPr="00B65579">
        <w:t xml:space="preserve"> that </w:t>
      </w:r>
      <w:r>
        <w:t xml:space="preserve">there was some sector level </w:t>
      </w:r>
      <w:r w:rsidR="006B7E52" w:rsidRPr="00B65579">
        <w:t>imp</w:t>
      </w:r>
      <w:r w:rsidR="00BE23C0" w:rsidRPr="00B65579">
        <w:t>act</w:t>
      </w:r>
      <w:r>
        <w:t xml:space="preserve"> as a result of the project. F</w:t>
      </w:r>
      <w:r w:rsidR="00BE23C0" w:rsidRPr="00B65579">
        <w:t>or example</w:t>
      </w:r>
      <w:r>
        <w:t>,</w:t>
      </w:r>
      <w:r w:rsidR="00BE23C0" w:rsidRPr="00B65579">
        <w:t xml:space="preserve"> one compan</w:t>
      </w:r>
      <w:r>
        <w:t>y</w:t>
      </w:r>
      <w:r w:rsidR="00BE23C0" w:rsidRPr="00B65579">
        <w:t xml:space="preserve"> took part in 2015/2016 because one of their competitors had taken part the year before</w:t>
      </w:r>
      <w:r>
        <w:t>. S</w:t>
      </w:r>
      <w:r w:rsidR="00FC3BA7" w:rsidRPr="00B65579">
        <w:t>tudents had recommended</w:t>
      </w:r>
      <w:r w:rsidR="00BE23C0" w:rsidRPr="00B65579">
        <w:t xml:space="preserve"> steps to become a carbon neutral business and to market themselves ac</w:t>
      </w:r>
      <w:r w:rsidR="00FC3BA7" w:rsidRPr="00B65579">
        <w:t>cordingly; which in turn had led</w:t>
      </w:r>
      <w:r w:rsidR="00BE23C0" w:rsidRPr="00B65579">
        <w:t xml:space="preserve"> to this company winning </w:t>
      </w:r>
      <w:r w:rsidR="00690772" w:rsidRPr="00B65579">
        <w:t xml:space="preserve">an important series of </w:t>
      </w:r>
      <w:r w:rsidR="00BE23C0" w:rsidRPr="00B65579">
        <w:t xml:space="preserve">contracts in the local area. </w:t>
      </w:r>
      <w:r w:rsidR="009111EE" w:rsidRPr="00B65579">
        <w:t>Furthermore,</w:t>
      </w:r>
      <w:r w:rsidR="00FC3BA7" w:rsidRPr="00B65579">
        <w:t xml:space="preserve"> </w:t>
      </w:r>
      <w:r>
        <w:t xml:space="preserve">there is some suggestion </w:t>
      </w:r>
      <w:r w:rsidR="00BE23C0" w:rsidRPr="00B65579">
        <w:t xml:space="preserve">that </w:t>
      </w:r>
      <w:r>
        <w:t>larger</w:t>
      </w:r>
      <w:r w:rsidR="00BE23C0" w:rsidRPr="00B65579">
        <w:t xml:space="preserve"> organisations have picked up the recommendations of the students </w:t>
      </w:r>
      <w:r>
        <w:t>applied at the local level and scaled this up to their national operations</w:t>
      </w:r>
      <w:r w:rsidR="00BE23C0" w:rsidRPr="00B65579">
        <w:t>.</w:t>
      </w:r>
      <w:r>
        <w:t xml:space="preserve"> </w:t>
      </w:r>
      <w:r w:rsidR="00A66059">
        <w:t>Table 4</w:t>
      </w:r>
      <w:r w:rsidR="009D1C40" w:rsidRPr="00B65579">
        <w:t xml:space="preserve"> summarises the different </w:t>
      </w:r>
      <w:r w:rsidR="009D40DE">
        <w:t>level</w:t>
      </w:r>
      <w:r w:rsidR="009D1C40" w:rsidRPr="00B65579">
        <w:t xml:space="preserve"> of impact that the greenhouse gas project has had, and the </w:t>
      </w:r>
      <w:r w:rsidR="00A47E14">
        <w:t>level</w:t>
      </w:r>
      <w:r w:rsidR="009D1C40" w:rsidRPr="00B65579">
        <w:t xml:space="preserve"> of the major influencer.</w:t>
      </w:r>
      <w:r w:rsidR="00B53629">
        <w:t xml:space="preserve"> </w:t>
      </w:r>
    </w:p>
    <w:p w14:paraId="579539DE" w14:textId="179A266D" w:rsidR="009D1C40" w:rsidRPr="00B65579" w:rsidRDefault="00690772" w:rsidP="00365DD7">
      <w:r w:rsidRPr="00365DD7">
        <w:rPr>
          <w:b/>
          <w:bCs/>
        </w:rPr>
        <w:t>Table 4</w:t>
      </w:r>
      <w:r w:rsidR="00365DD7">
        <w:t xml:space="preserve">: </w:t>
      </w:r>
      <w:r w:rsidR="009D1C40" w:rsidRPr="00B65579">
        <w:t xml:space="preserve">Summary of the </w:t>
      </w:r>
      <w:r w:rsidR="00A47E14">
        <w:t>level</w:t>
      </w:r>
      <w:r w:rsidR="009D1C40" w:rsidRPr="00B65579">
        <w:t xml:space="preserve"> of impact of the greenhouse gas management project and the </w:t>
      </w:r>
      <w:r w:rsidR="0001774A">
        <w:t>level</w:t>
      </w:r>
      <w:r w:rsidR="009D1C40" w:rsidRPr="00B65579">
        <w:t xml:space="preserve"> of influencer</w:t>
      </w:r>
    </w:p>
    <w:tbl>
      <w:tblPr>
        <w:tblStyle w:val="TableGrid"/>
        <w:tblW w:w="0" w:type="auto"/>
        <w:tblLook w:val="04A0" w:firstRow="1" w:lastRow="0" w:firstColumn="1" w:lastColumn="0" w:noHBand="0" w:noVBand="1"/>
      </w:tblPr>
      <w:tblGrid>
        <w:gridCol w:w="2059"/>
        <w:gridCol w:w="2044"/>
        <w:gridCol w:w="2036"/>
        <w:gridCol w:w="2103"/>
        <w:gridCol w:w="1612"/>
      </w:tblGrid>
      <w:tr w:rsidR="000C1595" w:rsidRPr="00B65579" w14:paraId="179DA0C8" w14:textId="77777777" w:rsidTr="000C1595">
        <w:tc>
          <w:tcPr>
            <w:tcW w:w="2059" w:type="dxa"/>
          </w:tcPr>
          <w:p w14:paraId="522AB4A7" w14:textId="7FB679E4" w:rsidR="000C1595" w:rsidRPr="00B65579" w:rsidRDefault="009D40DE" w:rsidP="00365DD7">
            <w:r>
              <w:t xml:space="preserve">Level </w:t>
            </w:r>
            <w:r w:rsidR="000C1595" w:rsidRPr="00B65579">
              <w:t>of impact</w:t>
            </w:r>
          </w:p>
        </w:tc>
        <w:tc>
          <w:tcPr>
            <w:tcW w:w="2044" w:type="dxa"/>
          </w:tcPr>
          <w:p w14:paraId="4B615C7C" w14:textId="77777777" w:rsidR="000C1595" w:rsidRPr="00B65579" w:rsidRDefault="000C1595" w:rsidP="00365DD7">
            <w:r w:rsidRPr="00B65579">
              <w:t>Entity impacted</w:t>
            </w:r>
          </w:p>
        </w:tc>
        <w:tc>
          <w:tcPr>
            <w:tcW w:w="2036" w:type="dxa"/>
          </w:tcPr>
          <w:p w14:paraId="7125D783" w14:textId="77777777" w:rsidR="000C1595" w:rsidRPr="00B65579" w:rsidRDefault="000C1595" w:rsidP="00365DD7">
            <w:r w:rsidRPr="00B65579">
              <w:t>Type of impact</w:t>
            </w:r>
          </w:p>
        </w:tc>
        <w:tc>
          <w:tcPr>
            <w:tcW w:w="2103" w:type="dxa"/>
          </w:tcPr>
          <w:p w14:paraId="53C9ADF5" w14:textId="77777777" w:rsidR="000C1595" w:rsidRPr="00B65579" w:rsidRDefault="000C1595" w:rsidP="00365DD7">
            <w:r w:rsidRPr="00B65579">
              <w:t>Impact</w:t>
            </w:r>
          </w:p>
        </w:tc>
        <w:tc>
          <w:tcPr>
            <w:tcW w:w="1612" w:type="dxa"/>
          </w:tcPr>
          <w:p w14:paraId="7B236319" w14:textId="771B6223" w:rsidR="000C1595" w:rsidRPr="00B65579" w:rsidRDefault="000C1595" w:rsidP="0001774A">
            <w:r w:rsidRPr="00B65579">
              <w:t>Major influencer</w:t>
            </w:r>
            <w:r w:rsidR="009D1C40" w:rsidRPr="00B65579">
              <w:t xml:space="preserve"> and </w:t>
            </w:r>
            <w:r w:rsidR="0001774A">
              <w:t>level</w:t>
            </w:r>
          </w:p>
        </w:tc>
      </w:tr>
      <w:tr w:rsidR="000C1595" w:rsidRPr="00B65579" w14:paraId="01FEB90D" w14:textId="77777777" w:rsidTr="000C1595">
        <w:tc>
          <w:tcPr>
            <w:tcW w:w="2059" w:type="dxa"/>
          </w:tcPr>
          <w:p w14:paraId="152DE550" w14:textId="11EB1DFD" w:rsidR="000C1595" w:rsidRPr="00B65579" w:rsidRDefault="009D1C40" w:rsidP="00365DD7">
            <w:r w:rsidRPr="00B65579">
              <w:t>Micro (</w:t>
            </w:r>
            <w:r w:rsidR="000C1595" w:rsidRPr="00B65579">
              <w:t>Individu</w:t>
            </w:r>
            <w:r w:rsidRPr="00B65579">
              <w:t>al</w:t>
            </w:r>
            <w:r w:rsidR="000C1595" w:rsidRPr="00B65579">
              <w:t>)</w:t>
            </w:r>
          </w:p>
        </w:tc>
        <w:tc>
          <w:tcPr>
            <w:tcW w:w="2044" w:type="dxa"/>
          </w:tcPr>
          <w:p w14:paraId="1CC2DA93" w14:textId="77777777" w:rsidR="000C1595" w:rsidRPr="00B65579" w:rsidRDefault="000C1595" w:rsidP="00365DD7">
            <w:r w:rsidRPr="00B65579">
              <w:t>Student</w:t>
            </w:r>
          </w:p>
        </w:tc>
        <w:tc>
          <w:tcPr>
            <w:tcW w:w="2036" w:type="dxa"/>
          </w:tcPr>
          <w:p w14:paraId="7A47E8D4" w14:textId="77777777" w:rsidR="000C1595" w:rsidRPr="00B65579" w:rsidRDefault="000C1595" w:rsidP="00365DD7">
            <w:r w:rsidRPr="00B65579">
              <w:t>Student engagement</w:t>
            </w:r>
          </w:p>
        </w:tc>
        <w:tc>
          <w:tcPr>
            <w:tcW w:w="2103" w:type="dxa"/>
          </w:tcPr>
          <w:p w14:paraId="33BC0C65" w14:textId="77777777" w:rsidR="000C1595" w:rsidRPr="00B65579" w:rsidRDefault="000C1595" w:rsidP="00365DD7">
            <w:r w:rsidRPr="00B65579">
              <w:t>Increased understanding of sustainability; increased capacity to drive change</w:t>
            </w:r>
          </w:p>
        </w:tc>
        <w:tc>
          <w:tcPr>
            <w:tcW w:w="1612" w:type="dxa"/>
          </w:tcPr>
          <w:p w14:paraId="50345070" w14:textId="487379C6" w:rsidR="000C1595" w:rsidRPr="00B65579" w:rsidRDefault="000C1595" w:rsidP="00365DD7">
            <w:r w:rsidRPr="00B65579">
              <w:t>Individual staff member</w:t>
            </w:r>
            <w:r w:rsidR="009D1C40" w:rsidRPr="00B65579">
              <w:t xml:space="preserve"> (micro)</w:t>
            </w:r>
          </w:p>
        </w:tc>
      </w:tr>
      <w:tr w:rsidR="000C1595" w:rsidRPr="00B65579" w14:paraId="62E8EFF6" w14:textId="77777777" w:rsidTr="000C1595">
        <w:tc>
          <w:tcPr>
            <w:tcW w:w="2059" w:type="dxa"/>
          </w:tcPr>
          <w:p w14:paraId="240DCB77" w14:textId="6D75BAB5" w:rsidR="000C1595" w:rsidRPr="00B65579" w:rsidRDefault="009D1C40" w:rsidP="00365DD7">
            <w:r w:rsidRPr="00B65579">
              <w:t>Micro (</w:t>
            </w:r>
            <w:r w:rsidR="00694DF7" w:rsidRPr="00B65579">
              <w:t>individual</w:t>
            </w:r>
            <w:r w:rsidR="000C1595" w:rsidRPr="00B65579">
              <w:t>)</w:t>
            </w:r>
          </w:p>
        </w:tc>
        <w:tc>
          <w:tcPr>
            <w:tcW w:w="2044" w:type="dxa"/>
          </w:tcPr>
          <w:p w14:paraId="4043605C" w14:textId="77777777" w:rsidR="000C1595" w:rsidRPr="00B65579" w:rsidRDefault="000C1595" w:rsidP="00365DD7">
            <w:r w:rsidRPr="00B65579">
              <w:t>Staff</w:t>
            </w:r>
          </w:p>
        </w:tc>
        <w:tc>
          <w:tcPr>
            <w:tcW w:w="2036" w:type="dxa"/>
          </w:tcPr>
          <w:p w14:paraId="73D488E1" w14:textId="77777777" w:rsidR="000C1595" w:rsidRPr="00B65579" w:rsidRDefault="000C1595" w:rsidP="00365DD7">
            <w:r w:rsidRPr="00B65579">
              <w:t>Staff engagement with student work</w:t>
            </w:r>
          </w:p>
        </w:tc>
        <w:tc>
          <w:tcPr>
            <w:tcW w:w="2103" w:type="dxa"/>
          </w:tcPr>
          <w:p w14:paraId="3936195B" w14:textId="1E454BCE" w:rsidR="000C1595" w:rsidRPr="00B65579" w:rsidRDefault="009D1C40" w:rsidP="00365DD7">
            <w:r w:rsidRPr="00B65579">
              <w:t xml:space="preserve">Recommendations made by student; </w:t>
            </w:r>
            <w:r w:rsidR="000C1595" w:rsidRPr="00B65579">
              <w:t>R</w:t>
            </w:r>
            <w:r w:rsidRPr="00B65579">
              <w:t>eporting recommendations</w:t>
            </w:r>
            <w:r w:rsidR="000C1595" w:rsidRPr="00B65579">
              <w:t xml:space="preserve"> to senior management</w:t>
            </w:r>
          </w:p>
        </w:tc>
        <w:tc>
          <w:tcPr>
            <w:tcW w:w="1612" w:type="dxa"/>
          </w:tcPr>
          <w:p w14:paraId="6B7782FC" w14:textId="6379E23E" w:rsidR="000C1595" w:rsidRPr="00B65579" w:rsidRDefault="000C1595" w:rsidP="00365DD7">
            <w:r w:rsidRPr="00B65579">
              <w:t>Individual student</w:t>
            </w:r>
            <w:r w:rsidR="009D1C40" w:rsidRPr="00B65579">
              <w:t xml:space="preserve"> (micro)</w:t>
            </w:r>
          </w:p>
        </w:tc>
      </w:tr>
      <w:tr w:rsidR="000C1595" w:rsidRPr="00B65579" w14:paraId="48FBF68E" w14:textId="77777777" w:rsidTr="000C1595">
        <w:tc>
          <w:tcPr>
            <w:tcW w:w="2059" w:type="dxa"/>
          </w:tcPr>
          <w:p w14:paraId="1D4A984C" w14:textId="453F95C4" w:rsidR="000C1595" w:rsidRPr="00B65579" w:rsidRDefault="00694DF7" w:rsidP="00365DD7">
            <w:r w:rsidRPr="00B65579">
              <w:t>Micro (organisation)</w:t>
            </w:r>
          </w:p>
        </w:tc>
        <w:tc>
          <w:tcPr>
            <w:tcW w:w="2044" w:type="dxa"/>
          </w:tcPr>
          <w:p w14:paraId="51C14C9D" w14:textId="77777777" w:rsidR="000C1595" w:rsidRPr="00B65579" w:rsidRDefault="000C1595" w:rsidP="00365DD7">
            <w:r w:rsidRPr="00B65579">
              <w:t>Office</w:t>
            </w:r>
          </w:p>
        </w:tc>
        <w:tc>
          <w:tcPr>
            <w:tcW w:w="2036" w:type="dxa"/>
          </w:tcPr>
          <w:p w14:paraId="7FA4F4EE" w14:textId="33614896" w:rsidR="000C1595" w:rsidRPr="00B65579" w:rsidRDefault="00694DF7" w:rsidP="00365DD7">
            <w:r w:rsidRPr="00B65579">
              <w:t>Staff adoption of student recommendations</w:t>
            </w:r>
          </w:p>
        </w:tc>
        <w:tc>
          <w:tcPr>
            <w:tcW w:w="2103" w:type="dxa"/>
          </w:tcPr>
          <w:p w14:paraId="76553CC1" w14:textId="77777777" w:rsidR="000C1595" w:rsidRPr="00B65579" w:rsidRDefault="000C1595" w:rsidP="00365DD7">
            <w:r w:rsidRPr="00B65579">
              <w:t>Changes made at one office</w:t>
            </w:r>
          </w:p>
        </w:tc>
        <w:tc>
          <w:tcPr>
            <w:tcW w:w="1612" w:type="dxa"/>
          </w:tcPr>
          <w:p w14:paraId="362A67CD" w14:textId="048539B5" w:rsidR="000C1595" w:rsidRPr="00B65579" w:rsidRDefault="00694DF7" w:rsidP="00365DD7">
            <w:r w:rsidRPr="00B65579">
              <w:t>Individual student (micro)</w:t>
            </w:r>
          </w:p>
          <w:p w14:paraId="3F08A057" w14:textId="20089693" w:rsidR="00694DF7" w:rsidRPr="00B65579" w:rsidRDefault="00694DF7" w:rsidP="00365DD7">
            <w:r w:rsidRPr="00B65579">
              <w:t>Individual organisation decision maker (micro)</w:t>
            </w:r>
          </w:p>
        </w:tc>
      </w:tr>
      <w:tr w:rsidR="000C1595" w:rsidRPr="00B65579" w14:paraId="7F84E3F5" w14:textId="77777777" w:rsidTr="000C1595">
        <w:tc>
          <w:tcPr>
            <w:tcW w:w="2059" w:type="dxa"/>
          </w:tcPr>
          <w:p w14:paraId="052E9455" w14:textId="06037FFE" w:rsidR="000C1595" w:rsidRPr="00B65579" w:rsidRDefault="00694DF7" w:rsidP="00365DD7">
            <w:r w:rsidRPr="00B65579">
              <w:t>Micro (organisation)</w:t>
            </w:r>
          </w:p>
        </w:tc>
        <w:tc>
          <w:tcPr>
            <w:tcW w:w="2044" w:type="dxa"/>
          </w:tcPr>
          <w:p w14:paraId="66FD462F" w14:textId="77777777" w:rsidR="000C1595" w:rsidRPr="00B65579" w:rsidRDefault="000C1595" w:rsidP="00365DD7">
            <w:r w:rsidRPr="00B65579">
              <w:t>Organisation</w:t>
            </w:r>
          </w:p>
        </w:tc>
        <w:tc>
          <w:tcPr>
            <w:tcW w:w="2036" w:type="dxa"/>
          </w:tcPr>
          <w:p w14:paraId="1D7A79F4" w14:textId="12F1923A" w:rsidR="000C1595" w:rsidRPr="00B65579" w:rsidRDefault="00694DF7" w:rsidP="00365DD7">
            <w:r w:rsidRPr="00B65579">
              <w:t>Communication of recommendations across organisations</w:t>
            </w:r>
          </w:p>
        </w:tc>
        <w:tc>
          <w:tcPr>
            <w:tcW w:w="2103" w:type="dxa"/>
          </w:tcPr>
          <w:p w14:paraId="7EA5494C" w14:textId="77777777" w:rsidR="000C1595" w:rsidRPr="00B65579" w:rsidRDefault="000C1595" w:rsidP="00365DD7">
            <w:r w:rsidRPr="00B65579">
              <w:t>Changes adopted across organisation</w:t>
            </w:r>
          </w:p>
        </w:tc>
        <w:tc>
          <w:tcPr>
            <w:tcW w:w="1612" w:type="dxa"/>
          </w:tcPr>
          <w:p w14:paraId="25F9E9A3" w14:textId="7DD5A7EA" w:rsidR="000C1595" w:rsidRPr="00B65579" w:rsidRDefault="00694DF7" w:rsidP="00365DD7">
            <w:r w:rsidRPr="00B65579">
              <w:t xml:space="preserve">Individual organisation decision maker </w:t>
            </w:r>
            <w:r w:rsidRPr="00B65579">
              <w:lastRenderedPageBreak/>
              <w:t>(micro)</w:t>
            </w:r>
          </w:p>
        </w:tc>
      </w:tr>
      <w:tr w:rsidR="000C1595" w:rsidRPr="00B65579" w14:paraId="67EFC752" w14:textId="77777777" w:rsidTr="000C1595">
        <w:tc>
          <w:tcPr>
            <w:tcW w:w="2059" w:type="dxa"/>
          </w:tcPr>
          <w:p w14:paraId="282A34BA" w14:textId="7AC92DF4" w:rsidR="000C1595" w:rsidRPr="00B65579" w:rsidRDefault="007975B5" w:rsidP="00365DD7">
            <w:r w:rsidRPr="00B65579">
              <w:lastRenderedPageBreak/>
              <w:t>Meso (sector)</w:t>
            </w:r>
          </w:p>
        </w:tc>
        <w:tc>
          <w:tcPr>
            <w:tcW w:w="2044" w:type="dxa"/>
          </w:tcPr>
          <w:p w14:paraId="76358DD2" w14:textId="77777777" w:rsidR="000C1595" w:rsidRPr="00B65579" w:rsidRDefault="000C1595" w:rsidP="00365DD7">
            <w:r w:rsidRPr="00B65579">
              <w:t>Sector</w:t>
            </w:r>
          </w:p>
        </w:tc>
        <w:tc>
          <w:tcPr>
            <w:tcW w:w="2036" w:type="dxa"/>
          </w:tcPr>
          <w:p w14:paraId="7F8EB1B6" w14:textId="559139AF" w:rsidR="000C1595" w:rsidRPr="00B65579" w:rsidRDefault="007975B5" w:rsidP="00365DD7">
            <w:r w:rsidRPr="00B65579">
              <w:t>Communication</w:t>
            </w:r>
          </w:p>
        </w:tc>
        <w:tc>
          <w:tcPr>
            <w:tcW w:w="2103" w:type="dxa"/>
          </w:tcPr>
          <w:p w14:paraId="2044A036" w14:textId="77777777" w:rsidR="000C1595" w:rsidRPr="00B65579" w:rsidRDefault="000C1595" w:rsidP="00365DD7">
            <w:r w:rsidRPr="00B65579">
              <w:t>Positive publicity of changes leading to sector wide change</w:t>
            </w:r>
          </w:p>
        </w:tc>
        <w:tc>
          <w:tcPr>
            <w:tcW w:w="1612" w:type="dxa"/>
          </w:tcPr>
          <w:p w14:paraId="03C2EC4C" w14:textId="417C3230" w:rsidR="000C1595" w:rsidRPr="00B65579" w:rsidRDefault="007975B5" w:rsidP="00365DD7">
            <w:r w:rsidRPr="00B65579">
              <w:t>Individual organisation (micro)</w:t>
            </w:r>
          </w:p>
        </w:tc>
      </w:tr>
    </w:tbl>
    <w:p w14:paraId="74BE78F7" w14:textId="77777777" w:rsidR="00967211" w:rsidRPr="00B65579" w:rsidRDefault="00967211" w:rsidP="00211E6C">
      <w:pPr>
        <w:spacing w:line="480" w:lineRule="auto"/>
      </w:pPr>
    </w:p>
    <w:p w14:paraId="662968B9" w14:textId="06D33367" w:rsidR="00E03743" w:rsidRPr="00B61B62" w:rsidRDefault="00967211" w:rsidP="00B61B62">
      <w:pPr>
        <w:pStyle w:val="Heading2"/>
        <w:rPr>
          <w:i/>
        </w:rPr>
      </w:pPr>
      <w:r w:rsidRPr="00B65579">
        <w:t>Discussion</w:t>
      </w:r>
    </w:p>
    <w:p w14:paraId="6B1D6EB8" w14:textId="7424750D" w:rsidR="00541ABA" w:rsidRPr="00B65579" w:rsidRDefault="003555EB" w:rsidP="00B61B62">
      <w:pPr>
        <w:pStyle w:val="Heading2"/>
        <w:numPr>
          <w:ilvl w:val="0"/>
          <w:numId w:val="0"/>
        </w:numPr>
        <w:ind w:left="360" w:hanging="360"/>
      </w:pPr>
      <w:r>
        <w:rPr>
          <w:b w:val="0"/>
          <w:i/>
        </w:rPr>
        <w:t>5</w:t>
      </w:r>
      <w:r w:rsidR="0060211F" w:rsidRPr="00B61B62">
        <w:rPr>
          <w:b w:val="0"/>
          <w:i/>
        </w:rPr>
        <w:t xml:space="preserve">.1 </w:t>
      </w:r>
      <w:r w:rsidR="00A23966">
        <w:rPr>
          <w:b w:val="0"/>
          <w:i/>
        </w:rPr>
        <w:t>I</w:t>
      </w:r>
      <w:r w:rsidR="00995C19" w:rsidRPr="00B61B62">
        <w:rPr>
          <w:b w:val="0"/>
          <w:i/>
        </w:rPr>
        <w:t xml:space="preserve">nfluences </w:t>
      </w:r>
      <w:r w:rsidR="00995C19" w:rsidRPr="00B61B62">
        <w:rPr>
          <w:b w:val="0"/>
          <w:i/>
          <w:u w:val="single"/>
        </w:rPr>
        <w:t xml:space="preserve">of </w:t>
      </w:r>
      <w:r w:rsidR="00995C19" w:rsidRPr="00B61B62">
        <w:rPr>
          <w:b w:val="0"/>
          <w:i/>
        </w:rPr>
        <w:t xml:space="preserve">the </w:t>
      </w:r>
      <w:r w:rsidR="007A637F">
        <w:rPr>
          <w:b w:val="0"/>
          <w:i/>
        </w:rPr>
        <w:t>micro-level</w:t>
      </w:r>
      <w:r w:rsidR="00995C19" w:rsidRPr="00B61B62">
        <w:rPr>
          <w:b w:val="0"/>
          <w:i/>
        </w:rPr>
        <w:t xml:space="preserve"> individual educator’s actions</w:t>
      </w:r>
    </w:p>
    <w:p w14:paraId="6474AD24" w14:textId="31A9957C" w:rsidR="000C1595" w:rsidRPr="00B65579" w:rsidRDefault="00617DE1" w:rsidP="00365DD7">
      <w:r>
        <w:t>This paper set out to address the research question ‘How may micro level projects influence sustainable development across different levels?’. Through the course of the study we have attempted to demonstrate how t</w:t>
      </w:r>
      <w:r w:rsidR="007E1C14" w:rsidRPr="00B65579">
        <w:t xml:space="preserve">he actions of one sustainability educator can have </w:t>
      </w:r>
      <w:r w:rsidR="00D33999" w:rsidRPr="00B65579">
        <w:t xml:space="preserve">an influence at different </w:t>
      </w:r>
      <w:r w:rsidR="00A47E14">
        <w:t>level</w:t>
      </w:r>
      <w:r w:rsidR="00D33999" w:rsidRPr="00B65579">
        <w:t xml:space="preserve">s </w:t>
      </w:r>
      <w:r w:rsidR="007E1C14" w:rsidRPr="00B65579">
        <w:t xml:space="preserve">both directly and indirectly. </w:t>
      </w:r>
      <w:r w:rsidR="00995C19" w:rsidRPr="00B65579">
        <w:t>The individual member of staff</w:t>
      </w:r>
      <w:r w:rsidR="005476B1" w:rsidRPr="00B65579">
        <w:t xml:space="preserve"> has a direct influence on each individual student that they teach.</w:t>
      </w:r>
      <w:r w:rsidR="00B53629">
        <w:t xml:space="preserve"> </w:t>
      </w:r>
      <w:r w:rsidR="007D3ACC" w:rsidRPr="00B65579">
        <w:t>This may have a direct impact on the student in terms of their own immediate carbon-producing actions and decisio</w:t>
      </w:r>
      <w:r w:rsidR="001D6081" w:rsidRPr="00B65579">
        <w:t>ns.</w:t>
      </w:r>
      <w:r w:rsidR="00B53629">
        <w:t xml:space="preserve"> </w:t>
      </w:r>
      <w:r w:rsidR="001D6081" w:rsidRPr="00B65579">
        <w:t>Each of these students has</w:t>
      </w:r>
      <w:r w:rsidR="007D3ACC" w:rsidRPr="00B65579">
        <w:t xml:space="preserve"> their own sphere of influence and may influence their own peer</w:t>
      </w:r>
      <w:r w:rsidR="001D6081" w:rsidRPr="00B65579">
        <w:t xml:space="preserve"> network, or friends, family</w:t>
      </w:r>
      <w:r w:rsidR="007D3ACC" w:rsidRPr="00B65579">
        <w:t>, and current work colleagues.</w:t>
      </w:r>
      <w:r w:rsidR="00B53629">
        <w:t xml:space="preserve"> </w:t>
      </w:r>
      <w:r w:rsidR="007D3ACC" w:rsidRPr="00B65579">
        <w:t>Each of these individuals own carbon-producing actions and decisions may also be influenced.</w:t>
      </w:r>
      <w:r w:rsidR="00B53629">
        <w:t xml:space="preserve"> </w:t>
      </w:r>
      <w:r w:rsidR="007D3ACC" w:rsidRPr="00B65579">
        <w:t>These influences may also not be immediate but may carry on into the future lives of the student, through their life choices, and potential application to their future work places.</w:t>
      </w:r>
      <w:r w:rsidR="00B53629">
        <w:t xml:space="preserve"> </w:t>
      </w:r>
    </w:p>
    <w:p w14:paraId="41A62700" w14:textId="2A5DCC53" w:rsidR="004F7FE8" w:rsidRPr="00B65579" w:rsidRDefault="00BC0EED" w:rsidP="00365DD7">
      <w:r w:rsidRPr="00B65579">
        <w:t>The aim of this</w:t>
      </w:r>
      <w:r w:rsidR="002D649A" w:rsidRPr="00B65579">
        <w:t xml:space="preserve"> educational initiative is to have a direct influence on reducing </w:t>
      </w:r>
      <w:r w:rsidR="004008B6">
        <w:t>greenhouse gas</w:t>
      </w:r>
      <w:r w:rsidR="004008B6" w:rsidRPr="00B65579">
        <w:t xml:space="preserve"> </w:t>
      </w:r>
      <w:r w:rsidR="002D649A" w:rsidRPr="00B65579">
        <w:t xml:space="preserve">emissions from </w:t>
      </w:r>
      <w:r w:rsidR="001D6081" w:rsidRPr="00B65579">
        <w:t>the organisation with which the students</w:t>
      </w:r>
      <w:r w:rsidR="002D649A" w:rsidRPr="00B65579">
        <w:t xml:space="preserve"> work.</w:t>
      </w:r>
      <w:r w:rsidR="00107D93">
        <w:t xml:space="preserve"> </w:t>
      </w:r>
      <w:r w:rsidR="009111EE" w:rsidRPr="00B65579">
        <w:t>Therefore,</w:t>
      </w:r>
      <w:r w:rsidR="002D649A" w:rsidRPr="00B65579">
        <w:t xml:space="preserve"> it </w:t>
      </w:r>
      <w:r w:rsidR="004008B6">
        <w:t xml:space="preserve">could be suggested </w:t>
      </w:r>
      <w:r w:rsidR="002D649A" w:rsidRPr="00B65579">
        <w:t>that the student will have an impa</w:t>
      </w:r>
      <w:r w:rsidR="0001774A">
        <w:t>ct on the particular department</w:t>
      </w:r>
      <w:r w:rsidR="002D649A" w:rsidRPr="00B65579">
        <w:t xml:space="preserve"> or office in which they work directly.</w:t>
      </w:r>
      <w:r w:rsidR="00B53629">
        <w:t xml:space="preserve"> </w:t>
      </w:r>
      <w:r w:rsidR="002D649A" w:rsidRPr="00B65579">
        <w:t>The student working in the organisation has a direct influence on the decision makers through the communication of their recommendations, and also through other staff.</w:t>
      </w:r>
      <w:r w:rsidR="00B53629">
        <w:t xml:space="preserve"> </w:t>
      </w:r>
      <w:r w:rsidR="002D649A" w:rsidRPr="00B65579">
        <w:t xml:space="preserve">Yet whether these </w:t>
      </w:r>
      <w:r w:rsidR="001D6081" w:rsidRPr="00B65579">
        <w:t>recommendations are taken up</w:t>
      </w:r>
      <w:r w:rsidR="002D649A" w:rsidRPr="00B65579">
        <w:t xml:space="preserve"> and the potential </w:t>
      </w:r>
      <w:r w:rsidR="004008B6">
        <w:t>e</w:t>
      </w:r>
      <w:r w:rsidR="001D6081" w:rsidRPr="00B65579">
        <w:t>missions</w:t>
      </w:r>
      <w:r w:rsidR="004008B6">
        <w:t xml:space="preserve"> reductions are</w:t>
      </w:r>
      <w:r w:rsidR="001D6081" w:rsidRPr="00B65579">
        <w:t xml:space="preserve"> realised</w:t>
      </w:r>
      <w:r w:rsidR="002D649A" w:rsidRPr="00B65579">
        <w:t xml:space="preserve"> is largely dependent on the actions of the decision makers within the organisation. </w:t>
      </w:r>
      <w:r w:rsidR="001D6081" w:rsidRPr="00B65579">
        <w:t>T</w:t>
      </w:r>
      <w:r w:rsidR="004F7FE8" w:rsidRPr="00B65579">
        <w:t xml:space="preserve">he </w:t>
      </w:r>
      <w:r w:rsidR="001D6081" w:rsidRPr="00B65579">
        <w:t xml:space="preserve">type of organisation </w:t>
      </w:r>
      <w:r w:rsidR="004F7FE8" w:rsidRPr="00B65579">
        <w:t xml:space="preserve">and the remit of the student’s project will determine the </w:t>
      </w:r>
      <w:r w:rsidR="00A47E14">
        <w:t>level</w:t>
      </w:r>
      <w:r w:rsidR="004F7FE8" w:rsidRPr="00B65579">
        <w:t xml:space="preserve"> of </w:t>
      </w:r>
      <w:r w:rsidR="004F7FE8" w:rsidRPr="00B65579">
        <w:rPr>
          <w:i/>
        </w:rPr>
        <w:t xml:space="preserve">potential </w:t>
      </w:r>
      <w:r w:rsidR="004F7FE8" w:rsidRPr="00B65579">
        <w:t>impact within an organisation.</w:t>
      </w:r>
      <w:r w:rsidR="00B53629">
        <w:t xml:space="preserve"> </w:t>
      </w:r>
      <w:r w:rsidR="004F7FE8" w:rsidRPr="00B65579">
        <w:t xml:space="preserve">The direct influence of the student during their project may only be restricted to a specific department or branch in one geographic area. However, there is the </w:t>
      </w:r>
      <w:r w:rsidR="004F7FE8" w:rsidRPr="00B65579">
        <w:rPr>
          <w:i/>
        </w:rPr>
        <w:t>potential</w:t>
      </w:r>
      <w:r w:rsidR="004F7FE8" w:rsidRPr="00B65579">
        <w:t xml:space="preserve"> </w:t>
      </w:r>
      <w:r w:rsidR="00AC4FEB" w:rsidRPr="00B65579">
        <w:t xml:space="preserve">for these recommendations to be taken forward at an organisational </w:t>
      </w:r>
      <w:r w:rsidR="00A47E14">
        <w:t>level</w:t>
      </w:r>
      <w:r w:rsidR="001D6081" w:rsidRPr="00B65579">
        <w:t xml:space="preserve"> (depending on the size of the organisation)</w:t>
      </w:r>
      <w:r w:rsidR="00AC4FEB" w:rsidRPr="00B65579">
        <w:t>.</w:t>
      </w:r>
      <w:r w:rsidR="00B53629">
        <w:t xml:space="preserve"> </w:t>
      </w:r>
      <w:r w:rsidR="00AC4FEB" w:rsidRPr="00B65579">
        <w:t>Yet the potential for this take up is mediated by the key decision makers who interact directly or indirectly with the recommendations of the student.</w:t>
      </w:r>
      <w:r w:rsidR="00B53629">
        <w:t xml:space="preserve"> </w:t>
      </w:r>
    </w:p>
    <w:p w14:paraId="27F6EAA4" w14:textId="6795B1DD" w:rsidR="000A74EE" w:rsidRPr="00B65579" w:rsidRDefault="00057F54" w:rsidP="00365DD7">
      <w:r w:rsidRPr="00B65579">
        <w:t xml:space="preserve">To </w:t>
      </w:r>
      <w:r w:rsidR="00A23966">
        <w:t xml:space="preserve">increase the level of </w:t>
      </w:r>
      <w:r w:rsidR="004008B6">
        <w:t>i</w:t>
      </w:r>
      <w:r w:rsidRPr="00B65579">
        <w:t>nfluence</w:t>
      </w:r>
      <w:r w:rsidR="0001774A">
        <w:t>, successes in one organisation</w:t>
      </w:r>
      <w:r w:rsidRPr="00B65579">
        <w:t xml:space="preserve"> can have an influence on the entire sector, through demonstrating the competitive advantage that this can gain organisations.</w:t>
      </w:r>
      <w:r w:rsidR="00B53629">
        <w:t xml:space="preserve"> </w:t>
      </w:r>
      <w:r w:rsidRPr="00B65579">
        <w:t xml:space="preserve">This may be mediated through </w:t>
      </w:r>
      <w:r w:rsidR="007A637F">
        <w:t>meso-level</w:t>
      </w:r>
      <w:r w:rsidRPr="00B65579">
        <w:t xml:space="preserve"> national policy</w:t>
      </w:r>
      <w:r w:rsidR="001D6081" w:rsidRPr="00B65579">
        <w:t xml:space="preserve"> or networks and organisations</w:t>
      </w:r>
      <w:r w:rsidRPr="00B65579">
        <w:t xml:space="preserve">, </w:t>
      </w:r>
      <w:r w:rsidR="001D6081" w:rsidRPr="00B65579">
        <w:t>themselves</w:t>
      </w:r>
      <w:r w:rsidRPr="00B65579">
        <w:t xml:space="preserve"> influenced by </w:t>
      </w:r>
      <w:r w:rsidR="007A637F">
        <w:t>macro-level</w:t>
      </w:r>
      <w:r w:rsidRPr="00B65579">
        <w:t xml:space="preserve"> international agreements</w:t>
      </w:r>
      <w:r w:rsidR="001D6081" w:rsidRPr="00B65579">
        <w:t xml:space="preserve"> or bodies</w:t>
      </w:r>
      <w:r w:rsidRPr="00B65579">
        <w:t xml:space="preserve">, </w:t>
      </w:r>
      <w:r w:rsidR="001D6081" w:rsidRPr="00B65579">
        <w:t xml:space="preserve">such as those </w:t>
      </w:r>
      <w:r w:rsidRPr="00B65579">
        <w:t>requiring reporting o</w:t>
      </w:r>
      <w:r w:rsidR="004008B6">
        <w:t xml:space="preserve">n greenhouse gas </w:t>
      </w:r>
      <w:r w:rsidR="001D6081" w:rsidRPr="00B65579">
        <w:t>emissions.</w:t>
      </w:r>
      <w:r w:rsidR="00B53629">
        <w:t xml:space="preserve"> </w:t>
      </w:r>
      <w:r w:rsidR="001D6081" w:rsidRPr="00B65579">
        <w:t>S</w:t>
      </w:r>
      <w:r w:rsidRPr="00B65579">
        <w:t>uch changes may be</w:t>
      </w:r>
      <w:r w:rsidR="001D6081" w:rsidRPr="00B65579">
        <w:t xml:space="preserve"> also</w:t>
      </w:r>
      <w:r w:rsidRPr="00B65579">
        <w:t xml:space="preserve"> driven by consumer demand, a collective of individual responses to the imperatives of tackling climate change and sustainability. </w:t>
      </w:r>
      <w:r w:rsidR="000A74EE" w:rsidRPr="00B65579">
        <w:t xml:space="preserve">The educational initiative does not </w:t>
      </w:r>
      <w:r w:rsidR="000A74EE" w:rsidRPr="00B65579">
        <w:rPr>
          <w:i/>
        </w:rPr>
        <w:t xml:space="preserve">directly </w:t>
      </w:r>
      <w:r w:rsidR="000A74EE" w:rsidRPr="00B65579">
        <w:t>lead to emission reduction</w:t>
      </w:r>
      <w:r w:rsidR="001D6081" w:rsidRPr="00B65579">
        <w:t>s</w:t>
      </w:r>
      <w:r w:rsidR="00DF6D98">
        <w:t>, however a</w:t>
      </w:r>
      <w:r w:rsidR="000A74EE" w:rsidRPr="00B65579">
        <w:t xml:space="preserve">s the </w:t>
      </w:r>
      <w:r w:rsidR="00A23966">
        <w:t xml:space="preserve">size </w:t>
      </w:r>
      <w:r w:rsidR="000A74EE" w:rsidRPr="00B65579">
        <w:t xml:space="preserve">of the potential impact increases, the probability of </w:t>
      </w:r>
      <w:r w:rsidR="0003166A">
        <w:t xml:space="preserve">greenhouse gas </w:t>
      </w:r>
      <w:r w:rsidR="000A74EE" w:rsidRPr="00B65579">
        <w:t xml:space="preserve">reduction </w:t>
      </w:r>
      <w:r w:rsidR="000C4CBB">
        <w:t>becomes more likely</w:t>
      </w:r>
      <w:r w:rsidR="000A74EE" w:rsidRPr="00B65579">
        <w:t xml:space="preserve">. Therefore to increase the likely </w:t>
      </w:r>
      <w:r w:rsidR="0003166A">
        <w:t>emission</w:t>
      </w:r>
      <w:r w:rsidR="0003166A" w:rsidRPr="00B65579">
        <w:t xml:space="preserve"> </w:t>
      </w:r>
      <w:r w:rsidR="000A74EE" w:rsidRPr="00B65579">
        <w:t xml:space="preserve">reductions resulting from the educational initiative, either the </w:t>
      </w:r>
      <w:r w:rsidR="00A23966">
        <w:t>level</w:t>
      </w:r>
      <w:r w:rsidR="000A74EE" w:rsidRPr="00B65579">
        <w:t xml:space="preserve"> at which the interventio</w:t>
      </w:r>
      <w:r w:rsidR="001D6081" w:rsidRPr="00B65579">
        <w:t xml:space="preserve">n occurs needs to be increased, </w:t>
      </w:r>
      <w:r w:rsidR="000A74EE" w:rsidRPr="00B65579">
        <w:t xml:space="preserve">for example a focus on working in the headquarters of an organisation, </w:t>
      </w:r>
      <w:r w:rsidR="001D6081" w:rsidRPr="00B65579">
        <w:t xml:space="preserve">or work carried out </w:t>
      </w:r>
      <w:r w:rsidR="000A74EE" w:rsidRPr="00B65579">
        <w:t>where there is more direct influence on the senior decision makers within an organisation.</w:t>
      </w:r>
      <w:r w:rsidR="00B53629">
        <w:t xml:space="preserve"> </w:t>
      </w:r>
    </w:p>
    <w:p w14:paraId="1A4AA97A" w14:textId="54B1610D" w:rsidR="001D6081" w:rsidRPr="00B65579" w:rsidRDefault="0001506E" w:rsidP="00365DD7">
      <w:r w:rsidRPr="00B65579">
        <w:lastRenderedPageBreak/>
        <w:t xml:space="preserve">In calculating the </w:t>
      </w:r>
      <w:r w:rsidR="00A23966">
        <w:t xml:space="preserve">size </w:t>
      </w:r>
      <w:r w:rsidRPr="00B65579">
        <w:t>of the impact of such an educational initiative, it is important to consider the scaling</w:t>
      </w:r>
      <w:r w:rsidR="00E456E2" w:rsidRPr="00B65579">
        <w:t xml:space="preserve"> up of such an activity.</w:t>
      </w:r>
      <w:r w:rsidR="00B53629">
        <w:t xml:space="preserve"> </w:t>
      </w:r>
      <w:r w:rsidR="00E456E2" w:rsidRPr="00B65579">
        <w:t>Table</w:t>
      </w:r>
      <w:r w:rsidR="00977FA3" w:rsidRPr="00B65579">
        <w:t xml:space="preserve"> 5</w:t>
      </w:r>
      <w:r w:rsidRPr="00B65579">
        <w:t xml:space="preserve"> shows the potential </w:t>
      </w:r>
      <w:r w:rsidR="0003166A">
        <w:t>greenhouse gas</w:t>
      </w:r>
      <w:r w:rsidR="0003166A" w:rsidRPr="00B65579">
        <w:t xml:space="preserve"> </w:t>
      </w:r>
      <w:r w:rsidRPr="00B65579">
        <w:t xml:space="preserve">reductions associated with </w:t>
      </w:r>
      <w:r w:rsidR="003F7DB6" w:rsidRPr="00B65579">
        <w:t xml:space="preserve">different </w:t>
      </w:r>
      <w:r w:rsidR="00BC61E2">
        <w:t>levels</w:t>
      </w:r>
      <w:r w:rsidR="003F7DB6" w:rsidRPr="00B65579">
        <w:t xml:space="preserve"> of activity from one</w:t>
      </w:r>
      <w:r w:rsidRPr="00B65579">
        <w:t xml:space="preserve"> student</w:t>
      </w:r>
      <w:r w:rsidR="003F7DB6" w:rsidRPr="00B65579">
        <w:t xml:space="preserve"> to multiple cohorts as the educational initiative is repeated</w:t>
      </w:r>
      <w:r w:rsidRPr="00B65579">
        <w:t>.</w:t>
      </w:r>
      <w:r w:rsidR="00B53629">
        <w:t xml:space="preserve"> </w:t>
      </w:r>
      <w:r w:rsidRPr="00B65579">
        <w:t>With scaling up the calculation of impact</w:t>
      </w:r>
      <w:r w:rsidR="009F491E" w:rsidRPr="00B65579">
        <w:t xml:space="preserve"> on </w:t>
      </w:r>
      <w:r w:rsidR="0003166A">
        <w:t xml:space="preserve">emission </w:t>
      </w:r>
      <w:r w:rsidR="009F491E" w:rsidRPr="00B65579">
        <w:t>reductions</w:t>
      </w:r>
      <w:r w:rsidRPr="00B65579">
        <w:t xml:space="preserve">, both the direct impact increases, as does the probability of impact at a higher </w:t>
      </w:r>
      <w:r w:rsidR="00A47E14">
        <w:t>level</w:t>
      </w:r>
      <w:r w:rsidRPr="00B65579">
        <w:t>.</w:t>
      </w:r>
      <w:r w:rsidR="00B213CF" w:rsidRPr="00B65579">
        <w:t xml:space="preserve"> The impact can be significantly further increased if the initiative is adopted by other educators at other institutions.</w:t>
      </w:r>
    </w:p>
    <w:p w14:paraId="68770AC3" w14:textId="33E512C7" w:rsidR="001D6081" w:rsidRPr="00365DD7" w:rsidRDefault="00977FA3" w:rsidP="00365DD7">
      <w:pPr>
        <w:rPr>
          <w:b/>
          <w:bCs/>
        </w:rPr>
      </w:pPr>
      <w:r w:rsidRPr="00365DD7">
        <w:rPr>
          <w:b/>
          <w:bCs/>
        </w:rPr>
        <w:t>Table 5</w:t>
      </w:r>
      <w:r w:rsidR="00365DD7" w:rsidRPr="00365DD7">
        <w:rPr>
          <w:b/>
          <w:bCs/>
        </w:rPr>
        <w:t xml:space="preserve">: </w:t>
      </w:r>
      <w:r w:rsidR="004A1962" w:rsidRPr="00365DD7">
        <w:t>Estimated cumulative i</w:t>
      </w:r>
      <w:r w:rsidR="001D6081" w:rsidRPr="00365DD7">
        <w:t xml:space="preserve">mpacts of </w:t>
      </w:r>
      <w:r w:rsidR="004A1962" w:rsidRPr="00365DD7">
        <w:t>the greenhouse gas educational</w:t>
      </w:r>
      <w:r w:rsidR="001D6081" w:rsidRPr="00365DD7">
        <w:t xml:space="preserve"> initiative</w:t>
      </w:r>
      <w:r w:rsidR="004A1962" w:rsidRPr="00365DD7">
        <w:t xml:space="preserve"> over years of operation</w:t>
      </w:r>
      <w:r w:rsidR="00B213CF" w:rsidRPr="00365DD7">
        <w:t xml:space="preserve"> (est = estimate).</w:t>
      </w:r>
      <w:r w:rsidR="00B53629">
        <w:t xml:space="preserve"> </w:t>
      </w:r>
      <w:r w:rsidR="00B213CF" w:rsidRPr="00365DD7">
        <w:t>3rd, 4th and 5th cohort estimates based on an average from the first and second cohort data.</w:t>
      </w:r>
    </w:p>
    <w:tbl>
      <w:tblPr>
        <w:tblStyle w:val="TableGrid"/>
        <w:tblW w:w="0" w:type="auto"/>
        <w:tblLook w:val="04A0" w:firstRow="1" w:lastRow="0" w:firstColumn="1" w:lastColumn="0" w:noHBand="0" w:noVBand="1"/>
      </w:tblPr>
      <w:tblGrid>
        <w:gridCol w:w="3369"/>
        <w:gridCol w:w="2693"/>
        <w:gridCol w:w="3544"/>
      </w:tblGrid>
      <w:tr w:rsidR="001D6081" w:rsidRPr="00B65579" w14:paraId="6CA544EA" w14:textId="77777777" w:rsidTr="009111EE">
        <w:trPr>
          <w:trHeight w:val="597"/>
        </w:trPr>
        <w:tc>
          <w:tcPr>
            <w:tcW w:w="3369" w:type="dxa"/>
            <w:hideMark/>
          </w:tcPr>
          <w:p w14:paraId="39E4D2F3" w14:textId="77777777" w:rsidR="001D6081" w:rsidRPr="00B65579" w:rsidRDefault="001D6081" w:rsidP="00365DD7">
            <w:pPr>
              <w:rPr>
                <w:lang w:val="en-US"/>
              </w:rPr>
            </w:pPr>
          </w:p>
        </w:tc>
        <w:tc>
          <w:tcPr>
            <w:tcW w:w="2693" w:type="dxa"/>
            <w:hideMark/>
          </w:tcPr>
          <w:p w14:paraId="1A7D94A3" w14:textId="77777777" w:rsidR="001D6081" w:rsidRPr="00B65579" w:rsidRDefault="001D6081" w:rsidP="00365DD7">
            <w:pPr>
              <w:rPr>
                <w:b/>
                <w:bCs/>
              </w:rPr>
            </w:pPr>
            <w:r w:rsidRPr="00B65579">
              <w:rPr>
                <w:b/>
                <w:bCs/>
              </w:rPr>
              <w:t>Potential kg CO</w:t>
            </w:r>
            <w:r w:rsidRPr="00B65579">
              <w:rPr>
                <w:b/>
                <w:bCs/>
                <w:vertAlign w:val="subscript"/>
              </w:rPr>
              <w:t>2</w:t>
            </w:r>
            <w:r w:rsidRPr="00B65579">
              <w:rPr>
                <w:b/>
                <w:bCs/>
              </w:rPr>
              <w:t>e Savings</w:t>
            </w:r>
          </w:p>
        </w:tc>
        <w:tc>
          <w:tcPr>
            <w:tcW w:w="3544" w:type="dxa"/>
            <w:hideMark/>
          </w:tcPr>
          <w:p w14:paraId="5EBBFB51" w14:textId="3E1F5587" w:rsidR="001D6081" w:rsidRPr="00B65579" w:rsidRDefault="001D6081" w:rsidP="00365DD7">
            <w:pPr>
              <w:rPr>
                <w:b/>
                <w:bCs/>
              </w:rPr>
            </w:pPr>
            <w:r w:rsidRPr="00B65579">
              <w:rPr>
                <w:b/>
                <w:bCs/>
              </w:rPr>
              <w:t>No. of Organisations influenced</w:t>
            </w:r>
            <w:r w:rsidR="004A1962" w:rsidRPr="00B65579">
              <w:rPr>
                <w:b/>
                <w:bCs/>
              </w:rPr>
              <w:t xml:space="preserve"> (estimate)</w:t>
            </w:r>
          </w:p>
        </w:tc>
      </w:tr>
      <w:tr w:rsidR="001D6081" w:rsidRPr="00B65579" w14:paraId="45780081" w14:textId="77777777" w:rsidTr="00365DD7">
        <w:trPr>
          <w:trHeight w:val="320"/>
        </w:trPr>
        <w:tc>
          <w:tcPr>
            <w:tcW w:w="3369" w:type="dxa"/>
            <w:hideMark/>
          </w:tcPr>
          <w:p w14:paraId="1B51B3D4" w14:textId="77777777" w:rsidR="001D6081" w:rsidRPr="00B65579" w:rsidRDefault="001D6081" w:rsidP="00365DD7">
            <w:pPr>
              <w:rPr>
                <w:b/>
                <w:bCs/>
              </w:rPr>
            </w:pPr>
            <w:r w:rsidRPr="00B65579">
              <w:rPr>
                <w:b/>
                <w:bCs/>
              </w:rPr>
              <w:t>One Student</w:t>
            </w:r>
          </w:p>
        </w:tc>
        <w:tc>
          <w:tcPr>
            <w:tcW w:w="2693" w:type="dxa"/>
            <w:hideMark/>
          </w:tcPr>
          <w:p w14:paraId="286C985F" w14:textId="00ECA999" w:rsidR="001D6081" w:rsidRPr="00B65579" w:rsidRDefault="004A1962" w:rsidP="00365DD7">
            <w:r w:rsidRPr="00B65579">
              <w:t>2</w:t>
            </w:r>
            <w:r w:rsidR="00B213CF" w:rsidRPr="00B65579">
              <w:t>,</w:t>
            </w:r>
            <w:r w:rsidRPr="00B65579">
              <w:t>475</w:t>
            </w:r>
          </w:p>
        </w:tc>
        <w:tc>
          <w:tcPr>
            <w:tcW w:w="3544" w:type="dxa"/>
            <w:hideMark/>
          </w:tcPr>
          <w:p w14:paraId="691E2B82" w14:textId="77777777" w:rsidR="001D6081" w:rsidRPr="00B65579" w:rsidRDefault="001D6081" w:rsidP="00365DD7">
            <w:r w:rsidRPr="00B65579">
              <w:t>1</w:t>
            </w:r>
          </w:p>
        </w:tc>
      </w:tr>
      <w:tr w:rsidR="001D6081" w:rsidRPr="00B65579" w14:paraId="09610ED5" w14:textId="77777777" w:rsidTr="00365DD7">
        <w:trPr>
          <w:trHeight w:val="360"/>
        </w:trPr>
        <w:tc>
          <w:tcPr>
            <w:tcW w:w="3369" w:type="dxa"/>
            <w:hideMark/>
          </w:tcPr>
          <w:p w14:paraId="27B82C62" w14:textId="77777777" w:rsidR="001D6081" w:rsidRPr="00B65579" w:rsidRDefault="001D6081" w:rsidP="00365DD7">
            <w:pPr>
              <w:rPr>
                <w:b/>
                <w:bCs/>
              </w:rPr>
            </w:pPr>
            <w:r w:rsidRPr="00B65579">
              <w:rPr>
                <w:b/>
                <w:bCs/>
              </w:rPr>
              <w:t xml:space="preserve">Student Group </w:t>
            </w:r>
          </w:p>
        </w:tc>
        <w:tc>
          <w:tcPr>
            <w:tcW w:w="2693" w:type="dxa"/>
            <w:hideMark/>
          </w:tcPr>
          <w:p w14:paraId="5F8B6512" w14:textId="3BF7EAF7" w:rsidR="001D6081" w:rsidRPr="00B65579" w:rsidRDefault="004A1962" w:rsidP="00365DD7">
            <w:r w:rsidRPr="00B65579">
              <w:t>10,149</w:t>
            </w:r>
          </w:p>
        </w:tc>
        <w:tc>
          <w:tcPr>
            <w:tcW w:w="3544" w:type="dxa"/>
            <w:hideMark/>
          </w:tcPr>
          <w:p w14:paraId="01B14998" w14:textId="77777777" w:rsidR="001D6081" w:rsidRPr="00B65579" w:rsidRDefault="001D6081" w:rsidP="00365DD7">
            <w:r w:rsidRPr="00B65579">
              <w:t>1</w:t>
            </w:r>
          </w:p>
        </w:tc>
      </w:tr>
      <w:tr w:rsidR="001D6081" w:rsidRPr="00B65579" w14:paraId="3A36B8CD" w14:textId="77777777" w:rsidTr="00365DD7">
        <w:trPr>
          <w:trHeight w:val="320"/>
        </w:trPr>
        <w:tc>
          <w:tcPr>
            <w:tcW w:w="3369" w:type="dxa"/>
            <w:hideMark/>
          </w:tcPr>
          <w:p w14:paraId="6B82C736" w14:textId="77777777" w:rsidR="001D6081" w:rsidRPr="00B65579" w:rsidRDefault="001D6081" w:rsidP="00365DD7">
            <w:pPr>
              <w:rPr>
                <w:b/>
                <w:bCs/>
              </w:rPr>
            </w:pPr>
            <w:r w:rsidRPr="00B65579">
              <w:rPr>
                <w:b/>
                <w:bCs/>
              </w:rPr>
              <w:t>1st Year Cohort</w:t>
            </w:r>
          </w:p>
        </w:tc>
        <w:tc>
          <w:tcPr>
            <w:tcW w:w="2693" w:type="dxa"/>
            <w:hideMark/>
          </w:tcPr>
          <w:p w14:paraId="13215E8B" w14:textId="60BDBE19" w:rsidR="001D6081" w:rsidRPr="00B65579" w:rsidRDefault="004A1962" w:rsidP="00365DD7">
            <w:r w:rsidRPr="00B65579">
              <w:t>340,086</w:t>
            </w:r>
          </w:p>
        </w:tc>
        <w:tc>
          <w:tcPr>
            <w:tcW w:w="3544" w:type="dxa"/>
            <w:hideMark/>
          </w:tcPr>
          <w:p w14:paraId="0234AF53" w14:textId="77777777" w:rsidR="001D6081" w:rsidRPr="00B65579" w:rsidRDefault="001D6081" w:rsidP="00365DD7">
            <w:r w:rsidRPr="00B65579">
              <w:t>30</w:t>
            </w:r>
          </w:p>
        </w:tc>
      </w:tr>
      <w:tr w:rsidR="001D6081" w:rsidRPr="00B65579" w14:paraId="65C39146" w14:textId="77777777" w:rsidTr="00365DD7">
        <w:trPr>
          <w:trHeight w:val="320"/>
        </w:trPr>
        <w:tc>
          <w:tcPr>
            <w:tcW w:w="3369" w:type="dxa"/>
            <w:hideMark/>
          </w:tcPr>
          <w:p w14:paraId="605C6C69" w14:textId="77777777" w:rsidR="001D6081" w:rsidRPr="00B65579" w:rsidRDefault="001D6081" w:rsidP="00365DD7">
            <w:pPr>
              <w:rPr>
                <w:b/>
                <w:bCs/>
              </w:rPr>
            </w:pPr>
            <w:r w:rsidRPr="00B65579">
              <w:rPr>
                <w:b/>
                <w:bCs/>
              </w:rPr>
              <w:t>2nd Year Cohort</w:t>
            </w:r>
          </w:p>
        </w:tc>
        <w:tc>
          <w:tcPr>
            <w:tcW w:w="2693" w:type="dxa"/>
            <w:hideMark/>
          </w:tcPr>
          <w:p w14:paraId="54B7E41E" w14:textId="137F981C" w:rsidR="001D6081" w:rsidRPr="00B65579" w:rsidRDefault="004A1962" w:rsidP="00365DD7">
            <w:r w:rsidRPr="00B65579">
              <w:t>167,349</w:t>
            </w:r>
          </w:p>
        </w:tc>
        <w:tc>
          <w:tcPr>
            <w:tcW w:w="3544" w:type="dxa"/>
            <w:hideMark/>
          </w:tcPr>
          <w:p w14:paraId="2DB722EC" w14:textId="77777777" w:rsidR="001D6081" w:rsidRPr="00B65579" w:rsidRDefault="001D6081" w:rsidP="00365DD7">
            <w:r w:rsidRPr="00B65579">
              <w:t>20</w:t>
            </w:r>
          </w:p>
        </w:tc>
      </w:tr>
      <w:tr w:rsidR="001D6081" w:rsidRPr="00B65579" w14:paraId="0DECEF3D" w14:textId="77777777" w:rsidTr="00365DD7">
        <w:trPr>
          <w:trHeight w:val="360"/>
        </w:trPr>
        <w:tc>
          <w:tcPr>
            <w:tcW w:w="3369" w:type="dxa"/>
            <w:hideMark/>
          </w:tcPr>
          <w:p w14:paraId="1AA90698" w14:textId="77777777" w:rsidR="001D6081" w:rsidRPr="00B65579" w:rsidRDefault="001D6081" w:rsidP="00365DD7">
            <w:pPr>
              <w:rPr>
                <w:b/>
                <w:bCs/>
              </w:rPr>
            </w:pPr>
            <w:r w:rsidRPr="00B65579">
              <w:rPr>
                <w:b/>
                <w:bCs/>
              </w:rPr>
              <w:t>3rd Year Cohort (est)</w:t>
            </w:r>
          </w:p>
        </w:tc>
        <w:tc>
          <w:tcPr>
            <w:tcW w:w="2693" w:type="dxa"/>
            <w:hideMark/>
          </w:tcPr>
          <w:p w14:paraId="616EB8BA" w14:textId="0F314CE2" w:rsidR="001D6081" w:rsidRPr="00B65579" w:rsidRDefault="004A1962" w:rsidP="00365DD7">
            <w:r w:rsidRPr="00B65579">
              <w:t>253,717</w:t>
            </w:r>
          </w:p>
        </w:tc>
        <w:tc>
          <w:tcPr>
            <w:tcW w:w="3544" w:type="dxa"/>
            <w:hideMark/>
          </w:tcPr>
          <w:p w14:paraId="6FB1AAA8" w14:textId="77777777" w:rsidR="001D6081" w:rsidRPr="00B65579" w:rsidRDefault="001D6081" w:rsidP="00365DD7">
            <w:r w:rsidRPr="00B65579">
              <w:t>30</w:t>
            </w:r>
          </w:p>
        </w:tc>
      </w:tr>
      <w:tr w:rsidR="001D6081" w:rsidRPr="00B65579" w14:paraId="7BD112E2" w14:textId="77777777" w:rsidTr="00365DD7">
        <w:trPr>
          <w:trHeight w:val="320"/>
        </w:trPr>
        <w:tc>
          <w:tcPr>
            <w:tcW w:w="3369" w:type="dxa"/>
            <w:hideMark/>
          </w:tcPr>
          <w:p w14:paraId="55A2A28B" w14:textId="77777777" w:rsidR="001D6081" w:rsidRPr="00B65579" w:rsidRDefault="001D6081" w:rsidP="00365DD7">
            <w:pPr>
              <w:rPr>
                <w:b/>
                <w:bCs/>
              </w:rPr>
            </w:pPr>
            <w:r w:rsidRPr="00B65579">
              <w:rPr>
                <w:b/>
                <w:bCs/>
              </w:rPr>
              <w:t>4th Year Cohort (est)</w:t>
            </w:r>
          </w:p>
        </w:tc>
        <w:tc>
          <w:tcPr>
            <w:tcW w:w="2693" w:type="dxa"/>
            <w:hideMark/>
          </w:tcPr>
          <w:p w14:paraId="5B428EDA" w14:textId="6A665176" w:rsidR="001D6081" w:rsidRPr="00B65579" w:rsidRDefault="004A1962" w:rsidP="00365DD7">
            <w:r w:rsidRPr="00B65579">
              <w:t>253,717</w:t>
            </w:r>
          </w:p>
        </w:tc>
        <w:tc>
          <w:tcPr>
            <w:tcW w:w="3544" w:type="dxa"/>
            <w:hideMark/>
          </w:tcPr>
          <w:p w14:paraId="236F31AA" w14:textId="77777777" w:rsidR="001D6081" w:rsidRPr="00B65579" w:rsidRDefault="001D6081" w:rsidP="00365DD7">
            <w:r w:rsidRPr="00B65579">
              <w:t>30</w:t>
            </w:r>
          </w:p>
        </w:tc>
      </w:tr>
      <w:tr w:rsidR="001D6081" w:rsidRPr="00B65579" w14:paraId="4319EFF9" w14:textId="77777777" w:rsidTr="00365DD7">
        <w:trPr>
          <w:trHeight w:val="320"/>
        </w:trPr>
        <w:tc>
          <w:tcPr>
            <w:tcW w:w="3369" w:type="dxa"/>
            <w:hideMark/>
          </w:tcPr>
          <w:p w14:paraId="1ECE56EC" w14:textId="2B9C3E62" w:rsidR="001D6081" w:rsidRPr="00B65579" w:rsidRDefault="004A1962" w:rsidP="00365DD7">
            <w:pPr>
              <w:rPr>
                <w:b/>
                <w:bCs/>
              </w:rPr>
            </w:pPr>
            <w:r w:rsidRPr="00B65579">
              <w:rPr>
                <w:b/>
                <w:bCs/>
              </w:rPr>
              <w:t>5th Year Cohort (est)</w:t>
            </w:r>
          </w:p>
        </w:tc>
        <w:tc>
          <w:tcPr>
            <w:tcW w:w="2693" w:type="dxa"/>
            <w:hideMark/>
          </w:tcPr>
          <w:p w14:paraId="6CE96815" w14:textId="10174489" w:rsidR="001D6081" w:rsidRPr="00B65579" w:rsidRDefault="004A1962" w:rsidP="00365DD7">
            <w:r w:rsidRPr="00B65579">
              <w:t>253,717</w:t>
            </w:r>
          </w:p>
        </w:tc>
        <w:tc>
          <w:tcPr>
            <w:tcW w:w="3544" w:type="dxa"/>
            <w:hideMark/>
          </w:tcPr>
          <w:p w14:paraId="514AF15A" w14:textId="77777777" w:rsidR="001D6081" w:rsidRPr="00B65579" w:rsidRDefault="001D6081" w:rsidP="00365DD7">
            <w:r w:rsidRPr="00B65579">
              <w:t>30</w:t>
            </w:r>
          </w:p>
        </w:tc>
      </w:tr>
      <w:tr w:rsidR="001D6081" w:rsidRPr="00B65579" w14:paraId="7A78C84C" w14:textId="77777777" w:rsidTr="00365DD7">
        <w:trPr>
          <w:trHeight w:val="320"/>
        </w:trPr>
        <w:tc>
          <w:tcPr>
            <w:tcW w:w="3369" w:type="dxa"/>
            <w:hideMark/>
          </w:tcPr>
          <w:p w14:paraId="61D99961" w14:textId="46D82B9F" w:rsidR="001D6081" w:rsidRPr="00B65579" w:rsidRDefault="00B213CF" w:rsidP="00365DD7">
            <w:pPr>
              <w:rPr>
                <w:b/>
                <w:bCs/>
              </w:rPr>
            </w:pPr>
            <w:r w:rsidRPr="00B65579">
              <w:rPr>
                <w:b/>
                <w:bCs/>
              </w:rPr>
              <w:t>TOTAL</w:t>
            </w:r>
          </w:p>
        </w:tc>
        <w:tc>
          <w:tcPr>
            <w:tcW w:w="2693" w:type="dxa"/>
            <w:hideMark/>
          </w:tcPr>
          <w:p w14:paraId="73DE0A22" w14:textId="6C45DB5F" w:rsidR="001D6081" w:rsidRPr="00B65579" w:rsidRDefault="001D6081" w:rsidP="00365DD7">
            <w:r w:rsidRPr="00B65579">
              <w:t>1</w:t>
            </w:r>
            <w:r w:rsidR="00B213CF" w:rsidRPr="00B65579">
              <w:t>,</w:t>
            </w:r>
            <w:r w:rsidRPr="00B65579">
              <w:t>281</w:t>
            </w:r>
            <w:r w:rsidR="00B213CF" w:rsidRPr="00B65579">
              <w:t>,209</w:t>
            </w:r>
          </w:p>
        </w:tc>
        <w:tc>
          <w:tcPr>
            <w:tcW w:w="3544" w:type="dxa"/>
            <w:hideMark/>
          </w:tcPr>
          <w:p w14:paraId="2837A9C6" w14:textId="77777777" w:rsidR="001D6081" w:rsidRPr="00B65579" w:rsidRDefault="001D6081" w:rsidP="00365DD7">
            <w:r w:rsidRPr="00B65579">
              <w:t>140</w:t>
            </w:r>
          </w:p>
        </w:tc>
      </w:tr>
      <w:tr w:rsidR="001D6081" w:rsidRPr="00B65579" w14:paraId="0D9E3ECC" w14:textId="77777777" w:rsidTr="00365DD7">
        <w:trPr>
          <w:trHeight w:val="320"/>
        </w:trPr>
        <w:tc>
          <w:tcPr>
            <w:tcW w:w="3369" w:type="dxa"/>
            <w:hideMark/>
          </w:tcPr>
          <w:p w14:paraId="06A914BB" w14:textId="77777777" w:rsidR="001D6081" w:rsidRPr="00B65579" w:rsidRDefault="001D6081" w:rsidP="00365DD7"/>
        </w:tc>
        <w:tc>
          <w:tcPr>
            <w:tcW w:w="2693" w:type="dxa"/>
            <w:hideMark/>
          </w:tcPr>
          <w:p w14:paraId="1F8D0CD9" w14:textId="77777777" w:rsidR="001D6081" w:rsidRPr="00B65579" w:rsidRDefault="001D6081" w:rsidP="00365DD7"/>
        </w:tc>
        <w:tc>
          <w:tcPr>
            <w:tcW w:w="3544" w:type="dxa"/>
            <w:hideMark/>
          </w:tcPr>
          <w:p w14:paraId="01329C2E" w14:textId="77777777" w:rsidR="001D6081" w:rsidRPr="00B65579" w:rsidRDefault="001D6081" w:rsidP="00365DD7"/>
        </w:tc>
      </w:tr>
      <w:tr w:rsidR="001D6081" w:rsidRPr="00B65579" w14:paraId="4BF53589" w14:textId="77777777" w:rsidTr="00365DD7">
        <w:trPr>
          <w:trHeight w:val="640"/>
        </w:trPr>
        <w:tc>
          <w:tcPr>
            <w:tcW w:w="3369" w:type="dxa"/>
            <w:hideMark/>
          </w:tcPr>
          <w:p w14:paraId="0ADBC06D" w14:textId="4D35322C" w:rsidR="001D6081" w:rsidRPr="00B65579" w:rsidRDefault="00B213CF" w:rsidP="00365DD7">
            <w:pPr>
              <w:rPr>
                <w:b/>
                <w:bCs/>
              </w:rPr>
            </w:pPr>
            <w:r w:rsidRPr="00B65579">
              <w:rPr>
                <w:b/>
                <w:bCs/>
              </w:rPr>
              <w:t>If teaching adopted by one</w:t>
            </w:r>
            <w:r w:rsidR="001D6081" w:rsidRPr="00B65579">
              <w:rPr>
                <w:b/>
                <w:bCs/>
              </w:rPr>
              <w:t xml:space="preserve"> other educator</w:t>
            </w:r>
            <w:r w:rsidRPr="00B65579">
              <w:rPr>
                <w:b/>
                <w:bCs/>
              </w:rPr>
              <w:t xml:space="preserve"> over 5 years</w:t>
            </w:r>
          </w:p>
        </w:tc>
        <w:tc>
          <w:tcPr>
            <w:tcW w:w="2693" w:type="dxa"/>
            <w:hideMark/>
          </w:tcPr>
          <w:p w14:paraId="2B71C9F0" w14:textId="3AFA02B8" w:rsidR="001D6081" w:rsidRPr="00B65579" w:rsidRDefault="00B213CF" w:rsidP="00365DD7">
            <w:r w:rsidRPr="00B65579">
              <w:t>1,281,209</w:t>
            </w:r>
          </w:p>
        </w:tc>
        <w:tc>
          <w:tcPr>
            <w:tcW w:w="3544" w:type="dxa"/>
            <w:hideMark/>
          </w:tcPr>
          <w:p w14:paraId="475CBE16" w14:textId="77777777" w:rsidR="001D6081" w:rsidRPr="00B65579" w:rsidRDefault="001D6081" w:rsidP="00365DD7">
            <w:r w:rsidRPr="00B65579">
              <w:t>140</w:t>
            </w:r>
          </w:p>
        </w:tc>
      </w:tr>
      <w:tr w:rsidR="001D6081" w:rsidRPr="00B65579" w14:paraId="4142E4FB" w14:textId="77777777" w:rsidTr="00365DD7">
        <w:trPr>
          <w:trHeight w:val="320"/>
        </w:trPr>
        <w:tc>
          <w:tcPr>
            <w:tcW w:w="3369" w:type="dxa"/>
            <w:hideMark/>
          </w:tcPr>
          <w:p w14:paraId="19139B58" w14:textId="77777777" w:rsidR="001D6081" w:rsidRPr="00B65579" w:rsidRDefault="001D6081" w:rsidP="00365DD7"/>
        </w:tc>
        <w:tc>
          <w:tcPr>
            <w:tcW w:w="2693" w:type="dxa"/>
            <w:hideMark/>
          </w:tcPr>
          <w:p w14:paraId="203B38E4" w14:textId="77777777" w:rsidR="001D6081" w:rsidRPr="00B65579" w:rsidRDefault="001D6081" w:rsidP="00365DD7"/>
        </w:tc>
        <w:tc>
          <w:tcPr>
            <w:tcW w:w="3544" w:type="dxa"/>
            <w:hideMark/>
          </w:tcPr>
          <w:p w14:paraId="1B0245F7" w14:textId="77777777" w:rsidR="001D6081" w:rsidRPr="00B65579" w:rsidRDefault="001D6081" w:rsidP="00365DD7"/>
        </w:tc>
      </w:tr>
      <w:tr w:rsidR="001D6081" w:rsidRPr="00B65579" w14:paraId="50CA22A9" w14:textId="77777777" w:rsidTr="00365DD7">
        <w:trPr>
          <w:trHeight w:val="640"/>
        </w:trPr>
        <w:tc>
          <w:tcPr>
            <w:tcW w:w="3369" w:type="dxa"/>
            <w:hideMark/>
          </w:tcPr>
          <w:p w14:paraId="3E573944" w14:textId="0CD296B1" w:rsidR="001D6081" w:rsidRPr="00B65579" w:rsidRDefault="001D6081" w:rsidP="00365DD7">
            <w:pPr>
              <w:rPr>
                <w:b/>
                <w:bCs/>
              </w:rPr>
            </w:pPr>
            <w:r w:rsidRPr="00B65579">
              <w:rPr>
                <w:b/>
                <w:bCs/>
              </w:rPr>
              <w:t>Total Potential CO</w:t>
            </w:r>
            <w:r w:rsidRPr="00B65579">
              <w:rPr>
                <w:b/>
                <w:bCs/>
                <w:vertAlign w:val="subscript"/>
              </w:rPr>
              <w:t>2</w:t>
            </w:r>
            <w:r w:rsidRPr="00B65579">
              <w:rPr>
                <w:b/>
                <w:bCs/>
              </w:rPr>
              <w:t>e Savings</w:t>
            </w:r>
            <w:r w:rsidR="00B213CF" w:rsidRPr="00B65579">
              <w:rPr>
                <w:b/>
                <w:bCs/>
              </w:rPr>
              <w:t>, from two educators at different institutions</w:t>
            </w:r>
          </w:p>
        </w:tc>
        <w:tc>
          <w:tcPr>
            <w:tcW w:w="2693" w:type="dxa"/>
            <w:hideMark/>
          </w:tcPr>
          <w:p w14:paraId="333CB581" w14:textId="21E59E0A" w:rsidR="001D6081" w:rsidRPr="00B65579" w:rsidRDefault="00B213CF" w:rsidP="00365DD7">
            <w:r w:rsidRPr="00B65579">
              <w:t>2,562,418</w:t>
            </w:r>
          </w:p>
        </w:tc>
        <w:tc>
          <w:tcPr>
            <w:tcW w:w="3544" w:type="dxa"/>
            <w:hideMark/>
          </w:tcPr>
          <w:p w14:paraId="3B0BDA80" w14:textId="77777777" w:rsidR="001D6081" w:rsidRPr="00B65579" w:rsidRDefault="001D6081" w:rsidP="00365DD7">
            <w:r w:rsidRPr="00B65579">
              <w:t>280</w:t>
            </w:r>
          </w:p>
        </w:tc>
      </w:tr>
    </w:tbl>
    <w:p w14:paraId="71969A71" w14:textId="760E3B13" w:rsidR="00E43CA9" w:rsidRPr="00365DD7" w:rsidRDefault="003555EB" w:rsidP="009111EE">
      <w:pPr>
        <w:pStyle w:val="Heading2"/>
        <w:numPr>
          <w:ilvl w:val="0"/>
          <w:numId w:val="0"/>
        </w:numPr>
        <w:rPr>
          <w:i/>
        </w:rPr>
      </w:pPr>
      <w:r>
        <w:rPr>
          <w:i/>
        </w:rPr>
        <w:t>5</w:t>
      </w:r>
      <w:r w:rsidR="0060211F" w:rsidRPr="00B61B62">
        <w:rPr>
          <w:i/>
        </w:rPr>
        <w:t>.2</w:t>
      </w:r>
      <w:r>
        <w:rPr>
          <w:i/>
        </w:rPr>
        <w:t>.</w:t>
      </w:r>
      <w:r w:rsidR="0060211F" w:rsidRPr="00B61B62">
        <w:rPr>
          <w:i/>
        </w:rPr>
        <w:t xml:space="preserve"> </w:t>
      </w:r>
      <w:r w:rsidR="00995C19" w:rsidRPr="00B61B62">
        <w:rPr>
          <w:i/>
        </w:rPr>
        <w:t xml:space="preserve">Different influences </w:t>
      </w:r>
      <w:r w:rsidR="00995C19" w:rsidRPr="00B61B62">
        <w:rPr>
          <w:i/>
          <w:u w:val="single"/>
        </w:rPr>
        <w:t>on</w:t>
      </w:r>
      <w:r w:rsidR="00995C19" w:rsidRPr="00B61B62">
        <w:rPr>
          <w:i/>
        </w:rPr>
        <w:t xml:space="preserve"> the </w:t>
      </w:r>
      <w:r w:rsidR="007A637F">
        <w:rPr>
          <w:i/>
        </w:rPr>
        <w:t>micro-level</w:t>
      </w:r>
      <w:r w:rsidR="00995C19" w:rsidRPr="00B61B62">
        <w:rPr>
          <w:i/>
        </w:rPr>
        <w:t xml:space="preserve"> individual educator’s actions</w:t>
      </w:r>
    </w:p>
    <w:p w14:paraId="4602E10E" w14:textId="1AFD3F7E" w:rsidR="00977FA3" w:rsidRPr="00B65579" w:rsidRDefault="00977FA3" w:rsidP="00977FA3">
      <w:pPr>
        <w:spacing w:line="480" w:lineRule="auto"/>
      </w:pPr>
      <w:r w:rsidRPr="00B65579">
        <w:t xml:space="preserve">Figure 1 summarises the different </w:t>
      </w:r>
      <w:r w:rsidR="008F7DC6">
        <w:t xml:space="preserve">level </w:t>
      </w:r>
      <w:r w:rsidRPr="00B65579">
        <w:t>influences and influencers on the educational initiative.</w:t>
      </w:r>
    </w:p>
    <w:p w14:paraId="28E21C1A" w14:textId="5D985E15" w:rsidR="003C5A8C" w:rsidRPr="00B65579" w:rsidRDefault="005962BB" w:rsidP="009111EE">
      <w:pPr>
        <w:spacing w:line="480" w:lineRule="auto"/>
        <w:jc w:val="center"/>
      </w:pPr>
      <w:r w:rsidRPr="00B65579">
        <w:rPr>
          <w:noProof/>
          <w:lang w:eastAsia="en-GB"/>
        </w:rPr>
        <w:lastRenderedPageBreak/>
        <w:drawing>
          <wp:inline distT="0" distB="0" distL="0" distR="0" wp14:anchorId="395E28FE" wp14:editId="2A1626D4">
            <wp:extent cx="5342030" cy="4006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tif"/>
                    <pic:cNvPicPr/>
                  </pic:nvPicPr>
                  <pic:blipFill>
                    <a:blip r:embed="rId8">
                      <a:extLst>
                        <a:ext uri="{28A0092B-C50C-407E-A947-70E740481C1C}">
                          <a14:useLocalDpi xmlns:a14="http://schemas.microsoft.com/office/drawing/2010/main" val="0"/>
                        </a:ext>
                      </a:extLst>
                    </a:blip>
                    <a:stretch>
                      <a:fillRect/>
                    </a:stretch>
                  </pic:blipFill>
                  <pic:spPr>
                    <a:xfrm>
                      <a:off x="0" y="0"/>
                      <a:ext cx="5342030" cy="4006800"/>
                    </a:xfrm>
                    <a:prstGeom prst="rect">
                      <a:avLst/>
                    </a:prstGeom>
                  </pic:spPr>
                </pic:pic>
              </a:graphicData>
            </a:graphic>
          </wp:inline>
        </w:drawing>
      </w:r>
    </w:p>
    <w:p w14:paraId="77F13FC3" w14:textId="0079745B" w:rsidR="00A66059" w:rsidRPr="00365DD7" w:rsidRDefault="00A66059" w:rsidP="00365DD7">
      <w:pPr>
        <w:rPr>
          <w:b/>
          <w:bCs/>
        </w:rPr>
      </w:pPr>
      <w:r w:rsidRPr="00365DD7">
        <w:rPr>
          <w:b/>
          <w:bCs/>
        </w:rPr>
        <w:t>Figure 1</w:t>
      </w:r>
      <w:r w:rsidR="00365DD7">
        <w:rPr>
          <w:b/>
          <w:bCs/>
        </w:rPr>
        <w:t xml:space="preserve">: </w:t>
      </w:r>
      <w:r w:rsidRPr="00365DD7">
        <w:t xml:space="preserve">Summary of the different </w:t>
      </w:r>
      <w:r w:rsidR="008F7DC6">
        <w:t>level</w:t>
      </w:r>
      <w:r w:rsidRPr="00365DD7">
        <w:t xml:space="preserve"> influences on the educational initiative and the key drivers in the impacts of the educational initiative.</w:t>
      </w:r>
    </w:p>
    <w:p w14:paraId="06660234" w14:textId="1F058B3E" w:rsidR="00743C66" w:rsidRPr="00B65579" w:rsidRDefault="00743C66" w:rsidP="00365DD7">
      <w:r w:rsidRPr="00B65579">
        <w:t xml:space="preserve">It is clear from the case study that such an educational initiative can have real impacts on </w:t>
      </w:r>
      <w:r w:rsidR="0003166A">
        <w:t>greenhouse</w:t>
      </w:r>
      <w:r w:rsidR="0003166A" w:rsidRPr="00B65579">
        <w:t xml:space="preserve"> </w:t>
      </w:r>
      <w:r w:rsidRPr="00B65579">
        <w:t>reduction (which due to its long life-span mixes globally, and therefore has global-</w:t>
      </w:r>
      <w:r w:rsidR="008F7DC6">
        <w:t>level</w:t>
      </w:r>
      <w:r w:rsidRPr="00B65579">
        <w:t xml:space="preserve"> impact). </w:t>
      </w:r>
      <w:r w:rsidR="009111EE" w:rsidRPr="00B65579">
        <w:t>Therefore,</w:t>
      </w:r>
      <w:r w:rsidR="009C435E" w:rsidRPr="00B65579">
        <w:t xml:space="preserve"> it is desirable that the number of such initiatives aiming to drive change within organisations should be increased. </w:t>
      </w:r>
      <w:r w:rsidR="00977FA3" w:rsidRPr="00B65579">
        <w:t>Figure 1</w:t>
      </w:r>
      <w:r w:rsidR="009C435E" w:rsidRPr="00B65579">
        <w:t xml:space="preserve"> identifies the different </w:t>
      </w:r>
      <w:r w:rsidR="008F7DC6">
        <w:t>level</w:t>
      </w:r>
      <w:r w:rsidR="00060B06">
        <w:t>s of</w:t>
      </w:r>
      <w:r w:rsidR="009C435E" w:rsidRPr="00B65579">
        <w:t xml:space="preserve"> influence on the individual educator who drive</w:t>
      </w:r>
      <w:r w:rsidR="00E43CA9" w:rsidRPr="00B65579">
        <w:t>s</w:t>
      </w:r>
      <w:r w:rsidR="009C435E" w:rsidRPr="00B65579">
        <w:t xml:space="preserve"> such initiatives. </w:t>
      </w:r>
      <w:r w:rsidR="00E43CA9" w:rsidRPr="00B65579">
        <w:t xml:space="preserve">At the </w:t>
      </w:r>
      <w:r w:rsidR="00F97BED">
        <w:t>micro-</w:t>
      </w:r>
      <w:r w:rsidR="00E43CA9" w:rsidRPr="00B65579">
        <w:t xml:space="preserve"> </w:t>
      </w:r>
      <w:r w:rsidR="00A47E14">
        <w:t>level</w:t>
      </w:r>
      <w:r w:rsidR="00E43CA9" w:rsidRPr="00B65579">
        <w:t>,</w:t>
      </w:r>
      <w:r w:rsidR="00F70CB4" w:rsidRPr="00B65579">
        <w:t xml:space="preserve"> other individuals in the sphere of the educator have an </w:t>
      </w:r>
      <w:r w:rsidR="0001774A" w:rsidRPr="00B65579">
        <w:t>influence;</w:t>
      </w:r>
      <w:r w:rsidR="00F70CB4" w:rsidRPr="00B65579">
        <w:t xml:space="preserve"> this may include colleag</w:t>
      </w:r>
      <w:r w:rsidR="00E43CA9" w:rsidRPr="00B65579">
        <w:t>ues, or friends and family who</w:t>
      </w:r>
      <w:r w:rsidR="00F70CB4" w:rsidRPr="00B65579">
        <w:t xml:space="preserve"> have an influence on the personal values of the individual educator encouraging them to bring their personal values int</w:t>
      </w:r>
      <w:r w:rsidR="00E43CA9" w:rsidRPr="00B65579">
        <w:t>o their professional lives</w:t>
      </w:r>
      <w:r w:rsidR="00F70CB4" w:rsidRPr="00B65579">
        <w:t xml:space="preserve">. Other </w:t>
      </w:r>
      <w:r w:rsidR="007A637F">
        <w:t>micro-level</w:t>
      </w:r>
      <w:r w:rsidR="00F70CB4" w:rsidRPr="00B65579">
        <w:t xml:space="preserve"> influences include the particular </w:t>
      </w:r>
      <w:r w:rsidR="0001774A">
        <w:t>d</w:t>
      </w:r>
      <w:r w:rsidR="00F70CB4" w:rsidRPr="00B65579">
        <w:t xml:space="preserve">epartment in which an individual educator sits, where there may be a recognised commitment to </w:t>
      </w:r>
      <w:r w:rsidR="00F10A6F">
        <w:t>Education for Sustainable Development</w:t>
      </w:r>
      <w:r w:rsidR="00F70CB4" w:rsidRPr="00B65579">
        <w:t xml:space="preserve">, or the institution with a recognised commitment to </w:t>
      </w:r>
      <w:r w:rsidR="00F10A6F">
        <w:t>Education for Sustainable Development</w:t>
      </w:r>
      <w:r w:rsidR="00F70CB4" w:rsidRPr="00B65579">
        <w:t xml:space="preserve"> which may influence the educator directly, or through its influence on the </w:t>
      </w:r>
      <w:r w:rsidR="0001774A">
        <w:t>d</w:t>
      </w:r>
      <w:r w:rsidR="00F70CB4" w:rsidRPr="00B65579">
        <w:t>epartment</w:t>
      </w:r>
      <w:r w:rsidR="0001774A">
        <w:t>al</w:t>
      </w:r>
      <w:r w:rsidR="00F70CB4" w:rsidRPr="00B65579">
        <w:t xml:space="preserve"> </w:t>
      </w:r>
      <w:r w:rsidR="00A47E14">
        <w:t>level</w:t>
      </w:r>
      <w:r w:rsidR="00F70CB4" w:rsidRPr="00B65579">
        <w:t>.</w:t>
      </w:r>
      <w:r w:rsidR="00E43CA9" w:rsidRPr="00B65579">
        <w:t xml:space="preserve"> T</w:t>
      </w:r>
      <w:r w:rsidR="009D46DC" w:rsidRPr="00B65579">
        <w:t xml:space="preserve">his </w:t>
      </w:r>
      <w:r w:rsidR="00E43CA9" w:rsidRPr="00B65579">
        <w:t xml:space="preserve">can </w:t>
      </w:r>
      <w:r w:rsidR="009D46DC" w:rsidRPr="00B65579">
        <w:t xml:space="preserve">also work the other way </w:t>
      </w:r>
      <w:r w:rsidR="009111EE" w:rsidRPr="00B65579">
        <w:t>around</w:t>
      </w:r>
      <w:r w:rsidR="00E43CA9" w:rsidRPr="00B65579">
        <w:t>, where t</w:t>
      </w:r>
      <w:r w:rsidR="009D46DC" w:rsidRPr="00B65579">
        <w:t xml:space="preserve">hrough such an </w:t>
      </w:r>
      <w:r w:rsidR="00C851D0" w:rsidRPr="00B65579">
        <w:t>initiative</w:t>
      </w:r>
      <w:r w:rsidR="009D46DC" w:rsidRPr="00B65579">
        <w:t xml:space="preserve"> the ed</w:t>
      </w:r>
      <w:r w:rsidR="00C851D0" w:rsidRPr="00B65579">
        <w:t>ucator might influence his/her department and institution</w:t>
      </w:r>
      <w:r w:rsidR="00E43CA9" w:rsidRPr="00B65579">
        <w:t>, and o</w:t>
      </w:r>
      <w:r w:rsidR="00C851D0" w:rsidRPr="00B65579">
        <w:t>ther colleagues might be inspired to do similar projects</w:t>
      </w:r>
      <w:r w:rsidR="00B97AE5">
        <w:t xml:space="preserve">. </w:t>
      </w:r>
      <w:r w:rsidR="00F70CB4" w:rsidRPr="00B65579">
        <w:t>Student demand may also have an influence, both from the individual student, who may have heard about the initiative in former years or at other universities and want to have similar opportunities, or from wider stu</w:t>
      </w:r>
      <w:r w:rsidR="003D3310">
        <w:t>dent demand</w:t>
      </w:r>
      <w:r w:rsidR="00BF21E3" w:rsidRPr="00B65579">
        <w:t xml:space="preserve"> often represented </w:t>
      </w:r>
      <w:r w:rsidR="00F70CB4" w:rsidRPr="00B65579">
        <w:t xml:space="preserve">by </w:t>
      </w:r>
      <w:r w:rsidR="007A637F">
        <w:t>meso-level</w:t>
      </w:r>
      <w:r w:rsidR="00F70CB4" w:rsidRPr="00B65579">
        <w:t xml:space="preserve"> national organisations such as</w:t>
      </w:r>
      <w:r w:rsidR="00977FA3" w:rsidRPr="00B65579">
        <w:t xml:space="preserve"> the </w:t>
      </w:r>
      <w:r w:rsidR="0003166A">
        <w:t>National Union of Students</w:t>
      </w:r>
      <w:r w:rsidR="00F70CB4" w:rsidRPr="00B65579">
        <w:t xml:space="preserve">. </w:t>
      </w:r>
    </w:p>
    <w:p w14:paraId="126F481B" w14:textId="7960EAF7" w:rsidR="00BF21E3" w:rsidRPr="00B65579" w:rsidRDefault="00BF21E3" w:rsidP="00365DD7">
      <w:r w:rsidRPr="00B65579">
        <w:t xml:space="preserve">Other </w:t>
      </w:r>
      <w:r w:rsidR="007A637F">
        <w:t>meso-level</w:t>
      </w:r>
      <w:r w:rsidRPr="00B65579">
        <w:t xml:space="preserve"> national influences include national organisations such as the Higher Education Academy, which ran an institutional change programme to support the embedding of sustainability within </w:t>
      </w:r>
      <w:r w:rsidR="00E43CA9" w:rsidRPr="00B65579">
        <w:t xml:space="preserve">higher </w:t>
      </w:r>
      <w:r w:rsidRPr="00B65579">
        <w:t>education</w:t>
      </w:r>
      <w:r w:rsidR="00E43CA9" w:rsidRPr="00B65579">
        <w:t xml:space="preserve"> institutions</w:t>
      </w:r>
      <w:r w:rsidRPr="00B65579">
        <w:t xml:space="preserve">. </w:t>
      </w:r>
      <w:r w:rsidR="001D142F">
        <w:t>Similarly</w:t>
      </w:r>
      <w:r w:rsidRPr="00B65579">
        <w:t xml:space="preserve"> </w:t>
      </w:r>
      <w:r w:rsidR="007A637F">
        <w:t>meso-level</w:t>
      </w:r>
      <w:r w:rsidRPr="00B65579">
        <w:t xml:space="preserve"> influences include the role of national awards and league tables</w:t>
      </w:r>
      <w:r w:rsidR="001D142F">
        <w:t xml:space="preserve"> which institutions can use to build their legitimacy with regard to sustainability and responsible business. </w:t>
      </w:r>
      <w:r w:rsidRPr="00B65579">
        <w:t>The initiative</w:t>
      </w:r>
      <w:r w:rsidR="00DB2CDE">
        <w:t xml:space="preserve"> described in the case study was </w:t>
      </w:r>
      <w:r w:rsidR="003D3310">
        <w:t>a</w:t>
      </w:r>
      <w:r w:rsidRPr="00B65579">
        <w:t>warded a national ‘Sustainability Professional’ award</w:t>
      </w:r>
      <w:r w:rsidR="00E43CA9" w:rsidRPr="00B65579">
        <w:t xml:space="preserve"> by a </w:t>
      </w:r>
      <w:r w:rsidR="00E43CA9" w:rsidRPr="00B65579">
        <w:lastRenderedPageBreak/>
        <w:t>national (</w:t>
      </w:r>
      <w:r w:rsidR="007A637F">
        <w:t>Meso-level</w:t>
      </w:r>
      <w:r w:rsidR="00E43CA9" w:rsidRPr="00B65579">
        <w:t>) organisation</w:t>
      </w:r>
      <w:r w:rsidRPr="00B65579">
        <w:t>,</w:t>
      </w:r>
      <w:r w:rsidR="0015281D">
        <w:t xml:space="preserve"> assisting</w:t>
      </w:r>
      <w:r w:rsidRPr="00B65579">
        <w:t xml:space="preserve"> </w:t>
      </w:r>
      <w:r w:rsidR="0015281D">
        <w:t>the participating</w:t>
      </w:r>
      <w:r w:rsidRPr="00B65579">
        <w:t xml:space="preserve"> University </w:t>
      </w:r>
      <w:r w:rsidR="0015281D">
        <w:t xml:space="preserve">in its </w:t>
      </w:r>
      <w:r w:rsidRPr="00B65579">
        <w:t>perform</w:t>
      </w:r>
      <w:r w:rsidR="0015281D">
        <w:t>ance</w:t>
      </w:r>
      <w:r w:rsidRPr="00B65579">
        <w:t xml:space="preserve"> </w:t>
      </w:r>
      <w:r w:rsidR="0091255D" w:rsidRPr="00B65579">
        <w:t>in the National sustainability ‘</w:t>
      </w:r>
      <w:r w:rsidRPr="00B65579">
        <w:t>University League</w:t>
      </w:r>
      <w:r w:rsidR="00E43CA9" w:rsidRPr="00B65579">
        <w:t>’</w:t>
      </w:r>
      <w:r w:rsidRPr="00B65579">
        <w:t xml:space="preserve"> run by People and Planet.</w:t>
      </w:r>
    </w:p>
    <w:p w14:paraId="522DE4A9" w14:textId="35F780B8" w:rsidR="000D63ED" w:rsidRPr="00B65579" w:rsidRDefault="000D63ED" w:rsidP="00365DD7">
      <w:r w:rsidRPr="00B65579">
        <w:t xml:space="preserve">There are also indirect </w:t>
      </w:r>
      <w:r w:rsidR="007A637F">
        <w:t>macro-level</w:t>
      </w:r>
      <w:r w:rsidRPr="00B65579">
        <w:t xml:space="preserve"> influences on the work of</w:t>
      </w:r>
      <w:r w:rsidR="003D1C4A">
        <w:t xml:space="preserve"> </w:t>
      </w:r>
      <w:r w:rsidRPr="00B65579">
        <w:t>individual educator</w:t>
      </w:r>
      <w:r w:rsidR="003D1C4A">
        <w:t>s</w:t>
      </w:r>
      <w:r w:rsidRPr="00B65579">
        <w:t>.</w:t>
      </w:r>
      <w:r w:rsidR="00B53629">
        <w:t xml:space="preserve"> </w:t>
      </w:r>
      <w:r w:rsidRPr="00B65579">
        <w:t xml:space="preserve">The International acceptance of Sustainable Development, articulated by the Our Common Futures report in 1987 (WCED, 1987), led the way to increased activity and emphasis on </w:t>
      </w:r>
      <w:r w:rsidR="00F10A6F">
        <w:t>Education for Sustainable Development</w:t>
      </w:r>
      <w:r w:rsidRPr="00B65579">
        <w:t xml:space="preserve"> through the UN’s Decade on Education for Sustainable Development. This in turn influenced the establishment of the UN Principles of Responsible Management Educ</w:t>
      </w:r>
      <w:r w:rsidR="00E43CA9" w:rsidRPr="00B65579">
        <w:t>ation, which through Department-</w:t>
      </w:r>
      <w:r w:rsidRPr="00B65579">
        <w:t>level decisions</w:t>
      </w:r>
      <w:r w:rsidR="00E43CA9" w:rsidRPr="00B65579">
        <w:t>, driven by individual educators</w:t>
      </w:r>
      <w:r w:rsidRPr="00B65579">
        <w:t xml:space="preserve"> have been signed up to, and underpin the curriculum in these Depa</w:t>
      </w:r>
      <w:r w:rsidR="006275E6" w:rsidRPr="00B65579">
        <w:t>r</w:t>
      </w:r>
      <w:r w:rsidRPr="00B65579">
        <w:t>tments.</w:t>
      </w:r>
      <w:r w:rsidR="00B53629">
        <w:t xml:space="preserve"> </w:t>
      </w:r>
      <w:r w:rsidR="001B3133">
        <w:t>XXX</w:t>
      </w:r>
      <w:r w:rsidRPr="00B65579">
        <w:t xml:space="preserve"> </w:t>
      </w:r>
      <w:r w:rsidR="0091255D" w:rsidRPr="00B65579">
        <w:t xml:space="preserve">at </w:t>
      </w:r>
      <w:r w:rsidR="001B3133">
        <w:t>XXX</w:t>
      </w:r>
      <w:r w:rsidR="0091255D" w:rsidRPr="00B65579">
        <w:t xml:space="preserve"> </w:t>
      </w:r>
      <w:r w:rsidRPr="00B65579">
        <w:t xml:space="preserve">signed up to </w:t>
      </w:r>
      <w:r w:rsidR="006B3646">
        <w:t>the United Nations Principles of Responsible Management Education</w:t>
      </w:r>
      <w:r w:rsidRPr="00B65579">
        <w:t xml:space="preserve"> in </w:t>
      </w:r>
      <w:r w:rsidR="00C851D0" w:rsidRPr="00B65579">
        <w:t>2015</w:t>
      </w:r>
      <w:r w:rsidR="00665CE6">
        <w:t xml:space="preserve"> and become a </w:t>
      </w:r>
      <w:r w:rsidR="006B3646">
        <w:t>United Nations Principles of Responsible Management Education</w:t>
      </w:r>
      <w:r w:rsidR="00665CE6">
        <w:t xml:space="preserve"> Champion school in 2018. Champion schools</w:t>
      </w:r>
      <w:r w:rsidR="00C06FB8">
        <w:t xml:space="preserve"> </w:t>
      </w:r>
      <w:r w:rsidR="00C06FB8" w:rsidRPr="00C06FB8">
        <w:t>undertake advanced tasks and projects that respond to systemic challenges faced by the PRME community, as well as to key issues identified by the United Nations and the UN Global Compact</w:t>
      </w:r>
      <w:r w:rsidR="00C06FB8">
        <w:t xml:space="preserve"> (UN PRME </w:t>
      </w:r>
      <w:r w:rsidR="00831FE6">
        <w:t>(2019b).</w:t>
      </w:r>
      <w:r w:rsidR="004440ED">
        <w:t xml:space="preserve"> T</w:t>
      </w:r>
      <w:r w:rsidR="00E43CA9" w:rsidRPr="00B65579">
        <w:t>he membership of PRME</w:t>
      </w:r>
      <w:r w:rsidRPr="00B65579">
        <w:t xml:space="preserve"> provides direct support for the </w:t>
      </w:r>
      <w:r w:rsidR="00E43CA9" w:rsidRPr="00B65579">
        <w:t xml:space="preserve">establishment and continuation of </w:t>
      </w:r>
      <w:r w:rsidRPr="00B65579">
        <w:t>activities of individuals.</w:t>
      </w:r>
      <w:r w:rsidR="00C851D0" w:rsidRPr="00B65579">
        <w:t xml:space="preserve"> </w:t>
      </w:r>
      <w:r w:rsidR="00825A6C">
        <w:t xml:space="preserve">Through this channel, </w:t>
      </w:r>
      <w:r w:rsidR="00C851D0" w:rsidRPr="00B65579">
        <w:t>the individual educator might then have input on the macro-level</w:t>
      </w:r>
      <w:r w:rsidR="0024035C">
        <w:t xml:space="preserve">. For </w:t>
      </w:r>
      <w:r w:rsidR="00C851D0" w:rsidRPr="00B65579">
        <w:t>example</w:t>
      </w:r>
      <w:r w:rsidR="0024035C">
        <w:t>,</w:t>
      </w:r>
      <w:r w:rsidR="00C851D0" w:rsidRPr="00B65579">
        <w:t xml:space="preserve"> </w:t>
      </w:r>
      <w:r w:rsidR="0003166A">
        <w:t xml:space="preserve">authors of this </w:t>
      </w:r>
      <w:r w:rsidR="0024035C">
        <w:t xml:space="preserve">case study </w:t>
      </w:r>
      <w:r w:rsidR="0003166A">
        <w:t>are</w:t>
      </w:r>
      <w:r w:rsidR="0003166A" w:rsidRPr="00B65579">
        <w:t xml:space="preserve"> </w:t>
      </w:r>
      <w:r w:rsidR="00C851D0" w:rsidRPr="00B65579">
        <w:t xml:space="preserve">now </w:t>
      </w:r>
      <w:r w:rsidR="008D5EC5">
        <w:t xml:space="preserve">involved </w:t>
      </w:r>
      <w:r w:rsidR="003D3310">
        <w:t>in</w:t>
      </w:r>
      <w:r w:rsidR="008D5EC5">
        <w:t xml:space="preserve"> th</w:t>
      </w:r>
      <w:r w:rsidR="00C851D0" w:rsidRPr="00B65579">
        <w:t>e</w:t>
      </w:r>
      <w:r w:rsidR="008D5EC5">
        <w:t xml:space="preserve"> </w:t>
      </w:r>
      <w:r w:rsidR="006B3646">
        <w:t>United Nations Principles for Responsible Management Education</w:t>
      </w:r>
      <w:r w:rsidR="00C851D0" w:rsidRPr="00B65579">
        <w:t xml:space="preserve"> working group on climate change and </w:t>
      </w:r>
      <w:r w:rsidR="00896620" w:rsidRPr="00B65579">
        <w:t>environment and</w:t>
      </w:r>
      <w:r w:rsidR="0013746F" w:rsidRPr="00B65579">
        <w:t xml:space="preserve"> ha</w:t>
      </w:r>
      <w:r w:rsidR="0003166A">
        <w:t>ve</w:t>
      </w:r>
      <w:r w:rsidR="0013746F" w:rsidRPr="00B65579">
        <w:t xml:space="preserve"> </w:t>
      </w:r>
      <w:r w:rsidR="0013490C">
        <w:t>authored</w:t>
      </w:r>
      <w:r w:rsidR="0013746F" w:rsidRPr="00B65579">
        <w:t xml:space="preserve"> </w:t>
      </w:r>
      <w:r w:rsidR="0003166A" w:rsidRPr="00B65579">
        <w:t>textbooks</w:t>
      </w:r>
      <w:r w:rsidR="0013746F" w:rsidRPr="00B65579">
        <w:t xml:space="preserve"> for business educators supporting sustainability teaching and learning activities</w:t>
      </w:r>
      <w:r w:rsidR="00C851D0" w:rsidRPr="00B65579">
        <w:t xml:space="preserve">. </w:t>
      </w:r>
      <w:r w:rsidR="000C4CBB">
        <w:t>(XXX)</w:t>
      </w:r>
    </w:p>
    <w:p w14:paraId="45AA11B8" w14:textId="1EE5FAC4" w:rsidR="009555A9" w:rsidRPr="00B61B62" w:rsidRDefault="003555EB" w:rsidP="00B61B62">
      <w:pPr>
        <w:pStyle w:val="Heading2"/>
        <w:numPr>
          <w:ilvl w:val="0"/>
          <w:numId w:val="0"/>
        </w:numPr>
        <w:ind w:left="360" w:hanging="360"/>
        <w:rPr>
          <w:i/>
        </w:rPr>
      </w:pPr>
      <w:r>
        <w:rPr>
          <w:i/>
        </w:rPr>
        <w:t>5</w:t>
      </w:r>
      <w:r w:rsidR="0060211F" w:rsidRPr="00B61B62">
        <w:rPr>
          <w:i/>
        </w:rPr>
        <w:t xml:space="preserve">.3 </w:t>
      </w:r>
      <w:r w:rsidR="009555A9" w:rsidRPr="00B61B62">
        <w:rPr>
          <w:i/>
        </w:rPr>
        <w:t xml:space="preserve">Key </w:t>
      </w:r>
      <w:r w:rsidR="00A47E14">
        <w:rPr>
          <w:i/>
        </w:rPr>
        <w:t>level</w:t>
      </w:r>
      <w:r w:rsidR="009555A9" w:rsidRPr="00B61B62">
        <w:rPr>
          <w:i/>
        </w:rPr>
        <w:t>s of influence: implications to practice</w:t>
      </w:r>
    </w:p>
    <w:p w14:paraId="677FD0ED" w14:textId="1B617E01" w:rsidR="003A5076" w:rsidRPr="00B65579" w:rsidRDefault="00977FA3" w:rsidP="00365DD7">
      <w:r w:rsidRPr="00B65579">
        <w:t>Figure 1</w:t>
      </w:r>
      <w:r w:rsidR="003A5076" w:rsidRPr="00B65579">
        <w:t xml:space="preserve"> highlights the role of the </w:t>
      </w:r>
      <w:r w:rsidR="007A637F">
        <w:t>micro-level</w:t>
      </w:r>
      <w:r w:rsidR="003A5076" w:rsidRPr="00B65579">
        <w:t xml:space="preserve"> individual decision maker</w:t>
      </w:r>
      <w:r w:rsidR="00593B6F">
        <w:t>, mak</w:t>
      </w:r>
      <w:r w:rsidR="00ED68AA">
        <w:t>ing</w:t>
      </w:r>
      <w:r w:rsidR="00593B6F">
        <w:t xml:space="preserve"> it clear that th</w:t>
      </w:r>
      <w:r w:rsidR="003A5076" w:rsidRPr="00B65579">
        <w:t>e keystone to the impact of such an initiative is at</w:t>
      </w:r>
      <w:r w:rsidR="00593B6F">
        <w:t xml:space="preserve"> this individual level.</w:t>
      </w:r>
      <w:r w:rsidR="00ED68AA">
        <w:t xml:space="preserve"> </w:t>
      </w:r>
      <w:r w:rsidR="00F90D4A">
        <w:t xml:space="preserve">In order to </w:t>
      </w:r>
      <w:r w:rsidR="003D3310">
        <w:t>embed climate mitigation tools</w:t>
      </w:r>
      <w:r w:rsidR="003A5076" w:rsidRPr="00B65579">
        <w:t xml:space="preserve"> to reduce emissions</w:t>
      </w:r>
      <w:r w:rsidR="00F90D4A">
        <w:t>, it is the individual</w:t>
      </w:r>
      <w:r w:rsidR="003D3310">
        <w:t>,</w:t>
      </w:r>
      <w:r w:rsidR="00F90D4A">
        <w:t xml:space="preserve"> who needs to be influenced. </w:t>
      </w:r>
      <w:r w:rsidR="00327794">
        <w:t xml:space="preserve">As such </w:t>
      </w:r>
      <w:r w:rsidR="003A5076" w:rsidRPr="00B65579">
        <w:t xml:space="preserve">it </w:t>
      </w:r>
      <w:r w:rsidR="003D3310">
        <w:t xml:space="preserve">is </w:t>
      </w:r>
      <w:r w:rsidR="00327794">
        <w:t xml:space="preserve">important </w:t>
      </w:r>
      <w:r w:rsidR="003D3310">
        <w:t xml:space="preserve">to increase the ability of </w:t>
      </w:r>
      <w:r w:rsidR="003A5076" w:rsidRPr="00B65579">
        <w:t>student</w:t>
      </w:r>
      <w:r w:rsidR="003D3310">
        <w:t>s</w:t>
      </w:r>
      <w:r w:rsidR="003A5076" w:rsidRPr="00B65579">
        <w:t xml:space="preserve"> to make a</w:t>
      </w:r>
      <w:r w:rsidR="000E3653">
        <w:t xml:space="preserve"> solid</w:t>
      </w:r>
      <w:r w:rsidR="003A5076" w:rsidRPr="00B65579">
        <w:t xml:space="preserve"> cas</w:t>
      </w:r>
      <w:r w:rsidR="00327794">
        <w:t>e</w:t>
      </w:r>
      <w:r w:rsidR="003D3310">
        <w:t xml:space="preserve"> based on robust research</w:t>
      </w:r>
      <w:r w:rsidR="003A5076" w:rsidRPr="00B65579">
        <w:t xml:space="preserve"> </w:t>
      </w:r>
      <w:r w:rsidR="000E3653">
        <w:t>and</w:t>
      </w:r>
      <w:r w:rsidR="003A5076" w:rsidRPr="00B65579">
        <w:t xml:space="preserve"> </w:t>
      </w:r>
      <w:r w:rsidR="003D3310">
        <w:t xml:space="preserve">to </w:t>
      </w:r>
      <w:r w:rsidR="003A5076" w:rsidRPr="00B65579">
        <w:t xml:space="preserve">communicate </w:t>
      </w:r>
      <w:r w:rsidR="000E3653">
        <w:t>effectively</w:t>
      </w:r>
      <w:r w:rsidR="003A5076" w:rsidRPr="00B65579">
        <w:t xml:space="preserve">. The educational initiative itself is again dependent on an actor at the </w:t>
      </w:r>
      <w:r w:rsidR="00F97BED">
        <w:t>micro-</w:t>
      </w:r>
      <w:r w:rsidR="003A5076" w:rsidRPr="00B65579">
        <w:t xml:space="preserve"> </w:t>
      </w:r>
      <w:r w:rsidR="00A47E14">
        <w:t>level</w:t>
      </w:r>
      <w:r w:rsidR="003A5076" w:rsidRPr="00B65579">
        <w:t>, the individual educator.</w:t>
      </w:r>
      <w:r w:rsidR="00B53629">
        <w:t xml:space="preserve"> </w:t>
      </w:r>
      <w:r w:rsidR="003A5076" w:rsidRPr="00B65579">
        <w:t xml:space="preserve">Although action may be driven by personal values, outside of any direct influences within the higher education sector, it is clear that </w:t>
      </w:r>
      <w:r w:rsidR="008F7DC6">
        <w:t>macro-level</w:t>
      </w:r>
      <w:r w:rsidR="003A5076" w:rsidRPr="00B65579">
        <w:t xml:space="preserve"> influences have an important role to play in supporting the individual educator.</w:t>
      </w:r>
      <w:r w:rsidR="00B53629">
        <w:t xml:space="preserve"> </w:t>
      </w:r>
      <w:r w:rsidR="003A5076" w:rsidRPr="00B65579">
        <w:t xml:space="preserve">A ‘prime’ example is the </w:t>
      </w:r>
      <w:r w:rsidR="00F97BED">
        <w:t>macro-</w:t>
      </w:r>
      <w:r w:rsidR="003A5076" w:rsidRPr="00B65579">
        <w:t xml:space="preserve"> international level UN initiative Principles of Responsible Management Education, which </w:t>
      </w:r>
      <w:r w:rsidR="000E3653">
        <w:t>requires</w:t>
      </w:r>
      <w:r w:rsidR="003A5076" w:rsidRPr="00B65579">
        <w:t xml:space="preserve"> Business Schools to sign up to and adhere to its six principles</w:t>
      </w:r>
      <w:r w:rsidR="00D6072B">
        <w:t>. T</w:t>
      </w:r>
      <w:r w:rsidR="003A5076" w:rsidRPr="00B65579">
        <w:t xml:space="preserve">hrough </w:t>
      </w:r>
      <w:r w:rsidR="005B4E58">
        <w:t xml:space="preserve">this, the institution signals </w:t>
      </w:r>
      <w:r w:rsidR="00D6072B">
        <w:t>d</w:t>
      </w:r>
      <w:r w:rsidR="003A5076" w:rsidRPr="00B65579">
        <w:t>epartmental support for educators wanting to develop initiatives in line wi</w:t>
      </w:r>
      <w:r w:rsidRPr="00B65579">
        <w:t>th the Principles, as well as generating an</w:t>
      </w:r>
      <w:r w:rsidR="003A5076" w:rsidRPr="00B65579">
        <w:t xml:space="preserve"> international support network of indiv</w:t>
      </w:r>
      <w:r w:rsidRPr="00B65579">
        <w:t>iduals with similar aspirations</w:t>
      </w:r>
      <w:r w:rsidR="003A5076" w:rsidRPr="00B65579">
        <w:t>.</w:t>
      </w:r>
    </w:p>
    <w:p w14:paraId="2D7F0E62" w14:textId="52BC8B7C" w:rsidR="003A5076" w:rsidRPr="00B65579" w:rsidRDefault="003A5076" w:rsidP="00365DD7">
      <w:r w:rsidRPr="00B65579">
        <w:t xml:space="preserve">By analysing the role of different </w:t>
      </w:r>
      <w:r w:rsidR="00A47E14">
        <w:t>level</w:t>
      </w:r>
      <w:r w:rsidRPr="00B65579">
        <w:t xml:space="preserve">s in enacting change in an educational initiative, </w:t>
      </w:r>
      <w:r w:rsidR="003D3310">
        <w:t>the importance of focu</w:t>
      </w:r>
      <w:r w:rsidRPr="00B65579">
        <w:t>sing on particular skills</w:t>
      </w:r>
      <w:r w:rsidR="003D3310">
        <w:t xml:space="preserve"> is necessary </w:t>
      </w:r>
      <w:r w:rsidRPr="00B65579">
        <w:t xml:space="preserve">in order to influence the </w:t>
      </w:r>
      <w:r w:rsidR="00F97BED">
        <w:t>micro-</w:t>
      </w:r>
      <w:r w:rsidRPr="00B65579">
        <w:t xml:space="preserve"> </w:t>
      </w:r>
      <w:r w:rsidR="00A47E14">
        <w:t>level</w:t>
      </w:r>
      <w:r w:rsidRPr="00B65579">
        <w:t xml:space="preserve"> individual decision makers.</w:t>
      </w:r>
      <w:r w:rsidR="003D3310">
        <w:t xml:space="preserve"> </w:t>
      </w:r>
      <w:r w:rsidR="0048293B" w:rsidRPr="00B65579">
        <w:t xml:space="preserve">It also highlights that although these initiatives can be seen as ‘bottom up’ stemming from micro-level activity, there is an important role to play in terms of support at higher </w:t>
      </w:r>
      <w:r w:rsidR="00A47E14">
        <w:t>level</w:t>
      </w:r>
      <w:r w:rsidR="0048293B" w:rsidRPr="00B65579">
        <w:t xml:space="preserve">s of influence, right through to the </w:t>
      </w:r>
      <w:r w:rsidR="00F97BED">
        <w:t>macro-</w:t>
      </w:r>
      <w:r w:rsidR="0048293B" w:rsidRPr="00B65579">
        <w:t xml:space="preserve"> international level.</w:t>
      </w:r>
      <w:r w:rsidR="00B53629">
        <w:t xml:space="preserve"> </w:t>
      </w:r>
      <w:r w:rsidR="0048293B" w:rsidRPr="00B65579">
        <w:t xml:space="preserve">However, again it may come down to the individual educator to make these arguments </w:t>
      </w:r>
      <w:r w:rsidR="00E156CC" w:rsidRPr="00B65579">
        <w:t xml:space="preserve">to </w:t>
      </w:r>
      <w:r w:rsidR="000C3262" w:rsidRPr="00B65579">
        <w:t xml:space="preserve">make institutional decision makers aware of these international </w:t>
      </w:r>
      <w:r w:rsidR="006C016B">
        <w:t xml:space="preserve">level </w:t>
      </w:r>
      <w:r w:rsidR="000C3262" w:rsidRPr="00B65579">
        <w:t>influences.</w:t>
      </w:r>
    </w:p>
    <w:p w14:paraId="141E5E05" w14:textId="4FE2DFC0" w:rsidR="00E02702" w:rsidRPr="00B65579" w:rsidRDefault="00E02702" w:rsidP="00365DD7">
      <w:r w:rsidRPr="00B65579">
        <w:t xml:space="preserve">Rather than abandoning the notion of </w:t>
      </w:r>
      <w:r w:rsidR="006C016B">
        <w:t xml:space="preserve">level </w:t>
      </w:r>
      <w:r w:rsidRPr="00B65579">
        <w:t xml:space="preserve">altogether (Martson </w:t>
      </w:r>
      <w:r w:rsidR="001113A8">
        <w:rPr>
          <w:i/>
        </w:rPr>
        <w:t>et al</w:t>
      </w:r>
      <w:r w:rsidR="003D3310">
        <w:rPr>
          <w:i/>
        </w:rPr>
        <w:t>,</w:t>
      </w:r>
      <w:r w:rsidRPr="00B65579">
        <w:t xml:space="preserve"> 2005) we argue that consideration of </w:t>
      </w:r>
      <w:r w:rsidR="006C016B">
        <w:t xml:space="preserve">level </w:t>
      </w:r>
      <w:r w:rsidRPr="00B65579">
        <w:t>in education can bring insights into what determines the greatest impact on educational initiatives</w:t>
      </w:r>
      <w:r w:rsidR="00DA32F3" w:rsidRPr="00B65579">
        <w:t xml:space="preserve"> and the impact that these can have on business management.</w:t>
      </w:r>
      <w:r w:rsidR="00B53629">
        <w:t xml:space="preserve"> </w:t>
      </w:r>
      <w:r w:rsidRPr="00B65579">
        <w:t xml:space="preserve">As </w:t>
      </w:r>
      <w:r w:rsidR="00977FA3" w:rsidRPr="00B65579">
        <w:t>Jonas (2006</w:t>
      </w:r>
      <w:r w:rsidRPr="00B65579">
        <w:t>) argue</w:t>
      </w:r>
      <w:r w:rsidR="00DA32F3" w:rsidRPr="00B65579">
        <w:t>s</w:t>
      </w:r>
      <w:r w:rsidR="00AE050A">
        <w:t xml:space="preserve">, </w:t>
      </w:r>
      <w:r w:rsidRPr="00B65579">
        <w:t xml:space="preserve">to reject </w:t>
      </w:r>
      <w:r w:rsidR="006C016B">
        <w:t xml:space="preserve">the influence of level </w:t>
      </w:r>
      <w:r w:rsidRPr="00B65579">
        <w:t xml:space="preserve">is to miss out on an </w:t>
      </w:r>
      <w:r w:rsidR="009111EE" w:rsidRPr="00B65579">
        <w:t>important dimension of thinking</w:t>
      </w:r>
      <w:r w:rsidRPr="00B65579">
        <w:t xml:space="preserve"> about and acting upon contemporary economic, political, social and environmental change</w:t>
      </w:r>
      <w:r w:rsidR="00A53610" w:rsidRPr="00B65579">
        <w:t xml:space="preserve">. </w:t>
      </w:r>
      <w:r w:rsidR="00AE050A">
        <w:t>Instead we need to recognise the</w:t>
      </w:r>
      <w:r w:rsidR="00A53610" w:rsidRPr="00B65579">
        <w:t xml:space="preserve"> importance of ‘</w:t>
      </w:r>
      <w:r w:rsidR="00D42EFB" w:rsidRPr="00B65579">
        <w:t>in-betweenness</w:t>
      </w:r>
      <w:r w:rsidR="00A53610" w:rsidRPr="00B65579">
        <w:t xml:space="preserve"> of </w:t>
      </w:r>
      <w:r w:rsidR="006C016B">
        <w:t>levels</w:t>
      </w:r>
      <w:r w:rsidR="00A53610" w:rsidRPr="00B65579">
        <w:t>’</w:t>
      </w:r>
      <w:r w:rsidR="00E5195A" w:rsidRPr="00B65579">
        <w:t xml:space="preserve"> and thinking through multiple </w:t>
      </w:r>
      <w:r w:rsidR="00341CE0">
        <w:t>levels</w:t>
      </w:r>
      <w:r w:rsidR="00DA32F3" w:rsidRPr="00B65579">
        <w:t>, rather than a pre-occupation with global-local binaries</w:t>
      </w:r>
      <w:r w:rsidR="00A53610" w:rsidRPr="00B65579">
        <w:t>.</w:t>
      </w:r>
      <w:r w:rsidR="00DA5FCC" w:rsidRPr="00B65579">
        <w:t xml:space="preserve"> </w:t>
      </w:r>
      <w:r w:rsidR="00977FA3" w:rsidRPr="00B65579">
        <w:t>This ‘in</w:t>
      </w:r>
      <w:r w:rsidR="00DB5020">
        <w:t>-</w:t>
      </w:r>
      <w:r w:rsidR="00977FA3" w:rsidRPr="00B65579">
        <w:t>between</w:t>
      </w:r>
      <w:r w:rsidR="003D3310">
        <w:t>n</w:t>
      </w:r>
      <w:r w:rsidR="00977FA3" w:rsidRPr="00B65579">
        <w:t xml:space="preserve">ess’ of </w:t>
      </w:r>
      <w:r w:rsidR="006C016B">
        <w:t>level</w:t>
      </w:r>
      <w:r w:rsidR="00977FA3" w:rsidRPr="00B65579">
        <w:t xml:space="preserve"> is emphasised by the complexities of the different </w:t>
      </w:r>
      <w:r w:rsidR="003D3310">
        <w:lastRenderedPageBreak/>
        <w:t>levels</w:t>
      </w:r>
      <w:r w:rsidR="00977FA3" w:rsidRPr="00B65579">
        <w:t xml:space="preserve"> and direction of influences explored through this case study.</w:t>
      </w:r>
      <w:r w:rsidR="00B53629">
        <w:t xml:space="preserve"> </w:t>
      </w:r>
      <w:r w:rsidR="00DA5FCC" w:rsidRPr="00B65579">
        <w:t xml:space="preserve">As Adgar </w:t>
      </w:r>
      <w:r w:rsidR="001113A8">
        <w:rPr>
          <w:i/>
        </w:rPr>
        <w:t>et al</w:t>
      </w:r>
      <w:r w:rsidR="00DA5FCC" w:rsidRPr="00B65579">
        <w:t xml:space="preserve"> (2005) </w:t>
      </w:r>
      <w:r w:rsidR="00792F4E">
        <w:t xml:space="preserve">suggests, </w:t>
      </w:r>
      <w:r w:rsidR="00DA5FCC" w:rsidRPr="00B65579">
        <w:t>adaptation is made up of actions throughout society by individuals, groups and gove</w:t>
      </w:r>
      <w:r w:rsidR="00E44D2A" w:rsidRPr="00B65579">
        <w:t>rn</w:t>
      </w:r>
      <w:r w:rsidR="00DA5FCC" w:rsidRPr="00B65579">
        <w:t>ments</w:t>
      </w:r>
      <w:r w:rsidR="00E44D2A" w:rsidRPr="00B65579">
        <w:t xml:space="preserve"> within hierarchical structures in which the levels interact with each other.</w:t>
      </w:r>
      <w:r w:rsidR="00B53629">
        <w:t xml:space="preserve"> </w:t>
      </w:r>
      <w:r w:rsidR="00E44D2A" w:rsidRPr="00B65579">
        <w:t>They emphasise that individual adaptation actions are not autonomous, rather they are constrained by institutional processes, social norms</w:t>
      </w:r>
      <w:r w:rsidR="004A2D15" w:rsidRPr="00B65579">
        <w:t>, and ‘cascading decisions’</w:t>
      </w:r>
      <w:r w:rsidR="001E5ED6" w:rsidRPr="00B65579">
        <w:t xml:space="preserve"> covering local, regional, national and international </w:t>
      </w:r>
      <w:r w:rsidR="006440BC">
        <w:t>levels</w:t>
      </w:r>
      <w:r w:rsidR="001E5ED6" w:rsidRPr="00B65579">
        <w:t>.</w:t>
      </w:r>
      <w:r w:rsidR="00534515" w:rsidRPr="00B65579">
        <w:t xml:space="preserve"> However, the education initiative outlined in this paper is as much about mitigation, and identifies a route for mitigation, which although at the </w:t>
      </w:r>
      <w:r w:rsidR="00DC08A3">
        <w:t>micro-level</w:t>
      </w:r>
      <w:r w:rsidR="00534515" w:rsidRPr="00B65579">
        <w:t>, has the potential to be continuous</w:t>
      </w:r>
      <w:r w:rsidR="003D3310">
        <w:t xml:space="preserve">, to be </w:t>
      </w:r>
      <w:r w:rsidR="006C016B">
        <w:t>levelled</w:t>
      </w:r>
      <w:r w:rsidR="00534515" w:rsidRPr="00B65579">
        <w:t xml:space="preserve"> </w:t>
      </w:r>
      <w:r w:rsidR="00CC7F1B">
        <w:t xml:space="preserve">up </w:t>
      </w:r>
      <w:r w:rsidR="00534515" w:rsidRPr="00B65579">
        <w:t xml:space="preserve">and </w:t>
      </w:r>
      <w:r w:rsidR="00CC7F1B">
        <w:t xml:space="preserve">to be </w:t>
      </w:r>
      <w:r w:rsidR="00534515" w:rsidRPr="00B65579">
        <w:t>impactful.</w:t>
      </w:r>
    </w:p>
    <w:p w14:paraId="7E5789DC" w14:textId="3F5E11F9" w:rsidR="006779E8" w:rsidRPr="00B65579" w:rsidRDefault="006779E8" w:rsidP="003555EB">
      <w:pPr>
        <w:pStyle w:val="Heading2"/>
      </w:pPr>
      <w:r w:rsidRPr="00B65579">
        <w:t>Conclusion</w:t>
      </w:r>
    </w:p>
    <w:p w14:paraId="094AB3C4" w14:textId="43AE3DFF" w:rsidR="00896620" w:rsidRPr="00B65579" w:rsidRDefault="00CA5AE1" w:rsidP="00365DD7">
      <w:r w:rsidRPr="00B65579">
        <w:t xml:space="preserve">Consideration of </w:t>
      </w:r>
      <w:r w:rsidR="00DC08A3">
        <w:t>level</w:t>
      </w:r>
      <w:r w:rsidRPr="00B65579">
        <w:t xml:space="preserve"> is not something that is commonly applied to the analysis of educational </w:t>
      </w:r>
      <w:r w:rsidR="009111EE" w:rsidRPr="00B65579">
        <w:t>initiatives and</w:t>
      </w:r>
      <w:r w:rsidRPr="00B65579">
        <w:t xml:space="preserve"> has not been considered explicitly in terms of </w:t>
      </w:r>
      <w:r w:rsidR="00F10A6F">
        <w:t>Education for Sustainable Development</w:t>
      </w:r>
      <w:r w:rsidR="00AE6450">
        <w:t xml:space="preserve"> and RME</w:t>
      </w:r>
      <w:r w:rsidR="00DC08A3">
        <w:t xml:space="preserve"> </w:t>
      </w:r>
      <w:r w:rsidRPr="00B65579">
        <w:t>in business education in higher education.</w:t>
      </w:r>
      <w:r w:rsidR="00B53629">
        <w:t xml:space="preserve"> </w:t>
      </w:r>
      <w:r w:rsidRPr="00B65579">
        <w:t xml:space="preserve">Such an analysis highlights that there are many different </w:t>
      </w:r>
      <w:r w:rsidR="00AE6450">
        <w:t>levels</w:t>
      </w:r>
      <w:r w:rsidRPr="00B65579">
        <w:t xml:space="preserve"> of influence</w:t>
      </w:r>
      <w:r w:rsidR="00164504" w:rsidRPr="00B65579">
        <w:t xml:space="preserve"> on educational initiatives </w:t>
      </w:r>
      <w:r w:rsidR="00CC7F1B">
        <w:t>i</w:t>
      </w:r>
      <w:r w:rsidR="00164504" w:rsidRPr="00B65579">
        <w:t>n specific programmes.</w:t>
      </w:r>
      <w:r w:rsidR="00B53629">
        <w:t xml:space="preserve"> </w:t>
      </w:r>
      <w:r w:rsidR="00164504" w:rsidRPr="00B65579">
        <w:t xml:space="preserve">These include </w:t>
      </w:r>
      <w:r w:rsidRPr="00B65579">
        <w:t xml:space="preserve">the </w:t>
      </w:r>
      <w:r w:rsidR="007A637F">
        <w:t>macro-level</w:t>
      </w:r>
      <w:r w:rsidRPr="00B65579">
        <w:t xml:space="preserve"> in terms of international agreements and international agencies such as the intergovernmental agreement through the United Nations</w:t>
      </w:r>
      <w:r w:rsidR="00AE6450">
        <w:t xml:space="preserve"> and their</w:t>
      </w:r>
      <w:r w:rsidRPr="00B65579">
        <w:t xml:space="preserve"> role in educati</w:t>
      </w:r>
      <w:r w:rsidR="00AE6450">
        <w:t xml:space="preserve">ng </w:t>
      </w:r>
      <w:r w:rsidRPr="00B65579">
        <w:t>towards a more sustainable world, to the establishment of a United Nations Decade for Education for Sustainable Development.</w:t>
      </w:r>
      <w:r w:rsidR="00B53629">
        <w:t xml:space="preserve"> </w:t>
      </w:r>
      <w:r w:rsidRPr="00B65579">
        <w:t>At the meso</w:t>
      </w:r>
      <w:r w:rsidR="00AE6450">
        <w:t>-</w:t>
      </w:r>
      <w:r w:rsidRPr="00B65579">
        <w:t xml:space="preserve"> (national) </w:t>
      </w:r>
      <w:r w:rsidR="00A47E14">
        <w:t>level</w:t>
      </w:r>
      <w:r w:rsidRPr="00B65579">
        <w:t xml:space="preserve">, there are many influences from how sustainable development is treated by the Higher Education Funding Councils, to the role of national organisations focussing on sustainability </w:t>
      </w:r>
      <w:r w:rsidR="00A06726" w:rsidRPr="00B65579">
        <w:t>i</w:t>
      </w:r>
      <w:r w:rsidRPr="00B65579">
        <w:t>n higher education.</w:t>
      </w:r>
      <w:r w:rsidR="00B53629">
        <w:t xml:space="preserve"> </w:t>
      </w:r>
      <w:r w:rsidR="00164504" w:rsidRPr="00B65579">
        <w:t xml:space="preserve">However, it is the </w:t>
      </w:r>
      <w:r w:rsidR="007A637F">
        <w:t>micro-level</w:t>
      </w:r>
      <w:r w:rsidR="00164504" w:rsidRPr="00B65579">
        <w:t xml:space="preserve"> in the form of the </w:t>
      </w:r>
      <w:r w:rsidR="00C952B2" w:rsidRPr="00B65579">
        <w:t>individual, which</w:t>
      </w:r>
      <w:r w:rsidR="00164504" w:rsidRPr="00B65579">
        <w:t xml:space="preserve"> in many ways provide the keystones for such initiatives.</w:t>
      </w:r>
      <w:r w:rsidR="00B53629">
        <w:t xml:space="preserve"> </w:t>
      </w:r>
      <w:r w:rsidR="00164504" w:rsidRPr="00B65579">
        <w:t>The individual educator makes the designs and delivers the initiatives, while the individual decision maker within an organisation decides whether recommendations are implemented or not.</w:t>
      </w:r>
      <w:r w:rsidR="00B53629">
        <w:t xml:space="preserve"> </w:t>
      </w:r>
      <w:r w:rsidR="00164504" w:rsidRPr="00B65579">
        <w:t>Such a focus on the importance of different actors</w:t>
      </w:r>
      <w:r w:rsidR="00AE6450">
        <w:t xml:space="preserve"> at different levels</w:t>
      </w:r>
      <w:r w:rsidR="00164504" w:rsidRPr="00B65579">
        <w:t xml:space="preserve"> can influence the approach to Education for Sustainable Development, and particular highlights the importance of providing support for the individual, both the individual educator, and also developing the communication and persuasion skills of students, in order to influence the individual decision makers</w:t>
      </w:r>
      <w:r w:rsidR="00AE6450">
        <w:t xml:space="preserve"> in organisations</w:t>
      </w:r>
      <w:r w:rsidR="00164504" w:rsidRPr="00B65579">
        <w:t xml:space="preserve"> that the</w:t>
      </w:r>
      <w:r w:rsidR="00AE6450">
        <w:t xml:space="preserve"> students</w:t>
      </w:r>
      <w:r w:rsidR="00164504" w:rsidRPr="00B65579">
        <w:t xml:space="preserve"> engage with to take on their recommendations.</w:t>
      </w:r>
      <w:r w:rsidR="00B53629">
        <w:t xml:space="preserve"> </w:t>
      </w:r>
    </w:p>
    <w:p w14:paraId="52C5AD1A" w14:textId="7F02304C" w:rsidR="008259DE" w:rsidRPr="0060211F" w:rsidRDefault="004D060E" w:rsidP="00B61B62">
      <w:pPr>
        <w:pStyle w:val="Heading2"/>
        <w:rPr>
          <w:lang w:val="en-US"/>
        </w:rPr>
      </w:pPr>
      <w:r w:rsidRPr="00B65579">
        <w:t>References</w:t>
      </w:r>
    </w:p>
    <w:p w14:paraId="048E9BE3" w14:textId="0E8D27B9" w:rsidR="008259DE" w:rsidRPr="00B65579" w:rsidRDefault="008259DE" w:rsidP="008B241B">
      <w:pPr>
        <w:rPr>
          <w:lang w:val="en-US"/>
        </w:rPr>
      </w:pPr>
      <w:r w:rsidRPr="00B65579">
        <w:rPr>
          <w:lang w:val="en-US"/>
        </w:rPr>
        <w:t>Adgar</w:t>
      </w:r>
      <w:r w:rsidR="00211E6C" w:rsidRPr="00B65579">
        <w:rPr>
          <w:lang w:val="en-US"/>
        </w:rPr>
        <w:t>, W.N., N.W.</w:t>
      </w:r>
      <w:r w:rsidR="00BD7622" w:rsidRPr="00B65579">
        <w:rPr>
          <w:lang w:val="en-US"/>
        </w:rPr>
        <w:t xml:space="preserve"> Arnell, and E.L. Tompkins (2005) </w:t>
      </w:r>
      <w:r w:rsidR="00211E6C" w:rsidRPr="00B65579">
        <w:rPr>
          <w:lang w:val="en-US"/>
        </w:rPr>
        <w:t>‘</w:t>
      </w:r>
      <w:r w:rsidR="00BD7622" w:rsidRPr="00B65579">
        <w:rPr>
          <w:lang w:val="en-US"/>
        </w:rPr>
        <w:t>Successful adaptation to climate change across scales</w:t>
      </w:r>
      <w:r w:rsidR="00211E6C" w:rsidRPr="00B65579">
        <w:rPr>
          <w:lang w:val="en-US"/>
        </w:rPr>
        <w:t>’,</w:t>
      </w:r>
      <w:r w:rsidR="00B53629">
        <w:rPr>
          <w:lang w:val="en-US"/>
        </w:rPr>
        <w:t xml:space="preserve"> </w:t>
      </w:r>
      <w:r w:rsidR="00211E6C" w:rsidRPr="00B65579">
        <w:rPr>
          <w:lang w:val="en-US"/>
        </w:rPr>
        <w:t>Global Environmental Change, 15,</w:t>
      </w:r>
      <w:r w:rsidR="00BD7622" w:rsidRPr="00B65579">
        <w:rPr>
          <w:lang w:val="en-US"/>
        </w:rPr>
        <w:t xml:space="preserve"> </w:t>
      </w:r>
      <w:r w:rsidR="00211E6C" w:rsidRPr="00B65579">
        <w:rPr>
          <w:lang w:val="en-US"/>
        </w:rPr>
        <w:t xml:space="preserve">pp. </w:t>
      </w:r>
      <w:r w:rsidR="00BD7622" w:rsidRPr="00B65579">
        <w:rPr>
          <w:lang w:val="en-US"/>
        </w:rPr>
        <w:t>77-86</w:t>
      </w:r>
      <w:r w:rsidR="00211E6C" w:rsidRPr="00B65579">
        <w:rPr>
          <w:lang w:val="en-US"/>
        </w:rPr>
        <w:t>.</w:t>
      </w:r>
    </w:p>
    <w:p w14:paraId="1E700A84" w14:textId="32FBB794" w:rsidR="000133E3" w:rsidRDefault="000133E3" w:rsidP="000133E3">
      <w:pPr>
        <w:rPr>
          <w:lang w:val="fr-FR"/>
        </w:rPr>
      </w:pPr>
      <w:r w:rsidRPr="00B65579">
        <w:rPr>
          <w:lang w:val="fr-FR"/>
        </w:rPr>
        <w:t>ALSF (1990) Talloires Declaration.</w:t>
      </w:r>
      <w:r w:rsidR="00B53629">
        <w:rPr>
          <w:lang w:val="fr-FR"/>
        </w:rPr>
        <w:t xml:space="preserve"> </w:t>
      </w:r>
      <w:hyperlink r:id="rId9" w:history="1">
        <w:r w:rsidRPr="00B65579">
          <w:rPr>
            <w:rStyle w:val="Hyperlink"/>
            <w:lang w:val="fr-FR"/>
          </w:rPr>
          <w:t>http://www.ulsf.org/pdf/td.pdf</w:t>
        </w:r>
      </w:hyperlink>
      <w:r w:rsidRPr="00B65579">
        <w:rPr>
          <w:lang w:val="fr-FR"/>
        </w:rPr>
        <w:t>.</w:t>
      </w:r>
      <w:r w:rsidR="00B53629">
        <w:rPr>
          <w:lang w:val="fr-FR"/>
        </w:rPr>
        <w:t xml:space="preserve"> </w:t>
      </w:r>
      <w:r w:rsidRPr="00B65579">
        <w:rPr>
          <w:lang w:val="fr-FR"/>
        </w:rPr>
        <w:t>Accessed on 26th December 2016.</w:t>
      </w:r>
    </w:p>
    <w:p w14:paraId="0BFA14DE" w14:textId="464C476B" w:rsidR="00333E4B" w:rsidRDefault="00333E4B" w:rsidP="000133E3">
      <w:pPr>
        <w:rPr>
          <w:lang w:val="fr-FR"/>
        </w:rPr>
      </w:pPr>
      <w:r w:rsidRPr="00333E4B">
        <w:rPr>
          <w:lang w:val="fr-FR"/>
        </w:rPr>
        <w:t>Aguinis, H. and Glavas, A. 2012. ‘What we know and don’t know about corporate social responsibility: a review</w:t>
      </w:r>
      <w:r w:rsidR="00B53629">
        <w:rPr>
          <w:lang w:val="fr-FR"/>
        </w:rPr>
        <w:t xml:space="preserve"> </w:t>
      </w:r>
      <w:r w:rsidRPr="00333E4B">
        <w:rPr>
          <w:lang w:val="fr-FR"/>
        </w:rPr>
        <w:t>and</w:t>
      </w:r>
      <w:r w:rsidR="00B53629">
        <w:rPr>
          <w:lang w:val="fr-FR"/>
        </w:rPr>
        <w:t xml:space="preserve"> </w:t>
      </w:r>
      <w:r w:rsidRPr="00333E4B">
        <w:rPr>
          <w:lang w:val="fr-FR"/>
        </w:rPr>
        <w:t>research</w:t>
      </w:r>
      <w:r w:rsidR="00B53629">
        <w:rPr>
          <w:lang w:val="fr-FR"/>
        </w:rPr>
        <w:t xml:space="preserve"> </w:t>
      </w:r>
      <w:r w:rsidRPr="00333E4B">
        <w:rPr>
          <w:lang w:val="fr-FR"/>
        </w:rPr>
        <w:t>agenda’. Journal</w:t>
      </w:r>
      <w:r w:rsidR="00B53629">
        <w:rPr>
          <w:lang w:val="fr-FR"/>
        </w:rPr>
        <w:t xml:space="preserve"> </w:t>
      </w:r>
      <w:r w:rsidRPr="00333E4B">
        <w:rPr>
          <w:lang w:val="fr-FR"/>
        </w:rPr>
        <w:t>of</w:t>
      </w:r>
      <w:r w:rsidR="00B53629">
        <w:rPr>
          <w:lang w:val="fr-FR"/>
        </w:rPr>
        <w:t xml:space="preserve"> </w:t>
      </w:r>
      <w:r w:rsidRPr="00333E4B">
        <w:rPr>
          <w:lang w:val="fr-FR"/>
        </w:rPr>
        <w:t>Manage- ment, 38:4, 932–968.</w:t>
      </w:r>
    </w:p>
    <w:p w14:paraId="1CB78176" w14:textId="5771DEB0" w:rsidR="004720D6" w:rsidRDefault="004720D6" w:rsidP="000133E3">
      <w:pPr>
        <w:rPr>
          <w:lang w:val="fr-FR"/>
        </w:rPr>
      </w:pPr>
      <w:r w:rsidRPr="004720D6">
        <w:rPr>
          <w:lang w:val="fr-FR"/>
        </w:rPr>
        <w:t xml:space="preserve">Baumgartner, R. J., </w:t>
      </w:r>
      <w:r w:rsidR="00F97BED">
        <w:rPr>
          <w:lang w:val="fr-FR"/>
        </w:rPr>
        <w:t>and</w:t>
      </w:r>
      <w:r w:rsidRPr="004720D6">
        <w:rPr>
          <w:lang w:val="fr-FR"/>
        </w:rPr>
        <w:t xml:space="preserve"> Ebner, D. (2010). Corporate Sustainability Strategies: Sustainability Profiles and Maturity Levels. Sustainable Development, 18, 76–89.</w:t>
      </w:r>
    </w:p>
    <w:p w14:paraId="3B06100A" w14:textId="759A5AA4" w:rsidR="00392A72" w:rsidRDefault="00392A72" w:rsidP="000133E3">
      <w:pPr>
        <w:rPr>
          <w:lang w:val="fr-FR"/>
        </w:rPr>
      </w:pPr>
      <w:r>
        <w:rPr>
          <w:lang w:val="fr-FR"/>
        </w:rPr>
        <w:t xml:space="preserve">BBC (2019) </w:t>
      </w:r>
      <w:r w:rsidR="0079583E">
        <w:rPr>
          <w:lang w:val="fr-FR"/>
        </w:rPr>
        <w:t>‘</w:t>
      </w:r>
      <w:r w:rsidR="00204774">
        <w:rPr>
          <w:lang w:val="fr-FR"/>
        </w:rPr>
        <w:t xml:space="preserve">UK Parliament </w:t>
      </w:r>
      <w:r w:rsidR="00672816">
        <w:rPr>
          <w:lang w:val="fr-FR"/>
        </w:rPr>
        <w:t>decla</w:t>
      </w:r>
      <w:r w:rsidR="00673ABB">
        <w:rPr>
          <w:lang w:val="fr-FR"/>
        </w:rPr>
        <w:t xml:space="preserve">res </w:t>
      </w:r>
      <w:r w:rsidR="00736513">
        <w:rPr>
          <w:lang w:val="fr-FR"/>
        </w:rPr>
        <w:t xml:space="preserve">climate change emergency’, Available at : </w:t>
      </w:r>
      <w:hyperlink r:id="rId10" w:history="1">
        <w:r w:rsidR="00C05C0A" w:rsidRPr="00372B19">
          <w:rPr>
            <w:rStyle w:val="Hyperlink"/>
            <w:lang w:val="fr-FR"/>
          </w:rPr>
          <w:t>https://www.bbc.com/news/uk-politics-48126677</w:t>
        </w:r>
      </w:hyperlink>
      <w:r w:rsidR="00C05C0A">
        <w:rPr>
          <w:lang w:val="fr-FR"/>
        </w:rPr>
        <w:t xml:space="preserve">. Accessed July 2019. </w:t>
      </w:r>
    </w:p>
    <w:p w14:paraId="2F53A0CC" w14:textId="57CE4DB9" w:rsidR="00D45BA5" w:rsidRDefault="00563391" w:rsidP="000133E3">
      <w:pPr>
        <w:rPr>
          <w:lang w:val="fr-FR"/>
        </w:rPr>
      </w:pPr>
      <w:r>
        <w:rPr>
          <w:lang w:val="fr-FR"/>
        </w:rPr>
        <w:t>Be</w:t>
      </w:r>
      <w:r w:rsidR="004C1E00">
        <w:rPr>
          <w:lang w:val="fr-FR"/>
        </w:rPr>
        <w:t>ddewela, E., Warin, C., Hesselden, F. and Coslet, A. (2017) ‘Embedding respon</w:t>
      </w:r>
      <w:r w:rsidR="007D2C50">
        <w:rPr>
          <w:lang w:val="fr-FR"/>
        </w:rPr>
        <w:t>sible management</w:t>
      </w:r>
      <w:r w:rsidR="004720D6">
        <w:rPr>
          <w:lang w:val="fr-FR"/>
        </w:rPr>
        <w:t xml:space="preserve"> </w:t>
      </w:r>
      <w:r w:rsidR="007D2C50">
        <w:rPr>
          <w:lang w:val="fr-FR"/>
        </w:rPr>
        <w:t>education – Staff, student and institutional perspec</w:t>
      </w:r>
      <w:r w:rsidR="008B1B85">
        <w:rPr>
          <w:lang w:val="fr-FR"/>
        </w:rPr>
        <w:t xml:space="preserve">tives’ International Journal of </w:t>
      </w:r>
      <w:r w:rsidR="00525BBB">
        <w:rPr>
          <w:lang w:val="fr-FR"/>
        </w:rPr>
        <w:t xml:space="preserve">Management Education, </w:t>
      </w:r>
      <w:r w:rsidR="000B7FF9">
        <w:rPr>
          <w:lang w:val="fr-FR"/>
        </w:rPr>
        <w:t xml:space="preserve">15(2) pp.263-279. </w:t>
      </w:r>
      <w:hyperlink r:id="rId11" w:history="1">
        <w:r w:rsidR="009F46CE" w:rsidRPr="003710C8">
          <w:rPr>
            <w:rStyle w:val="Hyperlink"/>
            <w:lang w:val="fr-FR"/>
          </w:rPr>
          <w:t>https://doi.org/10.1016/j.ijme.2017.03.013</w:t>
        </w:r>
      </w:hyperlink>
      <w:r w:rsidR="00A67E96">
        <w:rPr>
          <w:lang w:val="fr-FR"/>
        </w:rPr>
        <w:t>.</w:t>
      </w:r>
    </w:p>
    <w:p w14:paraId="5AAE82EA" w14:textId="2A5DD6BA" w:rsidR="00896620" w:rsidRDefault="00896620" w:rsidP="000133E3">
      <w:pPr>
        <w:rPr>
          <w:lang w:val="fr-FR"/>
        </w:rPr>
      </w:pPr>
      <w:r w:rsidRPr="00896620">
        <w:rPr>
          <w:lang w:val="fr-FR"/>
        </w:rPr>
        <w:t xml:space="preserve">Bies, R. J., Bartunek, J. M., Fort, T. L., </w:t>
      </w:r>
      <w:r w:rsidR="00F97BED">
        <w:rPr>
          <w:lang w:val="fr-FR"/>
        </w:rPr>
        <w:t>and</w:t>
      </w:r>
      <w:r w:rsidRPr="00896620">
        <w:rPr>
          <w:lang w:val="fr-FR"/>
        </w:rPr>
        <w:t xml:space="preserve"> Zald, M. N. (2007). Corporations as social change agents: Individual, interpersonal, institutional, and environmental dynamics. AMRO, 32(3), 788–793.</w:t>
      </w:r>
    </w:p>
    <w:p w14:paraId="0F51A8F8" w14:textId="7765445B" w:rsidR="001679C3" w:rsidRDefault="001679C3" w:rsidP="000133E3">
      <w:pPr>
        <w:rPr>
          <w:lang w:val="fr-FR"/>
        </w:rPr>
      </w:pPr>
      <w:r w:rsidRPr="001679C3">
        <w:rPr>
          <w:lang w:val="fr-FR"/>
        </w:rPr>
        <w:lastRenderedPageBreak/>
        <w:t>Bosch, Suzanne Sjm van den. 2010. Transition Experiments: Exploring Societal Changes towards Sustainability. repub.eur.nl.</w:t>
      </w:r>
    </w:p>
    <w:p w14:paraId="02FC3CF7" w14:textId="3892EE1F" w:rsidR="00EC34D1" w:rsidRDefault="00EC34D1" w:rsidP="000133E3">
      <w:pPr>
        <w:rPr>
          <w:lang w:val="fr-FR"/>
        </w:rPr>
      </w:pPr>
      <w:r w:rsidRPr="00EC34D1">
        <w:rPr>
          <w:lang w:val="fr-FR"/>
        </w:rPr>
        <w:t xml:space="preserve">Calder, W., </w:t>
      </w:r>
      <w:r w:rsidR="00F97BED">
        <w:rPr>
          <w:lang w:val="fr-FR"/>
        </w:rPr>
        <w:t>and</w:t>
      </w:r>
      <w:r w:rsidRPr="00EC34D1">
        <w:rPr>
          <w:lang w:val="fr-FR"/>
        </w:rPr>
        <w:t xml:space="preserve"> Clugston, R. M. (2003). International efforts to promote higher education for sustainable development. Planning for Higher Education, 31(3), 30–44.</w:t>
      </w:r>
    </w:p>
    <w:p w14:paraId="44AF3C72" w14:textId="0367ECBB" w:rsidR="009F46CE" w:rsidRDefault="00690C0C" w:rsidP="000133E3">
      <w:pPr>
        <w:rPr>
          <w:lang w:val="fr-FR"/>
        </w:rPr>
      </w:pPr>
      <w:r w:rsidRPr="00690C0C">
        <w:rPr>
          <w:lang w:val="fr-FR"/>
        </w:rPr>
        <w:t xml:space="preserve">Cash, D., Adger, W. N., Berkes, F., Garden, P., Lebel, L., Olsson, P., … Young, O. (2006). Scale and Cross-Scale Dynamics: Governance and Information in a Multilevel World. Ecology and Society, 11(2). </w:t>
      </w:r>
      <w:hyperlink r:id="rId12" w:history="1">
        <w:r w:rsidRPr="003710C8">
          <w:rPr>
            <w:rStyle w:val="Hyperlink"/>
            <w:lang w:val="fr-FR"/>
          </w:rPr>
          <w:t>https://doi.org/10.5751/ES-01759-110208</w:t>
        </w:r>
      </w:hyperlink>
      <w:r>
        <w:rPr>
          <w:lang w:val="fr-FR"/>
        </w:rPr>
        <w:t xml:space="preserve"> </w:t>
      </w:r>
    </w:p>
    <w:p w14:paraId="44F181EC" w14:textId="7CDDA034" w:rsidR="001F1884" w:rsidRPr="00B65579" w:rsidRDefault="001F1884" w:rsidP="000133E3">
      <w:pPr>
        <w:rPr>
          <w:lang w:val="fr-FR"/>
        </w:rPr>
      </w:pPr>
      <w:r w:rsidRPr="001F1884">
        <w:rPr>
          <w:lang w:val="fr-FR"/>
        </w:rPr>
        <w:t xml:space="preserve">Chalkley, B., </w:t>
      </w:r>
      <w:r w:rsidR="00F97BED">
        <w:rPr>
          <w:lang w:val="fr-FR"/>
        </w:rPr>
        <w:t>and</w:t>
      </w:r>
      <w:r w:rsidRPr="001F1884">
        <w:rPr>
          <w:lang w:val="fr-FR"/>
        </w:rPr>
        <w:t xml:space="preserve"> Sterling, S. (2011). Hard Times in Higher Education: The Closure of Subject Centres and the Implications for Education for Sustainable Development (ESD). Sustainability: Science Practice and Policy, 3(4), 666–677.</w:t>
      </w:r>
    </w:p>
    <w:p w14:paraId="08AB2AB3" w14:textId="674FF48F" w:rsidR="00A14BE1" w:rsidRPr="00B65579" w:rsidRDefault="00A14BE1" w:rsidP="008B241B">
      <w:pPr>
        <w:rPr>
          <w:lang w:val="en-US"/>
        </w:rPr>
      </w:pPr>
      <w:r w:rsidRPr="00B65579">
        <w:rPr>
          <w:lang w:val="en-US"/>
        </w:rPr>
        <w:t>Cortese, A.D. (2003) ‘The critical role of higher education in creating a sustainable future’, Plan</w:t>
      </w:r>
      <w:r w:rsidR="00DA4BC9" w:rsidRPr="00B65579">
        <w:rPr>
          <w:lang w:val="en-US"/>
        </w:rPr>
        <w:t>n</w:t>
      </w:r>
      <w:r w:rsidRPr="00B65579">
        <w:rPr>
          <w:lang w:val="en-US"/>
        </w:rPr>
        <w:t>ing for Higher Education, pp.15-22.</w:t>
      </w:r>
    </w:p>
    <w:p w14:paraId="18486DF5" w14:textId="31551DF9" w:rsidR="009F7C19" w:rsidRPr="00B65579" w:rsidRDefault="009F7C19" w:rsidP="008B241B">
      <w:pPr>
        <w:rPr>
          <w:lang w:val="en-US"/>
        </w:rPr>
      </w:pPr>
      <w:r w:rsidRPr="00B65579">
        <w:rPr>
          <w:lang w:val="en-US"/>
        </w:rPr>
        <w:t>Dawe, G., R. Jucker and S. Martin (2005) ‘Sustainable Development in Higher Education: Current practice and future developments’, A report for The Higher Education Academy.</w:t>
      </w:r>
    </w:p>
    <w:p w14:paraId="034EEC56" w14:textId="3BBA172F" w:rsidR="005F10AD" w:rsidRDefault="005F10AD" w:rsidP="008B241B">
      <w:pPr>
        <w:rPr>
          <w:lang w:val="en-US"/>
        </w:rPr>
      </w:pPr>
      <w:r w:rsidRPr="00B65579">
        <w:rPr>
          <w:lang w:val="en-US"/>
        </w:rPr>
        <w:t>Defra (2013) Environmental Reporting Guidelines: Including mandatory greenhouse gas emissions reporting guidance.</w:t>
      </w:r>
      <w:r w:rsidR="00B53629">
        <w:rPr>
          <w:lang w:val="en-US"/>
        </w:rPr>
        <w:t xml:space="preserve"> </w:t>
      </w:r>
      <w:r w:rsidRPr="00B65579">
        <w:rPr>
          <w:lang w:val="en-US"/>
        </w:rPr>
        <w:t>Department for Environment, Food and Rural Affairs.</w:t>
      </w:r>
      <w:r w:rsidR="00B53629">
        <w:rPr>
          <w:lang w:val="en-US"/>
        </w:rPr>
        <w:t xml:space="preserve"> </w:t>
      </w:r>
      <w:r w:rsidRPr="00B65579">
        <w:rPr>
          <w:lang w:val="en-US"/>
        </w:rPr>
        <w:t xml:space="preserve">Available at: </w:t>
      </w:r>
      <w:hyperlink r:id="rId13" w:history="1">
        <w:r w:rsidR="009111EE" w:rsidRPr="004E2888">
          <w:rPr>
            <w:rStyle w:val="Hyperlink"/>
            <w:lang w:val="en-US"/>
          </w:rPr>
          <w:t>https://www.gov.uk/government/publications/environmental-reporting-guidelines-including-mandatory-greenhouse-gas-emissions-reporting-guidance</w:t>
        </w:r>
      </w:hyperlink>
      <w:r w:rsidR="009111EE">
        <w:rPr>
          <w:lang w:val="en-US"/>
        </w:rPr>
        <w:t xml:space="preserve"> </w:t>
      </w:r>
    </w:p>
    <w:p w14:paraId="5FCF8508" w14:textId="6D18351F" w:rsidR="006211FC" w:rsidRPr="00B65579" w:rsidRDefault="006211FC" w:rsidP="008B241B">
      <w:pPr>
        <w:rPr>
          <w:lang w:val="en-US"/>
        </w:rPr>
      </w:pPr>
      <w:r w:rsidRPr="006211FC">
        <w:rPr>
          <w:lang w:val="en-US"/>
        </w:rPr>
        <w:t xml:space="preserve">Doh, J.P. and Quigley, N.R. </w:t>
      </w:r>
      <w:r>
        <w:rPr>
          <w:lang w:val="en-US"/>
        </w:rPr>
        <w:t>(</w:t>
      </w:r>
      <w:r w:rsidRPr="006211FC">
        <w:rPr>
          <w:lang w:val="en-US"/>
        </w:rPr>
        <w:t>2014</w:t>
      </w:r>
      <w:r>
        <w:rPr>
          <w:lang w:val="en-US"/>
        </w:rPr>
        <w:t>)</w:t>
      </w:r>
      <w:r w:rsidRPr="006211FC">
        <w:rPr>
          <w:lang w:val="en-US"/>
        </w:rPr>
        <w:t>. ‘Responsible leadership and stakeholder management:</w:t>
      </w:r>
      <w:r w:rsidR="00B53629">
        <w:rPr>
          <w:lang w:val="en-US"/>
        </w:rPr>
        <w:t xml:space="preserve"> </w:t>
      </w:r>
      <w:r w:rsidRPr="006211FC">
        <w:rPr>
          <w:lang w:val="en-US"/>
        </w:rPr>
        <w:t>influence path- ways and organizational outcomes</w:t>
      </w:r>
      <w:r>
        <w:rPr>
          <w:lang w:val="en-US"/>
        </w:rPr>
        <w:t>’</w:t>
      </w:r>
      <w:r w:rsidRPr="006211FC">
        <w:rPr>
          <w:lang w:val="en-US"/>
        </w:rPr>
        <w:t>. Academy of Management Perspectives, 28:3, 255–274.</w:t>
      </w:r>
    </w:p>
    <w:p w14:paraId="01F36373" w14:textId="1F08ED7F" w:rsidR="00172167" w:rsidRPr="00B65579" w:rsidRDefault="00172167" w:rsidP="00172167">
      <w:pPr>
        <w:rPr>
          <w:rFonts w:cs="Arial"/>
          <w:color w:val="222222"/>
          <w:shd w:val="clear" w:color="auto" w:fill="FFFFFF"/>
        </w:rPr>
      </w:pPr>
      <w:r w:rsidRPr="00B65579">
        <w:rPr>
          <w:rFonts w:cs="Arial"/>
          <w:color w:val="222222"/>
          <w:shd w:val="clear" w:color="auto" w:fill="FFFFFF"/>
        </w:rPr>
        <w:t>EAUC (2016) Who we are.</w:t>
      </w:r>
      <w:r w:rsidR="00B53629">
        <w:rPr>
          <w:rFonts w:cs="Arial"/>
          <w:color w:val="222222"/>
          <w:shd w:val="clear" w:color="auto" w:fill="FFFFFF"/>
        </w:rPr>
        <w:t xml:space="preserve"> </w:t>
      </w:r>
      <w:hyperlink r:id="rId14" w:history="1">
        <w:r w:rsidRPr="00B65579">
          <w:rPr>
            <w:rStyle w:val="Hyperlink"/>
            <w:rFonts w:cs="Arial"/>
            <w:shd w:val="clear" w:color="auto" w:fill="FFFFFF"/>
          </w:rPr>
          <w:t>http://www.eauc.org.uk/who_we_are</w:t>
        </w:r>
      </w:hyperlink>
      <w:r w:rsidRPr="00B65579">
        <w:rPr>
          <w:rStyle w:val="Hyperlink"/>
          <w:rFonts w:cs="Arial"/>
          <w:shd w:val="clear" w:color="auto" w:fill="FFFFFF"/>
        </w:rPr>
        <w:t>.</w:t>
      </w:r>
      <w:r w:rsidR="00B53629">
        <w:rPr>
          <w:rStyle w:val="Hyperlink"/>
          <w:rFonts w:cs="Arial"/>
          <w:shd w:val="clear" w:color="auto" w:fill="FFFFFF"/>
        </w:rPr>
        <w:t xml:space="preserve"> </w:t>
      </w:r>
      <w:r w:rsidRPr="00B65579">
        <w:rPr>
          <w:rFonts w:cs="Arial"/>
          <w:color w:val="222222"/>
          <w:shd w:val="clear" w:color="auto" w:fill="FFFFFF"/>
        </w:rPr>
        <w:t>Accessed on: 26</w:t>
      </w:r>
      <w:r w:rsidRPr="00B65579">
        <w:rPr>
          <w:rFonts w:cs="Arial"/>
          <w:color w:val="222222"/>
          <w:shd w:val="clear" w:color="auto" w:fill="FFFFFF"/>
          <w:vertAlign w:val="superscript"/>
        </w:rPr>
        <w:t>th</w:t>
      </w:r>
      <w:r w:rsidRPr="00B65579">
        <w:rPr>
          <w:rFonts w:cs="Arial"/>
          <w:color w:val="222222"/>
          <w:shd w:val="clear" w:color="auto" w:fill="FFFFFF"/>
        </w:rPr>
        <w:t xml:space="preserve"> December 2016</w:t>
      </w:r>
    </w:p>
    <w:p w14:paraId="32948E61" w14:textId="77777777" w:rsidR="008A4081" w:rsidRPr="00B65579" w:rsidRDefault="008A4081" w:rsidP="008A4081">
      <w:r w:rsidRPr="00B65579">
        <w:rPr>
          <w:rFonts w:cs="Arial"/>
          <w:bCs/>
          <w:color w:val="222222"/>
          <w:shd w:val="clear" w:color="auto" w:fill="FFFFFF"/>
        </w:rPr>
        <w:t>Elo, S., M. Kääriäinen, O. Kanste, T. Pölkki, K. Utriainen and H. Kyngäs (2014) Qualitative content analysis.</w:t>
      </w:r>
      <w:r w:rsidRPr="00B65579">
        <w:rPr>
          <w:rStyle w:val="apple-converted-space"/>
          <w:rFonts w:cs="Arial"/>
          <w:bCs/>
          <w:color w:val="222222"/>
          <w:shd w:val="clear" w:color="auto" w:fill="FFFFFF"/>
        </w:rPr>
        <w:t> </w:t>
      </w:r>
      <w:r w:rsidRPr="00B65579">
        <w:rPr>
          <w:rFonts w:cs="Arial"/>
          <w:bCs/>
          <w:i/>
          <w:iCs/>
          <w:color w:val="222222"/>
          <w:shd w:val="clear" w:color="auto" w:fill="FFFFFF"/>
        </w:rPr>
        <w:t>Sage Open</w:t>
      </w:r>
      <w:r w:rsidRPr="00B65579">
        <w:rPr>
          <w:rFonts w:cs="Arial"/>
          <w:bCs/>
          <w:color w:val="222222"/>
          <w:shd w:val="clear" w:color="auto" w:fill="FFFFFF"/>
        </w:rPr>
        <w:t>,</w:t>
      </w:r>
      <w:r w:rsidRPr="00B65579">
        <w:rPr>
          <w:rStyle w:val="apple-converted-space"/>
          <w:rFonts w:cs="Arial"/>
          <w:bCs/>
          <w:color w:val="222222"/>
          <w:shd w:val="clear" w:color="auto" w:fill="FFFFFF"/>
        </w:rPr>
        <w:t> </w:t>
      </w:r>
      <w:r w:rsidRPr="00B65579">
        <w:rPr>
          <w:rFonts w:cs="Arial"/>
          <w:bCs/>
          <w:i/>
          <w:iCs/>
          <w:color w:val="222222"/>
          <w:shd w:val="clear" w:color="auto" w:fill="FFFFFF"/>
        </w:rPr>
        <w:t>4</w:t>
      </w:r>
      <w:r w:rsidRPr="00B65579">
        <w:rPr>
          <w:rFonts w:cs="Arial"/>
          <w:bCs/>
          <w:color w:val="222222"/>
          <w:shd w:val="clear" w:color="auto" w:fill="FFFFFF"/>
        </w:rPr>
        <w:t>(1)</w:t>
      </w:r>
    </w:p>
    <w:p w14:paraId="1DA67BF2" w14:textId="128C3654" w:rsidR="00851B09" w:rsidRDefault="00851B09" w:rsidP="00851B09">
      <w:pPr>
        <w:rPr>
          <w:rStyle w:val="Hyperlink"/>
        </w:rPr>
      </w:pPr>
      <w:r w:rsidRPr="00B65579">
        <w:rPr>
          <w:rStyle w:val="Hyperlink"/>
          <w:lang w:val="en-US"/>
        </w:rPr>
        <w:t>EQUIS (2016)</w:t>
      </w:r>
      <w:r w:rsidR="009504EE" w:rsidRPr="00B65579">
        <w:rPr>
          <w:rStyle w:val="Hyperlink"/>
          <w:lang w:val="en-US"/>
        </w:rPr>
        <w:t>.</w:t>
      </w:r>
      <w:r w:rsidRPr="00B65579">
        <w:rPr>
          <w:rStyle w:val="Hyperlink"/>
          <w:lang w:val="en-US"/>
        </w:rPr>
        <w:t xml:space="preserve"> </w:t>
      </w:r>
      <w:r w:rsidR="00DF4C9B" w:rsidRPr="00B65579">
        <w:rPr>
          <w:rStyle w:val="Hyperlink"/>
          <w:lang w:val="en-US"/>
        </w:rPr>
        <w:t xml:space="preserve">2016 </w:t>
      </w:r>
      <w:r w:rsidRPr="00B65579">
        <w:rPr>
          <w:color w:val="0000FF" w:themeColor="hyperlink"/>
          <w:u w:val="single"/>
        </w:rPr>
        <w:t xml:space="preserve">EQUIS STANDARDS </w:t>
      </w:r>
      <w:r w:rsidR="00F97BED">
        <w:rPr>
          <w:color w:val="0000FF" w:themeColor="hyperlink"/>
          <w:u w:val="single"/>
        </w:rPr>
        <w:t>and</w:t>
      </w:r>
      <w:r w:rsidRPr="00B65579">
        <w:rPr>
          <w:color w:val="0000FF" w:themeColor="hyperlink"/>
          <w:u w:val="single"/>
        </w:rPr>
        <w:t xml:space="preserve"> CRITERIA</w:t>
      </w:r>
      <w:r w:rsidRPr="00B65579">
        <w:t xml:space="preserve"> </w:t>
      </w:r>
      <w:hyperlink r:id="rId15" w:history="1">
        <w:r w:rsidR="008B1048" w:rsidRPr="00B65579">
          <w:rPr>
            <w:rStyle w:val="Hyperlink"/>
          </w:rPr>
          <w:t>https://www.efmd.org/images/stories/efmd/EQUIS/2016/EQUIS_Standards_and_Criteria.pdf Accessed 16/12/2016</w:t>
        </w:r>
      </w:hyperlink>
    </w:p>
    <w:p w14:paraId="292C31D2" w14:textId="13BC5AF9" w:rsidR="00EC34D1" w:rsidRDefault="00EC34D1" w:rsidP="00851B09">
      <w:pPr>
        <w:rPr>
          <w:rStyle w:val="Hyperlink"/>
        </w:rPr>
      </w:pPr>
      <w:r w:rsidRPr="00EC34D1">
        <w:rPr>
          <w:rStyle w:val="Hyperlink"/>
        </w:rPr>
        <w:t xml:space="preserve">Filho, W. L., Manolas, E., </w:t>
      </w:r>
      <w:r w:rsidR="00F97BED">
        <w:rPr>
          <w:rStyle w:val="Hyperlink"/>
        </w:rPr>
        <w:t>and</w:t>
      </w:r>
      <w:r w:rsidRPr="00EC34D1">
        <w:rPr>
          <w:rStyle w:val="Hyperlink"/>
        </w:rPr>
        <w:t xml:space="preserve"> Pace, P. (2015). The future we want: Key issues on sustainable development in higher education after Rio and the UN decade of education for sustainable development. International Journal of Sustainability in Higher Education, 16(1), 112–129.</w:t>
      </w:r>
    </w:p>
    <w:p w14:paraId="4E03BBA5" w14:textId="1C75BFC0" w:rsidR="001441EA" w:rsidRDefault="001441EA" w:rsidP="00851B09">
      <w:pPr>
        <w:rPr>
          <w:rStyle w:val="Hyperlink"/>
        </w:rPr>
      </w:pPr>
      <w:r w:rsidRPr="001441EA">
        <w:rPr>
          <w:rStyle w:val="Hyperlink"/>
        </w:rPr>
        <w:t xml:space="preserve">Fiselier, E. S., </w:t>
      </w:r>
      <w:r w:rsidR="00F97BED">
        <w:rPr>
          <w:rStyle w:val="Hyperlink"/>
        </w:rPr>
        <w:t>and</w:t>
      </w:r>
      <w:r w:rsidRPr="001441EA">
        <w:rPr>
          <w:rStyle w:val="Hyperlink"/>
        </w:rPr>
        <w:t xml:space="preserve"> Longhurst, J. W. S. (2018). A Critical Evaluation of the Representation of the QAA and HEA Guidance on ESD in Public Web Environments of UK Higher Education Institutions. In W. Leal Filho (Ed.), Implementing Sustainability in the Curriculum of Universities: Approaches, Methods and Projects (pp. 223–246). Cham: Springer International Publishing.</w:t>
      </w:r>
    </w:p>
    <w:p w14:paraId="333F98E9" w14:textId="348BEDB7" w:rsidR="004A191A" w:rsidRDefault="004A191A" w:rsidP="00851B09">
      <w:pPr>
        <w:rPr>
          <w:rStyle w:val="Hyperlink"/>
        </w:rPr>
      </w:pPr>
      <w:r w:rsidRPr="004A191A">
        <w:rPr>
          <w:rStyle w:val="Hyperlink"/>
        </w:rPr>
        <w:t xml:space="preserve">Fleacă, E., Fleacă, B., </w:t>
      </w:r>
      <w:r w:rsidR="00F97BED">
        <w:rPr>
          <w:rStyle w:val="Hyperlink"/>
        </w:rPr>
        <w:t>and</w:t>
      </w:r>
      <w:r w:rsidRPr="004A191A">
        <w:rPr>
          <w:rStyle w:val="Hyperlink"/>
        </w:rPr>
        <w:t xml:space="preserve"> Maiduc, S. (2018). Aligning Strategy with Sustainable Development Goals (</w:t>
      </w:r>
      <w:r w:rsidR="00F10A6F">
        <w:rPr>
          <w:rStyle w:val="Hyperlink"/>
        </w:rPr>
        <w:t>SDGs</w:t>
      </w:r>
      <w:r w:rsidRPr="004A191A">
        <w:rPr>
          <w:rStyle w:val="Hyperlink"/>
        </w:rPr>
        <w:t>): Process Scoping Diagram for Entrepreneurial Higher Education Institutions (HEIs). Sustainability: Science Practice and Policy, 10(4), 1032.</w:t>
      </w:r>
    </w:p>
    <w:p w14:paraId="6B456F95" w14:textId="77777777" w:rsidR="001679C3" w:rsidRDefault="001679C3" w:rsidP="00851B09">
      <w:pPr>
        <w:rPr>
          <w:rStyle w:val="Hyperlink"/>
        </w:rPr>
      </w:pPr>
      <w:r w:rsidRPr="009A064E">
        <w:rPr>
          <w:color w:val="0000FF" w:themeColor="hyperlink"/>
          <w:u w:val="single"/>
        </w:rPr>
        <w:lastRenderedPageBreak/>
        <w:t>Forray, Jeanie M., and Jennifer S. A. Leigh. 2012. “A Primer on the Principles of Responsible Management Education: Intellectual Roots and Waves of Change.” Journal of Management Education 36 (3). SAGE Publications Inc: 295–309.</w:t>
      </w:r>
    </w:p>
    <w:p w14:paraId="50464612" w14:textId="0D1C5B6D" w:rsidR="00DF339C" w:rsidRPr="00B65579" w:rsidRDefault="00DF339C" w:rsidP="00851B09">
      <w:pPr>
        <w:rPr>
          <w:color w:val="0000FF" w:themeColor="hyperlink"/>
          <w:u w:val="single"/>
        </w:rPr>
      </w:pPr>
      <w:r w:rsidRPr="00DF339C">
        <w:rPr>
          <w:color w:val="0000FF" w:themeColor="hyperlink"/>
          <w:u w:val="single"/>
        </w:rPr>
        <w:t xml:space="preserve">Frynas, J. G., </w:t>
      </w:r>
      <w:r w:rsidR="00F97BED">
        <w:rPr>
          <w:color w:val="0000FF" w:themeColor="hyperlink"/>
          <w:u w:val="single"/>
        </w:rPr>
        <w:t>and</w:t>
      </w:r>
      <w:r w:rsidRPr="00DF339C">
        <w:rPr>
          <w:color w:val="0000FF" w:themeColor="hyperlink"/>
          <w:u w:val="single"/>
        </w:rPr>
        <w:t xml:space="preserve"> Yamahaki, C. (2016). Corporate social responsibility: review and roadmap of theoretical perspectives. Business Ethics: A European Review, 25(3), 258–285.</w:t>
      </w:r>
      <w:r>
        <w:rPr>
          <w:color w:val="0000FF" w:themeColor="hyperlink"/>
          <w:u w:val="single"/>
        </w:rPr>
        <w:t xml:space="preserve"> </w:t>
      </w:r>
    </w:p>
    <w:p w14:paraId="0DB6E882" w14:textId="772B5161" w:rsidR="008B1048" w:rsidRPr="00B65579" w:rsidRDefault="008B1048" w:rsidP="008B241B">
      <w:pPr>
        <w:rPr>
          <w:lang w:val="en-US"/>
        </w:rPr>
      </w:pPr>
      <w:r w:rsidRPr="00B65579">
        <w:rPr>
          <w:lang w:val="en-US"/>
        </w:rPr>
        <w:t xml:space="preserve">HEFCE (2005/28). Sustainable development in higher education. </w:t>
      </w:r>
      <w:r w:rsidR="00951A06" w:rsidRPr="00B65579">
        <w:rPr>
          <w:lang w:val="en-US"/>
        </w:rPr>
        <w:t>Higher Education Funding Council for England.</w:t>
      </w:r>
      <w:r w:rsidR="00B53629">
        <w:rPr>
          <w:lang w:val="en-US"/>
        </w:rPr>
        <w:t xml:space="preserve"> </w:t>
      </w:r>
      <w:r w:rsidRPr="00B65579">
        <w:rPr>
          <w:lang w:val="en-US"/>
        </w:rPr>
        <w:t xml:space="preserve">Available at: </w:t>
      </w:r>
      <w:hyperlink r:id="rId16" w:history="1">
        <w:r w:rsidRPr="00B65579">
          <w:rPr>
            <w:rStyle w:val="Hyperlink"/>
            <w:lang w:val="en-US"/>
          </w:rPr>
          <w:t>http://webarchive.nationalarchives.gov.uk/20100202100434/http://hefce.ac.uk/pubs/hefce/2005/05_28/</w:t>
        </w:r>
      </w:hyperlink>
      <w:r w:rsidRPr="00B65579">
        <w:rPr>
          <w:lang w:val="en-US"/>
        </w:rPr>
        <w:t xml:space="preserve"> </w:t>
      </w:r>
    </w:p>
    <w:p w14:paraId="586FA5C9" w14:textId="57233624" w:rsidR="00A633A4" w:rsidRDefault="00A633A4" w:rsidP="008B241B">
      <w:pPr>
        <w:rPr>
          <w:lang w:val="en-US"/>
        </w:rPr>
      </w:pPr>
      <w:r w:rsidRPr="00B65579">
        <w:rPr>
          <w:lang w:val="en-US"/>
        </w:rPr>
        <w:t xml:space="preserve">HEFCE (2009/03) Sustainable development in higher education. Higher Education Funding Council for England. Available at: </w:t>
      </w:r>
      <w:hyperlink r:id="rId17" w:history="1">
        <w:r w:rsidRPr="00B65579">
          <w:rPr>
            <w:rStyle w:val="Hyperlink"/>
            <w:lang w:val="en-US"/>
          </w:rPr>
          <w:t>http://webarchive.nationalarchives.gov.uk/20100202100434/http://hefce.ac.uk/pubs/hefce/2009/09_03/</w:t>
        </w:r>
      </w:hyperlink>
      <w:r w:rsidRPr="00B65579">
        <w:rPr>
          <w:lang w:val="en-US"/>
        </w:rPr>
        <w:t xml:space="preserve"> </w:t>
      </w:r>
    </w:p>
    <w:p w14:paraId="656A5860" w14:textId="6638C1FB" w:rsidR="00A41F20" w:rsidRPr="00B65579" w:rsidRDefault="00A41F20" w:rsidP="008B241B">
      <w:pPr>
        <w:rPr>
          <w:lang w:val="en-US"/>
        </w:rPr>
      </w:pPr>
      <w:r w:rsidRPr="00A41F20">
        <w:rPr>
          <w:lang w:val="en-US"/>
        </w:rPr>
        <w:t xml:space="preserve">Holmberg, J., Svanström, M., Peet, D.-J., Mulder, K., Ferrer-Balas, D., </w:t>
      </w:r>
      <w:r w:rsidR="00F97BED">
        <w:rPr>
          <w:lang w:val="en-US"/>
        </w:rPr>
        <w:t>and</w:t>
      </w:r>
      <w:r w:rsidRPr="00A41F20">
        <w:rPr>
          <w:lang w:val="en-US"/>
        </w:rPr>
        <w:t xml:space="preserve"> Segalàs, J. (2008). Embedding sustainability in higher education through interaction with lecturers: Case studies from three European technical universities. European Journal of Engineering Education, 33(3), 271–282.</w:t>
      </w:r>
    </w:p>
    <w:p w14:paraId="2BAF204F" w14:textId="138D78FD" w:rsidR="00AF1659" w:rsidRDefault="00AF1659" w:rsidP="008B241B">
      <w:pPr>
        <w:rPr>
          <w:lang w:val="en-US"/>
        </w:rPr>
      </w:pPr>
      <w:r w:rsidRPr="00AF1659">
        <w:rPr>
          <w:lang w:val="en-US"/>
        </w:rPr>
        <w:t>Jeurissen, R. (1997). Integrating Micro, Meso and Macro Levels in Business Ethics. Ethical Perspectives / Catholic University of Leuven ; European Centre for Christian Ethics, 4(4), 246–254.</w:t>
      </w:r>
    </w:p>
    <w:p w14:paraId="16EDB621" w14:textId="53DDF684" w:rsidR="00851B09" w:rsidRDefault="007703D2" w:rsidP="008B241B">
      <w:pPr>
        <w:rPr>
          <w:lang w:val="en-US"/>
        </w:rPr>
      </w:pPr>
      <w:r w:rsidRPr="00B65579">
        <w:rPr>
          <w:lang w:val="en-US"/>
        </w:rPr>
        <w:t>Jonas, A.E.G. (2006)</w:t>
      </w:r>
      <w:r w:rsidR="002E3D6A" w:rsidRPr="00B65579">
        <w:rPr>
          <w:lang w:val="en-US"/>
        </w:rPr>
        <w:t>.</w:t>
      </w:r>
      <w:r w:rsidRPr="00B65579">
        <w:rPr>
          <w:lang w:val="en-US"/>
        </w:rPr>
        <w:t xml:space="preserve"> </w:t>
      </w:r>
      <w:r w:rsidR="003E7657" w:rsidRPr="00B65579">
        <w:rPr>
          <w:lang w:val="en-US"/>
        </w:rPr>
        <w:t>‘</w:t>
      </w:r>
      <w:r w:rsidRPr="00B65579">
        <w:rPr>
          <w:lang w:val="en-US"/>
        </w:rPr>
        <w:t>Pro scale: further reflections on the ‘scale debate’ in human geography</w:t>
      </w:r>
      <w:r w:rsidR="003E7657" w:rsidRPr="00B65579">
        <w:rPr>
          <w:lang w:val="en-US"/>
        </w:rPr>
        <w:t>’,</w:t>
      </w:r>
      <w:r w:rsidR="00B53629">
        <w:rPr>
          <w:lang w:val="en-US"/>
        </w:rPr>
        <w:t xml:space="preserve"> </w:t>
      </w:r>
      <w:r w:rsidRPr="00B65579">
        <w:rPr>
          <w:lang w:val="en-US"/>
        </w:rPr>
        <w:t>Transactions of the Institute of British Geographers,</w:t>
      </w:r>
      <w:r w:rsidR="003E7657" w:rsidRPr="00B65579">
        <w:rPr>
          <w:lang w:val="en-US"/>
        </w:rPr>
        <w:t xml:space="preserve"> 31, pp.</w:t>
      </w:r>
      <w:r w:rsidRPr="00B65579">
        <w:rPr>
          <w:lang w:val="en-US"/>
        </w:rPr>
        <w:t xml:space="preserve"> 399-406</w:t>
      </w:r>
      <w:r w:rsidR="003E7657" w:rsidRPr="00B65579">
        <w:rPr>
          <w:lang w:val="en-US"/>
        </w:rPr>
        <w:t>.</w:t>
      </w:r>
    </w:p>
    <w:p w14:paraId="5DBF7CFA" w14:textId="77777777" w:rsidR="00A47E14" w:rsidRPr="00A47E14" w:rsidRDefault="00A47E14" w:rsidP="00A47E14">
      <w:pPr>
        <w:rPr>
          <w:bCs/>
        </w:rPr>
      </w:pPr>
      <w:r w:rsidRPr="00A47E14">
        <w:t>Lightfoot, L. (2016). ’</w:t>
      </w:r>
      <w:r w:rsidRPr="00A47E14">
        <w:rPr>
          <w:bCs/>
        </w:rPr>
        <w:t xml:space="preserve">Universities struggle to meet green goals’ The Guardian 22/11/2016 </w:t>
      </w:r>
      <w:hyperlink r:id="rId18" w:history="1">
        <w:r w:rsidRPr="00A47E14">
          <w:rPr>
            <w:rStyle w:val="Hyperlink"/>
            <w:bCs/>
          </w:rPr>
          <w:t>https://www.theguardian.com/education/2016/nov/22/universities-green-goals-environmental-targets-people-planet-league. Accessed 16/12/16</w:t>
        </w:r>
      </w:hyperlink>
    </w:p>
    <w:p w14:paraId="1D3D8FB9" w14:textId="77777777" w:rsidR="00A47E14" w:rsidRDefault="00A47E14" w:rsidP="008B241B">
      <w:pPr>
        <w:rPr>
          <w:lang w:val="en-US"/>
        </w:rPr>
      </w:pPr>
    </w:p>
    <w:p w14:paraId="6AE6E50B" w14:textId="76D79B86" w:rsidR="00A47E14" w:rsidRPr="00A47E14" w:rsidRDefault="00A47E14" w:rsidP="00A47E14">
      <w:r w:rsidRPr="00A47E14">
        <w:t>Lingl, P</w:t>
      </w:r>
      <w:r>
        <w:t xml:space="preserve">., </w:t>
      </w:r>
      <w:r w:rsidRPr="00A47E14">
        <w:t>Carlson,</w:t>
      </w:r>
      <w:r>
        <w:t xml:space="preserve"> D.</w:t>
      </w:r>
      <w:r w:rsidRPr="00A47E14">
        <w:t xml:space="preserve"> and the David Suzuki Foundation (2010)</w:t>
      </w:r>
      <w:r>
        <w:t>.</w:t>
      </w:r>
      <w:r w:rsidRPr="00A47E14">
        <w:t xml:space="preserve"> </w:t>
      </w:r>
      <w:r w:rsidRPr="00A47E14">
        <w:rPr>
          <w:i/>
        </w:rPr>
        <w:t>Doing Business in a new climate</w:t>
      </w:r>
      <w:r>
        <w:t xml:space="preserve">. </w:t>
      </w:r>
      <w:r w:rsidRPr="00A47E14">
        <w:t xml:space="preserve">Abingdon: Earthscan. </w:t>
      </w:r>
    </w:p>
    <w:p w14:paraId="2693C40B" w14:textId="77777777" w:rsidR="00A47E14" w:rsidRDefault="00A47E14" w:rsidP="008B241B">
      <w:pPr>
        <w:rPr>
          <w:lang w:val="en-US"/>
        </w:rPr>
      </w:pPr>
    </w:p>
    <w:p w14:paraId="3CA59E28" w14:textId="174D6EC1" w:rsidR="009D0AF0" w:rsidRDefault="009D0AF0" w:rsidP="008B241B">
      <w:pPr>
        <w:rPr>
          <w:lang w:val="en-US"/>
        </w:rPr>
      </w:pPr>
      <w:r w:rsidRPr="00B65579">
        <w:rPr>
          <w:lang w:val="en-US"/>
        </w:rPr>
        <w:t xml:space="preserve">Marston, S.A., </w:t>
      </w:r>
      <w:r w:rsidR="000354E1" w:rsidRPr="00B65579">
        <w:rPr>
          <w:lang w:val="en-US"/>
        </w:rPr>
        <w:t>J.P. Jones III</w:t>
      </w:r>
      <w:r w:rsidRPr="00B65579">
        <w:rPr>
          <w:lang w:val="en-US"/>
        </w:rPr>
        <w:t xml:space="preserve">, and </w:t>
      </w:r>
      <w:r w:rsidR="000354E1" w:rsidRPr="00B65579">
        <w:rPr>
          <w:lang w:val="en-US"/>
        </w:rPr>
        <w:t>K. Woodward</w:t>
      </w:r>
      <w:r w:rsidRPr="00B65579">
        <w:rPr>
          <w:lang w:val="en-US"/>
        </w:rPr>
        <w:t xml:space="preserve"> (2005)</w:t>
      </w:r>
      <w:r w:rsidR="002E3D6A" w:rsidRPr="00B65579">
        <w:rPr>
          <w:lang w:val="en-US"/>
        </w:rPr>
        <w:t>.</w:t>
      </w:r>
      <w:r w:rsidRPr="00B65579">
        <w:rPr>
          <w:lang w:val="en-US"/>
        </w:rPr>
        <w:t xml:space="preserve"> </w:t>
      </w:r>
      <w:r w:rsidR="000354E1" w:rsidRPr="00B65579">
        <w:rPr>
          <w:lang w:val="en-US"/>
        </w:rPr>
        <w:t>‘</w:t>
      </w:r>
      <w:r w:rsidRPr="00B65579">
        <w:rPr>
          <w:lang w:val="en-US"/>
        </w:rPr>
        <w:t>Human geography without scale</w:t>
      </w:r>
      <w:r w:rsidR="000354E1" w:rsidRPr="00B65579">
        <w:rPr>
          <w:lang w:val="en-US"/>
        </w:rPr>
        <w:t xml:space="preserve">’, </w:t>
      </w:r>
      <w:r w:rsidRPr="00B65579">
        <w:rPr>
          <w:lang w:val="en-US"/>
        </w:rPr>
        <w:t>Transactions of the Insti</w:t>
      </w:r>
      <w:r w:rsidR="000354E1" w:rsidRPr="00B65579">
        <w:rPr>
          <w:lang w:val="en-US"/>
        </w:rPr>
        <w:t>tute of British Geographers, 30, pp.</w:t>
      </w:r>
      <w:r w:rsidRPr="00B65579">
        <w:rPr>
          <w:lang w:val="en-US"/>
        </w:rPr>
        <w:t xml:space="preserve"> 416-432</w:t>
      </w:r>
      <w:r w:rsidR="000354E1" w:rsidRPr="00B65579">
        <w:rPr>
          <w:lang w:val="en-US"/>
        </w:rPr>
        <w:t>.</w:t>
      </w:r>
    </w:p>
    <w:p w14:paraId="109E92F8" w14:textId="27607F12" w:rsidR="001441EA" w:rsidRDefault="001441EA" w:rsidP="008B241B">
      <w:pPr>
        <w:rPr>
          <w:lang w:val="en-US"/>
        </w:rPr>
      </w:pPr>
      <w:r w:rsidRPr="001441EA">
        <w:rPr>
          <w:lang w:val="en-US"/>
        </w:rPr>
        <w:t xml:space="preserve">Martin, S., Dillon, J., Higgins, P., Peters, C., </w:t>
      </w:r>
      <w:r w:rsidR="00F97BED">
        <w:rPr>
          <w:lang w:val="en-US"/>
        </w:rPr>
        <w:t>and</w:t>
      </w:r>
      <w:r w:rsidRPr="001441EA">
        <w:rPr>
          <w:lang w:val="en-US"/>
        </w:rPr>
        <w:t xml:space="preserve"> Scott, W. (2013). Divergent Evolution in Education for Sustainable Development Policy in the United Kingdom: Current Status, Best Practice, and Opportunities for the Future. Sustainability: Science Practice and Policy, 5(4), 1522–1544.</w:t>
      </w:r>
    </w:p>
    <w:p w14:paraId="7F48B7FB" w14:textId="25300F05" w:rsidR="00A82F16" w:rsidRPr="00B65579" w:rsidRDefault="00A82F16" w:rsidP="008B241B">
      <w:pPr>
        <w:rPr>
          <w:lang w:val="en-US"/>
        </w:rPr>
      </w:pPr>
      <w:r w:rsidRPr="00A82F16">
        <w:rPr>
          <w:lang w:val="en-US"/>
        </w:rPr>
        <w:t xml:space="preserve">Mcmillin, J., </w:t>
      </w:r>
      <w:r w:rsidR="00F97BED">
        <w:rPr>
          <w:lang w:val="en-US"/>
        </w:rPr>
        <w:t>and</w:t>
      </w:r>
      <w:r w:rsidRPr="00A82F16">
        <w:rPr>
          <w:lang w:val="en-US"/>
        </w:rPr>
        <w:t xml:space="preserve"> Dyball, R. (2009). Developing a Whole-of-University Approach to Educating for Sustainability: Linking Curriculum, Research and Sustainable Campus Operations. Journal of Education for Sustainable Development, 3(1), 55–64.</w:t>
      </w:r>
    </w:p>
    <w:p w14:paraId="59A61160" w14:textId="0FA1E27E" w:rsidR="00D55D01" w:rsidRDefault="00D55D01" w:rsidP="00D55D01">
      <w:pPr>
        <w:rPr>
          <w:rFonts w:cs="Arial"/>
          <w:color w:val="222222"/>
          <w:shd w:val="clear" w:color="auto" w:fill="FFFFFF"/>
        </w:rPr>
      </w:pPr>
      <w:r w:rsidRPr="00B65579">
        <w:rPr>
          <w:rFonts w:cs="Arial"/>
          <w:color w:val="222222"/>
          <w:shd w:val="clear" w:color="auto" w:fill="FFFFFF"/>
        </w:rPr>
        <w:t>NUS (undated) Campuses, curriculums, and communities.</w:t>
      </w:r>
      <w:r w:rsidR="00B53629">
        <w:rPr>
          <w:rFonts w:cs="Arial"/>
          <w:color w:val="222222"/>
          <w:shd w:val="clear" w:color="auto" w:fill="FFFFFF"/>
        </w:rPr>
        <w:t xml:space="preserve"> </w:t>
      </w:r>
      <w:hyperlink r:id="rId19" w:history="1">
        <w:r w:rsidRPr="00B65579">
          <w:rPr>
            <w:rStyle w:val="Hyperlink"/>
            <w:rFonts w:cs="Arial"/>
            <w:shd w:val="clear" w:color="auto" w:fill="FFFFFF"/>
          </w:rPr>
          <w:t>http://sustainability.nus.org.uk/</w:t>
        </w:r>
      </w:hyperlink>
      <w:r w:rsidRPr="00B65579">
        <w:rPr>
          <w:rFonts w:cs="Arial"/>
          <w:color w:val="222222"/>
          <w:shd w:val="clear" w:color="auto" w:fill="FFFFFF"/>
        </w:rPr>
        <w:t>.</w:t>
      </w:r>
      <w:r w:rsidR="00B53629">
        <w:rPr>
          <w:rFonts w:cs="Arial"/>
          <w:color w:val="222222"/>
          <w:shd w:val="clear" w:color="auto" w:fill="FFFFFF"/>
        </w:rPr>
        <w:t xml:space="preserve"> </w:t>
      </w:r>
      <w:r w:rsidRPr="00B65579">
        <w:rPr>
          <w:rFonts w:cs="Arial"/>
          <w:color w:val="222222"/>
          <w:shd w:val="clear" w:color="auto" w:fill="FFFFFF"/>
        </w:rPr>
        <w:t>Accessed on 26</w:t>
      </w:r>
      <w:r w:rsidRPr="00B65579">
        <w:rPr>
          <w:rFonts w:cs="Arial"/>
          <w:color w:val="222222"/>
          <w:shd w:val="clear" w:color="auto" w:fill="FFFFFF"/>
          <w:vertAlign w:val="superscript"/>
        </w:rPr>
        <w:t>th</w:t>
      </w:r>
      <w:r w:rsidRPr="00B65579">
        <w:rPr>
          <w:rFonts w:cs="Arial"/>
          <w:color w:val="222222"/>
          <w:shd w:val="clear" w:color="auto" w:fill="FFFFFF"/>
        </w:rPr>
        <w:t xml:space="preserve"> December 2016</w:t>
      </w:r>
    </w:p>
    <w:p w14:paraId="6EB1541C" w14:textId="0BF2CF53" w:rsidR="0039154D" w:rsidRPr="00B65579" w:rsidRDefault="006630E3" w:rsidP="00D55D01">
      <w:pPr>
        <w:rPr>
          <w:rFonts w:cs="Arial"/>
          <w:color w:val="222222"/>
          <w:shd w:val="clear" w:color="auto" w:fill="FFFFFF"/>
        </w:rPr>
      </w:pPr>
      <w:r>
        <w:rPr>
          <w:rFonts w:cs="Arial"/>
          <w:color w:val="222222"/>
          <w:shd w:val="clear" w:color="auto" w:fill="FFFFFF"/>
        </w:rPr>
        <w:lastRenderedPageBreak/>
        <w:t>Parkes, C.</w:t>
      </w:r>
      <w:r w:rsidR="00D90BE4" w:rsidRPr="00D90BE4">
        <w:rPr>
          <w:rFonts w:cs="Arial"/>
          <w:color w:val="222222"/>
          <w:shd w:val="clear" w:color="auto" w:fill="FFFFFF"/>
        </w:rPr>
        <w:t xml:space="preserve"> (2017). The Principles for Responsible Management Education (PRME): The first decade--What has been achieved? The next decade--Responsible Management Education’s challenge for the Sustainable Development Goals (</w:t>
      </w:r>
      <w:r w:rsidR="00F10A6F">
        <w:rPr>
          <w:rFonts w:cs="Arial"/>
          <w:color w:val="222222"/>
          <w:shd w:val="clear" w:color="auto" w:fill="FFFFFF"/>
        </w:rPr>
        <w:t>SDGs)</w:t>
      </w:r>
      <w:r w:rsidR="00D90BE4" w:rsidRPr="00D90BE4">
        <w:rPr>
          <w:rFonts w:cs="Arial"/>
          <w:color w:val="222222"/>
          <w:shd w:val="clear" w:color="auto" w:fill="FFFFFF"/>
        </w:rPr>
        <w:t xml:space="preserve"> The International Journal of Management Education, 15(2), 61–65.</w:t>
      </w:r>
    </w:p>
    <w:p w14:paraId="37DFB199" w14:textId="4485A96F" w:rsidR="004B41D1" w:rsidRDefault="004B41D1" w:rsidP="009F7D69">
      <w:pPr>
        <w:rPr>
          <w:rFonts w:cs="Arial"/>
        </w:rPr>
      </w:pPr>
      <w:r w:rsidRPr="00B65579">
        <w:rPr>
          <w:bCs/>
        </w:rPr>
        <w:t>QAA (2014)</w:t>
      </w:r>
      <w:r w:rsidR="002E3D6A" w:rsidRPr="00B65579">
        <w:rPr>
          <w:bCs/>
        </w:rPr>
        <w:t>.</w:t>
      </w:r>
      <w:r w:rsidRPr="00B65579">
        <w:rPr>
          <w:bCs/>
        </w:rPr>
        <w:t xml:space="preserve"> Education for Sustainable Development.</w:t>
      </w:r>
      <w:r w:rsidR="00B53629">
        <w:rPr>
          <w:bCs/>
        </w:rPr>
        <w:t xml:space="preserve"> </w:t>
      </w:r>
      <w:r w:rsidRPr="00B65579">
        <w:rPr>
          <w:bCs/>
        </w:rPr>
        <w:t>Guidance for UK higher education practitioners.</w:t>
      </w:r>
      <w:r w:rsidR="00B53629">
        <w:rPr>
          <w:bCs/>
        </w:rPr>
        <w:t xml:space="preserve"> </w:t>
      </w:r>
      <w:r w:rsidRPr="00B65579">
        <w:rPr>
          <w:rFonts w:cs="Arial"/>
        </w:rPr>
        <w:t>The Quality Assurance Agency for Higher Education</w:t>
      </w:r>
      <w:r w:rsidR="00821B58" w:rsidRPr="00B65579">
        <w:rPr>
          <w:rFonts w:cs="Arial"/>
        </w:rPr>
        <w:t>.</w:t>
      </w:r>
    </w:p>
    <w:p w14:paraId="5AA1B537" w14:textId="4FAA3C96" w:rsidR="00601470" w:rsidRPr="00B65579" w:rsidRDefault="00601470" w:rsidP="009F7D69">
      <w:pPr>
        <w:rPr>
          <w:rFonts w:cs="Arial"/>
        </w:rPr>
      </w:pPr>
      <w:r w:rsidRPr="00601470">
        <w:rPr>
          <w:rFonts w:cs="Arial"/>
        </w:rPr>
        <w:t xml:space="preserve">Rive, J., Bonnet, M., Parmentier, C., Pelazzo-Plat, V., </w:t>
      </w:r>
      <w:r w:rsidR="00F97BED">
        <w:rPr>
          <w:rFonts w:cs="Arial"/>
        </w:rPr>
        <w:t>and</w:t>
      </w:r>
      <w:r w:rsidRPr="00601470">
        <w:rPr>
          <w:rFonts w:cs="Arial"/>
        </w:rPr>
        <w:t xml:space="preserve"> Pignet-Fall, L. (2017). A contribution to the laying of foundations for dialogue between socially responsible management schools. The International Journal of Management Education, 15(2, Part B), 238–248.</w:t>
      </w:r>
    </w:p>
    <w:p w14:paraId="0CA424A4" w14:textId="56C1F0BF" w:rsidR="000C7E96" w:rsidRDefault="000C7E96" w:rsidP="009F7D69">
      <w:pPr>
        <w:rPr>
          <w:rFonts w:cs="Arial"/>
        </w:rPr>
      </w:pPr>
      <w:r w:rsidRPr="00B65579">
        <w:rPr>
          <w:rFonts w:cs="Arial"/>
        </w:rPr>
        <w:t>Shephard, K. and P. Dulgar (2015).</w:t>
      </w:r>
      <w:r w:rsidR="00B53629">
        <w:rPr>
          <w:rFonts w:cs="Arial"/>
        </w:rPr>
        <w:t xml:space="preserve"> </w:t>
      </w:r>
      <w:r w:rsidRPr="00B65579">
        <w:rPr>
          <w:rFonts w:cs="Arial"/>
        </w:rPr>
        <w:t>‘Why it matters how we frame “education” in Education for Sustainable Development’, Applied Environmental Education and Communication, 14, pp. 137-148.</w:t>
      </w:r>
    </w:p>
    <w:p w14:paraId="60C2B845" w14:textId="2F424819" w:rsidR="00437E9D" w:rsidRPr="00B65579" w:rsidRDefault="00437E9D" w:rsidP="009F7D69">
      <w:pPr>
        <w:rPr>
          <w:rFonts w:cs="Arial"/>
        </w:rPr>
      </w:pPr>
      <w:r w:rsidRPr="00437E9D">
        <w:rPr>
          <w:rFonts w:cs="Arial"/>
        </w:rPr>
        <w:t>Stack, M. L. (2013). The Times Higher Education ranking product: visualising excellence through media. Globalisation, Societies and Education, 11(4), 560–582.</w:t>
      </w:r>
    </w:p>
    <w:p w14:paraId="255AB8C8" w14:textId="63D7481B" w:rsidR="00821B58" w:rsidRDefault="00821B58" w:rsidP="009F7D69">
      <w:pPr>
        <w:rPr>
          <w:rFonts w:cs="Arial"/>
        </w:rPr>
      </w:pPr>
      <w:r w:rsidRPr="00B65579">
        <w:rPr>
          <w:rFonts w:cs="Arial"/>
        </w:rPr>
        <w:t>Sterling, S. and H. Witham (2008) ‘Pushing the boundaries: the work of the Higher Education Academy’s ESD Project’, Environmental Education Research, 14, pp. 399-412.</w:t>
      </w:r>
    </w:p>
    <w:p w14:paraId="54F61763" w14:textId="693DBF07" w:rsidR="004848F7" w:rsidRDefault="004848F7" w:rsidP="009F7D69">
      <w:pPr>
        <w:rPr>
          <w:rFonts w:cs="Arial"/>
        </w:rPr>
      </w:pPr>
      <w:r w:rsidRPr="004848F7">
        <w:rPr>
          <w:rFonts w:cs="Arial"/>
        </w:rPr>
        <w:t xml:space="preserve">Storey, M., Killian, S., </w:t>
      </w:r>
      <w:r w:rsidR="00F97BED">
        <w:rPr>
          <w:rFonts w:cs="Arial"/>
        </w:rPr>
        <w:t>and</w:t>
      </w:r>
      <w:r w:rsidRPr="004848F7">
        <w:rPr>
          <w:rFonts w:cs="Arial"/>
        </w:rPr>
        <w:t xml:space="preserve"> O’Regan, P. (2017). Responsible management education: Mapping the field in the context of the </w:t>
      </w:r>
      <w:r w:rsidR="00F10A6F">
        <w:rPr>
          <w:rFonts w:cs="Arial"/>
        </w:rPr>
        <w:t>Sustainable Development Goals</w:t>
      </w:r>
      <w:r w:rsidRPr="004848F7">
        <w:rPr>
          <w:rFonts w:cs="Arial"/>
        </w:rPr>
        <w:t>. The International Journal of Management Education, 15(2, Part B), 93–103.</w:t>
      </w:r>
    </w:p>
    <w:p w14:paraId="4018ED27" w14:textId="5E33930C" w:rsidR="009410C6" w:rsidRDefault="009410C6" w:rsidP="009F7D69">
      <w:pPr>
        <w:rPr>
          <w:rFonts w:cs="Arial"/>
        </w:rPr>
      </w:pPr>
      <w:r w:rsidRPr="009410C6">
        <w:rPr>
          <w:rFonts w:cs="Arial"/>
        </w:rPr>
        <w:t xml:space="preserve">Stubbs, W., </w:t>
      </w:r>
      <w:r w:rsidR="00F97BED">
        <w:rPr>
          <w:rFonts w:cs="Arial"/>
        </w:rPr>
        <w:t>and</w:t>
      </w:r>
      <w:r w:rsidRPr="009410C6">
        <w:rPr>
          <w:rFonts w:cs="Arial"/>
        </w:rPr>
        <w:t xml:space="preserve"> Cocklin, C. (2008). Teaching sustainability to business students: shifting mindsets. International Journal of Sustainability in Higher Education, 9(3), 206–221.</w:t>
      </w:r>
    </w:p>
    <w:p w14:paraId="062D8712" w14:textId="555710F4" w:rsidR="00061398" w:rsidRPr="00B65579" w:rsidRDefault="00061398" w:rsidP="009F7D69">
      <w:pPr>
        <w:rPr>
          <w:rFonts w:cs="Arial"/>
        </w:rPr>
      </w:pPr>
      <w:r>
        <w:rPr>
          <w:rFonts w:cs="Arial"/>
        </w:rPr>
        <w:t xml:space="preserve">THE (2019). </w:t>
      </w:r>
      <w:r w:rsidRPr="00061398">
        <w:rPr>
          <w:rFonts w:cs="Arial"/>
        </w:rPr>
        <w:t>How we are evaluating impact in our new SDG-based ranking. (2019, February 19). Retrieved June 24, 2019, from Times Higher Education (THE) website: https://www.timeshighereducation.com/world-university-rankings/how-we-are-evaluating-impact-our-new-sdg-based-ranking</w:t>
      </w:r>
    </w:p>
    <w:p w14:paraId="3D5A3236" w14:textId="3B9EF1FE" w:rsidR="00B03442" w:rsidRPr="00B65579" w:rsidRDefault="00B03442" w:rsidP="009F7D69">
      <w:r w:rsidRPr="00B65579">
        <w:t xml:space="preserve">Thomas, K. (2015) ‘Business partnership category: winner and runners up’, </w:t>
      </w:r>
      <w:r w:rsidRPr="00B65579">
        <w:rPr>
          <w:i/>
        </w:rPr>
        <w:t xml:space="preserve">Guardian online, </w:t>
      </w:r>
      <w:r w:rsidRPr="00B65579">
        <w:t>19 March 2015 (</w:t>
      </w:r>
      <w:hyperlink r:id="rId20" w:history="1">
        <w:r w:rsidRPr="00B65579">
          <w:rPr>
            <w:rStyle w:val="Hyperlink"/>
          </w:rPr>
          <w:t>https://www.theguardian.com/higher-education-network/2015/mar/19/business-partnership-category-winner-and-runners-up</w:t>
        </w:r>
      </w:hyperlink>
      <w:r w:rsidRPr="00B65579">
        <w:t>, accessed 28 August 2016).</w:t>
      </w:r>
    </w:p>
    <w:p w14:paraId="1B4C63CB" w14:textId="00D6621D" w:rsidR="000133E3" w:rsidRDefault="000133E3" w:rsidP="000133E3">
      <w:pPr>
        <w:rPr>
          <w:rFonts w:cs="Arial"/>
          <w:color w:val="222222"/>
          <w:shd w:val="clear" w:color="auto" w:fill="FFFFFF"/>
        </w:rPr>
      </w:pPr>
      <w:r w:rsidRPr="00B65579">
        <w:rPr>
          <w:rFonts w:cs="Arial"/>
          <w:color w:val="222222"/>
          <w:shd w:val="clear" w:color="auto" w:fill="FFFFFF"/>
        </w:rPr>
        <w:t xml:space="preserve">UN (1992) </w:t>
      </w:r>
      <w:r w:rsidRPr="00B65579">
        <w:t xml:space="preserve">United Nations Conference on Environment </w:t>
      </w:r>
      <w:r w:rsidR="00F97BED">
        <w:t>and</w:t>
      </w:r>
      <w:r w:rsidRPr="00B65579">
        <w:t xml:space="preserve"> Development Rio de Janerio, Brazil, 3 to 14 June 1992 Agenda 21.</w:t>
      </w:r>
      <w:r w:rsidR="00B53629">
        <w:t xml:space="preserve"> </w:t>
      </w:r>
      <w:r w:rsidRPr="00B65579">
        <w:rPr>
          <w:rFonts w:cs="Arial"/>
          <w:color w:val="222222"/>
          <w:shd w:val="clear" w:color="auto" w:fill="FFFFFF"/>
        </w:rPr>
        <w:t xml:space="preserve">Available at: </w:t>
      </w:r>
      <w:hyperlink r:id="rId21" w:history="1">
        <w:r w:rsidRPr="00B65579">
          <w:rPr>
            <w:rStyle w:val="Hyperlink"/>
            <w:rFonts w:cs="Arial"/>
            <w:shd w:val="clear" w:color="auto" w:fill="FFFFFF"/>
          </w:rPr>
          <w:t>https://sustainabledevelopment.un.org/content/documents/Agenda21.pdf</w:t>
        </w:r>
      </w:hyperlink>
      <w:r w:rsidRPr="00B65579">
        <w:rPr>
          <w:rFonts w:cs="Arial"/>
          <w:color w:val="222222"/>
          <w:shd w:val="clear" w:color="auto" w:fill="FFFFFF"/>
        </w:rPr>
        <w:t xml:space="preserve"> </w:t>
      </w:r>
    </w:p>
    <w:p w14:paraId="28F975D7" w14:textId="0BB5274F" w:rsidR="002658A0" w:rsidRPr="00B65579" w:rsidRDefault="002658A0" w:rsidP="000133E3">
      <w:pPr>
        <w:rPr>
          <w:rFonts w:cs="Arial"/>
          <w:color w:val="222222"/>
          <w:shd w:val="clear" w:color="auto" w:fill="FFFFFF"/>
        </w:rPr>
      </w:pPr>
      <w:r>
        <w:rPr>
          <w:rFonts w:cs="Arial"/>
          <w:color w:val="222222"/>
          <w:shd w:val="clear" w:color="auto" w:fill="FFFFFF"/>
        </w:rPr>
        <w:t xml:space="preserve">UNDP (2019) Sustainable Development Goals. Available at: </w:t>
      </w:r>
      <w:hyperlink r:id="rId22" w:history="1">
        <w:r w:rsidRPr="00B61B62">
          <w:rPr>
            <w:rStyle w:val="Hyperlink"/>
            <w:rFonts w:cs="Arial"/>
            <w:shd w:val="clear" w:color="auto" w:fill="FFFFFF"/>
          </w:rPr>
          <w:t>http://www.undp.org/content/undp/en/home/sustainable-development-goals.html</w:t>
        </w:r>
      </w:hyperlink>
      <w:r>
        <w:rPr>
          <w:rFonts w:cs="Arial"/>
          <w:color w:val="222222"/>
          <w:shd w:val="clear" w:color="auto" w:fill="FFFFFF"/>
        </w:rPr>
        <w:t xml:space="preserve">. Accessed </w:t>
      </w:r>
      <w:r w:rsidR="00934F10">
        <w:rPr>
          <w:rFonts w:cs="Arial"/>
          <w:color w:val="222222"/>
          <w:shd w:val="clear" w:color="auto" w:fill="FFFFFF"/>
        </w:rPr>
        <w:t>10</w:t>
      </w:r>
      <w:r w:rsidR="00934F10" w:rsidRPr="00B61B62">
        <w:rPr>
          <w:rFonts w:cs="Arial"/>
          <w:color w:val="222222"/>
          <w:shd w:val="clear" w:color="auto" w:fill="FFFFFF"/>
          <w:vertAlign w:val="superscript"/>
        </w:rPr>
        <w:t>th</w:t>
      </w:r>
      <w:r w:rsidR="00934F10">
        <w:rPr>
          <w:rFonts w:cs="Arial"/>
          <w:color w:val="222222"/>
          <w:shd w:val="clear" w:color="auto" w:fill="FFFFFF"/>
        </w:rPr>
        <w:t xml:space="preserve"> February 2019. </w:t>
      </w:r>
    </w:p>
    <w:p w14:paraId="44F21DC8" w14:textId="032404BE" w:rsidR="008B1048" w:rsidRPr="00B65579" w:rsidRDefault="008B1048" w:rsidP="008B1048">
      <w:pPr>
        <w:rPr>
          <w:rFonts w:cs="Arial"/>
          <w:color w:val="222222"/>
          <w:shd w:val="clear" w:color="auto" w:fill="FFFFFF"/>
        </w:rPr>
      </w:pPr>
      <w:r w:rsidRPr="00B65579">
        <w:rPr>
          <w:rFonts w:cs="Arial"/>
          <w:color w:val="222222"/>
          <w:shd w:val="clear" w:color="auto" w:fill="FFFFFF"/>
        </w:rPr>
        <w:t>UNESCO (undated a). UN Decade of ESD.</w:t>
      </w:r>
      <w:r w:rsidR="00B53629">
        <w:rPr>
          <w:rFonts w:cs="Arial"/>
          <w:color w:val="222222"/>
          <w:shd w:val="clear" w:color="auto" w:fill="FFFFFF"/>
        </w:rPr>
        <w:t xml:space="preserve"> </w:t>
      </w:r>
      <w:hyperlink r:id="rId23" w:history="1">
        <w:r w:rsidRPr="00B65579">
          <w:rPr>
            <w:rStyle w:val="Hyperlink"/>
            <w:rFonts w:cs="Arial"/>
            <w:shd w:val="clear" w:color="auto" w:fill="FFFFFF"/>
          </w:rPr>
          <w:t>http://en.unesco.org/themes/education-sustainable-development/what-is-esd/un-decade-of-esd</w:t>
        </w:r>
      </w:hyperlink>
      <w:r w:rsidRPr="00B65579">
        <w:rPr>
          <w:rFonts w:cs="Arial"/>
          <w:color w:val="333333"/>
          <w:shd w:val="clear" w:color="auto" w:fill="FFFFFF"/>
        </w:rPr>
        <w:t>.</w:t>
      </w:r>
      <w:r w:rsidR="00B53629">
        <w:rPr>
          <w:rFonts w:cs="Arial"/>
          <w:color w:val="333333"/>
          <w:shd w:val="clear" w:color="auto" w:fill="FFFFFF"/>
        </w:rPr>
        <w:t xml:space="preserve"> </w:t>
      </w:r>
      <w:r w:rsidRPr="00B65579">
        <w:rPr>
          <w:rFonts w:cs="Arial"/>
          <w:color w:val="333333"/>
          <w:shd w:val="clear" w:color="auto" w:fill="FFFFFF"/>
        </w:rPr>
        <w:t>Accessed on: 26</w:t>
      </w:r>
      <w:r w:rsidRPr="00B65579">
        <w:rPr>
          <w:rFonts w:cs="Arial"/>
          <w:color w:val="333333"/>
          <w:shd w:val="clear" w:color="auto" w:fill="FFFFFF"/>
          <w:vertAlign w:val="superscript"/>
        </w:rPr>
        <w:t>th</w:t>
      </w:r>
      <w:r w:rsidRPr="00B65579">
        <w:rPr>
          <w:rFonts w:cs="Arial"/>
          <w:color w:val="333333"/>
          <w:shd w:val="clear" w:color="auto" w:fill="FFFFFF"/>
        </w:rPr>
        <w:t xml:space="preserve"> December 2016</w:t>
      </w:r>
    </w:p>
    <w:p w14:paraId="176D6071" w14:textId="17D6A8E5" w:rsidR="008B1048" w:rsidRPr="00B65579" w:rsidRDefault="008B1048" w:rsidP="008B1048">
      <w:pPr>
        <w:rPr>
          <w:rFonts w:cs="Arial"/>
          <w:color w:val="222222"/>
          <w:shd w:val="clear" w:color="auto" w:fill="FFFFFF"/>
        </w:rPr>
      </w:pPr>
      <w:r w:rsidRPr="00B65579">
        <w:rPr>
          <w:rFonts w:cs="Arial"/>
          <w:color w:val="333333"/>
          <w:shd w:val="clear" w:color="auto" w:fill="FFFFFF"/>
        </w:rPr>
        <w:t>UNESCO (undated b). Global Action Programme on ESD.</w:t>
      </w:r>
      <w:r w:rsidR="00B53629">
        <w:rPr>
          <w:rFonts w:cs="Arial"/>
          <w:color w:val="333333"/>
          <w:shd w:val="clear" w:color="auto" w:fill="FFFFFF"/>
        </w:rPr>
        <w:t xml:space="preserve"> </w:t>
      </w:r>
      <w:hyperlink r:id="rId24" w:history="1">
        <w:r w:rsidRPr="00B65579">
          <w:rPr>
            <w:rStyle w:val="Hyperlink"/>
            <w:rFonts w:cs="Arial"/>
            <w:shd w:val="clear" w:color="auto" w:fill="FFFFFF"/>
          </w:rPr>
          <w:t>http://en.unesco.org/gap</w:t>
        </w:r>
      </w:hyperlink>
      <w:r w:rsidRPr="00B65579">
        <w:rPr>
          <w:rFonts w:cs="Arial"/>
          <w:color w:val="222222"/>
          <w:shd w:val="clear" w:color="auto" w:fill="FFFFFF"/>
        </w:rPr>
        <w:t xml:space="preserve">. </w:t>
      </w:r>
      <w:r w:rsidR="007B5535" w:rsidRPr="00B65579">
        <w:rPr>
          <w:rFonts w:cs="Arial"/>
          <w:color w:val="222222"/>
          <w:shd w:val="clear" w:color="auto" w:fill="FFFFFF"/>
        </w:rPr>
        <w:t>Accessed</w:t>
      </w:r>
      <w:r w:rsidRPr="00B65579">
        <w:rPr>
          <w:rFonts w:cs="Arial"/>
          <w:color w:val="222222"/>
          <w:shd w:val="clear" w:color="auto" w:fill="FFFFFF"/>
        </w:rPr>
        <w:t xml:space="preserve"> on: 26</w:t>
      </w:r>
      <w:r w:rsidRPr="00B65579">
        <w:rPr>
          <w:rFonts w:cs="Arial"/>
          <w:color w:val="222222"/>
          <w:shd w:val="clear" w:color="auto" w:fill="FFFFFF"/>
          <w:vertAlign w:val="superscript"/>
        </w:rPr>
        <w:t>th</w:t>
      </w:r>
      <w:r w:rsidRPr="00B65579">
        <w:rPr>
          <w:rFonts w:cs="Arial"/>
          <w:color w:val="222222"/>
          <w:shd w:val="clear" w:color="auto" w:fill="FFFFFF"/>
        </w:rPr>
        <w:t xml:space="preserve"> December 2016</w:t>
      </w:r>
    </w:p>
    <w:p w14:paraId="210E2340" w14:textId="211A11B1" w:rsidR="000133E3" w:rsidRDefault="000133E3" w:rsidP="000133E3">
      <w:pPr>
        <w:rPr>
          <w:rFonts w:cs="Arial"/>
          <w:color w:val="222222"/>
          <w:shd w:val="clear" w:color="auto" w:fill="FFFFFF"/>
        </w:rPr>
      </w:pPr>
      <w:r w:rsidRPr="00B65579">
        <w:rPr>
          <w:rFonts w:cs="Arial"/>
          <w:color w:val="222222"/>
          <w:shd w:val="clear" w:color="auto" w:fill="FFFFFF"/>
        </w:rPr>
        <w:t>UNEP (undated) Global Universities Partnership for Environment and Sustainability.</w:t>
      </w:r>
      <w:r w:rsidR="00B53629">
        <w:rPr>
          <w:rFonts w:cs="Arial"/>
          <w:color w:val="222222"/>
          <w:shd w:val="clear" w:color="auto" w:fill="FFFFFF"/>
        </w:rPr>
        <w:t xml:space="preserve"> </w:t>
      </w:r>
      <w:hyperlink r:id="rId25" w:history="1">
        <w:r w:rsidRPr="00B65579">
          <w:rPr>
            <w:rStyle w:val="Hyperlink"/>
            <w:rFonts w:cs="Arial"/>
            <w:shd w:val="clear" w:color="auto" w:fill="FFFFFF"/>
          </w:rPr>
          <w:t>http://www.unep.org/training/programmes/gupes.asp</w:t>
        </w:r>
      </w:hyperlink>
      <w:r w:rsidRPr="00B65579">
        <w:rPr>
          <w:rFonts w:cs="Arial"/>
          <w:color w:val="222222"/>
          <w:shd w:val="clear" w:color="auto" w:fill="FFFFFF"/>
        </w:rPr>
        <w:t xml:space="preserve"> Accessed: 26</w:t>
      </w:r>
      <w:r w:rsidRPr="00B65579">
        <w:rPr>
          <w:rFonts w:cs="Arial"/>
          <w:color w:val="222222"/>
          <w:shd w:val="clear" w:color="auto" w:fill="FFFFFF"/>
          <w:vertAlign w:val="superscript"/>
        </w:rPr>
        <w:t>th</w:t>
      </w:r>
      <w:r w:rsidRPr="00B65579">
        <w:rPr>
          <w:rFonts w:cs="Arial"/>
          <w:color w:val="222222"/>
          <w:shd w:val="clear" w:color="auto" w:fill="FFFFFF"/>
        </w:rPr>
        <w:t xml:space="preserve"> December 2016</w:t>
      </w:r>
    </w:p>
    <w:p w14:paraId="127D8D7D" w14:textId="77777777" w:rsidR="00831FE6" w:rsidRDefault="00B14CAC" w:rsidP="000133E3">
      <w:pPr>
        <w:rPr>
          <w:rFonts w:cs="Arial"/>
          <w:color w:val="222222"/>
          <w:shd w:val="clear" w:color="auto" w:fill="FFFFFF"/>
        </w:rPr>
      </w:pPr>
      <w:r>
        <w:rPr>
          <w:rFonts w:cs="Arial"/>
          <w:color w:val="222222"/>
          <w:shd w:val="clear" w:color="auto" w:fill="FFFFFF"/>
        </w:rPr>
        <w:lastRenderedPageBreak/>
        <w:t>UNPRME (2019</w:t>
      </w:r>
      <w:r w:rsidR="00831FE6">
        <w:rPr>
          <w:rFonts w:cs="Arial"/>
          <w:color w:val="222222"/>
          <w:shd w:val="clear" w:color="auto" w:fill="FFFFFF"/>
        </w:rPr>
        <w:t>a</w:t>
      </w:r>
      <w:r>
        <w:rPr>
          <w:rFonts w:cs="Arial"/>
          <w:color w:val="222222"/>
          <w:shd w:val="clear" w:color="auto" w:fill="FFFFFF"/>
        </w:rPr>
        <w:t xml:space="preserve">) </w:t>
      </w:r>
      <w:r w:rsidR="00B94050">
        <w:rPr>
          <w:rFonts w:cs="Arial"/>
          <w:color w:val="222222"/>
          <w:shd w:val="clear" w:color="auto" w:fill="FFFFFF"/>
        </w:rPr>
        <w:t xml:space="preserve">PRME Chapters. </w:t>
      </w:r>
      <w:hyperlink r:id="rId26" w:history="1">
        <w:r w:rsidR="00D42CC4" w:rsidRPr="00B61B62">
          <w:rPr>
            <w:rStyle w:val="Hyperlink"/>
            <w:rFonts w:cs="Arial"/>
            <w:shd w:val="clear" w:color="auto" w:fill="FFFFFF"/>
          </w:rPr>
          <w:t>http://www.unprme.org/how-to-engage/chapters.php</w:t>
        </w:r>
      </w:hyperlink>
      <w:r w:rsidR="00D42CC4">
        <w:rPr>
          <w:rFonts w:cs="Arial"/>
          <w:color w:val="222222"/>
          <w:shd w:val="clear" w:color="auto" w:fill="FFFFFF"/>
        </w:rPr>
        <w:t>. Acc</w:t>
      </w:r>
      <w:r w:rsidR="007B5535">
        <w:rPr>
          <w:rFonts w:cs="Arial"/>
          <w:color w:val="222222"/>
          <w:shd w:val="clear" w:color="auto" w:fill="FFFFFF"/>
        </w:rPr>
        <w:t>essed on: 10</w:t>
      </w:r>
      <w:r w:rsidR="007B5535" w:rsidRPr="00B61B62">
        <w:rPr>
          <w:rFonts w:cs="Arial"/>
          <w:color w:val="222222"/>
          <w:shd w:val="clear" w:color="auto" w:fill="FFFFFF"/>
          <w:vertAlign w:val="superscript"/>
        </w:rPr>
        <w:t>th</w:t>
      </w:r>
      <w:r w:rsidR="007B5535">
        <w:rPr>
          <w:rFonts w:cs="Arial"/>
          <w:color w:val="222222"/>
          <w:shd w:val="clear" w:color="auto" w:fill="FFFFFF"/>
        </w:rPr>
        <w:t xml:space="preserve"> February 2019.</w:t>
      </w:r>
    </w:p>
    <w:p w14:paraId="2524CEE0" w14:textId="3917ED1C" w:rsidR="00B14CAC" w:rsidRPr="00B65579" w:rsidRDefault="00831FE6" w:rsidP="000133E3">
      <w:pPr>
        <w:rPr>
          <w:rFonts w:cs="Arial"/>
          <w:color w:val="222222"/>
          <w:shd w:val="clear" w:color="auto" w:fill="FFFFFF"/>
        </w:rPr>
      </w:pPr>
      <w:r>
        <w:rPr>
          <w:rFonts w:cs="Arial"/>
          <w:color w:val="222222"/>
          <w:shd w:val="clear" w:color="auto" w:fill="FFFFFF"/>
          <w:lang w:val="en-US"/>
        </w:rPr>
        <w:t xml:space="preserve">UNPRME (2019b) PRME Champions. </w:t>
      </w:r>
      <w:hyperlink r:id="rId27" w:history="1">
        <w:r w:rsidR="007E3DDF" w:rsidRPr="00B61B62">
          <w:rPr>
            <w:rStyle w:val="Hyperlink"/>
            <w:rFonts w:cs="Arial"/>
            <w:shd w:val="clear" w:color="auto" w:fill="FFFFFF"/>
            <w:lang w:val="en-US"/>
          </w:rPr>
          <w:t>http://www.unprme.org/working-groups/champions.php</w:t>
        </w:r>
      </w:hyperlink>
      <w:r w:rsidR="007E3DDF">
        <w:rPr>
          <w:rFonts w:cs="Arial"/>
          <w:color w:val="222222"/>
          <w:shd w:val="clear" w:color="auto" w:fill="FFFFFF"/>
          <w:lang w:val="en-US"/>
        </w:rPr>
        <w:t>. Accessed on: 10</w:t>
      </w:r>
      <w:r w:rsidR="007E3DDF" w:rsidRPr="00B61B62">
        <w:rPr>
          <w:rFonts w:cs="Arial"/>
          <w:color w:val="222222"/>
          <w:shd w:val="clear" w:color="auto" w:fill="FFFFFF"/>
          <w:vertAlign w:val="superscript"/>
          <w:lang w:val="en-US"/>
        </w:rPr>
        <w:t>th</w:t>
      </w:r>
      <w:r w:rsidR="007E3DDF">
        <w:rPr>
          <w:rFonts w:cs="Arial"/>
          <w:color w:val="222222"/>
          <w:shd w:val="clear" w:color="auto" w:fill="FFFFFF"/>
          <w:lang w:val="en-US"/>
        </w:rPr>
        <w:t xml:space="preserve"> February 2019.</w:t>
      </w:r>
      <w:r w:rsidR="00B53629">
        <w:rPr>
          <w:rFonts w:cs="Arial"/>
          <w:color w:val="222222"/>
          <w:shd w:val="clear" w:color="auto" w:fill="FFFFFF"/>
          <w:lang w:val="en-US"/>
        </w:rPr>
        <w:t xml:space="preserve"> </w:t>
      </w:r>
    </w:p>
    <w:p w14:paraId="3C5E12D8" w14:textId="77777777" w:rsidR="000F5AFC" w:rsidRPr="00B65579" w:rsidRDefault="000F5AFC" w:rsidP="000F5AFC">
      <w:r w:rsidRPr="00B65579">
        <w:t>Verplanken, B., I. Walker, A. Davis and M. Jurasek (2008). ‘Context change and travel mode choice: Combining the habit discontinuity and self-activation hypotheses,’ Journal of Environmental Psychology, 28, pp.121-127.</w:t>
      </w:r>
    </w:p>
    <w:p w14:paraId="75BA5C5D" w14:textId="51A40AD3" w:rsidR="000F5AFC" w:rsidRDefault="000F5AFC" w:rsidP="000F5AFC">
      <w:r w:rsidRPr="00B65579">
        <w:t>WCED (1987). Our Common Future. Oxford: Oxford University Press.</w:t>
      </w:r>
    </w:p>
    <w:p w14:paraId="1D4033AB" w14:textId="4B3BBDE4" w:rsidR="00690C0C" w:rsidRDefault="00690C0C" w:rsidP="000F5AFC">
      <w:r w:rsidRPr="00690C0C">
        <w:t>Wilbanks, T. J. (2007). Scale and sustainability. Climate Policy, 7(4), 278–287.</w:t>
      </w:r>
      <w:r w:rsidR="006630E3">
        <w:t xml:space="preserve"> Taylor </w:t>
      </w:r>
      <w:r w:rsidR="00F97BED">
        <w:t>and</w:t>
      </w:r>
      <w:r w:rsidR="006630E3">
        <w:t xml:space="preserve"> Francis. </w:t>
      </w:r>
    </w:p>
    <w:p w14:paraId="3BAA4A64" w14:textId="2BBED7D3" w:rsidR="004F223A" w:rsidRPr="00B65579" w:rsidRDefault="004F223A" w:rsidP="000F5AFC">
      <w:r w:rsidRPr="004F223A">
        <w:t>W</w:t>
      </w:r>
      <w:r>
        <w:t>illats</w:t>
      </w:r>
      <w:r w:rsidRPr="004F223A">
        <w:t>, J., E</w:t>
      </w:r>
      <w:r>
        <w:t>rlandsson</w:t>
      </w:r>
      <w:r w:rsidRPr="004F223A">
        <w:t>, L., M</w:t>
      </w:r>
      <w:r>
        <w:t>olthan-Hill</w:t>
      </w:r>
      <w:r w:rsidRPr="004F223A">
        <w:t>, P., D</w:t>
      </w:r>
      <w:r>
        <w:t>harmasasmita</w:t>
      </w:r>
      <w:r w:rsidRPr="004F223A">
        <w:t>, A. and S</w:t>
      </w:r>
      <w:r>
        <w:t>immons</w:t>
      </w:r>
      <w:r w:rsidRPr="004F223A">
        <w:t xml:space="preserve">, E., 2018. </w:t>
      </w:r>
      <w:hyperlink r:id="rId28" w:history="1">
        <w:r w:rsidRPr="004F223A">
          <w:rPr>
            <w:rStyle w:val="Hyperlink"/>
            <w:color w:val="auto"/>
            <w:u w:val="none"/>
          </w:rPr>
          <w:t>A university wide approach to integrating the sustainable development goals in the curriculum – a case study from the Nottingham Trent University Green Academy.</w:t>
        </w:r>
      </w:hyperlink>
      <w:r w:rsidRPr="004F223A">
        <w:t xml:space="preserve"> In: W. L</w:t>
      </w:r>
      <w:r>
        <w:t>eal Filho</w:t>
      </w:r>
      <w:r w:rsidRPr="004F223A">
        <w:t xml:space="preserve">, </w:t>
      </w:r>
      <w:r>
        <w:t>E</w:t>
      </w:r>
      <w:r w:rsidRPr="004F223A">
        <w:t xml:space="preserve">d., </w:t>
      </w:r>
      <w:r w:rsidRPr="004F223A">
        <w:rPr>
          <w:i/>
          <w:iCs/>
        </w:rPr>
        <w:t>Implementing sustainability in the curriculum of universities: approaches, methods and projects.</w:t>
      </w:r>
      <w:r w:rsidRPr="004F223A">
        <w:t xml:space="preserve"> Berlin: Springer, pp. 63-78.</w:t>
      </w:r>
    </w:p>
    <w:p w14:paraId="2278E3C7" w14:textId="65F00CF5" w:rsidR="000F5AFC" w:rsidRDefault="000F5AFC" w:rsidP="000F5AFC">
      <w:pPr>
        <w:rPr>
          <w:rStyle w:val="Hyperlink"/>
        </w:rPr>
      </w:pPr>
      <w:r w:rsidRPr="00B65579">
        <w:t xml:space="preserve">WRI </w:t>
      </w:r>
      <w:r w:rsidR="00F97BED">
        <w:t>and</w:t>
      </w:r>
      <w:r w:rsidRPr="00B65579">
        <w:t xml:space="preserve"> WBCSD (2004) The Greenhouse Gas Protocol – A corporate Accounting and Reporting Standard</w:t>
      </w:r>
      <w:r w:rsidR="00B53629">
        <w:t xml:space="preserve"> </w:t>
      </w:r>
      <w:hyperlink r:id="rId29" w:history="1">
        <w:r w:rsidRPr="00B65579">
          <w:rPr>
            <w:rStyle w:val="Hyperlink"/>
          </w:rPr>
          <w:t>http://www.ghgprotocol.org/standards/corporate-standard Accessed 15/12/16</w:t>
        </w:r>
      </w:hyperlink>
    </w:p>
    <w:p w14:paraId="30C98DA6" w14:textId="6E709E05" w:rsidR="00A82F16" w:rsidRPr="00B65579" w:rsidRDefault="00A82F16" w:rsidP="000F5AFC">
      <w:r w:rsidRPr="00A82F16">
        <w:t xml:space="preserve">Wright, T. S. A., </w:t>
      </w:r>
      <w:r w:rsidR="00F97BED">
        <w:t>and</w:t>
      </w:r>
      <w:r w:rsidRPr="00A82F16">
        <w:t xml:space="preserve"> Wilton, H. (2012). Facilities management directors’ conceptualizations of sustainability in higher education. Journal of Cleaner Production, 31, 118–125.</w:t>
      </w:r>
    </w:p>
    <w:p w14:paraId="1E618566" w14:textId="12CEF380" w:rsidR="00AC43BB" w:rsidRPr="009A064E" w:rsidRDefault="00CA40F9" w:rsidP="009A064E">
      <w:r w:rsidRPr="00B65579">
        <w:rPr>
          <w:rFonts w:cs="Arial"/>
          <w:color w:val="222222"/>
          <w:shd w:val="clear" w:color="auto" w:fill="FFFFFF"/>
        </w:rPr>
        <w:t>Yin, R.K. (2003) Case Study Research: Design and Methods.</w:t>
      </w:r>
      <w:r w:rsidR="00B53629">
        <w:rPr>
          <w:rFonts w:cs="Arial"/>
          <w:color w:val="222222"/>
          <w:shd w:val="clear" w:color="auto" w:fill="FFFFFF"/>
        </w:rPr>
        <w:t xml:space="preserve"> </w:t>
      </w:r>
      <w:r w:rsidRPr="00B65579">
        <w:rPr>
          <w:rFonts w:cs="Arial"/>
          <w:color w:val="222222"/>
          <w:shd w:val="clear" w:color="auto" w:fill="FFFFFF"/>
        </w:rPr>
        <w:t>3</w:t>
      </w:r>
      <w:r w:rsidRPr="00B65579">
        <w:rPr>
          <w:rFonts w:cs="Arial"/>
          <w:color w:val="222222"/>
          <w:shd w:val="clear" w:color="auto" w:fill="FFFFFF"/>
          <w:vertAlign w:val="superscript"/>
        </w:rPr>
        <w:t>rd</w:t>
      </w:r>
      <w:r w:rsidRPr="00B65579">
        <w:rPr>
          <w:rFonts w:cs="Arial"/>
          <w:color w:val="222222"/>
          <w:shd w:val="clear" w:color="auto" w:fill="FFFFFF"/>
        </w:rPr>
        <w:t xml:space="preserve"> edition.</w:t>
      </w:r>
      <w:r w:rsidR="00B53629">
        <w:rPr>
          <w:rFonts w:cs="Arial"/>
          <w:color w:val="222222"/>
          <w:shd w:val="clear" w:color="auto" w:fill="FFFFFF"/>
        </w:rPr>
        <w:t xml:space="preserve"> </w:t>
      </w:r>
      <w:r w:rsidRPr="00B65579">
        <w:rPr>
          <w:rFonts w:cs="Arial"/>
          <w:color w:val="222222"/>
          <w:shd w:val="clear" w:color="auto" w:fill="FFFFFF"/>
        </w:rPr>
        <w:t>USA: Sage publications.</w:t>
      </w:r>
    </w:p>
    <w:p w14:paraId="30C98854" w14:textId="35EC2795" w:rsidR="00AC43BB" w:rsidRPr="009A064E" w:rsidRDefault="00AC43BB" w:rsidP="009A064E">
      <w:r w:rsidRPr="009A064E">
        <w:t xml:space="preserve">Zachariou, A., </w:t>
      </w:r>
      <w:r w:rsidR="00F97BED">
        <w:t>and</w:t>
      </w:r>
      <w:r w:rsidRPr="009A064E">
        <w:t xml:space="preserve"> Symeou, L. (2009). The Local Community as a Means for Promoting Education for Sustainable Development. Applied Environmental Education and Communication , 7(4), 129–143.</w:t>
      </w:r>
    </w:p>
    <w:p w14:paraId="74011642" w14:textId="4DCADED0" w:rsidR="004753C5" w:rsidRPr="00B65579" w:rsidRDefault="004753C5" w:rsidP="00AC43BB"/>
    <w:sectPr w:rsidR="004753C5" w:rsidRPr="00B65579" w:rsidSect="00410AA6">
      <w:footerReference w:type="default" r:id="rId3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53E46" w14:textId="77777777" w:rsidR="00235663" w:rsidRDefault="00235663" w:rsidP="00551BBE">
      <w:pPr>
        <w:spacing w:after="0" w:line="240" w:lineRule="auto"/>
      </w:pPr>
      <w:r>
        <w:separator/>
      </w:r>
    </w:p>
  </w:endnote>
  <w:endnote w:type="continuationSeparator" w:id="0">
    <w:p w14:paraId="2F96CBFA" w14:textId="77777777" w:rsidR="00235663" w:rsidRDefault="00235663" w:rsidP="00551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675979"/>
      <w:docPartObj>
        <w:docPartGallery w:val="Page Numbers (Bottom of Page)"/>
        <w:docPartUnique/>
      </w:docPartObj>
    </w:sdtPr>
    <w:sdtEndPr>
      <w:rPr>
        <w:noProof/>
      </w:rPr>
    </w:sdtEndPr>
    <w:sdtContent>
      <w:p w14:paraId="11237159" w14:textId="57043685" w:rsidR="00FB61D4" w:rsidRDefault="00FB61D4">
        <w:pPr>
          <w:pStyle w:val="Footer"/>
          <w:jc w:val="right"/>
        </w:pPr>
        <w:r>
          <w:fldChar w:fldCharType="begin"/>
        </w:r>
        <w:r>
          <w:instrText xml:space="preserve"> PAGE   \* MERGEFORMAT </w:instrText>
        </w:r>
        <w:r>
          <w:fldChar w:fldCharType="separate"/>
        </w:r>
        <w:r w:rsidR="00FD031F">
          <w:rPr>
            <w:noProof/>
          </w:rPr>
          <w:t>2</w:t>
        </w:r>
        <w:r>
          <w:rPr>
            <w:noProof/>
          </w:rPr>
          <w:fldChar w:fldCharType="end"/>
        </w:r>
      </w:p>
    </w:sdtContent>
  </w:sdt>
  <w:p w14:paraId="17C01F34" w14:textId="77777777" w:rsidR="00FB61D4" w:rsidRDefault="00FB6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5F546" w14:textId="77777777" w:rsidR="00235663" w:rsidRDefault="00235663" w:rsidP="00551BBE">
      <w:pPr>
        <w:spacing w:after="0" w:line="240" w:lineRule="auto"/>
      </w:pPr>
      <w:r>
        <w:separator/>
      </w:r>
    </w:p>
  </w:footnote>
  <w:footnote w:type="continuationSeparator" w:id="0">
    <w:p w14:paraId="63ADE2A9" w14:textId="77777777" w:rsidR="00235663" w:rsidRDefault="00235663" w:rsidP="00551B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257D"/>
    <w:multiLevelType w:val="hybridMultilevel"/>
    <w:tmpl w:val="730CFF66"/>
    <w:lvl w:ilvl="0" w:tplc="06B21FD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96FD4"/>
    <w:multiLevelType w:val="hybridMultilevel"/>
    <w:tmpl w:val="E09EC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24821"/>
    <w:multiLevelType w:val="hybridMultilevel"/>
    <w:tmpl w:val="A9A84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C06C8B"/>
    <w:multiLevelType w:val="multilevel"/>
    <w:tmpl w:val="C79AE806"/>
    <w:lvl w:ilvl="0">
      <w:start w:val="1"/>
      <w:numFmt w:val="decimal"/>
      <w:pStyle w:val="Heading2"/>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9DC6235"/>
    <w:multiLevelType w:val="hybridMultilevel"/>
    <w:tmpl w:val="6B7CE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77A69"/>
    <w:multiLevelType w:val="hybridMultilevel"/>
    <w:tmpl w:val="B8A65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1D77D5"/>
    <w:multiLevelType w:val="hybridMultilevel"/>
    <w:tmpl w:val="A4642D90"/>
    <w:lvl w:ilvl="0" w:tplc="1A1AAD2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1C0817"/>
    <w:multiLevelType w:val="hybridMultilevel"/>
    <w:tmpl w:val="EA708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3C58C5"/>
    <w:multiLevelType w:val="hybridMultilevel"/>
    <w:tmpl w:val="9798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EF754A"/>
    <w:multiLevelType w:val="hybridMultilevel"/>
    <w:tmpl w:val="DF28B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E03FD3"/>
    <w:multiLevelType w:val="hybridMultilevel"/>
    <w:tmpl w:val="D298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890615"/>
    <w:multiLevelType w:val="hybridMultilevel"/>
    <w:tmpl w:val="0F62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E01222"/>
    <w:multiLevelType w:val="hybridMultilevel"/>
    <w:tmpl w:val="A7BEC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0"/>
  </w:num>
  <w:num w:numId="4">
    <w:abstractNumId w:val="8"/>
  </w:num>
  <w:num w:numId="5">
    <w:abstractNumId w:val="0"/>
  </w:num>
  <w:num w:numId="6">
    <w:abstractNumId w:val="12"/>
  </w:num>
  <w:num w:numId="7">
    <w:abstractNumId w:val="7"/>
  </w:num>
  <w:num w:numId="8">
    <w:abstractNumId w:val="9"/>
  </w:num>
  <w:num w:numId="9">
    <w:abstractNumId w:val="5"/>
  </w:num>
  <w:num w:numId="10">
    <w:abstractNumId w:val="1"/>
  </w:num>
  <w:num w:numId="11">
    <w:abstractNumId w:val="2"/>
  </w:num>
  <w:num w:numId="12">
    <w:abstractNumId w:val="3"/>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perpile-clusterType" w:val="normal"/>
    <w:docVar w:name="paperpile-doc-id" w:val="W649K799G189E791"/>
    <w:docVar w:name="paperpile-doc-name" w:val="Scales of Influence Revision.docx"/>
    <w:docVar w:name="paperpile-includeDoi" w:val="false"/>
    <w:docVar w:name="paperpile-styleFile" w:val="chicago-author-date.csl"/>
    <w:docVar w:name="paperpile-styleId" w:val="http://www.zotero.org/styles/chicago-author-date"/>
    <w:docVar w:name="paperpile-styleLabel" w:val="Chicago Manual of Style 16th edition (author-date)"/>
    <w:docVar w:name="paperpile-styleLocale" w:val="en-US"/>
  </w:docVars>
  <w:rsids>
    <w:rsidRoot w:val="000B0832"/>
    <w:rsid w:val="000133E3"/>
    <w:rsid w:val="0001506E"/>
    <w:rsid w:val="0001774A"/>
    <w:rsid w:val="00017AF4"/>
    <w:rsid w:val="00020188"/>
    <w:rsid w:val="00025727"/>
    <w:rsid w:val="0003166A"/>
    <w:rsid w:val="00031CE1"/>
    <w:rsid w:val="000354E1"/>
    <w:rsid w:val="00042D8C"/>
    <w:rsid w:val="00046B04"/>
    <w:rsid w:val="0005251C"/>
    <w:rsid w:val="00053A68"/>
    <w:rsid w:val="00057F54"/>
    <w:rsid w:val="00060B06"/>
    <w:rsid w:val="00060E06"/>
    <w:rsid w:val="00061398"/>
    <w:rsid w:val="00062362"/>
    <w:rsid w:val="00067D81"/>
    <w:rsid w:val="00074C9A"/>
    <w:rsid w:val="00077BB0"/>
    <w:rsid w:val="00081971"/>
    <w:rsid w:val="00082172"/>
    <w:rsid w:val="00082E1A"/>
    <w:rsid w:val="0008649C"/>
    <w:rsid w:val="0009425A"/>
    <w:rsid w:val="000A1461"/>
    <w:rsid w:val="000A5F59"/>
    <w:rsid w:val="000A666D"/>
    <w:rsid w:val="000A74EE"/>
    <w:rsid w:val="000B0832"/>
    <w:rsid w:val="000B324B"/>
    <w:rsid w:val="000B7FF9"/>
    <w:rsid w:val="000C00C2"/>
    <w:rsid w:val="000C1595"/>
    <w:rsid w:val="000C2075"/>
    <w:rsid w:val="000C3262"/>
    <w:rsid w:val="000C4CBB"/>
    <w:rsid w:val="000C7E96"/>
    <w:rsid w:val="000D28DB"/>
    <w:rsid w:val="000D3246"/>
    <w:rsid w:val="000D50EF"/>
    <w:rsid w:val="000D63ED"/>
    <w:rsid w:val="000E0033"/>
    <w:rsid w:val="000E0DF7"/>
    <w:rsid w:val="000E3653"/>
    <w:rsid w:val="000F2E69"/>
    <w:rsid w:val="000F4557"/>
    <w:rsid w:val="000F5AFC"/>
    <w:rsid w:val="000F6CAA"/>
    <w:rsid w:val="0010689E"/>
    <w:rsid w:val="00107D93"/>
    <w:rsid w:val="001113A8"/>
    <w:rsid w:val="00113EA7"/>
    <w:rsid w:val="00116138"/>
    <w:rsid w:val="00117644"/>
    <w:rsid w:val="0013490C"/>
    <w:rsid w:val="00136B5A"/>
    <w:rsid w:val="00136BAE"/>
    <w:rsid w:val="0013746F"/>
    <w:rsid w:val="0013771D"/>
    <w:rsid w:val="001441EA"/>
    <w:rsid w:val="0015281D"/>
    <w:rsid w:val="00153544"/>
    <w:rsid w:val="00164504"/>
    <w:rsid w:val="001674B4"/>
    <w:rsid w:val="001679C3"/>
    <w:rsid w:val="00172167"/>
    <w:rsid w:val="00192CB3"/>
    <w:rsid w:val="00192FAE"/>
    <w:rsid w:val="00197CF4"/>
    <w:rsid w:val="001B1551"/>
    <w:rsid w:val="001B3133"/>
    <w:rsid w:val="001B3FA0"/>
    <w:rsid w:val="001B46D1"/>
    <w:rsid w:val="001D0576"/>
    <w:rsid w:val="001D142F"/>
    <w:rsid w:val="001D39F5"/>
    <w:rsid w:val="001D49C8"/>
    <w:rsid w:val="001D6081"/>
    <w:rsid w:val="001E3461"/>
    <w:rsid w:val="001E4967"/>
    <w:rsid w:val="001E5ED6"/>
    <w:rsid w:val="001E6346"/>
    <w:rsid w:val="001F1884"/>
    <w:rsid w:val="001F3333"/>
    <w:rsid w:val="00200830"/>
    <w:rsid w:val="00204774"/>
    <w:rsid w:val="002077A0"/>
    <w:rsid w:val="00211E6C"/>
    <w:rsid w:val="00212077"/>
    <w:rsid w:val="00212C97"/>
    <w:rsid w:val="00215AE1"/>
    <w:rsid w:val="00227FAC"/>
    <w:rsid w:val="00230B6B"/>
    <w:rsid w:val="00235663"/>
    <w:rsid w:val="0024035C"/>
    <w:rsid w:val="00242730"/>
    <w:rsid w:val="00244CB1"/>
    <w:rsid w:val="00245117"/>
    <w:rsid w:val="002658A0"/>
    <w:rsid w:val="002705B2"/>
    <w:rsid w:val="00271768"/>
    <w:rsid w:val="002760A0"/>
    <w:rsid w:val="00276603"/>
    <w:rsid w:val="00277563"/>
    <w:rsid w:val="00292842"/>
    <w:rsid w:val="00297863"/>
    <w:rsid w:val="00297C2E"/>
    <w:rsid w:val="00297D0B"/>
    <w:rsid w:val="002A4F3A"/>
    <w:rsid w:val="002B1124"/>
    <w:rsid w:val="002B4F74"/>
    <w:rsid w:val="002B70B2"/>
    <w:rsid w:val="002B714C"/>
    <w:rsid w:val="002B7311"/>
    <w:rsid w:val="002C5CE8"/>
    <w:rsid w:val="002D4019"/>
    <w:rsid w:val="002D486F"/>
    <w:rsid w:val="002D649A"/>
    <w:rsid w:val="002D6B86"/>
    <w:rsid w:val="002E380C"/>
    <w:rsid w:val="002E3D6A"/>
    <w:rsid w:val="002F0618"/>
    <w:rsid w:val="002F227D"/>
    <w:rsid w:val="002F2584"/>
    <w:rsid w:val="002F6357"/>
    <w:rsid w:val="002F69E3"/>
    <w:rsid w:val="002F6C9B"/>
    <w:rsid w:val="00300B65"/>
    <w:rsid w:val="003016FB"/>
    <w:rsid w:val="0030439B"/>
    <w:rsid w:val="00306E2C"/>
    <w:rsid w:val="00310E1C"/>
    <w:rsid w:val="00315C0A"/>
    <w:rsid w:val="00316025"/>
    <w:rsid w:val="00317F92"/>
    <w:rsid w:val="003212D0"/>
    <w:rsid w:val="00326E82"/>
    <w:rsid w:val="00327794"/>
    <w:rsid w:val="00330BF9"/>
    <w:rsid w:val="003312F6"/>
    <w:rsid w:val="00331645"/>
    <w:rsid w:val="00333E4B"/>
    <w:rsid w:val="00336357"/>
    <w:rsid w:val="003367C8"/>
    <w:rsid w:val="00341B02"/>
    <w:rsid w:val="00341CE0"/>
    <w:rsid w:val="00344169"/>
    <w:rsid w:val="00344469"/>
    <w:rsid w:val="00344F13"/>
    <w:rsid w:val="003511AD"/>
    <w:rsid w:val="003555EB"/>
    <w:rsid w:val="00364B8E"/>
    <w:rsid w:val="00365DD7"/>
    <w:rsid w:val="0037201B"/>
    <w:rsid w:val="00376145"/>
    <w:rsid w:val="003831B2"/>
    <w:rsid w:val="00390229"/>
    <w:rsid w:val="0039154D"/>
    <w:rsid w:val="00392A72"/>
    <w:rsid w:val="003A5076"/>
    <w:rsid w:val="003B1C22"/>
    <w:rsid w:val="003B2B3A"/>
    <w:rsid w:val="003B674F"/>
    <w:rsid w:val="003C15E1"/>
    <w:rsid w:val="003C54B2"/>
    <w:rsid w:val="003C5A8C"/>
    <w:rsid w:val="003C6855"/>
    <w:rsid w:val="003D0B3F"/>
    <w:rsid w:val="003D1C4A"/>
    <w:rsid w:val="003D26A1"/>
    <w:rsid w:val="003D3310"/>
    <w:rsid w:val="003D67DC"/>
    <w:rsid w:val="003E0032"/>
    <w:rsid w:val="003E18A0"/>
    <w:rsid w:val="003E1DBE"/>
    <w:rsid w:val="003E28FF"/>
    <w:rsid w:val="003E43B8"/>
    <w:rsid w:val="003E7657"/>
    <w:rsid w:val="003F492E"/>
    <w:rsid w:val="003F7134"/>
    <w:rsid w:val="003F7DB6"/>
    <w:rsid w:val="004008B6"/>
    <w:rsid w:val="004012D1"/>
    <w:rsid w:val="004046E6"/>
    <w:rsid w:val="00407595"/>
    <w:rsid w:val="00407B01"/>
    <w:rsid w:val="00410016"/>
    <w:rsid w:val="00410AA6"/>
    <w:rsid w:val="0041278C"/>
    <w:rsid w:val="004179F2"/>
    <w:rsid w:val="0043064F"/>
    <w:rsid w:val="0043383D"/>
    <w:rsid w:val="004344BE"/>
    <w:rsid w:val="00437E9D"/>
    <w:rsid w:val="004440ED"/>
    <w:rsid w:val="00452730"/>
    <w:rsid w:val="00461564"/>
    <w:rsid w:val="0046172E"/>
    <w:rsid w:val="004671A0"/>
    <w:rsid w:val="004720D6"/>
    <w:rsid w:val="004753C5"/>
    <w:rsid w:val="0048293B"/>
    <w:rsid w:val="004838A5"/>
    <w:rsid w:val="0048456F"/>
    <w:rsid w:val="004848F7"/>
    <w:rsid w:val="0048777B"/>
    <w:rsid w:val="00492034"/>
    <w:rsid w:val="00492C71"/>
    <w:rsid w:val="004952D3"/>
    <w:rsid w:val="004A191A"/>
    <w:rsid w:val="004A1962"/>
    <w:rsid w:val="004A1AC1"/>
    <w:rsid w:val="004A2D15"/>
    <w:rsid w:val="004A47AC"/>
    <w:rsid w:val="004A7C48"/>
    <w:rsid w:val="004B02F1"/>
    <w:rsid w:val="004B0C46"/>
    <w:rsid w:val="004B28B7"/>
    <w:rsid w:val="004B41D1"/>
    <w:rsid w:val="004B6344"/>
    <w:rsid w:val="004B68A4"/>
    <w:rsid w:val="004C0390"/>
    <w:rsid w:val="004C1E00"/>
    <w:rsid w:val="004C2731"/>
    <w:rsid w:val="004C395B"/>
    <w:rsid w:val="004D060E"/>
    <w:rsid w:val="004D60BC"/>
    <w:rsid w:val="004E7150"/>
    <w:rsid w:val="004F223A"/>
    <w:rsid w:val="004F7FE8"/>
    <w:rsid w:val="00501A14"/>
    <w:rsid w:val="00501B22"/>
    <w:rsid w:val="00514D50"/>
    <w:rsid w:val="005168D3"/>
    <w:rsid w:val="005171AF"/>
    <w:rsid w:val="00525BBB"/>
    <w:rsid w:val="005314DE"/>
    <w:rsid w:val="00534177"/>
    <w:rsid w:val="00534515"/>
    <w:rsid w:val="00534522"/>
    <w:rsid w:val="00541ABA"/>
    <w:rsid w:val="00545940"/>
    <w:rsid w:val="005476B1"/>
    <w:rsid w:val="00551BBE"/>
    <w:rsid w:val="00561609"/>
    <w:rsid w:val="00563391"/>
    <w:rsid w:val="005643C1"/>
    <w:rsid w:val="00570015"/>
    <w:rsid w:val="005870A4"/>
    <w:rsid w:val="0058794F"/>
    <w:rsid w:val="00591C8A"/>
    <w:rsid w:val="00593B6F"/>
    <w:rsid w:val="005962BB"/>
    <w:rsid w:val="00597ED8"/>
    <w:rsid w:val="005A1803"/>
    <w:rsid w:val="005A5CFD"/>
    <w:rsid w:val="005B4E58"/>
    <w:rsid w:val="005B530D"/>
    <w:rsid w:val="005C31DC"/>
    <w:rsid w:val="005C3556"/>
    <w:rsid w:val="005D1DF4"/>
    <w:rsid w:val="005F10AD"/>
    <w:rsid w:val="005F148F"/>
    <w:rsid w:val="005F5048"/>
    <w:rsid w:val="005F6689"/>
    <w:rsid w:val="00601470"/>
    <w:rsid w:val="0060211F"/>
    <w:rsid w:val="00613D36"/>
    <w:rsid w:val="00615CD3"/>
    <w:rsid w:val="00617DE1"/>
    <w:rsid w:val="006211FC"/>
    <w:rsid w:val="006275E6"/>
    <w:rsid w:val="00630EFC"/>
    <w:rsid w:val="006332AC"/>
    <w:rsid w:val="006408F0"/>
    <w:rsid w:val="006440BC"/>
    <w:rsid w:val="00652765"/>
    <w:rsid w:val="006545FA"/>
    <w:rsid w:val="00654B12"/>
    <w:rsid w:val="006630E3"/>
    <w:rsid w:val="00665CE6"/>
    <w:rsid w:val="00671602"/>
    <w:rsid w:val="00672816"/>
    <w:rsid w:val="00672C9F"/>
    <w:rsid w:val="00673ABB"/>
    <w:rsid w:val="006773D4"/>
    <w:rsid w:val="006779E8"/>
    <w:rsid w:val="006845AD"/>
    <w:rsid w:val="006857B3"/>
    <w:rsid w:val="00687B54"/>
    <w:rsid w:val="00690772"/>
    <w:rsid w:val="00690C0C"/>
    <w:rsid w:val="0069423C"/>
    <w:rsid w:val="00694DF7"/>
    <w:rsid w:val="006957AC"/>
    <w:rsid w:val="006969C1"/>
    <w:rsid w:val="006A0537"/>
    <w:rsid w:val="006A100C"/>
    <w:rsid w:val="006A2A52"/>
    <w:rsid w:val="006B3646"/>
    <w:rsid w:val="006B6201"/>
    <w:rsid w:val="006B6ECA"/>
    <w:rsid w:val="006B7E52"/>
    <w:rsid w:val="006C016B"/>
    <w:rsid w:val="006C28A9"/>
    <w:rsid w:val="006C3E72"/>
    <w:rsid w:val="006E2139"/>
    <w:rsid w:val="006E612D"/>
    <w:rsid w:val="006E7808"/>
    <w:rsid w:val="006F15A0"/>
    <w:rsid w:val="006F6FA1"/>
    <w:rsid w:val="007115B6"/>
    <w:rsid w:val="007137F8"/>
    <w:rsid w:val="00715E52"/>
    <w:rsid w:val="00725601"/>
    <w:rsid w:val="00726F99"/>
    <w:rsid w:val="007300F4"/>
    <w:rsid w:val="00734FA9"/>
    <w:rsid w:val="00736513"/>
    <w:rsid w:val="007374D7"/>
    <w:rsid w:val="00737AB6"/>
    <w:rsid w:val="00741B1D"/>
    <w:rsid w:val="00743C66"/>
    <w:rsid w:val="00762284"/>
    <w:rsid w:val="007639BD"/>
    <w:rsid w:val="007703D2"/>
    <w:rsid w:val="007831C4"/>
    <w:rsid w:val="0078402F"/>
    <w:rsid w:val="00784575"/>
    <w:rsid w:val="00786D19"/>
    <w:rsid w:val="00792F4E"/>
    <w:rsid w:val="00795106"/>
    <w:rsid w:val="0079583E"/>
    <w:rsid w:val="007975B5"/>
    <w:rsid w:val="007A4CC5"/>
    <w:rsid w:val="007A637F"/>
    <w:rsid w:val="007B5535"/>
    <w:rsid w:val="007B63A0"/>
    <w:rsid w:val="007B6564"/>
    <w:rsid w:val="007C39E8"/>
    <w:rsid w:val="007C4156"/>
    <w:rsid w:val="007D2C50"/>
    <w:rsid w:val="007D3ACC"/>
    <w:rsid w:val="007E0B36"/>
    <w:rsid w:val="007E1C14"/>
    <w:rsid w:val="007E3C87"/>
    <w:rsid w:val="007E3DDF"/>
    <w:rsid w:val="007E5B68"/>
    <w:rsid w:val="007E7DD7"/>
    <w:rsid w:val="007F1AC3"/>
    <w:rsid w:val="007F5C04"/>
    <w:rsid w:val="00800EE5"/>
    <w:rsid w:val="008078FB"/>
    <w:rsid w:val="00810DE1"/>
    <w:rsid w:val="00813160"/>
    <w:rsid w:val="00813813"/>
    <w:rsid w:val="008166D1"/>
    <w:rsid w:val="00821B58"/>
    <w:rsid w:val="008259DE"/>
    <w:rsid w:val="00825A6C"/>
    <w:rsid w:val="0083046E"/>
    <w:rsid w:val="00830F66"/>
    <w:rsid w:val="00831FE6"/>
    <w:rsid w:val="00837E3B"/>
    <w:rsid w:val="0084312C"/>
    <w:rsid w:val="00847AA7"/>
    <w:rsid w:val="00847C75"/>
    <w:rsid w:val="00851B09"/>
    <w:rsid w:val="00854053"/>
    <w:rsid w:val="00856494"/>
    <w:rsid w:val="00865223"/>
    <w:rsid w:val="00865513"/>
    <w:rsid w:val="008710E5"/>
    <w:rsid w:val="00873E3D"/>
    <w:rsid w:val="008775B7"/>
    <w:rsid w:val="00880936"/>
    <w:rsid w:val="0088201A"/>
    <w:rsid w:val="0089254D"/>
    <w:rsid w:val="00896620"/>
    <w:rsid w:val="008A4081"/>
    <w:rsid w:val="008A5B1F"/>
    <w:rsid w:val="008A639E"/>
    <w:rsid w:val="008A6925"/>
    <w:rsid w:val="008A76F2"/>
    <w:rsid w:val="008A7C92"/>
    <w:rsid w:val="008B1048"/>
    <w:rsid w:val="008B1B85"/>
    <w:rsid w:val="008B241B"/>
    <w:rsid w:val="008B651F"/>
    <w:rsid w:val="008C1600"/>
    <w:rsid w:val="008C36BB"/>
    <w:rsid w:val="008C4F1B"/>
    <w:rsid w:val="008D5EC5"/>
    <w:rsid w:val="008E04BD"/>
    <w:rsid w:val="008E4D0C"/>
    <w:rsid w:val="008F7DC6"/>
    <w:rsid w:val="00905666"/>
    <w:rsid w:val="00905E58"/>
    <w:rsid w:val="00907302"/>
    <w:rsid w:val="009111EE"/>
    <w:rsid w:val="00911A60"/>
    <w:rsid w:val="0091255D"/>
    <w:rsid w:val="00912592"/>
    <w:rsid w:val="00914777"/>
    <w:rsid w:val="00917129"/>
    <w:rsid w:val="009175E5"/>
    <w:rsid w:val="009176D2"/>
    <w:rsid w:val="00925099"/>
    <w:rsid w:val="009257D1"/>
    <w:rsid w:val="0093050E"/>
    <w:rsid w:val="00934F10"/>
    <w:rsid w:val="009361BE"/>
    <w:rsid w:val="009406FA"/>
    <w:rsid w:val="009410C6"/>
    <w:rsid w:val="00942197"/>
    <w:rsid w:val="009425E0"/>
    <w:rsid w:val="00943907"/>
    <w:rsid w:val="009504EE"/>
    <w:rsid w:val="00950758"/>
    <w:rsid w:val="00951A06"/>
    <w:rsid w:val="00951E80"/>
    <w:rsid w:val="00953D78"/>
    <w:rsid w:val="009555A9"/>
    <w:rsid w:val="00963351"/>
    <w:rsid w:val="00966880"/>
    <w:rsid w:val="00967211"/>
    <w:rsid w:val="00975C94"/>
    <w:rsid w:val="0097621D"/>
    <w:rsid w:val="00977FA3"/>
    <w:rsid w:val="0098251E"/>
    <w:rsid w:val="00983E76"/>
    <w:rsid w:val="00990D27"/>
    <w:rsid w:val="009916C5"/>
    <w:rsid w:val="00995BBE"/>
    <w:rsid w:val="00995C19"/>
    <w:rsid w:val="00996230"/>
    <w:rsid w:val="0099777A"/>
    <w:rsid w:val="009A064E"/>
    <w:rsid w:val="009A635A"/>
    <w:rsid w:val="009B4A28"/>
    <w:rsid w:val="009B5B2A"/>
    <w:rsid w:val="009B5DEC"/>
    <w:rsid w:val="009C2FC7"/>
    <w:rsid w:val="009C34E0"/>
    <w:rsid w:val="009C435E"/>
    <w:rsid w:val="009C7015"/>
    <w:rsid w:val="009C73A6"/>
    <w:rsid w:val="009D0AF0"/>
    <w:rsid w:val="009D1C40"/>
    <w:rsid w:val="009D2062"/>
    <w:rsid w:val="009D2265"/>
    <w:rsid w:val="009D40DE"/>
    <w:rsid w:val="009D46DC"/>
    <w:rsid w:val="009E50F1"/>
    <w:rsid w:val="009E686B"/>
    <w:rsid w:val="009F0C3A"/>
    <w:rsid w:val="009F21C2"/>
    <w:rsid w:val="009F46CE"/>
    <w:rsid w:val="009F491E"/>
    <w:rsid w:val="009F7C19"/>
    <w:rsid w:val="009F7D69"/>
    <w:rsid w:val="00A00A7D"/>
    <w:rsid w:val="00A06726"/>
    <w:rsid w:val="00A11C99"/>
    <w:rsid w:val="00A121AB"/>
    <w:rsid w:val="00A14BE1"/>
    <w:rsid w:val="00A218E0"/>
    <w:rsid w:val="00A220D8"/>
    <w:rsid w:val="00A23966"/>
    <w:rsid w:val="00A27A04"/>
    <w:rsid w:val="00A30004"/>
    <w:rsid w:val="00A303CB"/>
    <w:rsid w:val="00A33394"/>
    <w:rsid w:val="00A35D0A"/>
    <w:rsid w:val="00A41F20"/>
    <w:rsid w:val="00A42192"/>
    <w:rsid w:val="00A44CC1"/>
    <w:rsid w:val="00A4785F"/>
    <w:rsid w:val="00A47E14"/>
    <w:rsid w:val="00A53610"/>
    <w:rsid w:val="00A546B8"/>
    <w:rsid w:val="00A622CA"/>
    <w:rsid w:val="00A633A4"/>
    <w:rsid w:val="00A66059"/>
    <w:rsid w:val="00A67E96"/>
    <w:rsid w:val="00A73633"/>
    <w:rsid w:val="00A752A2"/>
    <w:rsid w:val="00A75733"/>
    <w:rsid w:val="00A77EE1"/>
    <w:rsid w:val="00A82F16"/>
    <w:rsid w:val="00A86A69"/>
    <w:rsid w:val="00A96D9A"/>
    <w:rsid w:val="00AA33EC"/>
    <w:rsid w:val="00AA4F95"/>
    <w:rsid w:val="00AB5333"/>
    <w:rsid w:val="00AC43BB"/>
    <w:rsid w:val="00AC4FEB"/>
    <w:rsid w:val="00AD208B"/>
    <w:rsid w:val="00AD25F8"/>
    <w:rsid w:val="00AD7341"/>
    <w:rsid w:val="00AE050A"/>
    <w:rsid w:val="00AE6450"/>
    <w:rsid w:val="00AF004A"/>
    <w:rsid w:val="00AF1659"/>
    <w:rsid w:val="00AF3C22"/>
    <w:rsid w:val="00AF524D"/>
    <w:rsid w:val="00AF796D"/>
    <w:rsid w:val="00B0342F"/>
    <w:rsid w:val="00B03442"/>
    <w:rsid w:val="00B14CAC"/>
    <w:rsid w:val="00B15566"/>
    <w:rsid w:val="00B15DA2"/>
    <w:rsid w:val="00B213CF"/>
    <w:rsid w:val="00B27F6B"/>
    <w:rsid w:val="00B30B28"/>
    <w:rsid w:val="00B31272"/>
    <w:rsid w:val="00B31E91"/>
    <w:rsid w:val="00B3707B"/>
    <w:rsid w:val="00B405DC"/>
    <w:rsid w:val="00B43963"/>
    <w:rsid w:val="00B51DB8"/>
    <w:rsid w:val="00B525D8"/>
    <w:rsid w:val="00B53629"/>
    <w:rsid w:val="00B53D61"/>
    <w:rsid w:val="00B553A2"/>
    <w:rsid w:val="00B61B62"/>
    <w:rsid w:val="00B65579"/>
    <w:rsid w:val="00B71BE4"/>
    <w:rsid w:val="00B72CE0"/>
    <w:rsid w:val="00B76B90"/>
    <w:rsid w:val="00B94050"/>
    <w:rsid w:val="00B96A9F"/>
    <w:rsid w:val="00B97AE5"/>
    <w:rsid w:val="00BA2501"/>
    <w:rsid w:val="00BB6EAE"/>
    <w:rsid w:val="00BB748E"/>
    <w:rsid w:val="00BC0EED"/>
    <w:rsid w:val="00BC448D"/>
    <w:rsid w:val="00BC480E"/>
    <w:rsid w:val="00BC61E2"/>
    <w:rsid w:val="00BD0095"/>
    <w:rsid w:val="00BD7622"/>
    <w:rsid w:val="00BD7D1B"/>
    <w:rsid w:val="00BE23C0"/>
    <w:rsid w:val="00BE64BF"/>
    <w:rsid w:val="00BF1D26"/>
    <w:rsid w:val="00BF21E3"/>
    <w:rsid w:val="00BF4DF7"/>
    <w:rsid w:val="00BF7563"/>
    <w:rsid w:val="00C014DC"/>
    <w:rsid w:val="00C043DF"/>
    <w:rsid w:val="00C05C0A"/>
    <w:rsid w:val="00C05C0E"/>
    <w:rsid w:val="00C06648"/>
    <w:rsid w:val="00C06FB8"/>
    <w:rsid w:val="00C21C8E"/>
    <w:rsid w:val="00C301CC"/>
    <w:rsid w:val="00C403F8"/>
    <w:rsid w:val="00C61A1D"/>
    <w:rsid w:val="00C73BD0"/>
    <w:rsid w:val="00C74DFC"/>
    <w:rsid w:val="00C76D2B"/>
    <w:rsid w:val="00C8071D"/>
    <w:rsid w:val="00C837C2"/>
    <w:rsid w:val="00C851D0"/>
    <w:rsid w:val="00C90A40"/>
    <w:rsid w:val="00C91AE6"/>
    <w:rsid w:val="00C952B2"/>
    <w:rsid w:val="00C96F16"/>
    <w:rsid w:val="00C971A5"/>
    <w:rsid w:val="00CA40F9"/>
    <w:rsid w:val="00CA5AE1"/>
    <w:rsid w:val="00CA5EF0"/>
    <w:rsid w:val="00CA782C"/>
    <w:rsid w:val="00CA7BC1"/>
    <w:rsid w:val="00CB18F3"/>
    <w:rsid w:val="00CB218E"/>
    <w:rsid w:val="00CB4182"/>
    <w:rsid w:val="00CC0E88"/>
    <w:rsid w:val="00CC502E"/>
    <w:rsid w:val="00CC7F1B"/>
    <w:rsid w:val="00CD17E6"/>
    <w:rsid w:val="00CD5EF3"/>
    <w:rsid w:val="00D01B32"/>
    <w:rsid w:val="00D04B06"/>
    <w:rsid w:val="00D04B21"/>
    <w:rsid w:val="00D0774E"/>
    <w:rsid w:val="00D1401D"/>
    <w:rsid w:val="00D171AB"/>
    <w:rsid w:val="00D24F6F"/>
    <w:rsid w:val="00D274E8"/>
    <w:rsid w:val="00D33999"/>
    <w:rsid w:val="00D33C71"/>
    <w:rsid w:val="00D33D93"/>
    <w:rsid w:val="00D418FE"/>
    <w:rsid w:val="00D42CC4"/>
    <w:rsid w:val="00D42EFB"/>
    <w:rsid w:val="00D45BA5"/>
    <w:rsid w:val="00D5226E"/>
    <w:rsid w:val="00D54289"/>
    <w:rsid w:val="00D55D01"/>
    <w:rsid w:val="00D56D47"/>
    <w:rsid w:val="00D57753"/>
    <w:rsid w:val="00D6072B"/>
    <w:rsid w:val="00D61491"/>
    <w:rsid w:val="00D61EF2"/>
    <w:rsid w:val="00D63970"/>
    <w:rsid w:val="00D71EAA"/>
    <w:rsid w:val="00D83F08"/>
    <w:rsid w:val="00D86832"/>
    <w:rsid w:val="00D86D6E"/>
    <w:rsid w:val="00D90BE4"/>
    <w:rsid w:val="00DA1B30"/>
    <w:rsid w:val="00DA32F3"/>
    <w:rsid w:val="00DA4BC9"/>
    <w:rsid w:val="00DA5FCC"/>
    <w:rsid w:val="00DA6105"/>
    <w:rsid w:val="00DB2CDE"/>
    <w:rsid w:val="00DB5020"/>
    <w:rsid w:val="00DC08A3"/>
    <w:rsid w:val="00DC3E57"/>
    <w:rsid w:val="00DD07C2"/>
    <w:rsid w:val="00DD0CF7"/>
    <w:rsid w:val="00DD3E30"/>
    <w:rsid w:val="00DD52F1"/>
    <w:rsid w:val="00DD6B67"/>
    <w:rsid w:val="00DE1879"/>
    <w:rsid w:val="00DF2E3B"/>
    <w:rsid w:val="00DF339C"/>
    <w:rsid w:val="00DF33D3"/>
    <w:rsid w:val="00DF3466"/>
    <w:rsid w:val="00DF410D"/>
    <w:rsid w:val="00DF4C9B"/>
    <w:rsid w:val="00DF6D98"/>
    <w:rsid w:val="00E01C98"/>
    <w:rsid w:val="00E02702"/>
    <w:rsid w:val="00E03743"/>
    <w:rsid w:val="00E1256C"/>
    <w:rsid w:val="00E132E6"/>
    <w:rsid w:val="00E156CC"/>
    <w:rsid w:val="00E23105"/>
    <w:rsid w:val="00E2431D"/>
    <w:rsid w:val="00E248CC"/>
    <w:rsid w:val="00E276D6"/>
    <w:rsid w:val="00E31034"/>
    <w:rsid w:val="00E32D38"/>
    <w:rsid w:val="00E349E9"/>
    <w:rsid w:val="00E42D32"/>
    <w:rsid w:val="00E43CA9"/>
    <w:rsid w:val="00E43EE3"/>
    <w:rsid w:val="00E4474D"/>
    <w:rsid w:val="00E44D2A"/>
    <w:rsid w:val="00E456E2"/>
    <w:rsid w:val="00E4798C"/>
    <w:rsid w:val="00E5195A"/>
    <w:rsid w:val="00E729C2"/>
    <w:rsid w:val="00E72D55"/>
    <w:rsid w:val="00E75375"/>
    <w:rsid w:val="00E85BF5"/>
    <w:rsid w:val="00E9252E"/>
    <w:rsid w:val="00E95FAD"/>
    <w:rsid w:val="00EA0C50"/>
    <w:rsid w:val="00EA2FFF"/>
    <w:rsid w:val="00EB0900"/>
    <w:rsid w:val="00EB32C6"/>
    <w:rsid w:val="00EB3A8B"/>
    <w:rsid w:val="00EC34D1"/>
    <w:rsid w:val="00EC54C1"/>
    <w:rsid w:val="00EC65E5"/>
    <w:rsid w:val="00ED63D0"/>
    <w:rsid w:val="00ED68AA"/>
    <w:rsid w:val="00ED6AAC"/>
    <w:rsid w:val="00ED6FF8"/>
    <w:rsid w:val="00EE722A"/>
    <w:rsid w:val="00EE7FA0"/>
    <w:rsid w:val="00EF20BE"/>
    <w:rsid w:val="00EF38BE"/>
    <w:rsid w:val="00EF40FF"/>
    <w:rsid w:val="00EF4619"/>
    <w:rsid w:val="00F0421B"/>
    <w:rsid w:val="00F105C6"/>
    <w:rsid w:val="00F10A6F"/>
    <w:rsid w:val="00F10D87"/>
    <w:rsid w:val="00F13D37"/>
    <w:rsid w:val="00F17866"/>
    <w:rsid w:val="00F22780"/>
    <w:rsid w:val="00F2385F"/>
    <w:rsid w:val="00F25E4B"/>
    <w:rsid w:val="00F26798"/>
    <w:rsid w:val="00F3112D"/>
    <w:rsid w:val="00F31DDB"/>
    <w:rsid w:val="00F40367"/>
    <w:rsid w:val="00F40BA0"/>
    <w:rsid w:val="00F4321C"/>
    <w:rsid w:val="00F445D1"/>
    <w:rsid w:val="00F51DE2"/>
    <w:rsid w:val="00F52508"/>
    <w:rsid w:val="00F56A4B"/>
    <w:rsid w:val="00F574D1"/>
    <w:rsid w:val="00F6136F"/>
    <w:rsid w:val="00F64176"/>
    <w:rsid w:val="00F70CB4"/>
    <w:rsid w:val="00F83CBB"/>
    <w:rsid w:val="00F901EF"/>
    <w:rsid w:val="00F90D4A"/>
    <w:rsid w:val="00F923CE"/>
    <w:rsid w:val="00F9544B"/>
    <w:rsid w:val="00F97BED"/>
    <w:rsid w:val="00FA0727"/>
    <w:rsid w:val="00FA7BF4"/>
    <w:rsid w:val="00FB0EC0"/>
    <w:rsid w:val="00FB61D4"/>
    <w:rsid w:val="00FC3BA7"/>
    <w:rsid w:val="00FC460B"/>
    <w:rsid w:val="00FC5915"/>
    <w:rsid w:val="00FD03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325D"/>
  <w15:docId w15:val="{6DE43598-FC37-4299-A63F-3ACAA933A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272"/>
  </w:style>
  <w:style w:type="paragraph" w:styleId="Heading1">
    <w:name w:val="heading 1"/>
    <w:basedOn w:val="Normal"/>
    <w:next w:val="Normal"/>
    <w:link w:val="Heading1Char"/>
    <w:uiPriority w:val="9"/>
    <w:qFormat/>
    <w:rsid w:val="009F7D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0211F"/>
    <w:pPr>
      <w:keepNext/>
      <w:keepLines/>
      <w:numPr>
        <w:numId w:val="12"/>
      </w:numPr>
      <w:spacing w:before="200" w:after="0" w:line="480" w:lineRule="auto"/>
      <w:outlineLvl w:val="1"/>
    </w:pPr>
    <w:rPr>
      <w:b/>
    </w:rPr>
  </w:style>
  <w:style w:type="paragraph" w:styleId="Heading3">
    <w:name w:val="heading 3"/>
    <w:basedOn w:val="Normal"/>
    <w:next w:val="Normal"/>
    <w:link w:val="Heading3Char"/>
    <w:uiPriority w:val="9"/>
    <w:unhideWhenUsed/>
    <w:qFormat/>
    <w:rsid w:val="007374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2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2584"/>
    <w:rPr>
      <w:color w:val="0000FF" w:themeColor="hyperlink"/>
      <w:u w:val="single"/>
    </w:rPr>
  </w:style>
  <w:style w:type="paragraph" w:styleId="NormalWeb">
    <w:name w:val="Normal (Web)"/>
    <w:basedOn w:val="Normal"/>
    <w:uiPriority w:val="99"/>
    <w:semiHidden/>
    <w:unhideWhenUsed/>
    <w:rsid w:val="00A121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A121AB"/>
  </w:style>
  <w:style w:type="paragraph" w:styleId="ListParagraph">
    <w:name w:val="List Paragraph"/>
    <w:basedOn w:val="Normal"/>
    <w:uiPriority w:val="34"/>
    <w:qFormat/>
    <w:rsid w:val="00AB5333"/>
    <w:pPr>
      <w:ind w:left="720"/>
      <w:contextualSpacing/>
    </w:pPr>
  </w:style>
  <w:style w:type="character" w:customStyle="1" w:styleId="Heading2Char">
    <w:name w:val="Heading 2 Char"/>
    <w:basedOn w:val="DefaultParagraphFont"/>
    <w:link w:val="Heading2"/>
    <w:uiPriority w:val="9"/>
    <w:rsid w:val="0060211F"/>
    <w:rPr>
      <w:b/>
    </w:rPr>
  </w:style>
  <w:style w:type="character" w:customStyle="1" w:styleId="Heading3Char">
    <w:name w:val="Heading 3 Char"/>
    <w:basedOn w:val="DefaultParagraphFont"/>
    <w:link w:val="Heading3"/>
    <w:uiPriority w:val="9"/>
    <w:rsid w:val="007374D7"/>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01506E"/>
    <w:rPr>
      <w:sz w:val="16"/>
      <w:szCs w:val="16"/>
    </w:rPr>
  </w:style>
  <w:style w:type="paragraph" w:styleId="CommentText">
    <w:name w:val="annotation text"/>
    <w:basedOn w:val="Normal"/>
    <w:link w:val="CommentTextChar"/>
    <w:uiPriority w:val="99"/>
    <w:semiHidden/>
    <w:unhideWhenUsed/>
    <w:rsid w:val="0001506E"/>
    <w:pPr>
      <w:spacing w:line="240" w:lineRule="auto"/>
    </w:pPr>
    <w:rPr>
      <w:sz w:val="20"/>
      <w:szCs w:val="20"/>
    </w:rPr>
  </w:style>
  <w:style w:type="character" w:customStyle="1" w:styleId="CommentTextChar">
    <w:name w:val="Comment Text Char"/>
    <w:basedOn w:val="DefaultParagraphFont"/>
    <w:link w:val="CommentText"/>
    <w:uiPriority w:val="99"/>
    <w:semiHidden/>
    <w:rsid w:val="0001506E"/>
    <w:rPr>
      <w:sz w:val="20"/>
      <w:szCs w:val="20"/>
    </w:rPr>
  </w:style>
  <w:style w:type="paragraph" w:styleId="CommentSubject">
    <w:name w:val="annotation subject"/>
    <w:basedOn w:val="CommentText"/>
    <w:next w:val="CommentText"/>
    <w:link w:val="CommentSubjectChar"/>
    <w:uiPriority w:val="99"/>
    <w:semiHidden/>
    <w:unhideWhenUsed/>
    <w:rsid w:val="0001506E"/>
    <w:rPr>
      <w:b/>
      <w:bCs/>
    </w:rPr>
  </w:style>
  <w:style w:type="character" w:customStyle="1" w:styleId="CommentSubjectChar">
    <w:name w:val="Comment Subject Char"/>
    <w:basedOn w:val="CommentTextChar"/>
    <w:link w:val="CommentSubject"/>
    <w:uiPriority w:val="99"/>
    <w:semiHidden/>
    <w:rsid w:val="0001506E"/>
    <w:rPr>
      <w:b/>
      <w:bCs/>
      <w:sz w:val="20"/>
      <w:szCs w:val="20"/>
    </w:rPr>
  </w:style>
  <w:style w:type="paragraph" w:styleId="BalloonText">
    <w:name w:val="Balloon Text"/>
    <w:basedOn w:val="Normal"/>
    <w:link w:val="BalloonTextChar"/>
    <w:uiPriority w:val="99"/>
    <w:semiHidden/>
    <w:unhideWhenUsed/>
    <w:rsid w:val="000150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06E"/>
    <w:rPr>
      <w:rFonts w:ascii="Tahoma" w:hAnsi="Tahoma" w:cs="Tahoma"/>
      <w:sz w:val="16"/>
      <w:szCs w:val="16"/>
    </w:rPr>
  </w:style>
  <w:style w:type="paragraph" w:styleId="FootnoteText">
    <w:name w:val="footnote text"/>
    <w:basedOn w:val="Normal"/>
    <w:link w:val="FootnoteTextChar"/>
    <w:uiPriority w:val="99"/>
    <w:unhideWhenUsed/>
    <w:rsid w:val="00551BB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551BBE"/>
    <w:rPr>
      <w:rFonts w:eastAsiaTheme="minorEastAsia"/>
      <w:sz w:val="20"/>
      <w:szCs w:val="20"/>
    </w:rPr>
  </w:style>
  <w:style w:type="character" w:styleId="FootnoteReference">
    <w:name w:val="footnote reference"/>
    <w:basedOn w:val="DefaultParagraphFont"/>
    <w:uiPriority w:val="99"/>
    <w:unhideWhenUsed/>
    <w:rsid w:val="00551BBE"/>
    <w:rPr>
      <w:vertAlign w:val="superscript"/>
    </w:rPr>
  </w:style>
  <w:style w:type="paragraph" w:styleId="Header">
    <w:name w:val="header"/>
    <w:basedOn w:val="Normal"/>
    <w:link w:val="HeaderChar"/>
    <w:uiPriority w:val="99"/>
    <w:unhideWhenUsed/>
    <w:rsid w:val="00C83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7C2"/>
  </w:style>
  <w:style w:type="paragraph" w:styleId="Footer">
    <w:name w:val="footer"/>
    <w:basedOn w:val="Normal"/>
    <w:link w:val="FooterChar"/>
    <w:uiPriority w:val="99"/>
    <w:unhideWhenUsed/>
    <w:rsid w:val="00C83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7C2"/>
  </w:style>
  <w:style w:type="character" w:customStyle="1" w:styleId="Heading1Char">
    <w:name w:val="Heading 1 Char"/>
    <w:basedOn w:val="DefaultParagraphFont"/>
    <w:link w:val="Heading1"/>
    <w:uiPriority w:val="9"/>
    <w:rsid w:val="009F7D69"/>
    <w:rPr>
      <w:rFonts w:asciiTheme="majorHAnsi" w:eastAsiaTheme="majorEastAsia" w:hAnsiTheme="majorHAnsi" w:cstheme="majorBidi"/>
      <w:b/>
      <w:bCs/>
      <w:color w:val="365F91" w:themeColor="accent1" w:themeShade="BF"/>
      <w:sz w:val="28"/>
      <w:szCs w:val="28"/>
    </w:rPr>
  </w:style>
  <w:style w:type="table" w:customStyle="1" w:styleId="TableGridLight1">
    <w:name w:val="Table Grid Light1"/>
    <w:basedOn w:val="TableNormal"/>
    <w:uiPriority w:val="40"/>
    <w:rsid w:val="00541ABA"/>
    <w:pPr>
      <w:spacing w:after="0" w:line="240" w:lineRule="auto"/>
    </w:pPr>
    <w:rPr>
      <w:sz w:val="24"/>
      <w:szCs w:val="24"/>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A67E96"/>
    <w:rPr>
      <w:color w:val="605E5C"/>
      <w:shd w:val="clear" w:color="auto" w:fill="E1DFDD"/>
    </w:rPr>
  </w:style>
  <w:style w:type="paragraph" w:styleId="Revision">
    <w:name w:val="Revision"/>
    <w:hidden/>
    <w:uiPriority w:val="99"/>
    <w:semiHidden/>
    <w:rsid w:val="00A42192"/>
    <w:pPr>
      <w:spacing w:after="0" w:line="240" w:lineRule="auto"/>
    </w:pPr>
  </w:style>
  <w:style w:type="paragraph" w:styleId="BodyText">
    <w:name w:val="Body Text"/>
    <w:basedOn w:val="Normal"/>
    <w:link w:val="BodyTextChar"/>
    <w:uiPriority w:val="99"/>
    <w:semiHidden/>
    <w:unhideWhenUsed/>
    <w:rsid w:val="00C014DC"/>
    <w:pPr>
      <w:spacing w:after="120"/>
    </w:pPr>
  </w:style>
  <w:style w:type="character" w:customStyle="1" w:styleId="BodyTextChar">
    <w:name w:val="Body Text Char"/>
    <w:basedOn w:val="DefaultParagraphFont"/>
    <w:link w:val="BodyText"/>
    <w:uiPriority w:val="99"/>
    <w:semiHidden/>
    <w:rsid w:val="00C014DC"/>
  </w:style>
  <w:style w:type="character" w:customStyle="1" w:styleId="UnresolvedMention2">
    <w:name w:val="Unresolved Mention2"/>
    <w:basedOn w:val="DefaultParagraphFont"/>
    <w:uiPriority w:val="99"/>
    <w:semiHidden/>
    <w:unhideWhenUsed/>
    <w:rsid w:val="00C05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27344">
      <w:bodyDiv w:val="1"/>
      <w:marLeft w:val="0"/>
      <w:marRight w:val="0"/>
      <w:marTop w:val="0"/>
      <w:marBottom w:val="0"/>
      <w:divBdr>
        <w:top w:val="none" w:sz="0" w:space="0" w:color="auto"/>
        <w:left w:val="none" w:sz="0" w:space="0" w:color="auto"/>
        <w:bottom w:val="none" w:sz="0" w:space="0" w:color="auto"/>
        <w:right w:val="none" w:sz="0" w:space="0" w:color="auto"/>
      </w:divBdr>
    </w:div>
    <w:div w:id="192766301">
      <w:bodyDiv w:val="1"/>
      <w:marLeft w:val="0"/>
      <w:marRight w:val="0"/>
      <w:marTop w:val="0"/>
      <w:marBottom w:val="0"/>
      <w:divBdr>
        <w:top w:val="none" w:sz="0" w:space="0" w:color="auto"/>
        <w:left w:val="none" w:sz="0" w:space="0" w:color="auto"/>
        <w:bottom w:val="none" w:sz="0" w:space="0" w:color="auto"/>
        <w:right w:val="none" w:sz="0" w:space="0" w:color="auto"/>
      </w:divBdr>
    </w:div>
    <w:div w:id="253976109">
      <w:bodyDiv w:val="1"/>
      <w:marLeft w:val="0"/>
      <w:marRight w:val="0"/>
      <w:marTop w:val="0"/>
      <w:marBottom w:val="0"/>
      <w:divBdr>
        <w:top w:val="none" w:sz="0" w:space="0" w:color="auto"/>
        <w:left w:val="none" w:sz="0" w:space="0" w:color="auto"/>
        <w:bottom w:val="none" w:sz="0" w:space="0" w:color="auto"/>
        <w:right w:val="none" w:sz="0" w:space="0" w:color="auto"/>
      </w:divBdr>
    </w:div>
    <w:div w:id="271674765">
      <w:bodyDiv w:val="1"/>
      <w:marLeft w:val="0"/>
      <w:marRight w:val="0"/>
      <w:marTop w:val="0"/>
      <w:marBottom w:val="0"/>
      <w:divBdr>
        <w:top w:val="none" w:sz="0" w:space="0" w:color="auto"/>
        <w:left w:val="none" w:sz="0" w:space="0" w:color="auto"/>
        <w:bottom w:val="none" w:sz="0" w:space="0" w:color="auto"/>
        <w:right w:val="none" w:sz="0" w:space="0" w:color="auto"/>
      </w:divBdr>
    </w:div>
    <w:div w:id="299459177">
      <w:bodyDiv w:val="1"/>
      <w:marLeft w:val="0"/>
      <w:marRight w:val="0"/>
      <w:marTop w:val="0"/>
      <w:marBottom w:val="0"/>
      <w:divBdr>
        <w:top w:val="none" w:sz="0" w:space="0" w:color="auto"/>
        <w:left w:val="none" w:sz="0" w:space="0" w:color="auto"/>
        <w:bottom w:val="none" w:sz="0" w:space="0" w:color="auto"/>
        <w:right w:val="none" w:sz="0" w:space="0" w:color="auto"/>
      </w:divBdr>
    </w:div>
    <w:div w:id="333338175">
      <w:bodyDiv w:val="1"/>
      <w:marLeft w:val="0"/>
      <w:marRight w:val="0"/>
      <w:marTop w:val="0"/>
      <w:marBottom w:val="0"/>
      <w:divBdr>
        <w:top w:val="none" w:sz="0" w:space="0" w:color="auto"/>
        <w:left w:val="none" w:sz="0" w:space="0" w:color="auto"/>
        <w:bottom w:val="none" w:sz="0" w:space="0" w:color="auto"/>
        <w:right w:val="none" w:sz="0" w:space="0" w:color="auto"/>
      </w:divBdr>
    </w:div>
    <w:div w:id="363750488">
      <w:bodyDiv w:val="1"/>
      <w:marLeft w:val="0"/>
      <w:marRight w:val="0"/>
      <w:marTop w:val="0"/>
      <w:marBottom w:val="0"/>
      <w:divBdr>
        <w:top w:val="none" w:sz="0" w:space="0" w:color="auto"/>
        <w:left w:val="none" w:sz="0" w:space="0" w:color="auto"/>
        <w:bottom w:val="none" w:sz="0" w:space="0" w:color="auto"/>
        <w:right w:val="none" w:sz="0" w:space="0" w:color="auto"/>
      </w:divBdr>
    </w:div>
    <w:div w:id="385380298">
      <w:bodyDiv w:val="1"/>
      <w:marLeft w:val="0"/>
      <w:marRight w:val="0"/>
      <w:marTop w:val="0"/>
      <w:marBottom w:val="0"/>
      <w:divBdr>
        <w:top w:val="none" w:sz="0" w:space="0" w:color="auto"/>
        <w:left w:val="none" w:sz="0" w:space="0" w:color="auto"/>
        <w:bottom w:val="none" w:sz="0" w:space="0" w:color="auto"/>
        <w:right w:val="none" w:sz="0" w:space="0" w:color="auto"/>
      </w:divBdr>
    </w:div>
    <w:div w:id="395712729">
      <w:bodyDiv w:val="1"/>
      <w:marLeft w:val="0"/>
      <w:marRight w:val="0"/>
      <w:marTop w:val="0"/>
      <w:marBottom w:val="0"/>
      <w:divBdr>
        <w:top w:val="none" w:sz="0" w:space="0" w:color="auto"/>
        <w:left w:val="none" w:sz="0" w:space="0" w:color="auto"/>
        <w:bottom w:val="none" w:sz="0" w:space="0" w:color="auto"/>
        <w:right w:val="none" w:sz="0" w:space="0" w:color="auto"/>
      </w:divBdr>
    </w:div>
    <w:div w:id="516652416">
      <w:bodyDiv w:val="1"/>
      <w:marLeft w:val="0"/>
      <w:marRight w:val="0"/>
      <w:marTop w:val="0"/>
      <w:marBottom w:val="0"/>
      <w:divBdr>
        <w:top w:val="none" w:sz="0" w:space="0" w:color="auto"/>
        <w:left w:val="none" w:sz="0" w:space="0" w:color="auto"/>
        <w:bottom w:val="none" w:sz="0" w:space="0" w:color="auto"/>
        <w:right w:val="none" w:sz="0" w:space="0" w:color="auto"/>
      </w:divBdr>
      <w:divsChild>
        <w:div w:id="569926600">
          <w:marLeft w:val="0"/>
          <w:marRight w:val="0"/>
          <w:marTop w:val="0"/>
          <w:marBottom w:val="0"/>
          <w:divBdr>
            <w:top w:val="none" w:sz="0" w:space="0" w:color="auto"/>
            <w:left w:val="none" w:sz="0" w:space="0" w:color="auto"/>
            <w:bottom w:val="none" w:sz="0" w:space="0" w:color="auto"/>
            <w:right w:val="none" w:sz="0" w:space="0" w:color="auto"/>
          </w:divBdr>
        </w:div>
        <w:div w:id="85267553">
          <w:marLeft w:val="0"/>
          <w:marRight w:val="0"/>
          <w:marTop w:val="0"/>
          <w:marBottom w:val="0"/>
          <w:divBdr>
            <w:top w:val="none" w:sz="0" w:space="0" w:color="auto"/>
            <w:left w:val="none" w:sz="0" w:space="0" w:color="auto"/>
            <w:bottom w:val="none" w:sz="0" w:space="0" w:color="auto"/>
            <w:right w:val="none" w:sz="0" w:space="0" w:color="auto"/>
          </w:divBdr>
        </w:div>
        <w:div w:id="1298989803">
          <w:marLeft w:val="0"/>
          <w:marRight w:val="0"/>
          <w:marTop w:val="0"/>
          <w:marBottom w:val="0"/>
          <w:divBdr>
            <w:top w:val="none" w:sz="0" w:space="0" w:color="auto"/>
            <w:left w:val="none" w:sz="0" w:space="0" w:color="auto"/>
            <w:bottom w:val="none" w:sz="0" w:space="0" w:color="auto"/>
            <w:right w:val="none" w:sz="0" w:space="0" w:color="auto"/>
          </w:divBdr>
        </w:div>
        <w:div w:id="1886527502">
          <w:marLeft w:val="0"/>
          <w:marRight w:val="0"/>
          <w:marTop w:val="0"/>
          <w:marBottom w:val="0"/>
          <w:divBdr>
            <w:top w:val="none" w:sz="0" w:space="0" w:color="auto"/>
            <w:left w:val="none" w:sz="0" w:space="0" w:color="auto"/>
            <w:bottom w:val="none" w:sz="0" w:space="0" w:color="auto"/>
            <w:right w:val="none" w:sz="0" w:space="0" w:color="auto"/>
          </w:divBdr>
        </w:div>
        <w:div w:id="1543707530">
          <w:marLeft w:val="0"/>
          <w:marRight w:val="0"/>
          <w:marTop w:val="0"/>
          <w:marBottom w:val="0"/>
          <w:divBdr>
            <w:top w:val="none" w:sz="0" w:space="0" w:color="auto"/>
            <w:left w:val="none" w:sz="0" w:space="0" w:color="auto"/>
            <w:bottom w:val="none" w:sz="0" w:space="0" w:color="auto"/>
            <w:right w:val="none" w:sz="0" w:space="0" w:color="auto"/>
          </w:divBdr>
        </w:div>
        <w:div w:id="247232101">
          <w:marLeft w:val="0"/>
          <w:marRight w:val="0"/>
          <w:marTop w:val="0"/>
          <w:marBottom w:val="0"/>
          <w:divBdr>
            <w:top w:val="none" w:sz="0" w:space="0" w:color="auto"/>
            <w:left w:val="none" w:sz="0" w:space="0" w:color="auto"/>
            <w:bottom w:val="none" w:sz="0" w:space="0" w:color="auto"/>
            <w:right w:val="none" w:sz="0" w:space="0" w:color="auto"/>
          </w:divBdr>
        </w:div>
        <w:div w:id="895703156">
          <w:marLeft w:val="0"/>
          <w:marRight w:val="0"/>
          <w:marTop w:val="0"/>
          <w:marBottom w:val="0"/>
          <w:divBdr>
            <w:top w:val="none" w:sz="0" w:space="0" w:color="auto"/>
            <w:left w:val="none" w:sz="0" w:space="0" w:color="auto"/>
            <w:bottom w:val="none" w:sz="0" w:space="0" w:color="auto"/>
            <w:right w:val="none" w:sz="0" w:space="0" w:color="auto"/>
          </w:divBdr>
        </w:div>
        <w:div w:id="124080725">
          <w:marLeft w:val="0"/>
          <w:marRight w:val="0"/>
          <w:marTop w:val="0"/>
          <w:marBottom w:val="0"/>
          <w:divBdr>
            <w:top w:val="none" w:sz="0" w:space="0" w:color="auto"/>
            <w:left w:val="none" w:sz="0" w:space="0" w:color="auto"/>
            <w:bottom w:val="none" w:sz="0" w:space="0" w:color="auto"/>
            <w:right w:val="none" w:sz="0" w:space="0" w:color="auto"/>
          </w:divBdr>
        </w:div>
      </w:divsChild>
    </w:div>
    <w:div w:id="529300856">
      <w:bodyDiv w:val="1"/>
      <w:marLeft w:val="0"/>
      <w:marRight w:val="0"/>
      <w:marTop w:val="0"/>
      <w:marBottom w:val="0"/>
      <w:divBdr>
        <w:top w:val="none" w:sz="0" w:space="0" w:color="auto"/>
        <w:left w:val="none" w:sz="0" w:space="0" w:color="auto"/>
        <w:bottom w:val="none" w:sz="0" w:space="0" w:color="auto"/>
        <w:right w:val="none" w:sz="0" w:space="0" w:color="auto"/>
      </w:divBdr>
    </w:div>
    <w:div w:id="529487834">
      <w:bodyDiv w:val="1"/>
      <w:marLeft w:val="0"/>
      <w:marRight w:val="0"/>
      <w:marTop w:val="0"/>
      <w:marBottom w:val="0"/>
      <w:divBdr>
        <w:top w:val="none" w:sz="0" w:space="0" w:color="auto"/>
        <w:left w:val="none" w:sz="0" w:space="0" w:color="auto"/>
        <w:bottom w:val="none" w:sz="0" w:space="0" w:color="auto"/>
        <w:right w:val="none" w:sz="0" w:space="0" w:color="auto"/>
      </w:divBdr>
    </w:div>
    <w:div w:id="557401676">
      <w:bodyDiv w:val="1"/>
      <w:marLeft w:val="0"/>
      <w:marRight w:val="0"/>
      <w:marTop w:val="0"/>
      <w:marBottom w:val="0"/>
      <w:divBdr>
        <w:top w:val="none" w:sz="0" w:space="0" w:color="auto"/>
        <w:left w:val="none" w:sz="0" w:space="0" w:color="auto"/>
        <w:bottom w:val="none" w:sz="0" w:space="0" w:color="auto"/>
        <w:right w:val="none" w:sz="0" w:space="0" w:color="auto"/>
      </w:divBdr>
    </w:div>
    <w:div w:id="604848299">
      <w:bodyDiv w:val="1"/>
      <w:marLeft w:val="0"/>
      <w:marRight w:val="0"/>
      <w:marTop w:val="0"/>
      <w:marBottom w:val="0"/>
      <w:divBdr>
        <w:top w:val="none" w:sz="0" w:space="0" w:color="auto"/>
        <w:left w:val="none" w:sz="0" w:space="0" w:color="auto"/>
        <w:bottom w:val="none" w:sz="0" w:space="0" w:color="auto"/>
        <w:right w:val="none" w:sz="0" w:space="0" w:color="auto"/>
      </w:divBdr>
    </w:div>
    <w:div w:id="621806412">
      <w:bodyDiv w:val="1"/>
      <w:marLeft w:val="0"/>
      <w:marRight w:val="0"/>
      <w:marTop w:val="0"/>
      <w:marBottom w:val="0"/>
      <w:divBdr>
        <w:top w:val="none" w:sz="0" w:space="0" w:color="auto"/>
        <w:left w:val="none" w:sz="0" w:space="0" w:color="auto"/>
        <w:bottom w:val="none" w:sz="0" w:space="0" w:color="auto"/>
        <w:right w:val="none" w:sz="0" w:space="0" w:color="auto"/>
      </w:divBdr>
    </w:div>
    <w:div w:id="645740247">
      <w:bodyDiv w:val="1"/>
      <w:marLeft w:val="0"/>
      <w:marRight w:val="0"/>
      <w:marTop w:val="0"/>
      <w:marBottom w:val="0"/>
      <w:divBdr>
        <w:top w:val="none" w:sz="0" w:space="0" w:color="auto"/>
        <w:left w:val="none" w:sz="0" w:space="0" w:color="auto"/>
        <w:bottom w:val="none" w:sz="0" w:space="0" w:color="auto"/>
        <w:right w:val="none" w:sz="0" w:space="0" w:color="auto"/>
      </w:divBdr>
      <w:divsChild>
        <w:div w:id="781263896">
          <w:marLeft w:val="0"/>
          <w:marRight w:val="0"/>
          <w:marTop w:val="0"/>
          <w:marBottom w:val="0"/>
          <w:divBdr>
            <w:top w:val="none" w:sz="0" w:space="0" w:color="auto"/>
            <w:left w:val="none" w:sz="0" w:space="0" w:color="auto"/>
            <w:bottom w:val="none" w:sz="0" w:space="0" w:color="auto"/>
            <w:right w:val="none" w:sz="0" w:space="0" w:color="auto"/>
          </w:divBdr>
        </w:div>
        <w:div w:id="1003357779">
          <w:marLeft w:val="0"/>
          <w:marRight w:val="0"/>
          <w:marTop w:val="0"/>
          <w:marBottom w:val="0"/>
          <w:divBdr>
            <w:top w:val="none" w:sz="0" w:space="0" w:color="auto"/>
            <w:left w:val="none" w:sz="0" w:space="0" w:color="auto"/>
            <w:bottom w:val="none" w:sz="0" w:space="0" w:color="auto"/>
            <w:right w:val="none" w:sz="0" w:space="0" w:color="auto"/>
          </w:divBdr>
        </w:div>
      </w:divsChild>
    </w:div>
    <w:div w:id="693072505">
      <w:bodyDiv w:val="1"/>
      <w:marLeft w:val="0"/>
      <w:marRight w:val="0"/>
      <w:marTop w:val="0"/>
      <w:marBottom w:val="0"/>
      <w:divBdr>
        <w:top w:val="none" w:sz="0" w:space="0" w:color="auto"/>
        <w:left w:val="none" w:sz="0" w:space="0" w:color="auto"/>
        <w:bottom w:val="none" w:sz="0" w:space="0" w:color="auto"/>
        <w:right w:val="none" w:sz="0" w:space="0" w:color="auto"/>
      </w:divBdr>
    </w:div>
    <w:div w:id="719868685">
      <w:bodyDiv w:val="1"/>
      <w:marLeft w:val="0"/>
      <w:marRight w:val="0"/>
      <w:marTop w:val="0"/>
      <w:marBottom w:val="0"/>
      <w:divBdr>
        <w:top w:val="none" w:sz="0" w:space="0" w:color="auto"/>
        <w:left w:val="none" w:sz="0" w:space="0" w:color="auto"/>
        <w:bottom w:val="none" w:sz="0" w:space="0" w:color="auto"/>
        <w:right w:val="none" w:sz="0" w:space="0" w:color="auto"/>
      </w:divBdr>
    </w:div>
    <w:div w:id="720444479">
      <w:bodyDiv w:val="1"/>
      <w:marLeft w:val="0"/>
      <w:marRight w:val="0"/>
      <w:marTop w:val="0"/>
      <w:marBottom w:val="0"/>
      <w:divBdr>
        <w:top w:val="none" w:sz="0" w:space="0" w:color="auto"/>
        <w:left w:val="none" w:sz="0" w:space="0" w:color="auto"/>
        <w:bottom w:val="none" w:sz="0" w:space="0" w:color="auto"/>
        <w:right w:val="none" w:sz="0" w:space="0" w:color="auto"/>
      </w:divBdr>
    </w:div>
    <w:div w:id="826476661">
      <w:bodyDiv w:val="1"/>
      <w:marLeft w:val="0"/>
      <w:marRight w:val="0"/>
      <w:marTop w:val="0"/>
      <w:marBottom w:val="0"/>
      <w:divBdr>
        <w:top w:val="none" w:sz="0" w:space="0" w:color="auto"/>
        <w:left w:val="none" w:sz="0" w:space="0" w:color="auto"/>
        <w:bottom w:val="none" w:sz="0" w:space="0" w:color="auto"/>
        <w:right w:val="none" w:sz="0" w:space="0" w:color="auto"/>
      </w:divBdr>
    </w:div>
    <w:div w:id="887298726">
      <w:bodyDiv w:val="1"/>
      <w:marLeft w:val="0"/>
      <w:marRight w:val="0"/>
      <w:marTop w:val="0"/>
      <w:marBottom w:val="0"/>
      <w:divBdr>
        <w:top w:val="none" w:sz="0" w:space="0" w:color="auto"/>
        <w:left w:val="none" w:sz="0" w:space="0" w:color="auto"/>
        <w:bottom w:val="none" w:sz="0" w:space="0" w:color="auto"/>
        <w:right w:val="none" w:sz="0" w:space="0" w:color="auto"/>
      </w:divBdr>
    </w:div>
    <w:div w:id="919604752">
      <w:bodyDiv w:val="1"/>
      <w:marLeft w:val="0"/>
      <w:marRight w:val="0"/>
      <w:marTop w:val="0"/>
      <w:marBottom w:val="0"/>
      <w:divBdr>
        <w:top w:val="none" w:sz="0" w:space="0" w:color="auto"/>
        <w:left w:val="none" w:sz="0" w:space="0" w:color="auto"/>
        <w:bottom w:val="none" w:sz="0" w:space="0" w:color="auto"/>
        <w:right w:val="none" w:sz="0" w:space="0" w:color="auto"/>
      </w:divBdr>
    </w:div>
    <w:div w:id="947126777">
      <w:bodyDiv w:val="1"/>
      <w:marLeft w:val="0"/>
      <w:marRight w:val="0"/>
      <w:marTop w:val="0"/>
      <w:marBottom w:val="0"/>
      <w:divBdr>
        <w:top w:val="none" w:sz="0" w:space="0" w:color="auto"/>
        <w:left w:val="none" w:sz="0" w:space="0" w:color="auto"/>
        <w:bottom w:val="none" w:sz="0" w:space="0" w:color="auto"/>
        <w:right w:val="none" w:sz="0" w:space="0" w:color="auto"/>
      </w:divBdr>
    </w:div>
    <w:div w:id="1021661982">
      <w:bodyDiv w:val="1"/>
      <w:marLeft w:val="0"/>
      <w:marRight w:val="0"/>
      <w:marTop w:val="0"/>
      <w:marBottom w:val="0"/>
      <w:divBdr>
        <w:top w:val="none" w:sz="0" w:space="0" w:color="auto"/>
        <w:left w:val="none" w:sz="0" w:space="0" w:color="auto"/>
        <w:bottom w:val="none" w:sz="0" w:space="0" w:color="auto"/>
        <w:right w:val="none" w:sz="0" w:space="0" w:color="auto"/>
      </w:divBdr>
    </w:div>
    <w:div w:id="1137458246">
      <w:bodyDiv w:val="1"/>
      <w:marLeft w:val="0"/>
      <w:marRight w:val="0"/>
      <w:marTop w:val="0"/>
      <w:marBottom w:val="0"/>
      <w:divBdr>
        <w:top w:val="none" w:sz="0" w:space="0" w:color="auto"/>
        <w:left w:val="none" w:sz="0" w:space="0" w:color="auto"/>
        <w:bottom w:val="none" w:sz="0" w:space="0" w:color="auto"/>
        <w:right w:val="none" w:sz="0" w:space="0" w:color="auto"/>
      </w:divBdr>
    </w:div>
    <w:div w:id="1198811404">
      <w:bodyDiv w:val="1"/>
      <w:marLeft w:val="0"/>
      <w:marRight w:val="0"/>
      <w:marTop w:val="0"/>
      <w:marBottom w:val="0"/>
      <w:divBdr>
        <w:top w:val="none" w:sz="0" w:space="0" w:color="auto"/>
        <w:left w:val="none" w:sz="0" w:space="0" w:color="auto"/>
        <w:bottom w:val="none" w:sz="0" w:space="0" w:color="auto"/>
        <w:right w:val="none" w:sz="0" w:space="0" w:color="auto"/>
      </w:divBdr>
    </w:div>
    <w:div w:id="1257977018">
      <w:bodyDiv w:val="1"/>
      <w:marLeft w:val="0"/>
      <w:marRight w:val="0"/>
      <w:marTop w:val="0"/>
      <w:marBottom w:val="0"/>
      <w:divBdr>
        <w:top w:val="none" w:sz="0" w:space="0" w:color="auto"/>
        <w:left w:val="none" w:sz="0" w:space="0" w:color="auto"/>
        <w:bottom w:val="none" w:sz="0" w:space="0" w:color="auto"/>
        <w:right w:val="none" w:sz="0" w:space="0" w:color="auto"/>
      </w:divBdr>
    </w:div>
    <w:div w:id="1311135030">
      <w:bodyDiv w:val="1"/>
      <w:marLeft w:val="0"/>
      <w:marRight w:val="0"/>
      <w:marTop w:val="0"/>
      <w:marBottom w:val="0"/>
      <w:divBdr>
        <w:top w:val="none" w:sz="0" w:space="0" w:color="auto"/>
        <w:left w:val="none" w:sz="0" w:space="0" w:color="auto"/>
        <w:bottom w:val="none" w:sz="0" w:space="0" w:color="auto"/>
        <w:right w:val="none" w:sz="0" w:space="0" w:color="auto"/>
      </w:divBdr>
    </w:div>
    <w:div w:id="1391346795">
      <w:bodyDiv w:val="1"/>
      <w:marLeft w:val="0"/>
      <w:marRight w:val="0"/>
      <w:marTop w:val="0"/>
      <w:marBottom w:val="0"/>
      <w:divBdr>
        <w:top w:val="none" w:sz="0" w:space="0" w:color="auto"/>
        <w:left w:val="none" w:sz="0" w:space="0" w:color="auto"/>
        <w:bottom w:val="none" w:sz="0" w:space="0" w:color="auto"/>
        <w:right w:val="none" w:sz="0" w:space="0" w:color="auto"/>
      </w:divBdr>
    </w:div>
    <w:div w:id="1395665673">
      <w:bodyDiv w:val="1"/>
      <w:marLeft w:val="0"/>
      <w:marRight w:val="0"/>
      <w:marTop w:val="0"/>
      <w:marBottom w:val="0"/>
      <w:divBdr>
        <w:top w:val="none" w:sz="0" w:space="0" w:color="auto"/>
        <w:left w:val="none" w:sz="0" w:space="0" w:color="auto"/>
        <w:bottom w:val="none" w:sz="0" w:space="0" w:color="auto"/>
        <w:right w:val="none" w:sz="0" w:space="0" w:color="auto"/>
      </w:divBdr>
    </w:div>
    <w:div w:id="1445611509">
      <w:bodyDiv w:val="1"/>
      <w:marLeft w:val="0"/>
      <w:marRight w:val="0"/>
      <w:marTop w:val="0"/>
      <w:marBottom w:val="0"/>
      <w:divBdr>
        <w:top w:val="none" w:sz="0" w:space="0" w:color="auto"/>
        <w:left w:val="none" w:sz="0" w:space="0" w:color="auto"/>
        <w:bottom w:val="none" w:sz="0" w:space="0" w:color="auto"/>
        <w:right w:val="none" w:sz="0" w:space="0" w:color="auto"/>
      </w:divBdr>
    </w:div>
    <w:div w:id="1486897730">
      <w:bodyDiv w:val="1"/>
      <w:marLeft w:val="0"/>
      <w:marRight w:val="0"/>
      <w:marTop w:val="0"/>
      <w:marBottom w:val="0"/>
      <w:divBdr>
        <w:top w:val="none" w:sz="0" w:space="0" w:color="auto"/>
        <w:left w:val="none" w:sz="0" w:space="0" w:color="auto"/>
        <w:bottom w:val="none" w:sz="0" w:space="0" w:color="auto"/>
        <w:right w:val="none" w:sz="0" w:space="0" w:color="auto"/>
      </w:divBdr>
    </w:div>
    <w:div w:id="1645357138">
      <w:bodyDiv w:val="1"/>
      <w:marLeft w:val="0"/>
      <w:marRight w:val="0"/>
      <w:marTop w:val="0"/>
      <w:marBottom w:val="0"/>
      <w:divBdr>
        <w:top w:val="none" w:sz="0" w:space="0" w:color="auto"/>
        <w:left w:val="none" w:sz="0" w:space="0" w:color="auto"/>
        <w:bottom w:val="none" w:sz="0" w:space="0" w:color="auto"/>
        <w:right w:val="none" w:sz="0" w:space="0" w:color="auto"/>
      </w:divBdr>
    </w:div>
    <w:div w:id="1727797170">
      <w:bodyDiv w:val="1"/>
      <w:marLeft w:val="0"/>
      <w:marRight w:val="0"/>
      <w:marTop w:val="0"/>
      <w:marBottom w:val="0"/>
      <w:divBdr>
        <w:top w:val="none" w:sz="0" w:space="0" w:color="auto"/>
        <w:left w:val="none" w:sz="0" w:space="0" w:color="auto"/>
        <w:bottom w:val="none" w:sz="0" w:space="0" w:color="auto"/>
        <w:right w:val="none" w:sz="0" w:space="0" w:color="auto"/>
      </w:divBdr>
    </w:div>
    <w:div w:id="1759138536">
      <w:bodyDiv w:val="1"/>
      <w:marLeft w:val="0"/>
      <w:marRight w:val="0"/>
      <w:marTop w:val="0"/>
      <w:marBottom w:val="0"/>
      <w:divBdr>
        <w:top w:val="none" w:sz="0" w:space="0" w:color="auto"/>
        <w:left w:val="none" w:sz="0" w:space="0" w:color="auto"/>
        <w:bottom w:val="none" w:sz="0" w:space="0" w:color="auto"/>
        <w:right w:val="none" w:sz="0" w:space="0" w:color="auto"/>
      </w:divBdr>
    </w:div>
    <w:div w:id="1761683668">
      <w:bodyDiv w:val="1"/>
      <w:marLeft w:val="0"/>
      <w:marRight w:val="0"/>
      <w:marTop w:val="0"/>
      <w:marBottom w:val="0"/>
      <w:divBdr>
        <w:top w:val="none" w:sz="0" w:space="0" w:color="auto"/>
        <w:left w:val="none" w:sz="0" w:space="0" w:color="auto"/>
        <w:bottom w:val="none" w:sz="0" w:space="0" w:color="auto"/>
        <w:right w:val="none" w:sz="0" w:space="0" w:color="auto"/>
      </w:divBdr>
    </w:div>
    <w:div w:id="1800144249">
      <w:bodyDiv w:val="1"/>
      <w:marLeft w:val="0"/>
      <w:marRight w:val="0"/>
      <w:marTop w:val="0"/>
      <w:marBottom w:val="0"/>
      <w:divBdr>
        <w:top w:val="none" w:sz="0" w:space="0" w:color="auto"/>
        <w:left w:val="none" w:sz="0" w:space="0" w:color="auto"/>
        <w:bottom w:val="none" w:sz="0" w:space="0" w:color="auto"/>
        <w:right w:val="none" w:sz="0" w:space="0" w:color="auto"/>
      </w:divBdr>
    </w:div>
    <w:div w:id="1818843009">
      <w:bodyDiv w:val="1"/>
      <w:marLeft w:val="0"/>
      <w:marRight w:val="0"/>
      <w:marTop w:val="0"/>
      <w:marBottom w:val="0"/>
      <w:divBdr>
        <w:top w:val="none" w:sz="0" w:space="0" w:color="auto"/>
        <w:left w:val="none" w:sz="0" w:space="0" w:color="auto"/>
        <w:bottom w:val="none" w:sz="0" w:space="0" w:color="auto"/>
        <w:right w:val="none" w:sz="0" w:space="0" w:color="auto"/>
      </w:divBdr>
      <w:divsChild>
        <w:div w:id="556479892">
          <w:marLeft w:val="0"/>
          <w:marRight w:val="0"/>
          <w:marTop w:val="0"/>
          <w:marBottom w:val="0"/>
          <w:divBdr>
            <w:top w:val="none" w:sz="0" w:space="0" w:color="auto"/>
            <w:left w:val="none" w:sz="0" w:space="0" w:color="auto"/>
            <w:bottom w:val="none" w:sz="0" w:space="0" w:color="auto"/>
            <w:right w:val="none" w:sz="0" w:space="0" w:color="auto"/>
          </w:divBdr>
        </w:div>
        <w:div w:id="395588701">
          <w:marLeft w:val="0"/>
          <w:marRight w:val="0"/>
          <w:marTop w:val="0"/>
          <w:marBottom w:val="0"/>
          <w:divBdr>
            <w:top w:val="none" w:sz="0" w:space="0" w:color="auto"/>
            <w:left w:val="none" w:sz="0" w:space="0" w:color="auto"/>
            <w:bottom w:val="none" w:sz="0" w:space="0" w:color="auto"/>
            <w:right w:val="none" w:sz="0" w:space="0" w:color="auto"/>
          </w:divBdr>
        </w:div>
      </w:divsChild>
    </w:div>
    <w:div w:id="1844543435">
      <w:bodyDiv w:val="1"/>
      <w:marLeft w:val="0"/>
      <w:marRight w:val="0"/>
      <w:marTop w:val="0"/>
      <w:marBottom w:val="0"/>
      <w:divBdr>
        <w:top w:val="none" w:sz="0" w:space="0" w:color="auto"/>
        <w:left w:val="none" w:sz="0" w:space="0" w:color="auto"/>
        <w:bottom w:val="none" w:sz="0" w:space="0" w:color="auto"/>
        <w:right w:val="none" w:sz="0" w:space="0" w:color="auto"/>
      </w:divBdr>
    </w:div>
    <w:div w:id="1849127459">
      <w:bodyDiv w:val="1"/>
      <w:marLeft w:val="0"/>
      <w:marRight w:val="0"/>
      <w:marTop w:val="0"/>
      <w:marBottom w:val="0"/>
      <w:divBdr>
        <w:top w:val="none" w:sz="0" w:space="0" w:color="auto"/>
        <w:left w:val="none" w:sz="0" w:space="0" w:color="auto"/>
        <w:bottom w:val="none" w:sz="0" w:space="0" w:color="auto"/>
        <w:right w:val="none" w:sz="0" w:space="0" w:color="auto"/>
      </w:divBdr>
    </w:div>
    <w:div w:id="1959601955">
      <w:bodyDiv w:val="1"/>
      <w:marLeft w:val="0"/>
      <w:marRight w:val="0"/>
      <w:marTop w:val="0"/>
      <w:marBottom w:val="0"/>
      <w:divBdr>
        <w:top w:val="none" w:sz="0" w:space="0" w:color="auto"/>
        <w:left w:val="none" w:sz="0" w:space="0" w:color="auto"/>
        <w:bottom w:val="none" w:sz="0" w:space="0" w:color="auto"/>
        <w:right w:val="none" w:sz="0" w:space="0" w:color="auto"/>
      </w:divBdr>
    </w:div>
    <w:div w:id="1977686116">
      <w:bodyDiv w:val="1"/>
      <w:marLeft w:val="0"/>
      <w:marRight w:val="0"/>
      <w:marTop w:val="0"/>
      <w:marBottom w:val="0"/>
      <w:divBdr>
        <w:top w:val="none" w:sz="0" w:space="0" w:color="auto"/>
        <w:left w:val="none" w:sz="0" w:space="0" w:color="auto"/>
        <w:bottom w:val="none" w:sz="0" w:space="0" w:color="auto"/>
        <w:right w:val="none" w:sz="0" w:space="0" w:color="auto"/>
      </w:divBdr>
    </w:div>
    <w:div w:id="2049523295">
      <w:bodyDiv w:val="1"/>
      <w:marLeft w:val="0"/>
      <w:marRight w:val="0"/>
      <w:marTop w:val="0"/>
      <w:marBottom w:val="0"/>
      <w:divBdr>
        <w:top w:val="none" w:sz="0" w:space="0" w:color="auto"/>
        <w:left w:val="none" w:sz="0" w:space="0" w:color="auto"/>
        <w:bottom w:val="none" w:sz="0" w:space="0" w:color="auto"/>
        <w:right w:val="none" w:sz="0" w:space="0" w:color="auto"/>
      </w:divBdr>
    </w:div>
    <w:div w:id="2113089620">
      <w:bodyDiv w:val="1"/>
      <w:marLeft w:val="0"/>
      <w:marRight w:val="0"/>
      <w:marTop w:val="0"/>
      <w:marBottom w:val="0"/>
      <w:divBdr>
        <w:top w:val="none" w:sz="0" w:space="0" w:color="auto"/>
        <w:left w:val="none" w:sz="0" w:space="0" w:color="auto"/>
        <w:bottom w:val="none" w:sz="0" w:space="0" w:color="auto"/>
        <w:right w:val="none" w:sz="0" w:space="0" w:color="auto"/>
      </w:divBdr>
    </w:div>
    <w:div w:id="212646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hyperlink" Target="https://www.gov.uk/government/publications/environmental-reporting-guidelines-including-mandatory-greenhouse-gas-emissions-reporting-guidance" TargetMode="External"/><Relationship Id="rId18" Type="http://schemas.openxmlformats.org/officeDocument/2006/relationships/hyperlink" Target="https://www.theguardian.com/education/2016/nov/22/universities-green-goals-environmental-targets-people-planet-league.%20Accessed%2016/12/16" TargetMode="External"/><Relationship Id="rId26" Type="http://schemas.openxmlformats.org/officeDocument/2006/relationships/hyperlink" Target="http://www.unprme.org/how-to-engage/chapters.php" TargetMode="External"/><Relationship Id="rId3" Type="http://schemas.openxmlformats.org/officeDocument/2006/relationships/styles" Target="styles.xml"/><Relationship Id="rId21" Type="http://schemas.openxmlformats.org/officeDocument/2006/relationships/hyperlink" Target="https://sustainabledevelopment.un.org/content/documents/Agenda21.pdf" TargetMode="External"/><Relationship Id="rId7" Type="http://schemas.openxmlformats.org/officeDocument/2006/relationships/endnotes" Target="endnotes.xml"/><Relationship Id="rId12" Type="http://schemas.openxmlformats.org/officeDocument/2006/relationships/hyperlink" Target="https://doi.org/10.5751/ES-01759-110208" TargetMode="External"/><Relationship Id="rId17" Type="http://schemas.openxmlformats.org/officeDocument/2006/relationships/hyperlink" Target="http://webarchive.nationalarchives.gov.uk/20100202100434/http:/hefce.ac.uk/pubs/hefce/2009/09_03/" TargetMode="External"/><Relationship Id="rId25" Type="http://schemas.openxmlformats.org/officeDocument/2006/relationships/hyperlink" Target="http://www.unep.org/training/programmes/gupes.asp" TargetMode="External"/><Relationship Id="rId2" Type="http://schemas.openxmlformats.org/officeDocument/2006/relationships/numbering" Target="numbering.xml"/><Relationship Id="rId16" Type="http://schemas.openxmlformats.org/officeDocument/2006/relationships/hyperlink" Target="http://webarchive.nationalarchives.gov.uk/20100202100434/http://hefce.ac.uk/pubs/hefce/2005/05_28/" TargetMode="External"/><Relationship Id="rId20" Type="http://schemas.openxmlformats.org/officeDocument/2006/relationships/hyperlink" Target="https://www.theguardian.com/higher-education-network/2015/mar/19/business-partnership-category-winner-and-runners-up" TargetMode="External"/><Relationship Id="rId29" Type="http://schemas.openxmlformats.org/officeDocument/2006/relationships/hyperlink" Target="http://www.ghgprotocol.org/standards/corporate-standard%20Accessed%2015/12/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ijme.2017.03.013" TargetMode="External"/><Relationship Id="rId24" Type="http://schemas.openxmlformats.org/officeDocument/2006/relationships/hyperlink" Target="http://en.unesco.org/ga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fmd.org/images/stories/efmd/EQUIS/2016/EQUIS_Standards_and_Criteria.pdf%20Accessed%2016/12/2016" TargetMode="External"/><Relationship Id="rId23" Type="http://schemas.openxmlformats.org/officeDocument/2006/relationships/hyperlink" Target="http://en.unesco.org/themes/education-sustainable-development/what-is-esd/un-decade-of-esd" TargetMode="External"/><Relationship Id="rId28" Type="http://schemas.openxmlformats.org/officeDocument/2006/relationships/hyperlink" Target="http://irep.ntu.ac.uk/id/eprint/35433/" TargetMode="External"/><Relationship Id="rId10" Type="http://schemas.openxmlformats.org/officeDocument/2006/relationships/hyperlink" Target="https://www.bbc.com/news/uk-politics-48126677" TargetMode="External"/><Relationship Id="rId19" Type="http://schemas.openxmlformats.org/officeDocument/2006/relationships/hyperlink" Target="http://sustainability.nus.org.u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lsf.org/pdf/td.pdf" TargetMode="External"/><Relationship Id="rId14" Type="http://schemas.openxmlformats.org/officeDocument/2006/relationships/hyperlink" Target="http://www.eauc.org.uk/who_we_are" TargetMode="External"/><Relationship Id="rId22" Type="http://schemas.openxmlformats.org/officeDocument/2006/relationships/hyperlink" Target="http://www.undp.org/content/undp/en/home/sustainable-development-goals.html" TargetMode="External"/><Relationship Id="rId27" Type="http://schemas.openxmlformats.org/officeDocument/2006/relationships/hyperlink" Target="http://www.unprme.org/working-groups/champions.ph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7520D-A5D4-4801-935C-EE48DF670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11730</Words>
  <Characters>66863</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gga05</dc:creator>
  <cp:lastModifiedBy>Windows User</cp:lastModifiedBy>
  <cp:revision>2</cp:revision>
  <dcterms:created xsi:type="dcterms:W3CDTF">2019-12-13T15:54:00Z</dcterms:created>
  <dcterms:modified xsi:type="dcterms:W3CDTF">2019-12-13T15:54:00Z</dcterms:modified>
</cp:coreProperties>
</file>