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AE" w:rsidRPr="006355C4" w:rsidRDefault="00C51D42" w:rsidP="00F51322">
      <w:pPr>
        <w:pStyle w:val="JCETitle"/>
      </w:pPr>
      <w:r>
        <w:t xml:space="preserve">A Data-Pooling </w:t>
      </w:r>
      <w:r w:rsidR="00FA26E9">
        <w:t>Laboratory Activity</w:t>
      </w:r>
      <w:r>
        <w:t xml:space="preserve"> to Investigate the Influence of Ionic Strength on the Solubility of CaSO</w:t>
      </w:r>
      <w:r w:rsidRPr="00C51D42">
        <w:rPr>
          <w:vertAlign w:val="subscript"/>
        </w:rPr>
        <w:t>4</w:t>
      </w:r>
      <w:r w:rsidR="000249C3">
        <w:rPr>
          <w:rFonts w:cs="Helvetica"/>
        </w:rPr>
        <w:t>·</w:t>
      </w:r>
      <w:r>
        <w:t>2H</w:t>
      </w:r>
      <w:r w:rsidRPr="00C51D42">
        <w:rPr>
          <w:vertAlign w:val="subscript"/>
        </w:rPr>
        <w:t>2</w:t>
      </w:r>
      <w:r>
        <w:t>O</w:t>
      </w:r>
      <w:r w:rsidR="00385C4B">
        <w:t xml:space="preserve"> (s)</w:t>
      </w:r>
    </w:p>
    <w:p w:rsidR="002617AE" w:rsidRPr="006355C4" w:rsidRDefault="00C51D42" w:rsidP="00233655">
      <w:pPr>
        <w:pStyle w:val="JCEAuNames"/>
        <w:spacing w:line="360" w:lineRule="auto"/>
        <w:rPr>
          <w:spacing w:val="-2"/>
        </w:rPr>
      </w:pPr>
      <w:r>
        <w:rPr>
          <w:spacing w:val="-2"/>
        </w:rPr>
        <w:t xml:space="preserve">David J </w:t>
      </w:r>
      <w:proofErr w:type="spellStart"/>
      <w:r>
        <w:rPr>
          <w:spacing w:val="-2"/>
        </w:rPr>
        <w:t>McGarvey</w:t>
      </w:r>
      <w:proofErr w:type="spellEnd"/>
    </w:p>
    <w:p w:rsidR="002617AE" w:rsidRPr="006355C4" w:rsidRDefault="00C51D42" w:rsidP="00233655">
      <w:pPr>
        <w:pStyle w:val="JCEAuAttribution"/>
        <w:spacing w:before="180" w:after="0" w:line="360" w:lineRule="auto"/>
        <w:rPr>
          <w:i/>
        </w:rPr>
      </w:pPr>
      <w:r>
        <w:t xml:space="preserve">School of Chemical and Physical Sciences, Lennard-Jones Laboratories, </w:t>
      </w:r>
      <w:proofErr w:type="spellStart"/>
      <w:r>
        <w:t>Keele</w:t>
      </w:r>
      <w:proofErr w:type="spellEnd"/>
      <w:r>
        <w:t xml:space="preserve"> University, </w:t>
      </w:r>
      <w:proofErr w:type="spellStart"/>
      <w:r>
        <w:t>Keele</w:t>
      </w:r>
      <w:proofErr w:type="spellEnd"/>
      <w:r>
        <w:t>, Staffordshire, UK</w:t>
      </w:r>
    </w:p>
    <w:p w:rsidR="002617AE" w:rsidRPr="006355C4" w:rsidRDefault="002617AE" w:rsidP="00935C4F">
      <w:pPr>
        <w:pStyle w:val="JCEH1"/>
      </w:pPr>
      <w:r w:rsidRPr="006355C4">
        <w:t>Abstract</w:t>
      </w:r>
    </w:p>
    <w:p w:rsidR="002617AE" w:rsidRPr="006355C4" w:rsidRDefault="00055AEB" w:rsidP="008B7947">
      <w:pPr>
        <w:pStyle w:val="JCEFlushBody"/>
      </w:pPr>
      <w:r>
        <w:t xml:space="preserve">A laboratory </w:t>
      </w:r>
      <w:r w:rsidR="00F94207">
        <w:t>experiment</w:t>
      </w:r>
      <w:r w:rsidR="00125A9F">
        <w:t xml:space="preserve"> </w:t>
      </w:r>
      <w:r>
        <w:t xml:space="preserve">characterized by a whole class data-pooling approach </w:t>
      </w:r>
      <w:r w:rsidR="00125A9F">
        <w:t>to</w:t>
      </w:r>
      <w:r w:rsidR="008C6823">
        <w:t xml:space="preserve"> </w:t>
      </w:r>
      <w:r w:rsidR="00125A9F">
        <w:t>generate</w:t>
      </w:r>
      <w:r w:rsidR="00417450">
        <w:t xml:space="preserve"> </w:t>
      </w:r>
      <w:r w:rsidR="008C6823">
        <w:t xml:space="preserve">a dataset </w:t>
      </w:r>
      <w:r w:rsidR="00125A9F">
        <w:t>that</w:t>
      </w:r>
      <w:r w:rsidR="008C6823">
        <w:t xml:space="preserve"> can be used to test a model of the influence of ionic strength on electrolyte solubility </w:t>
      </w:r>
      <w:r>
        <w:t>is described and discussed.</w:t>
      </w:r>
      <w:r w:rsidR="008B7947">
        <w:t xml:space="preserve">  The design of the </w:t>
      </w:r>
      <w:r w:rsidR="00F94207">
        <w:t xml:space="preserve">experiment </w:t>
      </w:r>
      <w:r w:rsidR="008B7947">
        <w:t xml:space="preserve">makes efficient use of the laboratory period and </w:t>
      </w:r>
      <w:r w:rsidR="00417450">
        <w:t xml:space="preserve">releases </w:t>
      </w:r>
      <w:r w:rsidR="008B7947">
        <w:t xml:space="preserve">time for instructional and dialogic exchanges surrounding the theoretical background to ionic strength effects on ionic equilibria and the use of advanced features of Excel to </w:t>
      </w:r>
      <w:proofErr w:type="spellStart"/>
      <w:r w:rsidR="008B7947">
        <w:t>analyse</w:t>
      </w:r>
      <w:proofErr w:type="spellEnd"/>
      <w:r w:rsidR="008B7947">
        <w:t xml:space="preserve"> the data based on a model derived from </w:t>
      </w:r>
      <w:r w:rsidR="008B7947" w:rsidRPr="000928A4">
        <w:t>Debye-</w:t>
      </w:r>
      <w:proofErr w:type="spellStart"/>
      <w:r w:rsidR="008B7947" w:rsidRPr="000928A4">
        <w:t>Hückel</w:t>
      </w:r>
      <w:proofErr w:type="spellEnd"/>
      <w:r w:rsidR="008B7947">
        <w:t xml:space="preserve"> theory.  </w:t>
      </w:r>
      <w:r w:rsidR="00F315E0">
        <w:t>The activity is assessed via a pre-laboratory exercise and an Excel workbook, for which a</w:t>
      </w:r>
      <w:r w:rsidR="008B7947">
        <w:t xml:space="preserve"> typical </w:t>
      </w:r>
      <w:r w:rsidR="005F7ED6">
        <w:t xml:space="preserve">dataset with full analysis </w:t>
      </w:r>
      <w:r w:rsidR="00F315E0">
        <w:t xml:space="preserve">and results </w:t>
      </w:r>
      <w:r w:rsidR="005F7ED6">
        <w:t xml:space="preserve">is provided. </w:t>
      </w:r>
    </w:p>
    <w:p w:rsidR="00BF22D1" w:rsidRPr="006355C4" w:rsidRDefault="00C01A79" w:rsidP="00935C4F">
      <w:pPr>
        <w:pStyle w:val="JCEH1"/>
      </w:pPr>
      <w:r>
        <w:t>Graphical Abstract</w:t>
      </w:r>
    </w:p>
    <w:p w:rsidR="00BF22D1" w:rsidRDefault="008D50C3" w:rsidP="00935C4F">
      <w:pPr>
        <w:pStyle w:val="JCEcaption"/>
      </w:pPr>
      <w:r>
        <w:rPr>
          <w:noProof/>
          <w:lang w:val="en-GB" w:eastAsia="en-GB"/>
        </w:rPr>
        <w:drawing>
          <wp:inline distT="0" distB="0" distL="0" distR="0" wp14:anchorId="37D7862B">
            <wp:extent cx="4237200" cy="265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200" cy="2656800"/>
                    </a:xfrm>
                    <a:prstGeom prst="rect">
                      <a:avLst/>
                    </a:prstGeom>
                    <a:noFill/>
                  </pic:spPr>
                </pic:pic>
              </a:graphicData>
            </a:graphic>
          </wp:inline>
        </w:drawing>
      </w:r>
    </w:p>
    <w:p w:rsidR="002617AE" w:rsidRPr="00095D22" w:rsidRDefault="002617AE" w:rsidP="00B66764">
      <w:pPr>
        <w:pStyle w:val="JCEH1"/>
      </w:pPr>
      <w:r w:rsidRPr="00095D22">
        <w:t>Keywords</w:t>
      </w:r>
    </w:p>
    <w:p w:rsidR="002617AE" w:rsidRPr="00095D22" w:rsidRDefault="00170A60" w:rsidP="00CE0F5E">
      <w:pPr>
        <w:pStyle w:val="JCEFlushBody"/>
        <w:spacing w:line="360" w:lineRule="auto"/>
      </w:pPr>
      <w:r>
        <w:rPr>
          <w:spacing w:val="-2"/>
        </w:rPr>
        <w:t xml:space="preserve">Second-year undergraduate; physical chemistry; analytical chemistry; laboratory instruction; hands-on learning; </w:t>
      </w:r>
      <w:r w:rsidR="00D72A81">
        <w:rPr>
          <w:spacing w:val="-2"/>
        </w:rPr>
        <w:t>aqueous solution chemistry</w:t>
      </w:r>
      <w:r w:rsidR="00B02373">
        <w:rPr>
          <w:spacing w:val="-2"/>
        </w:rPr>
        <w:t>; equilibrium; precipitation/solubility; quantitative analysis</w:t>
      </w:r>
      <w:r w:rsidR="00745889">
        <w:rPr>
          <w:spacing w:val="-2"/>
        </w:rPr>
        <w:t>.</w:t>
      </w:r>
    </w:p>
    <w:p w:rsidR="00B2156B" w:rsidRDefault="00B2156B" w:rsidP="00B2156B">
      <w:pPr>
        <w:pStyle w:val="JCEbodytext"/>
        <w:ind w:firstLine="0"/>
        <w:rPr>
          <w:rFonts w:cs="Century"/>
        </w:rPr>
      </w:pPr>
    </w:p>
    <w:p w:rsidR="00B2156B" w:rsidRPr="006355C4" w:rsidRDefault="00B2156B" w:rsidP="00B2156B">
      <w:pPr>
        <w:pStyle w:val="JCEH1"/>
        <w:spacing w:before="180"/>
      </w:pPr>
      <w:r>
        <w:lastRenderedPageBreak/>
        <w:t>INTRODUCTION</w:t>
      </w:r>
    </w:p>
    <w:p w:rsidR="00B2156B" w:rsidRPr="00B2156B" w:rsidRDefault="00B2156B" w:rsidP="00B2156B">
      <w:pPr>
        <w:pStyle w:val="JCEbodytext"/>
        <w:ind w:firstLine="0"/>
      </w:pPr>
    </w:p>
    <w:p w:rsidR="001023C4" w:rsidRDefault="00B2156B" w:rsidP="001023C4">
      <w:pPr>
        <w:pStyle w:val="JCEbodytext"/>
      </w:pPr>
      <w:r>
        <w:t>This experimen</w:t>
      </w:r>
      <w:r w:rsidR="007E334F">
        <w:t xml:space="preserve">t forms part of the laboratory </w:t>
      </w:r>
      <w:proofErr w:type="spellStart"/>
      <w:r w:rsidR="007E334F">
        <w:t>programme</w:t>
      </w:r>
      <w:proofErr w:type="spellEnd"/>
      <w:r w:rsidR="007E334F">
        <w:t xml:space="preserve"> associated with a 2</w:t>
      </w:r>
      <w:r w:rsidR="007E334F" w:rsidRPr="007E334F">
        <w:rPr>
          <w:vertAlign w:val="superscript"/>
        </w:rPr>
        <w:t>nd</w:t>
      </w:r>
      <w:r w:rsidR="007E334F">
        <w:t xml:space="preserve"> year undergraduate module (15 credits out of a total of 120 credits for the whole 2</w:t>
      </w:r>
      <w:r w:rsidR="007E334F" w:rsidRPr="007E334F">
        <w:rPr>
          <w:vertAlign w:val="superscript"/>
        </w:rPr>
        <w:t>nd</w:t>
      </w:r>
      <w:r w:rsidR="007E334F">
        <w:t xml:space="preserve"> year </w:t>
      </w:r>
      <w:proofErr w:type="spellStart"/>
      <w:r w:rsidR="007E334F">
        <w:t>programme</w:t>
      </w:r>
      <w:proofErr w:type="spellEnd"/>
      <w:r w:rsidR="007E334F">
        <w:t xml:space="preserve">) in ‘Spectroscopy and Analytical Chemistry’, of which lectures, workshops and laboratory classes on </w:t>
      </w:r>
      <w:r w:rsidR="00F94207">
        <w:t>‘</w:t>
      </w:r>
      <w:r w:rsidR="006E42A7">
        <w:t>Electrolyte S</w:t>
      </w:r>
      <w:r w:rsidR="007E334F">
        <w:t>olutions</w:t>
      </w:r>
      <w:r w:rsidR="00F94207">
        <w:t>’</w:t>
      </w:r>
      <w:r w:rsidR="007E334F">
        <w:t xml:space="preserve"> comprise</w:t>
      </w:r>
      <w:r w:rsidR="00F94207">
        <w:t>s</w:t>
      </w:r>
      <w:r w:rsidR="007E334F">
        <w:t xml:space="preserve"> about one third of the module content.</w:t>
      </w:r>
      <w:r w:rsidR="001023C4">
        <w:t xml:space="preserve">  </w:t>
      </w:r>
    </w:p>
    <w:p w:rsidR="001023C4" w:rsidRDefault="001023C4" w:rsidP="001023C4">
      <w:pPr>
        <w:pStyle w:val="JCEbodytext"/>
      </w:pPr>
      <w:r>
        <w:t xml:space="preserve">The relevant learning outcomes for the electrolyte solutions component </w:t>
      </w:r>
      <w:r w:rsidR="00F94207">
        <w:t xml:space="preserve">of the module </w:t>
      </w:r>
      <w:r>
        <w:t xml:space="preserve">state that students </w:t>
      </w:r>
      <w:r w:rsidRPr="0041465C">
        <w:t>will be able to</w:t>
      </w:r>
      <w:r>
        <w:t>:</w:t>
      </w:r>
    </w:p>
    <w:p w:rsidR="001023C4" w:rsidRDefault="001023C4" w:rsidP="001023C4">
      <w:pPr>
        <w:pStyle w:val="JCEbulletlist"/>
      </w:pPr>
      <w:r>
        <w:t>Use advanced features of Excel in the analysis of experimental data.</w:t>
      </w:r>
    </w:p>
    <w:p w:rsidR="001023C4" w:rsidRDefault="001023C4" w:rsidP="001023C4">
      <w:pPr>
        <w:pStyle w:val="JCEbulletlist"/>
      </w:pPr>
      <w:r>
        <w:t>Describe, apply and evaluate theories of electrolyte solutions through experiment and problem solving.</w:t>
      </w:r>
    </w:p>
    <w:p w:rsidR="001023C4" w:rsidRPr="00A41F02" w:rsidRDefault="001023C4" w:rsidP="001023C4">
      <w:pPr>
        <w:pStyle w:val="JCEbulletlist"/>
      </w:pPr>
      <w:r w:rsidRPr="00A41F02">
        <w:t xml:space="preserve">Apply principles of analytical chemistry to quantify </w:t>
      </w:r>
      <w:proofErr w:type="spellStart"/>
      <w:r w:rsidRPr="00A41F02">
        <w:t>analytes</w:t>
      </w:r>
      <w:proofErr w:type="spellEnd"/>
      <w:r w:rsidRPr="00A41F02">
        <w:t xml:space="preserve"> and associated errors.</w:t>
      </w:r>
    </w:p>
    <w:p w:rsidR="001023C4" w:rsidRDefault="001023C4" w:rsidP="001023C4">
      <w:pPr>
        <w:pStyle w:val="JCEbulletlist"/>
      </w:pPr>
      <w:r>
        <w:t>Communicate the analysis, interpretation and significance of experimental results in compliance with scientific writing conventions and standards.</w:t>
      </w:r>
    </w:p>
    <w:p w:rsidR="001023C4" w:rsidRDefault="001023C4" w:rsidP="001023C4">
      <w:pPr>
        <w:pStyle w:val="JCEbulletlist"/>
      </w:pPr>
      <w:r>
        <w:t xml:space="preserve">Locate, </w:t>
      </w:r>
      <w:proofErr w:type="spellStart"/>
      <w:r>
        <w:t>analyse</w:t>
      </w:r>
      <w:proofErr w:type="spellEnd"/>
      <w:r>
        <w:t xml:space="preserve"> and apply information from literature, chemical databases, and scientific journal articles.</w:t>
      </w:r>
    </w:p>
    <w:p w:rsidR="001023C4" w:rsidRDefault="001023C4" w:rsidP="001023C4">
      <w:pPr>
        <w:pStyle w:val="JCEbodytext"/>
        <w:ind w:firstLine="0"/>
      </w:pPr>
    </w:p>
    <w:p w:rsidR="002617AE" w:rsidRDefault="004C111A" w:rsidP="002617AE">
      <w:pPr>
        <w:pStyle w:val="JCEbodytext"/>
      </w:pPr>
      <w:r>
        <w:t>A</w:t>
      </w:r>
      <w:r w:rsidR="00D94351">
        <w:t xml:space="preserve"> </w:t>
      </w:r>
      <w:r>
        <w:t xml:space="preserve">key </w:t>
      </w:r>
      <w:r w:rsidR="00295216">
        <w:t>feature</w:t>
      </w:r>
      <w:r>
        <w:t xml:space="preserve"> of this</w:t>
      </w:r>
      <w:r w:rsidR="00295216">
        <w:t xml:space="preserve"> laboratory </w:t>
      </w:r>
      <w:r w:rsidR="00F94207">
        <w:t>experiment</w:t>
      </w:r>
      <w:r>
        <w:t xml:space="preserve"> is</w:t>
      </w:r>
      <w:r w:rsidR="00295216">
        <w:t xml:space="preserve"> the </w:t>
      </w:r>
      <w:r w:rsidR="006019D7">
        <w:t xml:space="preserve">efficient use of laboratory </w:t>
      </w:r>
      <w:r w:rsidR="009E4CCE">
        <w:t>instruction</w:t>
      </w:r>
      <w:r w:rsidR="006019D7">
        <w:t xml:space="preserve"> time and resources through the </w:t>
      </w:r>
      <w:r w:rsidR="00295216">
        <w:t>use of</w:t>
      </w:r>
      <w:r>
        <w:t xml:space="preserve"> a </w:t>
      </w:r>
      <w:r w:rsidR="00AE4424">
        <w:t xml:space="preserve">whole class </w:t>
      </w:r>
      <w:r w:rsidR="00295216">
        <w:t>data-</w:t>
      </w:r>
      <w:r w:rsidR="006019D7">
        <w:t>pooling approach</w:t>
      </w:r>
      <w:r w:rsidR="00AE4424">
        <w:t xml:space="preserve">.   The </w:t>
      </w:r>
      <w:r w:rsidR="008B02FA">
        <w:t xml:space="preserve">data-pooling </w:t>
      </w:r>
      <w:r w:rsidR="00AE4424">
        <w:t xml:space="preserve">approach </w:t>
      </w:r>
      <w:r w:rsidR="006019D7">
        <w:t>facilitate</w:t>
      </w:r>
      <w:r w:rsidR="00AE4424">
        <w:t>s</w:t>
      </w:r>
      <w:r w:rsidR="006019D7">
        <w:t xml:space="preserve"> acquisition of a large experimental dataset </w:t>
      </w:r>
      <w:r w:rsidR="008B02FA">
        <w:t xml:space="preserve">in a relatively short time </w:t>
      </w:r>
      <w:r w:rsidR="00AE4424">
        <w:t xml:space="preserve">by distributing the </w:t>
      </w:r>
      <w:r w:rsidR="00F94207">
        <w:t xml:space="preserve">experimental </w:t>
      </w:r>
      <w:r w:rsidR="00AE4424">
        <w:t xml:space="preserve">work amongst the class, such that the data is acquired in </w:t>
      </w:r>
      <w:r w:rsidR="008B02FA">
        <w:t>parallel</w:t>
      </w:r>
      <w:r w:rsidR="00AE4424">
        <w:t xml:space="preserve"> rather than in series.  This strategy </w:t>
      </w:r>
      <w:r w:rsidR="006019D7">
        <w:t>release</w:t>
      </w:r>
      <w:r w:rsidR="00AE4424">
        <w:t>s</w:t>
      </w:r>
      <w:r w:rsidR="006019D7">
        <w:t xml:space="preserve"> class time for </w:t>
      </w:r>
      <w:r w:rsidR="00D94351">
        <w:t xml:space="preserve">students to focus </w:t>
      </w:r>
      <w:r w:rsidR="00295216">
        <w:t xml:space="preserve">on the </w:t>
      </w:r>
      <w:r w:rsidR="00276469">
        <w:t xml:space="preserve">more challenging </w:t>
      </w:r>
      <w:r w:rsidR="006F640D">
        <w:t>aspect of the activity</w:t>
      </w:r>
      <w:r w:rsidR="00F971CD">
        <w:t xml:space="preserve">, </w:t>
      </w:r>
      <w:r w:rsidR="00AE4424">
        <w:t xml:space="preserve">which in this case is </w:t>
      </w:r>
      <w:r w:rsidR="009E4CCE">
        <w:t>data analysis</w:t>
      </w:r>
      <w:r w:rsidR="0099387B">
        <w:t xml:space="preserve"> involving the </w:t>
      </w:r>
      <w:r w:rsidR="006F640D">
        <w:t xml:space="preserve">use of Excel solver and </w:t>
      </w:r>
      <w:r w:rsidR="00F971CD">
        <w:t>nonlinear least-squares regression to model the influence of ionic strength on the solubility of an electrolyte</w:t>
      </w:r>
      <w:r w:rsidR="00AD3686">
        <w:t>.</w:t>
      </w:r>
      <w:r w:rsidR="00D94351">
        <w:t xml:space="preserve">  </w:t>
      </w:r>
      <w:r w:rsidR="005A20DE">
        <w:t xml:space="preserve">The </w:t>
      </w:r>
      <w:r w:rsidR="008B02FA">
        <w:t xml:space="preserve">use of </w:t>
      </w:r>
      <w:r w:rsidR="005A20DE">
        <w:t>d</w:t>
      </w:r>
      <w:r w:rsidR="00D94351">
        <w:t>ata</w:t>
      </w:r>
      <w:r w:rsidR="005A20DE">
        <w:t xml:space="preserve"> pooling </w:t>
      </w:r>
      <w:r w:rsidR="008B02FA">
        <w:t xml:space="preserve">to support learning activities in chemistry has </w:t>
      </w:r>
      <w:r w:rsidR="00BE22BB">
        <w:t xml:space="preserve">a number of advantages and several examples have featured in </w:t>
      </w:r>
      <w:r w:rsidR="008B02FA">
        <w:t xml:space="preserve">articles in this </w:t>
      </w:r>
      <w:r w:rsidR="008B02FA" w:rsidRPr="00374B52">
        <w:t xml:space="preserve">journal </w:t>
      </w:r>
      <w:r w:rsidR="00374B52" w:rsidRPr="00374B52">
        <w:rPr>
          <w:vertAlign w:val="superscript"/>
        </w:rPr>
        <w:t>1-8</w:t>
      </w:r>
      <w:r w:rsidR="00BE22BB" w:rsidRPr="00374B52">
        <w:t>.</w:t>
      </w:r>
      <w:r w:rsidR="00BE22BB">
        <w:t xml:space="preserve">  </w:t>
      </w:r>
      <w:r w:rsidR="008B02FA">
        <w:t xml:space="preserve"> </w:t>
      </w:r>
      <w:r w:rsidR="005A20DE">
        <w:t xml:space="preserve"> </w:t>
      </w:r>
      <w:r w:rsidR="008757FB">
        <w:t>Data-pooling is particularly advantageous in aspects</w:t>
      </w:r>
      <w:r w:rsidR="00BE22BB">
        <w:t xml:space="preserve"> </w:t>
      </w:r>
      <w:r w:rsidR="008757FB">
        <w:t>of</w:t>
      </w:r>
      <w:r w:rsidR="0099387B">
        <w:t xml:space="preserve"> </w:t>
      </w:r>
      <w:r w:rsidR="00BE22BB">
        <w:t>physical and analytical chemistry</w:t>
      </w:r>
      <w:r w:rsidR="008757FB">
        <w:t>, which</w:t>
      </w:r>
      <w:r w:rsidR="0019307F">
        <w:t xml:space="preserve"> </w:t>
      </w:r>
      <w:r w:rsidR="00207021">
        <w:t>can</w:t>
      </w:r>
      <w:r w:rsidR="0099387B">
        <w:t xml:space="preserve"> </w:t>
      </w:r>
      <w:r w:rsidR="009E4CCE">
        <w:t>require students to</w:t>
      </w:r>
      <w:r w:rsidR="0019307F">
        <w:t xml:space="preserve"> </w:t>
      </w:r>
      <w:r w:rsidR="009E4CCE">
        <w:t xml:space="preserve">carry out highly </w:t>
      </w:r>
      <w:r w:rsidR="00BE22BB">
        <w:t>repetitive</w:t>
      </w:r>
      <w:r w:rsidR="009E4CCE">
        <w:t xml:space="preserve"> tasks</w:t>
      </w:r>
      <w:r w:rsidR="0019307F">
        <w:t xml:space="preserve"> </w:t>
      </w:r>
      <w:r w:rsidR="008757FB">
        <w:t xml:space="preserve">in order </w:t>
      </w:r>
      <w:r w:rsidR="0019307F">
        <w:t>to acquire a meaningful dataset to investigate the influence of a variable on a physical or chemical pr</w:t>
      </w:r>
      <w:r w:rsidR="0099387B">
        <w:t>operty.  The learning benefits individual students (</w:t>
      </w:r>
      <w:r w:rsidR="0019307F">
        <w:t>or pairs of students</w:t>
      </w:r>
      <w:r w:rsidR="0099387B">
        <w:t>)</w:t>
      </w:r>
      <w:r w:rsidR="0019307F">
        <w:t xml:space="preserve"> derive from carrying out repetitive tasks </w:t>
      </w:r>
      <w:r w:rsidR="0099387B">
        <w:t xml:space="preserve">clearly </w:t>
      </w:r>
      <w:r w:rsidR="0019307F">
        <w:t xml:space="preserve">decline after the task has been performed a few times, and it </w:t>
      </w:r>
      <w:r w:rsidR="0019307F">
        <w:lastRenderedPageBreak/>
        <w:t>therefore makes logistical sense to distribute the workload amongst the whole class</w:t>
      </w:r>
      <w:r w:rsidR="0099387B">
        <w:t>,</w:t>
      </w:r>
      <w:r w:rsidR="0019307F">
        <w:t xml:space="preserve"> allowing acquisition of a larger (whole class)</w:t>
      </w:r>
      <w:r w:rsidR="0099387B">
        <w:t xml:space="preserve"> dataset in a fraction of the</w:t>
      </w:r>
      <w:r w:rsidR="0019307F">
        <w:t xml:space="preserve"> time</w:t>
      </w:r>
      <w:r w:rsidR="00F432F3">
        <w:t xml:space="preserve"> and</w:t>
      </w:r>
      <w:r w:rsidR="009E4CCE">
        <w:t xml:space="preserve"> </w:t>
      </w:r>
      <w:r w:rsidR="0099387B">
        <w:t>freeing up</w:t>
      </w:r>
      <w:r w:rsidR="0019307F">
        <w:t xml:space="preserve"> </w:t>
      </w:r>
      <w:r w:rsidR="0099387B">
        <w:t xml:space="preserve">class </w:t>
      </w:r>
      <w:r w:rsidR="0019307F">
        <w:t>time for other learning activities</w:t>
      </w:r>
      <w:r w:rsidR="0099387B">
        <w:t xml:space="preserve"> associated with the practical</w:t>
      </w:r>
      <w:r w:rsidR="0019307F">
        <w:t>.</w:t>
      </w:r>
      <w:r w:rsidR="005E6F18">
        <w:t xml:space="preserve">  An additional advantage of the data-pooling approach is afforded if the laboratory environment supports the display, in real-time, of the pooled data (e.g. via projection screens in the laboratory), such that students can see the data evolve as it is acquired</w:t>
      </w:r>
      <w:r w:rsidR="00F432F3">
        <w:t>, thus facilitating</w:t>
      </w:r>
      <w:r w:rsidR="005E6B25">
        <w:t xml:space="preserve"> instructional and dialogic interventions as the practical proceeds</w:t>
      </w:r>
      <w:r w:rsidR="005E6F18">
        <w:t>.</w:t>
      </w:r>
      <w:r w:rsidR="00426C99">
        <w:t xml:space="preserve">  In the teaching laboratories at </w:t>
      </w:r>
      <w:proofErr w:type="spellStart"/>
      <w:r w:rsidR="00426C99">
        <w:t>Keele</w:t>
      </w:r>
      <w:proofErr w:type="spellEnd"/>
      <w:r w:rsidR="00426C99">
        <w:t xml:space="preserve"> large projection screens permit the data to be displayed as it is acquired and entered into the shared spreadsheet by students.</w:t>
      </w:r>
      <w:r w:rsidR="00AE08C3">
        <w:t xml:space="preserve">  This laboratory </w:t>
      </w:r>
      <w:r w:rsidR="00F94207">
        <w:t>experiment</w:t>
      </w:r>
      <w:r w:rsidR="00AE08C3">
        <w:t xml:space="preserve"> has been used successfully with 2</w:t>
      </w:r>
      <w:r w:rsidR="00AE08C3" w:rsidRPr="00AE08C3">
        <w:rPr>
          <w:vertAlign w:val="superscript"/>
        </w:rPr>
        <w:t>nd</w:t>
      </w:r>
      <w:r w:rsidR="00AE08C3">
        <w:t xml:space="preserve"> year undergraduate cohorts </w:t>
      </w:r>
      <w:r w:rsidR="00833C5D">
        <w:t xml:space="preserve">of </w:t>
      </w:r>
      <w:r w:rsidR="00AE08C3">
        <w:t xml:space="preserve">up to </w:t>
      </w:r>
      <w:r w:rsidR="00AE5F5B">
        <w:t>~</w:t>
      </w:r>
      <w:r w:rsidR="00AE08C3">
        <w:t xml:space="preserve">100 </w:t>
      </w:r>
      <w:r w:rsidR="00833C5D">
        <w:t xml:space="preserve">students </w:t>
      </w:r>
      <w:r w:rsidR="00AE08C3">
        <w:t>for more than five years.</w:t>
      </w:r>
      <w:r w:rsidR="0019307F">
        <w:t xml:space="preserve"> </w:t>
      </w:r>
    </w:p>
    <w:p w:rsidR="00804241" w:rsidRDefault="00804241" w:rsidP="00155168">
      <w:pPr>
        <w:pStyle w:val="JCEbodytext"/>
        <w:ind w:firstLine="0"/>
      </w:pPr>
    </w:p>
    <w:p w:rsidR="002617AE" w:rsidRPr="006355C4" w:rsidRDefault="00EC71F1" w:rsidP="00545821">
      <w:pPr>
        <w:pStyle w:val="JCEH1"/>
        <w:spacing w:before="180"/>
      </w:pPr>
      <w:r>
        <w:t>theory</w:t>
      </w:r>
    </w:p>
    <w:p w:rsidR="002617AE" w:rsidRDefault="00EC245B" w:rsidP="00C01A79">
      <w:pPr>
        <w:pStyle w:val="JCEH2"/>
        <w:rPr>
          <w:caps/>
        </w:rPr>
      </w:pPr>
      <w:r>
        <w:t>The influence of ionic strength on electrolyte solubility</w:t>
      </w:r>
    </w:p>
    <w:p w:rsidR="00EB1CDE" w:rsidRPr="00EB1CDE" w:rsidRDefault="00EB1CDE" w:rsidP="00EB1CDE">
      <w:pPr>
        <w:pStyle w:val="JCEbodytext"/>
      </w:pPr>
    </w:p>
    <w:p w:rsidR="002617AE" w:rsidRDefault="00EC71F1" w:rsidP="002617AE">
      <w:pPr>
        <w:pStyle w:val="JCEbodytext"/>
      </w:pPr>
      <w:r w:rsidRPr="00EC71F1">
        <w:t xml:space="preserve">In this </w:t>
      </w:r>
      <w:r w:rsidR="006A027F">
        <w:t>experiment</w:t>
      </w:r>
      <w:r w:rsidRPr="00EC71F1">
        <w:t xml:space="preserve"> the influence of ionic strength (</w:t>
      </w:r>
      <w:r w:rsidRPr="003A3F0C">
        <w:rPr>
          <w:i/>
        </w:rPr>
        <w:t>I</w:t>
      </w:r>
      <w:r w:rsidRPr="00EC71F1">
        <w:t xml:space="preserve">) on the solubility of the sparingly soluble salt calcium sulfate </w:t>
      </w:r>
      <w:proofErr w:type="spellStart"/>
      <w:r w:rsidRPr="00EC71F1">
        <w:t>dihydrate</w:t>
      </w:r>
      <w:proofErr w:type="spellEnd"/>
      <w:r w:rsidRPr="00EC71F1">
        <w:t>, CaSO</w:t>
      </w:r>
      <w:r w:rsidRPr="003A3F0C">
        <w:rPr>
          <w:vertAlign w:val="subscript"/>
        </w:rPr>
        <w:t>4</w:t>
      </w:r>
      <w:r w:rsidR="006E42A7">
        <w:t>·</w:t>
      </w:r>
      <w:r w:rsidRPr="00EC71F1">
        <w:t>2H</w:t>
      </w:r>
      <w:r w:rsidRPr="003A3F0C">
        <w:rPr>
          <w:vertAlign w:val="subscript"/>
        </w:rPr>
        <w:t>2</w:t>
      </w:r>
      <w:r w:rsidR="00EC245B">
        <w:t>O</w:t>
      </w:r>
      <w:r w:rsidR="00207021">
        <w:t xml:space="preserve"> (s)</w:t>
      </w:r>
      <w:r w:rsidR="00050BE5">
        <w:t>, was</w:t>
      </w:r>
      <w:r w:rsidR="00EC245B">
        <w:t xml:space="preserve"> examined using a </w:t>
      </w:r>
      <w:proofErr w:type="spellStart"/>
      <w:r w:rsidR="00EC245B">
        <w:t>complexo</w:t>
      </w:r>
      <w:r w:rsidRPr="00EC71F1">
        <w:t>metric</w:t>
      </w:r>
      <w:proofErr w:type="spellEnd"/>
      <w:r w:rsidRPr="00EC71F1">
        <w:t xml:space="preserve"> (EDTA) titration to determine the concentration of Ca</w:t>
      </w:r>
      <w:r w:rsidRPr="000F3D65">
        <w:rPr>
          <w:vertAlign w:val="superscript"/>
        </w:rPr>
        <w:t>2+</w:t>
      </w:r>
      <w:r w:rsidRPr="00EC71F1">
        <w:t xml:space="preserve"> ions in solutions in which the equilibrium represented by equation 1 is established</w:t>
      </w:r>
      <w:r w:rsidR="0007595B" w:rsidRPr="006355C4">
        <w:t>.</w:t>
      </w:r>
      <w:r w:rsidR="00050BE5">
        <w:t xml:space="preserve">  The ionic strength was</w:t>
      </w:r>
      <w:r w:rsidR="00525DCF">
        <w:t xml:space="preserve"> varied by allowing the equilibrium to become established in a series of solutions containing different concentrations of the inert electrolyte, KNO</w:t>
      </w:r>
      <w:r w:rsidR="00525DCF" w:rsidRPr="00525DCF">
        <w:rPr>
          <w:vertAlign w:val="subscript"/>
        </w:rPr>
        <w:t>3</w:t>
      </w:r>
      <w:r w:rsidR="00525DCF">
        <w:t>.</w:t>
      </w:r>
    </w:p>
    <w:p w:rsidR="00EC71F1" w:rsidRDefault="00EC71F1" w:rsidP="00EC71F1">
      <w:pPr>
        <w:pStyle w:val="JCEEquation"/>
        <w:tabs>
          <w:tab w:val="clear" w:pos="4320"/>
          <w:tab w:val="clear" w:pos="8640"/>
          <w:tab w:val="center" w:pos="5040"/>
          <w:tab w:val="right" w:pos="10080"/>
        </w:tabs>
      </w:pPr>
      <w:r>
        <w:tab/>
      </w:r>
      <m:oMath>
        <m:r>
          <w:rPr>
            <w:rFonts w:ascii="Cambria Math" w:hAnsi="Cambria Math"/>
          </w:rPr>
          <m:t>CaS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O(s)⇌C</m:t>
        </m:r>
        <m:sSup>
          <m:sSupPr>
            <m:ctrlPr>
              <w:rPr>
                <w:rFonts w:ascii="Cambria Math" w:hAnsi="Cambria Math"/>
                <w:i/>
              </w:rPr>
            </m:ctrlPr>
          </m:sSupPr>
          <m:e>
            <m:r>
              <w:rPr>
                <w:rFonts w:ascii="Cambria Math" w:hAnsi="Cambria Math"/>
              </w:rPr>
              <m:t>a</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(aq)</m:t>
        </m:r>
      </m:oMath>
      <w:r w:rsidRPr="006355C4">
        <w:tab/>
        <w:t>(1)</w:t>
      </w:r>
    </w:p>
    <w:p w:rsidR="00EC71F1" w:rsidRDefault="00375322" w:rsidP="00375322">
      <w:pPr>
        <w:pStyle w:val="JCEbodytext"/>
        <w:ind w:firstLine="364"/>
      </w:pPr>
      <w:r w:rsidRPr="00375322">
        <w:t xml:space="preserve">The </w:t>
      </w:r>
      <w:r w:rsidR="00846E36">
        <w:t xml:space="preserve">thermodynamic </w:t>
      </w:r>
      <w:r w:rsidRPr="00375322">
        <w:t xml:space="preserve">equilibrium constant </w:t>
      </w:r>
      <w:r w:rsidR="00846E36">
        <w:t>(</w:t>
      </w:r>
      <w:r w:rsidRPr="00375322">
        <w:t>solubility product</w:t>
      </w:r>
      <w:r w:rsidR="00846E36">
        <w:t>)</w:t>
      </w:r>
      <w:r w:rsidRPr="00375322">
        <w:t xml:space="preserve">, </w:t>
      </w:r>
      <w:r>
        <w:t>K</w:t>
      </w:r>
      <w:r>
        <w:rPr>
          <w:vertAlign w:val="subscript"/>
        </w:rPr>
        <w:t>s</w:t>
      </w:r>
      <w:r>
        <w:t>°</w:t>
      </w:r>
      <w:r w:rsidR="00846E36">
        <w:t xml:space="preserve">, </w:t>
      </w:r>
      <w:r w:rsidRPr="00375322">
        <w:t>is given by equation 2</w:t>
      </w:r>
      <w:r w:rsidR="00846E36">
        <w:t xml:space="preserve">, where </w:t>
      </w:r>
      <w:r w:rsidR="00846E36" w:rsidRPr="00846E36">
        <w:rPr>
          <w:i/>
        </w:rPr>
        <w:t>a</w:t>
      </w:r>
      <w:r w:rsidR="00846E36">
        <w:t xml:space="preserve"> is activity and </w:t>
      </w:r>
      <w:r w:rsidR="00846E36">
        <w:sym w:font="Symbol" w:char="F067"/>
      </w:r>
      <w:r w:rsidR="00846E36" w:rsidRPr="00846E36">
        <w:rPr>
          <w:vertAlign w:val="subscript"/>
        </w:rPr>
        <w:sym w:font="Symbol" w:char="F0B1"/>
      </w:r>
      <w:r w:rsidR="00846E36">
        <w:t xml:space="preserve"> is the mean ion activity coefficient</w:t>
      </w:r>
      <w:r w:rsidRPr="00375322">
        <w:t>.</w:t>
      </w:r>
      <w:r w:rsidR="00846E36">
        <w:t xml:space="preserve"> The molar concentration terms [Ca</w:t>
      </w:r>
      <w:r w:rsidR="00846E36" w:rsidRPr="00846E36">
        <w:rPr>
          <w:vertAlign w:val="superscript"/>
        </w:rPr>
        <w:t>2+</w:t>
      </w:r>
      <w:r w:rsidR="00846E36">
        <w:t>] and [SO</w:t>
      </w:r>
      <w:r w:rsidR="00846E36" w:rsidRPr="00846E36">
        <w:rPr>
          <w:vertAlign w:val="subscript"/>
        </w:rPr>
        <w:t>4</w:t>
      </w:r>
      <w:r w:rsidR="00846E36" w:rsidRPr="00846E36">
        <w:rPr>
          <w:vertAlign w:val="superscript"/>
        </w:rPr>
        <w:t>2-</w:t>
      </w:r>
      <w:r w:rsidR="00846E36">
        <w:t>] are referenced to the standard state (c</w:t>
      </w:r>
      <w:r w:rsidR="00846E36">
        <w:rPr>
          <w:vertAlign w:val="subscript"/>
        </w:rPr>
        <w:t>o</w:t>
      </w:r>
      <w:r w:rsidR="00846E36">
        <w:t xml:space="preserve"> = 1 </w:t>
      </w:r>
      <w:proofErr w:type="spellStart"/>
      <w:r w:rsidR="00846E36">
        <w:t>mol</w:t>
      </w:r>
      <w:proofErr w:type="spellEnd"/>
      <w:r w:rsidR="00846E36">
        <w:t xml:space="preserve"> </w:t>
      </w:r>
      <w:proofErr w:type="spellStart"/>
      <w:r w:rsidR="00846E36">
        <w:t>dm</w:t>
      </w:r>
      <w:proofErr w:type="spellEnd"/>
      <w:r w:rsidR="00846E36" w:rsidRPr="00846E36">
        <w:rPr>
          <w:vertAlign w:val="superscript"/>
        </w:rPr>
        <w:sym w:font="Symbol" w:char="F02D"/>
      </w:r>
      <w:r w:rsidR="00846E36" w:rsidRPr="00846E36">
        <w:rPr>
          <w:vertAlign w:val="superscript"/>
        </w:rPr>
        <w:t>3</w:t>
      </w:r>
      <w:r w:rsidR="00846E36">
        <w:t>, not shown explicitly) and are therefore dimensionless.</w:t>
      </w:r>
    </w:p>
    <w:p w:rsidR="00375322" w:rsidRDefault="00375322" w:rsidP="00375322">
      <w:pPr>
        <w:pStyle w:val="JCEEquation"/>
        <w:tabs>
          <w:tab w:val="clear" w:pos="4320"/>
          <w:tab w:val="clear" w:pos="8640"/>
          <w:tab w:val="center" w:pos="5040"/>
          <w:tab w:val="right" w:pos="10080"/>
        </w:tabs>
      </w:pPr>
      <w:r>
        <w:tab/>
      </w:r>
      <w:r w:rsidR="008802A0" w:rsidRPr="000D00E2">
        <w:rPr>
          <w:rFonts w:ascii="Times New Roman" w:hAnsi="Times New Roman"/>
          <w:position w:val="-18"/>
          <w:szCs w:val="24"/>
        </w:rPr>
        <w:object w:dxaOrig="32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5pt" o:ole="" fillcolor="window">
            <v:imagedata r:id="rId8" o:title=""/>
          </v:shape>
          <o:OLEObject Type="Embed" ProgID="Equation.3" ShapeID="_x0000_i1025" DrawAspect="Content" ObjectID="_1635336761" r:id="rId9"/>
        </w:object>
      </w:r>
      <w:r>
        <w:tab/>
        <w:t>(2</w:t>
      </w:r>
      <w:r w:rsidRPr="006355C4">
        <w:t>)</w:t>
      </w:r>
    </w:p>
    <w:p w:rsidR="000928A4" w:rsidRPr="000928A4" w:rsidRDefault="000928A4" w:rsidP="000928A4">
      <w:pPr>
        <w:pStyle w:val="JCEFlushBody"/>
        <w:ind w:firstLine="364"/>
      </w:pPr>
      <w:r w:rsidRPr="000928A4">
        <w:t>The solubility (</w:t>
      </w:r>
      <w:r w:rsidRPr="00E95EF3">
        <w:rPr>
          <w:i/>
        </w:rPr>
        <w:t>s</w:t>
      </w:r>
      <w:r w:rsidRPr="000928A4">
        <w:t xml:space="preserve">) is the number of moles of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 xml:space="preserve">O </w:t>
      </w:r>
      <w:r w:rsidR="00207021">
        <w:t>(s)</w:t>
      </w:r>
      <w:r w:rsidRPr="000928A4">
        <w:t xml:space="preserve"> that dissolve per dm</w:t>
      </w:r>
      <w:r w:rsidRPr="00846E36">
        <w:rPr>
          <w:vertAlign w:val="superscript"/>
        </w:rPr>
        <w:t>3</w:t>
      </w:r>
      <w:r w:rsidR="00EC245B">
        <w:t xml:space="preserve"> of solution, and therefore</w:t>
      </w:r>
      <w:r w:rsidRPr="000928A4">
        <w:t xml:space="preserve"> equation 2 may be re-written in terms of </w:t>
      </w:r>
      <w:r w:rsidRPr="00E95EF3">
        <w:rPr>
          <w:i/>
        </w:rPr>
        <w:t>s</w:t>
      </w:r>
      <w:r w:rsidRPr="000928A4">
        <w:t xml:space="preserve"> (equation 3).</w:t>
      </w:r>
    </w:p>
    <w:p w:rsidR="000928A4" w:rsidRDefault="000928A4" w:rsidP="000928A4">
      <w:pPr>
        <w:pStyle w:val="JCEEquation"/>
        <w:tabs>
          <w:tab w:val="clear" w:pos="4320"/>
          <w:tab w:val="clear" w:pos="8640"/>
          <w:tab w:val="center" w:pos="5040"/>
          <w:tab w:val="right" w:pos="10080"/>
        </w:tabs>
      </w:pPr>
      <w:r>
        <w:lastRenderedPageBreak/>
        <w:tab/>
      </w:r>
      <w:r w:rsidR="008802A0" w:rsidRPr="000D00E2">
        <w:rPr>
          <w:rFonts w:ascii="Times New Roman" w:hAnsi="Times New Roman"/>
          <w:position w:val="-12"/>
          <w:szCs w:val="24"/>
        </w:rPr>
        <w:object w:dxaOrig="1040" w:dyaOrig="380">
          <v:shape id="_x0000_i1026" type="#_x0000_t75" style="width:58pt;height:21.5pt" o:ole="" fillcolor="window">
            <v:imagedata r:id="rId10" o:title=""/>
          </v:shape>
          <o:OLEObject Type="Embed" ProgID="Equation.3" ShapeID="_x0000_i1026" DrawAspect="Content" ObjectID="_1635336762" r:id="rId11"/>
        </w:object>
      </w:r>
      <w:r>
        <w:tab/>
        <w:t>(3</w:t>
      </w:r>
      <w:r w:rsidRPr="006355C4">
        <w:t>)</w:t>
      </w:r>
    </w:p>
    <w:p w:rsidR="000928A4" w:rsidRPr="000928A4" w:rsidRDefault="00C92A82" w:rsidP="000928A4">
      <w:pPr>
        <w:pStyle w:val="JCEFlushBody"/>
        <w:ind w:firstLine="364"/>
      </w:pPr>
      <w:r>
        <w:t>T</w:t>
      </w:r>
      <w:r w:rsidR="000928A4" w:rsidRPr="000928A4">
        <w:t>he Debye-Hückel Extended Law (DHEL, equation 4)</w:t>
      </w:r>
      <w:r>
        <w:t xml:space="preserve"> is a theoretical expression for the ionic strength dependence of </w:t>
      </w:r>
      <w:r>
        <w:sym w:font="Symbol" w:char="F067"/>
      </w:r>
      <w:r w:rsidRPr="00C92A82">
        <w:rPr>
          <w:vertAlign w:val="subscript"/>
        </w:rPr>
        <w:sym w:font="Symbol" w:char="F0B1"/>
      </w:r>
      <w:r w:rsidR="00CA42A0">
        <w:t>, and is generally applicable up to ionic strengths of approximately 0.1 mol dm</w:t>
      </w:r>
      <w:r w:rsidR="00CA42A0" w:rsidRPr="00CA42A0">
        <w:rPr>
          <w:vertAlign w:val="superscript"/>
        </w:rPr>
        <w:sym w:font="Symbol" w:char="F02D"/>
      </w:r>
      <w:r w:rsidR="00CA42A0" w:rsidRPr="00CA42A0">
        <w:rPr>
          <w:vertAlign w:val="superscript"/>
        </w:rPr>
        <w:t>3</w:t>
      </w:r>
      <w:r w:rsidR="00006DC7">
        <w:t xml:space="preserve">.  In equation 4, </w:t>
      </w:r>
      <w:r w:rsidRPr="00671BC6">
        <w:rPr>
          <w:i/>
        </w:rPr>
        <w:t>A</w:t>
      </w:r>
      <w:r>
        <w:t xml:space="preserve"> is the </w:t>
      </w:r>
      <w:r w:rsidRPr="000928A4">
        <w:t>Debye-Hückel</w:t>
      </w:r>
      <w:r w:rsidR="000928A4" w:rsidRPr="000928A4">
        <w:t xml:space="preserve"> </w:t>
      </w:r>
      <w:r>
        <w:t>constant (0.509 dm</w:t>
      </w:r>
      <w:r w:rsidRPr="00C92A82">
        <w:rPr>
          <w:vertAlign w:val="superscript"/>
        </w:rPr>
        <w:t xml:space="preserve">3/2 </w:t>
      </w:r>
      <w:r>
        <w:t>mol</w:t>
      </w:r>
      <w:r w:rsidRPr="00C92A82">
        <w:rPr>
          <w:vertAlign w:val="superscript"/>
        </w:rPr>
        <w:sym w:font="Symbol" w:char="F02D"/>
      </w:r>
      <w:r w:rsidRPr="00C92A82">
        <w:rPr>
          <w:vertAlign w:val="superscript"/>
        </w:rPr>
        <w:t>1/2</w:t>
      </w:r>
      <w:r>
        <w:t xml:space="preserve"> for aqueous solutions </w:t>
      </w:r>
      <w:r w:rsidRPr="0077195B">
        <w:t>at 298</w:t>
      </w:r>
      <w:r>
        <w:t xml:space="preserve"> K), |z</w:t>
      </w:r>
      <w:r w:rsidRPr="00C92A82">
        <w:rPr>
          <w:vertAlign w:val="subscript"/>
        </w:rPr>
        <w:t>+</w:t>
      </w:r>
      <w:r>
        <w:t>z</w:t>
      </w:r>
      <w:r w:rsidRPr="00C92A82">
        <w:rPr>
          <w:vertAlign w:val="subscript"/>
        </w:rPr>
        <w:sym w:font="Symbol" w:char="F02D"/>
      </w:r>
      <w:r>
        <w:t>| is the magnitude of the product of the ion charges (equal to 4 for CaSO</w:t>
      </w:r>
      <w:r w:rsidRPr="00C92A82">
        <w:rPr>
          <w:vertAlign w:val="subscript"/>
        </w:rPr>
        <w:t>4</w:t>
      </w:r>
      <w:r>
        <w:t>)</w:t>
      </w:r>
      <w:r w:rsidR="00EA2E73">
        <w:t xml:space="preserve">, </w:t>
      </w:r>
      <w:r w:rsidR="00EA2E73" w:rsidRPr="00671BC6">
        <w:rPr>
          <w:i/>
        </w:rPr>
        <w:t>I</w:t>
      </w:r>
      <w:r w:rsidR="00EA2E73">
        <w:t xml:space="preserve"> is the ionic strength,</w:t>
      </w:r>
      <w:r>
        <w:t xml:space="preserve"> </w:t>
      </w:r>
      <w:r w:rsidRPr="00671BC6">
        <w:rPr>
          <w:i/>
        </w:rPr>
        <w:t>B</w:t>
      </w:r>
      <w:r w:rsidRPr="00C92A82">
        <w:t xml:space="preserve"> </w:t>
      </w:r>
      <w:r w:rsidR="00FC2846">
        <w:t xml:space="preserve">is </w:t>
      </w:r>
      <w:r w:rsidRPr="00C92A82">
        <w:t xml:space="preserve">a </w:t>
      </w:r>
      <w:r w:rsidR="00FC2846">
        <w:t>constant (</w:t>
      </w:r>
      <w:r w:rsidR="00C733EF">
        <w:t>3.286</w:t>
      </w:r>
      <w:r w:rsidRPr="00C92A82">
        <w:t xml:space="preserve"> × 10</w:t>
      </w:r>
      <w:r w:rsidRPr="00EA2E73">
        <w:rPr>
          <w:vertAlign w:val="superscript"/>
        </w:rPr>
        <w:t>9</w:t>
      </w:r>
      <w:r w:rsidRPr="00C92A82">
        <w:t xml:space="preserve"> </w:t>
      </w:r>
      <w:r w:rsidR="00EA2E73">
        <w:t>dm</w:t>
      </w:r>
      <w:r w:rsidR="00EA2E73" w:rsidRPr="00C92A82">
        <w:rPr>
          <w:vertAlign w:val="superscript"/>
        </w:rPr>
        <w:t xml:space="preserve">3/2 </w:t>
      </w:r>
      <w:r w:rsidR="00EA2E73">
        <w:t>mol</w:t>
      </w:r>
      <w:r w:rsidR="00EA2E73" w:rsidRPr="00C92A82">
        <w:rPr>
          <w:vertAlign w:val="superscript"/>
        </w:rPr>
        <w:sym w:font="Symbol" w:char="F02D"/>
      </w:r>
      <w:r w:rsidR="00EA2E73" w:rsidRPr="00C92A82">
        <w:rPr>
          <w:vertAlign w:val="superscript"/>
        </w:rPr>
        <w:t>1/2</w:t>
      </w:r>
      <w:r w:rsidR="00EA2E73">
        <w:t xml:space="preserve"> </w:t>
      </w:r>
      <w:r w:rsidRPr="00C92A82">
        <w:t>m</w:t>
      </w:r>
      <w:r w:rsidR="00FC2846" w:rsidRPr="00FC2846">
        <w:rPr>
          <w:vertAlign w:val="superscript"/>
        </w:rPr>
        <w:sym w:font="Symbol" w:char="F02D"/>
      </w:r>
      <w:r w:rsidRPr="00FC2846">
        <w:rPr>
          <w:vertAlign w:val="superscript"/>
        </w:rPr>
        <w:t>1</w:t>
      </w:r>
      <w:r w:rsidR="00FC2846">
        <w:t xml:space="preserve"> </w:t>
      </w:r>
      <w:r w:rsidR="00FC2846" w:rsidRPr="0077195B">
        <w:t>at 298</w:t>
      </w:r>
      <w:r w:rsidRPr="0077195B">
        <w:t xml:space="preserve"> K</w:t>
      </w:r>
      <w:r w:rsidRPr="00C92A82">
        <w:t xml:space="preserve"> in </w:t>
      </w:r>
      <w:r w:rsidRPr="00374B52">
        <w:t>water</w:t>
      </w:r>
      <w:r w:rsidR="00374B52" w:rsidRPr="00374B52">
        <w:rPr>
          <w:vertAlign w:val="superscript"/>
        </w:rPr>
        <w:t>9</w:t>
      </w:r>
      <w:r w:rsidR="00FC2846" w:rsidRPr="00374B52">
        <w:t>)</w:t>
      </w:r>
      <w:r w:rsidRPr="00374B52">
        <w:t xml:space="preserve"> </w:t>
      </w:r>
      <w:r w:rsidR="00EA2E73" w:rsidRPr="00374B52">
        <w:t>and</w:t>
      </w:r>
      <w:r w:rsidR="00EA2E73">
        <w:t xml:space="preserve"> </w:t>
      </w:r>
      <w:r w:rsidRPr="00EA2E73">
        <w:rPr>
          <w:i/>
        </w:rPr>
        <w:t>a</w:t>
      </w:r>
      <w:r>
        <w:t xml:space="preserve"> is </w:t>
      </w:r>
      <w:r w:rsidR="00FC2846">
        <w:t xml:space="preserve">an ion size parameter; the product </w:t>
      </w:r>
      <w:r w:rsidR="00FC2846" w:rsidRPr="00D94351">
        <w:rPr>
          <w:i/>
        </w:rPr>
        <w:t>Ba</w:t>
      </w:r>
      <w:r w:rsidR="00FC2846">
        <w:t xml:space="preserve"> is around 1 – 2</w:t>
      </w:r>
      <w:r w:rsidR="00006DC7">
        <w:t xml:space="preserve"> </w:t>
      </w:r>
      <w:r w:rsidR="00207021">
        <w:t>dm</w:t>
      </w:r>
      <w:r w:rsidR="00207021" w:rsidRPr="00C92A82">
        <w:rPr>
          <w:vertAlign w:val="superscript"/>
        </w:rPr>
        <w:t xml:space="preserve">3/2 </w:t>
      </w:r>
      <w:r w:rsidR="00207021">
        <w:t>mol</w:t>
      </w:r>
      <w:r w:rsidR="00207021" w:rsidRPr="00C92A82">
        <w:rPr>
          <w:vertAlign w:val="superscript"/>
        </w:rPr>
        <w:sym w:font="Symbol" w:char="F02D"/>
      </w:r>
      <w:r w:rsidR="00207021" w:rsidRPr="00C92A82">
        <w:rPr>
          <w:vertAlign w:val="superscript"/>
        </w:rPr>
        <w:t>1/2</w:t>
      </w:r>
      <w:r w:rsidR="00207021">
        <w:t xml:space="preserve"> </w:t>
      </w:r>
      <w:r w:rsidR="00006DC7">
        <w:t>for many electrolytes in water</w:t>
      </w:r>
      <w:r w:rsidR="00FC2846">
        <w:t xml:space="preserve">.  </w:t>
      </w:r>
      <w:r>
        <w:t xml:space="preserve"> </w:t>
      </w:r>
    </w:p>
    <w:p w:rsidR="000928A4" w:rsidRDefault="000928A4" w:rsidP="000928A4">
      <w:pPr>
        <w:pStyle w:val="JCEEquation"/>
        <w:tabs>
          <w:tab w:val="clear" w:pos="4320"/>
          <w:tab w:val="clear" w:pos="8640"/>
          <w:tab w:val="center" w:pos="5040"/>
          <w:tab w:val="right" w:pos="10080"/>
        </w:tabs>
      </w:pPr>
      <w:r>
        <w:tab/>
      </w:r>
      <w:r w:rsidR="008802A0" w:rsidRPr="000928A4">
        <w:rPr>
          <w:rFonts w:ascii="Times New Roman" w:hAnsi="Times New Roman"/>
          <w:position w:val="-26"/>
          <w:szCs w:val="24"/>
        </w:rPr>
        <w:object w:dxaOrig="2000" w:dyaOrig="720">
          <v:shape id="_x0000_i1027" type="#_x0000_t75" style="width:92.5pt;height:34pt" o:ole="" fillcolor="window">
            <v:imagedata r:id="rId12" o:title=""/>
          </v:shape>
          <o:OLEObject Type="Embed" ProgID="Equation.3" ShapeID="_x0000_i1027" DrawAspect="Content" ObjectID="_1635336763" r:id="rId13"/>
        </w:object>
      </w:r>
      <w:r>
        <w:tab/>
        <w:t>(4</w:t>
      </w:r>
      <w:r w:rsidRPr="006355C4">
        <w:t>)</w:t>
      </w:r>
    </w:p>
    <w:p w:rsidR="00CA42A0" w:rsidRPr="00CA42A0" w:rsidRDefault="00CA42A0" w:rsidP="00CA42A0">
      <w:pPr>
        <w:pStyle w:val="JCEFlushBody"/>
      </w:pPr>
      <w:r>
        <w:t xml:space="preserve">Combining equation 3 with equation 4 </w:t>
      </w:r>
      <w:r w:rsidRPr="000928A4">
        <w:t xml:space="preserve">leads to equation 5, which predicts how the solubility </w:t>
      </w:r>
      <w:r>
        <w:t>(</w:t>
      </w:r>
      <w:r w:rsidRPr="00CA42A0">
        <w:rPr>
          <w:i/>
        </w:rPr>
        <w:t>s</w:t>
      </w:r>
      <w:r>
        <w:t xml:space="preserve">) </w:t>
      </w:r>
      <w:r w:rsidRPr="000928A4">
        <w:t xml:space="preserve">should vary with </w:t>
      </w:r>
      <w:r w:rsidRPr="00CA42A0">
        <w:rPr>
          <w:i/>
        </w:rPr>
        <w:t>I</w:t>
      </w:r>
      <w:r w:rsidRPr="000928A4">
        <w:t>, assuming the DHEL is valid.</w:t>
      </w:r>
    </w:p>
    <w:p w:rsidR="000928A4" w:rsidRDefault="000928A4" w:rsidP="000928A4">
      <w:pPr>
        <w:pStyle w:val="JCEEquation"/>
        <w:tabs>
          <w:tab w:val="clear" w:pos="4320"/>
          <w:tab w:val="clear" w:pos="8640"/>
          <w:tab w:val="center" w:pos="5040"/>
          <w:tab w:val="right" w:pos="10080"/>
        </w:tabs>
      </w:pPr>
      <w:r w:rsidRPr="006355C4">
        <w:tab/>
      </w:r>
      <w:r w:rsidRPr="0059492D">
        <w:rPr>
          <w:position w:val="-28"/>
        </w:rPr>
        <w:object w:dxaOrig="3120" w:dyaOrig="740">
          <v:shape id="_x0000_i1028" type="#_x0000_t75" style="width:156pt;height:37pt" o:ole="">
            <v:imagedata r:id="rId14" o:title=""/>
          </v:shape>
          <o:OLEObject Type="Embed" ProgID="Equation.3" ShapeID="_x0000_i1028" DrawAspect="Content" ObjectID="_1635336764" r:id="rId15"/>
        </w:object>
      </w:r>
      <w:r>
        <w:tab/>
        <w:t>(5</w:t>
      </w:r>
      <w:r w:rsidRPr="006355C4">
        <w:t>)</w:t>
      </w:r>
    </w:p>
    <w:p w:rsidR="00134E58" w:rsidRDefault="00134E58" w:rsidP="00134E58">
      <w:pPr>
        <w:pStyle w:val="JCEFlushBody"/>
      </w:pPr>
      <w:r w:rsidRPr="00134E58">
        <w:t>Analysis of solubility (</w:t>
      </w:r>
      <w:r w:rsidRPr="00134E58">
        <w:rPr>
          <w:i/>
        </w:rPr>
        <w:t>s</w:t>
      </w:r>
      <w:r w:rsidRPr="00134E58">
        <w:t>) data as a function of ionic strength (</w:t>
      </w:r>
      <w:r w:rsidRPr="00134E58">
        <w:rPr>
          <w:i/>
        </w:rPr>
        <w:t>I</w:t>
      </w:r>
      <w:r w:rsidR="00050BE5">
        <w:t>) was</w:t>
      </w:r>
      <w:r w:rsidRPr="00134E58">
        <w:t xml:space="preserve"> performed by modelling the experimental d</w:t>
      </w:r>
      <w:r>
        <w:t>ata based on equation 5, allowing</w:t>
      </w:r>
      <w:r w:rsidRPr="00134E58">
        <w:t xml:space="preserve"> </w:t>
      </w:r>
      <w:r>
        <w:t xml:space="preserve">determination of </w:t>
      </w:r>
      <w:r w:rsidRPr="00754EC4">
        <w:rPr>
          <w:i/>
        </w:rPr>
        <w:t>K</w:t>
      </w:r>
      <w:r w:rsidRPr="00754EC4">
        <w:rPr>
          <w:i/>
          <w:vertAlign w:val="subscript"/>
        </w:rPr>
        <w:t>s</w:t>
      </w:r>
      <w:r w:rsidRPr="00754EC4">
        <w:rPr>
          <w:i/>
        </w:rPr>
        <w:t>°</w:t>
      </w:r>
      <w:r>
        <w:t xml:space="preserve">, </w:t>
      </w:r>
      <w:r w:rsidRPr="00754EC4">
        <w:rPr>
          <w:i/>
        </w:rPr>
        <w:t>Ba</w:t>
      </w:r>
      <w:r>
        <w:t xml:space="preserve"> and |z</w:t>
      </w:r>
      <w:r w:rsidRPr="00134E58">
        <w:rPr>
          <w:vertAlign w:val="subscript"/>
        </w:rPr>
        <w:t>+</w:t>
      </w:r>
      <w:r w:rsidRPr="00134E58">
        <w:t xml:space="preserve"> z</w:t>
      </w:r>
      <w:r w:rsidRPr="00134E58">
        <w:rPr>
          <w:vertAlign w:val="subscript"/>
        </w:rPr>
        <w:sym w:font="Symbol" w:char="F02D"/>
      </w:r>
      <w:r w:rsidRPr="00134E58">
        <w:t xml:space="preserve">| and </w:t>
      </w:r>
      <w:r>
        <w:t>an</w:t>
      </w:r>
      <w:r w:rsidRPr="00134E58">
        <w:t xml:space="preserve"> assess</w:t>
      </w:r>
      <w:r>
        <w:t>ment of</w:t>
      </w:r>
      <w:r w:rsidRPr="00134E58">
        <w:t xml:space="preserve"> t</w:t>
      </w:r>
      <w:r>
        <w:t>he validity of the DHEL.  Using the determined value of K</w:t>
      </w:r>
      <w:r>
        <w:rPr>
          <w:vertAlign w:val="subscript"/>
        </w:rPr>
        <w:t>s</w:t>
      </w:r>
      <w:r>
        <w:t>°</w:t>
      </w:r>
      <w:r w:rsidRPr="00134E58">
        <w:t xml:space="preserve">, equation 3 </w:t>
      </w:r>
      <w:r w:rsidR="00050BE5">
        <w:t>was then</w:t>
      </w:r>
      <w:r w:rsidRPr="00134E58">
        <w:t xml:space="preserve"> u</w:t>
      </w:r>
      <w:r>
        <w:t xml:space="preserve">sed to determine experimental </w:t>
      </w:r>
      <w:r>
        <w:sym w:font="Symbol" w:char="F067"/>
      </w:r>
      <w:r w:rsidRPr="00C92A82">
        <w:rPr>
          <w:vertAlign w:val="subscript"/>
        </w:rPr>
        <w:sym w:font="Symbol" w:char="F0B1"/>
      </w:r>
      <w:r>
        <w:rPr>
          <w:vertAlign w:val="subscript"/>
        </w:rPr>
        <w:t xml:space="preserve"> </w:t>
      </w:r>
      <w:r w:rsidRPr="00134E58">
        <w:t>values from the experimentally determined solubility (</w:t>
      </w:r>
      <w:r w:rsidRPr="00134E58">
        <w:rPr>
          <w:i/>
        </w:rPr>
        <w:t>s</w:t>
      </w:r>
      <w:r w:rsidRPr="00134E58">
        <w:t>) data</w:t>
      </w:r>
      <w:r>
        <w:t>.</w:t>
      </w:r>
    </w:p>
    <w:p w:rsidR="00754EC4" w:rsidRDefault="00754EC4" w:rsidP="00754EC4">
      <w:pPr>
        <w:pStyle w:val="JCEbodytext"/>
      </w:pPr>
    </w:p>
    <w:p w:rsidR="00754EC4" w:rsidRDefault="00754EC4" w:rsidP="00C934EE">
      <w:pPr>
        <w:pStyle w:val="JCEbodytext"/>
        <w:ind w:firstLine="0"/>
      </w:pPr>
      <w:r>
        <w:t>Thus the objectives of the laboratory activity are to:</w:t>
      </w:r>
    </w:p>
    <w:p w:rsidR="00C934EE" w:rsidRDefault="00754EC4" w:rsidP="00C934EE">
      <w:pPr>
        <w:pStyle w:val="JCEbulletlist"/>
      </w:pPr>
      <w:r>
        <w:t>Model the experimental data using the Debye-Hückel extended law (DHEL) and hence determine |z</w:t>
      </w:r>
      <w:r w:rsidRPr="00C934EE">
        <w:rPr>
          <w:vertAlign w:val="subscript"/>
        </w:rPr>
        <w:t>+</w:t>
      </w:r>
      <w:r w:rsidRPr="00134E58">
        <w:t xml:space="preserve"> z</w:t>
      </w:r>
      <w:r w:rsidRPr="00134E58">
        <w:rPr>
          <w:vertAlign w:val="subscript"/>
        </w:rPr>
        <w:sym w:font="Symbol" w:char="F02D"/>
      </w:r>
      <w:r w:rsidRPr="00134E58">
        <w:t>|</w:t>
      </w:r>
      <w:r w:rsidR="00331527">
        <w:t xml:space="preserve">, </w:t>
      </w:r>
      <w:r w:rsidRPr="00C934EE">
        <w:rPr>
          <w:i/>
        </w:rPr>
        <w:t xml:space="preserve">Ba </w:t>
      </w:r>
      <w:r w:rsidR="00AA425A">
        <w:t xml:space="preserve">and </w:t>
      </w:r>
      <w:r w:rsidRPr="00C934EE">
        <w:rPr>
          <w:i/>
        </w:rPr>
        <w:t>K</w:t>
      </w:r>
      <w:r w:rsidRPr="00C934EE">
        <w:rPr>
          <w:i/>
          <w:vertAlign w:val="subscript"/>
        </w:rPr>
        <w:t>s</w:t>
      </w:r>
      <w:r w:rsidRPr="00C934EE">
        <w:rPr>
          <w:i/>
        </w:rPr>
        <w:t>°</w:t>
      </w:r>
      <w:r>
        <w:t xml:space="preserve"> for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O (s)</w:t>
      </w:r>
      <w:r>
        <w:t>.</w:t>
      </w:r>
    </w:p>
    <w:p w:rsidR="00C934EE" w:rsidRDefault="00754EC4" w:rsidP="00C934EE">
      <w:pPr>
        <w:pStyle w:val="JCEbulletlist"/>
      </w:pPr>
      <w:r>
        <w:t xml:space="preserve">Determine </w:t>
      </w:r>
      <w:r>
        <w:sym w:font="Symbol" w:char="F067"/>
      </w:r>
      <w:r w:rsidRPr="00C92A82">
        <w:rPr>
          <w:vertAlign w:val="subscript"/>
        </w:rPr>
        <w:sym w:font="Symbol" w:char="F0B1"/>
      </w:r>
      <w:r w:rsidRPr="00C934EE">
        <w:rPr>
          <w:vertAlign w:val="subscript"/>
        </w:rPr>
        <w:t xml:space="preserve"> </w:t>
      </w:r>
      <w:r>
        <w:t xml:space="preserve">values over a range of ionic strengths. </w:t>
      </w:r>
    </w:p>
    <w:p w:rsidR="00754EC4" w:rsidRDefault="00754EC4" w:rsidP="00C934EE">
      <w:pPr>
        <w:pStyle w:val="JCEbulletlist"/>
      </w:pPr>
      <w:r>
        <w:t>Compare findings with literature data.</w:t>
      </w:r>
    </w:p>
    <w:p w:rsidR="00754EC4" w:rsidRDefault="00754EC4" w:rsidP="00050BE5">
      <w:pPr>
        <w:pStyle w:val="JCEbodytext"/>
        <w:ind w:firstLine="0"/>
      </w:pPr>
    </w:p>
    <w:p w:rsidR="00050BE5" w:rsidRPr="00050BE5" w:rsidRDefault="00050BE5" w:rsidP="00050BE5">
      <w:pPr>
        <w:pStyle w:val="JCEH2"/>
        <w:spacing w:after="240"/>
        <w:rPr>
          <w:b/>
        </w:rPr>
      </w:pPr>
      <w:r w:rsidRPr="00050BE5">
        <w:rPr>
          <w:b/>
        </w:rPr>
        <w:lastRenderedPageBreak/>
        <w:t>HAZARDS</w:t>
      </w:r>
    </w:p>
    <w:p w:rsidR="00050BE5" w:rsidRDefault="00050BE5" w:rsidP="00050BE5">
      <w:pPr>
        <w:pStyle w:val="JCEbodytext"/>
      </w:pPr>
      <w:r>
        <w:t xml:space="preserve">Instructors and students should wear appropriate personal safety protection (laboratory coat, eye protection, gloves) when handling the chemicals </w:t>
      </w:r>
      <w:r w:rsidR="00F94207">
        <w:t xml:space="preserve">(see </w:t>
      </w:r>
      <w:r w:rsidR="001255A9">
        <w:t>Supporting Information</w:t>
      </w:r>
      <w:r w:rsidR="00F94207">
        <w:t xml:space="preserve">) </w:t>
      </w:r>
      <w:r>
        <w:t xml:space="preserve">used in this experiment.  </w:t>
      </w:r>
      <w:r w:rsidR="00763BEA">
        <w:t>Storage and transfer of t</w:t>
      </w:r>
      <w:r>
        <w:t xml:space="preserve">he buffer should </w:t>
      </w:r>
      <w:r w:rsidR="006A027F">
        <w:t xml:space="preserve">be </w:t>
      </w:r>
      <w:r w:rsidR="00763BEA">
        <w:t>conducted</w:t>
      </w:r>
      <w:r>
        <w:t xml:space="preserve"> in a fume hood.  Chemical waste should be disposed of in </w:t>
      </w:r>
      <w:r w:rsidR="006A027F">
        <w:t>ac</w:t>
      </w:r>
      <w:r w:rsidR="00763BEA">
        <w:t>cordance with local regulations and protocols</w:t>
      </w:r>
      <w:r>
        <w:t xml:space="preserve">. </w:t>
      </w:r>
    </w:p>
    <w:p w:rsidR="00050BE5" w:rsidRDefault="00050BE5" w:rsidP="00050BE5">
      <w:pPr>
        <w:pStyle w:val="JCEbodytext"/>
        <w:ind w:firstLine="0"/>
      </w:pPr>
    </w:p>
    <w:p w:rsidR="00DA18F1" w:rsidRDefault="00975BE0" w:rsidP="00DA18F1">
      <w:pPr>
        <w:pStyle w:val="JCEH1"/>
        <w:spacing w:before="180"/>
      </w:pPr>
      <w:r>
        <w:t>THe laboratory session, pre- and post-laboratory activities</w:t>
      </w:r>
    </w:p>
    <w:p w:rsidR="0041465C" w:rsidRPr="0041465C" w:rsidRDefault="0041465C" w:rsidP="0041465C">
      <w:pPr>
        <w:pStyle w:val="JCEbodytext"/>
      </w:pPr>
    </w:p>
    <w:p w:rsidR="006528D2" w:rsidRDefault="00DC26A2" w:rsidP="00DC26A2">
      <w:pPr>
        <w:pStyle w:val="JCEbodytext"/>
      </w:pPr>
      <w:r>
        <w:t>The duration of the laboratory session for this experiment was three hours</w:t>
      </w:r>
      <w:r w:rsidR="00947F0D">
        <w:t xml:space="preserve"> and the total number of students was </w:t>
      </w:r>
      <w:r w:rsidR="00466ABF">
        <w:t>approximately</w:t>
      </w:r>
      <w:r w:rsidR="00947F0D">
        <w:t xml:space="preserve"> 90.  St</w:t>
      </w:r>
      <w:r>
        <w:t xml:space="preserve">udents worked individually and contributed their </w:t>
      </w:r>
      <w:r w:rsidR="00466ABF">
        <w:t xml:space="preserve">raw </w:t>
      </w:r>
      <w:r>
        <w:t>data to a whole-class dataset within a spreadsheet</w:t>
      </w:r>
      <w:r w:rsidR="00466ABF">
        <w:t>, subsequently shared with the class via the VLE</w:t>
      </w:r>
      <w:r w:rsidR="006C618B">
        <w:t xml:space="preserve"> (Virtual Learning Environment)</w:t>
      </w:r>
      <w:r>
        <w:t xml:space="preserve">.  Prior to the laboratory session students were required to complete a COSHH </w:t>
      </w:r>
      <w:r w:rsidR="006C618B">
        <w:t xml:space="preserve">(Control of Substances Hazardous to Health, a UK statutory instrument) </w:t>
      </w:r>
      <w:r>
        <w:t xml:space="preserve">risk assessment and a short pre-laboratory exercise (see </w:t>
      </w:r>
      <w:r w:rsidR="001255A9">
        <w:t>Supporting Information</w:t>
      </w:r>
      <w:r>
        <w:t xml:space="preserve">), which was designed to </w:t>
      </w:r>
      <w:r w:rsidR="00F76231">
        <w:t xml:space="preserve">seed students’ minds with </w:t>
      </w:r>
      <w:r w:rsidR="00466ABF">
        <w:t xml:space="preserve">knowledge and understanding of </w:t>
      </w:r>
      <w:r w:rsidR="00F76231">
        <w:t>some of the fundamental concepts and calculations.  Students received feedback on the pre-laboratory exercise approximately one week before the laboratory session using a whole-class tutor-led dialogic self-assessment approach during which students take responsibility for writing their own feedback and marking their o</w:t>
      </w:r>
      <w:r w:rsidR="00947F0D">
        <w:t>wn work using a distinctly colo</w:t>
      </w:r>
      <w:r w:rsidR="00F76231">
        <w:t xml:space="preserve">red pen under controlled conditions.   </w:t>
      </w:r>
      <w:r w:rsidR="006528D2">
        <w:t xml:space="preserve">Risk assessments were signed off prior to commencement of experimental work.  </w:t>
      </w:r>
    </w:p>
    <w:p w:rsidR="00466ABF" w:rsidRDefault="006528D2" w:rsidP="00DC26A2">
      <w:pPr>
        <w:pStyle w:val="JCEbodytext"/>
      </w:pPr>
      <w:r>
        <w:t xml:space="preserve">At the beginning of the laboratory session the students received an introductory briefing </w:t>
      </w:r>
      <w:r w:rsidR="00947F0D">
        <w:t xml:space="preserve">recalling the aims and objectives of the experiment and </w:t>
      </w:r>
      <w:r>
        <w:t xml:space="preserve">explaining the rationale behind the data-pooling approach and the allocation of </w:t>
      </w:r>
      <w:r w:rsidR="00466ABF">
        <w:t xml:space="preserve">experimental </w:t>
      </w:r>
      <w:r>
        <w:t xml:space="preserve">work amongst the class.  Each </w:t>
      </w:r>
      <w:r w:rsidR="0094258A">
        <w:t>studen</w:t>
      </w:r>
      <w:r w:rsidR="0094258A" w:rsidRPr="00374B52">
        <w:t>t</w:t>
      </w:r>
      <w:r w:rsidR="00374B52" w:rsidRPr="00374B52">
        <w:rPr>
          <w:vertAlign w:val="superscript"/>
        </w:rPr>
        <w:t>10</w:t>
      </w:r>
      <w:r w:rsidR="00B2156B">
        <w:t xml:space="preserve"> </w:t>
      </w:r>
      <w:r>
        <w:t xml:space="preserve">then </w:t>
      </w:r>
      <w:r w:rsidR="00B2156B">
        <w:t>prepared</w:t>
      </w:r>
      <w:r w:rsidR="00947F0D">
        <w:t xml:space="preserve"> the</w:t>
      </w:r>
      <w:r w:rsidR="0094258A">
        <w:t xml:space="preserve"> KNO</w:t>
      </w:r>
      <w:r w:rsidR="0094258A" w:rsidRPr="00A16082">
        <w:rPr>
          <w:vertAlign w:val="subscript"/>
        </w:rPr>
        <w:t>3</w:t>
      </w:r>
      <w:r w:rsidR="0094258A">
        <w:t xml:space="preserve"> solution </w:t>
      </w:r>
      <w:r w:rsidR="00AE5F5B">
        <w:t xml:space="preserve">allocated to them (each student </w:t>
      </w:r>
      <w:r w:rsidR="00466ABF">
        <w:t>typed their name</w:t>
      </w:r>
      <w:r w:rsidR="00AE5F5B">
        <w:t xml:space="preserve"> against an indicative</w:t>
      </w:r>
      <w:r w:rsidR="0094258A">
        <w:t xml:space="preserve"> concentration in the </w:t>
      </w:r>
      <w:r w:rsidR="003470E6">
        <w:t xml:space="preserve">approximate </w:t>
      </w:r>
      <w:r w:rsidR="0094258A">
        <w:t>range 5.0 × 10</w:t>
      </w:r>
      <w:r w:rsidR="0094258A">
        <w:rPr>
          <w:vertAlign w:val="superscript"/>
        </w:rPr>
        <w:sym w:font="Symbol" w:char="F02D"/>
      </w:r>
      <w:r w:rsidR="0094258A">
        <w:rPr>
          <w:vertAlign w:val="superscript"/>
        </w:rPr>
        <w:t>4</w:t>
      </w:r>
      <w:r w:rsidR="0094258A">
        <w:t xml:space="preserve"> – 0.5 mol dm</w:t>
      </w:r>
      <w:r w:rsidR="0094258A" w:rsidRPr="005F1DD5">
        <w:rPr>
          <w:vertAlign w:val="superscript"/>
        </w:rPr>
        <w:sym w:font="Symbol" w:char="F02D"/>
      </w:r>
      <w:r w:rsidR="0094258A" w:rsidRPr="005F1DD5">
        <w:rPr>
          <w:vertAlign w:val="superscript"/>
        </w:rPr>
        <w:t>3</w:t>
      </w:r>
      <w:r w:rsidR="00AE5F5B">
        <w:t xml:space="preserve">), </w:t>
      </w:r>
      <w:r w:rsidR="0094258A">
        <w:t xml:space="preserve">to </w:t>
      </w:r>
      <w:r w:rsidR="00215634">
        <w:t xml:space="preserve">which </w:t>
      </w:r>
      <w:r w:rsidR="00466ABF">
        <w:t>they</w:t>
      </w:r>
      <w:r w:rsidR="0094258A">
        <w:t xml:space="preserve"> added sufficient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 xml:space="preserve">O </w:t>
      </w:r>
      <w:r w:rsidR="0094258A">
        <w:t>(s) to allow establishment of the equilibrium shown in equation 1.</w:t>
      </w:r>
      <w:r w:rsidR="00215634">
        <w:t xml:space="preserve">  Thus a series of </w:t>
      </w:r>
      <w:r w:rsidR="00947F0D">
        <w:t>~90 solutions was</w:t>
      </w:r>
      <w:r w:rsidR="001D3F77">
        <w:t xml:space="preserve"> prepared across the </w:t>
      </w:r>
      <w:r w:rsidR="00947F0D">
        <w:t xml:space="preserve">whole </w:t>
      </w:r>
      <w:r w:rsidR="001D3F77">
        <w:t xml:space="preserve">class </w:t>
      </w:r>
      <w:r>
        <w:t>in which the equilibrium was</w:t>
      </w:r>
      <w:r w:rsidR="001D3F77">
        <w:t xml:space="preserve"> established in environments of widely </w:t>
      </w:r>
      <w:r w:rsidR="003470E6">
        <w:t>differ</w:t>
      </w:r>
      <w:r w:rsidR="00B64121">
        <w:t>ing</w:t>
      </w:r>
      <w:r w:rsidR="001D3F77">
        <w:t xml:space="preserve"> ionic strengths.  </w:t>
      </w:r>
      <w:r w:rsidR="00947F0D">
        <w:t>Students then analysed the</w:t>
      </w:r>
      <w:r w:rsidR="001D3F77">
        <w:t xml:space="preserve"> equilibrated supernatant </w:t>
      </w:r>
      <w:r w:rsidR="001D3F77">
        <w:lastRenderedPageBreak/>
        <w:t>liquid for Ca</w:t>
      </w:r>
      <w:r w:rsidR="001D3F77" w:rsidRPr="001D3F77">
        <w:rPr>
          <w:vertAlign w:val="superscript"/>
        </w:rPr>
        <w:t>2+</w:t>
      </w:r>
      <w:r w:rsidR="00947F0D">
        <w:t>(aq) using an</w:t>
      </w:r>
      <w:r w:rsidR="001D3F77">
        <w:t xml:space="preserve"> EDTA titration </w:t>
      </w:r>
      <w:r w:rsidR="00A043A3">
        <w:t xml:space="preserve">(see </w:t>
      </w:r>
      <w:r w:rsidR="003470E6">
        <w:t>Results and Data Analysis below</w:t>
      </w:r>
      <w:r w:rsidR="00F94207">
        <w:t xml:space="preserve"> and </w:t>
      </w:r>
      <w:r w:rsidR="001255A9">
        <w:t>Supporting Information</w:t>
      </w:r>
      <w:r w:rsidR="00A043A3">
        <w:t>)</w:t>
      </w:r>
      <w:r w:rsidR="00947F0D">
        <w:t xml:space="preserve"> and recorded their </w:t>
      </w:r>
      <w:r w:rsidR="00AE5F5B">
        <w:t>exact KNO</w:t>
      </w:r>
      <w:r w:rsidR="00AE5F5B" w:rsidRPr="00AE5F5B">
        <w:rPr>
          <w:vertAlign w:val="subscript"/>
        </w:rPr>
        <w:t>3</w:t>
      </w:r>
      <w:r w:rsidR="00AE5F5B">
        <w:t xml:space="preserve"> concentration and </w:t>
      </w:r>
      <w:r w:rsidR="00947F0D">
        <w:t xml:space="preserve">titre volume information on the class spreadsheet against their </w:t>
      </w:r>
      <w:r w:rsidR="00466ABF">
        <w:t xml:space="preserve">respective </w:t>
      </w:r>
      <w:r w:rsidR="00947F0D">
        <w:t>name</w:t>
      </w:r>
      <w:r w:rsidR="00466ABF">
        <w:t>s</w:t>
      </w:r>
      <w:r w:rsidR="001D3F77">
        <w:t>.</w:t>
      </w:r>
      <w:r w:rsidR="00C540A7">
        <w:t xml:space="preserve">  </w:t>
      </w:r>
      <w:r w:rsidR="00AE5F5B">
        <w:t xml:space="preserve">The stock EDTA solution was provided such that all students used the same EDTA solution for analysis.  </w:t>
      </w:r>
      <w:r w:rsidR="0093546C">
        <w:t>During data collection</w:t>
      </w:r>
      <w:r w:rsidR="00AE5F5B">
        <w:t xml:space="preserve"> a living plot of the </w:t>
      </w:r>
      <w:r w:rsidR="0093546C">
        <w:t>raw data (</w:t>
      </w:r>
      <w:r w:rsidR="00AE5F5B">
        <w:t>titre volume versus [KNO</w:t>
      </w:r>
      <w:r w:rsidR="00AE5F5B" w:rsidRPr="00AE5F5B">
        <w:rPr>
          <w:vertAlign w:val="subscript"/>
        </w:rPr>
        <w:t>3</w:t>
      </w:r>
      <w:r w:rsidR="00AE5F5B">
        <w:t>]</w:t>
      </w:r>
      <w:r w:rsidR="0093546C">
        <w:t xml:space="preserve">) </w:t>
      </w:r>
      <w:r w:rsidR="00AE5F5B">
        <w:t>was displayed via a projection screen in the laborator</w:t>
      </w:r>
      <w:r w:rsidR="0093546C">
        <w:t>y</w:t>
      </w:r>
      <w:r w:rsidR="00466ABF">
        <w:t xml:space="preserve">, which </w:t>
      </w:r>
      <w:r w:rsidR="00A143BF">
        <w:t>very effectively illustrated</w:t>
      </w:r>
      <w:r w:rsidR="0093546C">
        <w:t xml:space="preserve"> the influence of the ionic strength on the titre volume, and hence the solubility.  </w:t>
      </w:r>
      <w:r w:rsidR="006A7D0F">
        <w:t xml:space="preserve">Further details of the experimental procedure are provided in the </w:t>
      </w:r>
      <w:r w:rsidR="001255A9">
        <w:t>Supporting Information</w:t>
      </w:r>
      <w:r w:rsidR="006A7D0F">
        <w:t xml:space="preserve">.  </w:t>
      </w:r>
    </w:p>
    <w:p w:rsidR="00C632D0" w:rsidRPr="00C540A7" w:rsidRDefault="0030329F" w:rsidP="00DC26A2">
      <w:pPr>
        <w:pStyle w:val="JCEbodytext"/>
      </w:pPr>
      <w:r>
        <w:t>Once data collection was complete (generally this was within 2 hours, including the briefing session at the beginning of the session)</w:t>
      </w:r>
      <w:r w:rsidR="00725EED">
        <w:t>, the remainder of the session was used to explain the principles and key steps of the data analysis using Excel solver</w:t>
      </w:r>
      <w:r w:rsidR="006A7D0F">
        <w:t>, with ample time for discussion and questions</w:t>
      </w:r>
      <w:r w:rsidR="00A143BF">
        <w:t xml:space="preserve"> and making links to theoretical concepts discussed in lectures</w:t>
      </w:r>
      <w:r w:rsidR="00725EED">
        <w:t xml:space="preserve">.  Post-laboratory, the students </w:t>
      </w:r>
      <w:r w:rsidR="00871A30">
        <w:t>accessed</w:t>
      </w:r>
      <w:r w:rsidR="00725EED">
        <w:t xml:space="preserve"> the data spreadsheet (via the VLE) and were required to make an initial attempt at the data analysis prior to a data analysis workshop</w:t>
      </w:r>
      <w:r w:rsidR="006A7D0F">
        <w:t xml:space="preserve"> in a computer laboratory</w:t>
      </w:r>
      <w:r w:rsidR="008062F2">
        <w:t xml:space="preserve"> the following week (typically), during which students refined and improved their work, drawing on formative face-to-face feedback from instructors</w:t>
      </w:r>
      <w:r w:rsidR="006A7D0F">
        <w:t>.</w:t>
      </w:r>
    </w:p>
    <w:p w:rsidR="008A3DB4" w:rsidRDefault="008A3DB4" w:rsidP="008A3DB4">
      <w:pPr>
        <w:pStyle w:val="JCEbodytext"/>
      </w:pPr>
    </w:p>
    <w:p w:rsidR="00DA18F1" w:rsidRPr="006355C4" w:rsidRDefault="00DA18F1" w:rsidP="00DA18F1">
      <w:pPr>
        <w:pStyle w:val="JCEH1"/>
        <w:spacing w:before="180"/>
      </w:pPr>
      <w:r>
        <w:t>Results</w:t>
      </w:r>
      <w:r w:rsidR="009E5231">
        <w:t xml:space="preserve"> AND DATA ANALYSIS</w:t>
      </w:r>
    </w:p>
    <w:p w:rsidR="00DA18F1" w:rsidRPr="006355C4" w:rsidRDefault="00AB6D4D" w:rsidP="00AB6D4D">
      <w:pPr>
        <w:pStyle w:val="JCEH2"/>
        <w:spacing w:after="240"/>
      </w:pPr>
      <w:r>
        <w:t>Solubility and Ionic Strength Calculations</w:t>
      </w:r>
    </w:p>
    <w:p w:rsidR="00AB6D4D" w:rsidRDefault="00AB6D4D" w:rsidP="00AB6D4D">
      <w:pPr>
        <w:pStyle w:val="JCEbodytext"/>
      </w:pPr>
      <w:r>
        <w:t>The number of moles of EDTA in the corrected titre volume is equivalent to the number of moles of Ca</w:t>
      </w:r>
      <w:r w:rsidRPr="00556445">
        <w:rPr>
          <w:vertAlign w:val="superscript"/>
        </w:rPr>
        <w:t>2+</w:t>
      </w:r>
      <w:r>
        <w:t>(aq) at equilibrium. Hence the solubility (</w:t>
      </w:r>
      <w:r w:rsidRPr="00556445">
        <w:rPr>
          <w:i/>
        </w:rPr>
        <w:t>s</w:t>
      </w:r>
      <w:r w:rsidR="00A143BF">
        <w:t>) is</w:t>
      </w:r>
      <w:r>
        <w:t xml:space="preserve"> conveniently calculated using equation 6, where [EDTA] is the molar concentration of the standard EDTA solution and V</w:t>
      </w:r>
      <w:r>
        <w:rPr>
          <w:vertAlign w:val="subscript"/>
        </w:rPr>
        <w:t>titre</w:t>
      </w:r>
      <w:r>
        <w:t xml:space="preserve"> and V</w:t>
      </w:r>
      <w:r>
        <w:rPr>
          <w:vertAlign w:val="subscript"/>
        </w:rPr>
        <w:t>sample</w:t>
      </w:r>
      <w:r>
        <w:t xml:space="preserve"> are respectively the </w:t>
      </w:r>
      <w:r w:rsidR="00331527">
        <w:t xml:space="preserve">blank-corrected </w:t>
      </w:r>
      <w:r>
        <w:t>titre volume and the volume of sample analysed (10.0 mL in this case).</w:t>
      </w:r>
    </w:p>
    <w:p w:rsidR="00AB6D4D" w:rsidRDefault="00AB6D4D" w:rsidP="00AB6D4D">
      <w:pPr>
        <w:pStyle w:val="JCEEquation"/>
        <w:tabs>
          <w:tab w:val="clear" w:pos="4320"/>
          <w:tab w:val="clear" w:pos="8640"/>
          <w:tab w:val="center" w:pos="5040"/>
          <w:tab w:val="right" w:pos="10080"/>
        </w:tabs>
      </w:pPr>
      <w:r w:rsidRPr="006355C4">
        <w:tab/>
      </w:r>
      <m:oMath>
        <m:r>
          <w:rPr>
            <w:rFonts w:ascii="Cambria Math" w:hAnsi="Cambria Math"/>
          </w:rPr>
          <m:t>s=</m:t>
        </m:r>
        <m:f>
          <m:fPr>
            <m:ctrlPr>
              <w:rPr>
                <w:rFonts w:ascii="Cambria Math" w:hAnsi="Cambria Math"/>
                <w:i/>
              </w:rPr>
            </m:ctrlPr>
          </m:fPr>
          <m:num>
            <m:d>
              <m:dPr>
                <m:begChr m:val="["/>
                <m:endChr m:val="]"/>
                <m:ctrlPr>
                  <w:rPr>
                    <w:rFonts w:ascii="Cambria Math" w:hAnsi="Cambria Math"/>
                    <w:i/>
                  </w:rPr>
                </m:ctrlPr>
              </m:dPr>
              <m:e>
                <m:r>
                  <w:rPr>
                    <w:rFonts w:ascii="Cambria Math" w:hAnsi="Cambria Math"/>
                  </w:rPr>
                  <m:t>EDTA</m:t>
                </m:r>
              </m:e>
            </m:d>
            <m:sSub>
              <m:sSubPr>
                <m:ctrlPr>
                  <w:rPr>
                    <w:rFonts w:ascii="Cambria Math" w:hAnsi="Cambria Math"/>
                    <w:i/>
                  </w:rPr>
                </m:ctrlPr>
              </m:sSubPr>
              <m:e>
                <m:r>
                  <w:rPr>
                    <w:rFonts w:ascii="Cambria Math" w:hAnsi="Cambria Math"/>
                  </w:rPr>
                  <m:t>V</m:t>
                </m:r>
              </m:e>
              <m:sub>
                <m:r>
                  <w:rPr>
                    <w:rFonts w:ascii="Cambria Math" w:hAnsi="Cambria Math"/>
                  </w:rPr>
                  <m:t>titre</m:t>
                </m:r>
              </m:sub>
            </m:sSub>
          </m:num>
          <m:den>
            <m:sSub>
              <m:sSubPr>
                <m:ctrlPr>
                  <w:rPr>
                    <w:rFonts w:ascii="Cambria Math" w:hAnsi="Cambria Math"/>
                    <w:i/>
                  </w:rPr>
                </m:ctrlPr>
              </m:sSubPr>
              <m:e>
                <m:r>
                  <w:rPr>
                    <w:rFonts w:ascii="Cambria Math" w:hAnsi="Cambria Math"/>
                  </w:rPr>
                  <m:t>V</m:t>
                </m:r>
              </m:e>
              <m:sub>
                <m:r>
                  <w:rPr>
                    <w:rFonts w:ascii="Cambria Math" w:hAnsi="Cambria Math"/>
                  </w:rPr>
                  <m:t>sample</m:t>
                </m:r>
              </m:sub>
            </m:sSub>
          </m:den>
        </m:f>
      </m:oMath>
      <w:r>
        <w:tab/>
        <w:t>(6</w:t>
      </w:r>
      <w:r w:rsidRPr="006355C4">
        <w:t>)</w:t>
      </w:r>
    </w:p>
    <w:p w:rsidR="00AB6D4D" w:rsidRDefault="00AB6D4D" w:rsidP="00AB6D4D">
      <w:pPr>
        <w:pStyle w:val="JCEbodytext"/>
        <w:ind w:firstLine="364"/>
      </w:pPr>
      <w:r>
        <w:t>The ionic strength (</w:t>
      </w:r>
      <w:r w:rsidRPr="00531689">
        <w:rPr>
          <w:i/>
        </w:rPr>
        <w:t>I</w:t>
      </w:r>
      <w:r>
        <w:t xml:space="preserve">) is given by equation 7, where </w:t>
      </w:r>
      <w:r w:rsidRPr="00531689">
        <w:rPr>
          <w:i/>
        </w:rPr>
        <w:t>c</w:t>
      </w:r>
      <w:r w:rsidRPr="00531689">
        <w:rPr>
          <w:i/>
          <w:vertAlign w:val="subscript"/>
        </w:rPr>
        <w:t>i</w:t>
      </w:r>
      <w:r>
        <w:t xml:space="preserve"> is the concentration of ion i and z</w:t>
      </w:r>
      <w:r w:rsidRPr="00531689">
        <w:rPr>
          <w:vertAlign w:val="subscript"/>
        </w:rPr>
        <w:t>i</w:t>
      </w:r>
      <w:r>
        <w:t xml:space="preserve"> is its charge number.</w:t>
      </w:r>
    </w:p>
    <w:p w:rsidR="00AB6D4D" w:rsidRDefault="00AB6D4D" w:rsidP="00AB6D4D">
      <w:pPr>
        <w:pStyle w:val="JCEEquation"/>
        <w:tabs>
          <w:tab w:val="clear" w:pos="4320"/>
          <w:tab w:val="clear" w:pos="8640"/>
          <w:tab w:val="center" w:pos="5040"/>
          <w:tab w:val="right" w:pos="10080"/>
        </w:tabs>
      </w:pPr>
      <w:r w:rsidRPr="006355C4">
        <w:tab/>
      </w: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c</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e>
        </m:nary>
      </m:oMath>
      <w:r>
        <w:tab/>
        <w:t>(7</w:t>
      </w:r>
      <w:r w:rsidRPr="006355C4">
        <w:t>)</w:t>
      </w:r>
    </w:p>
    <w:p w:rsidR="00AB6D4D" w:rsidRDefault="00AB6D4D" w:rsidP="00AB6D4D">
      <w:pPr>
        <w:pStyle w:val="JCEbodytext"/>
        <w:ind w:firstLine="364"/>
      </w:pPr>
      <w:r>
        <w:lastRenderedPageBreak/>
        <w:t>Applying equatio</w:t>
      </w:r>
      <w:r w:rsidR="00775C45">
        <w:t>n 7 to the equilibrated samples, and</w:t>
      </w:r>
      <w:r>
        <w:t xml:space="preserve"> noting that [K</w:t>
      </w:r>
      <w:r w:rsidRPr="00556445">
        <w:rPr>
          <w:vertAlign w:val="superscript"/>
        </w:rPr>
        <w:t>+</w:t>
      </w:r>
      <w:r>
        <w:t>] = [NO</w:t>
      </w:r>
      <w:r w:rsidRPr="00556445">
        <w:rPr>
          <w:vertAlign w:val="subscript"/>
        </w:rPr>
        <w:t>3</w:t>
      </w:r>
      <w:r w:rsidRPr="00556445">
        <w:rPr>
          <w:vertAlign w:val="superscript"/>
        </w:rPr>
        <w:sym w:font="Symbol" w:char="F02D"/>
      </w:r>
      <w:r>
        <w:t>] = [KNO</w:t>
      </w:r>
      <w:r w:rsidRPr="00531689">
        <w:rPr>
          <w:vertAlign w:val="subscript"/>
        </w:rPr>
        <w:t>3</w:t>
      </w:r>
      <w:r>
        <w:t>] and [Ca</w:t>
      </w:r>
      <w:r w:rsidRPr="00556445">
        <w:rPr>
          <w:vertAlign w:val="superscript"/>
        </w:rPr>
        <w:t>2+</w:t>
      </w:r>
      <w:r>
        <w:t>] = [SO</w:t>
      </w:r>
      <w:r w:rsidRPr="00556445">
        <w:rPr>
          <w:vertAlign w:val="subscript"/>
        </w:rPr>
        <w:t>4</w:t>
      </w:r>
      <w:r w:rsidRPr="00556445">
        <w:rPr>
          <w:vertAlign w:val="superscript"/>
        </w:rPr>
        <w:t>2</w:t>
      </w:r>
      <w:r w:rsidRPr="00556445">
        <w:rPr>
          <w:vertAlign w:val="superscript"/>
        </w:rPr>
        <w:sym w:font="Symbol" w:char="F02D"/>
      </w:r>
      <w:r>
        <w:t xml:space="preserve">] = </w:t>
      </w:r>
      <w:r w:rsidRPr="00531689">
        <w:rPr>
          <w:i/>
        </w:rPr>
        <w:t>s</w:t>
      </w:r>
      <w:r>
        <w:t xml:space="preserve">, leads to the following expression for </w:t>
      </w:r>
      <w:r w:rsidRPr="00531689">
        <w:rPr>
          <w:i/>
        </w:rPr>
        <w:t>I</w:t>
      </w:r>
      <w:r>
        <w:t xml:space="preserve"> (equation 8). </w:t>
      </w:r>
    </w:p>
    <w:p w:rsidR="00AB6D4D" w:rsidRDefault="00AB6D4D" w:rsidP="00AB6D4D">
      <w:pPr>
        <w:pStyle w:val="JCEEquation"/>
        <w:tabs>
          <w:tab w:val="clear" w:pos="4320"/>
          <w:tab w:val="clear" w:pos="8640"/>
          <w:tab w:val="center" w:pos="5040"/>
          <w:tab w:val="right" w:pos="10080"/>
        </w:tabs>
      </w:pPr>
      <w:r w:rsidRPr="006355C4">
        <w:tab/>
      </w:r>
      <m:oMath>
        <m:r>
          <w:rPr>
            <w:rFonts w:ascii="Cambria Math" w:hAnsi="Cambria Math"/>
          </w:rPr>
          <m:t>I=4s+[KN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oMath>
      <w:r>
        <w:tab/>
        <w:t>(8</w:t>
      </w:r>
      <w:r w:rsidRPr="006355C4">
        <w:t>)</w:t>
      </w:r>
    </w:p>
    <w:p w:rsidR="00DE40CD" w:rsidRDefault="00442152" w:rsidP="00AE5F5B">
      <w:pPr>
        <w:pStyle w:val="JCEbodytext"/>
      </w:pPr>
      <w:r>
        <w:rPr>
          <w:spacing w:val="-2"/>
        </w:rPr>
        <w:t xml:space="preserve">The raw pooled data </w:t>
      </w:r>
      <w:r w:rsidR="000F3640">
        <w:rPr>
          <w:spacing w:val="-2"/>
        </w:rPr>
        <w:t xml:space="preserve">(see </w:t>
      </w:r>
      <w:r w:rsidR="001255A9">
        <w:rPr>
          <w:spacing w:val="-2"/>
        </w:rPr>
        <w:t>Supporting Information</w:t>
      </w:r>
      <w:r w:rsidR="000F3640">
        <w:rPr>
          <w:spacing w:val="-2"/>
        </w:rPr>
        <w:t xml:space="preserve">) </w:t>
      </w:r>
      <w:r w:rsidR="009571A5">
        <w:rPr>
          <w:spacing w:val="-2"/>
        </w:rPr>
        <w:t>consisted</w:t>
      </w:r>
      <w:r>
        <w:rPr>
          <w:spacing w:val="-2"/>
        </w:rPr>
        <w:t xml:space="preserve"> of </w:t>
      </w:r>
      <w:r w:rsidR="003470E6">
        <w:rPr>
          <w:spacing w:val="-2"/>
        </w:rPr>
        <w:t xml:space="preserve">spreadsheet </w:t>
      </w:r>
      <w:r w:rsidR="000F3640">
        <w:rPr>
          <w:spacing w:val="-2"/>
        </w:rPr>
        <w:t xml:space="preserve">columns containing </w:t>
      </w:r>
      <w:r>
        <w:rPr>
          <w:spacing w:val="-2"/>
        </w:rPr>
        <w:t>the KNO</w:t>
      </w:r>
      <w:r w:rsidRPr="00442152">
        <w:rPr>
          <w:spacing w:val="-2"/>
          <w:vertAlign w:val="subscript"/>
        </w:rPr>
        <w:t>3</w:t>
      </w:r>
      <w:r w:rsidR="000F3640">
        <w:rPr>
          <w:spacing w:val="-2"/>
        </w:rPr>
        <w:t xml:space="preserve"> concentrations and </w:t>
      </w:r>
      <w:r>
        <w:rPr>
          <w:spacing w:val="-2"/>
        </w:rPr>
        <w:t xml:space="preserve">the </w:t>
      </w:r>
      <w:r w:rsidRPr="00442152">
        <w:rPr>
          <w:i/>
          <w:spacing w:val="-2"/>
        </w:rPr>
        <w:t>V</w:t>
      </w:r>
      <w:r w:rsidRPr="00442152">
        <w:rPr>
          <w:i/>
          <w:spacing w:val="-2"/>
          <w:vertAlign w:val="subscript"/>
        </w:rPr>
        <w:t>titre</w:t>
      </w:r>
      <w:r>
        <w:rPr>
          <w:spacing w:val="-2"/>
        </w:rPr>
        <w:t xml:space="preserve"> values</w:t>
      </w:r>
      <w:r w:rsidR="00FB5A77" w:rsidRPr="00F715E3">
        <w:t>.</w:t>
      </w:r>
      <w:r w:rsidR="000F3640">
        <w:t xml:space="preserve">  </w:t>
      </w:r>
      <w:r w:rsidR="00A143BF">
        <w:t>Students created s</w:t>
      </w:r>
      <w:r w:rsidR="000F3640">
        <w:t xml:space="preserve">ubsequent columns containing </w:t>
      </w:r>
      <w:r w:rsidR="000F3640" w:rsidRPr="000F3640">
        <w:rPr>
          <w:i/>
        </w:rPr>
        <w:t>s</w:t>
      </w:r>
      <w:r w:rsidR="000F3640">
        <w:t xml:space="preserve"> and </w:t>
      </w:r>
      <w:r w:rsidR="000F3640" w:rsidRPr="000F3640">
        <w:rPr>
          <w:i/>
        </w:rPr>
        <w:t xml:space="preserve">I </w:t>
      </w:r>
      <w:r w:rsidR="009571A5">
        <w:t xml:space="preserve">for all samples </w:t>
      </w:r>
      <w:r w:rsidR="00A143BF">
        <w:t>and</w:t>
      </w:r>
      <w:r w:rsidR="000F3640">
        <w:t xml:space="preserve"> calculated </w:t>
      </w:r>
      <w:r w:rsidR="00A143BF">
        <w:t xml:space="preserve">these quantities </w:t>
      </w:r>
      <w:r w:rsidR="000F3640">
        <w:t xml:space="preserve">using equations 6 and 8 with appropriate </w:t>
      </w:r>
      <w:r w:rsidR="00D92067">
        <w:t xml:space="preserve">cell addressing and drag-down </w:t>
      </w:r>
      <w:r w:rsidR="000F3640">
        <w:t>formula entries.</w:t>
      </w:r>
      <w:r w:rsidR="00D92067">
        <w:t xml:space="preserve"> With the range of KNO</w:t>
      </w:r>
      <w:r w:rsidR="00D92067" w:rsidRPr="008E5BDA">
        <w:rPr>
          <w:vertAlign w:val="subscript"/>
        </w:rPr>
        <w:t>3</w:t>
      </w:r>
      <w:r w:rsidR="00D92067">
        <w:t xml:space="preserve"> concentrations employed, </w:t>
      </w:r>
      <w:r w:rsidR="008E5BDA">
        <w:t xml:space="preserve">the range of </w:t>
      </w:r>
      <w:r w:rsidR="00D92067" w:rsidRPr="008E5BDA">
        <w:rPr>
          <w:i/>
        </w:rPr>
        <w:t>s</w:t>
      </w:r>
      <w:r w:rsidR="00D92067">
        <w:t xml:space="preserve"> </w:t>
      </w:r>
      <w:r w:rsidR="009571A5">
        <w:t>values wa</w:t>
      </w:r>
      <w:r w:rsidR="008E5BDA">
        <w:t xml:space="preserve">s </w:t>
      </w:r>
      <w:r w:rsidR="00D92067">
        <w:t>0.014-0.038 mol dm</w:t>
      </w:r>
      <w:r w:rsidR="00D92067" w:rsidRPr="00D92067">
        <w:rPr>
          <w:vertAlign w:val="superscript"/>
        </w:rPr>
        <w:sym w:font="Symbol" w:char="F02D"/>
      </w:r>
      <w:r w:rsidR="00D92067" w:rsidRPr="00D92067">
        <w:rPr>
          <w:vertAlign w:val="superscript"/>
        </w:rPr>
        <w:t>3</w:t>
      </w:r>
      <w:r w:rsidR="00D92067">
        <w:t xml:space="preserve"> </w:t>
      </w:r>
      <w:r w:rsidR="00775C45">
        <w:t xml:space="preserve">and the range of </w:t>
      </w:r>
      <w:r w:rsidR="00775C45" w:rsidRPr="00775C45">
        <w:rPr>
          <w:i/>
        </w:rPr>
        <w:t>I</w:t>
      </w:r>
      <w:r w:rsidR="009571A5">
        <w:t xml:space="preserve"> values wa</w:t>
      </w:r>
      <w:r w:rsidR="00775C45">
        <w:t>s</w:t>
      </w:r>
      <w:r w:rsidR="008E5BDA">
        <w:t xml:space="preserve"> </w:t>
      </w:r>
      <w:r w:rsidR="00D92067">
        <w:t>0.068 – 0.65 mol dm</w:t>
      </w:r>
      <w:r w:rsidR="00D92067" w:rsidRPr="00D92067">
        <w:rPr>
          <w:vertAlign w:val="superscript"/>
        </w:rPr>
        <w:sym w:font="Symbol" w:char="F02D"/>
      </w:r>
      <w:r w:rsidR="00D92067" w:rsidRPr="00D92067">
        <w:rPr>
          <w:vertAlign w:val="superscript"/>
        </w:rPr>
        <w:t>3</w:t>
      </w:r>
      <w:r w:rsidR="00D92067">
        <w:t xml:space="preserve">.  </w:t>
      </w:r>
      <w:r w:rsidR="00AE5F5B">
        <w:t>Willey</w:t>
      </w:r>
      <w:r w:rsidR="00AE5F5B">
        <w:rPr>
          <w:vertAlign w:val="superscript"/>
        </w:rPr>
        <w:t>11</w:t>
      </w:r>
      <w:r w:rsidR="00AE5F5B">
        <w:t xml:space="preserve"> has previously reported a related experiment involving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 xml:space="preserve">O </w:t>
      </w:r>
      <w:r w:rsidR="00AE5F5B">
        <w:t>(s), but a slightly different theoretical model was invoked (involving ion-pairs) and data was only reported for two different ionic strengths.</w:t>
      </w:r>
    </w:p>
    <w:p w:rsidR="00B20A45" w:rsidRDefault="00B20A45" w:rsidP="00D92067">
      <w:pPr>
        <w:pStyle w:val="JCEbodytext"/>
      </w:pPr>
    </w:p>
    <w:p w:rsidR="00B20A45" w:rsidRPr="006355C4" w:rsidRDefault="00B20A45" w:rsidP="00B20A45">
      <w:pPr>
        <w:pStyle w:val="JCEH2"/>
        <w:spacing w:after="240"/>
      </w:pPr>
      <w:r>
        <w:t>Nonlinear regression analysis using Excel Solver</w:t>
      </w:r>
    </w:p>
    <w:p w:rsidR="00A143BF" w:rsidRDefault="00831430" w:rsidP="00F3046B">
      <w:pPr>
        <w:pStyle w:val="JCEbodytext"/>
      </w:pPr>
      <w:r>
        <w:t>A detailed description</w:t>
      </w:r>
      <w:r w:rsidR="004F434D">
        <w:t xml:space="preserve"> of the application of Excel Solver to problems in chemistry is provided by </w:t>
      </w:r>
      <w:r w:rsidR="004F434D" w:rsidRPr="00374B52">
        <w:t>Billo</w:t>
      </w:r>
      <w:r w:rsidR="00374B52" w:rsidRPr="00374B52">
        <w:rPr>
          <w:vertAlign w:val="superscript"/>
        </w:rPr>
        <w:t>1</w:t>
      </w:r>
      <w:r w:rsidR="00705010">
        <w:rPr>
          <w:vertAlign w:val="superscript"/>
        </w:rPr>
        <w:t>2</w:t>
      </w:r>
      <w:r w:rsidR="004F434D" w:rsidRPr="00374B52">
        <w:t>,</w:t>
      </w:r>
      <w:r w:rsidR="004F434D">
        <w:t xml:space="preserve"> so only a brief description is provided here (the </w:t>
      </w:r>
      <w:r w:rsidR="001255A9">
        <w:t>Supporting Information</w:t>
      </w:r>
      <w:r w:rsidR="004F434D">
        <w:t xml:space="preserve"> consists of a set of fully analysed </w:t>
      </w:r>
      <w:r w:rsidR="0037364E">
        <w:t xml:space="preserve">student </w:t>
      </w:r>
      <w:r w:rsidR="004F434D">
        <w:t>data).</w:t>
      </w:r>
      <w:r w:rsidR="009114C0">
        <w:t xml:space="preserve"> Solver </w:t>
      </w:r>
      <w:r w:rsidR="00F3046B">
        <w:t xml:space="preserve">is an </w:t>
      </w:r>
      <w:r w:rsidR="003470E6">
        <w:t xml:space="preserve">Excel </w:t>
      </w:r>
      <w:r w:rsidR="00F3046B">
        <w:t>add-in, acce</w:t>
      </w:r>
      <w:r w:rsidR="003470E6">
        <w:t>ssible via file/options in the E</w:t>
      </w:r>
      <w:r w:rsidR="00F3046B">
        <w:t xml:space="preserve">xcel toolbar.  </w:t>
      </w:r>
      <w:r w:rsidR="007F7A29">
        <w:t>Equation 5 is the theoretical equation</w:t>
      </w:r>
      <w:r w:rsidR="00F3046B">
        <w:t xml:space="preserve"> that describes the variation of s with I (specifically how log s depends on </w:t>
      </w:r>
      <w:r w:rsidR="00F3046B" w:rsidRPr="009114C0">
        <w:rPr>
          <w:i/>
        </w:rPr>
        <w:sym w:font="Symbol" w:char="F0D6"/>
      </w:r>
      <w:r w:rsidR="00F3046B" w:rsidRPr="009114C0">
        <w:rPr>
          <w:i/>
        </w:rPr>
        <w:t>I</w:t>
      </w:r>
      <w:r w:rsidR="00F3046B">
        <w:t xml:space="preserve">) and predicts a non-linear relationship between log s </w:t>
      </w:r>
      <w:r w:rsidR="003470E6">
        <w:t>and</w:t>
      </w:r>
      <w:r w:rsidR="00F3046B">
        <w:t xml:space="preserve"> </w:t>
      </w:r>
      <w:r w:rsidR="00F3046B" w:rsidRPr="009114C0">
        <w:rPr>
          <w:i/>
        </w:rPr>
        <w:sym w:font="Symbol" w:char="F0D6"/>
      </w:r>
      <w:r w:rsidR="00F3046B" w:rsidRPr="009114C0">
        <w:rPr>
          <w:i/>
        </w:rPr>
        <w:t>I</w:t>
      </w:r>
      <w:r w:rsidR="00F3046B">
        <w:t xml:space="preserve">.  </w:t>
      </w:r>
    </w:p>
    <w:p w:rsidR="00B20A45" w:rsidRDefault="00F3046B" w:rsidP="00F3046B">
      <w:pPr>
        <w:pStyle w:val="JCEbodytext"/>
      </w:pPr>
      <w:r>
        <w:t xml:space="preserve">The use of Excel solver enables </w:t>
      </w:r>
      <w:r w:rsidR="0037364E">
        <w:t>students to determine</w:t>
      </w:r>
      <w:r>
        <w:t xml:space="preserve"> the values of </w:t>
      </w:r>
      <w:r w:rsidRPr="00754EC4">
        <w:rPr>
          <w:i/>
        </w:rPr>
        <w:t>K</w:t>
      </w:r>
      <w:r w:rsidRPr="00754EC4">
        <w:rPr>
          <w:i/>
          <w:vertAlign w:val="subscript"/>
        </w:rPr>
        <w:t>s</w:t>
      </w:r>
      <w:r w:rsidRPr="00754EC4">
        <w:rPr>
          <w:i/>
        </w:rPr>
        <w:t>°</w:t>
      </w:r>
      <w:r>
        <w:t xml:space="preserve">, </w:t>
      </w:r>
      <w:r w:rsidRPr="00754EC4">
        <w:rPr>
          <w:i/>
        </w:rPr>
        <w:t>Ba</w:t>
      </w:r>
      <w:r>
        <w:t xml:space="preserve"> and |z</w:t>
      </w:r>
      <w:r w:rsidRPr="00134E58">
        <w:rPr>
          <w:vertAlign w:val="subscript"/>
        </w:rPr>
        <w:t>+</w:t>
      </w:r>
      <w:r w:rsidRPr="00134E58">
        <w:t xml:space="preserve"> z</w:t>
      </w:r>
      <w:r w:rsidRPr="00134E58">
        <w:rPr>
          <w:vertAlign w:val="subscript"/>
        </w:rPr>
        <w:sym w:font="Symbol" w:char="F02D"/>
      </w:r>
      <w:r w:rsidRPr="00134E58">
        <w:t>|</w:t>
      </w:r>
      <w:r>
        <w:t xml:space="preserve">that best fit the experimental data.  </w:t>
      </w:r>
      <w:r w:rsidR="009114C0">
        <w:t>Thus</w:t>
      </w:r>
      <w:r w:rsidR="0037364E">
        <w:t xml:space="preserve"> within their </w:t>
      </w:r>
      <w:r>
        <w:t>spreadsheet</w:t>
      </w:r>
      <w:r w:rsidR="00A143BF">
        <w:t>s</w:t>
      </w:r>
      <w:r w:rsidR="003470E6">
        <w:t>,</w:t>
      </w:r>
      <w:r w:rsidR="009114C0">
        <w:t xml:space="preserve"> </w:t>
      </w:r>
      <w:r w:rsidR="0037364E">
        <w:t xml:space="preserve">students created </w:t>
      </w:r>
      <w:r w:rsidR="007F7A29">
        <w:t>column</w:t>
      </w:r>
      <w:r w:rsidR="009114C0">
        <w:t>s</w:t>
      </w:r>
      <w:r w:rsidR="007F7A29">
        <w:t xml:space="preserve"> containing log s </w:t>
      </w:r>
      <w:r w:rsidR="009114C0">
        <w:t xml:space="preserve">and </w:t>
      </w:r>
      <w:r w:rsidR="009114C0" w:rsidRPr="009114C0">
        <w:rPr>
          <w:i/>
        </w:rPr>
        <w:sym w:font="Symbol" w:char="F0D6"/>
      </w:r>
      <w:r w:rsidR="009114C0" w:rsidRPr="009114C0">
        <w:rPr>
          <w:i/>
        </w:rPr>
        <w:t>I</w:t>
      </w:r>
      <w:r w:rsidR="0037364E">
        <w:t xml:space="preserve"> values </w:t>
      </w:r>
      <w:r>
        <w:t>from</w:t>
      </w:r>
      <w:r w:rsidR="008A3411">
        <w:t xml:space="preserve"> the experimental data.  </w:t>
      </w:r>
      <w:r w:rsidR="007F7A29">
        <w:t xml:space="preserve">Next </w:t>
      </w:r>
      <w:r w:rsidR="0037364E">
        <w:t xml:space="preserve">students created </w:t>
      </w:r>
      <w:r w:rsidR="007F7A29">
        <w:t xml:space="preserve">a column for theoretical log s values </w:t>
      </w:r>
      <w:r w:rsidR="009114C0">
        <w:t xml:space="preserve">(log s (theoretical)) </w:t>
      </w:r>
      <w:r w:rsidR="007F7A29">
        <w:t xml:space="preserve">with values being calculated using equation 5, the </w:t>
      </w:r>
      <w:r w:rsidR="009114C0">
        <w:sym w:font="Symbol" w:char="F0D6"/>
      </w:r>
      <w:r w:rsidR="007F7A29" w:rsidRPr="007F7A29">
        <w:rPr>
          <w:i/>
        </w:rPr>
        <w:t>I</w:t>
      </w:r>
      <w:r w:rsidR="007F7A29">
        <w:t xml:space="preserve"> values and </w:t>
      </w:r>
      <w:r w:rsidR="008A3411">
        <w:t xml:space="preserve">starting values for </w:t>
      </w:r>
      <w:r w:rsidR="007F7A29">
        <w:t>the three adjustable parameters (</w:t>
      </w:r>
      <w:r w:rsidR="008A3411" w:rsidRPr="00754EC4">
        <w:rPr>
          <w:i/>
        </w:rPr>
        <w:t>K</w:t>
      </w:r>
      <w:r w:rsidR="008A3411" w:rsidRPr="00754EC4">
        <w:rPr>
          <w:i/>
          <w:vertAlign w:val="subscript"/>
        </w:rPr>
        <w:t>s</w:t>
      </w:r>
      <w:r w:rsidR="008A3411" w:rsidRPr="00754EC4">
        <w:rPr>
          <w:i/>
        </w:rPr>
        <w:t>°</w:t>
      </w:r>
      <w:r w:rsidR="008A3411">
        <w:t xml:space="preserve">, </w:t>
      </w:r>
      <w:r w:rsidR="008A3411" w:rsidRPr="00754EC4">
        <w:rPr>
          <w:i/>
        </w:rPr>
        <w:t>Ba</w:t>
      </w:r>
      <w:r w:rsidR="008A3411">
        <w:t xml:space="preserve"> and |z</w:t>
      </w:r>
      <w:r w:rsidR="008A3411" w:rsidRPr="00134E58">
        <w:rPr>
          <w:vertAlign w:val="subscript"/>
        </w:rPr>
        <w:t>+</w:t>
      </w:r>
      <w:r w:rsidR="008A3411" w:rsidRPr="00134E58">
        <w:t xml:space="preserve"> z</w:t>
      </w:r>
      <w:r w:rsidR="008A3411" w:rsidRPr="00134E58">
        <w:rPr>
          <w:vertAlign w:val="subscript"/>
        </w:rPr>
        <w:sym w:font="Symbol" w:char="F02D"/>
      </w:r>
      <w:r w:rsidR="008A3411" w:rsidRPr="00134E58">
        <w:t>|</w:t>
      </w:r>
      <w:r w:rsidR="007F7A29">
        <w:t>)</w:t>
      </w:r>
      <w:r w:rsidR="008A3411">
        <w:t xml:space="preserve">, which </w:t>
      </w:r>
      <w:r w:rsidR="0037364E">
        <w:t>were</w:t>
      </w:r>
      <w:r w:rsidR="008A3411">
        <w:t xml:space="preserve"> placed in adjacent separate cells (see </w:t>
      </w:r>
      <w:r w:rsidR="001255A9">
        <w:t>Supporting Information</w:t>
      </w:r>
      <w:r w:rsidR="008A3411">
        <w:t>)</w:t>
      </w:r>
      <w:r w:rsidR="00331527">
        <w:t>)</w:t>
      </w:r>
      <w:r w:rsidR="008A3411">
        <w:t xml:space="preserve">.  </w:t>
      </w:r>
      <w:r w:rsidR="0037364E">
        <w:t>Students determined an</w:t>
      </w:r>
      <w:r w:rsidR="008A3411">
        <w:t xml:space="preserve"> appropriate starting value for </w:t>
      </w:r>
      <w:r w:rsidR="008A3411" w:rsidRPr="00754EC4">
        <w:rPr>
          <w:i/>
        </w:rPr>
        <w:t>K</w:t>
      </w:r>
      <w:r w:rsidR="008A3411" w:rsidRPr="00754EC4">
        <w:rPr>
          <w:i/>
          <w:vertAlign w:val="subscript"/>
        </w:rPr>
        <w:t>s</w:t>
      </w:r>
      <w:r w:rsidR="008A3411" w:rsidRPr="00754EC4">
        <w:rPr>
          <w:i/>
        </w:rPr>
        <w:t>°</w:t>
      </w:r>
      <w:r w:rsidR="008A3411">
        <w:t xml:space="preserve"> </w:t>
      </w:r>
      <w:r w:rsidR="0037364E">
        <w:t xml:space="preserve">by using equation 3 and </w:t>
      </w:r>
      <w:r w:rsidR="008A3411">
        <w:t xml:space="preserve"> taking </w:t>
      </w:r>
      <w:r w:rsidR="008A3411">
        <w:sym w:font="Symbol" w:char="F067"/>
      </w:r>
      <w:r w:rsidR="008A3411" w:rsidRPr="00C92A82">
        <w:rPr>
          <w:vertAlign w:val="subscript"/>
        </w:rPr>
        <w:sym w:font="Symbol" w:char="F0B1"/>
      </w:r>
      <w:r w:rsidR="008A3411">
        <w:rPr>
          <w:vertAlign w:val="subscript"/>
        </w:rPr>
        <w:t xml:space="preserve"> </w:t>
      </w:r>
      <w:r w:rsidR="008A3411">
        <w:t xml:space="preserve">= 1 for the sample </w:t>
      </w:r>
      <w:r w:rsidR="00D2680B">
        <w:t xml:space="preserve">with the lowest ionic strength (alternatively </w:t>
      </w:r>
      <w:r w:rsidR="008A3411">
        <w:t xml:space="preserve">a literature </w:t>
      </w:r>
      <w:r w:rsidR="008A3411" w:rsidRPr="001932B5">
        <w:t>value</w:t>
      </w:r>
      <w:r w:rsidR="00D2680B">
        <w:rPr>
          <w:vertAlign w:val="superscript"/>
        </w:rPr>
        <w:t>11</w:t>
      </w:r>
      <w:r w:rsidR="001932B5" w:rsidRPr="001932B5">
        <w:rPr>
          <w:vertAlign w:val="superscript"/>
        </w:rPr>
        <w:t>, 13</w:t>
      </w:r>
      <w:r w:rsidR="00D2680B">
        <w:t xml:space="preserve"> could be used).</w:t>
      </w:r>
      <w:r w:rsidR="008A3411">
        <w:t xml:space="preserve">  </w:t>
      </w:r>
      <w:r w:rsidR="0037364E">
        <w:t xml:space="preserve">Students were advised that starting values of 1 and 4 were </w:t>
      </w:r>
      <w:r w:rsidR="008A3411">
        <w:t xml:space="preserve">appropriate for </w:t>
      </w:r>
      <w:r w:rsidR="008A3411" w:rsidRPr="00754EC4">
        <w:rPr>
          <w:i/>
        </w:rPr>
        <w:t>Ba</w:t>
      </w:r>
      <w:r w:rsidR="008A3411">
        <w:t xml:space="preserve"> and |z</w:t>
      </w:r>
      <w:r w:rsidR="008A3411" w:rsidRPr="00134E58">
        <w:rPr>
          <w:vertAlign w:val="subscript"/>
        </w:rPr>
        <w:t>+</w:t>
      </w:r>
      <w:r w:rsidR="008A3411" w:rsidRPr="00134E58">
        <w:t xml:space="preserve"> z</w:t>
      </w:r>
      <w:r w:rsidR="008A3411" w:rsidRPr="00134E58">
        <w:rPr>
          <w:vertAlign w:val="subscript"/>
        </w:rPr>
        <w:sym w:font="Symbol" w:char="F02D"/>
      </w:r>
      <w:r w:rsidR="008A3411" w:rsidRPr="00134E58">
        <w:t>|</w:t>
      </w:r>
      <w:r w:rsidR="008A3411">
        <w:t xml:space="preserve">.  </w:t>
      </w:r>
      <w:r w:rsidR="0037364E">
        <w:t>Students then created two plots</w:t>
      </w:r>
      <w:r w:rsidR="001E30A3">
        <w:t xml:space="preserve"> of log s and log s (theoretical) versus </w:t>
      </w:r>
      <w:r w:rsidR="001E30A3">
        <w:sym w:font="Symbol" w:char="F0D6"/>
      </w:r>
      <w:r w:rsidR="001E30A3" w:rsidRPr="001E30A3">
        <w:rPr>
          <w:i/>
        </w:rPr>
        <w:t>I</w:t>
      </w:r>
      <w:r w:rsidR="0037364E">
        <w:t xml:space="preserve"> </w:t>
      </w:r>
      <w:r w:rsidR="001E30A3">
        <w:t xml:space="preserve">on </w:t>
      </w:r>
      <w:r w:rsidR="0037364E">
        <w:t xml:space="preserve">a single </w:t>
      </w:r>
      <w:r w:rsidR="0037364E">
        <w:lastRenderedPageBreak/>
        <w:t>plot area</w:t>
      </w:r>
      <w:r w:rsidR="001E30A3">
        <w:t xml:space="preserve">, </w:t>
      </w:r>
      <w:r w:rsidR="00813A1A">
        <w:t xml:space="preserve">in order </w:t>
      </w:r>
      <w:r w:rsidR="001E30A3">
        <w:t xml:space="preserve">to visualize the difference between the two; </w:t>
      </w:r>
      <w:r w:rsidR="00813A1A">
        <w:t xml:space="preserve">students </w:t>
      </w:r>
      <w:r w:rsidR="001E30A3">
        <w:t xml:space="preserve">should </w:t>
      </w:r>
      <w:r w:rsidR="00813A1A">
        <w:t>observe</w:t>
      </w:r>
      <w:r w:rsidR="001E30A3">
        <w:t xml:space="preserve"> that the general form of the experimental data and the theoretical curve are similar.  </w:t>
      </w:r>
      <w:r w:rsidR="00813A1A">
        <w:t>Students are taught that s</w:t>
      </w:r>
      <w:r w:rsidR="00A14A7F">
        <w:t xml:space="preserve">olver needs to be able to compare the log s (theoretical) with the log s data and </w:t>
      </w:r>
      <w:r w:rsidR="00813A1A">
        <w:t xml:space="preserve">that </w:t>
      </w:r>
      <w:r w:rsidR="00A14A7F">
        <w:t xml:space="preserve">this is done using the sum of squares of the differences between these two sets of values.  Thus </w:t>
      </w:r>
      <w:r w:rsidR="00813A1A">
        <w:t>students created a column</w:t>
      </w:r>
      <w:r w:rsidR="00A14A7F">
        <w:t xml:space="preserve"> for (log s – log s (theoretical))</w:t>
      </w:r>
      <w:r w:rsidR="00A14A7F">
        <w:rPr>
          <w:vertAlign w:val="superscript"/>
        </w:rPr>
        <w:t>2</w:t>
      </w:r>
      <w:r w:rsidR="00A14A7F">
        <w:t xml:space="preserve"> and the sum of th</w:t>
      </w:r>
      <w:r w:rsidR="00813A1A">
        <w:t>ese values wa</w:t>
      </w:r>
      <w:r w:rsidR="00A14A7F">
        <w:t xml:space="preserve">s calculated in a suitable cell.   </w:t>
      </w:r>
      <w:r w:rsidR="00813A1A">
        <w:t>Students then loaded</w:t>
      </w:r>
      <w:r w:rsidR="0002124D">
        <w:t xml:space="preserve"> the </w:t>
      </w:r>
      <w:r w:rsidR="009114C0">
        <w:t>solver add-in</w:t>
      </w:r>
      <w:r w:rsidR="0002124D">
        <w:t xml:space="preserve"> (through the ‘data’ tab), select</w:t>
      </w:r>
      <w:r w:rsidR="00813A1A">
        <w:t>ed</w:t>
      </w:r>
      <w:r w:rsidR="0002124D">
        <w:t xml:space="preserve"> the sum of squares cell as the ‘</w:t>
      </w:r>
      <w:r w:rsidR="009114C0">
        <w:t>objective</w:t>
      </w:r>
      <w:r w:rsidR="0002124D">
        <w:t>’</w:t>
      </w:r>
      <w:r w:rsidR="00813A1A">
        <w:t xml:space="preserve"> cell</w:t>
      </w:r>
      <w:r w:rsidR="0002124D">
        <w:t>, select</w:t>
      </w:r>
      <w:r w:rsidR="00813A1A">
        <w:t>ed</w:t>
      </w:r>
      <w:r w:rsidR="0002124D">
        <w:t xml:space="preserve"> ‘min’ (to minimize the sum of squares) and select</w:t>
      </w:r>
      <w:r w:rsidR="00813A1A">
        <w:t>ed</w:t>
      </w:r>
      <w:r w:rsidR="0002124D">
        <w:t xml:space="preserve"> the three cells containing the values of the adjustable parameters for the ‘by changing variable cells’ field. </w:t>
      </w:r>
      <w:r w:rsidR="009114C0">
        <w:t xml:space="preserve"> </w:t>
      </w:r>
      <w:r w:rsidR="0002124D">
        <w:t xml:space="preserve">GRG nonlinear (default) </w:t>
      </w:r>
      <w:r w:rsidR="00813A1A">
        <w:t xml:space="preserve">was then selected </w:t>
      </w:r>
      <w:r w:rsidR="0002124D">
        <w:t>as the solving method, tick</w:t>
      </w:r>
      <w:r w:rsidR="00813A1A">
        <w:t>ing</w:t>
      </w:r>
      <w:r w:rsidR="0002124D">
        <w:t xml:space="preserve"> ‘make constrained variable non-negative</w:t>
      </w:r>
      <w:r w:rsidR="003470E6">
        <w:t>’</w:t>
      </w:r>
      <w:r w:rsidR="0002124D">
        <w:t xml:space="preserve"> (as none of the parameters are theoretically negative). Under ‘options’ for GRG nonlinear, </w:t>
      </w:r>
      <w:r w:rsidR="00813A1A">
        <w:t xml:space="preserve">students </w:t>
      </w:r>
      <w:r w:rsidR="0002124D">
        <w:t>tick</w:t>
      </w:r>
      <w:r w:rsidR="00813A1A">
        <w:t>ed</w:t>
      </w:r>
      <w:r w:rsidR="0002124D">
        <w:t xml:space="preserve"> ‘Use Automatic Scaling’ which</w:t>
      </w:r>
      <w:r w:rsidR="00813A1A">
        <w:t xml:space="preserve"> they have learned</w:t>
      </w:r>
      <w:r w:rsidR="0002124D">
        <w:t xml:space="preserve"> alerts solver to the fact that the adjustable parameter values will vary by orders of magnitude. </w:t>
      </w:r>
      <w:r w:rsidR="00813A1A">
        <w:t>Student</w:t>
      </w:r>
      <w:r w:rsidR="00871A30">
        <w:t>s</w:t>
      </w:r>
      <w:r w:rsidR="00813A1A">
        <w:t xml:space="preserve"> then </w:t>
      </w:r>
      <w:r w:rsidR="0002124D">
        <w:t>click on ‘solve’ and v</w:t>
      </w:r>
      <w:r w:rsidR="00813A1A">
        <w:t>ery quickly a solution is</w:t>
      </w:r>
      <w:r w:rsidR="0002124D">
        <w:t xml:space="preserve"> found.  </w:t>
      </w:r>
      <w:r w:rsidR="00813A1A">
        <w:t xml:space="preserve">In the instruction of students on </w:t>
      </w:r>
      <w:r w:rsidR="00871A30">
        <w:t xml:space="preserve">the </w:t>
      </w:r>
      <w:r w:rsidR="00813A1A">
        <w:t>use of solver, i</w:t>
      </w:r>
      <w:r w:rsidR="0002124D">
        <w:t xml:space="preserve">t is </w:t>
      </w:r>
      <w:r w:rsidR="00871A30">
        <w:t>important to explain</w:t>
      </w:r>
      <w:r w:rsidR="00813A1A">
        <w:t xml:space="preserve"> that </w:t>
      </w:r>
      <w:r w:rsidR="0002124D">
        <w:t>running solver several times an</w:t>
      </w:r>
      <w:r w:rsidR="00B56327">
        <w:t>d from different starting values of</w:t>
      </w:r>
      <w:r w:rsidR="00B56327" w:rsidRPr="00B56327">
        <w:rPr>
          <w:i/>
        </w:rPr>
        <w:t xml:space="preserve"> </w:t>
      </w:r>
      <w:r w:rsidR="00B56327" w:rsidRPr="00754EC4">
        <w:rPr>
          <w:i/>
        </w:rPr>
        <w:t>K</w:t>
      </w:r>
      <w:r w:rsidR="00B56327" w:rsidRPr="00754EC4">
        <w:rPr>
          <w:i/>
          <w:vertAlign w:val="subscript"/>
        </w:rPr>
        <w:t>s</w:t>
      </w:r>
      <w:r w:rsidR="00B56327" w:rsidRPr="00754EC4">
        <w:rPr>
          <w:i/>
        </w:rPr>
        <w:t>°</w:t>
      </w:r>
      <w:r w:rsidR="00B56327">
        <w:t xml:space="preserve">, </w:t>
      </w:r>
      <w:r w:rsidR="00B56327" w:rsidRPr="00754EC4">
        <w:rPr>
          <w:i/>
        </w:rPr>
        <w:t>Ba</w:t>
      </w:r>
      <w:r w:rsidR="00B56327">
        <w:t xml:space="preserve"> and |z</w:t>
      </w:r>
      <w:r w:rsidR="00B56327" w:rsidRPr="00134E58">
        <w:rPr>
          <w:vertAlign w:val="subscript"/>
        </w:rPr>
        <w:t>+</w:t>
      </w:r>
      <w:r w:rsidR="00B56327" w:rsidRPr="00134E58">
        <w:t xml:space="preserve"> z</w:t>
      </w:r>
      <w:r w:rsidR="00B56327" w:rsidRPr="00134E58">
        <w:rPr>
          <w:vertAlign w:val="subscript"/>
        </w:rPr>
        <w:sym w:font="Symbol" w:char="F02D"/>
      </w:r>
      <w:r w:rsidR="00B56327" w:rsidRPr="00134E58">
        <w:t>|</w:t>
      </w:r>
      <w:r w:rsidR="00813A1A">
        <w:t xml:space="preserve">is good practice so as to </w:t>
      </w:r>
      <w:r w:rsidR="004728B6">
        <w:t xml:space="preserve">have confidence </w:t>
      </w:r>
      <w:r w:rsidR="00813A1A">
        <w:t>the global minimum ha</w:t>
      </w:r>
      <w:r w:rsidR="0002124D">
        <w:t xml:space="preserve">s </w:t>
      </w:r>
      <w:r w:rsidR="00813A1A">
        <w:t xml:space="preserve">been </w:t>
      </w:r>
      <w:r w:rsidR="0002124D">
        <w:t>reached</w:t>
      </w:r>
      <w:r w:rsidR="004728B6">
        <w:t xml:space="preserve"> (of course students should be made aware that there is no guarantee </w:t>
      </w:r>
      <w:r w:rsidR="004728B6" w:rsidRPr="004728B6">
        <w:t xml:space="preserve">a global minimum </w:t>
      </w:r>
      <w:r w:rsidR="004728B6">
        <w:t>is reached without additional information)</w:t>
      </w:r>
      <w:r w:rsidR="0002124D">
        <w:t xml:space="preserve">.  The actual </w:t>
      </w:r>
      <w:r w:rsidR="00813A1A">
        <w:t xml:space="preserve">iterative </w:t>
      </w:r>
      <w:r w:rsidR="0002124D">
        <w:t>process can be observed in steps by ticking ‘show iteration results’ under the options tab next to GRG nonlinear.</w:t>
      </w:r>
    </w:p>
    <w:p w:rsidR="001E30A3" w:rsidRDefault="001E30A3" w:rsidP="00F3046B">
      <w:pPr>
        <w:pStyle w:val="JCEbodytext"/>
      </w:pPr>
      <w:r>
        <w:t>Bill</w:t>
      </w:r>
      <w:r w:rsidRPr="001932B5">
        <w:t>o</w:t>
      </w:r>
      <w:r w:rsidR="001932B5" w:rsidRPr="001932B5">
        <w:rPr>
          <w:vertAlign w:val="superscript"/>
        </w:rPr>
        <w:t>1</w:t>
      </w:r>
      <w:r w:rsidR="006C618B">
        <w:rPr>
          <w:vertAlign w:val="superscript"/>
        </w:rPr>
        <w:t>2</w:t>
      </w:r>
      <w:r>
        <w:t xml:space="preserve"> describes </w:t>
      </w:r>
      <w:r w:rsidR="00883CAD">
        <w:t>how</w:t>
      </w:r>
      <w:r w:rsidR="00474E29">
        <w:t xml:space="preserve"> the standard deviations for the determined values of the adjustable parameters can be obtained, but advises that it is a cumbersome process and hence provides a macro (solver statistics) for this purpose on the CD rom accompanying the hardcopy of the book, the operation of which is clearly explained in chapter 15 of reference </w:t>
      </w:r>
      <w:r w:rsidR="00705010">
        <w:t>12</w:t>
      </w:r>
      <w:r w:rsidR="00474E29">
        <w:t>.</w:t>
      </w:r>
      <w:r w:rsidR="00871A30">
        <w:t xml:space="preserve">  For this experiment students used the solver statistics macro to obtain the standard deviations of the adjustable parameters.</w:t>
      </w:r>
    </w:p>
    <w:p w:rsidR="00B07603" w:rsidRPr="001E30A3" w:rsidRDefault="00B07603" w:rsidP="00F3046B">
      <w:pPr>
        <w:pStyle w:val="JCEbodytext"/>
      </w:pPr>
      <w:r>
        <w:t>Figure 1 shows a set o</w:t>
      </w:r>
      <w:r w:rsidR="00813A1A">
        <w:t>f typical student data for a class of ~9</w:t>
      </w:r>
      <w:r>
        <w:t xml:space="preserve">0 students with the corresponding determined values of </w:t>
      </w:r>
      <w:r w:rsidRPr="00754EC4">
        <w:rPr>
          <w:i/>
        </w:rPr>
        <w:t>K</w:t>
      </w:r>
      <w:r w:rsidRPr="00754EC4">
        <w:rPr>
          <w:i/>
          <w:vertAlign w:val="subscript"/>
        </w:rPr>
        <w:t>s</w:t>
      </w:r>
      <w:r w:rsidRPr="00754EC4">
        <w:rPr>
          <w:i/>
        </w:rPr>
        <w:t>°</w:t>
      </w:r>
      <w:r>
        <w:t xml:space="preserve">, </w:t>
      </w:r>
      <w:r w:rsidRPr="00754EC4">
        <w:rPr>
          <w:i/>
        </w:rPr>
        <w:t>Ba</w:t>
      </w:r>
      <w:r w:rsidR="000A3F73">
        <w:t xml:space="preserve"> and </w:t>
      </w:r>
      <w:r>
        <w:t>|z</w:t>
      </w:r>
      <w:r w:rsidRPr="00134E58">
        <w:rPr>
          <w:vertAlign w:val="subscript"/>
        </w:rPr>
        <w:t>+</w:t>
      </w:r>
      <w:r w:rsidRPr="00134E58">
        <w:t xml:space="preserve"> z</w:t>
      </w:r>
      <w:r w:rsidRPr="00134E58">
        <w:rPr>
          <w:vertAlign w:val="subscript"/>
        </w:rPr>
        <w:sym w:font="Symbol" w:char="F02D"/>
      </w:r>
      <w:r w:rsidRPr="00134E58">
        <w:t>|</w:t>
      </w:r>
      <w:r w:rsidR="00AD5A81">
        <w:t xml:space="preserve">, </w:t>
      </w:r>
      <w:r>
        <w:t xml:space="preserve">their standard deviations </w:t>
      </w:r>
      <w:r w:rsidR="00AD5A81">
        <w:t xml:space="preserve">and literature data </w:t>
      </w:r>
      <w:r>
        <w:t>shown in table 1.</w:t>
      </w:r>
      <w:r w:rsidR="00A043A3">
        <w:t xml:space="preserve">  Similar results have been obtained for successive student cohorts over a period exceeding five years.</w:t>
      </w:r>
    </w:p>
    <w:p w:rsidR="00B07603" w:rsidRPr="006355C4" w:rsidRDefault="008D50C3" w:rsidP="00B07603">
      <w:pPr>
        <w:pStyle w:val="JCEcaption"/>
      </w:pPr>
      <w:r>
        <w:rPr>
          <w:noProof/>
          <w:lang w:val="en-GB" w:eastAsia="en-GB"/>
        </w:rPr>
        <w:lastRenderedPageBreak/>
        <w:drawing>
          <wp:inline distT="0" distB="0" distL="0" distR="0" wp14:anchorId="30775557" wp14:editId="6D11B754">
            <wp:extent cx="3675600" cy="2304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5600" cy="2304000"/>
                    </a:xfrm>
                    <a:prstGeom prst="rect">
                      <a:avLst/>
                    </a:prstGeom>
                    <a:noFill/>
                  </pic:spPr>
                </pic:pic>
              </a:graphicData>
            </a:graphic>
          </wp:inline>
        </w:drawing>
      </w:r>
    </w:p>
    <w:p w:rsidR="00B07603" w:rsidRDefault="00B07603" w:rsidP="00B07603">
      <w:pPr>
        <w:pStyle w:val="JCEcaption"/>
      </w:pPr>
      <w:r w:rsidRPr="006355C4">
        <w:t xml:space="preserve">Figure 1. </w:t>
      </w:r>
      <w:r w:rsidR="00C674FD">
        <w:t xml:space="preserve">Plots of log s and log s (theoretical) versus </w:t>
      </w:r>
      <w:r w:rsidR="00C674FD">
        <w:sym w:font="Symbol" w:char="F0D6"/>
      </w:r>
      <w:r w:rsidR="00C674FD">
        <w:t>I</w:t>
      </w:r>
      <w:r w:rsidR="00BF0392">
        <w:t xml:space="preserve"> for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 xml:space="preserve">O </w:t>
      </w:r>
      <w:r w:rsidR="00BF0392">
        <w:t>(s)</w:t>
      </w:r>
      <w:r w:rsidR="00C674FD">
        <w:t xml:space="preserve">. The theoretical curve is calculated from equation 5 using the values </w:t>
      </w:r>
      <w:r w:rsidR="00BF0392">
        <w:t xml:space="preserve">(see table 1) of </w:t>
      </w:r>
      <w:r w:rsidR="00C674FD" w:rsidRPr="00754EC4">
        <w:rPr>
          <w:i/>
        </w:rPr>
        <w:t>K</w:t>
      </w:r>
      <w:r w:rsidR="00C674FD" w:rsidRPr="00754EC4">
        <w:rPr>
          <w:i/>
          <w:vertAlign w:val="subscript"/>
        </w:rPr>
        <w:t>s</w:t>
      </w:r>
      <w:r w:rsidR="00C674FD" w:rsidRPr="00754EC4">
        <w:rPr>
          <w:i/>
        </w:rPr>
        <w:t>°</w:t>
      </w:r>
      <w:r w:rsidR="00C674FD">
        <w:t xml:space="preserve">, </w:t>
      </w:r>
      <w:r w:rsidR="00C674FD" w:rsidRPr="00754EC4">
        <w:rPr>
          <w:i/>
        </w:rPr>
        <w:t>Ba</w:t>
      </w:r>
      <w:r w:rsidR="00C674FD">
        <w:t xml:space="preserve"> and |z</w:t>
      </w:r>
      <w:r w:rsidR="00C674FD" w:rsidRPr="00134E58">
        <w:rPr>
          <w:vertAlign w:val="subscript"/>
        </w:rPr>
        <w:t>+</w:t>
      </w:r>
      <w:r w:rsidR="00C674FD" w:rsidRPr="00134E58">
        <w:t xml:space="preserve"> z</w:t>
      </w:r>
      <w:r w:rsidR="00C674FD" w:rsidRPr="00134E58">
        <w:rPr>
          <w:vertAlign w:val="subscript"/>
        </w:rPr>
        <w:sym w:font="Symbol" w:char="F02D"/>
      </w:r>
      <w:r w:rsidR="00C674FD" w:rsidRPr="00134E58">
        <w:t>|</w:t>
      </w:r>
      <w:r w:rsidR="00BF0392">
        <w:t xml:space="preserve"> determined using Excel solver</w:t>
      </w:r>
      <w:r>
        <w:t>.</w:t>
      </w:r>
    </w:p>
    <w:p w:rsidR="004D01C2" w:rsidRDefault="004D01C2" w:rsidP="00B07603">
      <w:pPr>
        <w:pStyle w:val="JCEbodytext"/>
        <w:ind w:firstLine="0"/>
      </w:pPr>
    </w:p>
    <w:tbl>
      <w:tblPr>
        <w:tblW w:w="4795" w:type="dxa"/>
        <w:tblLook w:val="01E0" w:firstRow="1" w:lastRow="1" w:firstColumn="1" w:lastColumn="1" w:noHBand="0" w:noVBand="0"/>
      </w:tblPr>
      <w:tblGrid>
        <w:gridCol w:w="1134"/>
        <w:gridCol w:w="1701"/>
        <w:gridCol w:w="1960"/>
      </w:tblGrid>
      <w:tr w:rsidR="00DE40CD" w:rsidRPr="006355C4" w:rsidTr="00733BBF">
        <w:trPr>
          <w:trHeight w:val="236"/>
        </w:trPr>
        <w:tc>
          <w:tcPr>
            <w:tcW w:w="4795" w:type="dxa"/>
            <w:gridSpan w:val="3"/>
          </w:tcPr>
          <w:p w:rsidR="00DE40CD" w:rsidRPr="00C01A79" w:rsidRDefault="003C7149" w:rsidP="00D05FBF">
            <w:pPr>
              <w:pStyle w:val="JCETabletitle"/>
              <w:rPr>
                <w:i/>
                <w:szCs w:val="20"/>
              </w:rPr>
            </w:pPr>
            <w:r w:rsidRPr="00C01A79">
              <w:rPr>
                <w:szCs w:val="20"/>
              </w:rPr>
              <w:t xml:space="preserve">Table 1. </w:t>
            </w:r>
            <w:r w:rsidR="00D05FBF">
              <w:rPr>
                <w:szCs w:val="20"/>
              </w:rPr>
              <w:t>Determined values of the adjustable parameters (eq 5) and literature data for comparison.</w:t>
            </w:r>
          </w:p>
        </w:tc>
      </w:tr>
      <w:tr w:rsidR="007B3351" w:rsidRPr="006355C4" w:rsidTr="004508FF">
        <w:trPr>
          <w:trHeight w:val="236"/>
        </w:trPr>
        <w:tc>
          <w:tcPr>
            <w:tcW w:w="1134" w:type="dxa"/>
            <w:shd w:val="clear" w:color="auto" w:fill="D9D9D9" w:themeFill="background1" w:themeFillShade="D9"/>
          </w:tcPr>
          <w:p w:rsidR="00DE40CD" w:rsidRPr="00361D19" w:rsidRDefault="00361D19" w:rsidP="00337E36">
            <w:pPr>
              <w:pStyle w:val="JCETabletext"/>
              <w:jc w:val="center"/>
            </w:pPr>
            <w:r>
              <w:rPr>
                <w:i/>
              </w:rPr>
              <w:t>K</w:t>
            </w:r>
            <w:r>
              <w:rPr>
                <w:vertAlign w:val="subscript"/>
              </w:rPr>
              <w:t>s</w:t>
            </w:r>
            <w:r>
              <w:t>°/10</w:t>
            </w:r>
            <w:r w:rsidRPr="00361D19">
              <w:rPr>
                <w:vertAlign w:val="superscript"/>
              </w:rPr>
              <w:sym w:font="Symbol" w:char="F02D"/>
            </w:r>
            <w:r w:rsidRPr="00361D19">
              <w:rPr>
                <w:vertAlign w:val="superscript"/>
              </w:rPr>
              <w:t>5</w:t>
            </w:r>
          </w:p>
        </w:tc>
        <w:tc>
          <w:tcPr>
            <w:tcW w:w="1701" w:type="dxa"/>
            <w:shd w:val="clear" w:color="auto" w:fill="D9D9D9" w:themeFill="background1" w:themeFillShade="D9"/>
          </w:tcPr>
          <w:p w:rsidR="00DE40CD" w:rsidRPr="006355C4" w:rsidRDefault="00361D19" w:rsidP="00337E36">
            <w:pPr>
              <w:pStyle w:val="JCETabletext"/>
              <w:jc w:val="center"/>
            </w:pPr>
            <w:r>
              <w:rPr>
                <w:i/>
              </w:rPr>
              <w:t>|z</w:t>
            </w:r>
            <w:r w:rsidRPr="00361D19">
              <w:rPr>
                <w:i/>
                <w:vertAlign w:val="subscript"/>
              </w:rPr>
              <w:t>+</w:t>
            </w:r>
            <w:r>
              <w:rPr>
                <w:i/>
              </w:rPr>
              <w:t>z</w:t>
            </w:r>
            <w:r w:rsidRPr="00361D19">
              <w:rPr>
                <w:i/>
                <w:vertAlign w:val="subscript"/>
              </w:rPr>
              <w:sym w:font="Symbol" w:char="F02D"/>
            </w:r>
            <w:r>
              <w:rPr>
                <w:i/>
              </w:rPr>
              <w:t>|</w:t>
            </w:r>
          </w:p>
        </w:tc>
        <w:tc>
          <w:tcPr>
            <w:tcW w:w="1960" w:type="dxa"/>
            <w:shd w:val="clear" w:color="auto" w:fill="D9D9D9" w:themeFill="background1" w:themeFillShade="D9"/>
          </w:tcPr>
          <w:p w:rsidR="00DE40CD" w:rsidRPr="00361D19" w:rsidRDefault="00361D19" w:rsidP="00361D19">
            <w:pPr>
              <w:pStyle w:val="JCETabletext"/>
              <w:jc w:val="center"/>
            </w:pPr>
            <w:r>
              <w:rPr>
                <w:i/>
              </w:rPr>
              <w:t>Ba</w:t>
            </w:r>
            <w:r>
              <w:t>/(mol</w:t>
            </w:r>
            <w:r w:rsidR="00DE40CD" w:rsidRPr="006355C4">
              <w:rPr>
                <w:vertAlign w:val="superscript"/>
              </w:rPr>
              <w:t>–1</w:t>
            </w:r>
            <w:r>
              <w:rPr>
                <w:vertAlign w:val="superscript"/>
              </w:rPr>
              <w:t>/</w:t>
            </w:r>
            <w:r w:rsidRPr="00361D19">
              <w:rPr>
                <w:vertAlign w:val="superscript"/>
              </w:rPr>
              <w:t>2</w:t>
            </w:r>
            <w:r>
              <w:t xml:space="preserve"> dm</w:t>
            </w:r>
            <w:r w:rsidRPr="00361D19">
              <w:rPr>
                <w:vertAlign w:val="superscript"/>
              </w:rPr>
              <w:sym w:font="Symbol" w:char="F02D"/>
            </w:r>
            <w:r w:rsidRPr="00361D19">
              <w:rPr>
                <w:vertAlign w:val="superscript"/>
              </w:rPr>
              <w:t>3/2</w:t>
            </w:r>
            <w:r>
              <w:t>)</w:t>
            </w:r>
          </w:p>
        </w:tc>
      </w:tr>
      <w:tr w:rsidR="00DE40CD" w:rsidRPr="006355C4" w:rsidTr="004508FF">
        <w:trPr>
          <w:trHeight w:val="171"/>
        </w:trPr>
        <w:tc>
          <w:tcPr>
            <w:tcW w:w="1134" w:type="dxa"/>
          </w:tcPr>
          <w:p w:rsidR="00DE40CD" w:rsidRPr="00C63A5D" w:rsidRDefault="004508FF" w:rsidP="00337E36">
            <w:pPr>
              <w:pStyle w:val="JCETabletext"/>
              <w:jc w:val="center"/>
              <w:rPr>
                <w:vertAlign w:val="superscript"/>
              </w:rPr>
            </w:pPr>
            <w:r>
              <w:rPr>
                <w:color w:val="000000"/>
              </w:rPr>
              <w:t>3.7</w:t>
            </w:r>
            <w:r w:rsidRPr="006355C4">
              <w:rPr>
                <w:color w:val="000000"/>
              </w:rPr>
              <w:t xml:space="preserve"> ± </w:t>
            </w:r>
            <w:r>
              <w:rPr>
                <w:color w:val="000000"/>
              </w:rPr>
              <w:t>0.8</w:t>
            </w:r>
            <w:r w:rsidR="00C63A5D">
              <w:rPr>
                <w:color w:val="000000"/>
                <w:vertAlign w:val="superscript"/>
              </w:rPr>
              <w:t>a</w:t>
            </w:r>
          </w:p>
        </w:tc>
        <w:tc>
          <w:tcPr>
            <w:tcW w:w="1701" w:type="dxa"/>
          </w:tcPr>
          <w:p w:rsidR="00DE40CD" w:rsidRPr="00C63A5D" w:rsidRDefault="00361D19" w:rsidP="00337E36">
            <w:pPr>
              <w:pStyle w:val="JCETabletext"/>
              <w:jc w:val="center"/>
              <w:rPr>
                <w:vertAlign w:val="superscript"/>
              </w:rPr>
            </w:pPr>
            <w:r>
              <w:rPr>
                <w:color w:val="000000"/>
              </w:rPr>
              <w:t>4</w:t>
            </w:r>
            <w:r w:rsidR="004508FF">
              <w:rPr>
                <w:color w:val="000000"/>
              </w:rPr>
              <w:t>.1</w:t>
            </w:r>
            <w:r w:rsidR="00DE40CD" w:rsidRPr="006355C4">
              <w:rPr>
                <w:color w:val="000000"/>
              </w:rPr>
              <w:t xml:space="preserve"> ±</w:t>
            </w:r>
            <w:r w:rsidR="00AF1DE0" w:rsidRPr="006355C4">
              <w:rPr>
                <w:color w:val="000000"/>
              </w:rPr>
              <w:t xml:space="preserve"> </w:t>
            </w:r>
            <w:r w:rsidR="004508FF">
              <w:rPr>
                <w:color w:val="000000"/>
              </w:rPr>
              <w:t>0.6</w:t>
            </w:r>
            <w:r w:rsidR="00C63A5D">
              <w:rPr>
                <w:color w:val="000000"/>
                <w:vertAlign w:val="superscript"/>
              </w:rPr>
              <w:t>a</w:t>
            </w:r>
          </w:p>
        </w:tc>
        <w:tc>
          <w:tcPr>
            <w:tcW w:w="1960" w:type="dxa"/>
          </w:tcPr>
          <w:p w:rsidR="00DE40CD" w:rsidRPr="00C63A5D" w:rsidRDefault="004508FF" w:rsidP="00337E36">
            <w:pPr>
              <w:pStyle w:val="JCETabletext"/>
              <w:jc w:val="center"/>
              <w:rPr>
                <w:vertAlign w:val="superscript"/>
              </w:rPr>
            </w:pPr>
            <w:r>
              <w:rPr>
                <w:color w:val="000000"/>
              </w:rPr>
              <w:t>1.4</w:t>
            </w:r>
            <w:r w:rsidR="00DE40CD" w:rsidRPr="006355C4">
              <w:rPr>
                <w:color w:val="000000"/>
              </w:rPr>
              <w:t xml:space="preserve"> ±</w:t>
            </w:r>
            <w:r w:rsidR="00AF1DE0" w:rsidRPr="006355C4">
              <w:rPr>
                <w:color w:val="000000"/>
              </w:rPr>
              <w:t xml:space="preserve"> </w:t>
            </w:r>
            <w:r>
              <w:rPr>
                <w:color w:val="000000"/>
              </w:rPr>
              <w:t>0.3</w:t>
            </w:r>
            <w:r w:rsidR="00C63A5D">
              <w:rPr>
                <w:color w:val="000000"/>
                <w:vertAlign w:val="superscript"/>
              </w:rPr>
              <w:t>a</w:t>
            </w:r>
          </w:p>
        </w:tc>
      </w:tr>
      <w:tr w:rsidR="00452637" w:rsidRPr="006355C4" w:rsidTr="004508FF">
        <w:trPr>
          <w:trHeight w:val="171"/>
        </w:trPr>
        <w:tc>
          <w:tcPr>
            <w:tcW w:w="1134" w:type="dxa"/>
          </w:tcPr>
          <w:p w:rsidR="00452637" w:rsidRPr="00F46AF6" w:rsidRDefault="00452637" w:rsidP="00337E36">
            <w:pPr>
              <w:pStyle w:val="JCETabletext"/>
              <w:jc w:val="center"/>
              <w:rPr>
                <w:color w:val="000000"/>
                <w:vertAlign w:val="superscript"/>
              </w:rPr>
            </w:pPr>
            <w:r>
              <w:rPr>
                <w:color w:val="000000"/>
              </w:rPr>
              <w:t>4.2</w:t>
            </w:r>
            <w:r w:rsidR="00C63A5D">
              <w:rPr>
                <w:color w:val="000000"/>
                <w:vertAlign w:val="superscript"/>
              </w:rPr>
              <w:t>b</w:t>
            </w:r>
          </w:p>
        </w:tc>
        <w:tc>
          <w:tcPr>
            <w:tcW w:w="1701" w:type="dxa"/>
          </w:tcPr>
          <w:p w:rsidR="00452637" w:rsidRDefault="004C2DF4" w:rsidP="00337E36">
            <w:pPr>
              <w:pStyle w:val="JCETabletext"/>
              <w:jc w:val="center"/>
              <w:rPr>
                <w:color w:val="000000"/>
              </w:rPr>
            </w:pPr>
            <w:r>
              <w:rPr>
                <w:color w:val="000000"/>
              </w:rPr>
              <w:t>-</w:t>
            </w:r>
          </w:p>
        </w:tc>
        <w:tc>
          <w:tcPr>
            <w:tcW w:w="1960" w:type="dxa"/>
          </w:tcPr>
          <w:p w:rsidR="00452637" w:rsidRPr="00F46AF6" w:rsidRDefault="00452637" w:rsidP="00337E36">
            <w:pPr>
              <w:pStyle w:val="JCETabletext"/>
              <w:jc w:val="center"/>
              <w:rPr>
                <w:color w:val="000000"/>
                <w:vertAlign w:val="superscript"/>
              </w:rPr>
            </w:pPr>
            <w:r>
              <w:rPr>
                <w:color w:val="000000"/>
              </w:rPr>
              <w:t>1.5</w:t>
            </w:r>
            <w:r w:rsidR="00C63A5D">
              <w:rPr>
                <w:color w:val="000000"/>
                <w:vertAlign w:val="superscript"/>
              </w:rPr>
              <w:t>b</w:t>
            </w:r>
          </w:p>
        </w:tc>
      </w:tr>
      <w:tr w:rsidR="00EC3906" w:rsidRPr="006355C4" w:rsidTr="004508FF">
        <w:trPr>
          <w:trHeight w:val="171"/>
        </w:trPr>
        <w:tc>
          <w:tcPr>
            <w:tcW w:w="1134" w:type="dxa"/>
          </w:tcPr>
          <w:p w:rsidR="00EC3906" w:rsidRPr="00F46AF6" w:rsidRDefault="00EC3906" w:rsidP="00337E36">
            <w:pPr>
              <w:pStyle w:val="JCETabletext"/>
              <w:jc w:val="center"/>
              <w:rPr>
                <w:color w:val="000000"/>
                <w:vertAlign w:val="superscript"/>
              </w:rPr>
            </w:pPr>
            <w:r>
              <w:rPr>
                <w:color w:val="000000"/>
              </w:rPr>
              <w:t>2.63</w:t>
            </w:r>
            <w:r w:rsidR="00C63A5D">
              <w:rPr>
                <w:color w:val="000000"/>
                <w:vertAlign w:val="superscript"/>
              </w:rPr>
              <w:t>c</w:t>
            </w:r>
          </w:p>
        </w:tc>
        <w:tc>
          <w:tcPr>
            <w:tcW w:w="1701" w:type="dxa"/>
          </w:tcPr>
          <w:p w:rsidR="00EC3906" w:rsidRDefault="00EE751A" w:rsidP="00337E36">
            <w:pPr>
              <w:pStyle w:val="JCETabletext"/>
              <w:jc w:val="center"/>
              <w:rPr>
                <w:color w:val="000000"/>
              </w:rPr>
            </w:pPr>
            <w:r>
              <w:rPr>
                <w:color w:val="000000"/>
              </w:rPr>
              <w:t>-</w:t>
            </w:r>
          </w:p>
        </w:tc>
        <w:tc>
          <w:tcPr>
            <w:tcW w:w="1960" w:type="dxa"/>
          </w:tcPr>
          <w:p w:rsidR="00EC3906" w:rsidRDefault="00EE751A" w:rsidP="00337E36">
            <w:pPr>
              <w:pStyle w:val="JCETabletext"/>
              <w:jc w:val="center"/>
              <w:rPr>
                <w:color w:val="000000"/>
              </w:rPr>
            </w:pPr>
            <w:r>
              <w:rPr>
                <w:color w:val="000000"/>
              </w:rPr>
              <w:t>-</w:t>
            </w:r>
          </w:p>
        </w:tc>
      </w:tr>
      <w:tr w:rsidR="00DE40CD" w:rsidRPr="006355C4" w:rsidTr="00733BBF">
        <w:trPr>
          <w:trHeight w:val="350"/>
        </w:trPr>
        <w:tc>
          <w:tcPr>
            <w:tcW w:w="4795" w:type="dxa"/>
            <w:gridSpan w:val="3"/>
            <w:tcBorders>
              <w:bottom w:val="single" w:sz="2" w:space="0" w:color="auto"/>
            </w:tcBorders>
          </w:tcPr>
          <w:p w:rsidR="00DE40CD" w:rsidRPr="001932B5" w:rsidRDefault="00C63A5D" w:rsidP="005038A8">
            <w:pPr>
              <w:pStyle w:val="JCETabletext"/>
            </w:pPr>
            <w:r>
              <w:rPr>
                <w:i/>
                <w:vertAlign w:val="superscript"/>
              </w:rPr>
              <w:t>a</w:t>
            </w:r>
            <w:r w:rsidRPr="00C63A5D">
              <w:t>This work</w:t>
            </w:r>
            <w:r>
              <w:rPr>
                <w:i/>
              </w:rPr>
              <w:t xml:space="preserve">; </w:t>
            </w:r>
            <w:r>
              <w:rPr>
                <w:i/>
                <w:vertAlign w:val="superscript"/>
              </w:rPr>
              <w:t xml:space="preserve"> b</w:t>
            </w:r>
            <w:r w:rsidR="00F46AF6" w:rsidRPr="001932B5">
              <w:t xml:space="preserve">Ref </w:t>
            </w:r>
            <w:r w:rsidR="00705010">
              <w:t>13</w:t>
            </w:r>
            <w:r w:rsidR="00F46AF6" w:rsidRPr="001932B5">
              <w:t xml:space="preserve">; </w:t>
            </w:r>
            <w:r>
              <w:rPr>
                <w:vertAlign w:val="superscript"/>
              </w:rPr>
              <w:t>c</w:t>
            </w:r>
            <w:r w:rsidR="00F46AF6" w:rsidRPr="001932B5">
              <w:t xml:space="preserve">Ref </w:t>
            </w:r>
            <w:r w:rsidR="001932B5" w:rsidRPr="001932B5">
              <w:t>1</w:t>
            </w:r>
            <w:r w:rsidR="00705010">
              <w:t>1</w:t>
            </w:r>
          </w:p>
        </w:tc>
      </w:tr>
    </w:tbl>
    <w:p w:rsidR="00447B47" w:rsidRDefault="00447B47" w:rsidP="00447B47">
      <w:pPr>
        <w:pStyle w:val="JCEbodytext"/>
      </w:pPr>
    </w:p>
    <w:p w:rsidR="004B29DA" w:rsidRPr="004B29DA" w:rsidRDefault="004B29DA" w:rsidP="00335CCD">
      <w:pPr>
        <w:pStyle w:val="JCEbodytext"/>
      </w:pPr>
      <w:r>
        <w:t>An alternative approach to the data analysis, suggested by a reviewer, is to express equation 5 in terms of ps (i.e. –log</w:t>
      </w:r>
      <w:r>
        <w:rPr>
          <w:vertAlign w:val="subscript"/>
        </w:rPr>
        <w:t xml:space="preserve">10 </w:t>
      </w:r>
      <w:r w:rsidRPr="004B29DA">
        <w:t>s</w:t>
      </w:r>
      <w:r>
        <w:t>) and p</w:t>
      </w:r>
      <w:r w:rsidRPr="00754EC4">
        <w:rPr>
          <w:i/>
        </w:rPr>
        <w:t>K</w:t>
      </w:r>
      <w:r w:rsidRPr="00754EC4">
        <w:rPr>
          <w:i/>
          <w:vertAlign w:val="subscript"/>
        </w:rPr>
        <w:t>s</w:t>
      </w:r>
      <w:r w:rsidRPr="00754EC4">
        <w:rPr>
          <w:i/>
        </w:rPr>
        <w:t>°</w:t>
      </w:r>
      <w:r w:rsidR="00335CCD">
        <w:rPr>
          <w:i/>
        </w:rPr>
        <w:t xml:space="preserve"> </w:t>
      </w:r>
      <w:r w:rsidR="00335CCD" w:rsidRPr="00335CCD">
        <w:t>and</w:t>
      </w:r>
      <w:r w:rsidR="00335CCD">
        <w:t xml:space="preserve"> to set p</w:t>
      </w:r>
      <w:r w:rsidR="00335CCD" w:rsidRPr="00754EC4">
        <w:rPr>
          <w:i/>
        </w:rPr>
        <w:t>K</w:t>
      </w:r>
      <w:r w:rsidR="00335CCD" w:rsidRPr="00754EC4">
        <w:rPr>
          <w:i/>
          <w:vertAlign w:val="subscript"/>
        </w:rPr>
        <w:t>s</w:t>
      </w:r>
      <w:r w:rsidR="00335CCD" w:rsidRPr="00754EC4">
        <w:rPr>
          <w:i/>
        </w:rPr>
        <w:t>°</w:t>
      </w:r>
      <w:r w:rsidR="00335CCD">
        <w:t xml:space="preserve">, </w:t>
      </w:r>
      <w:r w:rsidR="00335CCD" w:rsidRPr="00754EC4">
        <w:rPr>
          <w:i/>
        </w:rPr>
        <w:t>Ba</w:t>
      </w:r>
      <w:r w:rsidR="00335CCD">
        <w:t xml:space="preserve"> and |z</w:t>
      </w:r>
      <w:r w:rsidR="00335CCD" w:rsidRPr="00134E58">
        <w:rPr>
          <w:vertAlign w:val="subscript"/>
        </w:rPr>
        <w:t>+</w:t>
      </w:r>
      <w:r w:rsidR="00335CCD" w:rsidRPr="00134E58">
        <w:t xml:space="preserve"> z</w:t>
      </w:r>
      <w:r w:rsidR="00335CCD" w:rsidRPr="00134E58">
        <w:rPr>
          <w:vertAlign w:val="subscript"/>
        </w:rPr>
        <w:sym w:font="Symbol" w:char="F02D"/>
      </w:r>
      <w:r w:rsidR="00335CCD" w:rsidRPr="00134E58">
        <w:t>|</w:t>
      </w:r>
      <w:r w:rsidR="00335CCD">
        <w:t xml:space="preserve"> as adjustable parameters.  This approach has the advantage of reducing scaling issues, but otherwise yields parameter values that are almost identical to those presented in table 1.</w:t>
      </w:r>
    </w:p>
    <w:p w:rsidR="00A27996" w:rsidRPr="006355C4" w:rsidRDefault="00A27996" w:rsidP="00A27996">
      <w:pPr>
        <w:pStyle w:val="JCEH2"/>
        <w:spacing w:after="240"/>
      </w:pPr>
      <w:r>
        <w:t>Activity coefficients</w:t>
      </w:r>
    </w:p>
    <w:p w:rsidR="00F8705B" w:rsidRDefault="00525049" w:rsidP="002C22B5">
      <w:pPr>
        <w:pStyle w:val="JCEbodytext"/>
      </w:pPr>
      <w:r>
        <w:t>Students then determined v</w:t>
      </w:r>
      <w:r w:rsidR="00A27996">
        <w:t xml:space="preserve">alues of </w:t>
      </w:r>
      <w:r w:rsidR="00A27996">
        <w:sym w:font="Symbol" w:char="F067"/>
      </w:r>
      <w:r w:rsidR="00A27996" w:rsidRPr="00C92A82">
        <w:rPr>
          <w:vertAlign w:val="subscript"/>
        </w:rPr>
        <w:sym w:font="Symbol" w:char="F0B1"/>
      </w:r>
      <w:r w:rsidR="00A27996">
        <w:t xml:space="preserve"> across the whole range of ionic strengths by using equation 3 (rearranged), the value of </w:t>
      </w:r>
      <w:r w:rsidR="00A27996" w:rsidRPr="00754EC4">
        <w:rPr>
          <w:i/>
        </w:rPr>
        <w:t>K</w:t>
      </w:r>
      <w:r w:rsidR="00A27996" w:rsidRPr="00754EC4">
        <w:rPr>
          <w:i/>
          <w:vertAlign w:val="subscript"/>
        </w:rPr>
        <w:t>s</w:t>
      </w:r>
      <w:r w:rsidR="00A27996" w:rsidRPr="00754EC4">
        <w:rPr>
          <w:i/>
        </w:rPr>
        <w:t>°</w:t>
      </w:r>
      <w:r w:rsidR="00A27996">
        <w:t xml:space="preserve"> obtained from the nonlinear regression analysis using Excel solver, and the experimental </w:t>
      </w:r>
      <w:r w:rsidR="00A27996" w:rsidRPr="00A27996">
        <w:rPr>
          <w:i/>
        </w:rPr>
        <w:t>s</w:t>
      </w:r>
      <w:r w:rsidR="00A27996">
        <w:t xml:space="preserve"> values.  Figure 2 show</w:t>
      </w:r>
      <w:r w:rsidR="000A3F73">
        <w:t>s</w:t>
      </w:r>
      <w:r w:rsidR="00A27996">
        <w:t xml:space="preserve"> a plot of log </w:t>
      </w:r>
      <w:r w:rsidR="00A27996">
        <w:sym w:font="Symbol" w:char="F067"/>
      </w:r>
      <w:r w:rsidR="00A27996" w:rsidRPr="00C92A82">
        <w:rPr>
          <w:vertAlign w:val="subscript"/>
        </w:rPr>
        <w:sym w:font="Symbol" w:char="F0B1"/>
      </w:r>
      <w:r w:rsidR="00A27996">
        <w:t xml:space="preserve"> versus </w:t>
      </w:r>
      <w:r w:rsidR="00A27996">
        <w:sym w:font="Symbol" w:char="F0D6"/>
      </w:r>
      <w:r w:rsidR="00A27996">
        <w:t xml:space="preserve">I alongside the </w:t>
      </w:r>
      <w:r w:rsidR="000A3F73">
        <w:t xml:space="preserve">theoretical </w:t>
      </w:r>
      <w:r w:rsidR="00A27996">
        <w:t>plot</w:t>
      </w:r>
      <w:r w:rsidR="000A3F73">
        <w:t xml:space="preserve"> predicted by </w:t>
      </w:r>
      <w:r w:rsidR="00A27996">
        <w:t xml:space="preserve">the </w:t>
      </w:r>
      <w:r w:rsidR="00A27996" w:rsidRPr="000928A4">
        <w:t>Debye-Hückel</w:t>
      </w:r>
      <w:r w:rsidR="00A27996">
        <w:t xml:space="preserve"> limiting law (equation 4 with Ba = 0</w:t>
      </w:r>
      <w:r w:rsidR="000A3F73">
        <w:t>, |z</w:t>
      </w:r>
      <w:r w:rsidR="000A3F73" w:rsidRPr="00134E58">
        <w:rPr>
          <w:vertAlign w:val="subscript"/>
        </w:rPr>
        <w:t>+</w:t>
      </w:r>
      <w:r w:rsidR="000A3F73" w:rsidRPr="00134E58">
        <w:t xml:space="preserve"> z</w:t>
      </w:r>
      <w:r w:rsidR="000A3F73" w:rsidRPr="00134E58">
        <w:rPr>
          <w:vertAlign w:val="subscript"/>
        </w:rPr>
        <w:sym w:font="Symbol" w:char="F02D"/>
      </w:r>
      <w:r w:rsidR="000A3F73" w:rsidRPr="00134E58">
        <w:t>|</w:t>
      </w:r>
      <w:r w:rsidR="000A3F73">
        <w:t>=</w:t>
      </w:r>
      <w:r w:rsidR="00331527">
        <w:t xml:space="preserve"> </w:t>
      </w:r>
      <w:r w:rsidR="000A3F73">
        <w:t>4</w:t>
      </w:r>
      <w:r w:rsidR="00A27996">
        <w:t>)</w:t>
      </w:r>
      <w:r w:rsidR="000A3F73">
        <w:t>, where it is evident that the two curves are converging at lower ionic strengths</w:t>
      </w:r>
      <w:r w:rsidR="00FF3C50">
        <w:t xml:space="preserve"> (achievement of lower ionic strengths is </w:t>
      </w:r>
      <w:r w:rsidR="00FF3C50">
        <w:lastRenderedPageBreak/>
        <w:t>limited to ~ 0.06 mol dm</w:t>
      </w:r>
      <w:r w:rsidR="00FF3C50" w:rsidRPr="00FF3C50">
        <w:rPr>
          <w:vertAlign w:val="superscript"/>
        </w:rPr>
        <w:sym w:font="Symbol" w:char="F02D"/>
      </w:r>
      <w:r w:rsidR="00FF3C50" w:rsidRPr="00FF3C50">
        <w:rPr>
          <w:vertAlign w:val="superscript"/>
        </w:rPr>
        <w:t>3</w:t>
      </w:r>
      <w:r w:rsidR="00FF3C50">
        <w:t xml:space="preserve"> by the inherent solubility of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 xml:space="preserve">O </w:t>
      </w:r>
      <w:r w:rsidR="00FF3C50">
        <w:t>(s))</w:t>
      </w:r>
      <w:r w:rsidR="000A3F73">
        <w:t>.</w:t>
      </w:r>
      <w:r w:rsidR="002C22B5">
        <w:t xml:space="preserve">  Values of </w:t>
      </w:r>
      <w:r w:rsidR="002C22B5">
        <w:sym w:font="Symbol" w:char="F067"/>
      </w:r>
      <w:r w:rsidR="002C22B5" w:rsidRPr="00C92A82">
        <w:rPr>
          <w:vertAlign w:val="subscript"/>
        </w:rPr>
        <w:sym w:font="Symbol" w:char="F0B1"/>
      </w:r>
      <w:r w:rsidR="002C22B5">
        <w:t xml:space="preserve"> for the full range of ionic strengths are provided in the analysed </w:t>
      </w:r>
      <w:r w:rsidR="00004580">
        <w:t xml:space="preserve">student </w:t>
      </w:r>
      <w:r w:rsidR="002C22B5">
        <w:t xml:space="preserve">dataset in the </w:t>
      </w:r>
      <w:r w:rsidR="001255A9">
        <w:t>Supporting Information</w:t>
      </w:r>
      <w:r w:rsidR="002C22B5">
        <w:t>.</w:t>
      </w:r>
    </w:p>
    <w:p w:rsidR="00986CB6" w:rsidRPr="006355C4" w:rsidRDefault="00870E22" w:rsidP="00986CB6">
      <w:pPr>
        <w:pStyle w:val="JCEcaption"/>
      </w:pPr>
      <w:r>
        <w:rPr>
          <w:noProof/>
          <w:lang w:val="en-GB" w:eastAsia="en-GB"/>
        </w:rPr>
        <w:drawing>
          <wp:inline distT="0" distB="0" distL="0" distR="0" wp14:anchorId="3CBDC40A">
            <wp:extent cx="3844800" cy="2577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4800" cy="2577600"/>
                    </a:xfrm>
                    <a:prstGeom prst="rect">
                      <a:avLst/>
                    </a:prstGeom>
                    <a:noFill/>
                  </pic:spPr>
                </pic:pic>
              </a:graphicData>
            </a:graphic>
          </wp:inline>
        </w:drawing>
      </w:r>
    </w:p>
    <w:p w:rsidR="00986CB6" w:rsidRDefault="00986CB6" w:rsidP="00986CB6">
      <w:pPr>
        <w:pStyle w:val="JCEcaption"/>
      </w:pPr>
      <w:r>
        <w:t>Figure 2</w:t>
      </w:r>
      <w:r w:rsidRPr="006355C4">
        <w:t xml:space="preserve">. </w:t>
      </w:r>
      <w:r>
        <w:t xml:space="preserve">Plots of log </w:t>
      </w:r>
      <w:r>
        <w:sym w:font="Symbol" w:char="F067"/>
      </w:r>
      <w:r w:rsidRPr="00C92A82">
        <w:rPr>
          <w:vertAlign w:val="subscript"/>
        </w:rPr>
        <w:sym w:font="Symbol" w:char="F0B1"/>
      </w:r>
      <w:r>
        <w:t xml:space="preserve"> and log </w:t>
      </w:r>
      <w:r>
        <w:sym w:font="Symbol" w:char="F067"/>
      </w:r>
      <w:r w:rsidRPr="00C92A82">
        <w:rPr>
          <w:vertAlign w:val="subscript"/>
        </w:rPr>
        <w:sym w:font="Symbol" w:char="F0B1"/>
      </w:r>
      <w:r>
        <w:t xml:space="preserve"> (theoretical) versus </w:t>
      </w:r>
      <w:r>
        <w:sym w:font="Symbol" w:char="F0D6"/>
      </w:r>
      <w:r>
        <w:t xml:space="preserve">I for </w:t>
      </w:r>
      <w:r w:rsidR="006E42A7" w:rsidRPr="00EC71F1">
        <w:t>CaSO</w:t>
      </w:r>
      <w:r w:rsidR="006E42A7" w:rsidRPr="003A3F0C">
        <w:rPr>
          <w:vertAlign w:val="subscript"/>
        </w:rPr>
        <w:t>4</w:t>
      </w:r>
      <w:r w:rsidR="006E42A7">
        <w:t>·</w:t>
      </w:r>
      <w:r w:rsidR="006E42A7" w:rsidRPr="00EC71F1">
        <w:t>2H</w:t>
      </w:r>
      <w:r w:rsidR="006E42A7" w:rsidRPr="003A3F0C">
        <w:rPr>
          <w:vertAlign w:val="subscript"/>
        </w:rPr>
        <w:t>2</w:t>
      </w:r>
      <w:r w:rsidR="006E42A7">
        <w:t>O</w:t>
      </w:r>
      <w:r>
        <w:t xml:space="preserve">.  The log </w:t>
      </w:r>
      <w:r>
        <w:sym w:font="Symbol" w:char="F067"/>
      </w:r>
      <w:r w:rsidRPr="00C92A82">
        <w:rPr>
          <w:vertAlign w:val="subscript"/>
        </w:rPr>
        <w:sym w:font="Symbol" w:char="F0B1"/>
      </w:r>
      <w:r>
        <w:t xml:space="preserve"> (theoretical) values are calculated using the </w:t>
      </w:r>
      <w:r w:rsidRPr="000928A4">
        <w:t>Debye-Hückel</w:t>
      </w:r>
      <w:r>
        <w:t xml:space="preserve"> limiting law (equation 4 with Ba = 0, |z</w:t>
      </w:r>
      <w:r w:rsidRPr="00134E58">
        <w:rPr>
          <w:vertAlign w:val="subscript"/>
        </w:rPr>
        <w:t>+</w:t>
      </w:r>
      <w:r w:rsidRPr="00134E58">
        <w:t xml:space="preserve"> z</w:t>
      </w:r>
      <w:r w:rsidRPr="00134E58">
        <w:rPr>
          <w:vertAlign w:val="subscript"/>
        </w:rPr>
        <w:sym w:font="Symbol" w:char="F02D"/>
      </w:r>
      <w:r w:rsidRPr="00134E58">
        <w:t>|</w:t>
      </w:r>
      <w:r>
        <w:t xml:space="preserve"> =4).</w:t>
      </w:r>
    </w:p>
    <w:p w:rsidR="00986CB6" w:rsidRDefault="00986CB6" w:rsidP="002C22B5">
      <w:pPr>
        <w:pStyle w:val="JCEbodytext"/>
      </w:pPr>
    </w:p>
    <w:p w:rsidR="00114EF9" w:rsidRPr="00847237" w:rsidRDefault="00114EF9" w:rsidP="00847237">
      <w:pPr>
        <w:pStyle w:val="JCEbodytext"/>
      </w:pPr>
      <w:r>
        <w:t>Willey</w:t>
      </w:r>
      <w:r>
        <w:rPr>
          <w:vertAlign w:val="superscript"/>
        </w:rPr>
        <w:t>11</w:t>
      </w:r>
      <w:r>
        <w:t xml:space="preserve"> reports </w:t>
      </w:r>
      <w:r>
        <w:sym w:font="Symbol" w:char="F067"/>
      </w:r>
      <w:r w:rsidRPr="00C92A82">
        <w:rPr>
          <w:vertAlign w:val="subscript"/>
        </w:rPr>
        <w:sym w:font="Symbol" w:char="F0B1"/>
      </w:r>
      <w:r>
        <w:t xml:space="preserve"> values for two different ionic strengths</w:t>
      </w:r>
      <w:r w:rsidR="002C22B5">
        <w:t xml:space="preserve"> (using NaCl as the inert electrolyte)</w:t>
      </w:r>
      <w:r>
        <w:t xml:space="preserve">, however the model invoked by Willey includes ion-pair formation which affects the calculation of </w:t>
      </w:r>
      <w:r>
        <w:sym w:font="Symbol" w:char="F067"/>
      </w:r>
      <w:r w:rsidRPr="00C92A82">
        <w:rPr>
          <w:vertAlign w:val="subscript"/>
        </w:rPr>
        <w:sym w:font="Symbol" w:char="F0B1"/>
      </w:r>
      <w:r>
        <w:t xml:space="preserve"> from </w:t>
      </w:r>
      <w:r w:rsidRPr="00114EF9">
        <w:rPr>
          <w:i/>
        </w:rPr>
        <w:t>s</w:t>
      </w:r>
      <w:r>
        <w:t xml:space="preserve"> data (see eq 12 of reference 11).  </w:t>
      </w:r>
      <w:r w:rsidR="00097861">
        <w:t>In respect of competing processes such as ion-p</w:t>
      </w:r>
      <w:r w:rsidR="00A72BAA">
        <w:t>air formation</w:t>
      </w:r>
      <w:r w:rsidR="00097861">
        <w:t>, Clark and Bonicamp</w:t>
      </w:r>
      <w:r w:rsidR="00097861">
        <w:rPr>
          <w:vertAlign w:val="superscript"/>
        </w:rPr>
        <w:t>14</w:t>
      </w:r>
      <w:r w:rsidR="00097861">
        <w:t xml:space="preserve"> </w:t>
      </w:r>
      <w:r w:rsidR="00F3347E">
        <w:t>argue that the extent of agreement between experimentally measured solubilities and s</w:t>
      </w:r>
      <w:bookmarkStart w:id="0" w:name="_GoBack"/>
      <w:bookmarkEnd w:id="0"/>
      <w:r w:rsidR="00F3347E">
        <w:t xml:space="preserve">olubilities calculated from </w:t>
      </w:r>
      <w:r w:rsidR="00F3347E" w:rsidRPr="00754EC4">
        <w:rPr>
          <w:i/>
        </w:rPr>
        <w:t>K</w:t>
      </w:r>
      <w:r w:rsidR="00F3347E" w:rsidRPr="00754EC4">
        <w:rPr>
          <w:i/>
          <w:vertAlign w:val="subscript"/>
        </w:rPr>
        <w:t>s</w:t>
      </w:r>
      <w:r w:rsidR="00F3347E" w:rsidRPr="00754EC4">
        <w:rPr>
          <w:i/>
        </w:rPr>
        <w:t>°</w:t>
      </w:r>
      <w:r w:rsidR="00F3347E">
        <w:t xml:space="preserve"> (with calculation of activity coefficients where necessary) can be used to judge whether the operation of such competing processes is significant.  It is clear from their analysis that it is reasonable to neglect ion-pairing for CaSO</w:t>
      </w:r>
      <w:r w:rsidR="00F3347E" w:rsidRPr="00F3347E">
        <w:rPr>
          <w:vertAlign w:val="subscript"/>
        </w:rPr>
        <w:t>4</w:t>
      </w:r>
      <w:r w:rsidR="009D51AA">
        <w:t>, which is the assumption in the work reported here.  However, Willey’s use of NaCl as the inert electrolyte could lead to ion-pair formation due to the higher charge density on the Na</w:t>
      </w:r>
      <w:r w:rsidR="009D51AA" w:rsidRPr="009D51AA">
        <w:rPr>
          <w:vertAlign w:val="superscript"/>
        </w:rPr>
        <w:t>+</w:t>
      </w:r>
      <w:r w:rsidR="009D51AA">
        <w:t xml:space="preserve"> and Cl</w:t>
      </w:r>
      <w:r w:rsidR="009D51AA" w:rsidRPr="009D51AA">
        <w:rPr>
          <w:vertAlign w:val="superscript"/>
        </w:rPr>
        <w:sym w:font="Symbol" w:char="F02D"/>
      </w:r>
      <w:r w:rsidR="009D51AA">
        <w:t xml:space="preserve"> ions in comparison with K</w:t>
      </w:r>
      <w:r w:rsidR="009D51AA" w:rsidRPr="009D51AA">
        <w:rPr>
          <w:vertAlign w:val="superscript"/>
        </w:rPr>
        <w:t>+</w:t>
      </w:r>
      <w:r w:rsidR="009D51AA">
        <w:t xml:space="preserve"> and NO</w:t>
      </w:r>
      <w:r w:rsidR="009D51AA" w:rsidRPr="009D51AA">
        <w:rPr>
          <w:vertAlign w:val="subscript"/>
        </w:rPr>
        <w:t>3</w:t>
      </w:r>
      <w:r w:rsidR="009D51AA" w:rsidRPr="009D51AA">
        <w:rPr>
          <w:vertAlign w:val="superscript"/>
        </w:rPr>
        <w:sym w:font="Symbol" w:char="F02D"/>
      </w:r>
      <w:r w:rsidR="009D51AA">
        <w:t xml:space="preserve"> from KNO</w:t>
      </w:r>
      <w:r w:rsidR="009D51AA" w:rsidRPr="009D51AA">
        <w:rPr>
          <w:vertAlign w:val="subscript"/>
        </w:rPr>
        <w:t>3</w:t>
      </w:r>
      <w:r w:rsidR="009D51AA">
        <w:t xml:space="preserve"> used in this work.  </w:t>
      </w:r>
      <w:r w:rsidR="00847237">
        <w:t xml:space="preserve">Table 2 shows </w:t>
      </w:r>
      <w:r w:rsidR="00847237">
        <w:sym w:font="Symbol" w:char="F067"/>
      </w:r>
      <w:r w:rsidR="00847237" w:rsidRPr="00C92A82">
        <w:rPr>
          <w:vertAlign w:val="subscript"/>
        </w:rPr>
        <w:sym w:font="Symbol" w:char="F0B1"/>
      </w:r>
      <w:r w:rsidR="00847237">
        <w:t xml:space="preserve"> values from reference 11 alongside values for comparable ionic strengths obtained in the work reported here.</w:t>
      </w:r>
      <w:r w:rsidR="002C22B5">
        <w:t xml:space="preserve">  The ionic strengths for Willey’s </w:t>
      </w:r>
      <w:r w:rsidR="002C22B5">
        <w:sym w:font="Symbol" w:char="F067"/>
      </w:r>
      <w:r w:rsidR="002C22B5" w:rsidRPr="00C92A82">
        <w:rPr>
          <w:vertAlign w:val="subscript"/>
        </w:rPr>
        <w:sym w:font="Symbol" w:char="F0B1"/>
      </w:r>
      <w:r w:rsidR="002C22B5">
        <w:t xml:space="preserve"> values were calculated using equation 8 with [NaCl] replacing [KNO</w:t>
      </w:r>
      <w:r w:rsidR="002C22B5" w:rsidRPr="002C22B5">
        <w:rPr>
          <w:vertAlign w:val="subscript"/>
        </w:rPr>
        <w:t>3</w:t>
      </w:r>
      <w:r w:rsidR="00986CB6">
        <w:t xml:space="preserve">] and Willey’s </w:t>
      </w:r>
      <w:r w:rsidR="002C22B5">
        <w:t>reported s values from EDTA titrimetric analysis.</w:t>
      </w:r>
    </w:p>
    <w:p w:rsidR="00246B4C" w:rsidRDefault="00246B4C" w:rsidP="00246B4C">
      <w:pPr>
        <w:pStyle w:val="JCEbodytext"/>
        <w:ind w:firstLine="0"/>
      </w:pPr>
    </w:p>
    <w:tbl>
      <w:tblPr>
        <w:tblW w:w="8411" w:type="dxa"/>
        <w:tblLook w:val="01E0" w:firstRow="1" w:lastRow="1" w:firstColumn="1" w:lastColumn="1" w:noHBand="0" w:noVBand="0"/>
      </w:tblPr>
      <w:tblGrid>
        <w:gridCol w:w="1401"/>
        <w:gridCol w:w="1402"/>
        <w:gridCol w:w="1402"/>
        <w:gridCol w:w="1402"/>
        <w:gridCol w:w="1402"/>
        <w:gridCol w:w="1402"/>
      </w:tblGrid>
      <w:tr w:rsidR="00E97DE6" w:rsidRPr="006355C4" w:rsidTr="00C62BC2">
        <w:trPr>
          <w:trHeight w:val="236"/>
        </w:trPr>
        <w:tc>
          <w:tcPr>
            <w:tcW w:w="8411" w:type="dxa"/>
            <w:gridSpan w:val="6"/>
          </w:tcPr>
          <w:p w:rsidR="00E97DE6" w:rsidRDefault="00E97DE6" w:rsidP="00017D21">
            <w:pPr>
              <w:pStyle w:val="JCETabletitle"/>
              <w:rPr>
                <w:szCs w:val="20"/>
              </w:rPr>
            </w:pPr>
            <w:r>
              <w:rPr>
                <w:szCs w:val="20"/>
              </w:rPr>
              <w:lastRenderedPageBreak/>
              <w:t>Table 2</w:t>
            </w:r>
            <w:r w:rsidRPr="00C01A79">
              <w:rPr>
                <w:szCs w:val="20"/>
              </w:rPr>
              <w:t xml:space="preserve">. </w:t>
            </w:r>
            <w:r w:rsidR="00C62BC2">
              <w:rPr>
                <w:szCs w:val="20"/>
              </w:rPr>
              <w:t>Literature c</w:t>
            </w:r>
            <w:r>
              <w:rPr>
                <w:szCs w:val="20"/>
              </w:rPr>
              <w:t>omparison</w:t>
            </w:r>
            <w:r w:rsidR="00C62BC2">
              <w:rPr>
                <w:szCs w:val="20"/>
              </w:rPr>
              <w:t xml:space="preserve"> for</w:t>
            </w:r>
            <w:r w:rsidR="00017D21">
              <w:rPr>
                <w:szCs w:val="20"/>
              </w:rPr>
              <w:t xml:space="preserve"> </w:t>
            </w:r>
            <w:r w:rsidR="00C62BC2">
              <w:rPr>
                <w:szCs w:val="20"/>
              </w:rPr>
              <w:t xml:space="preserve">selected </w:t>
            </w:r>
            <w:r w:rsidR="00017D21">
              <w:sym w:font="Symbol" w:char="F067"/>
            </w:r>
            <w:r w:rsidR="00017D21" w:rsidRPr="00C92A82">
              <w:rPr>
                <w:vertAlign w:val="subscript"/>
              </w:rPr>
              <w:sym w:font="Symbol" w:char="F0B1"/>
            </w:r>
            <w:r w:rsidR="00017D21">
              <w:rPr>
                <w:szCs w:val="20"/>
              </w:rPr>
              <w:t xml:space="preserve"> </w:t>
            </w:r>
            <w:r w:rsidR="00C62BC2">
              <w:rPr>
                <w:szCs w:val="20"/>
              </w:rPr>
              <w:t>values</w:t>
            </w:r>
          </w:p>
        </w:tc>
      </w:tr>
      <w:tr w:rsidR="00017D21" w:rsidRPr="006355C4" w:rsidTr="00C62BC2">
        <w:trPr>
          <w:trHeight w:val="236"/>
        </w:trPr>
        <w:tc>
          <w:tcPr>
            <w:tcW w:w="1401" w:type="dxa"/>
            <w:shd w:val="clear" w:color="auto" w:fill="D9D9D9" w:themeFill="background1" w:themeFillShade="D9"/>
          </w:tcPr>
          <w:p w:rsidR="00017D21" w:rsidRDefault="00017D21" w:rsidP="00017D21">
            <w:pPr>
              <w:pStyle w:val="JCETabletext"/>
              <w:jc w:val="center"/>
              <w:rPr>
                <w:i/>
              </w:rPr>
            </w:pPr>
            <w:r>
              <w:rPr>
                <w:i/>
              </w:rPr>
              <w:t>s/</w:t>
            </w:r>
            <w:r>
              <w:t>mol dm</w:t>
            </w:r>
            <w:r w:rsidRPr="00D92067">
              <w:rPr>
                <w:vertAlign w:val="superscript"/>
              </w:rPr>
              <w:sym w:font="Symbol" w:char="F02D"/>
            </w:r>
            <w:r w:rsidRPr="00D92067">
              <w:rPr>
                <w:vertAlign w:val="superscript"/>
              </w:rPr>
              <w:t>3</w:t>
            </w:r>
          </w:p>
        </w:tc>
        <w:tc>
          <w:tcPr>
            <w:tcW w:w="1402" w:type="dxa"/>
            <w:shd w:val="clear" w:color="auto" w:fill="D9D9D9" w:themeFill="background1" w:themeFillShade="D9"/>
          </w:tcPr>
          <w:p w:rsidR="00017D21" w:rsidRPr="00E97DE6" w:rsidRDefault="00017D21" w:rsidP="00017D21">
            <w:pPr>
              <w:pStyle w:val="JCETabletext"/>
              <w:jc w:val="center"/>
            </w:pPr>
            <w:r>
              <w:rPr>
                <w:i/>
              </w:rPr>
              <w:t>I</w:t>
            </w:r>
            <w:r>
              <w:t>/mol dm</w:t>
            </w:r>
            <w:r w:rsidRPr="00D92067">
              <w:rPr>
                <w:vertAlign w:val="superscript"/>
              </w:rPr>
              <w:sym w:font="Symbol" w:char="F02D"/>
            </w:r>
            <w:r w:rsidRPr="00D92067">
              <w:rPr>
                <w:vertAlign w:val="superscript"/>
              </w:rPr>
              <w:t>3</w:t>
            </w:r>
          </w:p>
        </w:tc>
        <w:tc>
          <w:tcPr>
            <w:tcW w:w="1402" w:type="dxa"/>
            <w:shd w:val="clear" w:color="auto" w:fill="D9D9D9" w:themeFill="background1" w:themeFillShade="D9"/>
          </w:tcPr>
          <w:p w:rsidR="00017D21" w:rsidRPr="006355C4" w:rsidRDefault="00017D21" w:rsidP="00017D21">
            <w:pPr>
              <w:pStyle w:val="JCETabletext"/>
              <w:jc w:val="center"/>
            </w:pPr>
            <w:r>
              <w:sym w:font="Symbol" w:char="F067"/>
            </w:r>
            <w:r w:rsidRPr="00C92A82">
              <w:rPr>
                <w:vertAlign w:val="subscript"/>
              </w:rPr>
              <w:sym w:font="Symbol" w:char="F0B1"/>
            </w:r>
          </w:p>
        </w:tc>
        <w:tc>
          <w:tcPr>
            <w:tcW w:w="1402" w:type="dxa"/>
            <w:shd w:val="clear" w:color="auto" w:fill="D9D9D9" w:themeFill="background1" w:themeFillShade="D9"/>
          </w:tcPr>
          <w:p w:rsidR="00017D21" w:rsidRDefault="00017D21" w:rsidP="00017D21">
            <w:pPr>
              <w:pStyle w:val="JCETabletext"/>
              <w:jc w:val="center"/>
              <w:rPr>
                <w:i/>
              </w:rPr>
            </w:pPr>
            <w:r>
              <w:rPr>
                <w:i/>
              </w:rPr>
              <w:t>s/</w:t>
            </w:r>
            <w:r>
              <w:t>mol dm</w:t>
            </w:r>
            <w:r w:rsidRPr="00D92067">
              <w:rPr>
                <w:vertAlign w:val="superscript"/>
              </w:rPr>
              <w:sym w:font="Symbol" w:char="F02D"/>
            </w:r>
            <w:r w:rsidRPr="00D92067">
              <w:rPr>
                <w:vertAlign w:val="superscript"/>
              </w:rPr>
              <w:t>3</w:t>
            </w:r>
          </w:p>
        </w:tc>
        <w:tc>
          <w:tcPr>
            <w:tcW w:w="1402" w:type="dxa"/>
            <w:shd w:val="clear" w:color="auto" w:fill="D9D9D9" w:themeFill="background1" w:themeFillShade="D9"/>
          </w:tcPr>
          <w:p w:rsidR="00017D21" w:rsidRPr="00E97DE6" w:rsidRDefault="00017D21" w:rsidP="00017D21">
            <w:pPr>
              <w:pStyle w:val="JCETabletext"/>
              <w:jc w:val="center"/>
            </w:pPr>
            <w:r>
              <w:rPr>
                <w:i/>
              </w:rPr>
              <w:t>I</w:t>
            </w:r>
            <w:r>
              <w:t>/mol dm</w:t>
            </w:r>
            <w:r w:rsidRPr="00D92067">
              <w:rPr>
                <w:vertAlign w:val="superscript"/>
              </w:rPr>
              <w:sym w:font="Symbol" w:char="F02D"/>
            </w:r>
            <w:r w:rsidRPr="00D92067">
              <w:rPr>
                <w:vertAlign w:val="superscript"/>
              </w:rPr>
              <w:t>3</w:t>
            </w:r>
          </w:p>
        </w:tc>
        <w:tc>
          <w:tcPr>
            <w:tcW w:w="1402" w:type="dxa"/>
            <w:shd w:val="clear" w:color="auto" w:fill="D9D9D9" w:themeFill="background1" w:themeFillShade="D9"/>
          </w:tcPr>
          <w:p w:rsidR="00017D21" w:rsidRPr="006355C4" w:rsidRDefault="00017D21" w:rsidP="00017D21">
            <w:pPr>
              <w:pStyle w:val="JCETabletext"/>
              <w:jc w:val="center"/>
            </w:pPr>
            <w:r>
              <w:sym w:font="Symbol" w:char="F067"/>
            </w:r>
            <w:r w:rsidRPr="00C92A82">
              <w:rPr>
                <w:vertAlign w:val="subscript"/>
              </w:rPr>
              <w:sym w:font="Symbol" w:char="F0B1"/>
            </w:r>
          </w:p>
        </w:tc>
      </w:tr>
      <w:tr w:rsidR="00017D21" w:rsidRPr="006355C4" w:rsidTr="00C62BC2">
        <w:trPr>
          <w:trHeight w:val="171"/>
        </w:trPr>
        <w:tc>
          <w:tcPr>
            <w:tcW w:w="1401" w:type="dxa"/>
          </w:tcPr>
          <w:p w:rsidR="00017D21" w:rsidRPr="00E97DE6" w:rsidRDefault="00017D21" w:rsidP="00017D21">
            <w:pPr>
              <w:pStyle w:val="JCETabletext"/>
              <w:jc w:val="center"/>
              <w:rPr>
                <w:color w:val="000000"/>
                <w:vertAlign w:val="superscript"/>
              </w:rPr>
            </w:pPr>
            <w:r>
              <w:rPr>
                <w:color w:val="000000"/>
              </w:rPr>
              <w:t>0.015</w:t>
            </w:r>
            <w:r>
              <w:rPr>
                <w:color w:val="000000"/>
                <w:vertAlign w:val="superscript"/>
              </w:rPr>
              <w:t>a</w:t>
            </w:r>
          </w:p>
        </w:tc>
        <w:tc>
          <w:tcPr>
            <w:tcW w:w="1402" w:type="dxa"/>
          </w:tcPr>
          <w:p w:rsidR="00017D21" w:rsidRPr="00017D21" w:rsidRDefault="00017D21" w:rsidP="00017D21">
            <w:pPr>
              <w:pStyle w:val="JCETabletext"/>
              <w:jc w:val="center"/>
              <w:rPr>
                <w:vertAlign w:val="superscript"/>
              </w:rPr>
            </w:pPr>
            <w:r>
              <w:rPr>
                <w:color w:val="000000"/>
              </w:rPr>
              <w:t>0.06</w:t>
            </w:r>
            <w:r w:rsidR="0009557B">
              <w:rPr>
                <w:color w:val="000000"/>
              </w:rPr>
              <w:t>0</w:t>
            </w:r>
            <w:r>
              <w:rPr>
                <w:color w:val="000000"/>
                <w:vertAlign w:val="superscript"/>
              </w:rPr>
              <w:t>a</w:t>
            </w:r>
          </w:p>
        </w:tc>
        <w:tc>
          <w:tcPr>
            <w:tcW w:w="1402" w:type="dxa"/>
          </w:tcPr>
          <w:p w:rsidR="00017D21" w:rsidRPr="00017D21" w:rsidRDefault="00017D21" w:rsidP="00017D21">
            <w:pPr>
              <w:pStyle w:val="JCETabletext"/>
              <w:jc w:val="center"/>
              <w:rPr>
                <w:vertAlign w:val="superscript"/>
              </w:rPr>
            </w:pPr>
            <w:r>
              <w:rPr>
                <w:color w:val="000000"/>
              </w:rPr>
              <w:t>0.53 (0.41)</w:t>
            </w:r>
            <w:r>
              <w:rPr>
                <w:color w:val="000000"/>
                <w:vertAlign w:val="superscript"/>
              </w:rPr>
              <w:t>a</w:t>
            </w:r>
          </w:p>
        </w:tc>
        <w:tc>
          <w:tcPr>
            <w:tcW w:w="1402" w:type="dxa"/>
          </w:tcPr>
          <w:p w:rsidR="00017D21" w:rsidRPr="00017D21" w:rsidRDefault="00017D21" w:rsidP="00017D21">
            <w:pPr>
              <w:pStyle w:val="JCETabletext"/>
              <w:jc w:val="center"/>
              <w:rPr>
                <w:vertAlign w:val="superscript"/>
              </w:rPr>
            </w:pPr>
            <w:r>
              <w:rPr>
                <w:color w:val="000000"/>
              </w:rPr>
              <w:t>0.016</w:t>
            </w:r>
            <w:r>
              <w:rPr>
                <w:color w:val="000000"/>
                <w:vertAlign w:val="superscript"/>
              </w:rPr>
              <w:t>b</w:t>
            </w:r>
          </w:p>
        </w:tc>
        <w:tc>
          <w:tcPr>
            <w:tcW w:w="1402" w:type="dxa"/>
          </w:tcPr>
          <w:p w:rsidR="00017D21" w:rsidRPr="00017D21" w:rsidRDefault="00017D21" w:rsidP="00017D21">
            <w:pPr>
              <w:pStyle w:val="JCETabletext"/>
              <w:jc w:val="center"/>
              <w:rPr>
                <w:color w:val="000000"/>
                <w:vertAlign w:val="superscript"/>
              </w:rPr>
            </w:pPr>
            <w:r>
              <w:rPr>
                <w:color w:val="000000"/>
              </w:rPr>
              <w:t>0.068</w:t>
            </w:r>
            <w:r>
              <w:rPr>
                <w:color w:val="000000"/>
                <w:vertAlign w:val="superscript"/>
              </w:rPr>
              <w:t>b</w:t>
            </w:r>
          </w:p>
        </w:tc>
        <w:tc>
          <w:tcPr>
            <w:tcW w:w="1402" w:type="dxa"/>
          </w:tcPr>
          <w:p w:rsidR="00017D21" w:rsidRPr="00017D21" w:rsidRDefault="00017D21" w:rsidP="00017D21">
            <w:pPr>
              <w:pStyle w:val="JCETabletext"/>
              <w:jc w:val="center"/>
              <w:rPr>
                <w:color w:val="000000"/>
                <w:vertAlign w:val="superscript"/>
              </w:rPr>
            </w:pPr>
            <w:r>
              <w:rPr>
                <w:color w:val="000000"/>
              </w:rPr>
              <w:t>0.39</w:t>
            </w:r>
            <w:r>
              <w:rPr>
                <w:color w:val="000000"/>
                <w:vertAlign w:val="superscript"/>
              </w:rPr>
              <w:t>b</w:t>
            </w:r>
          </w:p>
        </w:tc>
      </w:tr>
      <w:tr w:rsidR="00017D21" w:rsidRPr="006355C4" w:rsidTr="00C62BC2">
        <w:trPr>
          <w:trHeight w:val="171"/>
        </w:trPr>
        <w:tc>
          <w:tcPr>
            <w:tcW w:w="1401" w:type="dxa"/>
          </w:tcPr>
          <w:p w:rsidR="00017D21" w:rsidRPr="00E97DE6" w:rsidRDefault="00017D21" w:rsidP="00017D21">
            <w:pPr>
              <w:pStyle w:val="JCETabletext"/>
              <w:jc w:val="center"/>
              <w:rPr>
                <w:color w:val="000000"/>
                <w:vertAlign w:val="superscript"/>
              </w:rPr>
            </w:pPr>
            <w:r>
              <w:rPr>
                <w:color w:val="000000"/>
              </w:rPr>
              <w:t>0.022</w:t>
            </w:r>
            <w:r>
              <w:rPr>
                <w:color w:val="000000"/>
                <w:vertAlign w:val="superscript"/>
              </w:rPr>
              <w:t>a</w:t>
            </w:r>
          </w:p>
        </w:tc>
        <w:tc>
          <w:tcPr>
            <w:tcW w:w="1402" w:type="dxa"/>
          </w:tcPr>
          <w:p w:rsidR="00017D21" w:rsidRPr="00F46AF6" w:rsidRDefault="00017D21" w:rsidP="00017D21">
            <w:pPr>
              <w:pStyle w:val="JCETabletext"/>
              <w:jc w:val="center"/>
              <w:rPr>
                <w:color w:val="000000"/>
                <w:vertAlign w:val="superscript"/>
              </w:rPr>
            </w:pPr>
            <w:r>
              <w:rPr>
                <w:color w:val="000000"/>
              </w:rPr>
              <w:t>0.34</w:t>
            </w:r>
            <w:r>
              <w:rPr>
                <w:color w:val="000000"/>
                <w:vertAlign w:val="superscript"/>
              </w:rPr>
              <w:t>a</w:t>
            </w:r>
          </w:p>
        </w:tc>
        <w:tc>
          <w:tcPr>
            <w:tcW w:w="1402" w:type="dxa"/>
          </w:tcPr>
          <w:p w:rsidR="00017D21" w:rsidRPr="00017D21" w:rsidRDefault="00017D21" w:rsidP="00017D21">
            <w:pPr>
              <w:pStyle w:val="JCETabletext"/>
              <w:jc w:val="center"/>
              <w:rPr>
                <w:color w:val="000000"/>
                <w:vertAlign w:val="superscript"/>
              </w:rPr>
            </w:pPr>
            <w:r>
              <w:rPr>
                <w:color w:val="000000"/>
              </w:rPr>
              <w:t>0.30 (0.28)</w:t>
            </w:r>
            <w:r>
              <w:rPr>
                <w:color w:val="000000"/>
                <w:vertAlign w:val="superscript"/>
              </w:rPr>
              <w:t>a</w:t>
            </w:r>
          </w:p>
        </w:tc>
        <w:tc>
          <w:tcPr>
            <w:tcW w:w="1402" w:type="dxa"/>
          </w:tcPr>
          <w:p w:rsidR="00017D21" w:rsidRPr="00F46AF6" w:rsidRDefault="00017D21" w:rsidP="00017D21">
            <w:pPr>
              <w:pStyle w:val="JCETabletext"/>
              <w:jc w:val="center"/>
              <w:rPr>
                <w:color w:val="000000"/>
                <w:vertAlign w:val="superscript"/>
              </w:rPr>
            </w:pPr>
            <w:r>
              <w:rPr>
                <w:color w:val="000000"/>
              </w:rPr>
              <w:t>0.029</w:t>
            </w:r>
            <w:r>
              <w:rPr>
                <w:color w:val="000000"/>
                <w:vertAlign w:val="superscript"/>
              </w:rPr>
              <w:t>b</w:t>
            </w:r>
          </w:p>
        </w:tc>
        <w:tc>
          <w:tcPr>
            <w:tcW w:w="1402" w:type="dxa"/>
          </w:tcPr>
          <w:p w:rsidR="00017D21" w:rsidRPr="00017D21" w:rsidRDefault="00017D21" w:rsidP="00017D21">
            <w:pPr>
              <w:pStyle w:val="JCETabletext"/>
              <w:jc w:val="center"/>
              <w:rPr>
                <w:color w:val="000000"/>
                <w:vertAlign w:val="superscript"/>
              </w:rPr>
            </w:pPr>
            <w:r>
              <w:rPr>
                <w:color w:val="000000"/>
              </w:rPr>
              <w:t>0.34</w:t>
            </w:r>
            <w:r>
              <w:rPr>
                <w:color w:val="000000"/>
                <w:vertAlign w:val="superscript"/>
              </w:rPr>
              <w:t>b</w:t>
            </w:r>
          </w:p>
        </w:tc>
        <w:tc>
          <w:tcPr>
            <w:tcW w:w="1402" w:type="dxa"/>
          </w:tcPr>
          <w:p w:rsidR="00017D21" w:rsidRPr="00017D21" w:rsidRDefault="00017D21" w:rsidP="00017D21">
            <w:pPr>
              <w:pStyle w:val="JCETabletext"/>
              <w:jc w:val="center"/>
              <w:rPr>
                <w:color w:val="000000"/>
                <w:vertAlign w:val="superscript"/>
              </w:rPr>
            </w:pPr>
            <w:r>
              <w:rPr>
                <w:color w:val="000000"/>
              </w:rPr>
              <w:t>0.21</w:t>
            </w:r>
            <w:r>
              <w:rPr>
                <w:color w:val="000000"/>
                <w:vertAlign w:val="superscript"/>
              </w:rPr>
              <w:t>b</w:t>
            </w:r>
          </w:p>
        </w:tc>
      </w:tr>
      <w:tr w:rsidR="00C62BC2" w:rsidRPr="006355C4" w:rsidTr="00C62BC2">
        <w:trPr>
          <w:trHeight w:val="350"/>
        </w:trPr>
        <w:tc>
          <w:tcPr>
            <w:tcW w:w="8411" w:type="dxa"/>
            <w:gridSpan w:val="6"/>
            <w:tcBorders>
              <w:bottom w:val="single" w:sz="2" w:space="0" w:color="auto"/>
            </w:tcBorders>
          </w:tcPr>
          <w:p w:rsidR="00C62BC2" w:rsidRPr="001932B5" w:rsidRDefault="00C62BC2" w:rsidP="00C62BC2">
            <w:pPr>
              <w:pStyle w:val="JCETabletext"/>
              <w:rPr>
                <w:i/>
                <w:vertAlign w:val="superscript"/>
              </w:rPr>
            </w:pPr>
            <w:r w:rsidRPr="001932B5">
              <w:rPr>
                <w:i/>
                <w:vertAlign w:val="superscript"/>
              </w:rPr>
              <w:t>a</w:t>
            </w:r>
            <w:r w:rsidRPr="001932B5">
              <w:t xml:space="preserve">Ref </w:t>
            </w:r>
            <w:r>
              <w:t xml:space="preserve">11 (values in parentheses calculated from reported s and the value of </w:t>
            </w:r>
            <w:r w:rsidRPr="00C62BC2">
              <w:rPr>
                <w:i/>
              </w:rPr>
              <w:t>K</w:t>
            </w:r>
            <w:r w:rsidRPr="00C62BC2">
              <w:rPr>
                <w:i/>
                <w:vertAlign w:val="subscript"/>
              </w:rPr>
              <w:t>s</w:t>
            </w:r>
            <w:r w:rsidRPr="00C62BC2">
              <w:rPr>
                <w:i/>
              </w:rPr>
              <w:t>°</w:t>
            </w:r>
            <w:r>
              <w:t xml:space="preserve"> from this work (see Table 1)</w:t>
            </w:r>
            <w:r w:rsidR="00986CB6">
              <w:t>)</w:t>
            </w:r>
            <w:r w:rsidRPr="001932B5">
              <w:t xml:space="preserve">; </w:t>
            </w:r>
            <w:r w:rsidRPr="001932B5">
              <w:rPr>
                <w:vertAlign w:val="superscript"/>
              </w:rPr>
              <w:t>b</w:t>
            </w:r>
            <w:r>
              <w:t xml:space="preserve">This work (see </w:t>
            </w:r>
            <w:r w:rsidR="001255A9">
              <w:t>Supporting Information</w:t>
            </w:r>
            <w:r>
              <w:t xml:space="preserve"> dataset</w:t>
            </w:r>
            <w:r w:rsidR="00871A30">
              <w:t>)</w:t>
            </w:r>
            <w:r>
              <w:t>.</w:t>
            </w:r>
          </w:p>
        </w:tc>
      </w:tr>
    </w:tbl>
    <w:p w:rsidR="00986CB6" w:rsidRDefault="00986CB6" w:rsidP="00AD5A81">
      <w:pPr>
        <w:pStyle w:val="JCEH1"/>
        <w:spacing w:before="180"/>
      </w:pPr>
    </w:p>
    <w:p w:rsidR="00AD5A81" w:rsidRPr="006355C4" w:rsidRDefault="00AD5A81" w:rsidP="00AD5A81">
      <w:pPr>
        <w:pStyle w:val="JCEH1"/>
        <w:spacing w:before="180"/>
      </w:pPr>
      <w:r>
        <w:t>ASSESSMENT OF ACHIEVEMENT OF THE LEARNING OUTCOMES</w:t>
      </w:r>
    </w:p>
    <w:p w:rsidR="00221248" w:rsidRDefault="00221248" w:rsidP="00AD5A81">
      <w:pPr>
        <w:pStyle w:val="JCEbodytext"/>
        <w:ind w:firstLine="0"/>
      </w:pPr>
    </w:p>
    <w:p w:rsidR="00AD5A81" w:rsidRPr="00246B4C" w:rsidRDefault="00221248" w:rsidP="00AD5A81">
      <w:pPr>
        <w:pStyle w:val="JCEbodytext"/>
        <w:ind w:firstLine="0"/>
      </w:pPr>
      <w:r>
        <w:t xml:space="preserve">This laboratory </w:t>
      </w:r>
      <w:r w:rsidR="00871A30">
        <w:t>experiment</w:t>
      </w:r>
      <w:r>
        <w:t xml:space="preserve"> is one of four </w:t>
      </w:r>
      <w:r w:rsidR="00871A30">
        <w:t>experiments</w:t>
      </w:r>
      <w:r>
        <w:t xml:space="preserve"> associated with </w:t>
      </w:r>
      <w:r w:rsidR="00EF37D3">
        <w:t>‘</w:t>
      </w:r>
      <w:r>
        <w:t>electrolytes and solution chemistry</w:t>
      </w:r>
      <w:r w:rsidR="00EF37D3">
        <w:t>’</w:t>
      </w:r>
      <w:r>
        <w:t xml:space="preserve"> within a 2</w:t>
      </w:r>
      <w:r w:rsidRPr="00221248">
        <w:rPr>
          <w:vertAlign w:val="superscript"/>
        </w:rPr>
        <w:t>nd</w:t>
      </w:r>
      <w:r>
        <w:t xml:space="preserve"> year chemistry module at Keele University.  The principal assess</w:t>
      </w:r>
      <w:r w:rsidR="00EF37D3">
        <w:t>ment for the laboratory practicals is an</w:t>
      </w:r>
      <w:r w:rsidRPr="00221248">
        <w:t xml:space="preserve"> Excel spreadsheet </w:t>
      </w:r>
      <w:r w:rsidR="00EF37D3">
        <w:t xml:space="preserve">comprising comprehensive data analysis, </w:t>
      </w:r>
      <w:r w:rsidRPr="00221248">
        <w:t>interpretation of results and evidence of engagement with relevant peer-reviewed journal articles</w:t>
      </w:r>
      <w:r w:rsidR="00EF37D3">
        <w:t xml:space="preserve">.  </w:t>
      </w:r>
      <w:r w:rsidR="00871A30">
        <w:t xml:space="preserve">Students ‘report’ each practical </w:t>
      </w:r>
      <w:r w:rsidR="00EF37D3">
        <w:t>via separate worksheets within a single Excel workbook.  The laboratory programme is designed to enable students to gain experience with and acquire skills in more advanced aspects of data analysis and presentation using Excel</w:t>
      </w:r>
      <w:r w:rsidR="00A82A74">
        <w:t xml:space="preserve"> and has a strong formative element in which stu</w:t>
      </w:r>
      <w:r w:rsidR="00043140">
        <w:t>dents learn by doing and get</w:t>
      </w:r>
      <w:r w:rsidR="00A82A74">
        <w:t xml:space="preserve"> face-to-face feedback in the laboratory</w:t>
      </w:r>
      <w:r w:rsidR="00861F5A">
        <w:t xml:space="preserve"> and workshops</w:t>
      </w:r>
      <w:r w:rsidR="00A82A74">
        <w:t xml:space="preserve"> as they work through their data processing and analysis. The Excel skills </w:t>
      </w:r>
      <w:r w:rsidR="00861F5A">
        <w:t xml:space="preserve">developed </w:t>
      </w:r>
      <w:r w:rsidR="00A82A74">
        <w:t>include</w:t>
      </w:r>
      <w:r w:rsidR="00EF37D3">
        <w:t xml:space="preserve"> data manipulation </w:t>
      </w:r>
      <w:r w:rsidR="00D915F3">
        <w:t>and calculations using formula entries with appropriate cell addressing strategies, use of statistical functions, use of LINEST for returning linear regression statistics, use of Solver for nonlinear regression</w:t>
      </w:r>
      <w:r w:rsidR="00A82A74">
        <w:t xml:space="preserve">, XY scatter </w:t>
      </w:r>
      <w:r w:rsidR="00D915F3">
        <w:t>plots with multiple datasets on one plot</w:t>
      </w:r>
      <w:r w:rsidR="00A82A74">
        <w:t xml:space="preserve"> </w:t>
      </w:r>
      <w:r w:rsidR="00861F5A">
        <w:t xml:space="preserve">area </w:t>
      </w:r>
      <w:r w:rsidR="00A82A74">
        <w:t xml:space="preserve">and for displaying </w:t>
      </w:r>
      <w:r w:rsidR="00D915F3">
        <w:t xml:space="preserve">multiple spectra on one plot.  Presentation quality </w:t>
      </w:r>
      <w:r w:rsidR="00871A30">
        <w:t xml:space="preserve">also </w:t>
      </w:r>
      <w:r w:rsidR="00D915F3">
        <w:t xml:space="preserve">forms part of the </w:t>
      </w:r>
      <w:r w:rsidR="00043140">
        <w:t>assessment</w:t>
      </w:r>
      <w:r w:rsidR="00D915F3">
        <w:t xml:space="preserve"> criteria such that students are expected to observe </w:t>
      </w:r>
      <w:r w:rsidR="00D915F3" w:rsidRPr="00D915F3">
        <w:t xml:space="preserve">professional standards of presentation and adherence </w:t>
      </w:r>
      <w:r w:rsidR="00D915F3">
        <w:t>to professional conventions in c</w:t>
      </w:r>
      <w:r w:rsidR="00D915F3" w:rsidRPr="00D915F3">
        <w:t>hemistry</w:t>
      </w:r>
      <w:r w:rsidR="00D915F3">
        <w:t xml:space="preserve"> (e.g. graphs, tables, equations, referencing)</w:t>
      </w:r>
      <w:r w:rsidR="00AF3757">
        <w:t>.</w:t>
      </w:r>
      <w:r w:rsidR="00D915F3">
        <w:t xml:space="preserve">  </w:t>
      </w:r>
      <w:r w:rsidR="004A66A8">
        <w:t>Year on year t</w:t>
      </w:r>
      <w:r w:rsidR="00A82A74">
        <w:t>he vast</w:t>
      </w:r>
      <w:r w:rsidR="004A66A8">
        <w:t xml:space="preserve"> majority of students produce work of a high to very high standard and show strong evidence of achievement of the learning outcomes</w:t>
      </w:r>
      <w:r w:rsidR="00AF3757">
        <w:t xml:space="preserve"> as well as creativity in their execution of the assessment tasks</w:t>
      </w:r>
      <w:r w:rsidR="004A66A8">
        <w:t>; this is also evident in their use of the acquired skills in different contexts in 3</w:t>
      </w:r>
      <w:r w:rsidR="004A66A8" w:rsidRPr="004A66A8">
        <w:rPr>
          <w:vertAlign w:val="superscript"/>
        </w:rPr>
        <w:t>rd</w:t>
      </w:r>
      <w:r w:rsidR="004A66A8">
        <w:t xml:space="preserve"> and 4</w:t>
      </w:r>
      <w:r w:rsidR="004A66A8" w:rsidRPr="004A66A8">
        <w:rPr>
          <w:vertAlign w:val="superscript"/>
        </w:rPr>
        <w:t>th</w:t>
      </w:r>
      <w:r w:rsidR="004A66A8">
        <w:t xml:space="preserve"> year research projects.  </w:t>
      </w:r>
      <w:r w:rsidR="00D915F3">
        <w:t xml:space="preserve">Assessment details and marking criteria are provided </w:t>
      </w:r>
      <w:r w:rsidR="00A82A74">
        <w:t xml:space="preserve">in the </w:t>
      </w:r>
      <w:r w:rsidR="001255A9">
        <w:t>Supporting Information</w:t>
      </w:r>
      <w:r w:rsidR="006B051D">
        <w:t xml:space="preserve">, whilst </w:t>
      </w:r>
      <w:r w:rsidR="00D2680B">
        <w:t xml:space="preserve">a summary of </w:t>
      </w:r>
      <w:r w:rsidR="006B051D">
        <w:t>student performance data is provided in the ‘Instructor notes’</w:t>
      </w:r>
      <w:r w:rsidR="006C6E94">
        <w:t>.</w:t>
      </w:r>
    </w:p>
    <w:p w:rsidR="002617AE" w:rsidRPr="006355C4" w:rsidRDefault="002617AE" w:rsidP="007557F1">
      <w:pPr>
        <w:pStyle w:val="JCEH1"/>
      </w:pPr>
      <w:r w:rsidRPr="006355C4">
        <w:lastRenderedPageBreak/>
        <w:t>Associated content</w:t>
      </w:r>
    </w:p>
    <w:p w:rsidR="002617AE" w:rsidRPr="006355C4" w:rsidRDefault="001255A9" w:rsidP="00C01A79">
      <w:pPr>
        <w:pStyle w:val="JCEH2"/>
        <w:spacing w:before="60"/>
      </w:pPr>
      <w:r>
        <w:t>Supporting Information</w:t>
      </w:r>
    </w:p>
    <w:p w:rsidR="00620EDF" w:rsidRDefault="00620EDF" w:rsidP="002617AE">
      <w:pPr>
        <w:pStyle w:val="JCEbodytext"/>
      </w:pPr>
      <w:r w:rsidRPr="00281F38">
        <w:t xml:space="preserve">The </w:t>
      </w:r>
      <w:r w:rsidR="001255A9">
        <w:t>Supporting Information</w:t>
      </w:r>
      <w:r w:rsidRPr="00281F38">
        <w:t xml:space="preserve"> is available on the ACS Publications website at DOI: 10.1021/acs.jchemed.</w:t>
      </w:r>
      <w:r w:rsidRPr="00281F38">
        <w:rPr>
          <w:color w:val="FF40FF"/>
        </w:rPr>
        <w:t>XXXXXXX</w:t>
      </w:r>
      <w:r w:rsidR="00281F38">
        <w:rPr>
          <w:color w:val="FF40FF"/>
        </w:rPr>
        <w:t>.</w:t>
      </w:r>
    </w:p>
    <w:p w:rsidR="00280BAD" w:rsidRDefault="003A5184" w:rsidP="00280BAD">
      <w:pPr>
        <w:pStyle w:val="JCEbodytext"/>
      </w:pPr>
      <w:r>
        <w:t>Typical Analysed Dataset</w:t>
      </w:r>
      <w:r w:rsidR="00322E42">
        <w:t xml:space="preserve"> (.xlsx</w:t>
      </w:r>
      <w:r w:rsidR="00280BAD">
        <w:t>)</w:t>
      </w:r>
    </w:p>
    <w:p w:rsidR="00861F5A" w:rsidRDefault="00861F5A" w:rsidP="00280BAD">
      <w:pPr>
        <w:pStyle w:val="JCEbodytext"/>
      </w:pPr>
      <w:r>
        <w:t>Student handout (.docx)</w:t>
      </w:r>
    </w:p>
    <w:p w:rsidR="00545799" w:rsidRDefault="00861F5A" w:rsidP="00280BAD">
      <w:pPr>
        <w:pStyle w:val="JCEbodytext"/>
      </w:pPr>
      <w:r>
        <w:t>Instructor notes</w:t>
      </w:r>
      <w:r w:rsidR="007112FD">
        <w:t xml:space="preserve"> (.docx</w:t>
      </w:r>
      <w:r w:rsidR="00545799">
        <w:t>)</w:t>
      </w:r>
    </w:p>
    <w:p w:rsidR="00545799" w:rsidRDefault="007112FD" w:rsidP="00280BAD">
      <w:pPr>
        <w:pStyle w:val="JCEbodytext"/>
      </w:pPr>
      <w:r>
        <w:t>Assessment details (.docx</w:t>
      </w:r>
      <w:r w:rsidR="00545799">
        <w:t>)</w:t>
      </w:r>
    </w:p>
    <w:p w:rsidR="004D01C2" w:rsidRPr="006355C4" w:rsidRDefault="004D01C2" w:rsidP="00280BAD">
      <w:pPr>
        <w:pStyle w:val="JCEbodytext"/>
      </w:pPr>
      <w:r>
        <w:t xml:space="preserve">Pre-laboratory </w:t>
      </w:r>
      <w:r w:rsidR="007112FD">
        <w:t>exercise (.docx</w:t>
      </w:r>
      <w:r>
        <w:t>)</w:t>
      </w:r>
    </w:p>
    <w:p w:rsidR="002617AE" w:rsidRPr="006355C4" w:rsidRDefault="002617AE" w:rsidP="00545821">
      <w:pPr>
        <w:pStyle w:val="JCEH1"/>
        <w:spacing w:before="180"/>
      </w:pPr>
      <w:r w:rsidRPr="006355C4">
        <w:t>AUTHOR INFORMATION</w:t>
      </w:r>
    </w:p>
    <w:p w:rsidR="002617AE" w:rsidRPr="006355C4" w:rsidRDefault="002617AE" w:rsidP="00233655">
      <w:pPr>
        <w:pStyle w:val="JCEH2"/>
        <w:spacing w:before="60" w:after="60"/>
      </w:pPr>
      <w:r w:rsidRPr="006355C4">
        <w:t>Corresponding Author</w:t>
      </w:r>
    </w:p>
    <w:p w:rsidR="002617AE" w:rsidRDefault="002350E1" w:rsidP="002617AE">
      <w:pPr>
        <w:pStyle w:val="JCEFlushBody"/>
      </w:pPr>
      <w:r>
        <w:t xml:space="preserve">*E-mail: </w:t>
      </w:r>
      <w:hyperlink r:id="rId17" w:history="1">
        <w:r w:rsidR="00BC0035" w:rsidRPr="00EB24F2">
          <w:rPr>
            <w:rStyle w:val="Hyperlink"/>
          </w:rPr>
          <w:t>d.j.mcgarvey@keele.ac.uk</w:t>
        </w:r>
      </w:hyperlink>
      <w:r w:rsidR="00BC0035">
        <w:t xml:space="preserve"> </w:t>
      </w:r>
    </w:p>
    <w:p w:rsidR="002617AE" w:rsidRPr="006355C4" w:rsidRDefault="002617AE" w:rsidP="00545821">
      <w:pPr>
        <w:pStyle w:val="JCEH1"/>
        <w:spacing w:before="180"/>
      </w:pPr>
      <w:r w:rsidRPr="006355C4">
        <w:t>Acknowledgment</w:t>
      </w:r>
      <w:r w:rsidR="00950A6E">
        <w:t>s</w:t>
      </w:r>
    </w:p>
    <w:p w:rsidR="002617AE" w:rsidRDefault="005A30B1" w:rsidP="002617AE">
      <w:pPr>
        <w:pStyle w:val="JCEbodytext"/>
      </w:pPr>
      <w:r>
        <w:t>The author acknowledges the technical support of Nicola Jervis of Keele University</w:t>
      </w:r>
      <w:r w:rsidR="00B53CE4">
        <w:t>.</w:t>
      </w:r>
      <w:r w:rsidR="00E47D84">
        <w:t xml:space="preserve">  The author also acknowledges the insightful comments and suggestions of two reviewers, which have resulted in significant improvements to the manuscript.</w:t>
      </w:r>
    </w:p>
    <w:p w:rsidR="002617AE" w:rsidRDefault="002617AE" w:rsidP="00545821">
      <w:pPr>
        <w:pStyle w:val="JCEH1"/>
        <w:spacing w:before="180"/>
      </w:pPr>
      <w:r w:rsidRPr="006355C4">
        <w:t>REFERENCES</w:t>
      </w:r>
    </w:p>
    <w:p w:rsidR="004D01C2" w:rsidRPr="004D01C2" w:rsidRDefault="004D01C2" w:rsidP="004D01C2">
      <w:pPr>
        <w:pStyle w:val="JCEbodytext"/>
      </w:pPr>
    </w:p>
    <w:p w:rsidR="00E45FC6" w:rsidRDefault="002617AE" w:rsidP="00CB6EB8">
      <w:pPr>
        <w:pStyle w:val="JCEreferencelist"/>
        <w:ind w:left="539" w:hanging="539"/>
      </w:pPr>
      <w:r w:rsidRPr="006355C4">
        <w:t>1.</w:t>
      </w:r>
      <w:r w:rsidRPr="006355C4">
        <w:tab/>
      </w:r>
      <w:r w:rsidR="00E45FC6">
        <w:t xml:space="preserve">Ricci, R.W.; </w:t>
      </w:r>
      <w:r w:rsidR="003E63FA">
        <w:t>Di</w:t>
      </w:r>
      <w:r w:rsidR="00D02A02">
        <w:t>t</w:t>
      </w:r>
      <w:r w:rsidR="00E45FC6" w:rsidRPr="00E45FC6">
        <w:t>zler</w:t>
      </w:r>
      <w:r w:rsidR="00E45FC6">
        <w:t xml:space="preserve">, M. A. </w:t>
      </w:r>
      <w:r w:rsidR="00E45FC6" w:rsidRPr="00E45FC6">
        <w:t>A Laboratory-Centered Approach to Teaching General Chemistry</w:t>
      </w:r>
      <w:r w:rsidR="00E45FC6">
        <w:t xml:space="preserve">. </w:t>
      </w:r>
      <w:r w:rsidR="00E45FC6" w:rsidRPr="005122A0">
        <w:rPr>
          <w:i/>
        </w:rPr>
        <w:t>J. Chem. Educ</w:t>
      </w:r>
      <w:r w:rsidR="00E45FC6">
        <w:t xml:space="preserve">., </w:t>
      </w:r>
      <w:r w:rsidR="00E45FC6">
        <w:rPr>
          <w:b/>
        </w:rPr>
        <w:t>1991</w:t>
      </w:r>
      <w:r w:rsidR="00E45FC6">
        <w:t xml:space="preserve">, </w:t>
      </w:r>
      <w:r w:rsidR="00E45FC6">
        <w:rPr>
          <w:i/>
        </w:rPr>
        <w:t>68(3)</w:t>
      </w:r>
      <w:r w:rsidR="00E45FC6">
        <w:t>, 228-231</w:t>
      </w:r>
      <w:r w:rsidR="003E63FA">
        <w:t>.</w:t>
      </w:r>
      <w:r w:rsidR="00E45FC6" w:rsidRPr="006B5A1D">
        <w:t xml:space="preserve"> </w:t>
      </w:r>
      <w:r w:rsidR="00E45FC6">
        <w:t xml:space="preserve">DOI: </w:t>
      </w:r>
      <w:r w:rsidR="00E45FC6" w:rsidRPr="00E45FC6">
        <w:t>10.1021/ed068p228</w:t>
      </w:r>
    </w:p>
    <w:p w:rsidR="0014363A" w:rsidRDefault="00E45FC6" w:rsidP="00CB6EB8">
      <w:pPr>
        <w:pStyle w:val="JCEreferencelist"/>
        <w:ind w:left="539" w:hanging="539"/>
      </w:pPr>
      <w:r>
        <w:t>2.</w:t>
      </w:r>
      <w:r>
        <w:tab/>
      </w:r>
      <w:r w:rsidR="0014363A">
        <w:t xml:space="preserve">Ricci, </w:t>
      </w:r>
      <w:r w:rsidR="003E63FA">
        <w:t xml:space="preserve">R. W.; </w:t>
      </w:r>
      <w:r w:rsidR="0014363A">
        <w:t>Di</w:t>
      </w:r>
      <w:r w:rsidR="00D02A02">
        <w:t>t</w:t>
      </w:r>
      <w:r w:rsidR="0014363A">
        <w:t>zler,</w:t>
      </w:r>
      <w:r w:rsidR="003E63FA">
        <w:t xml:space="preserve"> M. A.;</w:t>
      </w:r>
      <w:r w:rsidR="0014363A">
        <w:t xml:space="preserve"> Jarret</w:t>
      </w:r>
      <w:r w:rsidR="003E63FA">
        <w:t>, R.;</w:t>
      </w:r>
      <w:r w:rsidR="0014363A">
        <w:t xml:space="preserve"> McMaster, </w:t>
      </w:r>
      <w:r w:rsidR="003E63FA">
        <w:t xml:space="preserve">P.; </w:t>
      </w:r>
      <w:r w:rsidR="0014363A">
        <w:t>Herrick</w:t>
      </w:r>
      <w:r w:rsidR="003E63FA">
        <w:t xml:space="preserve">, R. </w:t>
      </w:r>
      <w:r w:rsidR="003E63FA" w:rsidRPr="003E63FA">
        <w:t>The Holy Cross Discovery Chemistry Program</w:t>
      </w:r>
      <w:r w:rsidR="003E63FA">
        <w:t xml:space="preserve">. </w:t>
      </w:r>
      <w:r w:rsidR="0014363A" w:rsidRPr="0014363A">
        <w:rPr>
          <w:i/>
        </w:rPr>
        <w:t>J. Chem. Educ.</w:t>
      </w:r>
      <w:r w:rsidR="0014363A">
        <w:rPr>
          <w:i/>
        </w:rPr>
        <w:t>,</w:t>
      </w:r>
      <w:r w:rsidR="0014363A">
        <w:t xml:space="preserve"> </w:t>
      </w:r>
      <w:r w:rsidR="0014363A" w:rsidRPr="0014363A">
        <w:rPr>
          <w:b/>
        </w:rPr>
        <w:t>1994</w:t>
      </w:r>
      <w:r w:rsidR="0014363A">
        <w:t xml:space="preserve">, </w:t>
      </w:r>
      <w:r w:rsidR="0014363A" w:rsidRPr="0014363A">
        <w:rPr>
          <w:i/>
        </w:rPr>
        <w:t>71 (5)</w:t>
      </w:r>
      <w:r w:rsidR="0014363A">
        <w:t>, 404</w:t>
      </w:r>
      <w:r w:rsidR="003E63FA">
        <w:t>-405.</w:t>
      </w:r>
      <w:r w:rsidR="0014363A">
        <w:t xml:space="preserve"> </w:t>
      </w:r>
      <w:r w:rsidR="003E63FA">
        <w:t xml:space="preserve">DOI: </w:t>
      </w:r>
      <w:r w:rsidR="0014363A">
        <w:t>10.1021/ed071p404</w:t>
      </w:r>
    </w:p>
    <w:p w:rsidR="00D03F7E" w:rsidRDefault="00374B52" w:rsidP="00CB6EB8">
      <w:pPr>
        <w:pStyle w:val="JCEreferencelist"/>
        <w:ind w:left="539" w:hanging="539"/>
      </w:pPr>
      <w:r>
        <w:t>3</w:t>
      </w:r>
      <w:r w:rsidR="0014363A">
        <w:t>.</w:t>
      </w:r>
      <w:r w:rsidR="0014363A">
        <w:tab/>
      </w:r>
      <w:r w:rsidR="00D03F7E">
        <w:t xml:space="preserve">Ditzler, M. A.; Ricci, R. W. </w:t>
      </w:r>
      <w:r w:rsidR="00D03F7E" w:rsidRPr="00D03F7E">
        <w:t>Discovery Chemistry: Balancing Creativity and Structure</w:t>
      </w:r>
      <w:r w:rsidR="00D03F7E">
        <w:t xml:space="preserve">. </w:t>
      </w:r>
      <w:r w:rsidR="00D03F7E" w:rsidRPr="0014363A">
        <w:rPr>
          <w:i/>
        </w:rPr>
        <w:t>J. Chem. Educ.</w:t>
      </w:r>
      <w:r w:rsidR="00D03F7E">
        <w:rPr>
          <w:i/>
        </w:rPr>
        <w:t>,</w:t>
      </w:r>
      <w:r w:rsidR="00D03F7E">
        <w:t xml:space="preserve"> </w:t>
      </w:r>
      <w:r w:rsidR="00D03F7E" w:rsidRPr="00D03F7E">
        <w:rPr>
          <w:b/>
        </w:rPr>
        <w:t>1994</w:t>
      </w:r>
      <w:r w:rsidR="00D03F7E">
        <w:rPr>
          <w:b/>
        </w:rPr>
        <w:t>,</w:t>
      </w:r>
      <w:r w:rsidR="00D03F7E">
        <w:t xml:space="preserve"> </w:t>
      </w:r>
      <w:r w:rsidR="00D03F7E" w:rsidRPr="00D03F7E">
        <w:rPr>
          <w:i/>
        </w:rPr>
        <w:t>71 (8)</w:t>
      </w:r>
      <w:r w:rsidR="00D03F7E">
        <w:t>, 685-688. DOI: 10.1021/ed071p685</w:t>
      </w:r>
    </w:p>
    <w:p w:rsidR="00374B52" w:rsidRDefault="00374B52" w:rsidP="00CB6EB8">
      <w:pPr>
        <w:pStyle w:val="JCEreferencelist"/>
        <w:ind w:left="539" w:hanging="539"/>
      </w:pPr>
      <w:r>
        <w:t>4.</w:t>
      </w:r>
      <w:r>
        <w:tab/>
        <w:t xml:space="preserve">Herrick, R.S.; Nestor, L. P.; </w:t>
      </w:r>
      <w:r w:rsidRPr="00EB13FA">
        <w:t>Benedetto</w:t>
      </w:r>
      <w:r>
        <w:t xml:space="preserve">, D. A. </w:t>
      </w:r>
      <w:r w:rsidRPr="00EB13FA">
        <w:t>Using Data Pooling to Measure the Density of Sodas</w:t>
      </w:r>
      <w:r>
        <w:t xml:space="preserve">. </w:t>
      </w:r>
      <w:r w:rsidRPr="005122A0">
        <w:rPr>
          <w:i/>
        </w:rPr>
        <w:t>J. Chem. Educ</w:t>
      </w:r>
      <w:r>
        <w:t xml:space="preserve">., </w:t>
      </w:r>
      <w:r>
        <w:rPr>
          <w:b/>
        </w:rPr>
        <w:t>1999</w:t>
      </w:r>
      <w:r>
        <w:t xml:space="preserve">, </w:t>
      </w:r>
      <w:r>
        <w:rPr>
          <w:i/>
        </w:rPr>
        <w:t>76(10)</w:t>
      </w:r>
      <w:r>
        <w:t xml:space="preserve">, 1411-1413. DOI: </w:t>
      </w:r>
      <w:r w:rsidRPr="00E45FC6">
        <w:t>10.1021/ed076p1411</w:t>
      </w:r>
    </w:p>
    <w:p w:rsidR="00374B52" w:rsidRDefault="00374B52" w:rsidP="00CB6EB8">
      <w:pPr>
        <w:pStyle w:val="JCEbodytext"/>
        <w:spacing w:line="360" w:lineRule="auto"/>
        <w:ind w:left="539" w:hanging="539"/>
      </w:pPr>
      <w:r>
        <w:t>5.</w:t>
      </w:r>
      <w:r>
        <w:tab/>
        <w:t xml:space="preserve">Shipp, D.; Durham, B.; Sadoski, R. C. </w:t>
      </w:r>
      <w:r w:rsidRPr="00A074FD">
        <w:t>Metal Complexes of Trifluoropentanedione. An Experiment for the General Chemistry Laboratory</w:t>
      </w:r>
      <w:r>
        <w:t xml:space="preserve">. </w:t>
      </w:r>
      <w:r w:rsidRPr="005122A0">
        <w:rPr>
          <w:i/>
        </w:rPr>
        <w:t>J. Chem. Educ</w:t>
      </w:r>
      <w:r>
        <w:t xml:space="preserve">., </w:t>
      </w:r>
      <w:r w:rsidRPr="00A074FD">
        <w:rPr>
          <w:b/>
        </w:rPr>
        <w:t>2001</w:t>
      </w:r>
      <w:r>
        <w:t xml:space="preserve">, </w:t>
      </w:r>
      <w:r w:rsidRPr="00A074FD">
        <w:rPr>
          <w:i/>
        </w:rPr>
        <w:t>78 (5)</w:t>
      </w:r>
      <w:r>
        <w:t>, 665-666. DOI: 10.1021/ed078p665</w:t>
      </w:r>
    </w:p>
    <w:p w:rsidR="00374B52" w:rsidRDefault="00374B52" w:rsidP="00CB6EB8">
      <w:pPr>
        <w:pStyle w:val="JCEbodytext"/>
        <w:spacing w:line="360" w:lineRule="auto"/>
        <w:ind w:left="539" w:hanging="539"/>
      </w:pPr>
      <w:r>
        <w:t>6.</w:t>
      </w:r>
      <w:r>
        <w:tab/>
        <w:t xml:space="preserve">Cornely, K; Moss, D. B. Determination of the Universal Gas Constant, R. A Discovery Laboratory. </w:t>
      </w:r>
      <w:r w:rsidRPr="005122A0">
        <w:rPr>
          <w:i/>
        </w:rPr>
        <w:t>J. Chem. Educ</w:t>
      </w:r>
      <w:r>
        <w:t xml:space="preserve">., </w:t>
      </w:r>
      <w:r w:rsidRPr="00F15292">
        <w:rPr>
          <w:b/>
        </w:rPr>
        <w:t>2001</w:t>
      </w:r>
      <w:r>
        <w:t xml:space="preserve">, </w:t>
      </w:r>
      <w:r w:rsidRPr="00F15292">
        <w:rPr>
          <w:i/>
        </w:rPr>
        <w:t>78 (9)</w:t>
      </w:r>
      <w:r>
        <w:t>, 1260-1262. DOI: 10.1021/ed078p1260</w:t>
      </w:r>
    </w:p>
    <w:p w:rsidR="00374B52" w:rsidRDefault="00374B52" w:rsidP="00CB6EB8">
      <w:pPr>
        <w:pStyle w:val="JCEreferencelist"/>
        <w:ind w:left="539" w:hanging="539"/>
      </w:pPr>
      <w:r>
        <w:lastRenderedPageBreak/>
        <w:t>7.</w:t>
      </w:r>
      <w:r>
        <w:tab/>
        <w:t xml:space="preserve">Herrick, R.S.; Mills, K. V.; Nestor, L. P. Data Pooling in a Chemical Kinetics Experiment: The Aquation of a Series of Cobalt(III) Complexes. </w:t>
      </w:r>
      <w:r w:rsidRPr="005122A0">
        <w:rPr>
          <w:i/>
        </w:rPr>
        <w:t>J. Chem. Educ</w:t>
      </w:r>
      <w:r>
        <w:t xml:space="preserve">., </w:t>
      </w:r>
      <w:r w:rsidRPr="001F1E81">
        <w:rPr>
          <w:b/>
        </w:rPr>
        <w:t>2008</w:t>
      </w:r>
      <w:r>
        <w:t xml:space="preserve">, </w:t>
      </w:r>
      <w:r>
        <w:rPr>
          <w:i/>
        </w:rPr>
        <w:t>85(8)</w:t>
      </w:r>
      <w:r>
        <w:t xml:space="preserve">, 1120-1122. DOI: </w:t>
      </w:r>
      <w:r w:rsidRPr="003E67AC">
        <w:t>10.1021/ed085p1120</w:t>
      </w:r>
    </w:p>
    <w:p w:rsidR="00374B52" w:rsidRDefault="00374B52" w:rsidP="00CB6EB8">
      <w:pPr>
        <w:pStyle w:val="JCEbodytext"/>
        <w:spacing w:line="360" w:lineRule="auto"/>
        <w:ind w:left="539" w:hanging="539"/>
      </w:pPr>
      <w:r>
        <w:t>8.</w:t>
      </w:r>
      <w:r>
        <w:tab/>
      </w:r>
      <w:r w:rsidRPr="008575C9">
        <w:t>Olsen</w:t>
      </w:r>
      <w:r>
        <w:t>, R. J</w:t>
      </w:r>
      <w:r w:rsidRPr="008575C9">
        <w:t xml:space="preserve">. Using Pooled Data and Data Visualization To Introduce Statistical Concepts in the General Chemistry Laboratory. </w:t>
      </w:r>
      <w:r w:rsidRPr="008575C9">
        <w:rPr>
          <w:i/>
        </w:rPr>
        <w:t>J. Chem. Educ.,</w:t>
      </w:r>
      <w:r w:rsidRPr="008575C9">
        <w:t xml:space="preserve"> </w:t>
      </w:r>
      <w:r w:rsidRPr="008575C9">
        <w:rPr>
          <w:b/>
        </w:rPr>
        <w:t>2008</w:t>
      </w:r>
      <w:r w:rsidRPr="008575C9">
        <w:t xml:space="preserve">, </w:t>
      </w:r>
      <w:r w:rsidRPr="008575C9">
        <w:rPr>
          <w:i/>
        </w:rPr>
        <w:t>85 (4)</w:t>
      </w:r>
      <w:r>
        <w:t xml:space="preserve">, </w:t>
      </w:r>
      <w:r w:rsidRPr="008575C9">
        <w:t>544</w:t>
      </w:r>
      <w:r>
        <w:t>-545</w:t>
      </w:r>
      <w:r w:rsidRPr="008575C9">
        <w:t>. DOI: 10.1021/ed085p544</w:t>
      </w:r>
    </w:p>
    <w:p w:rsidR="00374B52" w:rsidRDefault="00374B52" w:rsidP="00CB6EB8">
      <w:pPr>
        <w:pStyle w:val="JCEbodytext"/>
        <w:spacing w:line="360" w:lineRule="auto"/>
        <w:ind w:left="539" w:hanging="539"/>
      </w:pPr>
      <w:r>
        <w:t>9.</w:t>
      </w:r>
      <w:r>
        <w:tab/>
        <w:t xml:space="preserve">Manov, G.G; Bates, R.G.; Hamer, W.J.; and Acree, S.F. Values of the Constants in the Debye-Hückel Equation for Activity Coefficients. </w:t>
      </w:r>
      <w:r w:rsidRPr="00FA76DE">
        <w:rPr>
          <w:i/>
        </w:rPr>
        <w:t>J. Am. Chem</w:t>
      </w:r>
      <w:r>
        <w:rPr>
          <w:i/>
        </w:rPr>
        <w:t>.</w:t>
      </w:r>
      <w:r w:rsidRPr="00FA76DE">
        <w:rPr>
          <w:i/>
        </w:rPr>
        <w:t xml:space="preserve"> Soc.</w:t>
      </w:r>
      <w:r>
        <w:t xml:space="preserve"> </w:t>
      </w:r>
      <w:r w:rsidRPr="001F1E81">
        <w:rPr>
          <w:b/>
        </w:rPr>
        <w:t>1943</w:t>
      </w:r>
      <w:r>
        <w:t xml:space="preserve">, </w:t>
      </w:r>
      <w:r w:rsidRPr="00FA76DE">
        <w:rPr>
          <w:i/>
        </w:rPr>
        <w:t>65 (9</w:t>
      </w:r>
      <w:r>
        <w:t>), 1765-1767, DOI: 10.1021/ja01249a028</w:t>
      </w:r>
    </w:p>
    <w:p w:rsidR="00374B52" w:rsidRDefault="00374B52" w:rsidP="00CB6EB8">
      <w:pPr>
        <w:pStyle w:val="JCEbodytext"/>
        <w:spacing w:line="360" w:lineRule="auto"/>
        <w:ind w:left="539" w:hanging="539"/>
      </w:pPr>
      <w:r>
        <w:t>10.</w:t>
      </w:r>
      <w:r>
        <w:tab/>
      </w:r>
      <w:r w:rsidRPr="005F7B7F">
        <w:rPr>
          <w:i/>
        </w:rPr>
        <w:t>This is of course flexible and for small</w:t>
      </w:r>
      <w:r w:rsidR="00331527">
        <w:rPr>
          <w:i/>
        </w:rPr>
        <w:t>er</w:t>
      </w:r>
      <w:r w:rsidRPr="005F7B7F">
        <w:rPr>
          <w:i/>
        </w:rPr>
        <w:t xml:space="preserve"> class sizes it may be more appropriate for each student to prepare and </w:t>
      </w:r>
      <w:proofErr w:type="spellStart"/>
      <w:r w:rsidRPr="005F7B7F">
        <w:rPr>
          <w:i/>
        </w:rPr>
        <w:t>analyse</w:t>
      </w:r>
      <w:proofErr w:type="spellEnd"/>
      <w:r w:rsidRPr="005F7B7F">
        <w:rPr>
          <w:i/>
        </w:rPr>
        <w:t xml:space="preserve"> two </w:t>
      </w:r>
      <w:r w:rsidR="00924781">
        <w:rPr>
          <w:i/>
        </w:rPr>
        <w:t xml:space="preserve">(or more) </w:t>
      </w:r>
      <w:r w:rsidRPr="005F7B7F">
        <w:rPr>
          <w:i/>
        </w:rPr>
        <w:t>samples</w:t>
      </w:r>
      <w:r>
        <w:t>.</w:t>
      </w:r>
    </w:p>
    <w:p w:rsidR="00705010" w:rsidRDefault="00705010" w:rsidP="00705010">
      <w:pPr>
        <w:pStyle w:val="JCEreferencelist"/>
        <w:ind w:left="539" w:hanging="539"/>
      </w:pPr>
      <w:r>
        <w:t>11.</w:t>
      </w:r>
      <w:r>
        <w:tab/>
        <w:t xml:space="preserve">Willey J. D. </w:t>
      </w:r>
      <w:r w:rsidRPr="005122A0">
        <w:t>The Effect of Ionic Strength on the Solubility of an Electrolyte</w:t>
      </w:r>
      <w:r>
        <w:t xml:space="preserve">. </w:t>
      </w:r>
      <w:r w:rsidRPr="005122A0">
        <w:rPr>
          <w:i/>
        </w:rPr>
        <w:t>J. Chem. Educ</w:t>
      </w:r>
      <w:r>
        <w:t xml:space="preserve">., </w:t>
      </w:r>
      <w:r w:rsidRPr="001F1E81">
        <w:rPr>
          <w:b/>
        </w:rPr>
        <w:t>2004</w:t>
      </w:r>
      <w:r>
        <w:t xml:space="preserve">, </w:t>
      </w:r>
      <w:r w:rsidRPr="005122A0">
        <w:rPr>
          <w:i/>
        </w:rPr>
        <w:t>81</w:t>
      </w:r>
      <w:r>
        <w:rPr>
          <w:i/>
        </w:rPr>
        <w:t>(11)</w:t>
      </w:r>
      <w:r>
        <w:t>, 1644-1646.</w:t>
      </w:r>
      <w:r w:rsidRPr="006B5A1D">
        <w:t xml:space="preserve"> </w:t>
      </w:r>
      <w:r>
        <w:t xml:space="preserve">DOI: </w:t>
      </w:r>
      <w:r w:rsidRPr="006B5A1D">
        <w:t>10.1021/ed081p1644</w:t>
      </w:r>
      <w:r>
        <w:t xml:space="preserve"> </w:t>
      </w:r>
    </w:p>
    <w:p w:rsidR="00374B52" w:rsidRDefault="00705010" w:rsidP="00CB6EB8">
      <w:pPr>
        <w:pStyle w:val="JCEreferencelist"/>
        <w:ind w:left="539" w:hanging="539"/>
      </w:pPr>
      <w:r>
        <w:t>12</w:t>
      </w:r>
      <w:r w:rsidR="00374B52" w:rsidRPr="006355C4">
        <w:t>.</w:t>
      </w:r>
      <w:r w:rsidR="00374B52" w:rsidRPr="006355C4">
        <w:tab/>
      </w:r>
      <w:r w:rsidR="00374B52" w:rsidRPr="00ED73AF">
        <w:t xml:space="preserve">Billo, E. </w:t>
      </w:r>
      <w:r w:rsidR="00374B52">
        <w:t>J</w:t>
      </w:r>
      <w:r w:rsidR="00374B52" w:rsidRPr="00ED73AF">
        <w:t xml:space="preserve">. </w:t>
      </w:r>
      <w:r w:rsidR="00374B52" w:rsidRPr="0090300E">
        <w:rPr>
          <w:i/>
        </w:rPr>
        <w:t>Excel for Chemists; a Comprehensive Guide</w:t>
      </w:r>
      <w:r w:rsidR="00374B52" w:rsidRPr="00ED73AF">
        <w:t>. 3</w:t>
      </w:r>
      <w:r w:rsidR="00374B52" w:rsidRPr="0090300E">
        <w:rPr>
          <w:vertAlign w:val="superscript"/>
        </w:rPr>
        <w:t>rd</w:t>
      </w:r>
      <w:r w:rsidR="00374B52">
        <w:t xml:space="preserve"> </w:t>
      </w:r>
      <w:r w:rsidR="00374B52" w:rsidRPr="00ED73AF">
        <w:t>ed. Hoboken</w:t>
      </w:r>
      <w:r w:rsidR="00374B52">
        <w:t xml:space="preserve"> ed.; Wiley:</w:t>
      </w:r>
      <w:r w:rsidR="00374B52" w:rsidRPr="00ED73AF">
        <w:t xml:space="preserve"> N.</w:t>
      </w:r>
      <w:r w:rsidR="00374B52">
        <w:t xml:space="preserve"> J., </w:t>
      </w:r>
      <w:r w:rsidR="00374B52" w:rsidRPr="00374B52">
        <w:rPr>
          <w:b/>
        </w:rPr>
        <w:t>2011</w:t>
      </w:r>
      <w:r w:rsidR="00374B52" w:rsidRPr="00ED73AF">
        <w:t>.</w:t>
      </w:r>
    </w:p>
    <w:p w:rsidR="001932B5" w:rsidRDefault="00705010" w:rsidP="001932B5">
      <w:pPr>
        <w:pStyle w:val="JCEbodytext"/>
        <w:spacing w:line="360" w:lineRule="auto"/>
        <w:ind w:left="539" w:hanging="539"/>
      </w:pPr>
      <w:r>
        <w:t>13</w:t>
      </w:r>
      <w:r w:rsidR="001932B5">
        <w:t>.</w:t>
      </w:r>
      <w:r w:rsidR="001932B5">
        <w:tab/>
      </w:r>
      <w:r w:rsidR="001932B5" w:rsidRPr="00015D20">
        <w:t>Marshall</w:t>
      </w:r>
      <w:r w:rsidR="001932B5">
        <w:t xml:space="preserve">, W. L.; </w:t>
      </w:r>
      <w:r w:rsidR="001932B5" w:rsidRPr="00015D20">
        <w:t>Slusher</w:t>
      </w:r>
      <w:r w:rsidR="001932B5">
        <w:t xml:space="preserve">, R. Thermodynamics of Calcium Sulfate Dihydrate in Aqueous Sodium Chloride Solutions, 0-110°. </w:t>
      </w:r>
      <w:r w:rsidR="001932B5" w:rsidRPr="00FA76DE">
        <w:rPr>
          <w:i/>
        </w:rPr>
        <w:t xml:space="preserve">J. </w:t>
      </w:r>
      <w:r w:rsidR="001932B5">
        <w:rPr>
          <w:i/>
        </w:rPr>
        <w:t>Phys</w:t>
      </w:r>
      <w:r w:rsidR="001932B5" w:rsidRPr="00FA76DE">
        <w:rPr>
          <w:i/>
        </w:rPr>
        <w:t>. Chem.</w:t>
      </w:r>
      <w:r w:rsidR="001932B5">
        <w:t xml:space="preserve"> </w:t>
      </w:r>
      <w:r w:rsidR="001932B5">
        <w:rPr>
          <w:b/>
        </w:rPr>
        <w:t>1966</w:t>
      </w:r>
      <w:r w:rsidR="001932B5">
        <w:t xml:space="preserve">, </w:t>
      </w:r>
      <w:r w:rsidR="001932B5">
        <w:rPr>
          <w:i/>
        </w:rPr>
        <w:t>70</w:t>
      </w:r>
      <w:r w:rsidR="001932B5" w:rsidRPr="00FA76DE">
        <w:rPr>
          <w:i/>
        </w:rPr>
        <w:t xml:space="preserve"> (</w:t>
      </w:r>
      <w:r w:rsidR="001932B5">
        <w:rPr>
          <w:i/>
        </w:rPr>
        <w:t>12</w:t>
      </w:r>
      <w:r w:rsidR="001932B5">
        <w:t xml:space="preserve">), 4015-4027, DOI: </w:t>
      </w:r>
      <w:r w:rsidR="001932B5" w:rsidRPr="00015D20">
        <w:t>10.1021/j100884a044</w:t>
      </w:r>
    </w:p>
    <w:p w:rsidR="009D51AA" w:rsidRPr="005F4C05" w:rsidRDefault="009D51AA" w:rsidP="009D51AA">
      <w:pPr>
        <w:pStyle w:val="JCEbodytext"/>
        <w:spacing w:line="360" w:lineRule="auto"/>
        <w:ind w:left="539" w:hanging="539"/>
      </w:pPr>
      <w:r>
        <w:t>14.</w:t>
      </w:r>
      <w:r>
        <w:tab/>
        <w:t xml:space="preserve">Clark R. W.; Bonicamp J. M. </w:t>
      </w:r>
      <w:r w:rsidRPr="005122A0">
        <w:t xml:space="preserve">The </w:t>
      </w:r>
      <w:r>
        <w:t>K</w:t>
      </w:r>
      <w:r w:rsidRPr="009D51AA">
        <w:rPr>
          <w:vertAlign w:val="subscript"/>
        </w:rPr>
        <w:t>sp</w:t>
      </w:r>
      <w:r>
        <w:t xml:space="preserve">-Solubility Conundrum. </w:t>
      </w:r>
      <w:r w:rsidRPr="005122A0">
        <w:rPr>
          <w:i/>
        </w:rPr>
        <w:t>J. Chem. Educ</w:t>
      </w:r>
      <w:r>
        <w:t xml:space="preserve">., </w:t>
      </w:r>
      <w:r>
        <w:rPr>
          <w:b/>
        </w:rPr>
        <w:t>1998</w:t>
      </w:r>
      <w:r>
        <w:t xml:space="preserve">, </w:t>
      </w:r>
      <w:r>
        <w:rPr>
          <w:i/>
        </w:rPr>
        <w:t>75(9)</w:t>
      </w:r>
      <w:r>
        <w:t>, 1182-1185.</w:t>
      </w:r>
      <w:r w:rsidRPr="006B5A1D">
        <w:t xml:space="preserve"> </w:t>
      </w:r>
      <w:r>
        <w:t xml:space="preserve">DOI: </w:t>
      </w:r>
      <w:r w:rsidRPr="009D51AA">
        <w:t>10.1021/ed075p1182</w:t>
      </w:r>
    </w:p>
    <w:p w:rsidR="00374B52" w:rsidRDefault="00374B52">
      <w:pPr>
        <w:pStyle w:val="JCEreferencelist"/>
      </w:pPr>
    </w:p>
    <w:sectPr w:rsidR="00374B52" w:rsidSect="009C78EE">
      <w:headerReference w:type="default" r:id="rId18"/>
      <w:footerReference w:type="default" r:id="rId19"/>
      <w:pgSz w:w="12240" w:h="15840"/>
      <w:pgMar w:top="1440" w:right="1080" w:bottom="1440" w:left="1080"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78" w:rsidRDefault="005D4078">
      <w:r>
        <w:separator/>
      </w:r>
    </w:p>
  </w:endnote>
  <w:endnote w:type="continuationSeparator" w:id="0">
    <w:p w:rsidR="005D4078" w:rsidRDefault="005D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B4" w:rsidRPr="0077566E" w:rsidRDefault="004237B4" w:rsidP="009C78EE">
    <w:pPr>
      <w:pStyle w:val="JCEDocfooter"/>
      <w:tabs>
        <w:tab w:val="clear" w:pos="4320"/>
        <w:tab w:val="clear" w:pos="8640"/>
        <w:tab w:val="center" w:pos="5040"/>
        <w:tab w:val="right" w:pos="10080"/>
      </w:tabs>
    </w:pPr>
    <w:r w:rsidRPr="009C78EE">
      <w:rPr>
        <w:i/>
      </w:rPr>
      <w:t>Journal of Chemical Education</w:t>
    </w:r>
    <w:r w:rsidRPr="0077566E">
      <w:tab/>
    </w:r>
    <w:r w:rsidRPr="0077566E">
      <w:fldChar w:fldCharType="begin"/>
    </w:r>
    <w:r w:rsidRPr="0077566E">
      <w:instrText xml:space="preserve"> DATE \@ "M/d/yy" </w:instrText>
    </w:r>
    <w:r w:rsidRPr="0077566E">
      <w:fldChar w:fldCharType="separate"/>
    </w:r>
    <w:r w:rsidR="00D2680B">
      <w:rPr>
        <w:noProof/>
      </w:rPr>
      <w:t>11/15/19</w:t>
    </w:r>
    <w:r w:rsidRPr="0077566E">
      <w:fldChar w:fldCharType="end"/>
    </w:r>
    <w:r w:rsidRPr="0077566E">
      <w:tab/>
      <w:t xml:space="preserve">Page </w:t>
    </w:r>
    <w:r w:rsidRPr="0077566E">
      <w:fldChar w:fldCharType="begin"/>
    </w:r>
    <w:r w:rsidRPr="0077566E">
      <w:instrText xml:space="preserve"> PAGE </w:instrText>
    </w:r>
    <w:r w:rsidRPr="0077566E">
      <w:fldChar w:fldCharType="separate"/>
    </w:r>
    <w:r w:rsidR="00A72BAA">
      <w:rPr>
        <w:noProof/>
      </w:rPr>
      <w:t>13</w:t>
    </w:r>
    <w:r w:rsidRPr="0077566E">
      <w:fldChar w:fldCharType="end"/>
    </w:r>
    <w:r w:rsidRPr="0077566E">
      <w:t xml:space="preserve"> of </w:t>
    </w:r>
    <w:fldSimple w:instr=" NUMPAGES ">
      <w:r w:rsidR="00A72BAA">
        <w:rPr>
          <w:noProof/>
        </w:rPr>
        <w:t>13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78" w:rsidRDefault="005D4078">
      <w:r>
        <w:separator/>
      </w:r>
    </w:p>
  </w:footnote>
  <w:footnote w:type="continuationSeparator" w:id="0">
    <w:p w:rsidR="005D4078" w:rsidRDefault="005D4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B4" w:rsidRPr="00F1017F" w:rsidRDefault="004237B4" w:rsidP="009C78EE">
    <w:pPr>
      <w:pStyle w:val="JCEDocheader"/>
      <w:tabs>
        <w:tab w:val="clear" w:pos="8640"/>
        <w:tab w:val="right" w:pos="10080"/>
      </w:tabs>
    </w:pPr>
    <w:r w:rsidRPr="00F1017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7A9"/>
    <w:multiLevelType w:val="hybridMultilevel"/>
    <w:tmpl w:val="86864D8C"/>
    <w:lvl w:ilvl="0" w:tplc="A960515C">
      <w:start w:val="1"/>
      <w:numFmt w:val="bullet"/>
      <w:pStyle w:val="JCEbulletlis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B42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DF4D8F"/>
    <w:multiLevelType w:val="multilevel"/>
    <w:tmpl w:val="83943446"/>
    <w:lvl w:ilvl="0">
      <w:start w:val="1"/>
      <w:numFmt w:val="bullet"/>
      <w:lvlText w:val=""/>
      <w:lvlJc w:val="left"/>
      <w:pPr>
        <w:tabs>
          <w:tab w:val="num" w:pos="1080"/>
        </w:tabs>
        <w:ind w:left="1080" w:hanging="540"/>
      </w:pPr>
      <w:rPr>
        <w:rFonts w:ascii="AGaramond" w:hAnsi="AGaramond"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45A9"/>
    <w:multiLevelType w:val="multilevel"/>
    <w:tmpl w:val="EE62CFF2"/>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F63A0"/>
    <w:multiLevelType w:val="hybridMultilevel"/>
    <w:tmpl w:val="65FA88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1D32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4C3503"/>
    <w:multiLevelType w:val="multilevel"/>
    <w:tmpl w:val="1200FE9C"/>
    <w:lvl w:ilvl="0">
      <w:start w:val="1"/>
      <w:numFmt w:val="bullet"/>
      <w:lvlText w:val="•"/>
      <w:lvlJc w:val="left"/>
      <w:pPr>
        <w:tabs>
          <w:tab w:val="num" w:pos="972"/>
        </w:tabs>
        <w:ind w:left="972" w:hanging="425"/>
      </w:pPr>
      <w:rPr>
        <w:rFonts w:ascii="Times New Roman" w:hAnsi="Times New Roman"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9A19E6"/>
    <w:multiLevelType w:val="multilevel"/>
    <w:tmpl w:val="F3EA0A18"/>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46ECA"/>
    <w:multiLevelType w:val="hybridMultilevel"/>
    <w:tmpl w:val="0BEE1B2E"/>
    <w:lvl w:ilvl="0" w:tplc="564AD67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422C5"/>
    <w:multiLevelType w:val="hybridMultilevel"/>
    <w:tmpl w:val="7988D062"/>
    <w:lvl w:ilvl="0" w:tplc="29E0E654">
      <w:start w:val="1"/>
      <w:numFmt w:val="decimal"/>
      <w:lvlText w:val="%1."/>
      <w:lvlJc w:val="left"/>
      <w:pPr>
        <w:tabs>
          <w:tab w:val="num" w:pos="972"/>
        </w:tabs>
        <w:ind w:left="972" w:hanging="432"/>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81FF5"/>
    <w:multiLevelType w:val="hybridMultilevel"/>
    <w:tmpl w:val="5A2CA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0"/>
  </w:num>
  <w:num w:numId="5">
    <w:abstractNumId w:val="9"/>
  </w:num>
  <w:num w:numId="6">
    <w:abstractNumId w:val="0"/>
  </w:num>
  <w:num w:numId="7">
    <w:abstractNumId w:val="2"/>
  </w:num>
  <w:num w:numId="8">
    <w:abstractNumId w:val="7"/>
  </w:num>
  <w:num w:numId="9">
    <w:abstractNumId w:val="3"/>
  </w:num>
  <w:num w:numId="10">
    <w:abstractNumId w:val="6"/>
  </w:num>
  <w:num w:numId="11">
    <w:abstractNumId w:val="1"/>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C7"/>
    <w:rsid w:val="000018DF"/>
    <w:rsid w:val="00004580"/>
    <w:rsid w:val="00006DC7"/>
    <w:rsid w:val="000072EA"/>
    <w:rsid w:val="00015D20"/>
    <w:rsid w:val="00017D21"/>
    <w:rsid w:val="0002124D"/>
    <w:rsid w:val="000249C3"/>
    <w:rsid w:val="000302A7"/>
    <w:rsid w:val="00041476"/>
    <w:rsid w:val="00043140"/>
    <w:rsid w:val="00050BE5"/>
    <w:rsid w:val="00050D68"/>
    <w:rsid w:val="00055AEB"/>
    <w:rsid w:val="00056590"/>
    <w:rsid w:val="00064E86"/>
    <w:rsid w:val="00075909"/>
    <w:rsid w:val="0007595B"/>
    <w:rsid w:val="000837F0"/>
    <w:rsid w:val="00085AC6"/>
    <w:rsid w:val="00085DCF"/>
    <w:rsid w:val="000928A4"/>
    <w:rsid w:val="0009557B"/>
    <w:rsid w:val="00095D22"/>
    <w:rsid w:val="00097861"/>
    <w:rsid w:val="000A3C4B"/>
    <w:rsid w:val="000A3F73"/>
    <w:rsid w:val="000B07A9"/>
    <w:rsid w:val="000B520A"/>
    <w:rsid w:val="000F3640"/>
    <w:rsid w:val="000F3D65"/>
    <w:rsid w:val="000F657B"/>
    <w:rsid w:val="001023C4"/>
    <w:rsid w:val="00104C11"/>
    <w:rsid w:val="0011028E"/>
    <w:rsid w:val="00114EF9"/>
    <w:rsid w:val="001255A9"/>
    <w:rsid w:val="00125A9F"/>
    <w:rsid w:val="00134E58"/>
    <w:rsid w:val="0014363A"/>
    <w:rsid w:val="00150802"/>
    <w:rsid w:val="00155168"/>
    <w:rsid w:val="00170741"/>
    <w:rsid w:val="00170A60"/>
    <w:rsid w:val="00171219"/>
    <w:rsid w:val="00175534"/>
    <w:rsid w:val="0019307F"/>
    <w:rsid w:val="001930FA"/>
    <w:rsid w:val="001932B5"/>
    <w:rsid w:val="001A4C1A"/>
    <w:rsid w:val="001B3E1F"/>
    <w:rsid w:val="001C0770"/>
    <w:rsid w:val="001C2E07"/>
    <w:rsid w:val="001C5C90"/>
    <w:rsid w:val="001D3F77"/>
    <w:rsid w:val="001E30A3"/>
    <w:rsid w:val="001F1E81"/>
    <w:rsid w:val="001F42E2"/>
    <w:rsid w:val="001F7177"/>
    <w:rsid w:val="00207021"/>
    <w:rsid w:val="00214922"/>
    <w:rsid w:val="00215634"/>
    <w:rsid w:val="00221248"/>
    <w:rsid w:val="00221A68"/>
    <w:rsid w:val="00225494"/>
    <w:rsid w:val="00232A43"/>
    <w:rsid w:val="00233655"/>
    <w:rsid w:val="002350E1"/>
    <w:rsid w:val="002356BE"/>
    <w:rsid w:val="002428A9"/>
    <w:rsid w:val="00246B4C"/>
    <w:rsid w:val="002516D5"/>
    <w:rsid w:val="00252639"/>
    <w:rsid w:val="002617AE"/>
    <w:rsid w:val="002632D0"/>
    <w:rsid w:val="00265874"/>
    <w:rsid w:val="00276469"/>
    <w:rsid w:val="00280BAD"/>
    <w:rsid w:val="00281F38"/>
    <w:rsid w:val="0028780D"/>
    <w:rsid w:val="00295216"/>
    <w:rsid w:val="002A5FFE"/>
    <w:rsid w:val="002B779E"/>
    <w:rsid w:val="002C22B5"/>
    <w:rsid w:val="002E01B9"/>
    <w:rsid w:val="002F4D1E"/>
    <w:rsid w:val="0030329F"/>
    <w:rsid w:val="003041FC"/>
    <w:rsid w:val="00305352"/>
    <w:rsid w:val="003071E3"/>
    <w:rsid w:val="0031337F"/>
    <w:rsid w:val="00322E42"/>
    <w:rsid w:val="003304D9"/>
    <w:rsid w:val="00331527"/>
    <w:rsid w:val="00335CCD"/>
    <w:rsid w:val="00337E36"/>
    <w:rsid w:val="0034021B"/>
    <w:rsid w:val="0034345A"/>
    <w:rsid w:val="003470E6"/>
    <w:rsid w:val="00361D19"/>
    <w:rsid w:val="003669F5"/>
    <w:rsid w:val="00367DB5"/>
    <w:rsid w:val="00372DFA"/>
    <w:rsid w:val="0037364E"/>
    <w:rsid w:val="00374B52"/>
    <w:rsid w:val="00375068"/>
    <w:rsid w:val="00375322"/>
    <w:rsid w:val="00385C4B"/>
    <w:rsid w:val="00391610"/>
    <w:rsid w:val="003A3F0C"/>
    <w:rsid w:val="003A5184"/>
    <w:rsid w:val="003B2260"/>
    <w:rsid w:val="003C7149"/>
    <w:rsid w:val="003D3F97"/>
    <w:rsid w:val="003E28F0"/>
    <w:rsid w:val="003E536D"/>
    <w:rsid w:val="003E63FA"/>
    <w:rsid w:val="003E67AC"/>
    <w:rsid w:val="003F5B65"/>
    <w:rsid w:val="00412B1C"/>
    <w:rsid w:val="0041465C"/>
    <w:rsid w:val="00417126"/>
    <w:rsid w:val="00417450"/>
    <w:rsid w:val="004237B4"/>
    <w:rsid w:val="00426C99"/>
    <w:rsid w:val="00436363"/>
    <w:rsid w:val="004377E8"/>
    <w:rsid w:val="00442152"/>
    <w:rsid w:val="00447B47"/>
    <w:rsid w:val="004508FF"/>
    <w:rsid w:val="00452637"/>
    <w:rsid w:val="00466ABF"/>
    <w:rsid w:val="004676A2"/>
    <w:rsid w:val="004728B6"/>
    <w:rsid w:val="00472CB0"/>
    <w:rsid w:val="004739AE"/>
    <w:rsid w:val="00474E29"/>
    <w:rsid w:val="0047757B"/>
    <w:rsid w:val="004A66A8"/>
    <w:rsid w:val="004B29DA"/>
    <w:rsid w:val="004B29E7"/>
    <w:rsid w:val="004C111A"/>
    <w:rsid w:val="004C2BFB"/>
    <w:rsid w:val="004C2DF4"/>
    <w:rsid w:val="004C435C"/>
    <w:rsid w:val="004D01C2"/>
    <w:rsid w:val="004D0200"/>
    <w:rsid w:val="004E35E2"/>
    <w:rsid w:val="004F1DF8"/>
    <w:rsid w:val="004F434D"/>
    <w:rsid w:val="005038A8"/>
    <w:rsid w:val="005122A0"/>
    <w:rsid w:val="00523715"/>
    <w:rsid w:val="005245E0"/>
    <w:rsid w:val="00525049"/>
    <w:rsid w:val="00525DCF"/>
    <w:rsid w:val="00531689"/>
    <w:rsid w:val="00531BDD"/>
    <w:rsid w:val="0054566A"/>
    <w:rsid w:val="00545799"/>
    <w:rsid w:val="00545821"/>
    <w:rsid w:val="00545E24"/>
    <w:rsid w:val="005546C7"/>
    <w:rsid w:val="005551BF"/>
    <w:rsid w:val="0055617E"/>
    <w:rsid w:val="00556445"/>
    <w:rsid w:val="005827EE"/>
    <w:rsid w:val="00591924"/>
    <w:rsid w:val="005A012C"/>
    <w:rsid w:val="005A20DE"/>
    <w:rsid w:val="005A30B1"/>
    <w:rsid w:val="005A799E"/>
    <w:rsid w:val="005B4C7E"/>
    <w:rsid w:val="005C0C54"/>
    <w:rsid w:val="005C23FB"/>
    <w:rsid w:val="005C2947"/>
    <w:rsid w:val="005D4078"/>
    <w:rsid w:val="005E6B25"/>
    <w:rsid w:val="005E6F18"/>
    <w:rsid w:val="005F1DD5"/>
    <w:rsid w:val="005F4C05"/>
    <w:rsid w:val="005F7B7F"/>
    <w:rsid w:val="005F7ED6"/>
    <w:rsid w:val="006019D7"/>
    <w:rsid w:val="00602E5B"/>
    <w:rsid w:val="0060690A"/>
    <w:rsid w:val="00620EDF"/>
    <w:rsid w:val="00626327"/>
    <w:rsid w:val="00630E79"/>
    <w:rsid w:val="006355C4"/>
    <w:rsid w:val="0064297D"/>
    <w:rsid w:val="00643C4B"/>
    <w:rsid w:val="00646EC9"/>
    <w:rsid w:val="00647552"/>
    <w:rsid w:val="006528D2"/>
    <w:rsid w:val="00671BC6"/>
    <w:rsid w:val="006734F4"/>
    <w:rsid w:val="0068634E"/>
    <w:rsid w:val="00697BA5"/>
    <w:rsid w:val="006A027F"/>
    <w:rsid w:val="006A7D0F"/>
    <w:rsid w:val="006B051D"/>
    <w:rsid w:val="006B5A1D"/>
    <w:rsid w:val="006C618B"/>
    <w:rsid w:val="006C6E94"/>
    <w:rsid w:val="006D3AB1"/>
    <w:rsid w:val="006E1401"/>
    <w:rsid w:val="006E2F4A"/>
    <w:rsid w:val="006E42A7"/>
    <w:rsid w:val="006F1552"/>
    <w:rsid w:val="006F4197"/>
    <w:rsid w:val="006F53AE"/>
    <w:rsid w:val="006F563C"/>
    <w:rsid w:val="006F640D"/>
    <w:rsid w:val="00705010"/>
    <w:rsid w:val="007112FD"/>
    <w:rsid w:val="00725EED"/>
    <w:rsid w:val="00733BBF"/>
    <w:rsid w:val="00736851"/>
    <w:rsid w:val="00745889"/>
    <w:rsid w:val="00751D7A"/>
    <w:rsid w:val="00751FFE"/>
    <w:rsid w:val="00754EC4"/>
    <w:rsid w:val="007557F1"/>
    <w:rsid w:val="007578D6"/>
    <w:rsid w:val="00762738"/>
    <w:rsid w:val="00763BEA"/>
    <w:rsid w:val="007642EA"/>
    <w:rsid w:val="0077195B"/>
    <w:rsid w:val="00775C45"/>
    <w:rsid w:val="00780224"/>
    <w:rsid w:val="00784E33"/>
    <w:rsid w:val="007A16EA"/>
    <w:rsid w:val="007B2B3F"/>
    <w:rsid w:val="007B3351"/>
    <w:rsid w:val="007B545D"/>
    <w:rsid w:val="007D2993"/>
    <w:rsid w:val="007E334F"/>
    <w:rsid w:val="007E5D34"/>
    <w:rsid w:val="007F4DCB"/>
    <w:rsid w:val="007F73BB"/>
    <w:rsid w:val="007F7A29"/>
    <w:rsid w:val="00804241"/>
    <w:rsid w:val="008062F2"/>
    <w:rsid w:val="008110CE"/>
    <w:rsid w:val="00813A1A"/>
    <w:rsid w:val="008231DA"/>
    <w:rsid w:val="00831430"/>
    <w:rsid w:val="008327C6"/>
    <w:rsid w:val="00833C5D"/>
    <w:rsid w:val="00846E36"/>
    <w:rsid w:val="00847237"/>
    <w:rsid w:val="00852B53"/>
    <w:rsid w:val="00856BA2"/>
    <w:rsid w:val="008575C9"/>
    <w:rsid w:val="00861F5A"/>
    <w:rsid w:val="0086281A"/>
    <w:rsid w:val="00870E22"/>
    <w:rsid w:val="00871A30"/>
    <w:rsid w:val="008757FB"/>
    <w:rsid w:val="008802A0"/>
    <w:rsid w:val="00883CAD"/>
    <w:rsid w:val="00892BCB"/>
    <w:rsid w:val="00894E84"/>
    <w:rsid w:val="008A20BC"/>
    <w:rsid w:val="008A22DA"/>
    <w:rsid w:val="008A3411"/>
    <w:rsid w:val="008A3DB4"/>
    <w:rsid w:val="008B02FA"/>
    <w:rsid w:val="008B098F"/>
    <w:rsid w:val="008B339D"/>
    <w:rsid w:val="008B7947"/>
    <w:rsid w:val="008C6823"/>
    <w:rsid w:val="008D4053"/>
    <w:rsid w:val="008D50C3"/>
    <w:rsid w:val="008E5BDA"/>
    <w:rsid w:val="008E7429"/>
    <w:rsid w:val="009023E3"/>
    <w:rsid w:val="00902A40"/>
    <w:rsid w:val="0090300E"/>
    <w:rsid w:val="009114C0"/>
    <w:rsid w:val="00924781"/>
    <w:rsid w:val="00933BFF"/>
    <w:rsid w:val="0093546C"/>
    <w:rsid w:val="00935C4F"/>
    <w:rsid w:val="00936FFF"/>
    <w:rsid w:val="00942260"/>
    <w:rsid w:val="0094258A"/>
    <w:rsid w:val="00943DCC"/>
    <w:rsid w:val="00947F0D"/>
    <w:rsid w:val="00950A6E"/>
    <w:rsid w:val="009571A5"/>
    <w:rsid w:val="009757B1"/>
    <w:rsid w:val="00975BE0"/>
    <w:rsid w:val="00986CB6"/>
    <w:rsid w:val="0099387B"/>
    <w:rsid w:val="00995F65"/>
    <w:rsid w:val="009B6066"/>
    <w:rsid w:val="009C78EE"/>
    <w:rsid w:val="009D0155"/>
    <w:rsid w:val="009D51AA"/>
    <w:rsid w:val="009E3B9E"/>
    <w:rsid w:val="009E4CCE"/>
    <w:rsid w:val="009E5231"/>
    <w:rsid w:val="009F3D04"/>
    <w:rsid w:val="009F57FC"/>
    <w:rsid w:val="00A02FD0"/>
    <w:rsid w:val="00A043A3"/>
    <w:rsid w:val="00A074FD"/>
    <w:rsid w:val="00A117F6"/>
    <w:rsid w:val="00A12E98"/>
    <w:rsid w:val="00A14258"/>
    <w:rsid w:val="00A143BF"/>
    <w:rsid w:val="00A14A7F"/>
    <w:rsid w:val="00A16082"/>
    <w:rsid w:val="00A27996"/>
    <w:rsid w:val="00A32D9C"/>
    <w:rsid w:val="00A330C7"/>
    <w:rsid w:val="00A41F02"/>
    <w:rsid w:val="00A51162"/>
    <w:rsid w:val="00A72BAA"/>
    <w:rsid w:val="00A759CD"/>
    <w:rsid w:val="00A82487"/>
    <w:rsid w:val="00A82A74"/>
    <w:rsid w:val="00A84C0D"/>
    <w:rsid w:val="00A87921"/>
    <w:rsid w:val="00A9129C"/>
    <w:rsid w:val="00A92D4B"/>
    <w:rsid w:val="00A9673D"/>
    <w:rsid w:val="00AA425A"/>
    <w:rsid w:val="00AA4296"/>
    <w:rsid w:val="00AA4DFF"/>
    <w:rsid w:val="00AB514D"/>
    <w:rsid w:val="00AB6D4D"/>
    <w:rsid w:val="00AC471C"/>
    <w:rsid w:val="00AC4F91"/>
    <w:rsid w:val="00AD0B17"/>
    <w:rsid w:val="00AD3686"/>
    <w:rsid w:val="00AD5A81"/>
    <w:rsid w:val="00AE07B3"/>
    <w:rsid w:val="00AE08C3"/>
    <w:rsid w:val="00AE4424"/>
    <w:rsid w:val="00AE5F5B"/>
    <w:rsid w:val="00AF1DE0"/>
    <w:rsid w:val="00AF22B5"/>
    <w:rsid w:val="00AF3757"/>
    <w:rsid w:val="00AF3CDC"/>
    <w:rsid w:val="00B006F0"/>
    <w:rsid w:val="00B02373"/>
    <w:rsid w:val="00B03DA3"/>
    <w:rsid w:val="00B07603"/>
    <w:rsid w:val="00B1089F"/>
    <w:rsid w:val="00B203C8"/>
    <w:rsid w:val="00B207BE"/>
    <w:rsid w:val="00B20A45"/>
    <w:rsid w:val="00B2156B"/>
    <w:rsid w:val="00B53CE4"/>
    <w:rsid w:val="00B56327"/>
    <w:rsid w:val="00B64121"/>
    <w:rsid w:val="00B66764"/>
    <w:rsid w:val="00B6737B"/>
    <w:rsid w:val="00B72248"/>
    <w:rsid w:val="00B812AB"/>
    <w:rsid w:val="00B93A9E"/>
    <w:rsid w:val="00BB2431"/>
    <w:rsid w:val="00BB3E5B"/>
    <w:rsid w:val="00BB7112"/>
    <w:rsid w:val="00BC0035"/>
    <w:rsid w:val="00BE22BB"/>
    <w:rsid w:val="00BF0392"/>
    <w:rsid w:val="00BF22D1"/>
    <w:rsid w:val="00C01A79"/>
    <w:rsid w:val="00C34436"/>
    <w:rsid w:val="00C51D42"/>
    <w:rsid w:val="00C540A7"/>
    <w:rsid w:val="00C62BC2"/>
    <w:rsid w:val="00C62D7A"/>
    <w:rsid w:val="00C632D0"/>
    <w:rsid w:val="00C63A5D"/>
    <w:rsid w:val="00C674FD"/>
    <w:rsid w:val="00C67974"/>
    <w:rsid w:val="00C733EF"/>
    <w:rsid w:val="00C86E50"/>
    <w:rsid w:val="00C904A4"/>
    <w:rsid w:val="00C92A82"/>
    <w:rsid w:val="00C934EE"/>
    <w:rsid w:val="00CA42A0"/>
    <w:rsid w:val="00CB012D"/>
    <w:rsid w:val="00CB6EB8"/>
    <w:rsid w:val="00CC2612"/>
    <w:rsid w:val="00CC7DF7"/>
    <w:rsid w:val="00CD205D"/>
    <w:rsid w:val="00CD2EF0"/>
    <w:rsid w:val="00CD5946"/>
    <w:rsid w:val="00CE0F5E"/>
    <w:rsid w:val="00CF7BCC"/>
    <w:rsid w:val="00D02A02"/>
    <w:rsid w:val="00D03153"/>
    <w:rsid w:val="00D03F7E"/>
    <w:rsid w:val="00D05FBF"/>
    <w:rsid w:val="00D10841"/>
    <w:rsid w:val="00D15EF5"/>
    <w:rsid w:val="00D22E9C"/>
    <w:rsid w:val="00D23723"/>
    <w:rsid w:val="00D2680B"/>
    <w:rsid w:val="00D44AA5"/>
    <w:rsid w:val="00D60302"/>
    <w:rsid w:val="00D72A81"/>
    <w:rsid w:val="00D86486"/>
    <w:rsid w:val="00D915F3"/>
    <w:rsid w:val="00D92067"/>
    <w:rsid w:val="00D94351"/>
    <w:rsid w:val="00DA18F1"/>
    <w:rsid w:val="00DB2DA0"/>
    <w:rsid w:val="00DC26A2"/>
    <w:rsid w:val="00DC7C8F"/>
    <w:rsid w:val="00DE40CD"/>
    <w:rsid w:val="00DF70DB"/>
    <w:rsid w:val="00DF7C21"/>
    <w:rsid w:val="00E00173"/>
    <w:rsid w:val="00E04471"/>
    <w:rsid w:val="00E10EE1"/>
    <w:rsid w:val="00E20CA0"/>
    <w:rsid w:val="00E257D4"/>
    <w:rsid w:val="00E36481"/>
    <w:rsid w:val="00E4223D"/>
    <w:rsid w:val="00E45FC6"/>
    <w:rsid w:val="00E4716B"/>
    <w:rsid w:val="00E47D84"/>
    <w:rsid w:val="00E707BD"/>
    <w:rsid w:val="00E74762"/>
    <w:rsid w:val="00E772AE"/>
    <w:rsid w:val="00E81965"/>
    <w:rsid w:val="00E838A0"/>
    <w:rsid w:val="00E87D94"/>
    <w:rsid w:val="00E9568A"/>
    <w:rsid w:val="00E95EF3"/>
    <w:rsid w:val="00E97DE6"/>
    <w:rsid w:val="00EA2E73"/>
    <w:rsid w:val="00EA48A9"/>
    <w:rsid w:val="00EA5E48"/>
    <w:rsid w:val="00EB13FA"/>
    <w:rsid w:val="00EB1CDE"/>
    <w:rsid w:val="00EC245B"/>
    <w:rsid w:val="00EC3906"/>
    <w:rsid w:val="00EC4041"/>
    <w:rsid w:val="00EC4069"/>
    <w:rsid w:val="00EC5A09"/>
    <w:rsid w:val="00EC71F1"/>
    <w:rsid w:val="00ED73AF"/>
    <w:rsid w:val="00EE507A"/>
    <w:rsid w:val="00EE751A"/>
    <w:rsid w:val="00EF163F"/>
    <w:rsid w:val="00EF37D3"/>
    <w:rsid w:val="00EF43F0"/>
    <w:rsid w:val="00F00095"/>
    <w:rsid w:val="00F131DE"/>
    <w:rsid w:val="00F15292"/>
    <w:rsid w:val="00F16C77"/>
    <w:rsid w:val="00F3046B"/>
    <w:rsid w:val="00F315E0"/>
    <w:rsid w:val="00F3347E"/>
    <w:rsid w:val="00F432F3"/>
    <w:rsid w:val="00F46AF6"/>
    <w:rsid w:val="00F51322"/>
    <w:rsid w:val="00F55EEA"/>
    <w:rsid w:val="00F70094"/>
    <w:rsid w:val="00F715E3"/>
    <w:rsid w:val="00F76231"/>
    <w:rsid w:val="00F83D03"/>
    <w:rsid w:val="00F869D7"/>
    <w:rsid w:val="00F8705B"/>
    <w:rsid w:val="00F94207"/>
    <w:rsid w:val="00F971CD"/>
    <w:rsid w:val="00FA26E9"/>
    <w:rsid w:val="00FA311E"/>
    <w:rsid w:val="00FA76DE"/>
    <w:rsid w:val="00FB5A77"/>
    <w:rsid w:val="00FC0AB9"/>
    <w:rsid w:val="00FC2163"/>
    <w:rsid w:val="00FC2846"/>
    <w:rsid w:val="00FD24CA"/>
    <w:rsid w:val="00FD2BE8"/>
    <w:rsid w:val="00FF3C50"/>
    <w:rsid w:val="00FF6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BF74D8"/>
  <w14:defaultImageDpi w14:val="300"/>
  <w15:docId w15:val="{A21AA567-F847-487B-848D-7D9109D3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CD"/>
    <w:pPr>
      <w:spacing w:line="320" w:lineRule="atLeast"/>
      <w:ind w:firstLine="720"/>
    </w:pPr>
    <w:rPr>
      <w:rFonts w:ascii="Times New Roman" w:hAnsi="Times New Roman"/>
      <w:sz w:val="24"/>
      <w:szCs w:val="24"/>
    </w:rPr>
  </w:style>
  <w:style w:type="paragraph" w:styleId="Heading1">
    <w:name w:val="heading 1"/>
    <w:next w:val="Normal"/>
    <w:qFormat/>
    <w:rsid w:val="006519CF"/>
    <w:pPr>
      <w:keepNext/>
      <w:spacing w:after="80" w:line="400" w:lineRule="atLeast"/>
      <w:outlineLvl w:val="0"/>
    </w:pPr>
    <w:rPr>
      <w:rFonts w:ascii="Arial" w:eastAsia="Times New Roman" w:hAnsi="Arial"/>
      <w:b/>
      <w:noProof/>
      <w:sz w:val="32"/>
      <w:szCs w:val="24"/>
    </w:rPr>
  </w:style>
  <w:style w:type="paragraph" w:styleId="Heading2">
    <w:name w:val="heading 2"/>
    <w:next w:val="Normal"/>
    <w:qFormat/>
    <w:rsid w:val="006519CF"/>
    <w:pPr>
      <w:keepNext/>
      <w:spacing w:before="120" w:after="60"/>
      <w:outlineLvl w:val="1"/>
    </w:pPr>
    <w:rPr>
      <w:rFonts w:ascii="Arial" w:eastAsia="Times New Roman" w:hAnsi="Arial"/>
      <w:b/>
      <w:noProof/>
      <w:sz w:val="26"/>
      <w:szCs w:val="24"/>
    </w:rPr>
  </w:style>
  <w:style w:type="paragraph" w:styleId="Heading3">
    <w:name w:val="heading 3"/>
    <w:basedOn w:val="Normal"/>
    <w:next w:val="Normal"/>
    <w:qFormat/>
    <w:rsid w:val="006519CF"/>
    <w:pPr>
      <w:keepNext/>
      <w:spacing w:before="120" w:after="60" w:line="240" w:lineRule="auto"/>
      <w:ind w:firstLine="0"/>
      <w:outlineLvl w:val="2"/>
    </w:pPr>
    <w:rPr>
      <w:rFonts w:ascii="Arial" w:eastAsia="Times New Roman" w:hAnsi="Arial"/>
      <w:b/>
    </w:rPr>
  </w:style>
  <w:style w:type="paragraph" w:styleId="Heading4">
    <w:name w:val="heading 4"/>
    <w:basedOn w:val="Normal"/>
    <w:next w:val="Normal"/>
    <w:qFormat/>
    <w:rsid w:val="006519CF"/>
    <w:pPr>
      <w:keepNext/>
      <w:spacing w:line="240" w:lineRule="auto"/>
      <w:ind w:firstLine="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Ebodytext">
    <w:name w:val="JCE body text"/>
    <w:rsid w:val="00745889"/>
    <w:pPr>
      <w:spacing w:line="480" w:lineRule="auto"/>
      <w:ind w:firstLine="360"/>
    </w:pPr>
    <w:rPr>
      <w:rFonts w:ascii="Bookman Old Style" w:eastAsia="Times New Roman" w:hAnsi="Bookman Old Style"/>
    </w:rPr>
  </w:style>
  <w:style w:type="paragraph" w:customStyle="1" w:styleId="JCEcaption">
    <w:name w:val="JCE caption"/>
    <w:next w:val="JCEbodytext"/>
    <w:rsid w:val="00070620"/>
    <w:pPr>
      <w:keepLines/>
      <w:spacing w:before="120" w:after="40"/>
    </w:pPr>
    <w:rPr>
      <w:rFonts w:ascii="Helvetica" w:hAnsi="Helvetica"/>
      <w:sz w:val="16"/>
      <w:szCs w:val="24"/>
    </w:rPr>
  </w:style>
  <w:style w:type="paragraph" w:customStyle="1" w:styleId="JCEH1">
    <w:name w:val="JCE H1"/>
    <w:next w:val="JCEbodytext"/>
    <w:rsid w:val="00974280"/>
    <w:pPr>
      <w:keepNext/>
      <w:spacing w:before="240" w:line="240" w:lineRule="atLeast"/>
      <w:outlineLvl w:val="0"/>
    </w:pPr>
    <w:rPr>
      <w:rFonts w:ascii="Helvetica" w:eastAsia="Times New Roman" w:hAnsi="Helvetica"/>
      <w:b/>
      <w:caps/>
      <w:color w:val="000090"/>
      <w:kern w:val="28"/>
      <w:szCs w:val="24"/>
    </w:rPr>
  </w:style>
  <w:style w:type="paragraph" w:customStyle="1" w:styleId="JCEH2">
    <w:name w:val="JCE H2"/>
    <w:next w:val="JCEbodytext"/>
    <w:rsid w:val="00A50F32"/>
    <w:pPr>
      <w:keepNext/>
      <w:keepLines/>
      <w:spacing w:before="120"/>
      <w:outlineLvl w:val="1"/>
    </w:pPr>
    <w:rPr>
      <w:rFonts w:ascii="Helvetica" w:hAnsi="Helvetica"/>
      <w:color w:val="000090"/>
      <w:kern w:val="28"/>
      <w:szCs w:val="32"/>
    </w:rPr>
  </w:style>
  <w:style w:type="paragraph" w:customStyle="1" w:styleId="JCEbulletlist">
    <w:name w:val="JCE bullet list"/>
    <w:basedOn w:val="JCEbodytext"/>
    <w:next w:val="JCEbodytext"/>
    <w:rsid w:val="00FD2BE8"/>
    <w:pPr>
      <w:numPr>
        <w:numId w:val="6"/>
      </w:numPr>
      <w:tabs>
        <w:tab w:val="num" w:pos="720"/>
      </w:tabs>
      <w:spacing w:line="360" w:lineRule="auto"/>
    </w:pPr>
  </w:style>
  <w:style w:type="paragraph" w:customStyle="1" w:styleId="JCEreferencelist">
    <w:name w:val="JCE reference list"/>
    <w:basedOn w:val="JCEbulletlist"/>
    <w:next w:val="JCEbodytext"/>
    <w:qFormat/>
    <w:rsid w:val="00EA48A9"/>
    <w:pPr>
      <w:numPr>
        <w:numId w:val="0"/>
      </w:numPr>
      <w:tabs>
        <w:tab w:val="left" w:pos="540"/>
      </w:tabs>
      <w:ind w:left="540" w:hanging="540"/>
    </w:pPr>
    <w:rPr>
      <w:szCs w:val="18"/>
    </w:rPr>
  </w:style>
  <w:style w:type="character" w:styleId="LineNumber">
    <w:name w:val="line number"/>
    <w:basedOn w:val="DefaultParagraphFont"/>
    <w:rsid w:val="00070620"/>
    <w:rPr>
      <w:rFonts w:ascii="Helvetica" w:hAnsi="Helvetica"/>
      <w:sz w:val="16"/>
      <w:lang w:val="en-US"/>
    </w:rPr>
  </w:style>
  <w:style w:type="paragraph" w:customStyle="1" w:styleId="JCEAuAttribution">
    <w:name w:val="JCE AuAttribution"/>
    <w:basedOn w:val="JCEbodytext"/>
    <w:qFormat/>
    <w:rsid w:val="003A1F14"/>
    <w:pPr>
      <w:tabs>
        <w:tab w:val="left" w:pos="360"/>
      </w:tabs>
      <w:spacing w:after="240"/>
      <w:ind w:firstLine="0"/>
    </w:pPr>
  </w:style>
  <w:style w:type="paragraph" w:customStyle="1" w:styleId="JCEAuNames">
    <w:name w:val="JCE AuNames"/>
    <w:basedOn w:val="JCEbodytext"/>
    <w:qFormat/>
    <w:rsid w:val="003A1F14"/>
    <w:pPr>
      <w:tabs>
        <w:tab w:val="left" w:pos="360"/>
      </w:tabs>
      <w:ind w:firstLine="0"/>
    </w:pPr>
  </w:style>
  <w:style w:type="paragraph" w:customStyle="1" w:styleId="JCEDocfooter">
    <w:name w:val="JCE Doc footer"/>
    <w:qFormat/>
    <w:rsid w:val="00070620"/>
    <w:pPr>
      <w:pBdr>
        <w:top w:val="single" w:sz="2" w:space="4" w:color="auto"/>
      </w:pBdr>
      <w:tabs>
        <w:tab w:val="center" w:pos="4320"/>
        <w:tab w:val="right" w:pos="8640"/>
      </w:tabs>
      <w:contextualSpacing/>
    </w:pPr>
    <w:rPr>
      <w:rFonts w:ascii="Helvetica" w:hAnsi="Helvetica"/>
      <w:sz w:val="18"/>
      <w:szCs w:val="24"/>
    </w:rPr>
  </w:style>
  <w:style w:type="paragraph" w:customStyle="1" w:styleId="JCEDocheader">
    <w:name w:val="JCE Doc header"/>
    <w:qFormat/>
    <w:rsid w:val="00070620"/>
    <w:pPr>
      <w:pBdr>
        <w:bottom w:val="single" w:sz="2" w:space="4" w:color="auto"/>
      </w:pBdr>
      <w:tabs>
        <w:tab w:val="right" w:pos="8640"/>
      </w:tabs>
      <w:contextualSpacing/>
    </w:pPr>
    <w:rPr>
      <w:rFonts w:ascii="Helvetica" w:hAnsi="Helvetica"/>
      <w:sz w:val="18"/>
      <w:szCs w:val="24"/>
    </w:rPr>
  </w:style>
  <w:style w:type="paragraph" w:customStyle="1" w:styleId="JCEExtractquotes">
    <w:name w:val="JCE Extract (quotes)"/>
    <w:basedOn w:val="JCEbodytext"/>
    <w:next w:val="JCEbodytext"/>
    <w:qFormat/>
    <w:rsid w:val="00935C4F"/>
    <w:pPr>
      <w:keepLines/>
      <w:spacing w:line="360" w:lineRule="auto"/>
      <w:ind w:left="720" w:right="720" w:firstLine="0"/>
    </w:pPr>
    <w:rPr>
      <w:sz w:val="18"/>
      <w:szCs w:val="18"/>
    </w:rPr>
  </w:style>
  <w:style w:type="paragraph" w:customStyle="1" w:styleId="JCEFlushBody">
    <w:name w:val="JCE FlushBody"/>
    <w:basedOn w:val="JCEbodytext"/>
    <w:next w:val="JCEbodytext"/>
    <w:qFormat/>
    <w:rsid w:val="00070620"/>
    <w:pPr>
      <w:ind w:firstLine="0"/>
    </w:pPr>
    <w:rPr>
      <w:rFonts w:cs="Century"/>
    </w:rPr>
  </w:style>
  <w:style w:type="paragraph" w:customStyle="1" w:styleId="JCETabletext">
    <w:name w:val="JCE Table text"/>
    <w:basedOn w:val="JCEcaption"/>
    <w:next w:val="JCEcaption"/>
    <w:rsid w:val="00C01A79"/>
    <w:pPr>
      <w:widowControl w:val="0"/>
      <w:spacing w:before="40"/>
    </w:pPr>
    <w:rPr>
      <w:rFonts w:ascii="Bookman Old Style" w:eastAsia="Times New Roman" w:hAnsi="Bookman Old Style"/>
      <w:sz w:val="18"/>
    </w:rPr>
  </w:style>
  <w:style w:type="paragraph" w:customStyle="1" w:styleId="JCETabletitle">
    <w:name w:val="JCE Table title"/>
    <w:basedOn w:val="JCEcaption"/>
    <w:rsid w:val="00C01A79"/>
    <w:pPr>
      <w:spacing w:before="0"/>
    </w:pPr>
    <w:rPr>
      <w:rFonts w:ascii="Bookman Old Style" w:eastAsia="Times New Roman" w:hAnsi="Bookman Old Style"/>
      <w:b/>
      <w:sz w:val="20"/>
    </w:rPr>
  </w:style>
  <w:style w:type="paragraph" w:customStyle="1" w:styleId="JCETitle">
    <w:name w:val="JCE Title"/>
    <w:next w:val="JCEAuNames"/>
    <w:qFormat/>
    <w:rsid w:val="00070620"/>
    <w:pPr>
      <w:spacing w:after="120" w:line="400" w:lineRule="atLeast"/>
    </w:pPr>
    <w:rPr>
      <w:rFonts w:ascii="Helvetica" w:hAnsi="Helvetica"/>
      <w:b/>
      <w:sz w:val="32"/>
      <w:szCs w:val="24"/>
    </w:rPr>
  </w:style>
  <w:style w:type="paragraph" w:customStyle="1" w:styleId="JCEEquation">
    <w:name w:val="JCE Equation"/>
    <w:basedOn w:val="JCEFlushBody"/>
    <w:next w:val="JCEFlushBody"/>
    <w:qFormat/>
    <w:rsid w:val="00745889"/>
    <w:pPr>
      <w:tabs>
        <w:tab w:val="center" w:pos="4320"/>
        <w:tab w:val="right" w:pos="8640"/>
      </w:tabs>
      <w:spacing w:before="120" w:after="120"/>
      <w:jc w:val="both"/>
    </w:pPr>
  </w:style>
  <w:style w:type="paragraph" w:styleId="BalloonText">
    <w:name w:val="Balloon Text"/>
    <w:basedOn w:val="Normal"/>
    <w:link w:val="BalloonTextChar"/>
    <w:rsid w:val="00EA48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A48A9"/>
    <w:rPr>
      <w:rFonts w:ascii="Lucida Grande" w:hAnsi="Lucida Grande" w:cs="Lucida Grande"/>
      <w:sz w:val="18"/>
      <w:szCs w:val="18"/>
    </w:rPr>
  </w:style>
  <w:style w:type="character" w:styleId="Hyperlink">
    <w:name w:val="Hyperlink"/>
    <w:basedOn w:val="DefaultParagraphFont"/>
    <w:uiPriority w:val="99"/>
    <w:rsid w:val="00EA48A9"/>
    <w:rPr>
      <w:color w:val="0000FF" w:themeColor="hyperlink"/>
      <w:u w:val="single"/>
    </w:rPr>
  </w:style>
  <w:style w:type="paragraph" w:customStyle="1" w:styleId="JCEnumberedlist">
    <w:name w:val="JCE numbered list"/>
    <w:basedOn w:val="JCEbulletlist"/>
    <w:next w:val="JCEbodytext"/>
    <w:qFormat/>
    <w:rsid w:val="00780224"/>
    <w:pPr>
      <w:tabs>
        <w:tab w:val="left" w:pos="720"/>
      </w:tabs>
    </w:pPr>
  </w:style>
  <w:style w:type="table" w:styleId="TableGrid">
    <w:name w:val="Table Grid"/>
    <w:basedOn w:val="TableNormal"/>
    <w:uiPriority w:val="59"/>
    <w:rsid w:val="00A02FD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78EE"/>
    <w:pPr>
      <w:tabs>
        <w:tab w:val="center" w:pos="4680"/>
        <w:tab w:val="right" w:pos="9360"/>
      </w:tabs>
      <w:spacing w:line="240" w:lineRule="auto"/>
    </w:pPr>
  </w:style>
  <w:style w:type="character" w:customStyle="1" w:styleId="HeaderChar">
    <w:name w:val="Header Char"/>
    <w:basedOn w:val="DefaultParagraphFont"/>
    <w:link w:val="Header"/>
    <w:rsid w:val="009C78EE"/>
    <w:rPr>
      <w:rFonts w:ascii="Times New Roman" w:hAnsi="Times New Roman"/>
      <w:sz w:val="24"/>
      <w:szCs w:val="24"/>
    </w:rPr>
  </w:style>
  <w:style w:type="paragraph" w:styleId="Footer">
    <w:name w:val="footer"/>
    <w:basedOn w:val="Normal"/>
    <w:link w:val="FooterChar"/>
    <w:unhideWhenUsed/>
    <w:rsid w:val="009C78EE"/>
    <w:pPr>
      <w:tabs>
        <w:tab w:val="center" w:pos="4680"/>
        <w:tab w:val="right" w:pos="9360"/>
      </w:tabs>
      <w:spacing w:line="240" w:lineRule="auto"/>
    </w:pPr>
  </w:style>
  <w:style w:type="character" w:customStyle="1" w:styleId="FooterChar">
    <w:name w:val="Footer Char"/>
    <w:basedOn w:val="DefaultParagraphFont"/>
    <w:link w:val="Footer"/>
    <w:rsid w:val="009C78EE"/>
    <w:rPr>
      <w:rFonts w:ascii="Times New Roman" w:hAnsi="Times New Roman"/>
      <w:sz w:val="24"/>
      <w:szCs w:val="24"/>
    </w:rPr>
  </w:style>
  <w:style w:type="character" w:styleId="FollowedHyperlink">
    <w:name w:val="FollowedHyperlink"/>
    <w:basedOn w:val="DefaultParagraphFont"/>
    <w:semiHidden/>
    <w:unhideWhenUsed/>
    <w:rsid w:val="005827EE"/>
    <w:rPr>
      <w:color w:val="800080" w:themeColor="followedHyperlink"/>
      <w:u w:val="single"/>
    </w:rPr>
  </w:style>
  <w:style w:type="character" w:styleId="PlaceholderText">
    <w:name w:val="Placeholder Text"/>
    <w:basedOn w:val="DefaultParagraphFont"/>
    <w:rsid w:val="004B2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mailto:d.j.mcgarvey@keele.ac.u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1\AppData\Local\Temp\JCE_2018_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JCE_2018_Manuscript</Template>
  <TotalTime>327</TotalTime>
  <Pages>13</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Journal of Chemical Education</Company>
  <LinksUpToDate>false</LinksUpToDate>
  <CharactersWithSpaces>24597</CharactersWithSpaces>
  <SharedDoc>false</SharedDoc>
  <HLinks>
    <vt:vector size="12" baseType="variant">
      <vt:variant>
        <vt:i4>3670018</vt:i4>
      </vt:variant>
      <vt:variant>
        <vt:i4>6</vt:i4>
      </vt:variant>
      <vt:variant>
        <vt:i4>0</vt:i4>
      </vt:variant>
      <vt:variant>
        <vt:i4>5</vt:i4>
      </vt:variant>
      <vt:variant>
        <vt:lpwstr>http://pubs.acs.org/paragonplus/submission/jceda8/jceda8_authguide.pdf</vt:lpwstr>
      </vt:variant>
      <vt:variant>
        <vt:lpwstr/>
      </vt:variant>
      <vt:variant>
        <vt:i4>3276867</vt:i4>
      </vt:variant>
      <vt:variant>
        <vt:i4>0</vt:i4>
      </vt:variant>
      <vt:variant>
        <vt:i4>0</vt:i4>
      </vt:variant>
      <vt:variant>
        <vt:i4>5</vt:i4>
      </vt:variant>
      <vt:variant>
        <vt:lpwstr>http://pubs.acs.org/page/jceda8/topics.html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18</cp:revision>
  <cp:lastPrinted>2019-11-12T15:59:00Z</cp:lastPrinted>
  <dcterms:created xsi:type="dcterms:W3CDTF">2019-11-06T10:46:00Z</dcterms:created>
  <dcterms:modified xsi:type="dcterms:W3CDTF">2019-11-15T15:24:00Z</dcterms:modified>
</cp:coreProperties>
</file>