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4A46E" w14:textId="1AEDCCEF" w:rsidR="001D0BE3" w:rsidRPr="001D66C6" w:rsidRDefault="001D66C6" w:rsidP="00A148BE">
      <w:pPr>
        <w:pStyle w:val="NoSpacing"/>
        <w:spacing w:line="480" w:lineRule="auto"/>
        <w:jc w:val="center"/>
        <w:rPr>
          <w:rFonts w:ascii="Times New Roman" w:hAnsi="Times New Roman" w:cs="Times New Roman"/>
          <w:sz w:val="24"/>
          <w:szCs w:val="24"/>
        </w:rPr>
      </w:pPr>
      <w:r>
        <w:rPr>
          <w:rFonts w:ascii="Times New Roman" w:hAnsi="Times New Roman" w:cs="Times New Roman"/>
          <w:b/>
          <w:sz w:val="24"/>
          <w:szCs w:val="24"/>
        </w:rPr>
        <w:t xml:space="preserve">Main Title: </w:t>
      </w:r>
      <w:r w:rsidR="001D0BE3" w:rsidRPr="001D66C6">
        <w:rPr>
          <w:rFonts w:ascii="Times New Roman" w:hAnsi="Times New Roman" w:cs="Times New Roman"/>
          <w:sz w:val="24"/>
          <w:szCs w:val="24"/>
        </w:rPr>
        <w:t xml:space="preserve">Validation of the Musculoskeletal Health Questionnaire </w:t>
      </w:r>
      <w:r w:rsidR="00D76DB2">
        <w:rPr>
          <w:rFonts w:ascii="Times New Roman" w:hAnsi="Times New Roman" w:cs="Times New Roman"/>
          <w:sz w:val="24"/>
          <w:szCs w:val="24"/>
        </w:rPr>
        <w:t xml:space="preserve">(MSK-HQ) </w:t>
      </w:r>
      <w:r w:rsidR="00AF6A7F">
        <w:rPr>
          <w:rFonts w:ascii="Times New Roman" w:hAnsi="Times New Roman" w:cs="Times New Roman"/>
          <w:sz w:val="24"/>
          <w:szCs w:val="24"/>
        </w:rPr>
        <w:t xml:space="preserve">in </w:t>
      </w:r>
      <w:r w:rsidR="000D429C">
        <w:rPr>
          <w:rFonts w:ascii="Times New Roman" w:hAnsi="Times New Roman" w:cs="Times New Roman"/>
          <w:sz w:val="24"/>
          <w:szCs w:val="24"/>
        </w:rPr>
        <w:t xml:space="preserve">Primary Care </w:t>
      </w:r>
      <w:r w:rsidR="00AF6A7F">
        <w:rPr>
          <w:rFonts w:ascii="Times New Roman" w:hAnsi="Times New Roman" w:cs="Times New Roman"/>
          <w:sz w:val="24"/>
          <w:szCs w:val="24"/>
        </w:rPr>
        <w:t xml:space="preserve">Patients </w:t>
      </w:r>
      <w:r w:rsidR="001D0BE3" w:rsidRPr="001D66C6">
        <w:rPr>
          <w:rFonts w:ascii="Times New Roman" w:hAnsi="Times New Roman" w:cs="Times New Roman"/>
          <w:sz w:val="24"/>
          <w:szCs w:val="24"/>
        </w:rPr>
        <w:t xml:space="preserve">with Musculoskeletal </w:t>
      </w:r>
      <w:r w:rsidR="00301DCE" w:rsidRPr="001D66C6">
        <w:rPr>
          <w:rFonts w:ascii="Times New Roman" w:hAnsi="Times New Roman" w:cs="Times New Roman"/>
          <w:sz w:val="24"/>
          <w:szCs w:val="24"/>
        </w:rPr>
        <w:t>Pain</w:t>
      </w:r>
      <w:r w:rsidR="003B1F58">
        <w:rPr>
          <w:rFonts w:ascii="Times New Roman" w:hAnsi="Times New Roman" w:cs="Times New Roman"/>
          <w:sz w:val="24"/>
          <w:szCs w:val="24"/>
        </w:rPr>
        <w:t>.</w:t>
      </w:r>
    </w:p>
    <w:p w14:paraId="10B85067" w14:textId="0C3605D9" w:rsidR="001D66C6" w:rsidRDefault="001D66C6" w:rsidP="00A148BE">
      <w:pPr>
        <w:pStyle w:val="NoSpacing"/>
        <w:spacing w:line="480" w:lineRule="auto"/>
        <w:jc w:val="center"/>
        <w:rPr>
          <w:rFonts w:ascii="Times New Roman" w:hAnsi="Times New Roman" w:cs="Times New Roman"/>
          <w:sz w:val="24"/>
          <w:szCs w:val="24"/>
        </w:rPr>
      </w:pPr>
    </w:p>
    <w:p w14:paraId="0F8B1AFE" w14:textId="2415349E" w:rsidR="001D66C6" w:rsidRPr="001D66C6" w:rsidRDefault="001D66C6" w:rsidP="00A148BE">
      <w:pPr>
        <w:pStyle w:val="NoSpacing"/>
        <w:spacing w:line="480" w:lineRule="auto"/>
        <w:jc w:val="center"/>
        <w:rPr>
          <w:rFonts w:ascii="Times New Roman" w:hAnsi="Times New Roman" w:cs="Times New Roman"/>
          <w:sz w:val="24"/>
          <w:szCs w:val="24"/>
        </w:rPr>
      </w:pPr>
      <w:r w:rsidRPr="001D66C6">
        <w:rPr>
          <w:rFonts w:ascii="Times New Roman" w:hAnsi="Times New Roman" w:cs="Times New Roman"/>
          <w:b/>
          <w:sz w:val="24"/>
          <w:szCs w:val="24"/>
        </w:rPr>
        <w:t>Short Title</w:t>
      </w:r>
      <w:r>
        <w:rPr>
          <w:rFonts w:ascii="Times New Roman" w:hAnsi="Times New Roman" w:cs="Times New Roman"/>
          <w:sz w:val="24"/>
          <w:szCs w:val="24"/>
        </w:rPr>
        <w:t xml:space="preserve">: </w:t>
      </w:r>
      <w:r w:rsidR="005F7902">
        <w:rPr>
          <w:rFonts w:ascii="Times New Roman" w:hAnsi="Times New Roman" w:cs="Times New Roman"/>
          <w:sz w:val="24"/>
          <w:szCs w:val="24"/>
        </w:rPr>
        <w:t>MSK-HQ Validation in Primary Care.</w:t>
      </w:r>
    </w:p>
    <w:p w14:paraId="4644BE57" w14:textId="6541D72D" w:rsidR="001D0BE3" w:rsidRDefault="001D0BE3" w:rsidP="00A148BE">
      <w:pPr>
        <w:pStyle w:val="NoSpacing"/>
        <w:spacing w:line="480" w:lineRule="auto"/>
        <w:rPr>
          <w:rFonts w:ascii="Times New Roman" w:hAnsi="Times New Roman" w:cs="Times New Roman"/>
          <w:sz w:val="24"/>
          <w:szCs w:val="24"/>
        </w:rPr>
      </w:pPr>
    </w:p>
    <w:p w14:paraId="6006A069" w14:textId="04C9F7D5" w:rsidR="00527D96" w:rsidRPr="00083340" w:rsidRDefault="005F7902" w:rsidP="00527D96">
      <w:pPr>
        <w:pStyle w:val="NoSpacing"/>
        <w:spacing w:line="480" w:lineRule="auto"/>
        <w:jc w:val="center"/>
        <w:rPr>
          <w:rFonts w:ascii="Times New Roman" w:hAnsi="Times New Roman" w:cs="Times New Roman"/>
          <w:sz w:val="24"/>
          <w:szCs w:val="24"/>
          <w:shd w:val="clear" w:color="auto" w:fill="FFFFFF"/>
          <w:vertAlign w:val="superscript"/>
          <w:lang w:val="en-US"/>
        </w:rPr>
      </w:pPr>
      <w:r>
        <w:rPr>
          <w:rFonts w:ascii="Times New Roman" w:hAnsi="Times New Roman" w:cs="Times New Roman"/>
          <w:b/>
          <w:sz w:val="24"/>
          <w:szCs w:val="24"/>
          <w:shd w:val="clear" w:color="auto" w:fill="FFFFFF"/>
          <w:lang w:val="en-US"/>
        </w:rPr>
        <w:t xml:space="preserve">Authors: </w:t>
      </w:r>
      <w:proofErr w:type="spellStart"/>
      <w:r w:rsidR="00527D96">
        <w:rPr>
          <w:rFonts w:ascii="Times New Roman" w:hAnsi="Times New Roman" w:cs="Times New Roman"/>
          <w:sz w:val="24"/>
          <w:szCs w:val="24"/>
          <w:shd w:val="clear" w:color="auto" w:fill="FFFFFF"/>
          <w:lang w:val="en-US"/>
        </w:rPr>
        <w:t>Dr</w:t>
      </w:r>
      <w:proofErr w:type="spellEnd"/>
      <w:r w:rsidR="00527D96">
        <w:rPr>
          <w:rFonts w:ascii="Times New Roman" w:hAnsi="Times New Roman" w:cs="Times New Roman"/>
          <w:sz w:val="24"/>
          <w:szCs w:val="24"/>
          <w:shd w:val="clear" w:color="auto" w:fill="FFFFFF"/>
          <w:lang w:val="en-US"/>
        </w:rPr>
        <w:t xml:space="preserve"> Ian </w:t>
      </w:r>
      <w:r w:rsidR="00FD1E3F">
        <w:rPr>
          <w:rFonts w:ascii="Times New Roman" w:hAnsi="Times New Roman" w:cs="Times New Roman"/>
          <w:sz w:val="24"/>
          <w:szCs w:val="24"/>
          <w:shd w:val="clear" w:color="auto" w:fill="FFFFFF"/>
          <w:lang w:val="en-US"/>
        </w:rPr>
        <w:t xml:space="preserve">C </w:t>
      </w:r>
      <w:r w:rsidR="00527D96">
        <w:rPr>
          <w:rFonts w:ascii="Times New Roman" w:hAnsi="Times New Roman" w:cs="Times New Roman"/>
          <w:sz w:val="24"/>
          <w:szCs w:val="24"/>
          <w:shd w:val="clear" w:color="auto" w:fill="FFFFFF"/>
          <w:lang w:val="en-US"/>
        </w:rPr>
        <w:t>Scott</w:t>
      </w:r>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MBChB</w:t>
      </w:r>
      <w:proofErr w:type="spellEnd"/>
      <w:r>
        <w:rPr>
          <w:rFonts w:ascii="Times New Roman" w:hAnsi="Times New Roman" w:cs="Times New Roman"/>
          <w:sz w:val="24"/>
          <w:szCs w:val="24"/>
          <w:shd w:val="clear" w:color="auto" w:fill="FFFFFF"/>
          <w:lang w:val="en-US"/>
        </w:rPr>
        <w:t>, MSc, PhD)</w:t>
      </w:r>
      <w:r w:rsidR="00527D96">
        <w:rPr>
          <w:rFonts w:ascii="Times New Roman" w:hAnsi="Times New Roman" w:cs="Times New Roman"/>
          <w:sz w:val="24"/>
          <w:szCs w:val="24"/>
          <w:shd w:val="clear" w:color="auto" w:fill="FFFFFF"/>
          <w:vertAlign w:val="superscript"/>
          <w:lang w:val="en-US"/>
        </w:rPr>
        <w:t>1,2</w:t>
      </w:r>
      <w:r w:rsidR="000D429C">
        <w:rPr>
          <w:rFonts w:ascii="Times New Roman" w:hAnsi="Times New Roman" w:cs="Times New Roman"/>
          <w:sz w:val="24"/>
          <w:szCs w:val="24"/>
          <w:shd w:val="clear" w:color="auto" w:fill="FFFFFF"/>
          <w:vertAlign w:val="superscript"/>
          <w:lang w:val="en-US"/>
        </w:rPr>
        <w:t>,3</w:t>
      </w:r>
      <w:r w:rsidR="00527D96">
        <w:rPr>
          <w:rFonts w:ascii="Times New Roman" w:hAnsi="Times New Roman" w:cs="Times New Roman"/>
          <w:sz w:val="24"/>
          <w:szCs w:val="24"/>
          <w:shd w:val="clear" w:color="auto" w:fill="FFFFFF"/>
          <w:lang w:val="en-US"/>
        </w:rPr>
        <w:t xml:space="preserve">, </w:t>
      </w:r>
      <w:proofErr w:type="spellStart"/>
      <w:r w:rsidR="00527D96">
        <w:rPr>
          <w:rFonts w:ascii="Times New Roman" w:hAnsi="Times New Roman" w:cs="Times New Roman"/>
          <w:sz w:val="24"/>
          <w:szCs w:val="24"/>
          <w:shd w:val="clear" w:color="auto" w:fill="FFFFFF"/>
          <w:lang w:val="en-US"/>
        </w:rPr>
        <w:t>Dr</w:t>
      </w:r>
      <w:proofErr w:type="spellEnd"/>
      <w:r w:rsidR="00527D96">
        <w:rPr>
          <w:rFonts w:ascii="Times New Roman" w:hAnsi="Times New Roman" w:cs="Times New Roman"/>
          <w:sz w:val="24"/>
          <w:szCs w:val="24"/>
          <w:shd w:val="clear" w:color="auto" w:fill="FFFFFF"/>
          <w:lang w:val="en-US"/>
        </w:rPr>
        <w:t xml:space="preserve"> Gareth McCray</w:t>
      </w:r>
      <w:r>
        <w:rPr>
          <w:rFonts w:ascii="Times New Roman" w:hAnsi="Times New Roman" w:cs="Times New Roman"/>
          <w:sz w:val="24"/>
          <w:szCs w:val="24"/>
          <w:shd w:val="clear" w:color="auto" w:fill="FFFFFF"/>
          <w:lang w:val="en-US"/>
        </w:rPr>
        <w:t xml:space="preserve"> (</w:t>
      </w:r>
      <w:r w:rsidR="00902F1D">
        <w:rPr>
          <w:rFonts w:ascii="Times New Roman" w:hAnsi="Times New Roman" w:cs="Times New Roman"/>
          <w:sz w:val="24"/>
          <w:szCs w:val="24"/>
          <w:shd w:val="clear" w:color="auto" w:fill="FFFFFF"/>
          <w:lang w:val="en-US"/>
        </w:rPr>
        <w:t>M</w:t>
      </w:r>
      <w:r w:rsidR="004315C3">
        <w:rPr>
          <w:rFonts w:ascii="Times New Roman" w:hAnsi="Times New Roman" w:cs="Times New Roman"/>
          <w:sz w:val="24"/>
          <w:szCs w:val="24"/>
          <w:shd w:val="clear" w:color="auto" w:fill="FFFFFF"/>
          <w:lang w:val="en-US"/>
        </w:rPr>
        <w:t xml:space="preserve">A, </w:t>
      </w:r>
      <w:proofErr w:type="spellStart"/>
      <w:r w:rsidR="004315C3">
        <w:rPr>
          <w:rFonts w:ascii="Times New Roman" w:hAnsi="Times New Roman" w:cs="Times New Roman"/>
          <w:sz w:val="24"/>
          <w:szCs w:val="24"/>
          <w:shd w:val="clear" w:color="auto" w:fill="FFFFFF"/>
          <w:lang w:val="en-US"/>
        </w:rPr>
        <w:t>MRes</w:t>
      </w:r>
      <w:proofErr w:type="spellEnd"/>
      <w:r w:rsidR="00902F1D">
        <w:rPr>
          <w:rFonts w:ascii="Times New Roman" w:hAnsi="Times New Roman" w:cs="Times New Roman"/>
          <w:sz w:val="24"/>
          <w:szCs w:val="24"/>
          <w:shd w:val="clear" w:color="auto" w:fill="FFFFFF"/>
          <w:lang w:val="en-US"/>
        </w:rPr>
        <w:t>, PhD</w:t>
      </w:r>
      <w:r>
        <w:rPr>
          <w:rFonts w:ascii="Times New Roman" w:hAnsi="Times New Roman" w:cs="Times New Roman"/>
          <w:sz w:val="24"/>
          <w:szCs w:val="24"/>
          <w:shd w:val="clear" w:color="auto" w:fill="FFFFFF"/>
          <w:lang w:val="en-US"/>
        </w:rPr>
        <w:t>)</w:t>
      </w:r>
      <w:r w:rsidR="00527D96">
        <w:rPr>
          <w:rFonts w:ascii="Times New Roman" w:hAnsi="Times New Roman" w:cs="Times New Roman"/>
          <w:sz w:val="24"/>
          <w:szCs w:val="24"/>
          <w:shd w:val="clear" w:color="auto" w:fill="FFFFFF"/>
          <w:vertAlign w:val="superscript"/>
          <w:lang w:val="en-US"/>
        </w:rPr>
        <w:t>1</w:t>
      </w:r>
      <w:r w:rsidR="00527D96">
        <w:rPr>
          <w:rFonts w:ascii="Times New Roman" w:hAnsi="Times New Roman" w:cs="Times New Roman"/>
          <w:sz w:val="24"/>
          <w:szCs w:val="24"/>
          <w:shd w:val="clear" w:color="auto" w:fill="FFFFFF"/>
          <w:lang w:val="en-US"/>
        </w:rPr>
        <w:t xml:space="preserve">, </w:t>
      </w:r>
      <w:r w:rsidR="00902F1D">
        <w:rPr>
          <w:rFonts w:ascii="Times New Roman" w:hAnsi="Times New Roman" w:cs="Times New Roman"/>
          <w:sz w:val="24"/>
          <w:szCs w:val="24"/>
          <w:shd w:val="clear" w:color="auto" w:fill="FFFFFF"/>
          <w:lang w:val="en-US"/>
        </w:rPr>
        <w:t>Prof Gillian Lancaster (MSc, PhD)</w:t>
      </w:r>
      <w:r w:rsidR="00902F1D">
        <w:rPr>
          <w:rFonts w:ascii="Times New Roman" w:hAnsi="Times New Roman" w:cs="Times New Roman"/>
          <w:sz w:val="24"/>
          <w:szCs w:val="24"/>
          <w:shd w:val="clear" w:color="auto" w:fill="FFFFFF"/>
          <w:vertAlign w:val="superscript"/>
          <w:lang w:val="en-US"/>
        </w:rPr>
        <w:t>1</w:t>
      </w:r>
      <w:r w:rsidR="00D24345">
        <w:rPr>
          <w:rFonts w:ascii="Times New Roman" w:hAnsi="Times New Roman" w:cs="Times New Roman"/>
          <w:sz w:val="24"/>
          <w:szCs w:val="24"/>
          <w:shd w:val="clear" w:color="auto" w:fill="FFFFFF"/>
          <w:vertAlign w:val="superscript"/>
          <w:lang w:val="en-US"/>
        </w:rPr>
        <w:t>,2</w:t>
      </w:r>
      <w:r w:rsidR="00902F1D">
        <w:rPr>
          <w:rFonts w:ascii="Times New Roman" w:hAnsi="Times New Roman" w:cs="Times New Roman"/>
          <w:sz w:val="24"/>
          <w:szCs w:val="24"/>
          <w:shd w:val="clear" w:color="auto" w:fill="FFFFFF"/>
          <w:lang w:val="en-US"/>
        </w:rPr>
        <w:t xml:space="preserve">, </w:t>
      </w:r>
      <w:r w:rsidR="00FA2AD2">
        <w:rPr>
          <w:rFonts w:ascii="Times New Roman" w:hAnsi="Times New Roman" w:cs="Times New Roman"/>
          <w:sz w:val="24"/>
          <w:szCs w:val="24"/>
          <w:shd w:val="clear" w:color="auto" w:fill="FFFFFF"/>
          <w:lang w:val="en-US"/>
        </w:rPr>
        <w:t xml:space="preserve">Prof Nadine </w:t>
      </w:r>
      <w:r w:rsidR="006E1C6C">
        <w:rPr>
          <w:rFonts w:ascii="Times New Roman" w:hAnsi="Times New Roman" w:cs="Times New Roman"/>
          <w:sz w:val="24"/>
          <w:szCs w:val="24"/>
          <w:shd w:val="clear" w:color="auto" w:fill="FFFFFF"/>
          <w:lang w:val="en-US"/>
        </w:rPr>
        <w:t xml:space="preserve">E </w:t>
      </w:r>
      <w:r w:rsidR="00FA2AD2">
        <w:rPr>
          <w:rFonts w:ascii="Times New Roman" w:hAnsi="Times New Roman" w:cs="Times New Roman"/>
          <w:sz w:val="24"/>
          <w:szCs w:val="24"/>
          <w:shd w:val="clear" w:color="auto" w:fill="FFFFFF"/>
          <w:lang w:val="en-US"/>
        </w:rPr>
        <w:t>Foster</w:t>
      </w:r>
      <w:r>
        <w:rPr>
          <w:rFonts w:ascii="Times New Roman" w:hAnsi="Times New Roman" w:cs="Times New Roman"/>
          <w:sz w:val="24"/>
          <w:szCs w:val="24"/>
          <w:shd w:val="clear" w:color="auto" w:fill="FFFFFF"/>
          <w:lang w:val="en-US"/>
        </w:rPr>
        <w:t xml:space="preserve"> (</w:t>
      </w:r>
      <w:r w:rsidR="006E1C6C">
        <w:rPr>
          <w:rFonts w:ascii="Times New Roman" w:hAnsi="Times New Roman" w:cs="Times New Roman"/>
          <w:sz w:val="24"/>
          <w:szCs w:val="24"/>
          <w:shd w:val="clear" w:color="auto" w:fill="FFFFFF"/>
          <w:lang w:val="en-US"/>
        </w:rPr>
        <w:t>BSc</w:t>
      </w:r>
      <w:r w:rsidR="00D24345">
        <w:rPr>
          <w:rFonts w:ascii="Times New Roman" w:hAnsi="Times New Roman" w:cs="Times New Roman"/>
          <w:sz w:val="24"/>
          <w:szCs w:val="24"/>
          <w:shd w:val="clear" w:color="auto" w:fill="FFFFFF"/>
          <w:lang w:val="en-US"/>
        </w:rPr>
        <w:t xml:space="preserve"> </w:t>
      </w:r>
      <w:r w:rsidR="000D429C">
        <w:rPr>
          <w:rFonts w:ascii="Times New Roman" w:hAnsi="Times New Roman" w:cs="Times New Roman"/>
          <w:sz w:val="24"/>
          <w:szCs w:val="24"/>
          <w:shd w:val="clear" w:color="auto" w:fill="FFFFFF"/>
          <w:lang w:val="en-US"/>
        </w:rPr>
        <w:t>[</w:t>
      </w:r>
      <w:r w:rsidR="006E1C6C">
        <w:rPr>
          <w:rFonts w:ascii="Times New Roman" w:hAnsi="Times New Roman" w:cs="Times New Roman"/>
          <w:sz w:val="24"/>
          <w:szCs w:val="24"/>
          <w:shd w:val="clear" w:color="auto" w:fill="FFFFFF"/>
          <w:lang w:val="en-US"/>
        </w:rPr>
        <w:t>Hons</w:t>
      </w:r>
      <w:r w:rsidR="000D429C">
        <w:rPr>
          <w:rFonts w:ascii="Times New Roman" w:hAnsi="Times New Roman" w:cs="Times New Roman"/>
          <w:sz w:val="24"/>
          <w:szCs w:val="24"/>
          <w:shd w:val="clear" w:color="auto" w:fill="FFFFFF"/>
          <w:lang w:val="en-US"/>
        </w:rPr>
        <w:t>]</w:t>
      </w:r>
      <w:r w:rsidR="006E1C6C">
        <w:rPr>
          <w:rFonts w:ascii="Times New Roman" w:hAnsi="Times New Roman" w:cs="Times New Roman"/>
          <w:sz w:val="24"/>
          <w:szCs w:val="24"/>
          <w:shd w:val="clear" w:color="auto" w:fill="FFFFFF"/>
          <w:lang w:val="en-US"/>
        </w:rPr>
        <w:t>, DPhil</w:t>
      </w:r>
      <w:r>
        <w:rPr>
          <w:rFonts w:ascii="Times New Roman" w:hAnsi="Times New Roman" w:cs="Times New Roman"/>
          <w:sz w:val="24"/>
          <w:szCs w:val="24"/>
          <w:shd w:val="clear" w:color="auto" w:fill="FFFFFF"/>
          <w:lang w:val="en-US"/>
        </w:rPr>
        <w:t>)</w:t>
      </w:r>
      <w:r w:rsidR="00FA2AD2">
        <w:rPr>
          <w:rFonts w:ascii="Times New Roman" w:hAnsi="Times New Roman" w:cs="Times New Roman"/>
          <w:sz w:val="24"/>
          <w:szCs w:val="24"/>
          <w:shd w:val="clear" w:color="auto" w:fill="FFFFFF"/>
          <w:vertAlign w:val="superscript"/>
          <w:lang w:val="en-US"/>
        </w:rPr>
        <w:t>1</w:t>
      </w:r>
      <w:r w:rsidR="00FA2AD2">
        <w:rPr>
          <w:rFonts w:ascii="Times New Roman" w:hAnsi="Times New Roman" w:cs="Times New Roman"/>
          <w:sz w:val="24"/>
          <w:szCs w:val="24"/>
          <w:shd w:val="clear" w:color="auto" w:fill="FFFFFF"/>
          <w:lang w:val="en-US"/>
        </w:rPr>
        <w:t xml:space="preserve">, </w:t>
      </w:r>
      <w:proofErr w:type="spellStart"/>
      <w:r w:rsidR="00527D96" w:rsidRPr="00BB1256">
        <w:rPr>
          <w:rFonts w:ascii="Times New Roman" w:hAnsi="Times New Roman" w:cs="Times New Roman"/>
          <w:sz w:val="24"/>
          <w:szCs w:val="24"/>
          <w:shd w:val="clear" w:color="auto" w:fill="FFFFFF"/>
          <w:lang w:val="en-US"/>
        </w:rPr>
        <w:t>Dr</w:t>
      </w:r>
      <w:proofErr w:type="spellEnd"/>
      <w:r w:rsidR="00527D96" w:rsidRPr="00BB1256">
        <w:rPr>
          <w:rFonts w:ascii="Times New Roman" w:hAnsi="Times New Roman" w:cs="Times New Roman"/>
          <w:sz w:val="24"/>
          <w:szCs w:val="24"/>
          <w:shd w:val="clear" w:color="auto" w:fill="FFFFFF"/>
          <w:lang w:val="en-US"/>
        </w:rPr>
        <w:t xml:space="preserve"> </w:t>
      </w:r>
      <w:r w:rsidR="00527D96">
        <w:rPr>
          <w:rFonts w:ascii="Times New Roman" w:hAnsi="Times New Roman" w:cs="Times New Roman"/>
          <w:sz w:val="24"/>
          <w:szCs w:val="24"/>
          <w:shd w:val="clear" w:color="auto" w:fill="FFFFFF"/>
          <w:lang w:val="en-US"/>
        </w:rPr>
        <w:t>Jonathan</w:t>
      </w:r>
      <w:r w:rsidR="00ED6DB7">
        <w:rPr>
          <w:rFonts w:ascii="Times New Roman" w:hAnsi="Times New Roman" w:cs="Times New Roman"/>
          <w:sz w:val="24"/>
          <w:szCs w:val="24"/>
          <w:shd w:val="clear" w:color="auto" w:fill="FFFFFF"/>
          <w:lang w:val="en-US"/>
        </w:rPr>
        <w:t xml:space="preserve"> C</w:t>
      </w:r>
      <w:r w:rsidR="00527D96">
        <w:rPr>
          <w:rFonts w:ascii="Times New Roman" w:hAnsi="Times New Roman" w:cs="Times New Roman"/>
          <w:sz w:val="24"/>
          <w:szCs w:val="24"/>
          <w:shd w:val="clear" w:color="auto" w:fill="FFFFFF"/>
          <w:lang w:val="en-US"/>
        </w:rPr>
        <w:t xml:space="preserve"> Hill</w:t>
      </w:r>
      <w:r>
        <w:rPr>
          <w:rFonts w:ascii="Times New Roman" w:hAnsi="Times New Roman" w:cs="Times New Roman"/>
          <w:sz w:val="24"/>
          <w:szCs w:val="24"/>
          <w:shd w:val="clear" w:color="auto" w:fill="FFFFFF"/>
          <w:lang w:val="en-US"/>
        </w:rPr>
        <w:t xml:space="preserve"> (</w:t>
      </w:r>
      <w:r w:rsidR="00CF018F">
        <w:rPr>
          <w:rFonts w:ascii="Times New Roman" w:hAnsi="Times New Roman" w:cs="Times New Roman"/>
          <w:sz w:val="24"/>
          <w:szCs w:val="24"/>
          <w:shd w:val="clear" w:color="auto" w:fill="FFFFFF"/>
          <w:lang w:val="en-US"/>
        </w:rPr>
        <w:t>BSc, MSc, PhD</w:t>
      </w:r>
      <w:r>
        <w:rPr>
          <w:rFonts w:ascii="Times New Roman" w:hAnsi="Times New Roman" w:cs="Times New Roman"/>
          <w:sz w:val="24"/>
          <w:szCs w:val="24"/>
          <w:shd w:val="clear" w:color="auto" w:fill="FFFFFF"/>
          <w:lang w:val="en-US"/>
        </w:rPr>
        <w:t>)</w:t>
      </w:r>
      <w:r w:rsidR="00527D96" w:rsidRPr="00527D96">
        <w:rPr>
          <w:rFonts w:ascii="Times New Roman" w:hAnsi="Times New Roman" w:cs="Times New Roman"/>
          <w:sz w:val="24"/>
          <w:szCs w:val="24"/>
          <w:shd w:val="clear" w:color="auto" w:fill="FFFFFF"/>
          <w:vertAlign w:val="superscript"/>
          <w:lang w:val="en-US"/>
        </w:rPr>
        <w:t>1</w:t>
      </w:r>
    </w:p>
    <w:p w14:paraId="7944B35C" w14:textId="77777777" w:rsidR="00527D96" w:rsidRPr="00382469" w:rsidRDefault="00527D96" w:rsidP="00527D96">
      <w:pPr>
        <w:pStyle w:val="NoSpacing"/>
        <w:spacing w:line="480" w:lineRule="auto"/>
        <w:jc w:val="center"/>
        <w:rPr>
          <w:rFonts w:ascii="Times New Roman" w:hAnsi="Times New Roman" w:cs="Times New Roman"/>
          <w:b/>
          <w:sz w:val="24"/>
          <w:szCs w:val="24"/>
          <w:lang w:val="en-US"/>
        </w:rPr>
      </w:pPr>
    </w:p>
    <w:p w14:paraId="5BA1BABE" w14:textId="77777777" w:rsidR="00527D96" w:rsidRPr="00083340" w:rsidRDefault="00527D96" w:rsidP="00527D96">
      <w:pPr>
        <w:spacing w:line="360" w:lineRule="auto"/>
        <w:jc w:val="center"/>
        <w:rPr>
          <w:rFonts w:ascii="Times New Roman" w:hAnsi="Times New Roman" w:cs="Times New Roman"/>
          <w:b/>
          <w:sz w:val="24"/>
          <w:szCs w:val="24"/>
          <w:shd w:val="clear" w:color="auto" w:fill="FFFFFF"/>
          <w:lang w:val="en-US"/>
        </w:rPr>
      </w:pPr>
      <w:r w:rsidRPr="00083340">
        <w:rPr>
          <w:rFonts w:ascii="Times New Roman" w:hAnsi="Times New Roman" w:cs="Times New Roman"/>
          <w:b/>
          <w:sz w:val="24"/>
          <w:szCs w:val="24"/>
          <w:shd w:val="clear" w:color="auto" w:fill="FFFFFF"/>
          <w:lang w:val="en-US"/>
        </w:rPr>
        <w:t>Affiliations:</w:t>
      </w:r>
    </w:p>
    <w:p w14:paraId="3DF9924C" w14:textId="4E130B6D" w:rsidR="00527D96" w:rsidRDefault="00527D96" w:rsidP="00527D96">
      <w:pPr>
        <w:pStyle w:val="NoSpacing"/>
        <w:numPr>
          <w:ilvl w:val="0"/>
          <w:numId w:val="2"/>
        </w:num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Primary Care Centre Versus Arthritis, </w:t>
      </w:r>
      <w:r w:rsidR="000D429C" w:rsidRPr="001804EC">
        <w:rPr>
          <w:rFonts w:ascii="Times New Roman" w:hAnsi="Times New Roman" w:cs="Times New Roman"/>
          <w:sz w:val="24"/>
          <w:szCs w:val="24"/>
        </w:rPr>
        <w:t>School of Prim</w:t>
      </w:r>
      <w:r w:rsidR="00CC0B1B">
        <w:rPr>
          <w:rFonts w:ascii="Times New Roman" w:hAnsi="Times New Roman" w:cs="Times New Roman"/>
          <w:sz w:val="24"/>
          <w:szCs w:val="24"/>
        </w:rPr>
        <w:t>ary, Community and Social Care,</w:t>
      </w:r>
      <w:r w:rsidRPr="000A3D0E">
        <w:rPr>
          <w:rFonts w:ascii="Times New Roman" w:hAnsi="Times New Roman" w:cs="Times New Roman"/>
          <w:sz w:val="24"/>
          <w:szCs w:val="24"/>
        </w:rPr>
        <w:t xml:space="preserve"> </w:t>
      </w:r>
      <w:proofErr w:type="spellStart"/>
      <w:r w:rsidRPr="000A3D0E">
        <w:rPr>
          <w:rFonts w:ascii="Times New Roman" w:hAnsi="Times New Roman" w:cs="Times New Roman"/>
          <w:sz w:val="24"/>
          <w:szCs w:val="24"/>
        </w:rPr>
        <w:t>Keele</w:t>
      </w:r>
      <w:proofErr w:type="spellEnd"/>
      <w:r w:rsidRPr="000A3D0E">
        <w:rPr>
          <w:rFonts w:ascii="Times New Roman" w:hAnsi="Times New Roman" w:cs="Times New Roman"/>
          <w:sz w:val="24"/>
          <w:szCs w:val="24"/>
        </w:rPr>
        <w:t xml:space="preserve"> University, </w:t>
      </w:r>
      <w:proofErr w:type="spellStart"/>
      <w:r w:rsidRPr="000A3D0E">
        <w:rPr>
          <w:rFonts w:ascii="Times New Roman" w:hAnsi="Times New Roman" w:cs="Times New Roman"/>
          <w:sz w:val="24"/>
          <w:szCs w:val="24"/>
        </w:rPr>
        <w:t>Keele</w:t>
      </w:r>
      <w:proofErr w:type="spellEnd"/>
      <w:r w:rsidRPr="000A3D0E">
        <w:rPr>
          <w:rFonts w:ascii="Times New Roman" w:hAnsi="Times New Roman" w:cs="Times New Roman"/>
          <w:sz w:val="24"/>
          <w:szCs w:val="24"/>
        </w:rPr>
        <w:t>, UK</w:t>
      </w:r>
      <w:r w:rsidR="000D429C">
        <w:rPr>
          <w:rFonts w:ascii="Times New Roman" w:hAnsi="Times New Roman" w:cs="Times New Roman"/>
          <w:sz w:val="24"/>
          <w:szCs w:val="24"/>
        </w:rPr>
        <w:t>.</w:t>
      </w:r>
    </w:p>
    <w:p w14:paraId="4C2C4D5F" w14:textId="10EC002E" w:rsidR="000D429C" w:rsidRPr="000D429C" w:rsidRDefault="000D429C" w:rsidP="000D429C">
      <w:pPr>
        <w:pStyle w:val="NoSpacing"/>
        <w:numPr>
          <w:ilvl w:val="0"/>
          <w:numId w:val="2"/>
        </w:num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Clinical Trials Unit, </w:t>
      </w:r>
      <w:r w:rsidRPr="00B538AA">
        <w:rPr>
          <w:rFonts w:ascii="Times New Roman" w:hAnsi="Times New Roman" w:cs="Times New Roman"/>
          <w:sz w:val="24"/>
          <w:szCs w:val="24"/>
        </w:rPr>
        <w:t xml:space="preserve">School of Primary, Community and Social Care, </w:t>
      </w:r>
      <w:proofErr w:type="spellStart"/>
      <w:r w:rsidRPr="000A3D0E">
        <w:rPr>
          <w:rFonts w:ascii="Times New Roman" w:hAnsi="Times New Roman" w:cs="Times New Roman"/>
          <w:sz w:val="24"/>
          <w:szCs w:val="24"/>
        </w:rPr>
        <w:t>Keele</w:t>
      </w:r>
      <w:proofErr w:type="spellEnd"/>
      <w:r w:rsidRPr="000A3D0E">
        <w:rPr>
          <w:rFonts w:ascii="Times New Roman" w:hAnsi="Times New Roman" w:cs="Times New Roman"/>
          <w:sz w:val="24"/>
          <w:szCs w:val="24"/>
        </w:rPr>
        <w:t xml:space="preserve"> University, </w:t>
      </w:r>
      <w:proofErr w:type="spellStart"/>
      <w:r w:rsidRPr="000A3D0E">
        <w:rPr>
          <w:rFonts w:ascii="Times New Roman" w:hAnsi="Times New Roman" w:cs="Times New Roman"/>
          <w:sz w:val="24"/>
          <w:szCs w:val="24"/>
        </w:rPr>
        <w:t>Keele</w:t>
      </w:r>
      <w:proofErr w:type="spellEnd"/>
      <w:r w:rsidRPr="000A3D0E">
        <w:rPr>
          <w:rFonts w:ascii="Times New Roman" w:hAnsi="Times New Roman" w:cs="Times New Roman"/>
          <w:sz w:val="24"/>
          <w:szCs w:val="24"/>
        </w:rPr>
        <w:t>, UK</w:t>
      </w:r>
      <w:r>
        <w:rPr>
          <w:rFonts w:ascii="Times New Roman" w:hAnsi="Times New Roman" w:cs="Times New Roman"/>
          <w:sz w:val="24"/>
          <w:szCs w:val="24"/>
        </w:rPr>
        <w:t>.</w:t>
      </w:r>
    </w:p>
    <w:p w14:paraId="2A6E3D69" w14:textId="77777777" w:rsidR="00527D96" w:rsidRPr="00083340" w:rsidRDefault="00527D96" w:rsidP="00527D96">
      <w:pPr>
        <w:pStyle w:val="NoSpacing"/>
        <w:numPr>
          <w:ilvl w:val="0"/>
          <w:numId w:val="2"/>
        </w:num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Haywood Academic </w:t>
      </w:r>
      <w:r w:rsidRPr="00083340">
        <w:rPr>
          <w:rFonts w:ascii="Times New Roman" w:hAnsi="Times New Roman" w:cs="Times New Roman"/>
          <w:sz w:val="24"/>
          <w:szCs w:val="24"/>
        </w:rPr>
        <w:t xml:space="preserve">Rheumatology Centre, Haywood Hospital, Midlands Partnership NHS Foundation Trust, High Lane, </w:t>
      </w:r>
      <w:proofErr w:type="spellStart"/>
      <w:r w:rsidRPr="00083340">
        <w:rPr>
          <w:rFonts w:ascii="Times New Roman" w:hAnsi="Times New Roman" w:cs="Times New Roman"/>
          <w:sz w:val="24"/>
          <w:szCs w:val="24"/>
        </w:rPr>
        <w:t>Burslem</w:t>
      </w:r>
      <w:proofErr w:type="spellEnd"/>
      <w:r w:rsidRPr="00083340">
        <w:rPr>
          <w:rFonts w:ascii="Times New Roman" w:hAnsi="Times New Roman" w:cs="Times New Roman"/>
          <w:sz w:val="24"/>
          <w:szCs w:val="24"/>
        </w:rPr>
        <w:t>, Staffordshire, UK.</w:t>
      </w:r>
    </w:p>
    <w:p w14:paraId="661C1FD1" w14:textId="3001A2E9" w:rsidR="00527D96" w:rsidRPr="00083340" w:rsidRDefault="00527D96" w:rsidP="00527D96">
      <w:pPr>
        <w:spacing w:line="360" w:lineRule="auto"/>
        <w:jc w:val="center"/>
        <w:rPr>
          <w:rFonts w:ascii="Times New Roman" w:hAnsi="Times New Roman" w:cs="Times New Roman"/>
          <w:b/>
          <w:sz w:val="24"/>
          <w:szCs w:val="24"/>
        </w:rPr>
      </w:pPr>
      <w:r w:rsidRPr="00083340">
        <w:rPr>
          <w:rFonts w:ascii="Times New Roman" w:hAnsi="Times New Roman" w:cs="Times New Roman"/>
          <w:b/>
          <w:sz w:val="24"/>
          <w:szCs w:val="24"/>
        </w:rPr>
        <w:t xml:space="preserve">Abstract Word Count: </w:t>
      </w:r>
      <w:r w:rsidR="009A0DC6">
        <w:rPr>
          <w:rFonts w:ascii="Times New Roman" w:hAnsi="Times New Roman" w:cs="Times New Roman"/>
          <w:sz w:val="24"/>
          <w:szCs w:val="24"/>
        </w:rPr>
        <w:t>2</w:t>
      </w:r>
      <w:r w:rsidR="00BC6553">
        <w:rPr>
          <w:rFonts w:ascii="Times New Roman" w:hAnsi="Times New Roman" w:cs="Times New Roman"/>
          <w:sz w:val="24"/>
          <w:szCs w:val="24"/>
        </w:rPr>
        <w:t>4</w:t>
      </w:r>
      <w:r w:rsidR="00C82C3B">
        <w:rPr>
          <w:rFonts w:ascii="Times New Roman" w:hAnsi="Times New Roman" w:cs="Times New Roman"/>
          <w:sz w:val="24"/>
          <w:szCs w:val="24"/>
        </w:rPr>
        <w:t>4</w:t>
      </w:r>
    </w:p>
    <w:p w14:paraId="1ACB2D24" w14:textId="2E2A335D" w:rsidR="00527D96" w:rsidRPr="00083340" w:rsidRDefault="00527D96" w:rsidP="00527D96">
      <w:pPr>
        <w:spacing w:line="360" w:lineRule="auto"/>
        <w:jc w:val="center"/>
        <w:rPr>
          <w:rFonts w:ascii="Times New Roman" w:hAnsi="Times New Roman" w:cs="Times New Roman"/>
          <w:sz w:val="24"/>
          <w:szCs w:val="24"/>
        </w:rPr>
      </w:pPr>
      <w:r w:rsidRPr="00083340">
        <w:rPr>
          <w:rFonts w:ascii="Times New Roman" w:hAnsi="Times New Roman" w:cs="Times New Roman"/>
          <w:b/>
          <w:sz w:val="24"/>
          <w:szCs w:val="24"/>
        </w:rPr>
        <w:t xml:space="preserve">Manuscript Word Count: </w:t>
      </w:r>
      <w:r w:rsidR="00FB390C">
        <w:rPr>
          <w:rFonts w:ascii="Times New Roman" w:hAnsi="Times New Roman" w:cs="Times New Roman"/>
          <w:sz w:val="24"/>
          <w:szCs w:val="24"/>
          <w:lang w:val="en-US"/>
        </w:rPr>
        <w:t>4,416</w:t>
      </w:r>
    </w:p>
    <w:p w14:paraId="7F8F8901" w14:textId="74594DED" w:rsidR="00332760" w:rsidRPr="005F7902" w:rsidRDefault="00527D96" w:rsidP="005F7902">
      <w:pPr>
        <w:spacing w:line="360" w:lineRule="auto"/>
        <w:jc w:val="center"/>
        <w:rPr>
          <w:rFonts w:ascii="Times New Roman" w:hAnsi="Times New Roman" w:cs="Times New Roman"/>
          <w:sz w:val="24"/>
          <w:szCs w:val="24"/>
        </w:rPr>
      </w:pPr>
      <w:r w:rsidRPr="005F7902">
        <w:rPr>
          <w:rFonts w:ascii="Times New Roman" w:hAnsi="Times New Roman" w:cs="Times New Roman"/>
          <w:b/>
          <w:sz w:val="24"/>
          <w:szCs w:val="24"/>
        </w:rPr>
        <w:t>Corresponding Author:</w:t>
      </w:r>
      <w:r w:rsidRPr="005F7902">
        <w:rPr>
          <w:rFonts w:ascii="Times New Roman" w:hAnsi="Times New Roman" w:cs="Times New Roman"/>
          <w:sz w:val="24"/>
          <w:szCs w:val="24"/>
        </w:rPr>
        <w:t xml:space="preserve"> </w:t>
      </w:r>
      <w:r w:rsidR="005F7902" w:rsidRPr="005F7902">
        <w:rPr>
          <w:rFonts w:ascii="Times New Roman" w:hAnsi="Times New Roman" w:cs="Times New Roman"/>
          <w:sz w:val="24"/>
          <w:szCs w:val="24"/>
        </w:rPr>
        <w:t xml:space="preserve">Dr Ian Scott; </w:t>
      </w:r>
      <w:hyperlink r:id="rId8" w:history="1">
        <w:r w:rsidR="005F7902" w:rsidRPr="005F7902">
          <w:rPr>
            <w:rStyle w:val="Hyperlink"/>
            <w:rFonts w:ascii="Times New Roman" w:hAnsi="Times New Roman" w:cs="Times New Roman"/>
            <w:sz w:val="24"/>
            <w:szCs w:val="24"/>
          </w:rPr>
          <w:t>i.scott@keele.ac.uk</w:t>
        </w:r>
      </w:hyperlink>
      <w:r w:rsidR="005F7902" w:rsidRPr="005F7902">
        <w:rPr>
          <w:rFonts w:ascii="Times New Roman" w:hAnsi="Times New Roman" w:cs="Times New Roman"/>
          <w:sz w:val="24"/>
          <w:szCs w:val="24"/>
        </w:rPr>
        <w:t xml:space="preserve">; </w:t>
      </w:r>
      <w:r w:rsidR="005F7902" w:rsidRPr="00083340">
        <w:rPr>
          <w:rFonts w:ascii="Times New Roman" w:hAnsi="Times New Roman" w:cs="Times New Roman"/>
          <w:sz w:val="24"/>
          <w:szCs w:val="24"/>
        </w:rPr>
        <w:t>ORCHID ID</w:t>
      </w:r>
      <w:r w:rsidR="005F7902">
        <w:rPr>
          <w:rFonts w:ascii="Times New Roman" w:eastAsia="Times New Roman" w:hAnsi="Times New Roman" w:cs="Times New Roman"/>
          <w:sz w:val="24"/>
          <w:szCs w:val="24"/>
        </w:rPr>
        <w:t>: 0000-0002-1268-</w:t>
      </w:r>
      <w:r w:rsidR="005F7902" w:rsidRPr="00C41F09">
        <w:rPr>
          <w:rFonts w:ascii="Times New Roman" w:hAnsi="Times New Roman" w:cs="Times New Roman"/>
          <w:sz w:val="24"/>
          <w:szCs w:val="24"/>
        </w:rPr>
        <w:t xml:space="preserve">9808; </w:t>
      </w:r>
      <w:r w:rsidR="005F7902" w:rsidRPr="005F7902">
        <w:rPr>
          <w:rFonts w:ascii="Times New Roman" w:hAnsi="Times New Roman" w:cs="Times New Roman"/>
          <w:sz w:val="24"/>
          <w:szCs w:val="24"/>
        </w:rPr>
        <w:t xml:space="preserve">telephone </w:t>
      </w:r>
      <w:r w:rsidR="00C41F09" w:rsidRPr="00C41F09">
        <w:rPr>
          <w:rFonts w:ascii="Times New Roman" w:hAnsi="Times New Roman" w:cs="Times New Roman"/>
          <w:sz w:val="24"/>
          <w:szCs w:val="24"/>
        </w:rPr>
        <w:t>01782 733905</w:t>
      </w:r>
      <w:r w:rsidR="005F7902" w:rsidRPr="005F7902">
        <w:rPr>
          <w:rFonts w:ascii="Times New Roman" w:hAnsi="Times New Roman" w:cs="Times New Roman"/>
          <w:sz w:val="24"/>
          <w:szCs w:val="24"/>
        </w:rPr>
        <w:t xml:space="preserve">; fax </w:t>
      </w:r>
      <w:r w:rsidR="00C41F09" w:rsidRPr="00C41F09">
        <w:rPr>
          <w:rFonts w:ascii="Times New Roman" w:hAnsi="Times New Roman" w:cs="Times New Roman"/>
          <w:sz w:val="24"/>
          <w:szCs w:val="24"/>
        </w:rPr>
        <w:t>01782 734719</w:t>
      </w:r>
      <w:r w:rsidR="005F7902" w:rsidRPr="005F7902">
        <w:rPr>
          <w:rFonts w:ascii="Times New Roman" w:hAnsi="Times New Roman" w:cs="Times New Roman"/>
          <w:sz w:val="24"/>
          <w:szCs w:val="24"/>
        </w:rPr>
        <w:t>.</w:t>
      </w:r>
    </w:p>
    <w:p w14:paraId="682B4A33" w14:textId="349AD09B" w:rsidR="00332760" w:rsidRDefault="00332760" w:rsidP="005F7902">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br w:type="page"/>
      </w:r>
    </w:p>
    <w:p w14:paraId="1675F4DD" w14:textId="77777777" w:rsidR="00332760" w:rsidRDefault="00332760" w:rsidP="00332760">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ABSTRACT</w:t>
      </w:r>
    </w:p>
    <w:p w14:paraId="521423B0" w14:textId="679DE438" w:rsidR="00332760" w:rsidRPr="00E70628" w:rsidRDefault="00332760" w:rsidP="00332760">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Objective</w:t>
      </w:r>
    </w:p>
    <w:p w14:paraId="69A9F977" w14:textId="5D9D64E1" w:rsidR="00332760" w:rsidRDefault="0099607D" w:rsidP="0033276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evaluate the </w:t>
      </w:r>
      <w:r w:rsidR="00806FBD">
        <w:rPr>
          <w:rFonts w:ascii="Times New Roman" w:hAnsi="Times New Roman" w:cs="Times New Roman"/>
          <w:noProof/>
          <w:sz w:val="24"/>
          <w:szCs w:val="24"/>
        </w:rPr>
        <w:t>responsiveness, and concurrent validity</w:t>
      </w:r>
      <w:r>
        <w:rPr>
          <w:rFonts w:ascii="Times New Roman" w:hAnsi="Times New Roman" w:cs="Times New Roman"/>
          <w:sz w:val="24"/>
          <w:szCs w:val="24"/>
        </w:rPr>
        <w:t xml:space="preserve"> of t</w:t>
      </w:r>
      <w:r w:rsidR="00332760" w:rsidRPr="00E70628">
        <w:rPr>
          <w:rFonts w:ascii="Times New Roman" w:hAnsi="Times New Roman" w:cs="Times New Roman"/>
          <w:sz w:val="24"/>
          <w:szCs w:val="24"/>
        </w:rPr>
        <w:t xml:space="preserve">he Musculoskeletal </w:t>
      </w:r>
      <w:r w:rsidR="00D37691">
        <w:rPr>
          <w:rFonts w:ascii="Times New Roman" w:hAnsi="Times New Roman" w:cs="Times New Roman"/>
          <w:sz w:val="24"/>
          <w:szCs w:val="24"/>
        </w:rPr>
        <w:t xml:space="preserve">Health Questionnaire (MSK-HQ) </w:t>
      </w:r>
      <w:r w:rsidR="00332760">
        <w:rPr>
          <w:rFonts w:ascii="Times New Roman" w:hAnsi="Times New Roman" w:cs="Times New Roman"/>
          <w:sz w:val="24"/>
          <w:szCs w:val="24"/>
        </w:rPr>
        <w:t xml:space="preserve">in </w:t>
      </w:r>
      <w:r w:rsidR="000D429C">
        <w:rPr>
          <w:rFonts w:ascii="Times New Roman" w:hAnsi="Times New Roman" w:cs="Times New Roman"/>
          <w:sz w:val="24"/>
          <w:szCs w:val="24"/>
        </w:rPr>
        <w:t xml:space="preserve">UK primary care </w:t>
      </w:r>
      <w:r w:rsidR="00312FDD">
        <w:rPr>
          <w:rFonts w:ascii="Times New Roman" w:hAnsi="Times New Roman" w:cs="Times New Roman"/>
          <w:sz w:val="24"/>
          <w:szCs w:val="24"/>
        </w:rPr>
        <w:t>patients</w:t>
      </w:r>
      <w:r w:rsidR="00332760">
        <w:rPr>
          <w:rFonts w:ascii="Times New Roman" w:hAnsi="Times New Roman" w:cs="Times New Roman"/>
          <w:sz w:val="24"/>
          <w:szCs w:val="24"/>
        </w:rPr>
        <w:t xml:space="preserve"> with </w:t>
      </w:r>
      <w:r w:rsidR="00497190">
        <w:rPr>
          <w:rFonts w:ascii="Times New Roman" w:hAnsi="Times New Roman" w:cs="Times New Roman"/>
          <w:sz w:val="24"/>
          <w:szCs w:val="24"/>
        </w:rPr>
        <w:t>common musculoskeletal (</w:t>
      </w:r>
      <w:r w:rsidR="00332760">
        <w:rPr>
          <w:rFonts w:ascii="Times New Roman" w:hAnsi="Times New Roman" w:cs="Times New Roman"/>
          <w:sz w:val="24"/>
          <w:szCs w:val="24"/>
        </w:rPr>
        <w:t>MSK</w:t>
      </w:r>
      <w:r w:rsidR="00497190">
        <w:rPr>
          <w:rFonts w:ascii="Times New Roman" w:hAnsi="Times New Roman" w:cs="Times New Roman"/>
          <w:sz w:val="24"/>
          <w:szCs w:val="24"/>
        </w:rPr>
        <w:t xml:space="preserve">) </w:t>
      </w:r>
      <w:r w:rsidR="00332760">
        <w:rPr>
          <w:rFonts w:ascii="Times New Roman" w:hAnsi="Times New Roman" w:cs="Times New Roman"/>
          <w:sz w:val="24"/>
          <w:szCs w:val="24"/>
        </w:rPr>
        <w:t>pain</w:t>
      </w:r>
      <w:r w:rsidR="00497190">
        <w:rPr>
          <w:rFonts w:ascii="Times New Roman" w:hAnsi="Times New Roman" w:cs="Times New Roman"/>
          <w:sz w:val="24"/>
          <w:szCs w:val="24"/>
        </w:rPr>
        <w:t xml:space="preserve"> presentations</w:t>
      </w:r>
      <w:r w:rsidR="001448CA">
        <w:rPr>
          <w:rFonts w:ascii="Times New Roman" w:hAnsi="Times New Roman" w:cs="Times New Roman"/>
          <w:sz w:val="24"/>
          <w:szCs w:val="24"/>
        </w:rPr>
        <w:t>.</w:t>
      </w:r>
    </w:p>
    <w:p w14:paraId="38D444F7" w14:textId="77777777" w:rsidR="00332760" w:rsidRPr="00E70628" w:rsidRDefault="00332760" w:rsidP="00332760">
      <w:pPr>
        <w:pStyle w:val="NoSpacing"/>
        <w:spacing w:line="480" w:lineRule="auto"/>
        <w:jc w:val="both"/>
        <w:rPr>
          <w:rFonts w:ascii="Times New Roman" w:hAnsi="Times New Roman" w:cs="Times New Roman"/>
          <w:sz w:val="24"/>
          <w:szCs w:val="24"/>
        </w:rPr>
      </w:pPr>
    </w:p>
    <w:p w14:paraId="42667F70" w14:textId="77777777" w:rsidR="00332760" w:rsidRPr="00E70628" w:rsidRDefault="00332760" w:rsidP="00332760">
      <w:pPr>
        <w:pStyle w:val="NoSpacing"/>
        <w:spacing w:line="480" w:lineRule="auto"/>
        <w:jc w:val="both"/>
        <w:rPr>
          <w:rFonts w:ascii="Times New Roman" w:hAnsi="Times New Roman" w:cs="Times New Roman"/>
          <w:b/>
          <w:sz w:val="24"/>
          <w:szCs w:val="24"/>
        </w:rPr>
      </w:pPr>
      <w:r w:rsidRPr="00E70628">
        <w:rPr>
          <w:rFonts w:ascii="Times New Roman" w:hAnsi="Times New Roman" w:cs="Times New Roman"/>
          <w:b/>
          <w:sz w:val="24"/>
          <w:szCs w:val="24"/>
        </w:rPr>
        <w:t>Methods</w:t>
      </w:r>
    </w:p>
    <w:p w14:paraId="7133BF01" w14:textId="68C8CBE5" w:rsidR="00332760" w:rsidRPr="00A9477A" w:rsidRDefault="005545E6" w:rsidP="0033276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 secondary analysis of a primary care pilot randomised trial (</w:t>
      </w:r>
      <w:proofErr w:type="spellStart"/>
      <w:r>
        <w:rPr>
          <w:rFonts w:ascii="Times New Roman" w:hAnsi="Times New Roman" w:cs="Times New Roman"/>
          <w:sz w:val="24"/>
          <w:szCs w:val="24"/>
        </w:rPr>
        <w:t>STarT</w:t>
      </w:r>
      <w:proofErr w:type="spellEnd"/>
      <w:r>
        <w:rPr>
          <w:rFonts w:ascii="Times New Roman" w:hAnsi="Times New Roman" w:cs="Times New Roman"/>
          <w:sz w:val="24"/>
          <w:szCs w:val="24"/>
        </w:rPr>
        <w:t xml:space="preserve"> MSK) was performed. </w:t>
      </w:r>
      <w:r w:rsidR="00497190">
        <w:rPr>
          <w:rFonts w:ascii="Times New Roman" w:hAnsi="Times New Roman" w:cs="Times New Roman"/>
          <w:sz w:val="24"/>
          <w:szCs w:val="24"/>
        </w:rPr>
        <w:t xml:space="preserve">In 524 people </w:t>
      </w:r>
      <w:r>
        <w:rPr>
          <w:rFonts w:ascii="Times New Roman" w:hAnsi="Times New Roman" w:cs="Times New Roman"/>
          <w:sz w:val="24"/>
          <w:szCs w:val="24"/>
        </w:rPr>
        <w:t xml:space="preserve">consulting with back, neck, shoulder, knee, or multi-site pain, the </w:t>
      </w:r>
      <w:r w:rsidR="00332760" w:rsidRPr="00A9477A">
        <w:rPr>
          <w:rFonts w:ascii="Times New Roman" w:hAnsi="Times New Roman" w:cs="Times New Roman"/>
          <w:sz w:val="24"/>
          <w:szCs w:val="24"/>
        </w:rPr>
        <w:t xml:space="preserve">following </w:t>
      </w:r>
      <w:r w:rsidR="00AE0B39">
        <w:rPr>
          <w:rFonts w:ascii="Times New Roman" w:hAnsi="Times New Roman" w:cs="Times New Roman"/>
          <w:sz w:val="24"/>
          <w:szCs w:val="24"/>
        </w:rPr>
        <w:t>were recorded at 0/</w:t>
      </w:r>
      <w:r w:rsidR="00332760" w:rsidRPr="00A9477A">
        <w:rPr>
          <w:rFonts w:ascii="Times New Roman" w:hAnsi="Times New Roman" w:cs="Times New Roman"/>
          <w:sz w:val="24"/>
          <w:szCs w:val="24"/>
        </w:rPr>
        <w:t>6 months: MSK-HQ, EQ-5D-</w:t>
      </w:r>
      <w:r w:rsidR="00332760">
        <w:rPr>
          <w:rFonts w:ascii="Times New Roman" w:hAnsi="Times New Roman" w:cs="Times New Roman"/>
          <w:sz w:val="24"/>
          <w:szCs w:val="24"/>
        </w:rPr>
        <w:t>5</w:t>
      </w:r>
      <w:r w:rsidR="00332760" w:rsidRPr="00A9477A">
        <w:rPr>
          <w:rFonts w:ascii="Times New Roman" w:hAnsi="Times New Roman" w:cs="Times New Roman"/>
          <w:sz w:val="24"/>
          <w:szCs w:val="24"/>
        </w:rPr>
        <w:t>L, Roland-Morris Disability Questionnaire (</w:t>
      </w:r>
      <w:r w:rsidR="00CF018F">
        <w:rPr>
          <w:rFonts w:ascii="Times New Roman" w:hAnsi="Times New Roman" w:cs="Times New Roman"/>
          <w:sz w:val="24"/>
          <w:szCs w:val="24"/>
        </w:rPr>
        <w:t>RMDQ</w:t>
      </w:r>
      <w:r w:rsidR="00AA04E7">
        <w:rPr>
          <w:rFonts w:ascii="Times New Roman" w:hAnsi="Times New Roman" w:cs="Times New Roman"/>
          <w:sz w:val="24"/>
          <w:szCs w:val="24"/>
        </w:rPr>
        <w:t>;</w:t>
      </w:r>
      <w:r w:rsidR="00AE0B39">
        <w:rPr>
          <w:rFonts w:ascii="Times New Roman" w:hAnsi="Times New Roman" w:cs="Times New Roman"/>
          <w:sz w:val="24"/>
          <w:szCs w:val="24"/>
        </w:rPr>
        <w:t xml:space="preserve"> </w:t>
      </w:r>
      <w:r w:rsidR="00332760" w:rsidRPr="00A9477A">
        <w:rPr>
          <w:rFonts w:ascii="Times New Roman" w:hAnsi="Times New Roman" w:cs="Times New Roman"/>
          <w:sz w:val="24"/>
          <w:szCs w:val="24"/>
        </w:rPr>
        <w:t>back pain), Neck Disability Index (</w:t>
      </w:r>
      <w:r w:rsidR="00CF018F">
        <w:rPr>
          <w:rFonts w:ascii="Times New Roman" w:hAnsi="Times New Roman" w:cs="Times New Roman"/>
          <w:sz w:val="24"/>
          <w:szCs w:val="24"/>
        </w:rPr>
        <w:t>NDI</w:t>
      </w:r>
      <w:r w:rsidR="00332760" w:rsidRPr="00A9477A">
        <w:rPr>
          <w:rFonts w:ascii="Times New Roman" w:hAnsi="Times New Roman" w:cs="Times New Roman"/>
          <w:sz w:val="24"/>
          <w:szCs w:val="24"/>
        </w:rPr>
        <w:t>), Shoulder Pain and Disability Index (</w:t>
      </w:r>
      <w:r w:rsidR="00CF018F">
        <w:rPr>
          <w:rFonts w:ascii="Times New Roman" w:hAnsi="Times New Roman" w:cs="Times New Roman"/>
          <w:sz w:val="24"/>
          <w:szCs w:val="24"/>
        </w:rPr>
        <w:t>SPADI</w:t>
      </w:r>
      <w:r w:rsidR="00332760" w:rsidRPr="00A9477A">
        <w:rPr>
          <w:rFonts w:ascii="Times New Roman" w:hAnsi="Times New Roman" w:cs="Times New Roman"/>
          <w:sz w:val="24"/>
          <w:szCs w:val="24"/>
        </w:rPr>
        <w:t>), Knee Injury and Outcome Score (</w:t>
      </w:r>
      <w:r w:rsidR="00CF018F">
        <w:rPr>
          <w:rFonts w:ascii="Times New Roman" w:hAnsi="Times New Roman" w:cs="Times New Roman"/>
          <w:sz w:val="24"/>
          <w:szCs w:val="24"/>
        </w:rPr>
        <w:t>KOOS</w:t>
      </w:r>
      <w:r w:rsidR="00332760" w:rsidRPr="00A9477A">
        <w:rPr>
          <w:rFonts w:ascii="Times New Roman" w:hAnsi="Times New Roman" w:cs="Times New Roman"/>
          <w:sz w:val="24"/>
          <w:szCs w:val="24"/>
        </w:rPr>
        <w:t>), Short-Form-12 (</w:t>
      </w:r>
      <w:r w:rsidR="00CF018F">
        <w:rPr>
          <w:rFonts w:ascii="Times New Roman" w:hAnsi="Times New Roman" w:cs="Times New Roman"/>
          <w:sz w:val="24"/>
          <w:szCs w:val="24"/>
        </w:rPr>
        <w:t>SF-12</w:t>
      </w:r>
      <w:r w:rsidR="00AA04E7">
        <w:rPr>
          <w:rFonts w:ascii="Times New Roman" w:hAnsi="Times New Roman" w:cs="Times New Roman"/>
          <w:sz w:val="24"/>
          <w:szCs w:val="24"/>
        </w:rPr>
        <w:t>;</w:t>
      </w:r>
      <w:r w:rsidR="00AE0B39">
        <w:rPr>
          <w:rFonts w:ascii="Times New Roman" w:hAnsi="Times New Roman" w:cs="Times New Roman"/>
          <w:sz w:val="24"/>
          <w:szCs w:val="24"/>
        </w:rPr>
        <w:t xml:space="preserve"> </w:t>
      </w:r>
      <w:r w:rsidR="00332760" w:rsidRPr="00A9477A">
        <w:rPr>
          <w:rFonts w:ascii="Times New Roman" w:hAnsi="Times New Roman" w:cs="Times New Roman"/>
          <w:sz w:val="24"/>
          <w:szCs w:val="24"/>
        </w:rPr>
        <w:t xml:space="preserve">multisite pain). </w:t>
      </w:r>
      <w:r w:rsidR="00645011">
        <w:rPr>
          <w:rFonts w:ascii="Times New Roman" w:hAnsi="Times New Roman" w:cs="Times New Roman"/>
          <w:sz w:val="24"/>
          <w:szCs w:val="24"/>
        </w:rPr>
        <w:t>At 6-</w:t>
      </w:r>
      <w:r w:rsidR="00332760" w:rsidRPr="00A9477A">
        <w:rPr>
          <w:rFonts w:ascii="Times New Roman" w:hAnsi="Times New Roman" w:cs="Times New Roman"/>
          <w:sz w:val="24"/>
          <w:szCs w:val="24"/>
        </w:rPr>
        <w:t xml:space="preserve">months, </w:t>
      </w:r>
      <w:r w:rsidR="00312FDD">
        <w:rPr>
          <w:rFonts w:ascii="Times New Roman" w:hAnsi="Times New Roman" w:cs="Times New Roman"/>
          <w:sz w:val="24"/>
          <w:szCs w:val="24"/>
        </w:rPr>
        <w:t>patients</w:t>
      </w:r>
      <w:r w:rsidR="00332760">
        <w:rPr>
          <w:rFonts w:ascii="Times New Roman" w:hAnsi="Times New Roman" w:cs="Times New Roman"/>
          <w:sz w:val="24"/>
          <w:szCs w:val="24"/>
        </w:rPr>
        <w:t xml:space="preserve"> </w:t>
      </w:r>
      <w:r w:rsidR="00332760" w:rsidRPr="00A9477A">
        <w:rPr>
          <w:rFonts w:ascii="Times New Roman" w:hAnsi="Times New Roman" w:cs="Times New Roman"/>
          <w:sz w:val="24"/>
          <w:szCs w:val="24"/>
        </w:rPr>
        <w:t xml:space="preserve">self-rated </w:t>
      </w:r>
      <w:r w:rsidR="00332760">
        <w:rPr>
          <w:rFonts w:ascii="Times New Roman" w:hAnsi="Times New Roman" w:cs="Times New Roman"/>
          <w:sz w:val="24"/>
          <w:szCs w:val="24"/>
        </w:rPr>
        <w:t xml:space="preserve">their </w:t>
      </w:r>
      <w:r w:rsidR="00332760" w:rsidRPr="00A9477A">
        <w:rPr>
          <w:rFonts w:ascii="Times New Roman" w:hAnsi="Times New Roman" w:cs="Times New Roman"/>
          <w:sz w:val="24"/>
          <w:szCs w:val="24"/>
        </w:rPr>
        <w:t xml:space="preserve">global change in MSK </w:t>
      </w:r>
      <w:r w:rsidR="00BC6553">
        <w:rPr>
          <w:rFonts w:ascii="Times New Roman" w:hAnsi="Times New Roman" w:cs="Times New Roman"/>
          <w:sz w:val="24"/>
          <w:szCs w:val="24"/>
        </w:rPr>
        <w:t>condition</w:t>
      </w:r>
      <w:r w:rsidR="00332760" w:rsidRPr="00A9477A">
        <w:rPr>
          <w:rFonts w:ascii="Times New Roman" w:hAnsi="Times New Roman" w:cs="Times New Roman"/>
          <w:sz w:val="24"/>
          <w:szCs w:val="24"/>
        </w:rPr>
        <w:t xml:space="preserve">, from -5 (“very much worse”) to +5 (“completely recovered”). Receiver operating characteristic curves evaluated </w:t>
      </w:r>
      <w:r w:rsidR="00AE0B39">
        <w:rPr>
          <w:rFonts w:ascii="Times New Roman" w:hAnsi="Times New Roman" w:cs="Times New Roman"/>
          <w:sz w:val="24"/>
          <w:szCs w:val="24"/>
        </w:rPr>
        <w:t xml:space="preserve">abilities </w:t>
      </w:r>
      <w:r w:rsidR="00332760" w:rsidRPr="00A9477A">
        <w:rPr>
          <w:rFonts w:ascii="Times New Roman" w:hAnsi="Times New Roman" w:cs="Times New Roman"/>
          <w:sz w:val="24"/>
          <w:szCs w:val="24"/>
        </w:rPr>
        <w:t xml:space="preserve">of 6-month changes in each </w:t>
      </w:r>
      <w:r w:rsidR="00497190">
        <w:rPr>
          <w:rFonts w:ascii="Times New Roman" w:hAnsi="Times New Roman" w:cs="Times New Roman"/>
          <w:sz w:val="24"/>
          <w:szCs w:val="24"/>
        </w:rPr>
        <w:t>patient reported outcome measure (</w:t>
      </w:r>
      <w:r w:rsidR="00332760" w:rsidRPr="00A9477A">
        <w:rPr>
          <w:rFonts w:ascii="Times New Roman" w:hAnsi="Times New Roman" w:cs="Times New Roman"/>
          <w:sz w:val="24"/>
          <w:szCs w:val="24"/>
        </w:rPr>
        <w:t>PROM</w:t>
      </w:r>
      <w:r w:rsidR="00497190">
        <w:rPr>
          <w:rFonts w:ascii="Times New Roman" w:hAnsi="Times New Roman" w:cs="Times New Roman"/>
          <w:sz w:val="24"/>
          <w:szCs w:val="24"/>
        </w:rPr>
        <w:t>)</w:t>
      </w:r>
      <w:r w:rsidR="00332760" w:rsidRPr="00A9477A">
        <w:rPr>
          <w:rFonts w:ascii="Times New Roman" w:hAnsi="Times New Roman" w:cs="Times New Roman"/>
          <w:sz w:val="24"/>
          <w:szCs w:val="24"/>
        </w:rPr>
        <w:t xml:space="preserve"> to discriminate between </w:t>
      </w:r>
      <w:r w:rsidR="00312FDD">
        <w:rPr>
          <w:rFonts w:ascii="Times New Roman" w:hAnsi="Times New Roman" w:cs="Times New Roman"/>
          <w:sz w:val="24"/>
          <w:szCs w:val="24"/>
        </w:rPr>
        <w:t>patients</w:t>
      </w:r>
      <w:r w:rsidR="00332760">
        <w:rPr>
          <w:rFonts w:ascii="Times New Roman" w:hAnsi="Times New Roman" w:cs="Times New Roman"/>
          <w:sz w:val="24"/>
          <w:szCs w:val="24"/>
        </w:rPr>
        <w:t xml:space="preserve"> </w:t>
      </w:r>
      <w:r w:rsidR="00332760" w:rsidRPr="00A9477A">
        <w:rPr>
          <w:rFonts w:ascii="Times New Roman" w:hAnsi="Times New Roman" w:cs="Times New Roman"/>
          <w:sz w:val="24"/>
          <w:szCs w:val="24"/>
        </w:rPr>
        <w:t>improving/not improving on global change scores</w:t>
      </w:r>
      <w:r w:rsidR="001448CA">
        <w:rPr>
          <w:rFonts w:ascii="Times New Roman" w:hAnsi="Times New Roman" w:cs="Times New Roman"/>
          <w:sz w:val="24"/>
          <w:szCs w:val="24"/>
        </w:rPr>
        <w:t xml:space="preserve">, with </w:t>
      </w:r>
      <w:r w:rsidR="00332760" w:rsidRPr="00A9477A">
        <w:rPr>
          <w:rFonts w:ascii="Times New Roman" w:hAnsi="Times New Roman" w:cs="Times New Roman"/>
          <w:sz w:val="24"/>
          <w:szCs w:val="24"/>
        </w:rPr>
        <w:t>Minimal Clinically Important Differences (MCID) calculated.</w:t>
      </w:r>
    </w:p>
    <w:p w14:paraId="693388F7" w14:textId="77777777" w:rsidR="00332760" w:rsidRPr="00E70628" w:rsidRDefault="00332760" w:rsidP="00332760">
      <w:pPr>
        <w:pStyle w:val="NoSpacing"/>
        <w:spacing w:line="480" w:lineRule="auto"/>
        <w:jc w:val="both"/>
        <w:rPr>
          <w:rFonts w:ascii="Times New Roman" w:hAnsi="Times New Roman" w:cs="Times New Roman"/>
          <w:sz w:val="24"/>
          <w:szCs w:val="24"/>
        </w:rPr>
      </w:pPr>
    </w:p>
    <w:p w14:paraId="791A5274" w14:textId="77777777" w:rsidR="00332760" w:rsidRPr="00E70628" w:rsidRDefault="00332760" w:rsidP="00332760">
      <w:pPr>
        <w:pStyle w:val="NoSpacing"/>
        <w:spacing w:line="480" w:lineRule="auto"/>
        <w:jc w:val="both"/>
        <w:rPr>
          <w:rFonts w:ascii="Times New Roman" w:hAnsi="Times New Roman" w:cs="Times New Roman"/>
          <w:b/>
          <w:sz w:val="24"/>
          <w:szCs w:val="24"/>
        </w:rPr>
      </w:pPr>
      <w:r w:rsidRPr="00E70628">
        <w:rPr>
          <w:rFonts w:ascii="Times New Roman" w:hAnsi="Times New Roman" w:cs="Times New Roman"/>
          <w:b/>
          <w:sz w:val="24"/>
          <w:szCs w:val="24"/>
        </w:rPr>
        <w:t>Results</w:t>
      </w:r>
    </w:p>
    <w:p w14:paraId="01DA2D79" w14:textId="4B1ED38E" w:rsidR="00332760" w:rsidRPr="00E70628" w:rsidRDefault="00332760" w:rsidP="00332760">
      <w:pPr>
        <w:pStyle w:val="NoSpacing"/>
        <w:spacing w:line="480" w:lineRule="auto"/>
        <w:jc w:val="both"/>
        <w:rPr>
          <w:rFonts w:ascii="Times New Roman" w:hAnsi="Times New Roman" w:cs="Times New Roman"/>
          <w:sz w:val="24"/>
          <w:szCs w:val="24"/>
        </w:rPr>
      </w:pPr>
      <w:r w:rsidRPr="00E70628">
        <w:rPr>
          <w:rFonts w:ascii="Times New Roman" w:hAnsi="Times New Roman" w:cs="Times New Roman"/>
          <w:sz w:val="24"/>
          <w:szCs w:val="24"/>
        </w:rPr>
        <w:t xml:space="preserve">The MSK-HQ had a </w:t>
      </w:r>
      <w:r w:rsidR="005545E6">
        <w:rPr>
          <w:rFonts w:ascii="Times New Roman" w:hAnsi="Times New Roman" w:cs="Times New Roman"/>
          <w:sz w:val="24"/>
          <w:szCs w:val="24"/>
        </w:rPr>
        <w:t xml:space="preserve">good </w:t>
      </w:r>
      <w:r w:rsidRPr="00E70628">
        <w:rPr>
          <w:rFonts w:ascii="Times New Roman" w:hAnsi="Times New Roman" w:cs="Times New Roman"/>
          <w:sz w:val="24"/>
          <w:szCs w:val="24"/>
        </w:rPr>
        <w:t xml:space="preserve">ability to discriminate between </w:t>
      </w:r>
      <w:r w:rsidR="006E1C6C">
        <w:rPr>
          <w:rFonts w:ascii="Times New Roman" w:hAnsi="Times New Roman" w:cs="Times New Roman"/>
          <w:sz w:val="24"/>
          <w:szCs w:val="24"/>
        </w:rPr>
        <w:t xml:space="preserve">MSK pain </w:t>
      </w:r>
      <w:r w:rsidR="00312FDD">
        <w:rPr>
          <w:rFonts w:ascii="Times New Roman" w:hAnsi="Times New Roman" w:cs="Times New Roman"/>
          <w:sz w:val="24"/>
          <w:szCs w:val="24"/>
        </w:rPr>
        <w:t>patients</w:t>
      </w:r>
      <w:r w:rsidR="00645011">
        <w:rPr>
          <w:rFonts w:ascii="Times New Roman" w:hAnsi="Times New Roman" w:cs="Times New Roman"/>
          <w:sz w:val="24"/>
          <w:szCs w:val="24"/>
        </w:rPr>
        <w:t xml:space="preserve"> </w:t>
      </w:r>
      <w:r w:rsidR="006E1C6C">
        <w:rPr>
          <w:rFonts w:ascii="Times New Roman" w:hAnsi="Times New Roman" w:cs="Times New Roman"/>
          <w:sz w:val="24"/>
          <w:szCs w:val="24"/>
        </w:rPr>
        <w:t xml:space="preserve">reporting </w:t>
      </w:r>
      <w:r w:rsidR="005545E6">
        <w:rPr>
          <w:rFonts w:ascii="Times New Roman" w:hAnsi="Times New Roman" w:cs="Times New Roman"/>
          <w:sz w:val="24"/>
          <w:szCs w:val="24"/>
        </w:rPr>
        <w:t xml:space="preserve">global </w:t>
      </w:r>
      <w:r w:rsidR="006E1C6C">
        <w:rPr>
          <w:rFonts w:ascii="Times New Roman" w:hAnsi="Times New Roman" w:cs="Times New Roman"/>
          <w:sz w:val="24"/>
          <w:szCs w:val="24"/>
        </w:rPr>
        <w:t>improvement</w:t>
      </w:r>
      <w:r w:rsidR="006E1C6C" w:rsidRPr="00E70628">
        <w:rPr>
          <w:rFonts w:ascii="Times New Roman" w:hAnsi="Times New Roman" w:cs="Times New Roman"/>
          <w:sz w:val="24"/>
          <w:szCs w:val="24"/>
        </w:rPr>
        <w:t xml:space="preserve"> </w:t>
      </w:r>
      <w:r w:rsidRPr="00E70628">
        <w:rPr>
          <w:rFonts w:ascii="Times New Roman" w:hAnsi="Times New Roman" w:cs="Times New Roman"/>
          <w:sz w:val="24"/>
          <w:szCs w:val="24"/>
        </w:rPr>
        <w:t xml:space="preserve">vs. </w:t>
      </w:r>
      <w:r w:rsidR="006E1C6C">
        <w:rPr>
          <w:rFonts w:ascii="Times New Roman" w:hAnsi="Times New Roman" w:cs="Times New Roman"/>
          <w:sz w:val="24"/>
          <w:szCs w:val="24"/>
        </w:rPr>
        <w:t>no improvement</w:t>
      </w:r>
      <w:r w:rsidR="00D37691">
        <w:rPr>
          <w:rFonts w:ascii="Times New Roman" w:hAnsi="Times New Roman" w:cs="Times New Roman"/>
          <w:sz w:val="24"/>
          <w:szCs w:val="24"/>
        </w:rPr>
        <w:t xml:space="preserve"> </w:t>
      </w:r>
      <w:r w:rsidRPr="00E70628">
        <w:rPr>
          <w:rFonts w:ascii="Times New Roman" w:hAnsi="Times New Roman" w:cs="Times New Roman"/>
          <w:sz w:val="24"/>
          <w:szCs w:val="24"/>
        </w:rPr>
        <w:t>(</w:t>
      </w:r>
      <w:r>
        <w:rPr>
          <w:rFonts w:ascii="Times New Roman" w:hAnsi="Times New Roman" w:cs="Times New Roman"/>
          <w:sz w:val="24"/>
          <w:szCs w:val="24"/>
        </w:rPr>
        <w:t>area under the curve [</w:t>
      </w:r>
      <w:r w:rsidRPr="00E70628">
        <w:rPr>
          <w:rFonts w:ascii="Times New Roman" w:hAnsi="Times New Roman" w:cs="Times New Roman"/>
          <w:sz w:val="24"/>
          <w:szCs w:val="24"/>
        </w:rPr>
        <w:t>AUC</w:t>
      </w:r>
      <w:r>
        <w:rPr>
          <w:rFonts w:ascii="Times New Roman" w:hAnsi="Times New Roman" w:cs="Times New Roman"/>
          <w:sz w:val="24"/>
          <w:szCs w:val="24"/>
        </w:rPr>
        <w:t>]</w:t>
      </w:r>
      <w:r w:rsidRPr="00E70628">
        <w:rPr>
          <w:rFonts w:ascii="Times New Roman" w:hAnsi="Times New Roman" w:cs="Times New Roman"/>
          <w:sz w:val="24"/>
          <w:szCs w:val="24"/>
        </w:rPr>
        <w:t xml:space="preserve"> 0.81</w:t>
      </w:r>
      <w:r>
        <w:rPr>
          <w:rFonts w:ascii="Times New Roman" w:hAnsi="Times New Roman" w:cs="Times New Roman"/>
          <w:sz w:val="24"/>
          <w:szCs w:val="24"/>
        </w:rPr>
        <w:t xml:space="preserve">; 95% CI </w:t>
      </w:r>
      <w:r w:rsidR="00E27FC5">
        <w:rPr>
          <w:rFonts w:ascii="Times New Roman" w:hAnsi="Times New Roman" w:cs="Times New Roman"/>
          <w:sz w:val="24"/>
          <w:szCs w:val="24"/>
        </w:rPr>
        <w:t xml:space="preserve">0.78, </w:t>
      </w:r>
      <w:r w:rsidRPr="00AF5A50">
        <w:rPr>
          <w:rFonts w:ascii="Times New Roman" w:hAnsi="Times New Roman" w:cs="Times New Roman"/>
          <w:sz w:val="24"/>
          <w:szCs w:val="24"/>
        </w:rPr>
        <w:t>0.85</w:t>
      </w:r>
      <w:r w:rsidRPr="00E70628">
        <w:rPr>
          <w:rFonts w:ascii="Times New Roman" w:hAnsi="Times New Roman" w:cs="Times New Roman"/>
          <w:sz w:val="24"/>
          <w:szCs w:val="24"/>
        </w:rPr>
        <w:t>). It</w:t>
      </w:r>
      <w:r>
        <w:rPr>
          <w:rFonts w:ascii="Times New Roman" w:hAnsi="Times New Roman" w:cs="Times New Roman"/>
          <w:sz w:val="24"/>
          <w:szCs w:val="24"/>
        </w:rPr>
        <w:t xml:space="preserve">s discriminative ability was </w:t>
      </w:r>
      <w:r w:rsidR="0048720D">
        <w:rPr>
          <w:rFonts w:ascii="Times New Roman" w:hAnsi="Times New Roman" w:cs="Times New Roman"/>
          <w:sz w:val="24"/>
          <w:szCs w:val="24"/>
        </w:rPr>
        <w:t xml:space="preserve">higher than </w:t>
      </w:r>
      <w:r w:rsidR="00D77D1F">
        <w:rPr>
          <w:rFonts w:ascii="Times New Roman" w:hAnsi="Times New Roman" w:cs="Times New Roman"/>
          <w:sz w:val="24"/>
          <w:szCs w:val="24"/>
        </w:rPr>
        <w:t>the EQ-5D-5</w:t>
      </w:r>
      <w:r w:rsidRPr="00E70628">
        <w:rPr>
          <w:rFonts w:ascii="Times New Roman" w:hAnsi="Times New Roman" w:cs="Times New Roman"/>
          <w:sz w:val="24"/>
          <w:szCs w:val="24"/>
        </w:rPr>
        <w:t>L (AUC 0.68</w:t>
      </w:r>
      <w:r>
        <w:rPr>
          <w:rFonts w:ascii="Times New Roman" w:hAnsi="Times New Roman" w:cs="Times New Roman"/>
          <w:sz w:val="24"/>
          <w:szCs w:val="24"/>
        </w:rPr>
        <w:t xml:space="preserve">; 95% CI </w:t>
      </w:r>
      <w:r w:rsidR="00E27FC5">
        <w:rPr>
          <w:rFonts w:ascii="Times New Roman" w:hAnsi="Times New Roman" w:cs="Times New Roman"/>
          <w:sz w:val="24"/>
          <w:szCs w:val="24"/>
        </w:rPr>
        <w:t xml:space="preserve">0.62, </w:t>
      </w:r>
      <w:r w:rsidRPr="00AF5A50">
        <w:rPr>
          <w:rFonts w:ascii="Times New Roman" w:hAnsi="Times New Roman" w:cs="Times New Roman"/>
          <w:sz w:val="24"/>
          <w:szCs w:val="24"/>
        </w:rPr>
        <w:t>0.73</w:t>
      </w:r>
      <w:r w:rsidRPr="00E70628">
        <w:rPr>
          <w:rFonts w:ascii="Times New Roman" w:hAnsi="Times New Roman" w:cs="Times New Roman"/>
          <w:sz w:val="24"/>
          <w:szCs w:val="24"/>
        </w:rPr>
        <w:t xml:space="preserve">) and </w:t>
      </w:r>
      <w:r w:rsidR="0048720D">
        <w:rPr>
          <w:rFonts w:ascii="Times New Roman" w:hAnsi="Times New Roman" w:cs="Times New Roman"/>
          <w:sz w:val="24"/>
          <w:szCs w:val="24"/>
        </w:rPr>
        <w:t xml:space="preserve">similar to </w:t>
      </w:r>
      <w:r>
        <w:rPr>
          <w:rFonts w:ascii="Times New Roman" w:hAnsi="Times New Roman" w:cs="Times New Roman"/>
          <w:sz w:val="24"/>
          <w:szCs w:val="24"/>
        </w:rPr>
        <w:t xml:space="preserve">site-specific </w:t>
      </w:r>
      <w:r w:rsidRPr="00E70628">
        <w:rPr>
          <w:rFonts w:ascii="Times New Roman" w:hAnsi="Times New Roman" w:cs="Times New Roman"/>
          <w:sz w:val="24"/>
          <w:szCs w:val="24"/>
        </w:rPr>
        <w:t>PROMs</w:t>
      </w:r>
      <w:r>
        <w:rPr>
          <w:rFonts w:ascii="Times New Roman" w:hAnsi="Times New Roman" w:cs="Times New Roman"/>
          <w:sz w:val="24"/>
          <w:szCs w:val="24"/>
        </w:rPr>
        <w:t xml:space="preserve">. </w:t>
      </w:r>
      <w:r w:rsidR="00497190">
        <w:rPr>
          <w:rFonts w:ascii="Times New Roman" w:hAnsi="Times New Roman" w:cs="Times New Roman"/>
          <w:sz w:val="24"/>
          <w:szCs w:val="24"/>
        </w:rPr>
        <w:t>T</w:t>
      </w:r>
      <w:r w:rsidR="00171301">
        <w:rPr>
          <w:rFonts w:ascii="Times New Roman" w:hAnsi="Times New Roman" w:cs="Times New Roman"/>
          <w:sz w:val="24"/>
          <w:szCs w:val="24"/>
        </w:rPr>
        <w:t>he</w:t>
      </w:r>
      <w:r w:rsidR="00D37691">
        <w:rPr>
          <w:rFonts w:ascii="Times New Roman" w:hAnsi="Times New Roman" w:cs="Times New Roman"/>
          <w:sz w:val="24"/>
          <w:szCs w:val="24"/>
        </w:rPr>
        <w:t xml:space="preserve"> </w:t>
      </w:r>
      <w:r w:rsidRPr="00E70628">
        <w:rPr>
          <w:rFonts w:ascii="Times New Roman" w:hAnsi="Times New Roman" w:cs="Times New Roman"/>
          <w:sz w:val="24"/>
          <w:szCs w:val="24"/>
        </w:rPr>
        <w:t xml:space="preserve">MCID </w:t>
      </w:r>
      <w:r>
        <w:rPr>
          <w:rFonts w:ascii="Times New Roman" w:hAnsi="Times New Roman" w:cs="Times New Roman"/>
          <w:sz w:val="24"/>
          <w:szCs w:val="24"/>
        </w:rPr>
        <w:t xml:space="preserve">for the </w:t>
      </w:r>
      <w:r w:rsidRPr="00E70628">
        <w:rPr>
          <w:rFonts w:ascii="Times New Roman" w:hAnsi="Times New Roman" w:cs="Times New Roman"/>
          <w:sz w:val="24"/>
          <w:szCs w:val="24"/>
        </w:rPr>
        <w:t xml:space="preserve">6-month change </w:t>
      </w:r>
      <w:r>
        <w:rPr>
          <w:rFonts w:ascii="Times New Roman" w:hAnsi="Times New Roman" w:cs="Times New Roman"/>
          <w:sz w:val="24"/>
          <w:szCs w:val="24"/>
        </w:rPr>
        <w:t>in MSK-HQ was 5.5. The MSK-HQ had strong correlations with all PROMs</w:t>
      </w:r>
      <w:r w:rsidR="00BA0D43">
        <w:rPr>
          <w:rFonts w:ascii="Times New Roman" w:hAnsi="Times New Roman" w:cs="Times New Roman"/>
          <w:sz w:val="24"/>
          <w:szCs w:val="24"/>
        </w:rPr>
        <w:t xml:space="preserve">, </w:t>
      </w:r>
      <w:r>
        <w:rPr>
          <w:rFonts w:ascii="Times New Roman" w:hAnsi="Times New Roman" w:cs="Times New Roman"/>
          <w:sz w:val="24"/>
          <w:szCs w:val="24"/>
        </w:rPr>
        <w:t>except SF-12 scores.</w:t>
      </w:r>
    </w:p>
    <w:p w14:paraId="2A0F1BDA" w14:textId="77777777" w:rsidR="00332760" w:rsidRPr="00E70628" w:rsidRDefault="00332760" w:rsidP="00332760">
      <w:pPr>
        <w:pStyle w:val="NoSpacing"/>
        <w:spacing w:line="480" w:lineRule="auto"/>
        <w:jc w:val="both"/>
        <w:rPr>
          <w:rFonts w:ascii="Times New Roman" w:hAnsi="Times New Roman" w:cs="Times New Roman"/>
          <w:sz w:val="24"/>
          <w:szCs w:val="24"/>
        </w:rPr>
      </w:pPr>
    </w:p>
    <w:p w14:paraId="20AC4A13" w14:textId="22F4D39C" w:rsidR="00332760" w:rsidRPr="00E70628" w:rsidRDefault="00332760" w:rsidP="00332760">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Conclusion</w:t>
      </w:r>
    </w:p>
    <w:p w14:paraId="0CA27726" w14:textId="310213AB" w:rsidR="00B37D94" w:rsidRDefault="00332760" w:rsidP="00332760">
      <w:pPr>
        <w:pStyle w:val="NoSpacing"/>
        <w:spacing w:line="480" w:lineRule="auto"/>
        <w:jc w:val="both"/>
        <w:rPr>
          <w:rFonts w:ascii="Times New Roman" w:hAnsi="Times New Roman" w:cs="Times New Roman"/>
          <w:sz w:val="24"/>
          <w:szCs w:val="24"/>
        </w:rPr>
      </w:pPr>
      <w:r w:rsidRPr="00E70628">
        <w:rPr>
          <w:rFonts w:ascii="Times New Roman" w:hAnsi="Times New Roman" w:cs="Times New Roman"/>
          <w:sz w:val="24"/>
          <w:szCs w:val="24"/>
        </w:rPr>
        <w:t xml:space="preserve">In </w:t>
      </w:r>
      <w:r w:rsidR="00497190">
        <w:rPr>
          <w:rFonts w:ascii="Times New Roman" w:hAnsi="Times New Roman" w:cs="Times New Roman"/>
          <w:sz w:val="24"/>
          <w:szCs w:val="24"/>
        </w:rPr>
        <w:t xml:space="preserve">primary care </w:t>
      </w:r>
      <w:r w:rsidR="00312FDD">
        <w:rPr>
          <w:rFonts w:ascii="Times New Roman" w:hAnsi="Times New Roman" w:cs="Times New Roman"/>
          <w:sz w:val="24"/>
          <w:szCs w:val="24"/>
        </w:rPr>
        <w:t>patients</w:t>
      </w:r>
      <w:r w:rsidR="00645011">
        <w:rPr>
          <w:rFonts w:ascii="Times New Roman" w:hAnsi="Times New Roman" w:cs="Times New Roman"/>
          <w:sz w:val="24"/>
          <w:szCs w:val="24"/>
        </w:rPr>
        <w:t xml:space="preserve"> </w:t>
      </w:r>
      <w:r w:rsidRPr="00E70628">
        <w:rPr>
          <w:rFonts w:ascii="Times New Roman" w:hAnsi="Times New Roman" w:cs="Times New Roman"/>
          <w:sz w:val="24"/>
          <w:szCs w:val="24"/>
        </w:rPr>
        <w:t xml:space="preserve">with </w:t>
      </w:r>
      <w:r w:rsidR="005545E6">
        <w:rPr>
          <w:rFonts w:ascii="Times New Roman" w:hAnsi="Times New Roman" w:cs="Times New Roman"/>
          <w:sz w:val="24"/>
          <w:szCs w:val="24"/>
        </w:rPr>
        <w:t xml:space="preserve">common </w:t>
      </w:r>
      <w:r w:rsidRPr="00E70628">
        <w:rPr>
          <w:rFonts w:ascii="Times New Roman" w:hAnsi="Times New Roman" w:cs="Times New Roman"/>
          <w:sz w:val="24"/>
          <w:szCs w:val="24"/>
        </w:rPr>
        <w:t>MSK pain</w:t>
      </w:r>
      <w:r w:rsidR="00BA0D43">
        <w:rPr>
          <w:rFonts w:ascii="Times New Roman" w:hAnsi="Times New Roman" w:cs="Times New Roman"/>
          <w:sz w:val="24"/>
          <w:szCs w:val="24"/>
        </w:rPr>
        <w:t xml:space="preserve"> presentations</w:t>
      </w:r>
      <w:r w:rsidR="00AE0B39">
        <w:rPr>
          <w:rFonts w:ascii="Times New Roman" w:hAnsi="Times New Roman" w:cs="Times New Roman"/>
          <w:sz w:val="24"/>
          <w:szCs w:val="24"/>
        </w:rPr>
        <w:t>,</w:t>
      </w:r>
      <w:r w:rsidR="0099607D">
        <w:rPr>
          <w:rFonts w:ascii="Times New Roman" w:hAnsi="Times New Roman" w:cs="Times New Roman"/>
          <w:sz w:val="24"/>
          <w:szCs w:val="24"/>
        </w:rPr>
        <w:t xml:space="preserve"> </w:t>
      </w:r>
      <w:r w:rsidRPr="00E70628">
        <w:rPr>
          <w:rFonts w:ascii="Times New Roman" w:hAnsi="Times New Roman" w:cs="Times New Roman"/>
          <w:sz w:val="24"/>
          <w:szCs w:val="24"/>
        </w:rPr>
        <w:t xml:space="preserve">the MSK-HQ </w:t>
      </w:r>
      <w:r w:rsidR="00822CEE">
        <w:rPr>
          <w:rFonts w:ascii="Times New Roman" w:hAnsi="Times New Roman" w:cs="Times New Roman"/>
          <w:sz w:val="24"/>
          <w:szCs w:val="24"/>
        </w:rPr>
        <w:t xml:space="preserve">was </w:t>
      </w:r>
      <w:r w:rsidRPr="00E70628">
        <w:rPr>
          <w:rFonts w:ascii="Times New Roman" w:hAnsi="Times New Roman" w:cs="Times New Roman"/>
          <w:sz w:val="24"/>
          <w:szCs w:val="24"/>
        </w:rPr>
        <w:t xml:space="preserve">as good as </w:t>
      </w:r>
      <w:r>
        <w:rPr>
          <w:rFonts w:ascii="Times New Roman" w:hAnsi="Times New Roman" w:cs="Times New Roman"/>
          <w:sz w:val="24"/>
          <w:szCs w:val="24"/>
        </w:rPr>
        <w:t xml:space="preserve">existing pain-site </w:t>
      </w:r>
      <w:r w:rsidRPr="00E70628">
        <w:rPr>
          <w:rFonts w:ascii="Times New Roman" w:hAnsi="Times New Roman" w:cs="Times New Roman"/>
          <w:sz w:val="24"/>
          <w:szCs w:val="24"/>
        </w:rPr>
        <w:t xml:space="preserve">specific </w:t>
      </w:r>
      <w:r>
        <w:rPr>
          <w:rFonts w:ascii="Times New Roman" w:hAnsi="Times New Roman" w:cs="Times New Roman"/>
          <w:sz w:val="24"/>
          <w:szCs w:val="24"/>
        </w:rPr>
        <w:t>PROMs</w:t>
      </w:r>
      <w:r w:rsidRPr="00E70628">
        <w:rPr>
          <w:rFonts w:ascii="Times New Roman" w:hAnsi="Times New Roman" w:cs="Times New Roman"/>
          <w:sz w:val="24"/>
          <w:szCs w:val="24"/>
        </w:rPr>
        <w:t xml:space="preserve"> at </w:t>
      </w:r>
      <w:r>
        <w:rPr>
          <w:rFonts w:ascii="Times New Roman" w:hAnsi="Times New Roman" w:cs="Times New Roman"/>
          <w:sz w:val="24"/>
          <w:szCs w:val="24"/>
        </w:rPr>
        <w:t xml:space="preserve">identifying </w:t>
      </w:r>
      <w:r w:rsidR="00497190">
        <w:rPr>
          <w:rFonts w:ascii="Times New Roman" w:hAnsi="Times New Roman" w:cs="Times New Roman"/>
          <w:noProof/>
          <w:sz w:val="24"/>
          <w:szCs w:val="24"/>
        </w:rPr>
        <w:t xml:space="preserve">people </w:t>
      </w:r>
      <w:r w:rsidR="00822CEE">
        <w:rPr>
          <w:rFonts w:ascii="Times New Roman" w:hAnsi="Times New Roman" w:cs="Times New Roman"/>
          <w:noProof/>
          <w:sz w:val="24"/>
          <w:szCs w:val="24"/>
        </w:rPr>
        <w:t xml:space="preserve">reporting global improvements in </w:t>
      </w:r>
      <w:r w:rsidR="00BC6553">
        <w:rPr>
          <w:rFonts w:ascii="Times New Roman" w:hAnsi="Times New Roman" w:cs="Times New Roman"/>
          <w:noProof/>
          <w:sz w:val="24"/>
          <w:szCs w:val="24"/>
        </w:rPr>
        <w:t xml:space="preserve">their </w:t>
      </w:r>
      <w:r w:rsidR="00822CEE">
        <w:rPr>
          <w:rFonts w:ascii="Times New Roman" w:hAnsi="Times New Roman" w:cs="Times New Roman"/>
          <w:noProof/>
          <w:sz w:val="24"/>
          <w:szCs w:val="24"/>
        </w:rPr>
        <w:t xml:space="preserve">MSK </w:t>
      </w:r>
      <w:r w:rsidR="00BC6553">
        <w:rPr>
          <w:rFonts w:ascii="Times New Roman" w:hAnsi="Times New Roman" w:cs="Times New Roman"/>
          <w:noProof/>
          <w:sz w:val="24"/>
          <w:szCs w:val="24"/>
        </w:rPr>
        <w:t>condition</w:t>
      </w:r>
      <w:r>
        <w:rPr>
          <w:rFonts w:ascii="Times New Roman" w:hAnsi="Times New Roman" w:cs="Times New Roman"/>
          <w:sz w:val="24"/>
          <w:szCs w:val="24"/>
        </w:rPr>
        <w:t xml:space="preserve">, and </w:t>
      </w:r>
      <w:r w:rsidR="00AE0B39">
        <w:rPr>
          <w:rFonts w:ascii="Times New Roman" w:hAnsi="Times New Roman" w:cs="Times New Roman"/>
          <w:sz w:val="24"/>
          <w:szCs w:val="24"/>
        </w:rPr>
        <w:t xml:space="preserve">was </w:t>
      </w:r>
      <w:r w:rsidR="0048720D">
        <w:rPr>
          <w:rFonts w:ascii="Times New Roman" w:hAnsi="Times New Roman" w:cs="Times New Roman"/>
          <w:sz w:val="24"/>
          <w:szCs w:val="24"/>
        </w:rPr>
        <w:t xml:space="preserve">better than </w:t>
      </w:r>
      <w:r>
        <w:rPr>
          <w:rFonts w:ascii="Times New Roman" w:hAnsi="Times New Roman" w:cs="Times New Roman"/>
          <w:sz w:val="24"/>
          <w:szCs w:val="24"/>
        </w:rPr>
        <w:t>the EQ-5D-5</w:t>
      </w:r>
      <w:r w:rsidRPr="00E70628">
        <w:rPr>
          <w:rFonts w:ascii="Times New Roman" w:hAnsi="Times New Roman" w:cs="Times New Roman"/>
          <w:sz w:val="24"/>
          <w:szCs w:val="24"/>
        </w:rPr>
        <w:t>L</w:t>
      </w:r>
      <w:r w:rsidR="0099607D">
        <w:rPr>
          <w:rFonts w:ascii="Times New Roman" w:hAnsi="Times New Roman" w:cs="Times New Roman"/>
          <w:sz w:val="24"/>
          <w:szCs w:val="24"/>
        </w:rPr>
        <w:t>.</w:t>
      </w:r>
    </w:p>
    <w:p w14:paraId="4AD9329B" w14:textId="53F9E1E1" w:rsidR="005312A8" w:rsidRDefault="005312A8" w:rsidP="00332760">
      <w:pPr>
        <w:pStyle w:val="NoSpacing"/>
        <w:spacing w:line="480" w:lineRule="auto"/>
        <w:jc w:val="both"/>
        <w:rPr>
          <w:rFonts w:ascii="Times New Roman" w:hAnsi="Times New Roman" w:cs="Times New Roman"/>
          <w:sz w:val="24"/>
          <w:szCs w:val="24"/>
        </w:rPr>
      </w:pPr>
    </w:p>
    <w:p w14:paraId="345B4D4E" w14:textId="2A0883E9" w:rsidR="005312A8" w:rsidRDefault="005312A8" w:rsidP="00332760">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Key Words</w:t>
      </w:r>
    </w:p>
    <w:p w14:paraId="23B9387E" w14:textId="72466371" w:rsidR="005312A8" w:rsidRPr="005312A8" w:rsidRDefault="005312A8" w:rsidP="0033276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Musculoskeletal, patient reported outcome measures, primary care, quality of life.</w:t>
      </w:r>
    </w:p>
    <w:p w14:paraId="13040E19" w14:textId="77777777" w:rsidR="00B37D94" w:rsidRDefault="00B37D94">
      <w:pPr>
        <w:rPr>
          <w:rFonts w:ascii="Times New Roman" w:hAnsi="Times New Roman" w:cs="Times New Roman"/>
          <w:sz w:val="24"/>
          <w:szCs w:val="24"/>
        </w:rPr>
      </w:pPr>
      <w:r>
        <w:rPr>
          <w:rFonts w:ascii="Times New Roman" w:hAnsi="Times New Roman" w:cs="Times New Roman"/>
          <w:sz w:val="24"/>
          <w:szCs w:val="24"/>
        </w:rPr>
        <w:br w:type="page"/>
      </w:r>
    </w:p>
    <w:p w14:paraId="7BF78F3E" w14:textId="751163D5" w:rsidR="001D0BE3" w:rsidRPr="00DA020D" w:rsidRDefault="00B37D94" w:rsidP="00FD2BC4">
      <w:pPr>
        <w:pStyle w:val="NoSpacing"/>
        <w:numPr>
          <w:ilvl w:val="0"/>
          <w:numId w:val="6"/>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INTRODUCTION</w:t>
      </w:r>
    </w:p>
    <w:p w14:paraId="0C60B80C" w14:textId="5474AB18" w:rsidR="006B0978" w:rsidRDefault="006B0978" w:rsidP="006B0978">
      <w:pPr>
        <w:pStyle w:val="NoSpacing"/>
        <w:spacing w:line="480" w:lineRule="auto"/>
        <w:jc w:val="both"/>
        <w:rPr>
          <w:rFonts w:ascii="Times New Roman" w:hAnsi="Times New Roman" w:cs="Times New Roman"/>
          <w:sz w:val="24"/>
          <w:szCs w:val="24"/>
        </w:rPr>
      </w:pPr>
      <w:r w:rsidRPr="00DA020D">
        <w:rPr>
          <w:rFonts w:ascii="Times New Roman" w:hAnsi="Times New Roman" w:cs="Times New Roman"/>
          <w:sz w:val="24"/>
          <w:szCs w:val="24"/>
        </w:rPr>
        <w:t xml:space="preserve">Musculoskeletal (MSK) pain </w:t>
      </w:r>
      <w:r w:rsidR="001D0BE3" w:rsidRPr="00DA020D">
        <w:rPr>
          <w:rFonts w:ascii="Times New Roman" w:hAnsi="Times New Roman" w:cs="Times New Roman"/>
          <w:sz w:val="24"/>
          <w:szCs w:val="24"/>
        </w:rPr>
        <w:t xml:space="preserve">is </w:t>
      </w:r>
      <w:r w:rsidRPr="00DA020D">
        <w:rPr>
          <w:rFonts w:ascii="Times New Roman" w:hAnsi="Times New Roman" w:cs="Times New Roman"/>
          <w:sz w:val="24"/>
          <w:szCs w:val="24"/>
        </w:rPr>
        <w:t xml:space="preserve">a </w:t>
      </w:r>
      <w:r w:rsidR="00954AB8">
        <w:rPr>
          <w:rFonts w:ascii="Times New Roman" w:hAnsi="Times New Roman" w:cs="Times New Roman"/>
          <w:sz w:val="24"/>
          <w:szCs w:val="24"/>
        </w:rPr>
        <w:t xml:space="preserve">major </w:t>
      </w:r>
      <w:r w:rsidR="00351A9F">
        <w:rPr>
          <w:rFonts w:ascii="Times New Roman" w:hAnsi="Times New Roman" w:cs="Times New Roman"/>
          <w:sz w:val="24"/>
          <w:szCs w:val="24"/>
        </w:rPr>
        <w:t xml:space="preserve">global </w:t>
      </w:r>
      <w:r w:rsidR="00A663B2">
        <w:rPr>
          <w:rFonts w:ascii="Times New Roman" w:hAnsi="Times New Roman" w:cs="Times New Roman"/>
          <w:sz w:val="24"/>
          <w:szCs w:val="24"/>
        </w:rPr>
        <w:t xml:space="preserve">health </w:t>
      </w:r>
      <w:r w:rsidRPr="00DA020D">
        <w:rPr>
          <w:rFonts w:ascii="Times New Roman" w:hAnsi="Times New Roman" w:cs="Times New Roman"/>
          <w:sz w:val="24"/>
          <w:szCs w:val="24"/>
        </w:rPr>
        <w:t>problem</w:t>
      </w:r>
      <w:r w:rsidR="00261630">
        <w:rPr>
          <w:rFonts w:ascii="Times New Roman" w:hAnsi="Times New Roman" w:cs="Times New Roman"/>
          <w:sz w:val="24"/>
          <w:szCs w:val="24"/>
        </w:rPr>
        <w:t xml:space="preserve">. </w:t>
      </w:r>
      <w:r w:rsidR="00A663B2">
        <w:rPr>
          <w:rFonts w:ascii="Times New Roman" w:hAnsi="Times New Roman" w:cs="Times New Roman"/>
          <w:sz w:val="24"/>
          <w:szCs w:val="24"/>
        </w:rPr>
        <w:t>Each year,</w:t>
      </w:r>
      <w:r w:rsidR="00CC6C59">
        <w:rPr>
          <w:rFonts w:ascii="Times New Roman" w:hAnsi="Times New Roman" w:cs="Times New Roman"/>
          <w:sz w:val="24"/>
          <w:szCs w:val="24"/>
        </w:rPr>
        <w:t xml:space="preserve"> </w:t>
      </w:r>
      <w:r w:rsidR="00261630">
        <w:rPr>
          <w:rFonts w:ascii="Times New Roman" w:hAnsi="Times New Roman" w:cs="Times New Roman"/>
          <w:sz w:val="24"/>
          <w:szCs w:val="24"/>
        </w:rPr>
        <w:t>~</w:t>
      </w:r>
      <w:r w:rsidR="00601685" w:rsidRPr="00DA020D">
        <w:rPr>
          <w:rFonts w:ascii="Times New Roman" w:hAnsi="Times New Roman" w:cs="Times New Roman"/>
          <w:sz w:val="24"/>
          <w:szCs w:val="24"/>
        </w:rPr>
        <w:t>14</w:t>
      </w:r>
      <w:r w:rsidR="001D0BE3" w:rsidRPr="00DA020D">
        <w:rPr>
          <w:rFonts w:ascii="Times New Roman" w:hAnsi="Times New Roman" w:cs="Times New Roman"/>
          <w:sz w:val="24"/>
          <w:szCs w:val="24"/>
        </w:rPr>
        <w:t xml:space="preserve">% of </w:t>
      </w:r>
      <w:r w:rsidR="00396A82">
        <w:rPr>
          <w:rFonts w:ascii="Times New Roman" w:hAnsi="Times New Roman" w:cs="Times New Roman"/>
          <w:sz w:val="24"/>
          <w:szCs w:val="24"/>
        </w:rPr>
        <w:t xml:space="preserve">UK </w:t>
      </w:r>
      <w:r w:rsidR="001D0BE3" w:rsidRPr="00DA020D">
        <w:rPr>
          <w:rFonts w:ascii="Times New Roman" w:hAnsi="Times New Roman" w:cs="Times New Roman"/>
          <w:sz w:val="24"/>
          <w:szCs w:val="24"/>
        </w:rPr>
        <w:t xml:space="preserve">adults </w:t>
      </w:r>
      <w:r w:rsidR="00A663B2">
        <w:rPr>
          <w:rFonts w:ascii="Times New Roman" w:hAnsi="Times New Roman" w:cs="Times New Roman"/>
          <w:sz w:val="24"/>
          <w:szCs w:val="24"/>
        </w:rPr>
        <w:t>consult in primary care</w:t>
      </w:r>
      <w:r w:rsidR="001D0BE3" w:rsidRPr="00DA020D">
        <w:rPr>
          <w:rFonts w:ascii="Times New Roman" w:hAnsi="Times New Roman" w:cs="Times New Roman"/>
          <w:sz w:val="24"/>
          <w:szCs w:val="24"/>
        </w:rPr>
        <w:t xml:space="preserve"> for </w:t>
      </w:r>
      <w:r w:rsidRPr="00DA020D">
        <w:rPr>
          <w:rFonts w:ascii="Times New Roman" w:hAnsi="Times New Roman" w:cs="Times New Roman"/>
          <w:sz w:val="24"/>
          <w:szCs w:val="24"/>
        </w:rPr>
        <w:t xml:space="preserve">MSK </w:t>
      </w:r>
      <w:r w:rsidR="00A663B2">
        <w:rPr>
          <w:rFonts w:ascii="Times New Roman" w:hAnsi="Times New Roman" w:cs="Times New Roman"/>
          <w:sz w:val="24"/>
          <w:szCs w:val="24"/>
        </w:rPr>
        <w:t>conditions</w:t>
      </w:r>
      <w:r w:rsidR="00A663B2" w:rsidRPr="00DA020D">
        <w:rPr>
          <w:rFonts w:ascii="Times New Roman" w:hAnsi="Times New Roman" w:cs="Times New Roman"/>
          <w:sz w:val="24"/>
          <w:szCs w:val="24"/>
        </w:rPr>
        <w:t xml:space="preserve"> </w:t>
      </w:r>
      <w:r w:rsidR="008E168E">
        <w:rPr>
          <w:rFonts w:ascii="Times New Roman" w:hAnsi="Times New Roman" w:cs="Times New Roman"/>
          <w:noProof/>
          <w:sz w:val="24"/>
          <w:szCs w:val="24"/>
        </w:rPr>
        <w:fldChar w:fldCharType="begin" w:fldLock="1"/>
      </w:r>
      <w:r w:rsidR="008E168E">
        <w:rPr>
          <w:rFonts w:ascii="Times New Roman" w:hAnsi="Times New Roman" w:cs="Times New Roman"/>
          <w:noProof/>
          <w:sz w:val="24"/>
          <w:szCs w:val="24"/>
        </w:rPr>
        <w:instrText>ADDIN CSL_CITATION {"citationItems":[{"id":"ITEM-1","itemData":{"DOI":"https://dx.doi.org/10.1186/1471-2474-11-144","ISSN":"1471-2474","abstract":"BACKGROUND: Regional musculoskeletal pain such as back or shoulder pain are commonly reported symptoms in the community. The extent of consultation to primary care with such problems is unknown as a variety of labels may be used to record such consultations. The objective was to classify musculoskeletal morbidity codes used in routine primary care by body region, and to determine the annual consultation prevalence of regional musculoskeletal problems., METHODS: Musculoskeletal codes within the Read morbidity Code system were identified and grouped by relevant body region by four GPs. Consultations with these codes were then extracted from the recorded consultations at twelve general practices contributing to a general practice consultation database (CiPCA). Annual consultation prevalence per 10,000 registered persons for the year 2006 was determined, stratified by age and gender, for problems in individual regions and for problems affecting multiple regions., RESULTS: 5,908 musculoskeletal codes were grouped into regions. One in seven of all recorded consultations were for a musculoskeletal problem. The back was the most common individual region recorded (591 people consulting per 10,000 registered persons), followed by the knee (324/10,000). In children, the foot was the most common region. Different age and gender trends were apparent across body regions although women generally had higher consultation rates. The annual consultation-based prevalence for problems encompassing more than one region was 556 people consulting per 10,000 registered persons and increased in older people and in females., CONCLUSIONS: There is an extensive and varied regional musculoskeletal workload in primary care. Musculoskeletal problems are a major constituent of general practice. The output from this study can be used as a resource for planning future studies.","author":[{"dropping-particle":"","family":"Jordan","given":"Kelvin P","non-dropping-particle":"","parse-names":false,"suffix":""},{"dropping-particle":"","family":"Kadam","given":"Umesh T","non-dropping-particle":"","parse-names":false,"suffix":""},{"dropping-particle":"","family":"Hayward","given":"Richard","non-dropping-particle":"","parse-names":false,"suffix":""},{"dropping-particle":"","family":"Porcheret","given":"Mark","non-dropping-particle":"","parse-names":false,"suffix":""},{"dropping-particle":"","family":"Young","given":"Catherine","non-dropping-particle":"","parse-names":false,"suffix":""},{"dropping-particle":"","family":"Croft","given":"Peter","non-dropping-particle":"","parse-names":false,"suffix":""}],"container-title":"BMC musculoskeletal disorders","id":"ITEM-1","issued":{"date-parts":[["2010"]]},"page":"144","publisher-place":"England","title":"Annual consultation prevalence of regional musculoskeletal problems in primary care: an observational study.","type":"article-journal","volume":"11"},"uris":["http://www.mendeley.com/documents/?uuid=4135f94a-e75d-4138-98c7-aec65fb7680a"]}],"mendeley":{"formattedCitation":"(1)","plainTextFormattedCitation":"(1)","previouslyFormattedCitation":"(1)"},"properties":{"noteIndex":0},"schema":"https://github.com/citation-style-language/schema/raw/master/csl-citation.json"}</w:instrText>
      </w:r>
      <w:r w:rsidR="008E168E">
        <w:rPr>
          <w:rFonts w:ascii="Times New Roman" w:hAnsi="Times New Roman" w:cs="Times New Roman"/>
          <w:noProof/>
          <w:sz w:val="24"/>
          <w:szCs w:val="24"/>
        </w:rPr>
        <w:fldChar w:fldCharType="separate"/>
      </w:r>
      <w:r w:rsidR="008E168E" w:rsidRPr="008E168E">
        <w:rPr>
          <w:rFonts w:ascii="Times New Roman" w:hAnsi="Times New Roman" w:cs="Times New Roman"/>
          <w:noProof/>
          <w:sz w:val="24"/>
          <w:szCs w:val="24"/>
        </w:rPr>
        <w:t>(1)</w:t>
      </w:r>
      <w:r w:rsidR="008E168E">
        <w:rPr>
          <w:rFonts w:ascii="Times New Roman" w:hAnsi="Times New Roman" w:cs="Times New Roman"/>
          <w:noProof/>
          <w:sz w:val="24"/>
          <w:szCs w:val="24"/>
        </w:rPr>
        <w:fldChar w:fldCharType="end"/>
      </w:r>
      <w:r w:rsidR="00261630">
        <w:rPr>
          <w:rFonts w:ascii="Times New Roman" w:hAnsi="Times New Roman" w:cs="Times New Roman"/>
          <w:sz w:val="24"/>
          <w:szCs w:val="24"/>
        </w:rPr>
        <w:t>; in Sweden</w:t>
      </w:r>
      <w:r w:rsidR="00622715">
        <w:rPr>
          <w:rFonts w:ascii="Times New Roman" w:hAnsi="Times New Roman" w:cs="Times New Roman"/>
          <w:sz w:val="24"/>
          <w:szCs w:val="24"/>
        </w:rPr>
        <w:t xml:space="preserve">, </w:t>
      </w:r>
      <w:r w:rsidR="00505E88">
        <w:rPr>
          <w:rFonts w:ascii="Times New Roman" w:hAnsi="Times New Roman" w:cs="Times New Roman"/>
          <w:sz w:val="24"/>
          <w:szCs w:val="24"/>
        </w:rPr>
        <w:t xml:space="preserve">24% of adults </w:t>
      </w:r>
      <w:r w:rsidR="00A663B2">
        <w:rPr>
          <w:rFonts w:ascii="Times New Roman" w:hAnsi="Times New Roman" w:cs="Times New Roman"/>
          <w:sz w:val="24"/>
          <w:szCs w:val="24"/>
        </w:rPr>
        <w:t xml:space="preserve">report </w:t>
      </w:r>
      <w:r w:rsidR="00505E88">
        <w:rPr>
          <w:rFonts w:ascii="Times New Roman" w:hAnsi="Times New Roman" w:cs="Times New Roman"/>
          <w:sz w:val="24"/>
          <w:szCs w:val="24"/>
        </w:rPr>
        <w:t>chronic regional MSK pain</w:t>
      </w:r>
      <w:r w:rsidR="006658D5">
        <w:rPr>
          <w:rFonts w:ascii="Times New Roman" w:hAnsi="Times New Roman" w:cs="Times New Roman"/>
          <w:sz w:val="24"/>
          <w:szCs w:val="24"/>
        </w:rPr>
        <w:t xml:space="preserve"> </w:t>
      </w:r>
      <w:r w:rsidR="008E168E">
        <w:rPr>
          <w:rFonts w:ascii="Times New Roman" w:hAnsi="Times New Roman" w:cs="Times New Roman"/>
          <w:noProof/>
          <w:sz w:val="24"/>
          <w:szCs w:val="24"/>
        </w:rPr>
        <w:fldChar w:fldCharType="begin" w:fldLock="1"/>
      </w:r>
      <w:r w:rsidR="008E168E">
        <w:rPr>
          <w:rFonts w:ascii="Times New Roman" w:hAnsi="Times New Roman" w:cs="Times New Roman"/>
          <w:noProof/>
          <w:sz w:val="24"/>
          <w:szCs w:val="24"/>
        </w:rPr>
        <w:instrText>ADDIN CSL_CITATION {"citationItems":[{"id":"ITEM-1","itemData":{"abstract":"OBJECTIVE: To estimate the prevalence of chronic regional and widespread musculoskeletal pain in a sample of the general adult population and study the association to age, sex, socioeconomic class, immigration, and housing area. METHODS: A cross sectional survey with a postal questionnaire to 3928 inhabitants on the west coast of Sweden. RESULTS: The age and sex adjusted prevalence of chronic regional pain (CRP) was 23.9% and chronic widespread pain (CWP) 11.4% among 2425 subjects who responded to the complete questionnaire. Odds ratio (OR) for CWP showed a systematic increasing gradient with age and was highest in the age group 59-74 yrs (OR 6.36, 95% CI 3.85-10.50) vs age group 20-34 yrs. CWP was also associated with female sex (OR 1.91, 95% CI 1.41-2.61), being an immigrant (OR 1.83, 95% CI 1.22-2.77), living in a socially compromised housing area (OR 3.05, 95% CI 1.48-6.27), and being an assistant nonmanual lower level employee (OR 1.92, 95% CI 1.09-3.38) or manual worker (OR 2.72, 95% CI 1.65-4.49) vs being an intermediate/higher nonmanual employee. OR for CRP showed a systematic increasing gradient with age and was highest in the age group 59-74 yrs (OR 2.22, 95% CI 1.62-3.05) vs age group 20-34 yrs. CRP was also associated with being a manual worker (OR 1.63, 95% CI 1.19-2.23) vs being an intermediate/higher nonmanual employee. CONCLUSION: Chronic musculoskeletal pain is common in the general population. Sociodemographic variables were overall more frequently and strongly associated with CWP than with CRP, which indicates different pathophysiology in the development or preservation of pain in the 2 groups.","author":[{"dropping-particle":"","family":"Bergman","given":"S","non-dropping-particle":"","parse-names":false,"suffix":""},{"dropping-particle":"","family":"Herrström","given":"P","non-dropping-particle":"","parse-names":false,"suffix":""},{"dropping-particle":"","family":"Högström","given":"K","non-dropping-particle":"","parse-names":false,"suffix":""},{"dropping-particle":"","family":"Petersson","given":"I F","non-dropping-particle":"","parse-names":false,"suffix":""},{"dropping-particle":"","family":"Svensson","given":"B","non-dropping-particle":"","parse-names":false,"suffix":""},{"dropping-particle":"","family":"Jacobsson","given":"L T","non-dropping-particle":"","parse-names":false,"suffix":""}],"container-title":"The Journal of Rheumatology","id":"ITEM-1","issue":"6","issued":{"date-parts":[["2001","6","1"]]},"page":"1369 LP  - 1377","title":"Chronic musculoskeletal pain, prevalence rates, and sociodemographic associations in a Swedish population study.","type":"article-journal","volume":"28"},"uris":["http://www.mendeley.com/documents/?uuid=ad5ab36f-ed94-4b40-bd0d-645d0f111b1f"]}],"mendeley":{"formattedCitation":"(2)","plainTextFormattedCitation":"(2)","previouslyFormattedCitation":"(2)"},"properties":{"noteIndex":0},"schema":"https://github.com/citation-style-language/schema/raw/master/csl-citation.json"}</w:instrText>
      </w:r>
      <w:r w:rsidR="008E168E">
        <w:rPr>
          <w:rFonts w:ascii="Times New Roman" w:hAnsi="Times New Roman" w:cs="Times New Roman"/>
          <w:noProof/>
          <w:sz w:val="24"/>
          <w:szCs w:val="24"/>
        </w:rPr>
        <w:fldChar w:fldCharType="separate"/>
      </w:r>
      <w:r w:rsidR="008E168E" w:rsidRPr="008E168E">
        <w:rPr>
          <w:rFonts w:ascii="Times New Roman" w:hAnsi="Times New Roman" w:cs="Times New Roman"/>
          <w:noProof/>
          <w:sz w:val="24"/>
          <w:szCs w:val="24"/>
        </w:rPr>
        <w:t>(2)</w:t>
      </w:r>
      <w:r w:rsidR="008E168E">
        <w:rPr>
          <w:rFonts w:ascii="Times New Roman" w:hAnsi="Times New Roman" w:cs="Times New Roman"/>
          <w:noProof/>
          <w:sz w:val="24"/>
          <w:szCs w:val="24"/>
        </w:rPr>
        <w:fldChar w:fldCharType="end"/>
      </w:r>
      <w:r w:rsidR="00261630">
        <w:rPr>
          <w:rFonts w:ascii="Times New Roman" w:hAnsi="Times New Roman" w:cs="Times New Roman"/>
          <w:sz w:val="24"/>
          <w:szCs w:val="24"/>
        </w:rPr>
        <w:t xml:space="preserve">; in </w:t>
      </w:r>
      <w:r w:rsidR="0063279A">
        <w:rPr>
          <w:rFonts w:ascii="Times New Roman" w:hAnsi="Times New Roman" w:cs="Times New Roman"/>
          <w:sz w:val="24"/>
          <w:szCs w:val="24"/>
        </w:rPr>
        <w:t>the USA</w:t>
      </w:r>
      <w:r w:rsidR="00A663B2">
        <w:rPr>
          <w:rFonts w:ascii="Times New Roman" w:hAnsi="Times New Roman" w:cs="Times New Roman"/>
          <w:sz w:val="24"/>
          <w:szCs w:val="24"/>
        </w:rPr>
        <w:t>,</w:t>
      </w:r>
      <w:r w:rsidR="00261630">
        <w:rPr>
          <w:rFonts w:ascii="Times New Roman" w:hAnsi="Times New Roman" w:cs="Times New Roman"/>
          <w:sz w:val="24"/>
          <w:szCs w:val="24"/>
        </w:rPr>
        <w:t xml:space="preserve"> </w:t>
      </w:r>
      <w:r w:rsidR="0063279A">
        <w:rPr>
          <w:rFonts w:ascii="Times New Roman" w:hAnsi="Times New Roman" w:cs="Times New Roman"/>
          <w:sz w:val="24"/>
          <w:szCs w:val="24"/>
        </w:rPr>
        <w:t xml:space="preserve">1 in every 2 </w:t>
      </w:r>
      <w:r w:rsidR="00261630">
        <w:rPr>
          <w:rFonts w:ascii="Times New Roman" w:hAnsi="Times New Roman" w:cs="Times New Roman"/>
          <w:sz w:val="24"/>
          <w:szCs w:val="24"/>
        </w:rPr>
        <w:t>people report</w:t>
      </w:r>
      <w:r w:rsidR="00505E88">
        <w:rPr>
          <w:rFonts w:ascii="Times New Roman" w:hAnsi="Times New Roman" w:cs="Times New Roman"/>
          <w:sz w:val="24"/>
          <w:szCs w:val="24"/>
        </w:rPr>
        <w:t xml:space="preserve"> MSK conditions </w:t>
      </w:r>
      <w:r w:rsidR="008E168E">
        <w:rPr>
          <w:rFonts w:ascii="Times New Roman" w:hAnsi="Times New Roman" w:cs="Times New Roman"/>
          <w:noProof/>
          <w:sz w:val="24"/>
          <w:szCs w:val="24"/>
        </w:rPr>
        <w:fldChar w:fldCharType="begin" w:fldLock="1"/>
      </w:r>
      <w:r w:rsidR="008E168E">
        <w:rPr>
          <w:rFonts w:ascii="Times New Roman" w:hAnsi="Times New Roman" w:cs="Times New Roman"/>
          <w:noProof/>
          <w:sz w:val="24"/>
          <w:szCs w:val="24"/>
        </w:rPr>
        <w:instrText>ADDIN CSL_CITATION {"citationItems":[{"id":"ITEM-1","itemData":{"URL":"https://www.boneandjointburden.org/docs/BMUS Impact of MSK on Americans booklet_4th Edition %282018%29.pdf","accessed":{"date-parts":[["2019","5","26"]]},"author":[{"dropping-particle":"","family":"US Bone and Joint Initiative","given":"","non-dropping-particle":"","parse-names":false,"suffix":""}],"id":"ITEM-1","issued":{"date-parts":[["0"]]},"title":"The Burden of Musculoskeletal Diseases in the United States","type":"webpage"},"uris":["http://www.mendeley.com/documents/?uuid=a50418d8-d7af-4593-ab4d-cb73ec67779d"]}],"mendeley":{"formattedCitation":"(3)","plainTextFormattedCitation":"(3)","previouslyFormattedCitation":"(3)"},"properties":{"noteIndex":0},"schema":"https://github.com/citation-style-language/schema/raw/master/csl-citation.json"}</w:instrText>
      </w:r>
      <w:r w:rsidR="008E168E">
        <w:rPr>
          <w:rFonts w:ascii="Times New Roman" w:hAnsi="Times New Roman" w:cs="Times New Roman"/>
          <w:noProof/>
          <w:sz w:val="24"/>
          <w:szCs w:val="24"/>
        </w:rPr>
        <w:fldChar w:fldCharType="separate"/>
      </w:r>
      <w:r w:rsidR="008E168E" w:rsidRPr="008E168E">
        <w:rPr>
          <w:rFonts w:ascii="Times New Roman" w:hAnsi="Times New Roman" w:cs="Times New Roman"/>
          <w:noProof/>
          <w:sz w:val="24"/>
          <w:szCs w:val="24"/>
        </w:rPr>
        <w:t>(3)</w:t>
      </w:r>
      <w:r w:rsidR="008E168E">
        <w:rPr>
          <w:rFonts w:ascii="Times New Roman" w:hAnsi="Times New Roman" w:cs="Times New Roman"/>
          <w:noProof/>
          <w:sz w:val="24"/>
          <w:szCs w:val="24"/>
        </w:rPr>
        <w:fldChar w:fldCharType="end"/>
      </w:r>
      <w:r w:rsidR="00261630">
        <w:rPr>
          <w:rFonts w:ascii="Times New Roman" w:hAnsi="Times New Roman" w:cs="Times New Roman"/>
          <w:sz w:val="24"/>
          <w:szCs w:val="24"/>
        </w:rPr>
        <w:t xml:space="preserve">; </w:t>
      </w:r>
      <w:r w:rsidR="00A663B2">
        <w:rPr>
          <w:rFonts w:ascii="Times New Roman" w:hAnsi="Times New Roman" w:cs="Times New Roman"/>
          <w:sz w:val="24"/>
          <w:szCs w:val="24"/>
        </w:rPr>
        <w:t xml:space="preserve">and </w:t>
      </w:r>
      <w:r w:rsidR="00261630">
        <w:rPr>
          <w:rFonts w:ascii="Times New Roman" w:hAnsi="Times New Roman" w:cs="Times New Roman"/>
          <w:sz w:val="24"/>
          <w:szCs w:val="24"/>
        </w:rPr>
        <w:t xml:space="preserve">in </w:t>
      </w:r>
      <w:r w:rsidR="00A663B2">
        <w:rPr>
          <w:rFonts w:ascii="Times New Roman" w:hAnsi="Times New Roman" w:cs="Times New Roman"/>
          <w:sz w:val="24"/>
          <w:szCs w:val="24"/>
        </w:rPr>
        <w:t>middle and low income countries</w:t>
      </w:r>
      <w:r w:rsidR="00E6297B">
        <w:rPr>
          <w:rFonts w:ascii="Times New Roman" w:hAnsi="Times New Roman" w:cs="Times New Roman"/>
          <w:sz w:val="24"/>
          <w:szCs w:val="24"/>
        </w:rPr>
        <w:t xml:space="preserve">, </w:t>
      </w:r>
      <w:r w:rsidR="00410FCA">
        <w:rPr>
          <w:rFonts w:ascii="Times New Roman" w:hAnsi="Times New Roman" w:cs="Times New Roman"/>
          <w:sz w:val="24"/>
          <w:szCs w:val="24"/>
        </w:rPr>
        <w:t xml:space="preserve">MSK </w:t>
      </w:r>
      <w:r w:rsidR="00A663B2">
        <w:rPr>
          <w:rFonts w:ascii="Times New Roman" w:hAnsi="Times New Roman" w:cs="Times New Roman"/>
          <w:sz w:val="24"/>
          <w:szCs w:val="24"/>
        </w:rPr>
        <w:t xml:space="preserve">pain </w:t>
      </w:r>
      <w:r w:rsidR="00351A9F">
        <w:rPr>
          <w:rFonts w:ascii="Times New Roman" w:hAnsi="Times New Roman" w:cs="Times New Roman"/>
          <w:sz w:val="24"/>
          <w:szCs w:val="24"/>
        </w:rPr>
        <w:t>account</w:t>
      </w:r>
      <w:r w:rsidR="00A663B2">
        <w:rPr>
          <w:rFonts w:ascii="Times New Roman" w:hAnsi="Times New Roman" w:cs="Times New Roman"/>
          <w:sz w:val="24"/>
          <w:szCs w:val="24"/>
        </w:rPr>
        <w:t>s</w:t>
      </w:r>
      <w:r w:rsidR="00261630">
        <w:rPr>
          <w:rFonts w:ascii="Times New Roman" w:hAnsi="Times New Roman" w:cs="Times New Roman"/>
          <w:sz w:val="24"/>
          <w:szCs w:val="24"/>
        </w:rPr>
        <w:t xml:space="preserve"> </w:t>
      </w:r>
      <w:r w:rsidR="00351A9F">
        <w:rPr>
          <w:rFonts w:ascii="Times New Roman" w:hAnsi="Times New Roman" w:cs="Times New Roman"/>
          <w:sz w:val="24"/>
          <w:szCs w:val="24"/>
        </w:rPr>
        <w:t>for 19</w:t>
      </w:r>
      <w:r w:rsidR="00410FCA">
        <w:rPr>
          <w:rFonts w:ascii="Times New Roman" w:hAnsi="Times New Roman" w:cs="Times New Roman"/>
          <w:sz w:val="24"/>
          <w:szCs w:val="24"/>
        </w:rPr>
        <w:t xml:space="preserve">% of all </w:t>
      </w:r>
      <w:r w:rsidR="00410FCA" w:rsidRPr="00520B59">
        <w:rPr>
          <w:rFonts w:ascii="Times New Roman" w:hAnsi="Times New Roman" w:cs="Times New Roman"/>
          <w:sz w:val="24"/>
          <w:szCs w:val="24"/>
        </w:rPr>
        <w:t>healthy years of life lost due to disability</w:t>
      </w:r>
      <w:r w:rsidR="00410FCA">
        <w:rPr>
          <w:rFonts w:ascii="Times New Roman" w:hAnsi="Times New Roman" w:cs="Times New Roman"/>
          <w:sz w:val="24"/>
          <w:szCs w:val="24"/>
        </w:rPr>
        <w:t xml:space="preserve"> </w:t>
      </w:r>
      <w:r w:rsidR="008E168E">
        <w:rPr>
          <w:rFonts w:ascii="Times New Roman" w:hAnsi="Times New Roman" w:cs="Times New Roman"/>
          <w:noProof/>
          <w:sz w:val="24"/>
          <w:szCs w:val="24"/>
        </w:rPr>
        <w:fldChar w:fldCharType="begin" w:fldLock="1"/>
      </w:r>
      <w:r w:rsidR="005D7E2B">
        <w:rPr>
          <w:rFonts w:ascii="Times New Roman" w:hAnsi="Times New Roman" w:cs="Times New Roman"/>
          <w:noProof/>
          <w:sz w:val="24"/>
          <w:szCs w:val="24"/>
        </w:rPr>
        <w:instrText>ADDIN CSL_CITATION {"citationItems":[{"id":"ITEM-1","itemData":{"DOI":"https://doi.org/10.1016/j.berh.2014.07.006","ISSN":"1521-6942","abstract":"Musculoskeletal (MSK) conditions cause an enormous global burden, and this is dramatically increasing in developing countries, particularly due to rapidly ageing populations and increasing obesity. Many of the global non-communicable disease (NCD) initiatives need to expand beyond the traditional ‘top four’ NCD groups by incorporating MSK diseases. It is critical that MSK initiatives in developing countries integrate well with health systems, rather than being stand-alone. A better inclusion of MSK conditions will avoid doubling of efforts and wasting of resources, and will help to promote a more streamlined, cost-effective approach. Other key opportunities for action include the following: ensuring the principles of ‘development effectiveness’ are met; strengthening leadership and commitment; building the research, information and evidence base; and reducing the incidence and disability of MSK conditions through better prevention. Each of these elements is necessary to mitigate and reduce the growing burden from the MSKs.","author":[{"dropping-particle":"","family":"Hoy","given":"Damian","non-dropping-particle":"","parse-names":false,"suffix":""},{"dropping-particle":"","family":"Geere","given":"Jo-Anne","non-dropping-particle":"","parse-names":false,"suffix":""},{"dropping-particle":"","family":"Davatchi","given":"Fereydoun","non-dropping-particle":"","parse-names":false,"suffix":""},{"dropping-particle":"","family":"Meggitt","given":"Belinda","non-dropping-particle":"","parse-names":false,"suffix":""},{"dropping-particle":"","family":"Barrero","given":"Lope H","non-dropping-particle":"","parse-names":false,"suffix":""}],"container-title":"Best Practice &amp; Research Clinical Rheumatology","id":"ITEM-1","issue":"3","issued":{"date-parts":[["2014"]]},"page":"377-393","title":"A time for action: Opportunities for preventing the growing burden and disability from musculoskeletal conditions in low- and middle-income countries","type":"article-journal","volume":"28"},"uris":["http://www.mendeley.com/documents/?uuid=6005fa19-085e-4fb2-ad84-ec446d847a84"]}],"mendeley":{"formattedCitation":"(4)","plainTextFormattedCitation":"(4)","previouslyFormattedCitation":"(4)"},"properties":{"noteIndex":0},"schema":"https://github.com/citation-style-language/schema/raw/master/csl-citation.json"}</w:instrText>
      </w:r>
      <w:r w:rsidR="008E168E">
        <w:rPr>
          <w:rFonts w:ascii="Times New Roman" w:hAnsi="Times New Roman" w:cs="Times New Roman"/>
          <w:noProof/>
          <w:sz w:val="24"/>
          <w:szCs w:val="24"/>
        </w:rPr>
        <w:fldChar w:fldCharType="separate"/>
      </w:r>
      <w:r w:rsidR="008E168E" w:rsidRPr="008E168E">
        <w:rPr>
          <w:rFonts w:ascii="Times New Roman" w:hAnsi="Times New Roman" w:cs="Times New Roman"/>
          <w:noProof/>
          <w:sz w:val="24"/>
          <w:szCs w:val="24"/>
        </w:rPr>
        <w:t>(4)</w:t>
      </w:r>
      <w:r w:rsidR="008E168E">
        <w:rPr>
          <w:rFonts w:ascii="Times New Roman" w:hAnsi="Times New Roman" w:cs="Times New Roman"/>
          <w:noProof/>
          <w:sz w:val="24"/>
          <w:szCs w:val="24"/>
        </w:rPr>
        <w:fldChar w:fldCharType="end"/>
      </w:r>
      <w:r w:rsidR="00410FCA">
        <w:rPr>
          <w:rFonts w:ascii="Times New Roman" w:hAnsi="Times New Roman" w:cs="Times New Roman"/>
          <w:sz w:val="24"/>
          <w:szCs w:val="24"/>
        </w:rPr>
        <w:t xml:space="preserve">. </w:t>
      </w:r>
      <w:r w:rsidR="0063279A">
        <w:rPr>
          <w:rFonts w:ascii="Times New Roman" w:hAnsi="Times New Roman" w:cs="Times New Roman"/>
          <w:sz w:val="24"/>
          <w:szCs w:val="24"/>
        </w:rPr>
        <w:t xml:space="preserve">Preventing </w:t>
      </w:r>
      <w:r w:rsidR="00375201">
        <w:rPr>
          <w:rFonts w:ascii="Times New Roman" w:hAnsi="Times New Roman" w:cs="Times New Roman"/>
          <w:sz w:val="24"/>
          <w:szCs w:val="24"/>
        </w:rPr>
        <w:t>and</w:t>
      </w:r>
      <w:r w:rsidRPr="00DA020D">
        <w:rPr>
          <w:rFonts w:ascii="Times New Roman" w:hAnsi="Times New Roman" w:cs="Times New Roman"/>
          <w:sz w:val="24"/>
          <w:szCs w:val="24"/>
        </w:rPr>
        <w:t xml:space="preserve"> </w:t>
      </w:r>
      <w:r w:rsidR="0063279A">
        <w:rPr>
          <w:rFonts w:ascii="Times New Roman" w:hAnsi="Times New Roman" w:cs="Times New Roman"/>
          <w:sz w:val="24"/>
          <w:szCs w:val="24"/>
        </w:rPr>
        <w:t xml:space="preserve">managing </w:t>
      </w:r>
      <w:r w:rsidRPr="00DA020D">
        <w:rPr>
          <w:rFonts w:ascii="Times New Roman" w:hAnsi="Times New Roman" w:cs="Times New Roman"/>
          <w:sz w:val="24"/>
          <w:szCs w:val="24"/>
        </w:rPr>
        <w:t xml:space="preserve">MSK pain </w:t>
      </w:r>
      <w:r w:rsidR="00375201">
        <w:rPr>
          <w:rFonts w:ascii="Times New Roman" w:hAnsi="Times New Roman" w:cs="Times New Roman"/>
          <w:sz w:val="24"/>
          <w:szCs w:val="24"/>
        </w:rPr>
        <w:t>are</w:t>
      </w:r>
      <w:r w:rsidRPr="00DA020D">
        <w:rPr>
          <w:rFonts w:ascii="Times New Roman" w:hAnsi="Times New Roman" w:cs="Times New Roman"/>
          <w:sz w:val="24"/>
          <w:szCs w:val="24"/>
        </w:rPr>
        <w:t xml:space="preserve">, therefore, </w:t>
      </w:r>
      <w:r w:rsidR="00351A9F">
        <w:rPr>
          <w:rFonts w:ascii="Times New Roman" w:hAnsi="Times New Roman" w:cs="Times New Roman"/>
          <w:sz w:val="24"/>
          <w:szCs w:val="24"/>
        </w:rPr>
        <w:t>international</w:t>
      </w:r>
      <w:r w:rsidRPr="00DA020D">
        <w:rPr>
          <w:rFonts w:ascii="Times New Roman" w:hAnsi="Times New Roman" w:cs="Times New Roman"/>
          <w:sz w:val="24"/>
          <w:szCs w:val="24"/>
        </w:rPr>
        <w:t xml:space="preserve"> </w:t>
      </w:r>
      <w:r w:rsidR="00375201">
        <w:rPr>
          <w:rFonts w:ascii="Times New Roman" w:hAnsi="Times New Roman" w:cs="Times New Roman"/>
          <w:sz w:val="24"/>
          <w:szCs w:val="24"/>
        </w:rPr>
        <w:t>priorities</w:t>
      </w:r>
      <w:r w:rsidR="00261630">
        <w:rPr>
          <w:rFonts w:ascii="Times New Roman" w:hAnsi="Times New Roman" w:cs="Times New Roman"/>
          <w:sz w:val="24"/>
          <w:szCs w:val="24"/>
        </w:rPr>
        <w:t xml:space="preserve">. </w:t>
      </w:r>
    </w:p>
    <w:p w14:paraId="4551D241" w14:textId="77777777" w:rsidR="00261630" w:rsidRPr="00DA020D" w:rsidRDefault="00261630" w:rsidP="006B0978">
      <w:pPr>
        <w:pStyle w:val="NoSpacing"/>
        <w:spacing w:line="480" w:lineRule="auto"/>
        <w:jc w:val="both"/>
        <w:rPr>
          <w:rFonts w:ascii="Times New Roman" w:hAnsi="Times New Roman" w:cs="Times New Roman"/>
          <w:sz w:val="24"/>
          <w:szCs w:val="24"/>
        </w:rPr>
      </w:pPr>
    </w:p>
    <w:p w14:paraId="75815E0D" w14:textId="1AD4A5A4" w:rsidR="006B0978" w:rsidRPr="00DA020D" w:rsidRDefault="006B0978" w:rsidP="00FE3A39">
      <w:pPr>
        <w:pStyle w:val="NoSpacing"/>
        <w:spacing w:line="480" w:lineRule="auto"/>
        <w:jc w:val="both"/>
        <w:rPr>
          <w:rFonts w:ascii="Times New Roman" w:hAnsi="Times New Roman" w:cs="Times New Roman"/>
          <w:iCs/>
          <w:sz w:val="24"/>
          <w:szCs w:val="24"/>
        </w:rPr>
      </w:pPr>
      <w:r w:rsidRPr="00DA020D">
        <w:rPr>
          <w:rFonts w:ascii="Times New Roman" w:hAnsi="Times New Roman" w:cs="Times New Roman"/>
          <w:sz w:val="24"/>
          <w:szCs w:val="24"/>
        </w:rPr>
        <w:t xml:space="preserve">A </w:t>
      </w:r>
      <w:r w:rsidR="006658D5">
        <w:rPr>
          <w:rFonts w:ascii="Times New Roman" w:hAnsi="Times New Roman" w:cs="Times New Roman"/>
          <w:sz w:val="24"/>
          <w:szCs w:val="24"/>
        </w:rPr>
        <w:t xml:space="preserve">crucial </w:t>
      </w:r>
      <w:r w:rsidRPr="00DA020D">
        <w:rPr>
          <w:rFonts w:ascii="Times New Roman" w:hAnsi="Times New Roman" w:cs="Times New Roman"/>
          <w:sz w:val="24"/>
          <w:szCs w:val="24"/>
        </w:rPr>
        <w:t xml:space="preserve">barrier to </w:t>
      </w:r>
      <w:r w:rsidR="009A001B" w:rsidRPr="00DA020D">
        <w:rPr>
          <w:rFonts w:ascii="Times New Roman" w:hAnsi="Times New Roman" w:cs="Times New Roman"/>
          <w:sz w:val="24"/>
          <w:szCs w:val="24"/>
        </w:rPr>
        <w:t xml:space="preserve">delivering high-quality </w:t>
      </w:r>
      <w:r w:rsidR="00375201">
        <w:rPr>
          <w:rFonts w:ascii="Times New Roman" w:hAnsi="Times New Roman" w:cs="Times New Roman"/>
          <w:sz w:val="24"/>
          <w:szCs w:val="24"/>
        </w:rPr>
        <w:t>health</w:t>
      </w:r>
      <w:r w:rsidRPr="00DA020D">
        <w:rPr>
          <w:rFonts w:ascii="Times New Roman" w:hAnsi="Times New Roman" w:cs="Times New Roman"/>
          <w:sz w:val="24"/>
          <w:szCs w:val="24"/>
        </w:rPr>
        <w:t xml:space="preserve">care </w:t>
      </w:r>
      <w:r w:rsidR="009A001B" w:rsidRPr="00DA020D">
        <w:rPr>
          <w:rFonts w:ascii="Times New Roman" w:hAnsi="Times New Roman" w:cs="Times New Roman"/>
          <w:sz w:val="24"/>
          <w:szCs w:val="24"/>
        </w:rPr>
        <w:t xml:space="preserve">to </w:t>
      </w:r>
      <w:r w:rsidR="002845F0">
        <w:rPr>
          <w:rFonts w:ascii="Times New Roman" w:hAnsi="Times New Roman" w:cs="Times New Roman"/>
          <w:sz w:val="24"/>
          <w:szCs w:val="24"/>
        </w:rPr>
        <w:t>patients</w:t>
      </w:r>
      <w:r w:rsidR="00261630">
        <w:rPr>
          <w:rFonts w:ascii="Times New Roman" w:hAnsi="Times New Roman" w:cs="Times New Roman"/>
          <w:sz w:val="24"/>
          <w:szCs w:val="24"/>
        </w:rPr>
        <w:t xml:space="preserve"> </w:t>
      </w:r>
      <w:r w:rsidRPr="00DA020D">
        <w:rPr>
          <w:rFonts w:ascii="Times New Roman" w:hAnsi="Times New Roman" w:cs="Times New Roman"/>
          <w:sz w:val="24"/>
          <w:szCs w:val="24"/>
        </w:rPr>
        <w:t xml:space="preserve">with MSK </w:t>
      </w:r>
      <w:r w:rsidR="00351A9F">
        <w:rPr>
          <w:rFonts w:ascii="Times New Roman" w:hAnsi="Times New Roman" w:cs="Times New Roman"/>
          <w:sz w:val="24"/>
          <w:szCs w:val="24"/>
        </w:rPr>
        <w:t>pain</w:t>
      </w:r>
      <w:r w:rsidRPr="00DA020D">
        <w:rPr>
          <w:rFonts w:ascii="Times New Roman" w:hAnsi="Times New Roman" w:cs="Times New Roman"/>
          <w:sz w:val="24"/>
          <w:szCs w:val="24"/>
        </w:rPr>
        <w:t xml:space="preserve"> is </w:t>
      </w:r>
      <w:r w:rsidR="00261630">
        <w:rPr>
          <w:rFonts w:ascii="Times New Roman" w:hAnsi="Times New Roman" w:cs="Times New Roman"/>
          <w:sz w:val="24"/>
          <w:szCs w:val="24"/>
        </w:rPr>
        <w:t xml:space="preserve">the absence of a </w:t>
      </w:r>
      <w:r w:rsidRPr="00DA020D">
        <w:rPr>
          <w:rFonts w:ascii="Times New Roman" w:hAnsi="Times New Roman" w:cs="Times New Roman"/>
          <w:sz w:val="24"/>
          <w:szCs w:val="24"/>
        </w:rPr>
        <w:t xml:space="preserve">standardised approach to assessing </w:t>
      </w:r>
      <w:r w:rsidR="00375201">
        <w:rPr>
          <w:rFonts w:ascii="Times New Roman" w:hAnsi="Times New Roman" w:cs="Times New Roman"/>
          <w:sz w:val="24"/>
          <w:szCs w:val="24"/>
        </w:rPr>
        <w:t xml:space="preserve">clinical </w:t>
      </w:r>
      <w:r w:rsidR="00194E80">
        <w:rPr>
          <w:rFonts w:ascii="Times New Roman" w:hAnsi="Times New Roman" w:cs="Times New Roman"/>
          <w:sz w:val="24"/>
          <w:szCs w:val="24"/>
        </w:rPr>
        <w:t xml:space="preserve">outcomes. It is widely </w:t>
      </w:r>
      <w:r w:rsidRPr="00DA020D">
        <w:rPr>
          <w:rFonts w:ascii="Times New Roman" w:hAnsi="Times New Roman" w:cs="Times New Roman"/>
          <w:sz w:val="24"/>
          <w:szCs w:val="24"/>
        </w:rPr>
        <w:t>agreed that the impacts of MSK pain on patients</w:t>
      </w:r>
      <w:r w:rsidR="000F61B6" w:rsidRPr="00DA020D">
        <w:rPr>
          <w:rFonts w:ascii="Times New Roman" w:hAnsi="Times New Roman" w:cs="Times New Roman"/>
          <w:sz w:val="24"/>
          <w:szCs w:val="24"/>
        </w:rPr>
        <w:t>’</w:t>
      </w:r>
      <w:r w:rsidRPr="00DA020D">
        <w:rPr>
          <w:rFonts w:ascii="Times New Roman" w:hAnsi="Times New Roman" w:cs="Times New Roman"/>
          <w:sz w:val="24"/>
          <w:szCs w:val="24"/>
        </w:rPr>
        <w:t xml:space="preserve"> </w:t>
      </w:r>
      <w:r w:rsidR="000F61B6" w:rsidRPr="00DA020D">
        <w:rPr>
          <w:rFonts w:ascii="Times New Roman" w:hAnsi="Times New Roman" w:cs="Times New Roman"/>
          <w:sz w:val="24"/>
          <w:szCs w:val="24"/>
        </w:rPr>
        <w:t xml:space="preserve">lives </w:t>
      </w:r>
      <w:r w:rsidRPr="00DA020D">
        <w:rPr>
          <w:rFonts w:ascii="Times New Roman" w:hAnsi="Times New Roman" w:cs="Times New Roman"/>
          <w:sz w:val="24"/>
          <w:szCs w:val="24"/>
        </w:rPr>
        <w:t>are best captured using patient-reported outcome measures (PROMs</w:t>
      </w:r>
      <w:r w:rsidR="000F61B6" w:rsidRPr="00DA020D">
        <w:rPr>
          <w:rFonts w:ascii="Times New Roman" w:hAnsi="Times New Roman" w:cs="Times New Roman"/>
          <w:sz w:val="24"/>
          <w:szCs w:val="24"/>
        </w:rPr>
        <w:t>)</w:t>
      </w:r>
      <w:r w:rsidR="009A001B" w:rsidRPr="00DA020D">
        <w:rPr>
          <w:rFonts w:ascii="Times New Roman" w:hAnsi="Times New Roman" w:cs="Times New Roman"/>
          <w:sz w:val="24"/>
          <w:szCs w:val="24"/>
        </w:rPr>
        <w:t>,</w:t>
      </w:r>
      <w:r w:rsidR="000F61B6" w:rsidRPr="00DA020D">
        <w:rPr>
          <w:rFonts w:ascii="Times New Roman" w:hAnsi="Times New Roman" w:cs="Times New Roman"/>
          <w:sz w:val="24"/>
          <w:szCs w:val="24"/>
        </w:rPr>
        <w:t xml:space="preserve"> </w:t>
      </w:r>
      <w:r w:rsidR="00375201">
        <w:rPr>
          <w:rFonts w:ascii="Times New Roman" w:hAnsi="Times New Roman" w:cs="Times New Roman"/>
          <w:sz w:val="24"/>
          <w:szCs w:val="24"/>
        </w:rPr>
        <w:t xml:space="preserve">often captured through </w:t>
      </w:r>
      <w:r w:rsidR="00622715">
        <w:rPr>
          <w:rFonts w:ascii="Times New Roman" w:hAnsi="Times New Roman" w:cs="Times New Roman"/>
          <w:sz w:val="24"/>
          <w:szCs w:val="24"/>
        </w:rPr>
        <w:t>patient</w:t>
      </w:r>
      <w:r w:rsidRPr="00DA020D">
        <w:rPr>
          <w:rFonts w:ascii="Times New Roman" w:hAnsi="Times New Roman" w:cs="Times New Roman"/>
          <w:sz w:val="24"/>
          <w:szCs w:val="24"/>
        </w:rPr>
        <w:t xml:space="preserve">-completed questionnaires </w:t>
      </w:r>
      <w:r w:rsidR="005D7E2B">
        <w:rPr>
          <w:rFonts w:ascii="Times New Roman" w:hAnsi="Times New Roman" w:cs="Times New Roman"/>
          <w:iCs/>
          <w:noProof/>
          <w:sz w:val="24"/>
          <w:szCs w:val="24"/>
        </w:rPr>
        <w:fldChar w:fldCharType="begin" w:fldLock="1"/>
      </w:r>
      <w:r w:rsidR="005D7E2B">
        <w:rPr>
          <w:rFonts w:ascii="Times New Roman" w:hAnsi="Times New Roman" w:cs="Times New Roman"/>
          <w:iCs/>
          <w:noProof/>
          <w:sz w:val="24"/>
          <w:szCs w:val="24"/>
        </w:rPr>
        <w:instrText>ADDIN CSL_CITATION {"citationItems":[{"id":"ITEM-1","itemData":{"URL":"https://www.fda.gov/downloads/Drugs/GuidanceComplianceRegulatoryInformation/Guidances/UCM193282.pdf","accessed":{"date-parts":[["2018","8","22"]]},"id":"ITEM-1","issued":{"date-parts":[["0"]]},"title":"Food and Drug Administration (2009) Guidance for industry. Patient-reported outcome measures: use in medical product development to support labeling claims.","type":"webpage"},"uris":["http://www.mendeley.com/documents/?uuid=cf1e107a-0dea-441d-b7fe-bb23f1a59e34"]}],"mendeley":{"formattedCitation":"(5)","plainTextFormattedCitation":"(5)","previouslyFormattedCitation":"(5)"},"properties":{"noteIndex":0},"schema":"https://github.com/citation-style-language/schema/raw/master/csl-citation.json"}</w:instrText>
      </w:r>
      <w:r w:rsidR="005D7E2B">
        <w:rPr>
          <w:rFonts w:ascii="Times New Roman" w:hAnsi="Times New Roman" w:cs="Times New Roman"/>
          <w:iCs/>
          <w:noProof/>
          <w:sz w:val="24"/>
          <w:szCs w:val="24"/>
        </w:rPr>
        <w:fldChar w:fldCharType="separate"/>
      </w:r>
      <w:r w:rsidR="005D7E2B" w:rsidRPr="005D7E2B">
        <w:rPr>
          <w:rFonts w:ascii="Times New Roman" w:hAnsi="Times New Roman" w:cs="Times New Roman"/>
          <w:iCs/>
          <w:noProof/>
          <w:sz w:val="24"/>
          <w:szCs w:val="24"/>
        </w:rPr>
        <w:t>(5)</w:t>
      </w:r>
      <w:r w:rsidR="005D7E2B">
        <w:rPr>
          <w:rFonts w:ascii="Times New Roman" w:hAnsi="Times New Roman" w:cs="Times New Roman"/>
          <w:iCs/>
          <w:noProof/>
          <w:sz w:val="24"/>
          <w:szCs w:val="24"/>
        </w:rPr>
        <w:fldChar w:fldCharType="end"/>
      </w:r>
      <w:r w:rsidRPr="00DA020D">
        <w:rPr>
          <w:rFonts w:ascii="Times New Roman" w:hAnsi="Times New Roman" w:cs="Times New Roman"/>
          <w:iCs/>
          <w:sz w:val="24"/>
          <w:szCs w:val="24"/>
        </w:rPr>
        <w:t xml:space="preserve">. </w:t>
      </w:r>
      <w:r w:rsidR="006658D5">
        <w:rPr>
          <w:rFonts w:ascii="Times New Roman" w:hAnsi="Times New Roman" w:cs="Times New Roman"/>
          <w:iCs/>
          <w:sz w:val="24"/>
          <w:szCs w:val="24"/>
        </w:rPr>
        <w:t xml:space="preserve">Despite this, </w:t>
      </w:r>
      <w:r w:rsidR="009A001B" w:rsidRPr="00DA020D">
        <w:rPr>
          <w:rFonts w:ascii="Times New Roman" w:hAnsi="Times New Roman" w:cs="Times New Roman"/>
          <w:iCs/>
          <w:sz w:val="24"/>
          <w:szCs w:val="24"/>
        </w:rPr>
        <w:t xml:space="preserve">marked variation </w:t>
      </w:r>
      <w:r w:rsidR="00437EF8">
        <w:rPr>
          <w:rFonts w:ascii="Times New Roman" w:hAnsi="Times New Roman" w:cs="Times New Roman"/>
          <w:iCs/>
          <w:sz w:val="24"/>
          <w:szCs w:val="24"/>
        </w:rPr>
        <w:t xml:space="preserve">exists </w:t>
      </w:r>
      <w:r w:rsidR="009A001B" w:rsidRPr="00DA020D">
        <w:rPr>
          <w:rFonts w:ascii="Times New Roman" w:hAnsi="Times New Roman" w:cs="Times New Roman"/>
          <w:iCs/>
          <w:sz w:val="24"/>
          <w:szCs w:val="24"/>
        </w:rPr>
        <w:t xml:space="preserve">in PROMs used to assess patients with MSK pain, which differ </w:t>
      </w:r>
      <w:r w:rsidR="00261630">
        <w:rPr>
          <w:rFonts w:ascii="Times New Roman" w:hAnsi="Times New Roman" w:cs="Times New Roman"/>
          <w:iCs/>
          <w:sz w:val="24"/>
          <w:szCs w:val="24"/>
        </w:rPr>
        <w:t xml:space="preserve">by geography </w:t>
      </w:r>
      <w:r w:rsidR="00796830" w:rsidRPr="00DA020D">
        <w:rPr>
          <w:rFonts w:ascii="Times New Roman" w:hAnsi="Times New Roman" w:cs="Times New Roman"/>
          <w:iCs/>
          <w:sz w:val="24"/>
          <w:szCs w:val="24"/>
        </w:rPr>
        <w:t>(</w:t>
      </w:r>
      <w:r w:rsidR="006658D5">
        <w:rPr>
          <w:rFonts w:ascii="Times New Roman" w:hAnsi="Times New Roman" w:cs="Times New Roman"/>
          <w:iCs/>
          <w:sz w:val="24"/>
          <w:szCs w:val="24"/>
        </w:rPr>
        <w:t xml:space="preserve">across </w:t>
      </w:r>
      <w:r w:rsidR="00CC6C59">
        <w:rPr>
          <w:rFonts w:ascii="Times New Roman" w:hAnsi="Times New Roman" w:cs="Times New Roman"/>
          <w:iCs/>
          <w:sz w:val="24"/>
          <w:szCs w:val="24"/>
        </w:rPr>
        <w:t>regions/</w:t>
      </w:r>
      <w:r w:rsidR="0070389F" w:rsidRPr="00DA020D">
        <w:rPr>
          <w:rFonts w:ascii="Times New Roman" w:hAnsi="Times New Roman" w:cs="Times New Roman"/>
          <w:iCs/>
          <w:sz w:val="24"/>
          <w:szCs w:val="24"/>
        </w:rPr>
        <w:t>countries</w:t>
      </w:r>
      <w:r w:rsidR="00796830" w:rsidRPr="00DA020D">
        <w:rPr>
          <w:rFonts w:ascii="Times New Roman" w:hAnsi="Times New Roman" w:cs="Times New Roman"/>
          <w:iCs/>
          <w:sz w:val="24"/>
          <w:szCs w:val="24"/>
        </w:rPr>
        <w:t>)</w:t>
      </w:r>
      <w:r w:rsidR="00FE3A39" w:rsidRPr="00DA020D">
        <w:rPr>
          <w:rFonts w:ascii="Times New Roman" w:hAnsi="Times New Roman" w:cs="Times New Roman"/>
          <w:iCs/>
          <w:sz w:val="24"/>
          <w:szCs w:val="24"/>
        </w:rPr>
        <w:t xml:space="preserve">, </w:t>
      </w:r>
      <w:r w:rsidR="0070389F" w:rsidRPr="00DA020D">
        <w:rPr>
          <w:rFonts w:ascii="Times New Roman" w:hAnsi="Times New Roman" w:cs="Times New Roman"/>
          <w:iCs/>
          <w:sz w:val="24"/>
          <w:szCs w:val="24"/>
        </w:rPr>
        <w:t>clinical setting</w:t>
      </w:r>
      <w:r w:rsidR="00CC6C59">
        <w:rPr>
          <w:rFonts w:ascii="Times New Roman" w:hAnsi="Times New Roman" w:cs="Times New Roman"/>
          <w:iCs/>
          <w:sz w:val="24"/>
          <w:szCs w:val="24"/>
        </w:rPr>
        <w:t xml:space="preserve"> (primary/</w:t>
      </w:r>
      <w:r w:rsidR="00FE3A39" w:rsidRPr="00DA020D">
        <w:rPr>
          <w:rFonts w:ascii="Times New Roman" w:hAnsi="Times New Roman" w:cs="Times New Roman"/>
          <w:iCs/>
          <w:sz w:val="24"/>
          <w:szCs w:val="24"/>
        </w:rPr>
        <w:t xml:space="preserve">secondary care), and MSK </w:t>
      </w:r>
      <w:r w:rsidR="00FD1E3F">
        <w:rPr>
          <w:rFonts w:ascii="Times New Roman" w:hAnsi="Times New Roman" w:cs="Times New Roman"/>
          <w:iCs/>
          <w:sz w:val="24"/>
          <w:szCs w:val="24"/>
        </w:rPr>
        <w:t xml:space="preserve">pain </w:t>
      </w:r>
      <w:r w:rsidR="00505E88">
        <w:rPr>
          <w:rFonts w:ascii="Times New Roman" w:hAnsi="Times New Roman" w:cs="Times New Roman"/>
          <w:iCs/>
          <w:sz w:val="24"/>
          <w:szCs w:val="24"/>
        </w:rPr>
        <w:t>sites</w:t>
      </w:r>
      <w:r w:rsidR="00FE3A39" w:rsidRPr="00DA020D">
        <w:rPr>
          <w:rFonts w:ascii="Times New Roman" w:hAnsi="Times New Roman" w:cs="Times New Roman"/>
          <w:iCs/>
          <w:sz w:val="24"/>
          <w:szCs w:val="24"/>
        </w:rPr>
        <w:t xml:space="preserve">. </w:t>
      </w:r>
    </w:p>
    <w:p w14:paraId="7F0213AD" w14:textId="77777777" w:rsidR="00FE3A39" w:rsidRPr="00DA020D" w:rsidRDefault="00FE3A39" w:rsidP="00FE3A39">
      <w:pPr>
        <w:pStyle w:val="NoSpacing"/>
        <w:spacing w:line="480" w:lineRule="auto"/>
        <w:jc w:val="both"/>
        <w:rPr>
          <w:rFonts w:ascii="Times New Roman" w:hAnsi="Times New Roman" w:cs="Times New Roman"/>
          <w:iCs/>
          <w:sz w:val="24"/>
          <w:szCs w:val="24"/>
        </w:rPr>
      </w:pPr>
    </w:p>
    <w:p w14:paraId="0DB9D6E7" w14:textId="0ECCC1D0" w:rsidR="00AD7F4A" w:rsidRPr="00DA020D" w:rsidRDefault="00505E88" w:rsidP="00796830">
      <w:pPr>
        <w:pStyle w:val="NoSpacing"/>
        <w:spacing w:line="480" w:lineRule="auto"/>
        <w:jc w:val="both"/>
        <w:rPr>
          <w:rFonts w:ascii="Times New Roman" w:hAnsi="Times New Roman" w:cs="Times New Roman"/>
          <w:noProof/>
          <w:sz w:val="24"/>
          <w:szCs w:val="24"/>
        </w:rPr>
      </w:pPr>
      <w:r>
        <w:rPr>
          <w:rFonts w:ascii="Times New Roman" w:hAnsi="Times New Roman" w:cs="Times New Roman"/>
          <w:iCs/>
          <w:sz w:val="24"/>
          <w:szCs w:val="24"/>
        </w:rPr>
        <w:t>To address this</w:t>
      </w:r>
      <w:r w:rsidR="00261630">
        <w:rPr>
          <w:rFonts w:ascii="Times New Roman" w:hAnsi="Times New Roman" w:cs="Times New Roman"/>
          <w:iCs/>
          <w:sz w:val="24"/>
          <w:szCs w:val="24"/>
        </w:rPr>
        <w:t>,</w:t>
      </w:r>
      <w:r>
        <w:rPr>
          <w:rFonts w:ascii="Times New Roman" w:hAnsi="Times New Roman" w:cs="Times New Roman"/>
          <w:iCs/>
          <w:sz w:val="24"/>
          <w:szCs w:val="24"/>
        </w:rPr>
        <w:t xml:space="preserve"> </w:t>
      </w:r>
      <w:r w:rsidR="00612BAA">
        <w:rPr>
          <w:rFonts w:ascii="Times New Roman" w:hAnsi="Times New Roman" w:cs="Times New Roman"/>
          <w:iCs/>
          <w:sz w:val="24"/>
          <w:szCs w:val="24"/>
        </w:rPr>
        <w:t xml:space="preserve">the UK charity, </w:t>
      </w:r>
      <w:r w:rsidR="00246F8D" w:rsidRPr="00DA020D">
        <w:rPr>
          <w:rFonts w:ascii="Times New Roman" w:hAnsi="Times New Roman" w:cs="Times New Roman"/>
          <w:iCs/>
          <w:sz w:val="24"/>
          <w:szCs w:val="24"/>
        </w:rPr>
        <w:t>Versus Arthritis</w:t>
      </w:r>
      <w:r>
        <w:rPr>
          <w:rFonts w:ascii="Times New Roman" w:hAnsi="Times New Roman" w:cs="Times New Roman"/>
          <w:iCs/>
          <w:sz w:val="24"/>
          <w:szCs w:val="24"/>
        </w:rPr>
        <w:t>,</w:t>
      </w:r>
      <w:r w:rsidR="00246F8D" w:rsidRPr="00DA020D">
        <w:rPr>
          <w:rFonts w:ascii="Times New Roman" w:hAnsi="Times New Roman" w:cs="Times New Roman"/>
          <w:iCs/>
          <w:sz w:val="24"/>
          <w:szCs w:val="24"/>
        </w:rPr>
        <w:t xml:space="preserve"> funded a collaboration </w:t>
      </w:r>
      <w:r w:rsidR="00336B09" w:rsidRPr="00DA020D">
        <w:rPr>
          <w:rFonts w:ascii="Times New Roman" w:hAnsi="Times New Roman" w:cs="Times New Roman"/>
          <w:iCs/>
          <w:sz w:val="24"/>
          <w:szCs w:val="24"/>
        </w:rPr>
        <w:t>between the U</w:t>
      </w:r>
      <w:r w:rsidR="00246F8D" w:rsidRPr="00DA020D">
        <w:rPr>
          <w:rFonts w:ascii="Times New Roman" w:hAnsi="Times New Roman" w:cs="Times New Roman"/>
          <w:iCs/>
          <w:sz w:val="24"/>
          <w:szCs w:val="24"/>
        </w:rPr>
        <w:t xml:space="preserve">niversities of Oxford and </w:t>
      </w:r>
      <w:proofErr w:type="spellStart"/>
      <w:r w:rsidR="00246F8D" w:rsidRPr="00DA020D">
        <w:rPr>
          <w:rFonts w:ascii="Times New Roman" w:hAnsi="Times New Roman" w:cs="Times New Roman"/>
          <w:iCs/>
          <w:sz w:val="24"/>
          <w:szCs w:val="24"/>
        </w:rPr>
        <w:t>Keele</w:t>
      </w:r>
      <w:proofErr w:type="spellEnd"/>
      <w:r w:rsidR="00246F8D" w:rsidRPr="00DA020D">
        <w:rPr>
          <w:rFonts w:ascii="Times New Roman" w:hAnsi="Times New Roman" w:cs="Times New Roman"/>
          <w:iCs/>
          <w:sz w:val="24"/>
          <w:szCs w:val="24"/>
        </w:rPr>
        <w:t xml:space="preserve"> to develo</w:t>
      </w:r>
      <w:r w:rsidR="00437EF8">
        <w:rPr>
          <w:rFonts w:ascii="Times New Roman" w:hAnsi="Times New Roman" w:cs="Times New Roman"/>
          <w:iCs/>
          <w:sz w:val="24"/>
          <w:szCs w:val="24"/>
        </w:rPr>
        <w:t>p</w:t>
      </w:r>
      <w:r w:rsidR="00246F8D" w:rsidRPr="00DA020D">
        <w:rPr>
          <w:rFonts w:ascii="Times New Roman" w:hAnsi="Times New Roman" w:cs="Times New Roman"/>
          <w:iCs/>
          <w:sz w:val="24"/>
          <w:szCs w:val="24"/>
        </w:rPr>
        <w:t xml:space="preserve"> the </w:t>
      </w:r>
      <w:r w:rsidR="00796830" w:rsidRPr="00DA020D">
        <w:rPr>
          <w:rFonts w:ascii="Times New Roman" w:hAnsi="Times New Roman" w:cs="Times New Roman"/>
          <w:noProof/>
          <w:sz w:val="24"/>
          <w:szCs w:val="24"/>
        </w:rPr>
        <w:t>Versus Arthritis Musculoskeletal Health Questionnaire (MSK-HQ)</w:t>
      </w:r>
      <w:r w:rsidR="00F7070A" w:rsidRPr="00DA020D">
        <w:rPr>
          <w:rFonts w:ascii="Times New Roman" w:hAnsi="Times New Roman" w:cs="Times New Roman"/>
          <w:noProof/>
          <w:sz w:val="24"/>
          <w:szCs w:val="24"/>
        </w:rPr>
        <w:t xml:space="preserve"> </w:t>
      </w:r>
      <w:r w:rsidR="005D7E2B">
        <w:rPr>
          <w:rFonts w:ascii="Times New Roman" w:hAnsi="Times New Roman" w:cs="Times New Roman"/>
          <w:noProof/>
          <w:sz w:val="24"/>
          <w:szCs w:val="24"/>
        </w:rPr>
        <w:fldChar w:fldCharType="begin" w:fldLock="1"/>
      </w:r>
      <w:r w:rsidR="00FF159B">
        <w:rPr>
          <w:rFonts w:ascii="Times New Roman" w:hAnsi="Times New Roman" w:cs="Times New Roman"/>
          <w:noProof/>
          <w:sz w:val="24"/>
          <w:szCs w:val="24"/>
        </w:rPr>
        <w:instrText>ADDIN CSL_CITATION {"citationItems":[{"id":"ITEM-1","itemData":{"DOI":"https://dx.doi.org/10.1136/bmjopen-2016-012331","ISSN":"2044-6055","abstract":"OBJECTIVES: Current musculoskeletal outcome tools are fragmented across different healthcare settings and conditions. Our objectives were to develop and validate a single musculoskeletal outcome measure for use throughout the pathway and patients with different musculoskeletal conditions: the Arthritis Research UK Musculoskeletal Health Questionnaire (MSK-HQ)., SETTING: A consensus workshop with stakeholders from across the musculoskeletal community, workshops and individual interviews with a broad mix of musculoskeletal patients identified and prioritised outcomes for MSK-HQ inclusion. Initial psychometric validation was conducted in four cohorts from community physiotherapy, and secondary care orthopaedic hip, knee and shoulder clinics., PARTICIPANTS: Stakeholders (n=29) included primary care, physiotherapy, orthopaedic and rheumatology patients (n=8); general practitioners, physiotherapists, orthopaedists, rheumatologists and pain specialists (n=7), patient and professional national body representatives (n=10), and researchers (n=4). The four validation cohorts included 570 participants (n=210 physiotherapy, n=150 hip, n=150 knee, n=60 shoulder patients)., OUTCOME MEASURES: Outcomes included the MSK-HQ's acceptability, feasibility, comprehension, readability and responder burden. The validation cohort outcomes were the MSK-HQ's completion rate, test-retest reliability and convergent validity with reference standards (EQ-5D-5L, Oxford Hip, Knee, Shoulder Scores, and the Keele MSK-PROM)., RESULTS: Musculoskeletal domains prioritised were pain severity, physical function, work interference, social interference, sleep, fatigue, emotional health, physical activity, independence, understanding, confidence to self-manage and overall impact. Patients reported MSK-HQ items to be 'highly relevant' and 'easy to understand'. Completion rates were high (94.2%), with scores normally distributed, and no floor/ceiling effects. Test-retest reliability was excellent, and convergent validity was strong (correlations 0.81-0.88)., CONCLUSIONS: A new musculoskeletal outcome measure has been developed through a coproduction process with patients to capture prioritised outcomes for use throughout the pathway and with different musculoskeletal conditions. Four validation cohorts found that the MSK-HQ had high completion rates, excellent test-retest reliability and strong convergent validity with reference standards. Further validation studies are ongoing, including a cohort …","author":[{"dropping-particle":"","family":"Hill","given":"Jonathan C","non-dropping-particle":"","parse-names":false,"suffix":""},{"dropping-particle":"","family":"Kang","given":"Sujin","non-dropping-particle":"","parse-names":false,"suffix":""},{"dropping-particle":"","family":"Benedetto","given":"Elena","non-dropping-particle":"","parse-names":false,"suffix":""},{"dropping-particle":"","family":"Myers","given":"Helen","non-dropping-particle":"","parse-names":false,"suffix":""},{"dropping-particle":"","family":"Blackburn","given":"Steven","non-dropping-particle":"","parse-names":false,"suffix":""},{"dropping-particle":"","family":"Smith","given":"Stephanie","non-dropping-particle":"","parse-names":false,"suffix":""},{"dropping-particle":"","family":"Dunn","given":"Kate M","non-dropping-particle":"","parse-names":false,"suffix":""},{"dropping-particle":"","family":"Hay","given":"Elaine","non-dropping-particle":"","parse-names":false,"suffix":""},{"dropping-particle":"","family":"Rees","given":"Jonathan","non-dropping-particle":"","parse-names":false,"suffix":""},{"dropping-particle":"","family":"Beard","given":"David","non-dropping-particle":"","parse-names":false,"suffix":""},{"dropping-particle":"","family":"Glyn-Jones","given":"Sion","non-dropping-particle":"","parse-names":false,"suffix":""},{"dropping-particle":"","family":"Barker","given":"Karen","non-dropping-particle":"","parse-names":false,"suffix":""},{"dropping-particle":"","family":"Ellis","given":"Benjamin","non-dropping-particle":"","parse-names":false,"suffix":""},{"dropping-particle":"","family":"Fitzpatrick","given":"Ray","non-dropping-particle":"","parse-names":false,"suffix":""},{"dropping-particle":"","family":"Price","given":"Andrew","non-dropping-particle":"","parse-names":false,"suffix":""}],"container-title":"BMJ open","id":"ITEM-1","issue":"8","issued":{"date-parts":[["2016"]]},"page":"e012331","publisher-place":"England","title":"Development and initial cohort validation of the Arthritis Research UK Musculoskeletal Health Questionnaire (MSK-HQ) for use across musculoskeletal care pathways.","type":"article-journal","volume":"6"},"uris":["http://www.mendeley.com/documents/?uuid=8c10e695-9509-4784-bfb6-e4fa4a9ccf59"]}],"mendeley":{"formattedCitation":"(6)","plainTextFormattedCitation":"(6)","previouslyFormattedCitation":"(6)"},"properties":{"noteIndex":0},"schema":"https://github.com/citation-style-language/schema/raw/master/csl-citation.json"}</w:instrText>
      </w:r>
      <w:r w:rsidR="005D7E2B">
        <w:rPr>
          <w:rFonts w:ascii="Times New Roman" w:hAnsi="Times New Roman" w:cs="Times New Roman"/>
          <w:noProof/>
          <w:sz w:val="24"/>
          <w:szCs w:val="24"/>
        </w:rPr>
        <w:fldChar w:fldCharType="separate"/>
      </w:r>
      <w:r w:rsidR="005D7E2B" w:rsidRPr="005D7E2B">
        <w:rPr>
          <w:rFonts w:ascii="Times New Roman" w:hAnsi="Times New Roman" w:cs="Times New Roman"/>
          <w:noProof/>
          <w:sz w:val="24"/>
          <w:szCs w:val="24"/>
        </w:rPr>
        <w:t>(6)</w:t>
      </w:r>
      <w:r w:rsidR="005D7E2B">
        <w:rPr>
          <w:rFonts w:ascii="Times New Roman" w:hAnsi="Times New Roman" w:cs="Times New Roman"/>
          <w:noProof/>
          <w:sz w:val="24"/>
          <w:szCs w:val="24"/>
        </w:rPr>
        <w:fldChar w:fldCharType="end"/>
      </w:r>
      <w:r w:rsidR="00796830" w:rsidRPr="00DA020D">
        <w:rPr>
          <w:rFonts w:ascii="Times New Roman" w:hAnsi="Times New Roman" w:cs="Times New Roman"/>
          <w:noProof/>
          <w:sz w:val="24"/>
          <w:szCs w:val="24"/>
        </w:rPr>
        <w:t xml:space="preserve">. </w:t>
      </w:r>
      <w:r w:rsidR="00843108">
        <w:rPr>
          <w:rFonts w:ascii="Times New Roman" w:hAnsi="Times New Roman" w:cs="Times New Roman"/>
          <w:noProof/>
          <w:sz w:val="24"/>
          <w:szCs w:val="24"/>
        </w:rPr>
        <w:t>A</w:t>
      </w:r>
      <w:r w:rsidR="003522DF">
        <w:rPr>
          <w:rFonts w:ascii="Times New Roman" w:hAnsi="Times New Roman" w:cs="Times New Roman"/>
          <w:noProof/>
          <w:sz w:val="24"/>
          <w:szCs w:val="24"/>
        </w:rPr>
        <w:t xml:space="preserve"> </w:t>
      </w:r>
      <w:r w:rsidR="00437EF8">
        <w:rPr>
          <w:rFonts w:ascii="Times New Roman" w:hAnsi="Times New Roman" w:cs="Times New Roman"/>
          <w:noProof/>
          <w:sz w:val="24"/>
          <w:szCs w:val="24"/>
        </w:rPr>
        <w:t xml:space="preserve">generic </w:t>
      </w:r>
      <w:r w:rsidR="003522DF">
        <w:rPr>
          <w:rFonts w:ascii="Times New Roman" w:hAnsi="Times New Roman" w:cs="Times New Roman"/>
          <w:noProof/>
          <w:sz w:val="24"/>
          <w:szCs w:val="24"/>
        </w:rPr>
        <w:t xml:space="preserve">MSK </w:t>
      </w:r>
      <w:r w:rsidR="00437EF8">
        <w:rPr>
          <w:rFonts w:ascii="Times New Roman" w:hAnsi="Times New Roman" w:cs="Times New Roman"/>
          <w:noProof/>
          <w:sz w:val="24"/>
          <w:szCs w:val="24"/>
        </w:rPr>
        <w:t xml:space="preserve">PROM </w:t>
      </w:r>
      <w:r w:rsidR="00843108">
        <w:rPr>
          <w:rFonts w:ascii="Times New Roman" w:hAnsi="Times New Roman" w:cs="Times New Roman"/>
          <w:noProof/>
          <w:sz w:val="24"/>
          <w:szCs w:val="24"/>
        </w:rPr>
        <w:t xml:space="preserve">was co-produced and </w:t>
      </w:r>
      <w:r w:rsidR="00F7070A" w:rsidRPr="00DA020D">
        <w:rPr>
          <w:rFonts w:ascii="Times New Roman" w:hAnsi="Times New Roman" w:cs="Times New Roman"/>
          <w:noProof/>
          <w:sz w:val="24"/>
          <w:szCs w:val="24"/>
        </w:rPr>
        <w:t xml:space="preserve">designed </w:t>
      </w:r>
      <w:r w:rsidR="00A1791D" w:rsidRPr="00DA020D">
        <w:rPr>
          <w:rFonts w:ascii="Times New Roman" w:hAnsi="Times New Roman" w:cs="Times New Roman"/>
          <w:noProof/>
          <w:sz w:val="24"/>
          <w:szCs w:val="24"/>
        </w:rPr>
        <w:t xml:space="preserve">to measure overall </w:t>
      </w:r>
      <w:r w:rsidR="00397AE1" w:rsidRPr="00DA020D">
        <w:rPr>
          <w:rFonts w:ascii="Times New Roman" w:hAnsi="Times New Roman" w:cs="Times New Roman"/>
          <w:noProof/>
          <w:sz w:val="24"/>
          <w:szCs w:val="24"/>
        </w:rPr>
        <w:t>MSK</w:t>
      </w:r>
      <w:r w:rsidR="00A1791D" w:rsidRPr="00DA020D">
        <w:rPr>
          <w:rFonts w:ascii="Times New Roman" w:hAnsi="Times New Roman" w:cs="Times New Roman"/>
          <w:noProof/>
          <w:sz w:val="24"/>
          <w:szCs w:val="24"/>
        </w:rPr>
        <w:t xml:space="preserve"> health </w:t>
      </w:r>
      <w:r w:rsidR="003522DF">
        <w:rPr>
          <w:rFonts w:ascii="Times New Roman" w:hAnsi="Times New Roman" w:cs="Times New Roman"/>
          <w:noProof/>
          <w:sz w:val="24"/>
          <w:szCs w:val="24"/>
        </w:rPr>
        <w:t xml:space="preserve">status </w:t>
      </w:r>
      <w:r w:rsidR="00C312D2">
        <w:rPr>
          <w:rFonts w:ascii="Times New Roman" w:hAnsi="Times New Roman" w:cs="Times New Roman"/>
          <w:noProof/>
          <w:sz w:val="24"/>
          <w:szCs w:val="24"/>
        </w:rPr>
        <w:t>in</w:t>
      </w:r>
      <w:r w:rsidR="00F7070A" w:rsidRPr="00DA020D">
        <w:rPr>
          <w:rFonts w:ascii="Times New Roman" w:hAnsi="Times New Roman" w:cs="Times New Roman"/>
          <w:noProof/>
          <w:sz w:val="24"/>
          <w:szCs w:val="24"/>
        </w:rPr>
        <w:t xml:space="preserve"> </w:t>
      </w:r>
      <w:r w:rsidR="002845F0">
        <w:rPr>
          <w:rFonts w:ascii="Times New Roman" w:hAnsi="Times New Roman" w:cs="Times New Roman"/>
          <w:noProof/>
          <w:sz w:val="24"/>
          <w:szCs w:val="24"/>
        </w:rPr>
        <w:t>patients</w:t>
      </w:r>
      <w:r w:rsidR="00261630">
        <w:rPr>
          <w:rFonts w:ascii="Times New Roman" w:hAnsi="Times New Roman" w:cs="Times New Roman"/>
          <w:noProof/>
          <w:sz w:val="24"/>
          <w:szCs w:val="24"/>
        </w:rPr>
        <w:t xml:space="preserve"> </w:t>
      </w:r>
      <w:r w:rsidR="00F7070A" w:rsidRPr="00DA020D">
        <w:rPr>
          <w:rFonts w:ascii="Times New Roman" w:hAnsi="Times New Roman" w:cs="Times New Roman"/>
          <w:noProof/>
          <w:sz w:val="24"/>
          <w:szCs w:val="24"/>
        </w:rPr>
        <w:t>with MSK conditions</w:t>
      </w:r>
      <w:r w:rsidR="0063279A">
        <w:rPr>
          <w:rFonts w:ascii="Times New Roman" w:hAnsi="Times New Roman" w:cs="Times New Roman"/>
          <w:noProof/>
          <w:sz w:val="24"/>
          <w:szCs w:val="24"/>
        </w:rPr>
        <w:t xml:space="preserve"> </w:t>
      </w:r>
      <w:r w:rsidR="005D7E2B">
        <w:rPr>
          <w:rFonts w:ascii="Times New Roman" w:hAnsi="Times New Roman" w:cs="Times New Roman"/>
          <w:noProof/>
          <w:sz w:val="24"/>
          <w:szCs w:val="24"/>
        </w:rPr>
        <w:fldChar w:fldCharType="begin" w:fldLock="1"/>
      </w:r>
      <w:r w:rsidR="00FF159B">
        <w:rPr>
          <w:rFonts w:ascii="Times New Roman" w:hAnsi="Times New Roman" w:cs="Times New Roman"/>
          <w:noProof/>
          <w:sz w:val="24"/>
          <w:szCs w:val="24"/>
        </w:rPr>
        <w:instrText>ADDIN CSL_CITATION {"citationItems":[{"id":"ITEM-1","itemData":{"DOI":"https://dx.doi.org/10.1136/bmjopen-2016-012331","ISSN":"2044-6055","abstract":"OBJECTIVES: Current musculoskeletal outcome tools are fragmented across different healthcare settings and conditions. Our objectives were to develop and validate a single musculoskeletal outcome measure for use throughout the pathway and patients with different musculoskeletal conditions: the Arthritis Research UK Musculoskeletal Health Questionnaire (MSK-HQ)., SETTING: A consensus workshop with stakeholders from across the musculoskeletal community, workshops and individual interviews with a broad mix of musculoskeletal patients identified and prioritised outcomes for MSK-HQ inclusion. Initial psychometric validation was conducted in four cohorts from community physiotherapy, and secondary care orthopaedic hip, knee and shoulder clinics., PARTICIPANTS: Stakeholders (n=29) included primary care, physiotherapy, orthopaedic and rheumatology patients (n=8); general practitioners, physiotherapists, orthopaedists, rheumatologists and pain specialists (n=7), patient and professional national body representatives (n=10), and researchers (n=4). The four validation cohorts included 570 participants (n=210 physiotherapy, n=150 hip, n=150 knee, n=60 shoulder patients)., OUTCOME MEASURES: Outcomes included the MSK-HQ's acceptability, feasibility, comprehension, readability and responder burden. The validation cohort outcomes were the MSK-HQ's completion rate, test-retest reliability and convergent validity with reference standards (EQ-5D-5L, Oxford Hip, Knee, Shoulder Scores, and the Keele MSK-PROM)., RESULTS: Musculoskeletal domains prioritised were pain severity, physical function, work interference, social interference, sleep, fatigue, emotional health, physical activity, independence, understanding, confidence to self-manage and overall impact. Patients reported MSK-HQ items to be 'highly relevant' and 'easy to understand'. Completion rates were high (94.2%), with scores normally distributed, and no floor/ceiling effects. Test-retest reliability was excellent, and convergent validity was strong (correlations 0.81-0.88)., CONCLUSIONS: A new musculoskeletal outcome measure has been developed through a coproduction process with patients to capture prioritised outcomes for use throughout the pathway and with different musculoskeletal conditions. Four validation cohorts found that the MSK-HQ had high completion rates, excellent test-retest reliability and strong convergent validity with reference standards. Further validation studies are ongoing, including a cohort …","author":[{"dropping-particle":"","family":"Hill","given":"Jonathan C","non-dropping-particle":"","parse-names":false,"suffix":""},{"dropping-particle":"","family":"Kang","given":"Sujin","non-dropping-particle":"","parse-names":false,"suffix":""},{"dropping-particle":"","family":"Benedetto","given":"Elena","non-dropping-particle":"","parse-names":false,"suffix":""},{"dropping-particle":"","family":"Myers","given":"Helen","non-dropping-particle":"","parse-names":false,"suffix":""},{"dropping-particle":"","family":"Blackburn","given":"Steven","non-dropping-particle":"","parse-names":false,"suffix":""},{"dropping-particle":"","family":"Smith","given":"Stephanie","non-dropping-particle":"","parse-names":false,"suffix":""},{"dropping-particle":"","family":"Dunn","given":"Kate M","non-dropping-particle":"","parse-names":false,"suffix":""},{"dropping-particle":"","family":"Hay","given":"Elaine","non-dropping-particle":"","parse-names":false,"suffix":""},{"dropping-particle":"","family":"Rees","given":"Jonathan","non-dropping-particle":"","parse-names":false,"suffix":""},{"dropping-particle":"","family":"Beard","given":"David","non-dropping-particle":"","parse-names":false,"suffix":""},{"dropping-particle":"","family":"Glyn-Jones","given":"Sion","non-dropping-particle":"","parse-names":false,"suffix":""},{"dropping-particle":"","family":"Barker","given":"Karen","non-dropping-particle":"","parse-names":false,"suffix":""},{"dropping-particle":"","family":"Ellis","given":"Benjamin","non-dropping-particle":"","parse-names":false,"suffix":""},{"dropping-particle":"","family":"Fitzpatrick","given":"Ray","non-dropping-particle":"","parse-names":false,"suffix":""},{"dropping-particle":"","family":"Price","given":"Andrew","non-dropping-particle":"","parse-names":false,"suffix":""}],"container-title":"BMJ open","id":"ITEM-1","issue":"8","issued":{"date-parts":[["2016"]]},"page":"e012331","publisher-place":"England","title":"Development and initial cohort validation of the Arthritis Research UK Musculoskeletal Health Questionnaire (MSK-HQ) for use across musculoskeletal care pathways.","type":"article-journal","volume":"6"},"uris":["http://www.mendeley.com/documents/?uuid=8c10e695-9509-4784-bfb6-e4fa4a9ccf59"]}],"mendeley":{"formattedCitation":"(6)","plainTextFormattedCitation":"(6)","previouslyFormattedCitation":"(6)"},"properties":{"noteIndex":0},"schema":"https://github.com/citation-style-language/schema/raw/master/csl-citation.json"}</w:instrText>
      </w:r>
      <w:r w:rsidR="005D7E2B">
        <w:rPr>
          <w:rFonts w:ascii="Times New Roman" w:hAnsi="Times New Roman" w:cs="Times New Roman"/>
          <w:noProof/>
          <w:sz w:val="24"/>
          <w:szCs w:val="24"/>
        </w:rPr>
        <w:fldChar w:fldCharType="separate"/>
      </w:r>
      <w:r w:rsidR="005D7E2B" w:rsidRPr="005D7E2B">
        <w:rPr>
          <w:rFonts w:ascii="Times New Roman" w:hAnsi="Times New Roman" w:cs="Times New Roman"/>
          <w:noProof/>
          <w:sz w:val="24"/>
          <w:szCs w:val="24"/>
        </w:rPr>
        <w:t>(6)</w:t>
      </w:r>
      <w:r w:rsidR="005D7E2B">
        <w:rPr>
          <w:rFonts w:ascii="Times New Roman" w:hAnsi="Times New Roman" w:cs="Times New Roman"/>
          <w:noProof/>
          <w:sz w:val="24"/>
          <w:szCs w:val="24"/>
        </w:rPr>
        <w:fldChar w:fldCharType="end"/>
      </w:r>
      <w:r w:rsidR="00F7070A" w:rsidRPr="00DA020D">
        <w:rPr>
          <w:rFonts w:ascii="Times New Roman" w:hAnsi="Times New Roman" w:cs="Times New Roman"/>
          <w:noProof/>
          <w:sz w:val="24"/>
          <w:szCs w:val="24"/>
        </w:rPr>
        <w:t xml:space="preserve">. It </w:t>
      </w:r>
      <w:r>
        <w:rPr>
          <w:rFonts w:ascii="Times New Roman" w:hAnsi="Times New Roman" w:cs="Times New Roman"/>
          <w:noProof/>
          <w:sz w:val="24"/>
          <w:szCs w:val="24"/>
        </w:rPr>
        <w:t>comprises 14-</w:t>
      </w:r>
      <w:r w:rsidR="00796830" w:rsidRPr="00DA020D">
        <w:rPr>
          <w:rFonts w:ascii="Times New Roman" w:hAnsi="Times New Roman" w:cs="Times New Roman"/>
          <w:noProof/>
          <w:sz w:val="24"/>
          <w:szCs w:val="24"/>
        </w:rPr>
        <w:t>items, including pain, fatigue, physical function, symptom interference</w:t>
      </w:r>
      <w:r w:rsidR="002D6FC4">
        <w:rPr>
          <w:rFonts w:ascii="Times New Roman" w:hAnsi="Times New Roman" w:cs="Times New Roman"/>
          <w:noProof/>
          <w:sz w:val="24"/>
          <w:szCs w:val="24"/>
        </w:rPr>
        <w:t>, social activities</w:t>
      </w:r>
      <w:r w:rsidR="00796830" w:rsidRPr="00DA020D">
        <w:rPr>
          <w:rFonts w:ascii="Times New Roman" w:hAnsi="Times New Roman" w:cs="Times New Roman"/>
          <w:noProof/>
          <w:sz w:val="24"/>
          <w:szCs w:val="24"/>
        </w:rPr>
        <w:t>, sleep, self-efficacy</w:t>
      </w:r>
      <w:r w:rsidR="0063279A">
        <w:rPr>
          <w:rFonts w:ascii="Times New Roman" w:hAnsi="Times New Roman" w:cs="Times New Roman"/>
          <w:noProof/>
          <w:sz w:val="24"/>
          <w:szCs w:val="24"/>
        </w:rPr>
        <w:t>,</w:t>
      </w:r>
      <w:r w:rsidR="00796830" w:rsidRPr="00DA020D">
        <w:rPr>
          <w:rFonts w:ascii="Times New Roman" w:hAnsi="Times New Roman" w:cs="Times New Roman"/>
          <w:noProof/>
          <w:sz w:val="24"/>
          <w:szCs w:val="24"/>
        </w:rPr>
        <w:t xml:space="preserve"> and psychological well-being.</w:t>
      </w:r>
      <w:r w:rsidR="00F7070A" w:rsidRPr="00DA020D">
        <w:rPr>
          <w:rFonts w:ascii="Times New Roman" w:hAnsi="Times New Roman" w:cs="Times New Roman"/>
          <w:noProof/>
          <w:sz w:val="24"/>
          <w:szCs w:val="24"/>
        </w:rPr>
        <w:t xml:space="preserve"> </w:t>
      </w:r>
      <w:r w:rsidR="00CC6C59">
        <w:rPr>
          <w:rFonts w:ascii="Times New Roman" w:hAnsi="Times New Roman" w:cs="Times New Roman"/>
          <w:noProof/>
          <w:sz w:val="24"/>
          <w:szCs w:val="24"/>
        </w:rPr>
        <w:t xml:space="preserve">It is anticipated </w:t>
      </w:r>
      <w:r w:rsidR="00F7070A" w:rsidRPr="00DA020D">
        <w:rPr>
          <w:rFonts w:ascii="Times New Roman" w:hAnsi="Times New Roman" w:cs="Times New Roman"/>
          <w:noProof/>
          <w:sz w:val="24"/>
          <w:szCs w:val="24"/>
        </w:rPr>
        <w:t xml:space="preserve">the MSK-HQ will </w:t>
      </w:r>
      <w:r w:rsidR="00396A82">
        <w:rPr>
          <w:rFonts w:ascii="Times New Roman" w:hAnsi="Times New Roman" w:cs="Times New Roman"/>
          <w:noProof/>
          <w:sz w:val="24"/>
          <w:szCs w:val="24"/>
        </w:rPr>
        <w:t xml:space="preserve">act </w:t>
      </w:r>
      <w:r w:rsidR="00AD7F4A" w:rsidRPr="00DA020D">
        <w:rPr>
          <w:rFonts w:ascii="Times New Roman" w:hAnsi="Times New Roman" w:cs="Times New Roman"/>
          <w:noProof/>
          <w:sz w:val="24"/>
          <w:szCs w:val="24"/>
        </w:rPr>
        <w:t>as a standard PROM</w:t>
      </w:r>
      <w:r w:rsidR="009A001B" w:rsidRPr="00DA020D">
        <w:rPr>
          <w:rFonts w:ascii="Times New Roman" w:hAnsi="Times New Roman" w:cs="Times New Roman"/>
          <w:noProof/>
          <w:sz w:val="24"/>
          <w:szCs w:val="24"/>
        </w:rPr>
        <w:t xml:space="preserve"> </w:t>
      </w:r>
      <w:r w:rsidR="00AD7F4A" w:rsidRPr="00DA020D">
        <w:rPr>
          <w:rFonts w:ascii="Times New Roman" w:hAnsi="Times New Roman" w:cs="Times New Roman"/>
          <w:noProof/>
          <w:sz w:val="24"/>
          <w:szCs w:val="24"/>
        </w:rPr>
        <w:t xml:space="preserve">across the MSK </w:t>
      </w:r>
      <w:r w:rsidR="00843108">
        <w:rPr>
          <w:rFonts w:ascii="Times New Roman" w:hAnsi="Times New Roman" w:cs="Times New Roman"/>
          <w:noProof/>
          <w:sz w:val="24"/>
          <w:szCs w:val="24"/>
        </w:rPr>
        <w:t xml:space="preserve">clinical care </w:t>
      </w:r>
      <w:r w:rsidR="00AD7F4A" w:rsidRPr="00DA020D">
        <w:rPr>
          <w:rFonts w:ascii="Times New Roman" w:hAnsi="Times New Roman" w:cs="Times New Roman"/>
          <w:noProof/>
          <w:sz w:val="24"/>
          <w:szCs w:val="24"/>
        </w:rPr>
        <w:t>pathway</w:t>
      </w:r>
      <w:r w:rsidR="000F61B6" w:rsidRPr="00DA020D">
        <w:rPr>
          <w:rFonts w:ascii="Times New Roman" w:hAnsi="Times New Roman" w:cs="Times New Roman"/>
          <w:noProof/>
          <w:sz w:val="24"/>
          <w:szCs w:val="24"/>
        </w:rPr>
        <w:t xml:space="preserve">, </w:t>
      </w:r>
      <w:r w:rsidR="00F74A27" w:rsidRPr="00DA020D">
        <w:rPr>
          <w:rFonts w:ascii="Times New Roman" w:hAnsi="Times New Roman" w:cs="Times New Roman"/>
          <w:noProof/>
          <w:sz w:val="24"/>
          <w:szCs w:val="24"/>
        </w:rPr>
        <w:t xml:space="preserve">enabling </w:t>
      </w:r>
      <w:r w:rsidR="001F1E49">
        <w:rPr>
          <w:rFonts w:ascii="Times New Roman" w:hAnsi="Times New Roman" w:cs="Times New Roman"/>
          <w:noProof/>
          <w:sz w:val="24"/>
          <w:szCs w:val="24"/>
        </w:rPr>
        <w:t>people</w:t>
      </w:r>
      <w:r w:rsidR="00AD7F4A" w:rsidRPr="00DA020D">
        <w:rPr>
          <w:rFonts w:ascii="Times New Roman" w:hAnsi="Times New Roman" w:cs="Times New Roman"/>
          <w:noProof/>
          <w:sz w:val="24"/>
          <w:szCs w:val="24"/>
        </w:rPr>
        <w:t xml:space="preserve"> </w:t>
      </w:r>
      <w:r w:rsidR="00F74A27" w:rsidRPr="00DA020D">
        <w:rPr>
          <w:rFonts w:ascii="Times New Roman" w:hAnsi="Times New Roman" w:cs="Times New Roman"/>
          <w:noProof/>
          <w:sz w:val="24"/>
          <w:szCs w:val="24"/>
        </w:rPr>
        <w:t xml:space="preserve">to report key issues to clinicians, </w:t>
      </w:r>
      <w:r w:rsidR="00F5163C">
        <w:rPr>
          <w:rFonts w:ascii="Times New Roman" w:hAnsi="Times New Roman" w:cs="Times New Roman"/>
          <w:noProof/>
          <w:sz w:val="24"/>
          <w:szCs w:val="24"/>
        </w:rPr>
        <w:t xml:space="preserve">facilitating </w:t>
      </w:r>
      <w:r w:rsidR="00F74A27" w:rsidRPr="00DA020D">
        <w:rPr>
          <w:rFonts w:ascii="Times New Roman" w:hAnsi="Times New Roman" w:cs="Times New Roman"/>
          <w:noProof/>
          <w:sz w:val="24"/>
          <w:szCs w:val="24"/>
        </w:rPr>
        <w:t xml:space="preserve">shared decision-making, and </w:t>
      </w:r>
      <w:r w:rsidR="00843108">
        <w:rPr>
          <w:rFonts w:ascii="Times New Roman" w:hAnsi="Times New Roman" w:cs="Times New Roman"/>
          <w:noProof/>
          <w:sz w:val="24"/>
          <w:szCs w:val="24"/>
        </w:rPr>
        <w:t>supporting</w:t>
      </w:r>
      <w:r w:rsidR="00843108" w:rsidRPr="00DA020D">
        <w:rPr>
          <w:rFonts w:ascii="Times New Roman" w:hAnsi="Times New Roman" w:cs="Times New Roman"/>
          <w:noProof/>
          <w:sz w:val="24"/>
          <w:szCs w:val="24"/>
        </w:rPr>
        <w:t xml:space="preserve"> </w:t>
      </w:r>
      <w:r w:rsidR="00FD1E3F">
        <w:rPr>
          <w:rFonts w:ascii="Times New Roman" w:hAnsi="Times New Roman" w:cs="Times New Roman"/>
          <w:noProof/>
          <w:sz w:val="24"/>
          <w:szCs w:val="24"/>
        </w:rPr>
        <w:t>quality improvement</w:t>
      </w:r>
      <w:r w:rsidR="00397AE1" w:rsidRPr="00DA020D">
        <w:rPr>
          <w:rFonts w:ascii="Times New Roman" w:hAnsi="Times New Roman" w:cs="Times New Roman"/>
          <w:noProof/>
          <w:sz w:val="24"/>
          <w:szCs w:val="24"/>
        </w:rPr>
        <w:t xml:space="preserve"> </w:t>
      </w:r>
      <w:r w:rsidR="005D7E2B">
        <w:rPr>
          <w:rFonts w:ascii="Times New Roman" w:hAnsi="Times New Roman" w:cs="Times New Roman"/>
          <w:noProof/>
          <w:sz w:val="24"/>
          <w:szCs w:val="24"/>
        </w:rPr>
        <w:fldChar w:fldCharType="begin" w:fldLock="1"/>
      </w:r>
      <w:r w:rsidR="00FF159B">
        <w:rPr>
          <w:rFonts w:ascii="Times New Roman" w:hAnsi="Times New Roman" w:cs="Times New Roman"/>
          <w:noProof/>
          <w:sz w:val="24"/>
          <w:szCs w:val="24"/>
        </w:rPr>
        <w:instrText>ADDIN CSL_CITATION {"citationItems":[{"id":"ITEM-1","itemData":{"DOI":"https://dx.doi.org/10.1136/bmjopen-2016-012331","ISSN":"2044-6055","abstract":"OBJECTIVES: Current musculoskeletal outcome tools are fragmented across different healthcare settings and conditions. Our objectives were to develop and validate a single musculoskeletal outcome measure for use throughout the pathway and patients with different musculoskeletal conditions: the Arthritis Research UK Musculoskeletal Health Questionnaire (MSK-HQ)., SETTING: A consensus workshop with stakeholders from across the musculoskeletal community, workshops and individual interviews with a broad mix of musculoskeletal patients identified and prioritised outcomes for MSK-HQ inclusion. Initial psychometric validation was conducted in four cohorts from community physiotherapy, and secondary care orthopaedic hip, knee and shoulder clinics., PARTICIPANTS: Stakeholders (n=29) included primary care, physiotherapy, orthopaedic and rheumatology patients (n=8); general practitioners, physiotherapists, orthopaedists, rheumatologists and pain specialists (n=7), patient and professional national body representatives (n=10), and researchers (n=4). The four validation cohorts included 570 participants (n=210 physiotherapy, n=150 hip, n=150 knee, n=60 shoulder patients)., OUTCOME MEASURES: Outcomes included the MSK-HQ's acceptability, feasibility, comprehension, readability and responder burden. The validation cohort outcomes were the MSK-HQ's completion rate, test-retest reliability and convergent validity with reference standards (EQ-5D-5L, Oxford Hip, Knee, Shoulder Scores, and the Keele MSK-PROM)., RESULTS: Musculoskeletal domains prioritised were pain severity, physical function, work interference, social interference, sleep, fatigue, emotional health, physical activity, independence, understanding, confidence to self-manage and overall impact. Patients reported MSK-HQ items to be 'highly relevant' and 'easy to understand'. Completion rates were high (94.2%), with scores normally distributed, and no floor/ceiling effects. Test-retest reliability was excellent, and convergent validity was strong (correlations 0.81-0.88)., CONCLUSIONS: A new musculoskeletal outcome measure has been developed through a coproduction process with patients to capture prioritised outcomes for use throughout the pathway and with different musculoskeletal conditions. Four validation cohorts found that the MSK-HQ had high completion rates, excellent test-retest reliability and strong convergent validity with reference standards. Further validation studies are ongoing, including a cohort …","author":[{"dropping-particle":"","family":"Hill","given":"Jonathan C","non-dropping-particle":"","parse-names":false,"suffix":""},{"dropping-particle":"","family":"Kang","given":"Sujin","non-dropping-particle":"","parse-names":false,"suffix":""},{"dropping-particle":"","family":"Benedetto","given":"Elena","non-dropping-particle":"","parse-names":false,"suffix":""},{"dropping-particle":"","family":"Myers","given":"Helen","non-dropping-particle":"","parse-names":false,"suffix":""},{"dropping-particle":"","family":"Blackburn","given":"Steven","non-dropping-particle":"","parse-names":false,"suffix":""},{"dropping-particle":"","family":"Smith","given":"Stephanie","non-dropping-particle":"","parse-names":false,"suffix":""},{"dropping-particle":"","family":"Dunn","given":"Kate M","non-dropping-particle":"","parse-names":false,"suffix":""},{"dropping-particle":"","family":"Hay","given":"Elaine","non-dropping-particle":"","parse-names":false,"suffix":""},{"dropping-particle":"","family":"Rees","given":"Jonathan","non-dropping-particle":"","parse-names":false,"suffix":""},{"dropping-particle":"","family":"Beard","given":"David","non-dropping-particle":"","parse-names":false,"suffix":""},{"dropping-particle":"","family":"Glyn-Jones","given":"Sion","non-dropping-particle":"","parse-names":false,"suffix":""},{"dropping-particle":"","family":"Barker","given":"Karen","non-dropping-particle":"","parse-names":false,"suffix":""},{"dropping-particle":"","family":"Ellis","given":"Benjamin","non-dropping-particle":"","parse-names":false,"suffix":""},{"dropping-particle":"","family":"Fitzpatrick","given":"Ray","non-dropping-particle":"","parse-names":false,"suffix":""},{"dropping-particle":"","family":"Price","given":"Andrew","non-dropping-particle":"","parse-names":false,"suffix":""}],"container-title":"BMJ open","id":"ITEM-1","issue":"8","issued":{"date-parts":[["2016"]]},"page":"e012331","publisher-place":"England","title":"Development and initial cohort validation of the Arthritis Research UK Musculoskeletal Health Questionnaire (MSK-HQ) for use across musculoskeletal care pathways.","type":"article-journal","volume":"6"},"uris":["http://www.mendeley.com/documents/?uuid=8c10e695-9509-4784-bfb6-e4fa4a9ccf59"]}],"mendeley":{"formattedCitation":"(6)","plainTextFormattedCitation":"(6)","previouslyFormattedCitation":"(6)"},"properties":{"noteIndex":0},"schema":"https://github.com/citation-style-language/schema/raw/master/csl-citation.json"}</w:instrText>
      </w:r>
      <w:r w:rsidR="005D7E2B">
        <w:rPr>
          <w:rFonts w:ascii="Times New Roman" w:hAnsi="Times New Roman" w:cs="Times New Roman"/>
          <w:noProof/>
          <w:sz w:val="24"/>
          <w:szCs w:val="24"/>
        </w:rPr>
        <w:fldChar w:fldCharType="separate"/>
      </w:r>
      <w:r w:rsidR="005D7E2B" w:rsidRPr="005D7E2B">
        <w:rPr>
          <w:rFonts w:ascii="Times New Roman" w:hAnsi="Times New Roman" w:cs="Times New Roman"/>
          <w:noProof/>
          <w:sz w:val="24"/>
          <w:szCs w:val="24"/>
        </w:rPr>
        <w:t>(6)</w:t>
      </w:r>
      <w:r w:rsidR="005D7E2B">
        <w:rPr>
          <w:rFonts w:ascii="Times New Roman" w:hAnsi="Times New Roman" w:cs="Times New Roman"/>
          <w:noProof/>
          <w:sz w:val="24"/>
          <w:szCs w:val="24"/>
        </w:rPr>
        <w:fldChar w:fldCharType="end"/>
      </w:r>
      <w:r w:rsidR="00F74A27" w:rsidRPr="00DA020D">
        <w:rPr>
          <w:rFonts w:ascii="Times New Roman" w:hAnsi="Times New Roman" w:cs="Times New Roman"/>
          <w:noProof/>
          <w:sz w:val="24"/>
          <w:szCs w:val="24"/>
        </w:rPr>
        <w:t>.</w:t>
      </w:r>
    </w:p>
    <w:p w14:paraId="5D1B22D1" w14:textId="77777777" w:rsidR="00336B09" w:rsidRPr="00DA020D" w:rsidRDefault="00336B09" w:rsidP="00796830">
      <w:pPr>
        <w:pStyle w:val="NoSpacing"/>
        <w:spacing w:line="480" w:lineRule="auto"/>
        <w:jc w:val="both"/>
        <w:rPr>
          <w:rFonts w:ascii="Times New Roman" w:hAnsi="Times New Roman" w:cs="Times New Roman"/>
          <w:noProof/>
          <w:sz w:val="24"/>
          <w:szCs w:val="24"/>
        </w:rPr>
      </w:pPr>
    </w:p>
    <w:p w14:paraId="43E765EE" w14:textId="46922F35" w:rsidR="002845F0" w:rsidRDefault="00843108" w:rsidP="00046B2F">
      <w:pPr>
        <w:pStyle w:val="NoSpacing"/>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In research to date</w:t>
      </w:r>
      <w:r w:rsidR="00505E88">
        <w:rPr>
          <w:rFonts w:ascii="Times New Roman" w:hAnsi="Times New Roman" w:cs="Times New Roman"/>
          <w:noProof/>
          <w:sz w:val="24"/>
          <w:szCs w:val="24"/>
        </w:rPr>
        <w:t xml:space="preserve">, the </w:t>
      </w:r>
      <w:r w:rsidR="00AD7F4A" w:rsidRPr="00DA020D">
        <w:rPr>
          <w:rFonts w:ascii="Times New Roman" w:hAnsi="Times New Roman" w:cs="Times New Roman"/>
          <w:noProof/>
          <w:sz w:val="24"/>
          <w:szCs w:val="24"/>
        </w:rPr>
        <w:t xml:space="preserve">MSK-HQ has been evaluated in </w:t>
      </w:r>
      <w:r w:rsidR="002845F0">
        <w:rPr>
          <w:rFonts w:ascii="Times New Roman" w:hAnsi="Times New Roman" w:cs="Times New Roman"/>
          <w:noProof/>
          <w:sz w:val="24"/>
          <w:szCs w:val="24"/>
        </w:rPr>
        <w:t xml:space="preserve">patients </w:t>
      </w:r>
      <w:r w:rsidR="009A001B" w:rsidRPr="00DA020D">
        <w:rPr>
          <w:rFonts w:ascii="Times New Roman" w:hAnsi="Times New Roman" w:cs="Times New Roman"/>
          <w:noProof/>
          <w:sz w:val="24"/>
          <w:szCs w:val="24"/>
        </w:rPr>
        <w:t xml:space="preserve">with MSK pain </w:t>
      </w:r>
      <w:r w:rsidR="006658D5">
        <w:rPr>
          <w:rFonts w:ascii="Times New Roman" w:hAnsi="Times New Roman" w:cs="Times New Roman"/>
          <w:noProof/>
          <w:sz w:val="24"/>
          <w:szCs w:val="24"/>
        </w:rPr>
        <w:t xml:space="preserve">in </w:t>
      </w:r>
      <w:r w:rsidR="009A001B" w:rsidRPr="00DA020D">
        <w:rPr>
          <w:rFonts w:ascii="Times New Roman" w:hAnsi="Times New Roman" w:cs="Times New Roman"/>
          <w:noProof/>
          <w:sz w:val="24"/>
          <w:szCs w:val="24"/>
        </w:rPr>
        <w:t xml:space="preserve">two </w:t>
      </w:r>
      <w:r w:rsidR="00505E88">
        <w:rPr>
          <w:rFonts w:ascii="Times New Roman" w:hAnsi="Times New Roman" w:cs="Times New Roman"/>
          <w:noProof/>
          <w:sz w:val="24"/>
          <w:szCs w:val="24"/>
        </w:rPr>
        <w:t>settings. First</w:t>
      </w:r>
      <w:r w:rsidR="00AD7F4A" w:rsidRPr="00DA020D">
        <w:rPr>
          <w:rFonts w:ascii="Times New Roman" w:hAnsi="Times New Roman" w:cs="Times New Roman"/>
          <w:noProof/>
          <w:sz w:val="24"/>
          <w:szCs w:val="24"/>
        </w:rPr>
        <w:t xml:space="preserve">, </w:t>
      </w:r>
      <w:r w:rsidR="009A001B" w:rsidRPr="00DA020D">
        <w:rPr>
          <w:rFonts w:ascii="Times New Roman" w:hAnsi="Times New Roman" w:cs="Times New Roman"/>
          <w:noProof/>
          <w:sz w:val="24"/>
          <w:szCs w:val="24"/>
        </w:rPr>
        <w:t xml:space="preserve">in </w:t>
      </w:r>
      <w:r w:rsidR="00AD7F4A" w:rsidRPr="00DA020D">
        <w:rPr>
          <w:rFonts w:ascii="Times New Roman" w:hAnsi="Times New Roman" w:cs="Times New Roman"/>
          <w:noProof/>
          <w:sz w:val="24"/>
          <w:szCs w:val="24"/>
        </w:rPr>
        <w:t>patients with hip</w:t>
      </w:r>
      <w:r w:rsidR="00505E88">
        <w:rPr>
          <w:rFonts w:ascii="Times New Roman" w:hAnsi="Times New Roman" w:cs="Times New Roman"/>
          <w:noProof/>
          <w:sz w:val="24"/>
          <w:szCs w:val="24"/>
        </w:rPr>
        <w:t>, shoulder,</w:t>
      </w:r>
      <w:r w:rsidR="00AD7F4A" w:rsidRPr="00DA020D">
        <w:rPr>
          <w:rFonts w:ascii="Times New Roman" w:hAnsi="Times New Roman" w:cs="Times New Roman"/>
          <w:noProof/>
          <w:sz w:val="24"/>
          <w:szCs w:val="24"/>
        </w:rPr>
        <w:t xml:space="preserve"> and knee pain listed for orthopedic surgery in secondary </w:t>
      </w:r>
      <w:r w:rsidR="00AD7F4A" w:rsidRPr="00DA020D">
        <w:rPr>
          <w:rFonts w:ascii="Times New Roman" w:hAnsi="Times New Roman" w:cs="Times New Roman"/>
          <w:noProof/>
          <w:sz w:val="24"/>
          <w:szCs w:val="24"/>
        </w:rPr>
        <w:lastRenderedPageBreak/>
        <w:t>care</w:t>
      </w:r>
      <w:r w:rsidR="0063279A">
        <w:rPr>
          <w:rFonts w:ascii="Times New Roman" w:hAnsi="Times New Roman" w:cs="Times New Roman"/>
          <w:noProof/>
          <w:sz w:val="24"/>
          <w:szCs w:val="24"/>
        </w:rPr>
        <w:t xml:space="preserve"> </w:t>
      </w:r>
      <w:r w:rsidR="00FF159B">
        <w:rPr>
          <w:rFonts w:ascii="Times New Roman" w:hAnsi="Times New Roman" w:cs="Times New Roman"/>
          <w:noProof/>
          <w:sz w:val="24"/>
          <w:szCs w:val="24"/>
        </w:rPr>
        <w:fldChar w:fldCharType="begin" w:fldLock="1"/>
      </w:r>
      <w:r w:rsidR="00FF159B">
        <w:rPr>
          <w:rFonts w:ascii="Times New Roman" w:hAnsi="Times New Roman" w:cs="Times New Roman"/>
          <w:noProof/>
          <w:sz w:val="24"/>
          <w:szCs w:val="24"/>
        </w:rPr>
        <w:instrText>ADDIN CSL_CITATION {"citationItems":[{"id":"ITEM-1","itemData":{"DOI":"https://dx.doi.org/10.1136/bmjopen-2016-012331","ISSN":"2044-6055","abstract":"OBJECTIVES: Current musculoskeletal outcome tools are fragmented across different healthcare settings and conditions. Our objectives were to develop and validate a single musculoskeletal outcome measure for use throughout the pathway and patients with different musculoskeletal conditions: the Arthritis Research UK Musculoskeletal Health Questionnaire (MSK-HQ)., SETTING: A consensus workshop with stakeholders from across the musculoskeletal community, workshops and individual interviews with a broad mix of musculoskeletal patients identified and prioritised outcomes for MSK-HQ inclusion. Initial psychometric validation was conducted in four cohorts from community physiotherapy, and secondary care orthopaedic hip, knee and shoulder clinics., PARTICIPANTS: Stakeholders (n=29) included primary care, physiotherapy, orthopaedic and rheumatology patients (n=8); general practitioners, physiotherapists, orthopaedists, rheumatologists and pain specialists (n=7), patient and professional national body representatives (n=10), and researchers (n=4). The four validation cohorts included 570 participants (n=210 physiotherapy, n=150 hip, n=150 knee, n=60 shoulder patients)., OUTCOME MEASURES: Outcomes included the MSK-HQ's acceptability, feasibility, comprehension, readability and responder burden. The validation cohort outcomes were the MSK-HQ's completion rate, test-retest reliability and convergent validity with reference standards (EQ-5D-5L, Oxford Hip, Knee, Shoulder Scores, and the Keele MSK-PROM)., RESULTS: Musculoskeletal domains prioritised were pain severity, physical function, work interference, social interference, sleep, fatigue, emotional health, physical activity, independence, understanding, confidence to self-manage and overall impact. Patients reported MSK-HQ items to be 'highly relevant' and 'easy to understand'. Completion rates were high (94.2%), with scores normally distributed, and no floor/ceiling effects. Test-retest reliability was excellent, and convergent validity was strong (correlations 0.81-0.88)., CONCLUSIONS: A new musculoskeletal outcome measure has been developed through a coproduction process with patients to capture prioritised outcomes for use throughout the pathway and with different musculoskeletal conditions. Four validation cohorts found that the MSK-HQ had high completion rates, excellent test-retest reliability and strong convergent validity with reference standards. Further validation studies are ongoing, including a cohort …","author":[{"dropping-particle":"","family":"Hill","given":"Jonathan C","non-dropping-particle":"","parse-names":false,"suffix":""},{"dropping-particle":"","family":"Kang","given":"Sujin","non-dropping-particle":"","parse-names":false,"suffix":""},{"dropping-particle":"","family":"Benedetto","given":"Elena","non-dropping-particle":"","parse-names":false,"suffix":""},{"dropping-particle":"","family":"Myers","given":"Helen","non-dropping-particle":"","parse-names":false,"suffix":""},{"dropping-particle":"","family":"Blackburn","given":"Steven","non-dropping-particle":"","parse-names":false,"suffix":""},{"dropping-particle":"","family":"Smith","given":"Stephanie","non-dropping-particle":"","parse-names":false,"suffix":""},{"dropping-particle":"","family":"Dunn","given":"Kate M","non-dropping-particle":"","parse-names":false,"suffix":""},{"dropping-particle":"","family":"Hay","given":"Elaine","non-dropping-particle":"","parse-names":false,"suffix":""},{"dropping-particle":"","family":"Rees","given":"Jonathan","non-dropping-particle":"","parse-names":false,"suffix":""},{"dropping-particle":"","family":"Beard","given":"David","non-dropping-particle":"","parse-names":false,"suffix":""},{"dropping-particle":"","family":"Glyn-Jones","given":"Sion","non-dropping-particle":"","parse-names":false,"suffix":""},{"dropping-particle":"","family":"Barker","given":"Karen","non-dropping-particle":"","parse-names":false,"suffix":""},{"dropping-particle":"","family":"Ellis","given":"Benjamin","non-dropping-particle":"","parse-names":false,"suffix":""},{"dropping-particle":"","family":"Fitzpatrick","given":"Ray","non-dropping-particle":"","parse-names":false,"suffix":""},{"dropping-particle":"","family":"Price","given":"Andrew","non-dropping-particle":"","parse-names":false,"suffix":""}],"container-title":"BMJ open","id":"ITEM-1","issue":"8","issued":{"date-parts":[["2016"]]},"page":"e012331","publisher-place":"England","title":"Development and initial cohort validation of the Arthritis Research UK Musculoskeletal Health Questionnaire (MSK-HQ) for use across musculoskeletal care pathways.","type":"article-journal","volume":"6"},"uris":["http://www.mendeley.com/documents/?uuid=8c10e695-9509-4784-bfb6-e4fa4a9ccf59"]},{"id":"ITEM-2","itemData":{"DOI":"10.1136/bmjopen-2018-025357","abstract":"Objectives We have previously developed and validated the Arthritis Research UK Musculoskeletal Health Questionnaire (MSK-HQ) for use across musculoskeletal care pathways, showing encouraging psychometric test results. The objective of this study was to determine the responsiveness of MSK-HQ following MSK treatments and to determine the minimally important change (MIC).Setting We collected data in four cohorts from community physiotherapy and secondary-care orthopaedic hip, knee and shoulder clinics.Participants 592 individuals were recruited; 210 patients treated with physiotherapy for a range of MSK conditions in primary care; 150 patients undergoing hip replacement, 150 patients undergoing knee replacement and 82 undergoing shoulder surgery in secondary care.Outcome measures Preoperative data were collected including the MSK-HQ, European Quality of Life-5D (EQ-5D) and the OHS, OKS or OSS in each joint-specific group. The same scores, together with anchor questions, were collected postintervention at 3 months for the physiotherapy group and 6 months for all others. Following COnsensus-based Standards for the selection of health status Measurement INstruments (COSMIN) guidelines, responsiveness was assessed using correlation between scores and the MIC was calculated for the entire cohort using receiver operating characteristic curve analysis.Results The MSK-HQ demonstrated strong correlation (R=0.73) with EQ-5D across the entire cohort and with each of the joint-specific Oxford scores (hip R=0.87, knee R=0.92 and shoulder R=0.77). Moderate correlation was seen between MSK-HQ and EQ-5D across each individual group (R value range 0.60–0.68), apart from the hip group where correlation was strong (R=0.77). The effect size with MSK-HQ was 0.93, in the entire cohort, double that measured with EQ-5D (0.43). In all subgroups, MSK-HQ measured a greater treatment effect compared with EQ-5D. The MIC is 5.5 (95% CI 2.7 to 8.3).Conclusion Our study demonstrates that the MSK-HQ questionnaire is responsive to change across a range of musculoskeletal conditions, supporting its use as a generic MSK measurement instrument.","author":[{"dropping-particle":"","family":"Price","given":"Andrew James","non-dropping-particle":"","parse-names":false,"suffix":""},{"dropping-particle":"","family":"Ogollah","given":"Reuben","non-dropping-particle":"","parse-names":false,"suffix":""},{"dropping-particle":"","family":"Kang","given":"Sujin","non-dropping-particle":"","parse-names":false,"suffix":""},{"dropping-particle":"","family":"Hay","given":"Elaine","non-dropping-particle":"","parse-names":false,"suffix":""},{"dropping-particle":"","family":"Barker","given":"Karen L","non-dropping-particle":"","parse-names":false,"suffix":""},{"dropping-particle":"","family":"Benedetto","given":"Elena","non-dropping-particle":"","parse-names":false,"suffix":""},{"dropping-particle":"","family":"Smith","given":"Stephanie","non-dropping-particle":"","parse-names":false,"suffix":""},{"dropping-particle":"","family":"Smith","given":"James","non-dropping-particle":"","parse-names":false,"suffix":""},{"dropping-particle":"","family":"Galloway","given":"James B","non-dropping-particle":"","parse-names":false,"suffix":""},{"dropping-particle":"","family":"Ellis","given":"Benjamin","non-dropping-particle":"","parse-names":false,"suffix":""},{"dropping-particle":"","family":"Rees","given":"Jonathan","non-dropping-particle":"","parse-names":false,"suffix":""},{"dropping-particle":"","family":"Glyn-Jones","given":"Sion","non-dropping-particle":"","parse-names":false,"suffix":""},{"dropping-particle":"","family":"Beard","given":"David","non-dropping-particle":"","parse-names":false,"suffix":""},{"dropping-particle":"","family":"Fitzpatrick","given":"Ray","non-dropping-particle":"","parse-names":false,"suffix":""},{"dropping-particle":"","family":"Hill","given":"Jonathan C","non-dropping-particle":"","parse-names":false,"suffix":""}],"container-title":"BMJ Open","id":"ITEM-2","issue":"10","issued":{"date-parts":[["2019","10","1"]]},"page":"e025357","title":"Determining responsiveness and meaningful changes for the Musculoskeletal Health Questionnaire (MSK-HQ) for use across musculoskeletal care pathways","type":"article-journal","volume":"9"},"uris":["http://www.mendeley.com/documents/?uuid=3fcd98ff-f5e8-4b7d-8616-fa7a192fd965"]}],"mendeley":{"formattedCitation":"(6,7)","plainTextFormattedCitation":"(6,7)","previouslyFormattedCitation":"(6,7)"},"properties":{"noteIndex":0},"schema":"https://github.com/citation-style-language/schema/raw/master/csl-citation.json"}</w:instrText>
      </w:r>
      <w:r w:rsidR="00FF159B">
        <w:rPr>
          <w:rFonts w:ascii="Times New Roman" w:hAnsi="Times New Roman" w:cs="Times New Roman"/>
          <w:noProof/>
          <w:sz w:val="24"/>
          <w:szCs w:val="24"/>
        </w:rPr>
        <w:fldChar w:fldCharType="separate"/>
      </w:r>
      <w:r w:rsidR="00FF159B" w:rsidRPr="00FF159B">
        <w:rPr>
          <w:rFonts w:ascii="Times New Roman" w:hAnsi="Times New Roman" w:cs="Times New Roman"/>
          <w:noProof/>
          <w:sz w:val="24"/>
          <w:szCs w:val="24"/>
        </w:rPr>
        <w:t>(6,7)</w:t>
      </w:r>
      <w:r w:rsidR="00FF159B">
        <w:rPr>
          <w:rFonts w:ascii="Times New Roman" w:hAnsi="Times New Roman" w:cs="Times New Roman"/>
          <w:noProof/>
          <w:sz w:val="24"/>
          <w:szCs w:val="24"/>
        </w:rPr>
        <w:fldChar w:fldCharType="end"/>
      </w:r>
      <w:r>
        <w:rPr>
          <w:rFonts w:ascii="Times New Roman" w:hAnsi="Times New Roman" w:cs="Times New Roman"/>
          <w:noProof/>
          <w:sz w:val="24"/>
          <w:szCs w:val="24"/>
        </w:rPr>
        <w:t>.</w:t>
      </w:r>
      <w:r w:rsidR="00AD7F4A" w:rsidRPr="00DA020D">
        <w:rPr>
          <w:rFonts w:ascii="Times New Roman" w:hAnsi="Times New Roman" w:cs="Times New Roman"/>
          <w:noProof/>
          <w:sz w:val="24"/>
          <w:szCs w:val="24"/>
        </w:rPr>
        <w:t xml:space="preserve"> Second, </w:t>
      </w:r>
      <w:r w:rsidR="00437EF8">
        <w:rPr>
          <w:rFonts w:ascii="Times New Roman" w:hAnsi="Times New Roman" w:cs="Times New Roman"/>
          <w:noProof/>
          <w:sz w:val="24"/>
          <w:szCs w:val="24"/>
        </w:rPr>
        <w:t xml:space="preserve">in </w:t>
      </w:r>
      <w:r w:rsidR="00AD7F4A" w:rsidRPr="00DA020D">
        <w:rPr>
          <w:rFonts w:ascii="Times New Roman" w:hAnsi="Times New Roman" w:cs="Times New Roman"/>
          <w:noProof/>
          <w:sz w:val="24"/>
          <w:szCs w:val="24"/>
        </w:rPr>
        <w:t xml:space="preserve">patients with a </w:t>
      </w:r>
      <w:r>
        <w:rPr>
          <w:rFonts w:ascii="Times New Roman" w:hAnsi="Times New Roman" w:cs="Times New Roman"/>
          <w:noProof/>
          <w:sz w:val="24"/>
          <w:szCs w:val="24"/>
        </w:rPr>
        <w:t>range</w:t>
      </w:r>
      <w:r w:rsidRPr="00DA020D">
        <w:rPr>
          <w:rFonts w:ascii="Times New Roman" w:hAnsi="Times New Roman" w:cs="Times New Roman"/>
          <w:noProof/>
          <w:sz w:val="24"/>
          <w:szCs w:val="24"/>
        </w:rPr>
        <w:t xml:space="preserve"> </w:t>
      </w:r>
      <w:r w:rsidR="00AD7F4A" w:rsidRPr="00DA020D">
        <w:rPr>
          <w:rFonts w:ascii="Times New Roman" w:hAnsi="Times New Roman" w:cs="Times New Roman"/>
          <w:noProof/>
          <w:sz w:val="24"/>
          <w:szCs w:val="24"/>
        </w:rPr>
        <w:t xml:space="preserve">of MSK problems seen in community physiotherapy clinics </w:t>
      </w:r>
      <w:r w:rsidR="00FF159B">
        <w:rPr>
          <w:rFonts w:ascii="Times New Roman" w:hAnsi="Times New Roman" w:cs="Times New Roman"/>
          <w:noProof/>
          <w:sz w:val="24"/>
          <w:szCs w:val="24"/>
        </w:rPr>
        <w:fldChar w:fldCharType="begin" w:fldLock="1"/>
      </w:r>
      <w:r w:rsidR="00FF159B">
        <w:rPr>
          <w:rFonts w:ascii="Times New Roman" w:hAnsi="Times New Roman" w:cs="Times New Roman"/>
          <w:noProof/>
          <w:sz w:val="24"/>
          <w:szCs w:val="24"/>
        </w:rPr>
        <w:instrText>ADDIN CSL_CITATION {"citationItems":[{"id":"ITEM-1","itemData":{"DOI":"https://dx.doi.org/10.1136/bmjopen-2016-012331","ISSN":"2044-6055","abstract":"OBJECTIVES: Current musculoskeletal outcome tools are fragmented across different healthcare settings and conditions. Our objectives were to develop and validate a single musculoskeletal outcome measure for use throughout the pathway and patients with different musculoskeletal conditions: the Arthritis Research UK Musculoskeletal Health Questionnaire (MSK-HQ)., SETTING: A consensus workshop with stakeholders from across the musculoskeletal community, workshops and individual interviews with a broad mix of musculoskeletal patients identified and prioritised outcomes for MSK-HQ inclusion. Initial psychometric validation was conducted in four cohorts from community physiotherapy, and secondary care orthopaedic hip, knee and shoulder clinics., PARTICIPANTS: Stakeholders (n=29) included primary care, physiotherapy, orthopaedic and rheumatology patients (n=8); general practitioners, physiotherapists, orthopaedists, rheumatologists and pain specialists (n=7), patient and professional national body representatives (n=10), and researchers (n=4). The four validation cohorts included 570 participants (n=210 physiotherapy, n=150 hip, n=150 knee, n=60 shoulder patients)., OUTCOME MEASURES: Outcomes included the MSK-HQ's acceptability, feasibility, comprehension, readability and responder burden. The validation cohort outcomes were the MSK-HQ's completion rate, test-retest reliability and convergent validity with reference standards (EQ-5D-5L, Oxford Hip, Knee, Shoulder Scores, and the Keele MSK-PROM)., RESULTS: Musculoskeletal domains prioritised were pain severity, physical function, work interference, social interference, sleep, fatigue, emotional health, physical activity, independence, understanding, confidence to self-manage and overall impact. Patients reported MSK-HQ items to be 'highly relevant' and 'easy to understand'. Completion rates were high (94.2%), with scores normally distributed, and no floor/ceiling effects. Test-retest reliability was excellent, and convergent validity was strong (correlations 0.81-0.88)., CONCLUSIONS: A new musculoskeletal outcome measure has been developed through a coproduction process with patients to capture prioritised outcomes for use throughout the pathway and with different musculoskeletal conditions. Four validation cohorts found that the MSK-HQ had high completion rates, excellent test-retest reliability and strong convergent validity with reference standards. Further validation studies are ongoing, including a cohort …","author":[{"dropping-particle":"","family":"Hill","given":"Jonathan C","non-dropping-particle":"","parse-names":false,"suffix":""},{"dropping-particle":"","family":"Kang","given":"Sujin","non-dropping-particle":"","parse-names":false,"suffix":""},{"dropping-particle":"","family":"Benedetto","given":"Elena","non-dropping-particle":"","parse-names":false,"suffix":""},{"dropping-particle":"","family":"Myers","given":"Helen","non-dropping-particle":"","parse-names":false,"suffix":""},{"dropping-particle":"","family":"Blackburn","given":"Steven","non-dropping-particle":"","parse-names":false,"suffix":""},{"dropping-particle":"","family":"Smith","given":"Stephanie","non-dropping-particle":"","parse-names":false,"suffix":""},{"dropping-particle":"","family":"Dunn","given":"Kate M","non-dropping-particle":"","parse-names":false,"suffix":""},{"dropping-particle":"","family":"Hay","given":"Elaine","non-dropping-particle":"","parse-names":false,"suffix":""},{"dropping-particle":"","family":"Rees","given":"Jonathan","non-dropping-particle":"","parse-names":false,"suffix":""},{"dropping-particle":"","family":"Beard","given":"David","non-dropping-particle":"","parse-names":false,"suffix":""},{"dropping-particle":"","family":"Glyn-Jones","given":"Sion","non-dropping-particle":"","parse-names":false,"suffix":""},{"dropping-particle":"","family":"Barker","given":"Karen","non-dropping-particle":"","parse-names":false,"suffix":""},{"dropping-particle":"","family":"Ellis","given":"Benjamin","non-dropping-particle":"","parse-names":false,"suffix":""},{"dropping-particle":"","family":"Fitzpatrick","given":"Ray","non-dropping-particle":"","parse-names":false,"suffix":""},{"dropping-particle":"","family":"Price","given":"Andrew","non-dropping-particle":"","parse-names":false,"suffix":""}],"container-title":"BMJ open","id":"ITEM-1","issue":"8","issued":{"date-parts":[["2016"]]},"page":"e012331","publisher-place":"England","title":"Development and initial cohort validation of the Arthritis Research UK Musculoskeletal Health Questionnaire (MSK-HQ) for use across musculoskeletal care pathways.","type":"article-journal","volume":"6"},"uris":["http://www.mendeley.com/documents/?uuid=8c10e695-9509-4784-bfb6-e4fa4a9ccf59"]},{"id":"ITEM-2","itemData":{"DOI":"10.1136/bmjopen-2018-025357","abstract":"Objectives We have previously developed and validated the Arthritis Research UK Musculoskeletal Health Questionnaire (MSK-HQ) for use across musculoskeletal care pathways, showing encouraging psychometric test results. The objective of this study was to determine the responsiveness of MSK-HQ following MSK treatments and to determine the minimally important change (MIC).Setting We collected data in four cohorts from community physiotherapy and secondary-care orthopaedic hip, knee and shoulder clinics.Participants 592 individuals were recruited; 210 patients treated with physiotherapy for a range of MSK conditions in primary care; 150 patients undergoing hip replacement, 150 patients undergoing knee replacement and 82 undergoing shoulder surgery in secondary care.Outcome measures Preoperative data were collected including the MSK-HQ, European Quality of Life-5D (EQ-5D) and the OHS, OKS or OSS in each joint-specific group. The same scores, together with anchor questions, were collected postintervention at 3 months for the physiotherapy group and 6 months for all others. Following COnsensus-based Standards for the selection of health status Measurement INstruments (COSMIN) guidelines, responsiveness was assessed using correlation between scores and the MIC was calculated for the entire cohort using receiver operating characteristic curve analysis.Results The MSK-HQ demonstrated strong correlation (R=0.73) with EQ-5D across the entire cohort and with each of the joint-specific Oxford scores (hip R=0.87, knee R=0.92 and shoulder R=0.77). Moderate correlation was seen between MSK-HQ and EQ-5D across each individual group (R value range 0.60–0.68), apart from the hip group where correlation was strong (R=0.77). The effect size with MSK-HQ was 0.93, in the entire cohort, double that measured with EQ-5D (0.43). In all subgroups, MSK-HQ measured a greater treatment effect compared with EQ-5D. The MIC is 5.5 (95% CI 2.7 to 8.3).Conclusion Our study demonstrates that the MSK-HQ questionnaire is responsive to change across a range of musculoskeletal conditions, supporting its use as a generic MSK measurement instrument.","author":[{"dropping-particle":"","family":"Price","given":"Andrew James","non-dropping-particle":"","parse-names":false,"suffix":""},{"dropping-particle":"","family":"Ogollah","given":"Reuben","non-dropping-particle":"","parse-names":false,"suffix":""},{"dropping-particle":"","family":"Kang","given":"Sujin","non-dropping-particle":"","parse-names":false,"suffix":""},{"dropping-particle":"","family":"Hay","given":"Elaine","non-dropping-particle":"","parse-names":false,"suffix":""},{"dropping-particle":"","family":"Barker","given":"Karen L","non-dropping-particle":"","parse-names":false,"suffix":""},{"dropping-particle":"","family":"Benedetto","given":"Elena","non-dropping-particle":"","parse-names":false,"suffix":""},{"dropping-particle":"","family":"Smith","given":"Stephanie","non-dropping-particle":"","parse-names":false,"suffix":""},{"dropping-particle":"","family":"Smith","given":"James","non-dropping-particle":"","parse-names":false,"suffix":""},{"dropping-particle":"","family":"Galloway","given":"James B","non-dropping-particle":"","parse-names":false,"suffix":""},{"dropping-particle":"","family":"Ellis","given":"Benjamin","non-dropping-particle":"","parse-names":false,"suffix":""},{"dropping-particle":"","family":"Rees","given":"Jonathan","non-dropping-particle":"","parse-names":false,"suffix":""},{"dropping-particle":"","family":"Glyn-Jones","given":"Sion","non-dropping-particle":"","parse-names":false,"suffix":""},{"dropping-particle":"","family":"Beard","given":"David","non-dropping-particle":"","parse-names":false,"suffix":""},{"dropping-particle":"","family":"Fitzpatrick","given":"Ray","non-dropping-particle":"","parse-names":false,"suffix":""},{"dropping-particle":"","family":"Hill","given":"Jonathan C","non-dropping-particle":"","parse-names":false,"suffix":""}],"container-title":"BMJ Open","id":"ITEM-2","issue":"10","issued":{"date-parts":[["2019","10","1"]]},"page":"e025357","title":"Determining responsiveness and meaningful changes for the Musculoskeletal Health Questionnaire (MSK-HQ) for use across musculoskeletal care pathways","type":"article-journal","volume":"9"},"uris":["http://www.mendeley.com/documents/?uuid=3fcd98ff-f5e8-4b7d-8616-fa7a192fd965"]}],"mendeley":{"formattedCitation":"(6,7)","plainTextFormattedCitation":"(6,7)","previouslyFormattedCitation":"(6,7)"},"properties":{"noteIndex":0},"schema":"https://github.com/citation-style-language/schema/raw/master/csl-citation.json"}</w:instrText>
      </w:r>
      <w:r w:rsidR="00FF159B">
        <w:rPr>
          <w:rFonts w:ascii="Times New Roman" w:hAnsi="Times New Roman" w:cs="Times New Roman"/>
          <w:noProof/>
          <w:sz w:val="24"/>
          <w:szCs w:val="24"/>
        </w:rPr>
        <w:fldChar w:fldCharType="separate"/>
      </w:r>
      <w:r w:rsidR="00FF159B" w:rsidRPr="00FF159B">
        <w:rPr>
          <w:rFonts w:ascii="Times New Roman" w:hAnsi="Times New Roman" w:cs="Times New Roman"/>
          <w:noProof/>
          <w:sz w:val="24"/>
          <w:szCs w:val="24"/>
        </w:rPr>
        <w:t>(6,7)</w:t>
      </w:r>
      <w:r w:rsidR="00FF159B">
        <w:rPr>
          <w:rFonts w:ascii="Times New Roman" w:hAnsi="Times New Roman" w:cs="Times New Roman"/>
          <w:noProof/>
          <w:sz w:val="24"/>
          <w:szCs w:val="24"/>
        </w:rPr>
        <w:fldChar w:fldCharType="end"/>
      </w:r>
      <w:r w:rsidR="00AD7F4A" w:rsidRPr="00DA020D">
        <w:rPr>
          <w:rFonts w:ascii="Times New Roman" w:hAnsi="Times New Roman" w:cs="Times New Roman"/>
          <w:noProof/>
          <w:sz w:val="24"/>
          <w:szCs w:val="24"/>
        </w:rPr>
        <w:t xml:space="preserve">. </w:t>
      </w:r>
      <w:r w:rsidR="00505E88">
        <w:rPr>
          <w:rFonts w:ascii="Times New Roman" w:hAnsi="Times New Roman" w:cs="Times New Roman"/>
          <w:noProof/>
          <w:sz w:val="24"/>
          <w:szCs w:val="24"/>
        </w:rPr>
        <w:t xml:space="preserve">In </w:t>
      </w:r>
      <w:r w:rsidR="002845F0">
        <w:rPr>
          <w:rFonts w:ascii="Times New Roman" w:hAnsi="Times New Roman" w:cs="Times New Roman"/>
          <w:noProof/>
          <w:sz w:val="24"/>
          <w:szCs w:val="24"/>
        </w:rPr>
        <w:t xml:space="preserve">these </w:t>
      </w:r>
      <w:r w:rsidR="00336B09" w:rsidRPr="00DA020D">
        <w:rPr>
          <w:rFonts w:ascii="Times New Roman" w:hAnsi="Times New Roman" w:cs="Times New Roman"/>
          <w:noProof/>
          <w:sz w:val="24"/>
          <w:szCs w:val="24"/>
        </w:rPr>
        <w:t>context</w:t>
      </w:r>
      <w:r w:rsidR="002845F0">
        <w:rPr>
          <w:rFonts w:ascii="Times New Roman" w:hAnsi="Times New Roman" w:cs="Times New Roman"/>
          <w:noProof/>
          <w:sz w:val="24"/>
          <w:szCs w:val="24"/>
        </w:rPr>
        <w:t>s</w:t>
      </w:r>
      <w:r w:rsidR="00AD7F4A" w:rsidRPr="00DA020D">
        <w:rPr>
          <w:rFonts w:ascii="Times New Roman" w:hAnsi="Times New Roman" w:cs="Times New Roman"/>
          <w:noProof/>
          <w:sz w:val="24"/>
          <w:szCs w:val="24"/>
        </w:rPr>
        <w:t xml:space="preserve">, </w:t>
      </w:r>
      <w:r>
        <w:rPr>
          <w:rFonts w:ascii="Times New Roman" w:hAnsi="Times New Roman" w:cs="Times New Roman"/>
          <w:noProof/>
          <w:sz w:val="24"/>
          <w:szCs w:val="24"/>
        </w:rPr>
        <w:t>high</w:t>
      </w:r>
      <w:r w:rsidR="00AD7F4A" w:rsidRPr="00DA020D">
        <w:rPr>
          <w:rFonts w:ascii="Times New Roman" w:hAnsi="Times New Roman" w:cs="Times New Roman"/>
          <w:noProof/>
          <w:sz w:val="24"/>
          <w:szCs w:val="24"/>
        </w:rPr>
        <w:t xml:space="preserve"> completion rates, excellent test-retest reliability, strong convergent</w:t>
      </w:r>
      <w:r w:rsidR="00505E88">
        <w:rPr>
          <w:rFonts w:ascii="Times New Roman" w:hAnsi="Times New Roman" w:cs="Times New Roman"/>
          <w:noProof/>
          <w:sz w:val="24"/>
          <w:szCs w:val="24"/>
        </w:rPr>
        <w:t xml:space="preserve"> validity with existing PROMs</w:t>
      </w:r>
      <w:r w:rsidR="00A07894">
        <w:rPr>
          <w:rFonts w:ascii="Times New Roman" w:hAnsi="Times New Roman" w:cs="Times New Roman"/>
          <w:noProof/>
          <w:sz w:val="24"/>
          <w:szCs w:val="24"/>
        </w:rPr>
        <w:t>, and responsive</w:t>
      </w:r>
      <w:r w:rsidR="002845F0">
        <w:rPr>
          <w:rFonts w:ascii="Times New Roman" w:hAnsi="Times New Roman" w:cs="Times New Roman"/>
          <w:noProof/>
          <w:sz w:val="24"/>
          <w:szCs w:val="24"/>
        </w:rPr>
        <w:t>ness</w:t>
      </w:r>
      <w:r w:rsidR="00A07894">
        <w:rPr>
          <w:rFonts w:ascii="Times New Roman" w:hAnsi="Times New Roman" w:cs="Times New Roman"/>
          <w:noProof/>
          <w:sz w:val="24"/>
          <w:szCs w:val="24"/>
        </w:rPr>
        <w:t xml:space="preserve"> to change</w:t>
      </w:r>
      <w:r w:rsidR="003A71FC">
        <w:rPr>
          <w:rFonts w:ascii="Times New Roman" w:hAnsi="Times New Roman" w:cs="Times New Roman"/>
          <w:noProof/>
          <w:sz w:val="24"/>
          <w:szCs w:val="24"/>
        </w:rPr>
        <w:t xml:space="preserve"> were observed</w:t>
      </w:r>
      <w:r w:rsidR="00505E88">
        <w:rPr>
          <w:rFonts w:ascii="Times New Roman" w:hAnsi="Times New Roman" w:cs="Times New Roman"/>
          <w:noProof/>
          <w:sz w:val="24"/>
          <w:szCs w:val="24"/>
        </w:rPr>
        <w:t>.</w:t>
      </w:r>
      <w:r w:rsidR="002845F0">
        <w:rPr>
          <w:rFonts w:ascii="Times New Roman" w:hAnsi="Times New Roman" w:cs="Times New Roman"/>
          <w:noProof/>
          <w:sz w:val="24"/>
          <w:szCs w:val="24"/>
        </w:rPr>
        <w:t xml:space="preserve"> It </w:t>
      </w:r>
      <w:r w:rsidR="00AD7F4A" w:rsidRPr="00DA020D">
        <w:rPr>
          <w:rFonts w:ascii="Times New Roman" w:hAnsi="Times New Roman" w:cs="Times New Roman"/>
          <w:noProof/>
          <w:sz w:val="24"/>
          <w:szCs w:val="24"/>
        </w:rPr>
        <w:t xml:space="preserve">has not </w:t>
      </w:r>
      <w:r w:rsidR="00505E88">
        <w:rPr>
          <w:rFonts w:ascii="Times New Roman" w:hAnsi="Times New Roman" w:cs="Times New Roman"/>
          <w:noProof/>
          <w:sz w:val="24"/>
          <w:szCs w:val="24"/>
        </w:rPr>
        <w:t xml:space="preserve">yet </w:t>
      </w:r>
      <w:r w:rsidR="00AD7F4A" w:rsidRPr="00DA020D">
        <w:rPr>
          <w:rFonts w:ascii="Times New Roman" w:hAnsi="Times New Roman" w:cs="Times New Roman"/>
          <w:noProof/>
          <w:sz w:val="24"/>
          <w:szCs w:val="24"/>
        </w:rPr>
        <w:t xml:space="preserve">been evaluated in </w:t>
      </w:r>
      <w:r w:rsidR="00A07894">
        <w:rPr>
          <w:rFonts w:ascii="Times New Roman" w:hAnsi="Times New Roman" w:cs="Times New Roman"/>
          <w:noProof/>
          <w:sz w:val="24"/>
          <w:szCs w:val="24"/>
        </w:rPr>
        <w:t>people</w:t>
      </w:r>
      <w:r w:rsidR="00AD7F4A" w:rsidRPr="00DA020D">
        <w:rPr>
          <w:rFonts w:ascii="Times New Roman" w:hAnsi="Times New Roman" w:cs="Times New Roman"/>
          <w:noProof/>
          <w:sz w:val="24"/>
          <w:szCs w:val="24"/>
        </w:rPr>
        <w:t xml:space="preserve"> with MSK pain </w:t>
      </w:r>
      <w:r>
        <w:rPr>
          <w:rFonts w:ascii="Times New Roman" w:hAnsi="Times New Roman" w:cs="Times New Roman"/>
          <w:noProof/>
          <w:sz w:val="24"/>
          <w:szCs w:val="24"/>
        </w:rPr>
        <w:t>consulting</w:t>
      </w:r>
      <w:r w:rsidR="00505E88">
        <w:rPr>
          <w:rFonts w:ascii="Times New Roman" w:hAnsi="Times New Roman" w:cs="Times New Roman"/>
          <w:noProof/>
          <w:sz w:val="24"/>
          <w:szCs w:val="24"/>
        </w:rPr>
        <w:t xml:space="preserve"> in</w:t>
      </w:r>
      <w:r>
        <w:rPr>
          <w:rFonts w:ascii="Times New Roman" w:hAnsi="Times New Roman" w:cs="Times New Roman"/>
          <w:noProof/>
          <w:sz w:val="24"/>
          <w:szCs w:val="24"/>
        </w:rPr>
        <w:t xml:space="preserve"> UK</w:t>
      </w:r>
      <w:r w:rsidR="00A07894">
        <w:rPr>
          <w:rFonts w:ascii="Times New Roman" w:hAnsi="Times New Roman" w:cs="Times New Roman"/>
          <w:noProof/>
          <w:sz w:val="24"/>
          <w:szCs w:val="24"/>
        </w:rPr>
        <w:t xml:space="preserve"> primary care, </w:t>
      </w:r>
      <w:r w:rsidR="00AD7F4A" w:rsidRPr="00DA020D">
        <w:rPr>
          <w:rFonts w:ascii="Times New Roman" w:hAnsi="Times New Roman" w:cs="Times New Roman"/>
          <w:noProof/>
          <w:sz w:val="24"/>
          <w:szCs w:val="24"/>
        </w:rPr>
        <w:t xml:space="preserve">where the vast majority of </w:t>
      </w:r>
      <w:r>
        <w:rPr>
          <w:rFonts w:ascii="Times New Roman" w:hAnsi="Times New Roman" w:cs="Times New Roman"/>
          <w:noProof/>
          <w:sz w:val="24"/>
          <w:szCs w:val="24"/>
        </w:rPr>
        <w:t xml:space="preserve">NHS </w:t>
      </w:r>
      <w:r w:rsidR="00AD7F4A" w:rsidRPr="00DA020D">
        <w:rPr>
          <w:rFonts w:ascii="Times New Roman" w:hAnsi="Times New Roman" w:cs="Times New Roman"/>
          <w:noProof/>
          <w:sz w:val="24"/>
          <w:szCs w:val="24"/>
        </w:rPr>
        <w:t>MS</w:t>
      </w:r>
      <w:r w:rsidR="00F74A27" w:rsidRPr="00DA020D">
        <w:rPr>
          <w:rFonts w:ascii="Times New Roman" w:hAnsi="Times New Roman" w:cs="Times New Roman"/>
          <w:noProof/>
          <w:sz w:val="24"/>
          <w:szCs w:val="24"/>
        </w:rPr>
        <w:t>K-related health contacts occur</w:t>
      </w:r>
      <w:r w:rsidR="00AD7F4A" w:rsidRPr="00DA020D">
        <w:rPr>
          <w:rFonts w:ascii="Times New Roman" w:hAnsi="Times New Roman" w:cs="Times New Roman"/>
          <w:noProof/>
          <w:sz w:val="24"/>
          <w:szCs w:val="24"/>
        </w:rPr>
        <w:t xml:space="preserve">. </w:t>
      </w:r>
      <w:r w:rsidR="00F74A27" w:rsidRPr="00DA020D">
        <w:rPr>
          <w:rFonts w:ascii="Times New Roman" w:hAnsi="Times New Roman" w:cs="Times New Roman"/>
          <w:noProof/>
          <w:sz w:val="24"/>
          <w:szCs w:val="24"/>
        </w:rPr>
        <w:t>Furthermore</w:t>
      </w:r>
      <w:r w:rsidR="00AD7F4A" w:rsidRPr="00DA020D">
        <w:rPr>
          <w:rFonts w:ascii="Times New Roman" w:hAnsi="Times New Roman" w:cs="Times New Roman"/>
          <w:noProof/>
          <w:sz w:val="24"/>
          <w:szCs w:val="24"/>
        </w:rPr>
        <w:t xml:space="preserve">, its </w:t>
      </w:r>
      <w:r w:rsidR="001A155F">
        <w:rPr>
          <w:rFonts w:ascii="Times New Roman" w:hAnsi="Times New Roman" w:cs="Times New Roman"/>
          <w:noProof/>
          <w:sz w:val="24"/>
          <w:szCs w:val="24"/>
        </w:rPr>
        <w:t xml:space="preserve">concurrent </w:t>
      </w:r>
      <w:r w:rsidR="00AD7F4A" w:rsidRPr="00DA020D">
        <w:rPr>
          <w:rFonts w:ascii="Times New Roman" w:hAnsi="Times New Roman" w:cs="Times New Roman"/>
          <w:noProof/>
          <w:sz w:val="24"/>
          <w:szCs w:val="24"/>
        </w:rPr>
        <w:t xml:space="preserve">validity against accepted </w:t>
      </w:r>
      <w:r w:rsidR="00A07894">
        <w:rPr>
          <w:rFonts w:ascii="Times New Roman" w:hAnsi="Times New Roman" w:cs="Times New Roman"/>
          <w:noProof/>
          <w:sz w:val="24"/>
          <w:szCs w:val="24"/>
        </w:rPr>
        <w:t>“</w:t>
      </w:r>
      <w:r w:rsidR="00AD7F4A" w:rsidRPr="00DA020D">
        <w:rPr>
          <w:rFonts w:ascii="Times New Roman" w:hAnsi="Times New Roman" w:cs="Times New Roman"/>
          <w:noProof/>
          <w:sz w:val="24"/>
          <w:szCs w:val="24"/>
        </w:rPr>
        <w:t>refe</w:t>
      </w:r>
      <w:r w:rsidR="00FA0552">
        <w:rPr>
          <w:rFonts w:ascii="Times New Roman" w:hAnsi="Times New Roman" w:cs="Times New Roman"/>
          <w:noProof/>
          <w:sz w:val="24"/>
          <w:szCs w:val="24"/>
        </w:rPr>
        <w:t>r</w:t>
      </w:r>
      <w:r w:rsidR="00AD7F4A" w:rsidRPr="00DA020D">
        <w:rPr>
          <w:rFonts w:ascii="Times New Roman" w:hAnsi="Times New Roman" w:cs="Times New Roman"/>
          <w:noProof/>
          <w:sz w:val="24"/>
          <w:szCs w:val="24"/>
        </w:rPr>
        <w:t>ence</w:t>
      </w:r>
      <w:r w:rsidR="00A07894">
        <w:rPr>
          <w:rFonts w:ascii="Times New Roman" w:hAnsi="Times New Roman" w:cs="Times New Roman"/>
          <w:noProof/>
          <w:sz w:val="24"/>
          <w:szCs w:val="24"/>
        </w:rPr>
        <w:t>”</w:t>
      </w:r>
      <w:r w:rsidR="00AD7F4A" w:rsidRPr="00DA020D">
        <w:rPr>
          <w:rFonts w:ascii="Times New Roman" w:hAnsi="Times New Roman" w:cs="Times New Roman"/>
          <w:noProof/>
          <w:sz w:val="24"/>
          <w:szCs w:val="24"/>
        </w:rPr>
        <w:t xml:space="preserve"> standards for </w:t>
      </w:r>
      <w:r w:rsidR="00A07894">
        <w:rPr>
          <w:rFonts w:ascii="Times New Roman" w:hAnsi="Times New Roman" w:cs="Times New Roman"/>
          <w:noProof/>
          <w:sz w:val="24"/>
          <w:szCs w:val="24"/>
        </w:rPr>
        <w:t>MSK pain</w:t>
      </w:r>
      <w:r w:rsidR="00AD7F4A" w:rsidRPr="00DA020D">
        <w:rPr>
          <w:rFonts w:ascii="Times New Roman" w:hAnsi="Times New Roman" w:cs="Times New Roman"/>
          <w:noProof/>
          <w:sz w:val="24"/>
          <w:szCs w:val="24"/>
        </w:rPr>
        <w:t xml:space="preserve"> has not been </w:t>
      </w:r>
      <w:r w:rsidR="00F74A27" w:rsidRPr="00DA020D">
        <w:rPr>
          <w:rFonts w:ascii="Times New Roman" w:hAnsi="Times New Roman" w:cs="Times New Roman"/>
          <w:noProof/>
          <w:sz w:val="24"/>
          <w:szCs w:val="24"/>
        </w:rPr>
        <w:t>assessed</w:t>
      </w:r>
      <w:r w:rsidR="00E55041" w:rsidRPr="00DA020D">
        <w:rPr>
          <w:rFonts w:ascii="Times New Roman" w:hAnsi="Times New Roman" w:cs="Times New Roman"/>
          <w:noProof/>
          <w:sz w:val="24"/>
          <w:szCs w:val="24"/>
        </w:rPr>
        <w:t xml:space="preserve">. </w:t>
      </w:r>
      <w:r w:rsidR="00F74A27" w:rsidRPr="00DA020D">
        <w:rPr>
          <w:rFonts w:ascii="Times New Roman" w:hAnsi="Times New Roman" w:cs="Times New Roman"/>
          <w:noProof/>
          <w:sz w:val="24"/>
          <w:szCs w:val="24"/>
        </w:rPr>
        <w:t>Evaluating</w:t>
      </w:r>
      <w:r w:rsidR="00AD7F4A" w:rsidRPr="00DA020D">
        <w:rPr>
          <w:rFonts w:ascii="Times New Roman" w:hAnsi="Times New Roman" w:cs="Times New Roman"/>
          <w:noProof/>
          <w:sz w:val="24"/>
          <w:szCs w:val="24"/>
        </w:rPr>
        <w:t xml:space="preserve"> </w:t>
      </w:r>
      <w:r w:rsidR="009A001B" w:rsidRPr="00DA020D">
        <w:rPr>
          <w:rFonts w:ascii="Times New Roman" w:hAnsi="Times New Roman" w:cs="Times New Roman"/>
          <w:noProof/>
          <w:sz w:val="24"/>
          <w:szCs w:val="24"/>
        </w:rPr>
        <w:t xml:space="preserve">these issues </w:t>
      </w:r>
      <w:r w:rsidR="00AD7F4A" w:rsidRPr="00DA020D">
        <w:rPr>
          <w:rFonts w:ascii="Times New Roman" w:hAnsi="Times New Roman" w:cs="Times New Roman"/>
          <w:noProof/>
          <w:sz w:val="24"/>
          <w:szCs w:val="24"/>
        </w:rPr>
        <w:t xml:space="preserve">prior to more widespread </w:t>
      </w:r>
      <w:r>
        <w:rPr>
          <w:rFonts w:ascii="Times New Roman" w:hAnsi="Times New Roman" w:cs="Times New Roman"/>
          <w:noProof/>
          <w:sz w:val="24"/>
          <w:szCs w:val="24"/>
        </w:rPr>
        <w:t>use of the MSK-HQ</w:t>
      </w:r>
      <w:r w:rsidRPr="00DA020D">
        <w:rPr>
          <w:rFonts w:ascii="Times New Roman" w:hAnsi="Times New Roman" w:cs="Times New Roman"/>
          <w:noProof/>
          <w:sz w:val="24"/>
          <w:szCs w:val="24"/>
        </w:rPr>
        <w:t xml:space="preserve"> </w:t>
      </w:r>
      <w:r w:rsidR="003A71FC">
        <w:rPr>
          <w:rFonts w:ascii="Times New Roman" w:hAnsi="Times New Roman" w:cs="Times New Roman"/>
          <w:noProof/>
          <w:sz w:val="24"/>
          <w:szCs w:val="24"/>
        </w:rPr>
        <w:t xml:space="preserve">is </w:t>
      </w:r>
      <w:r>
        <w:rPr>
          <w:rFonts w:ascii="Times New Roman" w:hAnsi="Times New Roman" w:cs="Times New Roman"/>
          <w:noProof/>
          <w:sz w:val="24"/>
          <w:szCs w:val="24"/>
        </w:rPr>
        <w:t>needed</w:t>
      </w:r>
      <w:r w:rsidR="00AD7F4A" w:rsidRPr="00DA020D">
        <w:rPr>
          <w:rFonts w:ascii="Times New Roman" w:hAnsi="Times New Roman" w:cs="Times New Roman"/>
          <w:noProof/>
          <w:sz w:val="24"/>
          <w:szCs w:val="24"/>
        </w:rPr>
        <w:t>.</w:t>
      </w:r>
    </w:p>
    <w:p w14:paraId="30A29D0E" w14:textId="77777777" w:rsidR="002845F0" w:rsidRDefault="002845F0" w:rsidP="00046B2F">
      <w:pPr>
        <w:pStyle w:val="NoSpacing"/>
        <w:spacing w:line="480" w:lineRule="auto"/>
        <w:jc w:val="both"/>
        <w:rPr>
          <w:rFonts w:ascii="Times New Roman" w:hAnsi="Times New Roman" w:cs="Times New Roman"/>
          <w:noProof/>
          <w:sz w:val="24"/>
          <w:szCs w:val="24"/>
        </w:rPr>
      </w:pPr>
    </w:p>
    <w:p w14:paraId="16C9D974" w14:textId="46ECFF03" w:rsidR="00946A08" w:rsidRPr="00DA020D" w:rsidRDefault="00612BAA" w:rsidP="00046B2F">
      <w:pPr>
        <w:pStyle w:val="NoSpacing"/>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We address</w:t>
      </w:r>
      <w:r w:rsidR="002845F0">
        <w:rPr>
          <w:rFonts w:ascii="Times New Roman" w:hAnsi="Times New Roman" w:cs="Times New Roman"/>
          <w:noProof/>
          <w:sz w:val="24"/>
          <w:szCs w:val="24"/>
        </w:rPr>
        <w:t>ed</w:t>
      </w:r>
      <w:r>
        <w:rPr>
          <w:rFonts w:ascii="Times New Roman" w:hAnsi="Times New Roman" w:cs="Times New Roman"/>
          <w:noProof/>
          <w:sz w:val="24"/>
          <w:szCs w:val="24"/>
        </w:rPr>
        <w:t xml:space="preserve"> </w:t>
      </w:r>
      <w:r w:rsidR="00505E88">
        <w:rPr>
          <w:rFonts w:ascii="Times New Roman" w:hAnsi="Times New Roman" w:cs="Times New Roman"/>
          <w:noProof/>
          <w:sz w:val="24"/>
          <w:szCs w:val="24"/>
        </w:rPr>
        <w:t xml:space="preserve">these knowledge gaps, </w:t>
      </w:r>
      <w:r>
        <w:rPr>
          <w:rFonts w:ascii="Times New Roman" w:hAnsi="Times New Roman" w:cs="Times New Roman"/>
          <w:noProof/>
          <w:sz w:val="24"/>
          <w:szCs w:val="24"/>
        </w:rPr>
        <w:t>through secondary analysi</w:t>
      </w:r>
      <w:r w:rsidR="00E55041" w:rsidRPr="00DA020D">
        <w:rPr>
          <w:rFonts w:ascii="Times New Roman" w:hAnsi="Times New Roman" w:cs="Times New Roman"/>
          <w:noProof/>
          <w:sz w:val="24"/>
          <w:szCs w:val="24"/>
        </w:rPr>
        <w:t xml:space="preserve">s </w:t>
      </w:r>
      <w:r w:rsidR="0052612A" w:rsidRPr="00DA020D">
        <w:rPr>
          <w:rFonts w:ascii="Times New Roman" w:hAnsi="Times New Roman" w:cs="Times New Roman"/>
          <w:noProof/>
          <w:sz w:val="24"/>
          <w:szCs w:val="24"/>
        </w:rPr>
        <w:t>of</w:t>
      </w:r>
      <w:r w:rsidR="00F74A27" w:rsidRPr="00DA020D">
        <w:rPr>
          <w:rFonts w:ascii="Times New Roman" w:hAnsi="Times New Roman" w:cs="Times New Roman"/>
          <w:noProof/>
          <w:sz w:val="24"/>
          <w:szCs w:val="24"/>
        </w:rPr>
        <w:t xml:space="preserve"> </w:t>
      </w:r>
      <w:r w:rsidR="00AD7F4A" w:rsidRPr="00DA020D">
        <w:rPr>
          <w:rFonts w:ascii="Times New Roman" w:hAnsi="Times New Roman" w:cs="Times New Roman"/>
          <w:noProof/>
          <w:sz w:val="24"/>
          <w:szCs w:val="24"/>
        </w:rPr>
        <w:t>the</w:t>
      </w:r>
      <w:r w:rsidR="0052612A" w:rsidRPr="00DA020D">
        <w:rPr>
          <w:rFonts w:ascii="Times New Roman" w:hAnsi="Times New Roman" w:cs="Times New Roman"/>
          <w:noProof/>
          <w:sz w:val="24"/>
          <w:szCs w:val="24"/>
        </w:rPr>
        <w:t xml:space="preserve"> STarT MSK </w:t>
      </w:r>
      <w:r w:rsidR="00843108">
        <w:rPr>
          <w:rFonts w:ascii="Times New Roman" w:hAnsi="Times New Roman" w:cs="Times New Roman"/>
          <w:noProof/>
          <w:sz w:val="24"/>
          <w:szCs w:val="24"/>
        </w:rPr>
        <w:t>p</w:t>
      </w:r>
      <w:r w:rsidR="00843108" w:rsidRPr="00DA020D">
        <w:rPr>
          <w:rFonts w:ascii="Times New Roman" w:hAnsi="Times New Roman" w:cs="Times New Roman"/>
          <w:noProof/>
          <w:sz w:val="24"/>
          <w:szCs w:val="24"/>
        </w:rPr>
        <w:t xml:space="preserve">ilot </w:t>
      </w:r>
      <w:r w:rsidR="00843108">
        <w:rPr>
          <w:rFonts w:ascii="Times New Roman" w:hAnsi="Times New Roman" w:cs="Times New Roman"/>
          <w:noProof/>
          <w:sz w:val="24"/>
          <w:szCs w:val="24"/>
        </w:rPr>
        <w:t>randomised t</w:t>
      </w:r>
      <w:r w:rsidR="00843108" w:rsidRPr="00DA020D">
        <w:rPr>
          <w:rFonts w:ascii="Times New Roman" w:hAnsi="Times New Roman" w:cs="Times New Roman"/>
          <w:noProof/>
          <w:sz w:val="24"/>
          <w:szCs w:val="24"/>
        </w:rPr>
        <w:t>rial</w:t>
      </w:r>
      <w:r w:rsidR="0052612A" w:rsidRPr="00DA020D">
        <w:rPr>
          <w:rFonts w:ascii="Times New Roman" w:hAnsi="Times New Roman" w:cs="Times New Roman"/>
          <w:noProof/>
          <w:sz w:val="24"/>
          <w:szCs w:val="24"/>
        </w:rPr>
        <w:t xml:space="preserve">, </w:t>
      </w:r>
      <w:r w:rsidR="003A71FC">
        <w:rPr>
          <w:rFonts w:ascii="Times New Roman" w:hAnsi="Times New Roman" w:cs="Times New Roman"/>
          <w:noProof/>
          <w:sz w:val="24"/>
          <w:szCs w:val="24"/>
        </w:rPr>
        <w:t xml:space="preserve">enrolling </w:t>
      </w:r>
      <w:r w:rsidR="00AD7F4A" w:rsidRPr="00DA020D">
        <w:rPr>
          <w:rFonts w:ascii="Times New Roman" w:hAnsi="Times New Roman" w:cs="Times New Roman"/>
          <w:noProof/>
          <w:sz w:val="24"/>
          <w:szCs w:val="24"/>
        </w:rPr>
        <w:t>524 patients</w:t>
      </w:r>
      <w:r w:rsidR="00046B2F" w:rsidRPr="00DA020D">
        <w:rPr>
          <w:rFonts w:ascii="Times New Roman" w:hAnsi="Times New Roman" w:cs="Times New Roman"/>
          <w:noProof/>
          <w:sz w:val="24"/>
          <w:szCs w:val="24"/>
        </w:rPr>
        <w:t xml:space="preserve"> </w:t>
      </w:r>
      <w:r w:rsidR="00843108">
        <w:rPr>
          <w:rFonts w:ascii="Times New Roman" w:hAnsi="Times New Roman" w:cs="Times New Roman"/>
          <w:noProof/>
          <w:sz w:val="24"/>
          <w:szCs w:val="24"/>
        </w:rPr>
        <w:t>consulting with</w:t>
      </w:r>
      <w:r w:rsidR="00843108" w:rsidRPr="00DA020D">
        <w:rPr>
          <w:rFonts w:ascii="Times New Roman" w:hAnsi="Times New Roman" w:cs="Times New Roman"/>
          <w:noProof/>
          <w:sz w:val="24"/>
          <w:szCs w:val="24"/>
        </w:rPr>
        <w:t xml:space="preserve"> </w:t>
      </w:r>
      <w:r w:rsidR="003A71FC">
        <w:rPr>
          <w:rFonts w:ascii="Times New Roman" w:hAnsi="Times New Roman" w:cs="Times New Roman"/>
          <w:noProof/>
          <w:sz w:val="24"/>
          <w:szCs w:val="24"/>
        </w:rPr>
        <w:t xml:space="preserve">one of the five commonest MSK pain presentations (low back, neck, shoulder, knee, and multi-site pain) </w:t>
      </w:r>
      <w:r w:rsidR="00843108">
        <w:rPr>
          <w:rFonts w:ascii="Times New Roman" w:hAnsi="Times New Roman" w:cs="Times New Roman"/>
          <w:noProof/>
          <w:sz w:val="24"/>
          <w:szCs w:val="24"/>
        </w:rPr>
        <w:t>in</w:t>
      </w:r>
      <w:r w:rsidR="00C10E71" w:rsidRPr="00DA020D">
        <w:rPr>
          <w:rFonts w:ascii="Times New Roman" w:hAnsi="Times New Roman" w:cs="Times New Roman"/>
          <w:noProof/>
          <w:sz w:val="24"/>
          <w:szCs w:val="24"/>
        </w:rPr>
        <w:t xml:space="preserve"> 8</w:t>
      </w:r>
      <w:r w:rsidR="00046B2F" w:rsidRPr="00DA020D">
        <w:rPr>
          <w:rFonts w:ascii="Times New Roman" w:hAnsi="Times New Roman" w:cs="Times New Roman"/>
          <w:noProof/>
          <w:sz w:val="24"/>
          <w:szCs w:val="24"/>
        </w:rPr>
        <w:t xml:space="preserve"> </w:t>
      </w:r>
      <w:r w:rsidR="00843108">
        <w:rPr>
          <w:rFonts w:ascii="Times New Roman" w:hAnsi="Times New Roman" w:cs="Times New Roman"/>
          <w:noProof/>
          <w:sz w:val="24"/>
          <w:szCs w:val="24"/>
        </w:rPr>
        <w:t xml:space="preserve">general practices </w:t>
      </w:r>
      <w:r w:rsidR="00FF159B">
        <w:rPr>
          <w:rFonts w:ascii="Times New Roman" w:hAnsi="Times New Roman" w:cs="Times New Roman"/>
          <w:noProof/>
          <w:sz w:val="24"/>
          <w:szCs w:val="24"/>
        </w:rPr>
        <w:fldChar w:fldCharType="begin" w:fldLock="1"/>
      </w:r>
      <w:r w:rsidR="00FF159B">
        <w:rPr>
          <w:rFonts w:ascii="Times New Roman" w:hAnsi="Times New Roman" w:cs="Times New Roman"/>
          <w:noProof/>
          <w:sz w:val="24"/>
          <w:szCs w:val="24"/>
        </w:rPr>
        <w:instrText>ADDIN CSL_CITATION {"citationItems":[{"id":"ITEM-1","itemData":{"author":[{"dropping-particle":"","family":"Hill","given":"J.C.","non-dropping-particle":"","parse-names":false,"suffix":""},{"dropping-particle":"","family":"Garvin","given":"S.","non-dropping-particle":"","parse-names":false,"suffix":""},{"dropping-particle":"","family":"Chen","given":"Y.","non-dropping-particle":"","parse-names":false,"suffix":""},{"dropping-particle":"","family":"Cooper","given":"V.","non-dropping-particle":"","parse-names":false,"suffix":""},{"dropping-particle":"","family":"Wathall","given":"S.","non-dropping-particle":"","parse-names":false,"suffix":""},{"dropping-particle":"","family":"Saunders","given":"B.","non-dropping-particle":"","parse-names":false,"suffix":""},{"dropping-particle":"","family":"Lewis","given":"M.","non-dropping-particle":"","parse-names":false,"suffix":""},{"dropping-particle":"","family":"Protheroe","given":"J.","non-dropping-particle":"","parse-names":false,"suffix":""},{"dropping-particle":"","family":"Chudyk","given":"A.","non-dropping-particle":"","parse-names":false,"suffix":""},{"dropping-particle":"","family":"Dunn","given":"K.M.","non-dropping-particle":"","parse-names":false,"suffix":""},{"dropping-particle":"","family":"Hay","given":"E.","non-dropping-particle":"","parse-names":false,"suffix":""},{"dropping-particle":"","family":"Windt","given":"D.","non-dropping-particle":"van der","parse-names":false,"suffix":""},{"dropping-particle":"","family":"CM","given":"Mallen","non-dropping-particle":"","parse-names":false,"suffix":""},{"dropping-particle":"","family":"Foster","given":"N.E.","non-dropping-particle":"","parse-names":false,"suffix":""}],"container-title":"BMC family practice","id":"ITEM-1","issued":{"date-parts":[["0"]]},"title":"Stratified primary care versus non-stratified care for musculoskeletal pain: findings from the STarT MSK feasibility and pilot cluster randomized controlled trial","type":"article-journal"},"uris":["http://www.mendeley.com/documents/?uuid=5307bbce-94c9-48a8-9118-3d2d86945be3"]}],"mendeley":{"formattedCitation":"(8)","plainTextFormattedCitation":"(8)","previouslyFormattedCitation":"(8)"},"properties":{"noteIndex":0},"schema":"https://github.com/citation-style-language/schema/raw/master/csl-citation.json"}</w:instrText>
      </w:r>
      <w:r w:rsidR="00FF159B">
        <w:rPr>
          <w:rFonts w:ascii="Times New Roman" w:hAnsi="Times New Roman" w:cs="Times New Roman"/>
          <w:noProof/>
          <w:sz w:val="24"/>
          <w:szCs w:val="24"/>
        </w:rPr>
        <w:fldChar w:fldCharType="separate"/>
      </w:r>
      <w:r w:rsidR="00FF159B" w:rsidRPr="00FF159B">
        <w:rPr>
          <w:rFonts w:ascii="Times New Roman" w:hAnsi="Times New Roman" w:cs="Times New Roman"/>
          <w:noProof/>
          <w:sz w:val="24"/>
          <w:szCs w:val="24"/>
        </w:rPr>
        <w:t>(8)</w:t>
      </w:r>
      <w:r w:rsidR="00FF159B">
        <w:rPr>
          <w:rFonts w:ascii="Times New Roman" w:hAnsi="Times New Roman" w:cs="Times New Roman"/>
          <w:noProof/>
          <w:sz w:val="24"/>
          <w:szCs w:val="24"/>
        </w:rPr>
        <w:fldChar w:fldCharType="end"/>
      </w:r>
      <w:r w:rsidR="00AD7F4A" w:rsidRPr="00DA020D">
        <w:rPr>
          <w:rFonts w:ascii="Times New Roman" w:hAnsi="Times New Roman" w:cs="Times New Roman"/>
          <w:noProof/>
          <w:sz w:val="24"/>
          <w:szCs w:val="24"/>
        </w:rPr>
        <w:t>.</w:t>
      </w:r>
      <w:r w:rsidR="00046B2F" w:rsidRPr="00DA020D">
        <w:rPr>
          <w:rFonts w:ascii="Times New Roman" w:hAnsi="Times New Roman" w:cs="Times New Roman"/>
          <w:noProof/>
          <w:sz w:val="24"/>
          <w:szCs w:val="24"/>
        </w:rPr>
        <w:t xml:space="preserve"> </w:t>
      </w:r>
      <w:r w:rsidR="00A07894">
        <w:rPr>
          <w:rFonts w:ascii="Times New Roman" w:hAnsi="Times New Roman" w:cs="Times New Roman"/>
          <w:noProof/>
          <w:sz w:val="24"/>
          <w:szCs w:val="24"/>
        </w:rPr>
        <w:t xml:space="preserve">We </w:t>
      </w:r>
      <w:r w:rsidR="00046B2F" w:rsidRPr="00DA020D">
        <w:rPr>
          <w:rFonts w:ascii="Times New Roman" w:hAnsi="Times New Roman" w:cs="Times New Roman"/>
          <w:noProof/>
          <w:sz w:val="24"/>
          <w:szCs w:val="24"/>
        </w:rPr>
        <w:t>evaluate</w:t>
      </w:r>
      <w:r w:rsidR="00615F08">
        <w:rPr>
          <w:rFonts w:ascii="Times New Roman" w:hAnsi="Times New Roman" w:cs="Times New Roman"/>
          <w:noProof/>
          <w:sz w:val="24"/>
          <w:szCs w:val="24"/>
        </w:rPr>
        <w:t>d</w:t>
      </w:r>
      <w:r w:rsidR="00046B2F" w:rsidRPr="00DA020D">
        <w:rPr>
          <w:rFonts w:ascii="Times New Roman" w:hAnsi="Times New Roman" w:cs="Times New Roman"/>
          <w:noProof/>
          <w:sz w:val="24"/>
          <w:szCs w:val="24"/>
        </w:rPr>
        <w:t xml:space="preserve"> the </w:t>
      </w:r>
      <w:r w:rsidR="00AD7F4A" w:rsidRPr="00DA020D">
        <w:rPr>
          <w:rFonts w:ascii="Times New Roman" w:hAnsi="Times New Roman" w:cs="Times New Roman"/>
          <w:noProof/>
          <w:sz w:val="24"/>
          <w:szCs w:val="24"/>
        </w:rPr>
        <w:t>MSK-HQ’s responsiveness (</w:t>
      </w:r>
      <w:r w:rsidR="009D4391">
        <w:rPr>
          <w:rFonts w:ascii="Times New Roman" w:hAnsi="Times New Roman" w:cs="Times New Roman"/>
          <w:noProof/>
          <w:sz w:val="24"/>
          <w:szCs w:val="24"/>
        </w:rPr>
        <w:t>extent to which</w:t>
      </w:r>
      <w:r w:rsidR="009D4391" w:rsidRPr="00DA020D">
        <w:rPr>
          <w:rFonts w:ascii="Times New Roman" w:hAnsi="Times New Roman" w:cs="Times New Roman"/>
          <w:noProof/>
          <w:sz w:val="24"/>
          <w:szCs w:val="24"/>
        </w:rPr>
        <w:t xml:space="preserve"> </w:t>
      </w:r>
      <w:r w:rsidR="00AD7F4A" w:rsidRPr="00DA020D">
        <w:rPr>
          <w:rFonts w:ascii="Times New Roman" w:hAnsi="Times New Roman" w:cs="Times New Roman"/>
          <w:noProof/>
          <w:sz w:val="24"/>
          <w:szCs w:val="24"/>
        </w:rPr>
        <w:t>it detects changes over time that matter to patients</w:t>
      </w:r>
      <w:r w:rsidR="00EB2CC9">
        <w:rPr>
          <w:rFonts w:ascii="Times New Roman" w:hAnsi="Times New Roman" w:cs="Times New Roman"/>
          <w:noProof/>
          <w:sz w:val="24"/>
          <w:szCs w:val="24"/>
        </w:rPr>
        <w:t xml:space="preserve"> </w:t>
      </w:r>
      <w:r w:rsidR="00FF159B">
        <w:rPr>
          <w:rFonts w:ascii="Times New Roman" w:hAnsi="Times New Roman" w:cs="Times New Roman"/>
          <w:noProof/>
          <w:sz w:val="24"/>
          <w:szCs w:val="24"/>
        </w:rPr>
        <w:fldChar w:fldCharType="begin" w:fldLock="1"/>
      </w:r>
      <w:r w:rsidR="00FF159B">
        <w:rPr>
          <w:rFonts w:ascii="Times New Roman" w:hAnsi="Times New Roman" w:cs="Times New Roman"/>
          <w:noProof/>
          <w:sz w:val="24"/>
          <w:szCs w:val="24"/>
        </w:rPr>
        <w:instrText>ADDIN CSL_CITATION {"citationItems":[{"id":"ITEM-1","itemData":{"ISSN":"1366-5278","author":[{"dropping-particle":"","family":"Fitzpatrick","given":"R","non-dropping-particle":"","parse-names":false,"suffix":""},{"dropping-particle":"","family":"Davey","given":"C","non-dropping-particle":"","parse-names":false,"suffix":""},{"dropping-particle":"","family":"Buxton","given":"M J","non-dropping-particle":"","parse-names":false,"suffix":""},{"dropping-particle":"","family":"Jones","given":"D R","non-dropping-particle":"","parse-names":false,"suffix":""}],"container-title":"Health technology assessment (Winchester, England)","id":"ITEM-1","issue":"14","issued":{"date-parts":[["1998"]]},"page":"i-74","publisher-place":"England","title":"Evaluating patient-based outcome measures for use in clinical trials.","type":"article-journal","volume":"2"},"uris":["http://www.mendeley.com/documents/?uuid=0a2f3012-b659-4ca8-a0ec-820006f5df3a"]}],"mendeley":{"formattedCitation":"(9)","plainTextFormattedCitation":"(9)","previouslyFormattedCitation":"(9)"},"properties":{"noteIndex":0},"schema":"https://github.com/citation-style-language/schema/raw/master/csl-citation.json"}</w:instrText>
      </w:r>
      <w:r w:rsidR="00FF159B">
        <w:rPr>
          <w:rFonts w:ascii="Times New Roman" w:hAnsi="Times New Roman" w:cs="Times New Roman"/>
          <w:noProof/>
          <w:sz w:val="24"/>
          <w:szCs w:val="24"/>
        </w:rPr>
        <w:fldChar w:fldCharType="separate"/>
      </w:r>
      <w:r w:rsidR="00FF159B" w:rsidRPr="00FF159B">
        <w:rPr>
          <w:rFonts w:ascii="Times New Roman" w:hAnsi="Times New Roman" w:cs="Times New Roman"/>
          <w:noProof/>
          <w:sz w:val="24"/>
          <w:szCs w:val="24"/>
        </w:rPr>
        <w:t>(9)</w:t>
      </w:r>
      <w:r w:rsidR="00FF159B">
        <w:rPr>
          <w:rFonts w:ascii="Times New Roman" w:hAnsi="Times New Roman" w:cs="Times New Roman"/>
          <w:noProof/>
          <w:sz w:val="24"/>
          <w:szCs w:val="24"/>
        </w:rPr>
        <w:fldChar w:fldCharType="end"/>
      </w:r>
      <w:r w:rsidR="00AD7F4A" w:rsidRPr="00DA020D">
        <w:rPr>
          <w:rFonts w:ascii="Times New Roman" w:hAnsi="Times New Roman" w:cs="Times New Roman"/>
          <w:noProof/>
          <w:sz w:val="24"/>
          <w:szCs w:val="24"/>
        </w:rPr>
        <w:t>)</w:t>
      </w:r>
      <w:r w:rsidR="00FA0552">
        <w:rPr>
          <w:rFonts w:ascii="Times New Roman" w:hAnsi="Times New Roman" w:cs="Times New Roman"/>
          <w:noProof/>
          <w:sz w:val="24"/>
          <w:szCs w:val="24"/>
        </w:rPr>
        <w:t xml:space="preserve"> using patients</w:t>
      </w:r>
      <w:r w:rsidR="00A07894">
        <w:rPr>
          <w:rFonts w:ascii="Times New Roman" w:hAnsi="Times New Roman" w:cs="Times New Roman"/>
          <w:noProof/>
          <w:sz w:val="24"/>
          <w:szCs w:val="24"/>
        </w:rPr>
        <w:t>’</w:t>
      </w:r>
      <w:r w:rsidR="00FA0552">
        <w:rPr>
          <w:rFonts w:ascii="Times New Roman" w:hAnsi="Times New Roman" w:cs="Times New Roman"/>
          <w:noProof/>
          <w:sz w:val="24"/>
          <w:szCs w:val="24"/>
        </w:rPr>
        <w:t xml:space="preserve"> own global assessment</w:t>
      </w:r>
      <w:r w:rsidR="002845F0">
        <w:rPr>
          <w:rFonts w:ascii="Times New Roman" w:hAnsi="Times New Roman" w:cs="Times New Roman"/>
          <w:noProof/>
          <w:sz w:val="24"/>
          <w:szCs w:val="24"/>
        </w:rPr>
        <w:t>s</w:t>
      </w:r>
      <w:r w:rsidR="00FA0552">
        <w:rPr>
          <w:rFonts w:ascii="Times New Roman" w:hAnsi="Times New Roman" w:cs="Times New Roman"/>
          <w:noProof/>
          <w:sz w:val="24"/>
          <w:szCs w:val="24"/>
        </w:rPr>
        <w:t xml:space="preserve"> of </w:t>
      </w:r>
      <w:r w:rsidR="003A71FC">
        <w:rPr>
          <w:rFonts w:ascii="Times New Roman" w:hAnsi="Times New Roman" w:cs="Times New Roman"/>
          <w:noProof/>
          <w:sz w:val="24"/>
          <w:szCs w:val="24"/>
        </w:rPr>
        <w:t xml:space="preserve">changes in their </w:t>
      </w:r>
      <w:r w:rsidR="00E056C3">
        <w:rPr>
          <w:rFonts w:ascii="Times New Roman" w:hAnsi="Times New Roman" w:cs="Times New Roman"/>
          <w:noProof/>
          <w:sz w:val="24"/>
          <w:szCs w:val="24"/>
        </w:rPr>
        <w:t xml:space="preserve">MSK </w:t>
      </w:r>
      <w:r w:rsidR="00BC6553">
        <w:rPr>
          <w:rFonts w:ascii="Times New Roman" w:hAnsi="Times New Roman" w:cs="Times New Roman"/>
          <w:noProof/>
          <w:sz w:val="24"/>
          <w:szCs w:val="24"/>
        </w:rPr>
        <w:t>condition</w:t>
      </w:r>
      <w:r w:rsidR="00615F08">
        <w:rPr>
          <w:rFonts w:ascii="Times New Roman" w:hAnsi="Times New Roman" w:cs="Times New Roman"/>
          <w:noProof/>
          <w:sz w:val="24"/>
          <w:szCs w:val="24"/>
        </w:rPr>
        <w:t xml:space="preserve"> as the reference criterion. This is a </w:t>
      </w:r>
      <w:r w:rsidR="002845F0">
        <w:rPr>
          <w:rFonts w:ascii="Times New Roman" w:hAnsi="Times New Roman" w:cs="Times New Roman"/>
          <w:noProof/>
          <w:sz w:val="24"/>
          <w:szCs w:val="24"/>
        </w:rPr>
        <w:t>widely-</w:t>
      </w:r>
      <w:r w:rsidR="0064403F">
        <w:rPr>
          <w:rFonts w:ascii="Times New Roman" w:hAnsi="Times New Roman" w:cs="Times New Roman"/>
          <w:noProof/>
          <w:sz w:val="24"/>
          <w:szCs w:val="24"/>
        </w:rPr>
        <w:t xml:space="preserve">used approach </w:t>
      </w:r>
      <w:r w:rsidR="00941279">
        <w:rPr>
          <w:rFonts w:ascii="Times New Roman" w:hAnsi="Times New Roman" w:cs="Times New Roman"/>
          <w:noProof/>
          <w:sz w:val="24"/>
          <w:szCs w:val="24"/>
        </w:rPr>
        <w:t xml:space="preserve">in psychometric assessments of MSK outcome measures </w:t>
      </w:r>
      <w:r w:rsidR="00FF159B">
        <w:rPr>
          <w:rFonts w:ascii="Times New Roman" w:hAnsi="Times New Roman" w:cs="Times New Roman"/>
          <w:noProof/>
          <w:sz w:val="24"/>
          <w:szCs w:val="24"/>
        </w:rPr>
        <w:fldChar w:fldCharType="begin" w:fldLock="1"/>
      </w:r>
      <w:r w:rsidR="00FF159B">
        <w:rPr>
          <w:rFonts w:ascii="Times New Roman" w:hAnsi="Times New Roman" w:cs="Times New Roman"/>
          <w:noProof/>
          <w:sz w:val="24"/>
          <w:szCs w:val="24"/>
        </w:rPr>
        <w:instrText>ADDIN CSL_CITATION {"citationItems":[{"id":"ITEM-1","itemData":{"DOI":"10.1179/jmt.2009.17.3.163","ISSN":"2042-6186","abstract":"Most clinicians ask their patients to rate whether their health condition has improved or deteriorated over time and then use this information to guide management decisions. Many studies also use patient-rated change as an outcome measure to determine the efficacy of a particular treatment. Global rating of change (GRC) scales provide a method of obtaining this information in a manner that is quick, flexible, and efficient. As with any outcome measure, however, meaningful interpretation of results can only be undertaken with due consideration of the clinimetric properties, strengths, and weaknesses of the instrument. The purpose of this article is to summarize this information to assist appropriate interpretation of the GRC results and to provide evidence-informed advice to guide design and administration of GRC scales. These considerations are relevant and applicable to the use of GRC scales both in the clinic and in research.","author":[{"dropping-particle":"","family":"Kamper","given":"Steven J","non-dropping-particle":"","parse-names":false,"suffix":""},{"dropping-particle":"","family":"Maher","given":"Christopher G","non-dropping-particle":"","parse-names":false,"suffix":""},{"dropping-particle":"","family":"Mackay","given":"Grant","non-dropping-particle":"","parse-names":false,"suffix":""}],"container-title":"The Journal of manual &amp; manipulative therapy","id":"ITEM-1","issue":"3","issued":{"date-parts":[["2009"]]},"language":"eng","page":"163-170","publisher":"Journal of Manual &amp; Manipulative Therapy, Inc.","title":"Global rating of change scales: a review of strengths and weaknesses and considerations for design","type":"article-journal","volume":"17"},"uris":["http://www.mendeley.com/documents/?uuid=5a04e272-1fe5-41a3-8015-fb5fa9796987"]}],"mendeley":{"formattedCitation":"(10)","plainTextFormattedCitation":"(10)","previouslyFormattedCitation":"(10)"},"properties":{"noteIndex":0},"schema":"https://github.com/citation-style-language/schema/raw/master/csl-citation.json"}</w:instrText>
      </w:r>
      <w:r w:rsidR="00FF159B">
        <w:rPr>
          <w:rFonts w:ascii="Times New Roman" w:hAnsi="Times New Roman" w:cs="Times New Roman"/>
          <w:noProof/>
          <w:sz w:val="24"/>
          <w:szCs w:val="24"/>
        </w:rPr>
        <w:fldChar w:fldCharType="separate"/>
      </w:r>
      <w:r w:rsidR="00FF159B" w:rsidRPr="00FF159B">
        <w:rPr>
          <w:rFonts w:ascii="Times New Roman" w:hAnsi="Times New Roman" w:cs="Times New Roman"/>
          <w:noProof/>
          <w:sz w:val="24"/>
          <w:szCs w:val="24"/>
        </w:rPr>
        <w:t>(10)</w:t>
      </w:r>
      <w:r w:rsidR="00FF159B">
        <w:rPr>
          <w:rFonts w:ascii="Times New Roman" w:hAnsi="Times New Roman" w:cs="Times New Roman"/>
          <w:noProof/>
          <w:sz w:val="24"/>
          <w:szCs w:val="24"/>
        </w:rPr>
        <w:fldChar w:fldCharType="end"/>
      </w:r>
      <w:r w:rsidR="00A07894">
        <w:rPr>
          <w:rFonts w:ascii="Times New Roman" w:hAnsi="Times New Roman" w:cs="Times New Roman"/>
          <w:noProof/>
          <w:sz w:val="24"/>
          <w:szCs w:val="24"/>
        </w:rPr>
        <w:t xml:space="preserve">. We also evaluated its </w:t>
      </w:r>
      <w:r w:rsidR="00EB2CC9">
        <w:rPr>
          <w:rFonts w:ascii="Times New Roman" w:hAnsi="Times New Roman" w:cs="Times New Roman"/>
          <w:noProof/>
          <w:sz w:val="24"/>
          <w:szCs w:val="24"/>
        </w:rPr>
        <w:t>concurrent</w:t>
      </w:r>
      <w:r w:rsidR="00AD7F4A" w:rsidRPr="00DA020D">
        <w:rPr>
          <w:rFonts w:ascii="Times New Roman" w:hAnsi="Times New Roman" w:cs="Times New Roman"/>
          <w:noProof/>
          <w:sz w:val="24"/>
          <w:szCs w:val="24"/>
        </w:rPr>
        <w:t xml:space="preserve"> validity (</w:t>
      </w:r>
      <w:r w:rsidR="00EB2CC9">
        <w:rPr>
          <w:rFonts w:ascii="Times New Roman" w:hAnsi="Times New Roman" w:cs="Times New Roman"/>
          <w:noProof/>
          <w:sz w:val="24"/>
          <w:szCs w:val="24"/>
        </w:rPr>
        <w:t xml:space="preserve">extent to which it correlates with previously validated </w:t>
      </w:r>
      <w:r w:rsidR="00843108">
        <w:rPr>
          <w:rFonts w:ascii="Times New Roman" w:hAnsi="Times New Roman" w:cs="Times New Roman"/>
          <w:noProof/>
          <w:sz w:val="24"/>
          <w:szCs w:val="24"/>
        </w:rPr>
        <w:t xml:space="preserve">MSK </w:t>
      </w:r>
      <w:r w:rsidR="00941279">
        <w:rPr>
          <w:rFonts w:ascii="Times New Roman" w:hAnsi="Times New Roman" w:cs="Times New Roman"/>
          <w:noProof/>
          <w:sz w:val="24"/>
          <w:szCs w:val="24"/>
        </w:rPr>
        <w:t>site-specific reference measures</w:t>
      </w:r>
      <w:r w:rsidR="00A07894">
        <w:rPr>
          <w:rFonts w:ascii="Times New Roman" w:hAnsi="Times New Roman" w:cs="Times New Roman"/>
          <w:noProof/>
          <w:sz w:val="24"/>
          <w:szCs w:val="24"/>
        </w:rPr>
        <w:t>)</w:t>
      </w:r>
      <w:r w:rsidR="005A4E20" w:rsidRPr="005A4E20">
        <w:rPr>
          <w:rFonts w:ascii="Times New Roman" w:hAnsi="Times New Roman" w:cs="Times New Roman"/>
          <w:noProof/>
          <w:sz w:val="24"/>
          <w:szCs w:val="24"/>
        </w:rPr>
        <w:t xml:space="preserve"> </w:t>
      </w:r>
      <w:r w:rsidR="00FF159B">
        <w:rPr>
          <w:rFonts w:ascii="Times New Roman" w:hAnsi="Times New Roman" w:cs="Times New Roman"/>
          <w:noProof/>
          <w:sz w:val="24"/>
          <w:szCs w:val="24"/>
        </w:rPr>
        <w:fldChar w:fldCharType="begin" w:fldLock="1"/>
      </w:r>
      <w:r w:rsidR="00B6398C">
        <w:rPr>
          <w:rFonts w:ascii="Times New Roman" w:hAnsi="Times New Roman" w:cs="Times New Roman"/>
          <w:noProof/>
          <w:sz w:val="24"/>
          <w:szCs w:val="24"/>
        </w:rPr>
        <w:instrText>ADDIN CSL_CITATION {"citationItems":[{"id":"ITEM-1","itemData":{"ISSN":"0893-7524","abstract":"A shoulder pain and disability index (SPADI) was developed to measure the pain and disability associated with shoulder pathology. The SPADI is a self-administered index consisting of 13 items divided into two subscales: pain and disability. Thirty-seven male patients with shoulder pain were used in a study to examine the measurement characteristics of the SPADI. Test-retest reliability of the SPADI total and subscale scores ranged from 0.6377 to 0.6552. Internal consistency ranged from 0.8604 to 0.9507. SPADI total and subscale scores were highly negatively correlated with shoulder range of motion (ROM) supporting the criterion validity of the index. Principal components factor analysis with and without varimax rotation supported the construct validity of the total SPADI and its subscales. High negative correlations between changes in SPADI scores and changes in shoulder ROM indicated the SPADI detected changes in clinical status over short time intervals. The SPADI should prove useful for both clinical and research purposes.","author":[{"dropping-particle":"","family":"Roach","given":"K E","non-dropping-particle":"","parse-names":false,"suffix":""},{"dropping-particle":"","family":"Budiman-Mak","given":"E","non-dropping-particle":"","parse-names":false,"suffix":""},{"dropping-particle":"","family":"Songsiridej","given":"N","non-dropping-particle":"","parse-names":false,"suffix":""},{"dropping-particle":"","family":"Lertratanakul","given":"Y","non-dropping-particle":"","parse-names":false,"suffix":""}],"container-title":"Arthritis care and research : the official journal of the Arthritis Health Professions Association","id":"ITEM-1","issue":"4","issued":{"date-parts":[["1991"]]},"page":"143-149","publisher-place":"United States","title":"Development of a shoulder pain and disability index.","type":"article-journal","volume":"4"},"uris":["http://www.mendeley.com/documents/?uuid=da79c651-21c4-4ef4-940e-6440b849e995"]},{"id":"ITEM-2","itemData":{"DOI":"10.1097/00007632-200012150-00006","ISSN":"0362-2436","author":[{"dropping-particle":"","family":"Roland","given":"M","non-dropping-particle":"","parse-names":false,"suffix":""},{"dropping-particle":"","family":"Fairbank","given":"J","non-dropping-particle":"","parse-names":false,"suffix":""}],"container-title":"Spine","id":"ITEM-2","issue":"24","issued":{"date-parts":[["2000","12"]]},"page":"3115—3124","title":"The Roland-Morris Disability Questionnaire and the Oswestry Disability Questionnaire","type":"article-journal","volume":"25"},"uris":["http://www.mendeley.com/documents/?uuid=9afbe6db-d018-4941-9848-82480c82c8a1"]},{"id":"ITEM-3","itemData":{"ISSN":"0161-4754","abstract":"Injuries to the cervical spine, especially those involving the soft tissues, represent a significant source of chronic disability. Methods of assessment for such disability, especially those targeted at activities of daily living which are most affected by neck pain, are few in number. A modification of the Oswestry Low Back Pain Index was conducted producing a 10-item scaled questionnaire entitled the Neck Disability Index (NDI). Face validity was ensured through peer-review and patient feedback sessions. Test-retest reliability was conducted on an initial sample of 17 consecutive \"whiplash\"-injured patients in an outpatient clinic, resulting in good statistical significance (Pearson's r = 0.89, p less than or equal to .05). The alpha coefficients were calculated from a pool of questionnaires completed by 52 such subjects resulting in a total index alpha of 0.80, with all items having individual alpha scores above 0.75. Concurrent validity was assessed in two ways. First, on a smaller subset of 10 patients who completed a course of conservative care, the percentage of change on NDI scores before and after treatment was compared to visual analogue scale scores of percent of perceived improvement in activity levels. These scores correlated at 0.60. Secondly, in a larger subset of 30 subjects, NDI scores were compared to scores on the McGill Pain Questionnaire, with similar moderately high correlations (0.69-0.70). While the sample size of some of the analyses is somewhat small, this study demonstrated that the NDI achieved a high degree of reliability and internal consistency.(ABSTRACT TRUNCATED AT 250 WORDS)","author":[{"dropping-particle":"","family":"Vernon","given":"H","non-dropping-particle":"","parse-names":false,"suffix":""},{"dropping-particle":"","family":"Mior","given":"S","non-dropping-particle":"","parse-names":false,"suffix":""}],"collection-title":"[Erratum in: J Manipulative Physiol Ther 1992 Jan;15(1):followi]","container-title":"Journal of manipulative and physiological therapeutics","id":"ITEM-3","issue":"7","issued":{"date-parts":[["1991"]]},"note":"Erratum in (EIN)","page":"409-415","publisher-place":"United States","title":"The Neck Disability Index: a study of reliability and validity.","type":"article-journal","volume":"14"},"uris":["http://www.mendeley.com/documents/?uuid=cdfd0f1a-3d16-42b5-98a7-a720cb8f8b0d"]},{"id":"ITEM-4","itemData":{"URL":"http://www.koos.nu/koosfaq.html","accessed":{"date-parts":[["2019","5","26"]]},"id":"ITEM-4","issued":{"date-parts":[["0"]]},"title":"KOOS FAQs","type":"webpage"},"uris":["http://www.mendeley.com/documents/?uuid=ae3e8ad3-9cdf-44b2-ae0c-bbd16a1dd69c"]},{"id":"ITEM-5","itemData":{"DOI":"https://dx.doi.org/10.1097/BRS.0000000000002298","ISSN":"1528-1159","abstract":"STUDY DESIGN: Multicenter, prospective, cohort study., OBJECTIVE: To estimate the Minimal Clinically Important Difference (MCID) for the physical (PCS) and mental (MCS) component summaries of Short Form SF-12 (SF-12), in patients with low back pain (LBP)., SUMMARY OF BACKGROUND DATA: Quality of life is one of the core domains recommended to be assessed in patients with LBP. SF-12 is the most widely used instrument for this purpose, but its MCID was unknown., METHODS: A total of 458 patients with subacute and chronic LBP were consecutively recruited across 21 practices. LBP, referred pain, disability, PCS, and MCS were assessed upon recruitment and 12 months later. Self-reported health status change between baseline and 12 month-assessment, was used as the external criterion. The MCID for SF-12 was estimated following four anchor-based methods; minimal detectable change (MDC); average change (AC); change difference (CD); and receiver operating characteristic curve (ROC), for which the area under the curve (AUC) was calculated. The effect on MCID values of pain duration and baseline scores was assessed., RESULTS: Values for PCS were: MDC: 0.56, AC: 2.71, CD: 3.29, and ROC: 1.14. Values for MCS were: MDC: 3.77, AC: 3.54, CD: 1.13, and ROC: 4.23. AUC values were &lt;0.7; MCID values were smaller among chronic patients and those with better baseline quality of life., CONCLUSION: Different methods for MCID calculation lead to different results. In patients with subacute and chronic LBP, improvements &gt;3.77 in MCS and &gt;3.29 in PCS, can be considered clinically relevant. MCID is smaller in patients with longer pain duration and better baseline quality of life., LEVEL OF EVIDENCE: 2.","author":[{"dropping-particle":"","family":"Diaz-Arribas","given":"Maria J","non-dropping-particle":"","parse-names":false,"suffix":""},{"dropping-particle":"","family":"Fernandez-Serrano","given":"Monica","non-dropping-particle":"","parse-names":false,"suffix":""},{"dropping-particle":"","family":"Royuela","given":"Ana","non-dropping-particle":"","parse-names":false,"suffix":""},{"dropping-particle":"","family":"Kovacs","given":"Francisco M","non-dropping-particle":"","parse-names":false,"suffix":""},{"dropping-particle":"","family":"Gallego-Izquierdo","given":"Tomas","non-dropping-particle":"","parse-names":false,"suffix":""},{"dropping-particle":"","family":"Ramos-Sanchez","given":"Mabel","non-dropping-particle":"","parse-names":false,"suffix":""},{"dropping-particle":"","family":"Llorca-Palomera","given":"Rosa","non-dropping-particle":"","parse-names":false,"suffix":""},{"dropping-particle":"","family":"Pardo-Hervas","given":"Pedro","non-dropping-particle":"","parse-names":false,"suffix":""},{"dropping-particle":"","family":"Martin-Pariente","given":"Oscar S","non-dropping-particle":"","parse-names":false,"suffix":""}],"container-title":"Spine","id":"ITEM-5","issue":"24","issued":{"date-parts":[["2017"]]},"page":"1908-1916","publisher-place":"United States","title":"Minimal Clinically Important Difference in Quality of Life for Patients With Low Back Pain.","type":"article-journal","volume":"42"},"uris":["http://www.mendeley.com/documents/?uuid=1a50475c-fbd4-46ba-9334-57324e8dcde1"]}],"mendeley":{"formattedCitation":"(11–15)","plainTextFormattedCitation":"(11–15)","previouslyFormattedCitation":"(11–15)"},"properties":{"noteIndex":0},"schema":"https://github.com/citation-style-language/schema/raw/master/csl-citation.json"}</w:instrText>
      </w:r>
      <w:r w:rsidR="00FF159B">
        <w:rPr>
          <w:rFonts w:ascii="Times New Roman" w:hAnsi="Times New Roman" w:cs="Times New Roman"/>
          <w:noProof/>
          <w:sz w:val="24"/>
          <w:szCs w:val="24"/>
        </w:rPr>
        <w:fldChar w:fldCharType="separate"/>
      </w:r>
      <w:r w:rsidR="00FF159B" w:rsidRPr="00FF159B">
        <w:rPr>
          <w:rFonts w:ascii="Times New Roman" w:hAnsi="Times New Roman" w:cs="Times New Roman"/>
          <w:noProof/>
          <w:sz w:val="24"/>
          <w:szCs w:val="24"/>
        </w:rPr>
        <w:t>(11–15)</w:t>
      </w:r>
      <w:r w:rsidR="00FF159B">
        <w:rPr>
          <w:rFonts w:ascii="Times New Roman" w:hAnsi="Times New Roman" w:cs="Times New Roman"/>
          <w:noProof/>
          <w:sz w:val="24"/>
          <w:szCs w:val="24"/>
        </w:rPr>
        <w:fldChar w:fldCharType="end"/>
      </w:r>
      <w:r w:rsidR="00AD7F4A" w:rsidRPr="00DA020D">
        <w:rPr>
          <w:rFonts w:ascii="Times New Roman" w:hAnsi="Times New Roman" w:cs="Times New Roman"/>
          <w:noProof/>
          <w:sz w:val="24"/>
          <w:szCs w:val="24"/>
        </w:rPr>
        <w:t>.</w:t>
      </w:r>
    </w:p>
    <w:p w14:paraId="58A7F089" w14:textId="77777777" w:rsidR="00061FF3" w:rsidRPr="00DA020D" w:rsidRDefault="00061FF3" w:rsidP="006B0978">
      <w:pPr>
        <w:pStyle w:val="NoSpacing"/>
        <w:spacing w:line="480" w:lineRule="auto"/>
        <w:jc w:val="both"/>
        <w:rPr>
          <w:rFonts w:ascii="Times New Roman" w:hAnsi="Times New Roman" w:cs="Times New Roman"/>
          <w:noProof/>
          <w:sz w:val="24"/>
          <w:szCs w:val="24"/>
        </w:rPr>
      </w:pPr>
    </w:p>
    <w:p w14:paraId="3DC396DB" w14:textId="184655C2" w:rsidR="007200AF" w:rsidRPr="00DA020D" w:rsidRDefault="00B37D94" w:rsidP="00FD2BC4">
      <w:pPr>
        <w:pStyle w:val="NoSpacing"/>
        <w:numPr>
          <w:ilvl w:val="0"/>
          <w:numId w:val="6"/>
        </w:numPr>
        <w:spacing w:line="48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PATIENTS AND </w:t>
      </w:r>
      <w:r w:rsidR="007200AF" w:rsidRPr="00DA020D">
        <w:rPr>
          <w:rFonts w:ascii="Times New Roman" w:hAnsi="Times New Roman" w:cs="Times New Roman"/>
          <w:b/>
          <w:noProof/>
          <w:sz w:val="24"/>
          <w:szCs w:val="24"/>
        </w:rPr>
        <w:t>METHODS</w:t>
      </w:r>
    </w:p>
    <w:p w14:paraId="24578DEE" w14:textId="24B02687" w:rsidR="00562919" w:rsidRDefault="00FD2BC4" w:rsidP="00DF330C">
      <w:pPr>
        <w:pStyle w:val="NoSpacing"/>
        <w:spacing w:line="48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2.1 </w:t>
      </w:r>
      <w:r w:rsidR="00A07894">
        <w:rPr>
          <w:rFonts w:ascii="Times New Roman" w:hAnsi="Times New Roman" w:cs="Times New Roman"/>
          <w:b/>
          <w:noProof/>
          <w:sz w:val="24"/>
          <w:szCs w:val="24"/>
        </w:rPr>
        <w:t>Patients</w:t>
      </w:r>
    </w:p>
    <w:p w14:paraId="17448658" w14:textId="4DE64D64" w:rsidR="008E6E45" w:rsidRPr="008E6E45" w:rsidRDefault="00FD2BC4" w:rsidP="00DF330C">
      <w:pPr>
        <w:pStyle w:val="NoSpacing"/>
        <w:spacing w:line="48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2.1.1 </w:t>
      </w:r>
      <w:r w:rsidR="008E6E45" w:rsidRPr="008E6E45">
        <w:rPr>
          <w:rFonts w:ascii="Times New Roman" w:hAnsi="Times New Roman" w:cs="Times New Roman"/>
          <w:i/>
          <w:noProof/>
          <w:sz w:val="24"/>
          <w:szCs w:val="24"/>
        </w:rPr>
        <w:t xml:space="preserve">STarT MSK Pilot </w:t>
      </w:r>
      <w:r w:rsidR="00FC6E19">
        <w:rPr>
          <w:rFonts w:ascii="Times New Roman" w:hAnsi="Times New Roman" w:cs="Times New Roman"/>
          <w:i/>
          <w:noProof/>
          <w:sz w:val="24"/>
          <w:szCs w:val="24"/>
        </w:rPr>
        <w:t xml:space="preserve">Randomised Controlled </w:t>
      </w:r>
      <w:r w:rsidR="008E6E45" w:rsidRPr="008E6E45">
        <w:rPr>
          <w:rFonts w:ascii="Times New Roman" w:hAnsi="Times New Roman" w:cs="Times New Roman"/>
          <w:i/>
          <w:noProof/>
          <w:sz w:val="24"/>
          <w:szCs w:val="24"/>
        </w:rPr>
        <w:t>Trial</w:t>
      </w:r>
      <w:r w:rsidR="00FC6E19">
        <w:rPr>
          <w:rFonts w:ascii="Times New Roman" w:hAnsi="Times New Roman" w:cs="Times New Roman"/>
          <w:i/>
          <w:noProof/>
          <w:sz w:val="24"/>
          <w:szCs w:val="24"/>
        </w:rPr>
        <w:t xml:space="preserve"> (RCT)</w:t>
      </w:r>
    </w:p>
    <w:p w14:paraId="470D8A01" w14:textId="4F3A4AF0" w:rsidR="0052612A" w:rsidRPr="00DA020D" w:rsidRDefault="00950671" w:rsidP="00D77D1F">
      <w:pPr>
        <w:pStyle w:val="NoSpacing"/>
        <w:spacing w:line="48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This </w:t>
      </w:r>
      <w:r w:rsidR="00DF330C" w:rsidRPr="00DA020D">
        <w:rPr>
          <w:rFonts w:ascii="Times New Roman" w:hAnsi="Times New Roman" w:cs="Times New Roman"/>
          <w:noProof/>
          <w:sz w:val="24"/>
          <w:szCs w:val="24"/>
        </w:rPr>
        <w:t xml:space="preserve">was conducted in 8 </w:t>
      </w:r>
      <w:r w:rsidR="00E11774">
        <w:rPr>
          <w:rFonts w:ascii="Times New Roman" w:hAnsi="Times New Roman" w:cs="Times New Roman"/>
          <w:noProof/>
          <w:sz w:val="24"/>
          <w:szCs w:val="24"/>
        </w:rPr>
        <w:t xml:space="preserve">primary care </w:t>
      </w:r>
      <w:r w:rsidR="00DF330C" w:rsidRPr="00DA020D">
        <w:rPr>
          <w:rFonts w:ascii="Times New Roman" w:hAnsi="Times New Roman" w:cs="Times New Roman"/>
          <w:noProof/>
          <w:sz w:val="24"/>
          <w:szCs w:val="24"/>
        </w:rPr>
        <w:t>practices</w:t>
      </w:r>
      <w:r w:rsidR="008E6E45">
        <w:rPr>
          <w:rFonts w:ascii="Times New Roman" w:hAnsi="Times New Roman" w:cs="Times New Roman"/>
          <w:noProof/>
          <w:sz w:val="24"/>
          <w:szCs w:val="24"/>
        </w:rPr>
        <w:t>. It</w:t>
      </w:r>
      <w:r w:rsidR="00DF330C" w:rsidRPr="00DA020D">
        <w:rPr>
          <w:rFonts w:ascii="Times New Roman" w:hAnsi="Times New Roman" w:cs="Times New Roman"/>
          <w:noProof/>
          <w:sz w:val="24"/>
          <w:szCs w:val="24"/>
        </w:rPr>
        <w:t xml:space="preserve"> examine</w:t>
      </w:r>
      <w:r w:rsidR="008E6E45">
        <w:rPr>
          <w:rFonts w:ascii="Times New Roman" w:hAnsi="Times New Roman" w:cs="Times New Roman"/>
          <w:noProof/>
          <w:sz w:val="24"/>
          <w:szCs w:val="24"/>
        </w:rPr>
        <w:t>d</w:t>
      </w:r>
      <w:r w:rsidR="00EE2B60" w:rsidRPr="00DA020D">
        <w:rPr>
          <w:rFonts w:ascii="Times New Roman" w:hAnsi="Times New Roman" w:cs="Times New Roman"/>
          <w:noProof/>
          <w:sz w:val="24"/>
          <w:szCs w:val="24"/>
        </w:rPr>
        <w:t xml:space="preserve"> </w:t>
      </w:r>
      <w:r w:rsidR="00DF330C" w:rsidRPr="00DA020D">
        <w:rPr>
          <w:rFonts w:ascii="Times New Roman" w:hAnsi="Times New Roman" w:cs="Times New Roman"/>
          <w:noProof/>
          <w:sz w:val="24"/>
          <w:szCs w:val="24"/>
        </w:rPr>
        <w:t xml:space="preserve">the feasibility of a future </w:t>
      </w:r>
      <w:r w:rsidR="00FC6E19">
        <w:rPr>
          <w:rFonts w:ascii="Times New Roman" w:hAnsi="Times New Roman" w:cs="Times New Roman"/>
          <w:noProof/>
          <w:sz w:val="24"/>
          <w:szCs w:val="24"/>
        </w:rPr>
        <w:t>main, cluster RCT</w:t>
      </w:r>
      <w:r w:rsidR="00DF330C" w:rsidRPr="00DA020D">
        <w:rPr>
          <w:rFonts w:ascii="Times New Roman" w:hAnsi="Times New Roman" w:cs="Times New Roman"/>
          <w:noProof/>
          <w:sz w:val="24"/>
          <w:szCs w:val="24"/>
        </w:rPr>
        <w:t xml:space="preserve"> </w:t>
      </w:r>
      <w:r w:rsidR="00FC6E19">
        <w:rPr>
          <w:rFonts w:ascii="Times New Roman" w:hAnsi="Times New Roman" w:cs="Times New Roman"/>
          <w:noProof/>
          <w:sz w:val="24"/>
          <w:szCs w:val="24"/>
        </w:rPr>
        <w:t>comparing</w:t>
      </w:r>
      <w:r w:rsidR="00DF330C" w:rsidRPr="00DA020D">
        <w:rPr>
          <w:rFonts w:ascii="Times New Roman" w:hAnsi="Times New Roman" w:cs="Times New Roman"/>
          <w:noProof/>
          <w:sz w:val="24"/>
          <w:szCs w:val="24"/>
        </w:rPr>
        <w:t xml:space="preserve"> stratified primary care</w:t>
      </w:r>
      <w:r w:rsidR="0052612A" w:rsidRPr="00DA020D">
        <w:rPr>
          <w:rFonts w:ascii="Times New Roman" w:hAnsi="Times New Roman" w:cs="Times New Roman"/>
          <w:noProof/>
          <w:sz w:val="24"/>
          <w:szCs w:val="24"/>
        </w:rPr>
        <w:t xml:space="preserve"> </w:t>
      </w:r>
      <w:r w:rsidR="00DF330C" w:rsidRPr="00DA020D">
        <w:rPr>
          <w:rFonts w:ascii="Times New Roman" w:hAnsi="Times New Roman" w:cs="Times New Roman"/>
          <w:noProof/>
          <w:sz w:val="24"/>
          <w:szCs w:val="24"/>
        </w:rPr>
        <w:t xml:space="preserve">for </w:t>
      </w:r>
      <w:r w:rsidR="00FC6E19">
        <w:rPr>
          <w:rFonts w:ascii="Times New Roman" w:hAnsi="Times New Roman" w:cs="Times New Roman"/>
          <w:noProof/>
          <w:sz w:val="24"/>
          <w:szCs w:val="24"/>
        </w:rPr>
        <w:t xml:space="preserve">patients consulting </w:t>
      </w:r>
      <w:r w:rsidR="0052612A" w:rsidRPr="00DA020D">
        <w:rPr>
          <w:rFonts w:ascii="Times New Roman" w:hAnsi="Times New Roman" w:cs="Times New Roman"/>
          <w:noProof/>
          <w:sz w:val="24"/>
          <w:szCs w:val="24"/>
        </w:rPr>
        <w:t xml:space="preserve">with </w:t>
      </w:r>
      <w:r w:rsidR="00FC6E19">
        <w:rPr>
          <w:rFonts w:ascii="Times New Roman" w:hAnsi="Times New Roman" w:cs="Times New Roman"/>
          <w:noProof/>
          <w:sz w:val="24"/>
          <w:szCs w:val="24"/>
        </w:rPr>
        <w:t>one of the five common</w:t>
      </w:r>
      <w:r>
        <w:rPr>
          <w:rFonts w:ascii="Times New Roman" w:hAnsi="Times New Roman" w:cs="Times New Roman"/>
          <w:noProof/>
          <w:sz w:val="24"/>
          <w:szCs w:val="24"/>
        </w:rPr>
        <w:t>est</w:t>
      </w:r>
      <w:r w:rsidR="00FC6E19">
        <w:rPr>
          <w:rFonts w:ascii="Times New Roman" w:hAnsi="Times New Roman" w:cs="Times New Roman"/>
          <w:noProof/>
          <w:sz w:val="24"/>
          <w:szCs w:val="24"/>
        </w:rPr>
        <w:t xml:space="preserve"> MSK pain presentations</w:t>
      </w:r>
      <w:r w:rsidR="00562919" w:rsidRPr="00DA020D">
        <w:rPr>
          <w:rFonts w:ascii="Times New Roman" w:hAnsi="Times New Roman" w:cs="Times New Roman"/>
          <w:noProof/>
          <w:sz w:val="24"/>
          <w:szCs w:val="24"/>
        </w:rPr>
        <w:t>,</w:t>
      </w:r>
      <w:r w:rsidR="00DF330C" w:rsidRPr="00DA020D">
        <w:rPr>
          <w:rFonts w:ascii="Times New Roman" w:hAnsi="Times New Roman" w:cs="Times New Roman"/>
          <w:noProof/>
          <w:sz w:val="24"/>
          <w:szCs w:val="24"/>
        </w:rPr>
        <w:t xml:space="preserve"> compared with usual care</w:t>
      </w:r>
      <w:r w:rsidR="00D77D1F">
        <w:rPr>
          <w:rFonts w:ascii="Times New Roman" w:hAnsi="Times New Roman" w:cs="Times New Roman"/>
          <w:noProof/>
          <w:sz w:val="24"/>
          <w:szCs w:val="24"/>
        </w:rPr>
        <w:t xml:space="preserve"> </w:t>
      </w:r>
      <w:r w:rsidR="00B6398C">
        <w:rPr>
          <w:rFonts w:ascii="Times New Roman" w:hAnsi="Times New Roman" w:cs="Times New Roman"/>
          <w:noProof/>
          <w:sz w:val="24"/>
          <w:szCs w:val="24"/>
        </w:rPr>
        <w:fldChar w:fldCharType="begin" w:fldLock="1"/>
      </w:r>
      <w:r w:rsidR="00B6398C">
        <w:rPr>
          <w:rFonts w:ascii="Times New Roman" w:hAnsi="Times New Roman" w:cs="Times New Roman"/>
          <w:noProof/>
          <w:sz w:val="24"/>
          <w:szCs w:val="24"/>
        </w:rPr>
        <w:instrText>ADDIN CSL_CITATION {"citationItems":[{"id":"ITEM-1","itemData":{"author":[{"dropping-particle":"","family":"Hill","given":"J.C.","non-dropping-particle":"","parse-names":false,"suffix":""},{"dropping-particle":"","family":"Garvin","given":"S.","non-dropping-particle":"","parse-names":false,"suffix":""},{"dropping-particle":"","family":"Chen","given":"Y.","non-dropping-particle":"","parse-names":false,"suffix":""},{"dropping-particle":"","family":"Cooper","given":"V.","non-dropping-particle":"","parse-names":false,"suffix":""},{"dropping-particle":"","family":"Wathall","given":"S.","non-dropping-particle":"","parse-names":false,"suffix":""},{"dropping-particle":"","family":"Saunders","given":"B.","non-dropping-particle":"","parse-names":false,"suffix":""},{"dropping-particle":"","family":"Lewis","given":"M.","non-dropping-particle":"","parse-names":false,"suffix":""},{"dropping-particle":"","family":"Protheroe","given":"J.","non-dropping-particle":"","parse-names":false,"suffix":""},{"dropping-particle":"","family":"Chudyk","given":"A.","non-dropping-particle":"","parse-names":false,"suffix":""},{"dropping-particle":"","family":"Dunn","given":"K.M.","non-dropping-particle":"","parse-names":false,"suffix":""},{"dropping-particle":"","family":"Hay","given":"E.","non-dropping-particle":"","parse-names":false,"suffix":""},{"dropping-particle":"","family":"Windt","given":"D.","non-dropping-particle":"van der","parse-names":false,"suffix":""},{"dropping-particle":"","family":"CM","given":"Mallen","non-dropping-particle":"","parse-names":false,"suffix":""},{"dropping-particle":"","family":"Foster","given":"N.E.","non-dropping-particle":"","parse-names":false,"suffix":""}],"container-title":"BMC family practice","id":"ITEM-1","issued":{"date-parts":[["0"]]},"title":"Stratified primary care versus non-stratified care for musculoskeletal pain: findings from the STarT MSK feasibility and pilot cluster randomized controlled trial","type":"article-journal"},"uris":["http://www.mendeley.com/documents/?uuid=5307bbce-94c9-48a8-9118-3d2d86945be3"]}],"mendeley":{"formattedCitation":"(8)","plainTextFormattedCitation":"(8)","previouslyFormattedCitation":"(8)"},"properties":{"noteIndex":0},"schema":"https://github.com/citation-style-language/schema/raw/master/csl-citation.json"}</w:instrText>
      </w:r>
      <w:r w:rsidR="00B6398C">
        <w:rPr>
          <w:rFonts w:ascii="Times New Roman" w:hAnsi="Times New Roman" w:cs="Times New Roman"/>
          <w:noProof/>
          <w:sz w:val="24"/>
          <w:szCs w:val="24"/>
        </w:rPr>
        <w:fldChar w:fldCharType="separate"/>
      </w:r>
      <w:r w:rsidR="00B6398C" w:rsidRPr="00B6398C">
        <w:rPr>
          <w:rFonts w:ascii="Times New Roman" w:hAnsi="Times New Roman" w:cs="Times New Roman"/>
          <w:noProof/>
          <w:sz w:val="24"/>
          <w:szCs w:val="24"/>
        </w:rPr>
        <w:t>(8)</w:t>
      </w:r>
      <w:r w:rsidR="00B6398C">
        <w:rPr>
          <w:rFonts w:ascii="Times New Roman" w:hAnsi="Times New Roman" w:cs="Times New Roman"/>
          <w:noProof/>
          <w:sz w:val="24"/>
          <w:szCs w:val="24"/>
        </w:rPr>
        <w:fldChar w:fldCharType="end"/>
      </w:r>
      <w:r w:rsidR="00DF330C" w:rsidRPr="00DA020D">
        <w:rPr>
          <w:rFonts w:ascii="Times New Roman" w:hAnsi="Times New Roman" w:cs="Times New Roman"/>
          <w:noProof/>
          <w:sz w:val="24"/>
          <w:szCs w:val="24"/>
        </w:rPr>
        <w:t xml:space="preserve">. </w:t>
      </w:r>
      <w:r w:rsidR="00FC6E19">
        <w:rPr>
          <w:rFonts w:ascii="Times New Roman" w:hAnsi="Times New Roman" w:cs="Times New Roman"/>
          <w:noProof/>
          <w:sz w:val="24"/>
          <w:szCs w:val="24"/>
        </w:rPr>
        <w:t xml:space="preserve">Stratified care </w:t>
      </w:r>
      <w:r w:rsidR="00427C45">
        <w:rPr>
          <w:rFonts w:ascii="Times New Roman" w:hAnsi="Times New Roman" w:cs="Times New Roman"/>
          <w:noProof/>
          <w:sz w:val="24"/>
          <w:szCs w:val="24"/>
        </w:rPr>
        <w:t>comprised</w:t>
      </w:r>
      <w:r w:rsidR="00D77D1F">
        <w:rPr>
          <w:rFonts w:ascii="Times New Roman" w:hAnsi="Times New Roman" w:cs="Times New Roman"/>
          <w:noProof/>
          <w:sz w:val="24"/>
          <w:szCs w:val="24"/>
        </w:rPr>
        <w:t>:</w:t>
      </w:r>
      <w:r w:rsidR="0052612A" w:rsidRPr="00DA020D">
        <w:rPr>
          <w:rFonts w:ascii="Times New Roman" w:hAnsi="Times New Roman" w:cs="Times New Roman"/>
          <w:noProof/>
          <w:sz w:val="24"/>
          <w:szCs w:val="24"/>
        </w:rPr>
        <w:t xml:space="preserve"> (1</w:t>
      </w:r>
      <w:r w:rsidR="00DF330C" w:rsidRPr="00DA020D">
        <w:rPr>
          <w:rFonts w:ascii="Times New Roman" w:hAnsi="Times New Roman" w:cs="Times New Roman"/>
          <w:noProof/>
          <w:sz w:val="24"/>
          <w:szCs w:val="24"/>
        </w:rPr>
        <w:t xml:space="preserve">) prognostic assessment to allocate patients into </w:t>
      </w:r>
      <w:r w:rsidR="0052612A" w:rsidRPr="00DA020D">
        <w:rPr>
          <w:rFonts w:ascii="Times New Roman" w:hAnsi="Times New Roman" w:cs="Times New Roman"/>
          <w:noProof/>
          <w:sz w:val="24"/>
          <w:szCs w:val="24"/>
        </w:rPr>
        <w:t>low-, medium- or high-risk strata</w:t>
      </w:r>
      <w:r w:rsidR="00AF31CF" w:rsidRPr="00DA020D">
        <w:rPr>
          <w:rFonts w:ascii="Times New Roman" w:hAnsi="Times New Roman" w:cs="Times New Roman"/>
          <w:noProof/>
          <w:sz w:val="24"/>
          <w:szCs w:val="24"/>
        </w:rPr>
        <w:t xml:space="preserve"> (using the </w:t>
      </w:r>
      <w:r w:rsidR="00AF31CF" w:rsidRPr="00DA020D">
        <w:rPr>
          <w:rFonts w:ascii="Times New Roman" w:hAnsi="Times New Roman" w:cs="Times New Roman"/>
          <w:noProof/>
          <w:sz w:val="24"/>
          <w:szCs w:val="24"/>
        </w:rPr>
        <w:lastRenderedPageBreak/>
        <w:t xml:space="preserve">Keele STarT MSK tool </w:t>
      </w:r>
      <w:r w:rsidR="00B6398C">
        <w:rPr>
          <w:rFonts w:ascii="Times New Roman" w:hAnsi="Times New Roman" w:cs="Times New Roman"/>
          <w:noProof/>
          <w:sz w:val="24"/>
          <w:szCs w:val="24"/>
        </w:rPr>
        <w:fldChar w:fldCharType="begin" w:fldLock="1"/>
      </w:r>
      <w:r w:rsidR="00B6398C">
        <w:rPr>
          <w:rFonts w:ascii="Times New Roman" w:hAnsi="Times New Roman" w:cs="Times New Roman"/>
          <w:noProof/>
          <w:sz w:val="24"/>
          <w:szCs w:val="24"/>
        </w:rPr>
        <w:instrText>ADDIN CSL_CITATION {"citationItems":[{"id":"ITEM-1","itemData":{"ISSN":"1178-7090","abstract":"Musculoskeletal conditions represent a considerable burden worldwide, and are predominantly managed in primary care. Evidence suggests that many musculoskeletal conditions share similar prognostic factors. Systematically assessing patient's prognosis and matching treatments based on prognostic subgroups (stratified care) has been shown to be both clinically effective and cost-effective. This study (Keele Aches and Pains Study) aims to refine and examine the validity of a brief questionnaire (Keele STarT MSK tool) designed to enable risk stratification of primary care patients with the five most common musculoskeletal pain presentations. We also describe the subgroups of patients, and explore the acceptability and feasibility of using the tool and how the tool is best implemented in clinical practice. The study design is mixed methods: a prospective, quantitative observational cohort study with a linked qualitative focus group and interview study. Patients who have consulted their GP or health care practitioner about a relevant musculoskeletal condition will be recruited from general practice. Participating patients will complete a baseline questionnaire (shortly after consultation), plus questionnaires 2 and 6 months later. A subsample of patients, along with participating GPs and health care practitioners, will be invited to take part in qualitative focus groups and interviews. The Keele STarT MSK tool will be refined based on face, discriminant, construct, and predictive validity at baseline and 2 months, and validated using data from 6-month follow-up. Patient and clinician perspectives about using the tool will be explored. This study will provide a validated prognostic tool (Keele STarT MSK) with established cutoff points to stratify patients with the five most common musculoskeletal presentations into low-, medium-, and high-risk subgroups. The qualitative analysis of patient and health care perspectives will inform practitioners on how to embed the tool into clinical practice using established general practice IT systems and clinician-support packages.","author":[{"dropping-particle":"","family":"Campbell","given":"Paul","non-dropping-particle":"","parse-names":false,"suffix":""},{"dropping-particle":"","family":"Hill","given":"Jonathan C","non-dropping-particle":"","parse-names":false,"suffix":""},{"dropping-particle":"","family":"Protheroe","given":"Joanne","non-dropping-particle":"","parse-names":false,"suffix":""},{"dropping-particle":"","family":"Afolabi","given":"Ebenezer K","non-dropping-particle":"","parse-names":false,"suffix":""},{"dropping-particle":"","family":"Lewis","given":"Martyn","non-dropping-particle":"","parse-names":false,"suffix":""},{"dropping-particle":"","family":"Beardmore","given":"Ruth","non-dropping-particle":"","parse-names":false,"suffix":""},{"dropping-particle":"","family":"Hay","given":"Elaine M","non-dropping-particle":"","parse-names":false,"suffix":""},{"dropping-particle":"","family":"Mallen","given":"Christian D","non-dropping-particle":"","parse-names":false,"suffix":""},{"dropping-particle":"","family":"Bartlam","given":"Bernadette","non-dropping-particle":"","parse-names":false,"suffix":""},{"dropping-particle":"","family":"Saunders","given":"Benjamin","non-dropping-particle":"","parse-names":false,"suffix":""},{"dropping-particle":"","family":"Windt","given":"Danielle A","non-dropping-particle":"van der","parse-names":false,"suffix":""},{"dropping-particle":"","family":"Jowett","given":"Sue","non-dropping-particle":"","parse-names":false,"suffix":""},{"dropping-particle":"","family":"Foster","given":"Nadine E","non-dropping-particle":"","parse-names":false,"suffix":""},{"dropping-particle":"","family":"Dunn","given":"Kate M","non-dropping-particle":"","parse-names":false,"suffix":""}],"container-title":"Journal of pain research","id":"ITEM-1","issued":{"date-parts":[["2016"]]},"page":"807-818","publisher-place":"New Zealand","title":"Keele Aches and Pains Study protocol: validity, acceptability, and feasibility of the Keele STarT MSK tool for subgrouping musculoskeletal patients in primary care.","type":"article-journal","volume":"9"},"uris":["http://www.mendeley.com/documents/?uuid=fde2e0e2-f27d-4864-a2e4-0d776b325397"]}],"mendeley":{"formattedCitation":"(16)","plainTextFormattedCitation":"(16)","previouslyFormattedCitation":"(16)"},"properties":{"noteIndex":0},"schema":"https://github.com/citation-style-language/schema/raw/master/csl-citation.json"}</w:instrText>
      </w:r>
      <w:r w:rsidR="00B6398C">
        <w:rPr>
          <w:rFonts w:ascii="Times New Roman" w:hAnsi="Times New Roman" w:cs="Times New Roman"/>
          <w:noProof/>
          <w:sz w:val="24"/>
          <w:szCs w:val="24"/>
        </w:rPr>
        <w:fldChar w:fldCharType="separate"/>
      </w:r>
      <w:r w:rsidR="00B6398C" w:rsidRPr="00B6398C">
        <w:rPr>
          <w:rFonts w:ascii="Times New Roman" w:hAnsi="Times New Roman" w:cs="Times New Roman"/>
          <w:noProof/>
          <w:sz w:val="24"/>
          <w:szCs w:val="24"/>
        </w:rPr>
        <w:t>(16)</w:t>
      </w:r>
      <w:r w:rsidR="00B6398C">
        <w:rPr>
          <w:rFonts w:ascii="Times New Roman" w:hAnsi="Times New Roman" w:cs="Times New Roman"/>
          <w:noProof/>
          <w:sz w:val="24"/>
          <w:szCs w:val="24"/>
        </w:rPr>
        <w:fldChar w:fldCharType="end"/>
      </w:r>
      <w:r w:rsidR="00AF31CF" w:rsidRPr="00DA020D">
        <w:rPr>
          <w:rFonts w:ascii="Times New Roman" w:hAnsi="Times New Roman" w:cs="Times New Roman"/>
          <w:noProof/>
          <w:sz w:val="24"/>
          <w:szCs w:val="24"/>
        </w:rPr>
        <w:t>)</w:t>
      </w:r>
      <w:r w:rsidR="0052612A" w:rsidRPr="00DA020D">
        <w:rPr>
          <w:rFonts w:ascii="Times New Roman" w:hAnsi="Times New Roman" w:cs="Times New Roman"/>
          <w:noProof/>
          <w:sz w:val="24"/>
          <w:szCs w:val="24"/>
        </w:rPr>
        <w:t>;</w:t>
      </w:r>
      <w:r w:rsidR="00DF330C" w:rsidRPr="00DA020D">
        <w:rPr>
          <w:rFonts w:ascii="Times New Roman" w:hAnsi="Times New Roman" w:cs="Times New Roman"/>
          <w:noProof/>
          <w:sz w:val="24"/>
          <w:szCs w:val="24"/>
        </w:rPr>
        <w:t xml:space="preserve"> </w:t>
      </w:r>
      <w:r w:rsidR="0052612A" w:rsidRPr="00DA020D">
        <w:rPr>
          <w:rFonts w:ascii="Times New Roman" w:hAnsi="Times New Roman" w:cs="Times New Roman"/>
          <w:noProof/>
          <w:sz w:val="24"/>
          <w:szCs w:val="24"/>
        </w:rPr>
        <w:t>and (2</w:t>
      </w:r>
      <w:r w:rsidR="00B2603D">
        <w:rPr>
          <w:rFonts w:ascii="Times New Roman" w:hAnsi="Times New Roman" w:cs="Times New Roman"/>
          <w:noProof/>
          <w:sz w:val="24"/>
          <w:szCs w:val="24"/>
        </w:rPr>
        <w:t xml:space="preserve">) recommended matched </w:t>
      </w:r>
      <w:r w:rsidR="003522DF">
        <w:rPr>
          <w:rFonts w:ascii="Times New Roman" w:hAnsi="Times New Roman" w:cs="Times New Roman"/>
          <w:noProof/>
          <w:sz w:val="24"/>
          <w:szCs w:val="24"/>
        </w:rPr>
        <w:t xml:space="preserve">treatment </w:t>
      </w:r>
      <w:r w:rsidR="008E6E45">
        <w:rPr>
          <w:rFonts w:ascii="Times New Roman" w:hAnsi="Times New Roman" w:cs="Times New Roman"/>
          <w:noProof/>
          <w:sz w:val="24"/>
          <w:szCs w:val="24"/>
        </w:rPr>
        <w:t xml:space="preserve">options </w:t>
      </w:r>
      <w:r w:rsidR="00FC6E19">
        <w:rPr>
          <w:rFonts w:ascii="Times New Roman" w:hAnsi="Times New Roman" w:cs="Times New Roman"/>
          <w:noProof/>
          <w:sz w:val="24"/>
          <w:szCs w:val="24"/>
        </w:rPr>
        <w:t>in each strata</w:t>
      </w:r>
      <w:r w:rsidR="00DF330C" w:rsidRPr="00DA020D">
        <w:rPr>
          <w:rFonts w:ascii="Times New Roman" w:hAnsi="Times New Roman" w:cs="Times New Roman"/>
          <w:noProof/>
          <w:sz w:val="24"/>
          <w:szCs w:val="24"/>
        </w:rPr>
        <w:t xml:space="preserve">. </w:t>
      </w:r>
      <w:r w:rsidR="00D77D1F">
        <w:rPr>
          <w:rFonts w:ascii="Times New Roman" w:hAnsi="Times New Roman" w:cs="Times New Roman"/>
          <w:noProof/>
          <w:sz w:val="24"/>
          <w:szCs w:val="24"/>
        </w:rPr>
        <w:t xml:space="preserve"> Four practices </w:t>
      </w:r>
      <w:r w:rsidR="00FC6E19">
        <w:rPr>
          <w:rFonts w:ascii="Times New Roman" w:hAnsi="Times New Roman" w:cs="Times New Roman"/>
          <w:noProof/>
          <w:sz w:val="24"/>
          <w:szCs w:val="24"/>
        </w:rPr>
        <w:t>were randomised to offer stratified care</w:t>
      </w:r>
      <w:r w:rsidR="00D77D1F" w:rsidRPr="00DA020D">
        <w:rPr>
          <w:rFonts w:ascii="Times New Roman" w:hAnsi="Times New Roman" w:cs="Times New Roman"/>
          <w:noProof/>
          <w:sz w:val="24"/>
          <w:szCs w:val="24"/>
        </w:rPr>
        <w:t xml:space="preserve"> </w:t>
      </w:r>
      <w:r w:rsidR="00FC6E19">
        <w:rPr>
          <w:rFonts w:ascii="Times New Roman" w:hAnsi="Times New Roman" w:cs="Times New Roman"/>
          <w:noProof/>
          <w:sz w:val="24"/>
          <w:szCs w:val="24"/>
        </w:rPr>
        <w:t>and</w:t>
      </w:r>
      <w:r w:rsidR="00D77D1F" w:rsidRPr="00DA020D">
        <w:rPr>
          <w:rFonts w:ascii="Times New Roman" w:hAnsi="Times New Roman" w:cs="Times New Roman"/>
          <w:noProof/>
          <w:sz w:val="24"/>
          <w:szCs w:val="24"/>
        </w:rPr>
        <w:t xml:space="preserve"> </w:t>
      </w:r>
      <w:r w:rsidR="00427C45">
        <w:rPr>
          <w:rFonts w:ascii="Times New Roman" w:hAnsi="Times New Roman" w:cs="Times New Roman"/>
          <w:noProof/>
          <w:sz w:val="24"/>
          <w:szCs w:val="24"/>
        </w:rPr>
        <w:t xml:space="preserve">four </w:t>
      </w:r>
      <w:r w:rsidR="00FC6E19">
        <w:rPr>
          <w:rFonts w:ascii="Times New Roman" w:hAnsi="Times New Roman" w:cs="Times New Roman"/>
          <w:noProof/>
          <w:sz w:val="24"/>
          <w:szCs w:val="24"/>
        </w:rPr>
        <w:t xml:space="preserve">to continue </w:t>
      </w:r>
      <w:r w:rsidR="00D77D1F">
        <w:rPr>
          <w:rFonts w:ascii="Times New Roman" w:hAnsi="Times New Roman" w:cs="Times New Roman"/>
          <w:noProof/>
          <w:sz w:val="24"/>
          <w:szCs w:val="24"/>
        </w:rPr>
        <w:t>usual care.</w:t>
      </w:r>
    </w:p>
    <w:p w14:paraId="1BCF70E0" w14:textId="77777777" w:rsidR="0052612A" w:rsidRPr="00DA020D" w:rsidRDefault="0052612A" w:rsidP="00DF330C">
      <w:pPr>
        <w:pStyle w:val="NoSpacing"/>
        <w:spacing w:line="480" w:lineRule="auto"/>
        <w:jc w:val="both"/>
        <w:rPr>
          <w:rFonts w:ascii="Times New Roman" w:hAnsi="Times New Roman" w:cs="Times New Roman"/>
          <w:noProof/>
          <w:sz w:val="24"/>
          <w:szCs w:val="24"/>
        </w:rPr>
      </w:pPr>
    </w:p>
    <w:p w14:paraId="373D0031" w14:textId="32E7DEC7" w:rsidR="009265D3" w:rsidRPr="008E6E45" w:rsidRDefault="00FD2BC4" w:rsidP="00DF330C">
      <w:pPr>
        <w:pStyle w:val="NoSpacing"/>
        <w:spacing w:line="48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2.1.2 </w:t>
      </w:r>
      <w:r w:rsidR="00D77D1F" w:rsidRPr="008E6E45">
        <w:rPr>
          <w:rFonts w:ascii="Times New Roman" w:hAnsi="Times New Roman" w:cs="Times New Roman"/>
          <w:i/>
          <w:noProof/>
          <w:sz w:val="24"/>
          <w:szCs w:val="24"/>
        </w:rPr>
        <w:t>Inclusion/</w:t>
      </w:r>
      <w:r w:rsidR="009265D3" w:rsidRPr="008E6E45">
        <w:rPr>
          <w:rFonts w:ascii="Times New Roman" w:hAnsi="Times New Roman" w:cs="Times New Roman"/>
          <w:i/>
          <w:noProof/>
          <w:sz w:val="24"/>
          <w:szCs w:val="24"/>
        </w:rPr>
        <w:t>Exclusion Criteria</w:t>
      </w:r>
    </w:p>
    <w:p w14:paraId="4552B11C" w14:textId="2EB17FA8" w:rsidR="0052612A" w:rsidRPr="00DA020D" w:rsidRDefault="00931C09" w:rsidP="00DF330C">
      <w:pPr>
        <w:pStyle w:val="NoSpacing"/>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Full details are provided in the trial’s primary publication </w:t>
      </w:r>
      <w:r w:rsidR="00B6398C">
        <w:rPr>
          <w:rFonts w:ascii="Times New Roman" w:hAnsi="Times New Roman" w:cs="Times New Roman"/>
          <w:noProof/>
          <w:sz w:val="24"/>
          <w:szCs w:val="24"/>
        </w:rPr>
        <w:fldChar w:fldCharType="begin" w:fldLock="1"/>
      </w:r>
      <w:r w:rsidR="00B6398C">
        <w:rPr>
          <w:rFonts w:ascii="Times New Roman" w:hAnsi="Times New Roman" w:cs="Times New Roman"/>
          <w:noProof/>
          <w:sz w:val="24"/>
          <w:szCs w:val="24"/>
        </w:rPr>
        <w:instrText>ADDIN CSL_CITATION {"citationItems":[{"id":"ITEM-1","itemData":{"author":[{"dropping-particle":"","family":"Hill","given":"J.C.","non-dropping-particle":"","parse-names":false,"suffix":""},{"dropping-particle":"","family":"Garvin","given":"S.","non-dropping-particle":"","parse-names":false,"suffix":""},{"dropping-particle":"","family":"Chen","given":"Y.","non-dropping-particle":"","parse-names":false,"suffix":""},{"dropping-particle":"","family":"Cooper","given":"V.","non-dropping-particle":"","parse-names":false,"suffix":""},{"dropping-particle":"","family":"Wathall","given":"S.","non-dropping-particle":"","parse-names":false,"suffix":""},{"dropping-particle":"","family":"Saunders","given":"B.","non-dropping-particle":"","parse-names":false,"suffix":""},{"dropping-particle":"","family":"Lewis","given":"M.","non-dropping-particle":"","parse-names":false,"suffix":""},{"dropping-particle":"","family":"Protheroe","given":"J.","non-dropping-particle":"","parse-names":false,"suffix":""},{"dropping-particle":"","family":"Chudyk","given":"A.","non-dropping-particle":"","parse-names":false,"suffix":""},{"dropping-particle":"","family":"Dunn","given":"K.M.","non-dropping-particle":"","parse-names":false,"suffix":""},{"dropping-particle":"","family":"Hay","given":"E.","non-dropping-particle":"","parse-names":false,"suffix":""},{"dropping-particle":"","family":"Windt","given":"D.","non-dropping-particle":"van der","parse-names":false,"suffix":""},{"dropping-particle":"","family":"CM","given":"Mallen","non-dropping-particle":"","parse-names":false,"suffix":""},{"dropping-particle":"","family":"Foster","given":"N.E.","non-dropping-particle":"","parse-names":false,"suffix":""}],"container-title":"BMC family practice","id":"ITEM-1","issued":{"date-parts":[["0"]]},"title":"Stratified primary care versus non-stratified care for musculoskeletal pain: findings from the STarT MSK feasibility and pilot cluster randomized controlled trial","type":"article-journal"},"uris":["http://www.mendeley.com/documents/?uuid=5307bbce-94c9-48a8-9118-3d2d86945be3"]}],"mendeley":{"formattedCitation":"(8)","plainTextFormattedCitation":"(8)","previouslyFormattedCitation":"(8)"},"properties":{"noteIndex":0},"schema":"https://github.com/citation-style-language/schema/raw/master/csl-citation.json"}</w:instrText>
      </w:r>
      <w:r w:rsidR="00B6398C">
        <w:rPr>
          <w:rFonts w:ascii="Times New Roman" w:hAnsi="Times New Roman" w:cs="Times New Roman"/>
          <w:noProof/>
          <w:sz w:val="24"/>
          <w:szCs w:val="24"/>
        </w:rPr>
        <w:fldChar w:fldCharType="separate"/>
      </w:r>
      <w:r w:rsidR="00B6398C" w:rsidRPr="00B6398C">
        <w:rPr>
          <w:rFonts w:ascii="Times New Roman" w:hAnsi="Times New Roman" w:cs="Times New Roman"/>
          <w:noProof/>
          <w:sz w:val="24"/>
          <w:szCs w:val="24"/>
        </w:rPr>
        <w:t>(8)</w:t>
      </w:r>
      <w:r w:rsidR="00B6398C">
        <w:rPr>
          <w:rFonts w:ascii="Times New Roman" w:hAnsi="Times New Roman" w:cs="Times New Roman"/>
          <w:noProof/>
          <w:sz w:val="24"/>
          <w:szCs w:val="24"/>
        </w:rPr>
        <w:fldChar w:fldCharType="end"/>
      </w:r>
      <w:r>
        <w:rPr>
          <w:rFonts w:ascii="Times New Roman" w:hAnsi="Times New Roman" w:cs="Times New Roman"/>
          <w:noProof/>
          <w:sz w:val="24"/>
          <w:szCs w:val="24"/>
        </w:rPr>
        <w:t>. In brief, p</w:t>
      </w:r>
      <w:r w:rsidR="00562919" w:rsidRPr="00DA020D">
        <w:rPr>
          <w:rFonts w:ascii="Times New Roman" w:hAnsi="Times New Roman" w:cs="Times New Roman"/>
          <w:noProof/>
          <w:sz w:val="24"/>
          <w:szCs w:val="24"/>
        </w:rPr>
        <w:t xml:space="preserve">atients </w:t>
      </w:r>
      <w:r w:rsidR="00A87B53">
        <w:rPr>
          <w:rFonts w:ascii="Times New Roman" w:hAnsi="Times New Roman" w:cs="Times New Roman"/>
          <w:noProof/>
          <w:sz w:val="24"/>
          <w:szCs w:val="24"/>
        </w:rPr>
        <w:t xml:space="preserve">who </w:t>
      </w:r>
      <w:r w:rsidR="00562919" w:rsidRPr="00DA020D">
        <w:rPr>
          <w:rFonts w:ascii="Times New Roman" w:hAnsi="Times New Roman" w:cs="Times New Roman"/>
          <w:noProof/>
          <w:sz w:val="24"/>
          <w:szCs w:val="24"/>
        </w:rPr>
        <w:t xml:space="preserve">were included were </w:t>
      </w:r>
      <w:r>
        <w:rPr>
          <w:rFonts w:ascii="Times New Roman" w:hAnsi="Times New Roman" w:cs="Times New Roman"/>
          <w:noProof/>
          <w:sz w:val="24"/>
          <w:szCs w:val="24"/>
        </w:rPr>
        <w:t>≥</w:t>
      </w:r>
      <w:r w:rsidR="00562919" w:rsidRPr="00DA020D">
        <w:rPr>
          <w:rFonts w:ascii="Times New Roman" w:hAnsi="Times New Roman" w:cs="Times New Roman"/>
          <w:noProof/>
          <w:sz w:val="24"/>
          <w:szCs w:val="24"/>
        </w:rPr>
        <w:t>18 years</w:t>
      </w:r>
      <w:r w:rsidR="00E11774">
        <w:rPr>
          <w:rFonts w:ascii="Times New Roman" w:hAnsi="Times New Roman" w:cs="Times New Roman"/>
          <w:noProof/>
          <w:sz w:val="24"/>
          <w:szCs w:val="24"/>
        </w:rPr>
        <w:t xml:space="preserve"> old</w:t>
      </w:r>
      <w:r w:rsidR="00562919" w:rsidRPr="00DA020D">
        <w:rPr>
          <w:rFonts w:ascii="Times New Roman" w:hAnsi="Times New Roman" w:cs="Times New Roman"/>
          <w:noProof/>
          <w:sz w:val="24"/>
          <w:szCs w:val="24"/>
        </w:rPr>
        <w:t xml:space="preserve">, </w:t>
      </w:r>
      <w:r w:rsidR="00A80276">
        <w:rPr>
          <w:rFonts w:ascii="Times New Roman" w:hAnsi="Times New Roman" w:cs="Times New Roman"/>
          <w:noProof/>
          <w:sz w:val="24"/>
          <w:szCs w:val="24"/>
        </w:rPr>
        <w:t xml:space="preserve">and </w:t>
      </w:r>
      <w:r w:rsidR="00562919" w:rsidRPr="00DA020D">
        <w:rPr>
          <w:rFonts w:ascii="Times New Roman" w:hAnsi="Times New Roman" w:cs="Times New Roman"/>
          <w:noProof/>
          <w:sz w:val="24"/>
          <w:szCs w:val="24"/>
        </w:rPr>
        <w:t>registered at a participating practice</w:t>
      </w:r>
      <w:r w:rsidR="00D65210">
        <w:rPr>
          <w:rFonts w:ascii="Times New Roman" w:hAnsi="Times New Roman" w:cs="Times New Roman"/>
          <w:noProof/>
          <w:sz w:val="24"/>
          <w:szCs w:val="24"/>
        </w:rPr>
        <w:t>.</w:t>
      </w:r>
      <w:r w:rsidR="00562919" w:rsidRPr="00DA020D">
        <w:rPr>
          <w:rFonts w:ascii="Times New Roman" w:hAnsi="Times New Roman" w:cs="Times New Roman"/>
          <w:noProof/>
          <w:sz w:val="24"/>
          <w:szCs w:val="24"/>
        </w:rPr>
        <w:t xml:space="preserve"> </w:t>
      </w:r>
      <w:r w:rsidR="00D65210">
        <w:rPr>
          <w:rFonts w:ascii="Times New Roman" w:hAnsi="Times New Roman" w:cs="Times New Roman"/>
          <w:noProof/>
          <w:sz w:val="24"/>
          <w:szCs w:val="24"/>
        </w:rPr>
        <w:t>D</w:t>
      </w:r>
      <w:r w:rsidR="00E17870" w:rsidRPr="00DA020D">
        <w:rPr>
          <w:rFonts w:ascii="Times New Roman" w:hAnsi="Times New Roman" w:cs="Times New Roman"/>
          <w:noProof/>
          <w:sz w:val="24"/>
          <w:szCs w:val="24"/>
        </w:rPr>
        <w:t xml:space="preserve">uring their consultation </w:t>
      </w:r>
      <w:r w:rsidR="00FC6E19">
        <w:rPr>
          <w:rFonts w:ascii="Times New Roman" w:hAnsi="Times New Roman" w:cs="Times New Roman"/>
          <w:noProof/>
          <w:sz w:val="24"/>
          <w:szCs w:val="24"/>
        </w:rPr>
        <w:t>the clinician was asked to complete</w:t>
      </w:r>
      <w:r w:rsidR="00FC6E19" w:rsidRPr="00DA020D">
        <w:rPr>
          <w:rFonts w:ascii="Times New Roman" w:hAnsi="Times New Roman" w:cs="Times New Roman"/>
          <w:noProof/>
          <w:sz w:val="24"/>
          <w:szCs w:val="24"/>
        </w:rPr>
        <w:t xml:space="preserve"> </w:t>
      </w:r>
      <w:r w:rsidR="00FC6E19">
        <w:rPr>
          <w:rFonts w:ascii="Times New Roman" w:hAnsi="Times New Roman" w:cs="Times New Roman"/>
          <w:noProof/>
          <w:sz w:val="24"/>
          <w:szCs w:val="24"/>
        </w:rPr>
        <w:t>a</w:t>
      </w:r>
      <w:r w:rsidR="00FC6E19" w:rsidRPr="00DA020D">
        <w:rPr>
          <w:rFonts w:ascii="Times New Roman" w:hAnsi="Times New Roman" w:cs="Times New Roman"/>
          <w:noProof/>
          <w:sz w:val="24"/>
          <w:szCs w:val="24"/>
        </w:rPr>
        <w:t xml:space="preserve"> </w:t>
      </w:r>
      <w:r w:rsidR="00E17870" w:rsidRPr="00DA020D">
        <w:rPr>
          <w:rFonts w:ascii="Times New Roman" w:hAnsi="Times New Roman" w:cs="Times New Roman"/>
          <w:noProof/>
          <w:sz w:val="24"/>
          <w:szCs w:val="24"/>
        </w:rPr>
        <w:t>recruitment template</w:t>
      </w:r>
      <w:r w:rsidR="00FC6E19">
        <w:rPr>
          <w:rFonts w:ascii="Times New Roman" w:hAnsi="Times New Roman" w:cs="Times New Roman"/>
          <w:noProof/>
          <w:sz w:val="24"/>
          <w:szCs w:val="24"/>
        </w:rPr>
        <w:t xml:space="preserve"> on the computer system</w:t>
      </w:r>
      <w:r w:rsidR="00E17870" w:rsidRPr="00DA020D">
        <w:rPr>
          <w:rFonts w:ascii="Times New Roman" w:hAnsi="Times New Roman" w:cs="Times New Roman"/>
          <w:noProof/>
          <w:sz w:val="24"/>
          <w:szCs w:val="24"/>
        </w:rPr>
        <w:t xml:space="preserve"> </w:t>
      </w:r>
      <w:r w:rsidR="00FC6E19">
        <w:rPr>
          <w:rFonts w:ascii="Times New Roman" w:hAnsi="Times New Roman" w:cs="Times New Roman"/>
          <w:noProof/>
          <w:sz w:val="24"/>
          <w:szCs w:val="24"/>
        </w:rPr>
        <w:t xml:space="preserve">and </w:t>
      </w:r>
      <w:r w:rsidR="00E17870" w:rsidRPr="00DA020D">
        <w:rPr>
          <w:rFonts w:ascii="Times New Roman" w:hAnsi="Times New Roman" w:cs="Times New Roman"/>
          <w:noProof/>
          <w:sz w:val="24"/>
          <w:szCs w:val="24"/>
        </w:rPr>
        <w:t>confirm</w:t>
      </w:r>
      <w:r w:rsidR="00FC6E19">
        <w:rPr>
          <w:rFonts w:ascii="Times New Roman" w:hAnsi="Times New Roman" w:cs="Times New Roman"/>
          <w:noProof/>
          <w:sz w:val="24"/>
          <w:szCs w:val="24"/>
        </w:rPr>
        <w:t xml:space="preserve"> if the patient</w:t>
      </w:r>
      <w:r w:rsidR="00E17870" w:rsidRPr="00DA020D">
        <w:rPr>
          <w:rFonts w:ascii="Times New Roman" w:hAnsi="Times New Roman" w:cs="Times New Roman"/>
          <w:noProof/>
          <w:sz w:val="24"/>
          <w:szCs w:val="24"/>
        </w:rPr>
        <w:t xml:space="preserve"> </w:t>
      </w:r>
      <w:r w:rsidR="00FC6E19">
        <w:rPr>
          <w:rFonts w:ascii="Times New Roman" w:hAnsi="Times New Roman" w:cs="Times New Roman"/>
          <w:noProof/>
          <w:sz w:val="24"/>
          <w:szCs w:val="24"/>
        </w:rPr>
        <w:t xml:space="preserve">was consulting with </w:t>
      </w:r>
      <w:r>
        <w:rPr>
          <w:rFonts w:ascii="Times New Roman" w:hAnsi="Times New Roman" w:cs="Times New Roman"/>
          <w:noProof/>
          <w:sz w:val="24"/>
          <w:szCs w:val="24"/>
        </w:rPr>
        <w:t xml:space="preserve">low </w:t>
      </w:r>
      <w:r w:rsidR="00E17870" w:rsidRPr="00DA020D">
        <w:rPr>
          <w:rFonts w:ascii="Times New Roman" w:hAnsi="Times New Roman" w:cs="Times New Roman"/>
          <w:noProof/>
          <w:sz w:val="24"/>
          <w:szCs w:val="24"/>
        </w:rPr>
        <w:t xml:space="preserve">back, </w:t>
      </w:r>
      <w:r>
        <w:rPr>
          <w:rFonts w:ascii="Times New Roman" w:hAnsi="Times New Roman" w:cs="Times New Roman"/>
          <w:noProof/>
          <w:sz w:val="24"/>
          <w:szCs w:val="24"/>
        </w:rPr>
        <w:t xml:space="preserve">neck, </w:t>
      </w:r>
      <w:r w:rsidR="00E17870" w:rsidRPr="00DA020D">
        <w:rPr>
          <w:rFonts w:ascii="Times New Roman" w:hAnsi="Times New Roman" w:cs="Times New Roman"/>
          <w:noProof/>
          <w:sz w:val="24"/>
          <w:szCs w:val="24"/>
        </w:rPr>
        <w:t xml:space="preserve">shoulder, knee or multi-site </w:t>
      </w:r>
      <w:r w:rsidR="00E11774">
        <w:rPr>
          <w:rFonts w:ascii="Times New Roman" w:hAnsi="Times New Roman" w:cs="Times New Roman"/>
          <w:noProof/>
          <w:sz w:val="24"/>
          <w:szCs w:val="24"/>
        </w:rPr>
        <w:t xml:space="preserve">MSK </w:t>
      </w:r>
      <w:r w:rsidR="00E17870" w:rsidRPr="00DA020D">
        <w:rPr>
          <w:rFonts w:ascii="Times New Roman" w:hAnsi="Times New Roman" w:cs="Times New Roman"/>
          <w:noProof/>
          <w:sz w:val="24"/>
          <w:szCs w:val="24"/>
        </w:rPr>
        <w:t xml:space="preserve">pain. Patients were excluded </w:t>
      </w:r>
      <w:r w:rsidR="00FC6E19">
        <w:rPr>
          <w:rFonts w:ascii="Times New Roman" w:hAnsi="Times New Roman" w:cs="Times New Roman"/>
          <w:noProof/>
          <w:sz w:val="24"/>
          <w:szCs w:val="24"/>
        </w:rPr>
        <w:t xml:space="preserve">if they </w:t>
      </w:r>
      <w:r w:rsidR="00950671">
        <w:rPr>
          <w:rFonts w:ascii="Times New Roman" w:hAnsi="Times New Roman" w:cs="Times New Roman"/>
          <w:noProof/>
          <w:sz w:val="24"/>
          <w:szCs w:val="24"/>
        </w:rPr>
        <w:t xml:space="preserve">had </w:t>
      </w:r>
      <w:r w:rsidR="00E17870" w:rsidRPr="00DA020D">
        <w:rPr>
          <w:rFonts w:ascii="Times New Roman" w:hAnsi="Times New Roman" w:cs="Times New Roman"/>
          <w:noProof/>
          <w:sz w:val="24"/>
          <w:szCs w:val="24"/>
        </w:rPr>
        <w:t xml:space="preserve">serious </w:t>
      </w:r>
      <w:r w:rsidR="00DF330C" w:rsidRPr="00DA020D">
        <w:rPr>
          <w:rFonts w:ascii="Times New Roman" w:hAnsi="Times New Roman" w:cs="Times New Roman"/>
          <w:noProof/>
          <w:sz w:val="24"/>
          <w:szCs w:val="24"/>
        </w:rPr>
        <w:t>pathology</w:t>
      </w:r>
      <w:r w:rsidR="00FC6E19">
        <w:rPr>
          <w:rFonts w:ascii="Times New Roman" w:hAnsi="Times New Roman" w:cs="Times New Roman"/>
          <w:noProof/>
          <w:sz w:val="24"/>
          <w:szCs w:val="24"/>
        </w:rPr>
        <w:t xml:space="preserve"> requiring urgent attention</w:t>
      </w:r>
      <w:r w:rsidR="00DF330C" w:rsidRPr="00DA020D">
        <w:rPr>
          <w:rFonts w:ascii="Times New Roman" w:hAnsi="Times New Roman" w:cs="Times New Roman"/>
          <w:noProof/>
          <w:sz w:val="24"/>
          <w:szCs w:val="24"/>
        </w:rPr>
        <w:t xml:space="preserve">, </w:t>
      </w:r>
      <w:r w:rsidR="00FC6E19">
        <w:rPr>
          <w:rFonts w:ascii="Times New Roman" w:hAnsi="Times New Roman" w:cs="Times New Roman"/>
          <w:noProof/>
          <w:sz w:val="24"/>
          <w:szCs w:val="24"/>
        </w:rPr>
        <w:t xml:space="preserve"> were </w:t>
      </w:r>
      <w:r w:rsidR="00DF330C" w:rsidRPr="00DA020D">
        <w:rPr>
          <w:rFonts w:ascii="Times New Roman" w:hAnsi="Times New Roman" w:cs="Times New Roman"/>
          <w:noProof/>
          <w:sz w:val="24"/>
          <w:szCs w:val="24"/>
        </w:rPr>
        <w:t xml:space="preserve">unable to communicate in English, </w:t>
      </w:r>
      <w:r w:rsidR="00950671">
        <w:rPr>
          <w:rFonts w:ascii="Times New Roman" w:hAnsi="Times New Roman" w:cs="Times New Roman"/>
          <w:noProof/>
          <w:sz w:val="24"/>
          <w:szCs w:val="24"/>
        </w:rPr>
        <w:t xml:space="preserve">or </w:t>
      </w:r>
      <w:r w:rsidR="00E17870" w:rsidRPr="00DA020D">
        <w:rPr>
          <w:rFonts w:ascii="Times New Roman" w:hAnsi="Times New Roman" w:cs="Times New Roman"/>
          <w:noProof/>
          <w:sz w:val="24"/>
          <w:szCs w:val="24"/>
        </w:rPr>
        <w:t xml:space="preserve">were </w:t>
      </w:r>
      <w:r w:rsidR="00950671">
        <w:rPr>
          <w:rFonts w:ascii="Times New Roman" w:hAnsi="Times New Roman" w:cs="Times New Roman"/>
          <w:noProof/>
          <w:sz w:val="24"/>
          <w:szCs w:val="24"/>
        </w:rPr>
        <w:t xml:space="preserve">considered </w:t>
      </w:r>
      <w:r w:rsidR="00DF330C" w:rsidRPr="00DA020D">
        <w:rPr>
          <w:rFonts w:ascii="Times New Roman" w:hAnsi="Times New Roman" w:cs="Times New Roman"/>
          <w:noProof/>
          <w:sz w:val="24"/>
          <w:szCs w:val="24"/>
        </w:rPr>
        <w:t>vulnerable</w:t>
      </w:r>
      <w:r>
        <w:rPr>
          <w:rFonts w:ascii="Times New Roman" w:hAnsi="Times New Roman" w:cs="Times New Roman"/>
          <w:noProof/>
          <w:sz w:val="24"/>
          <w:szCs w:val="24"/>
        </w:rPr>
        <w:t xml:space="preserve"> (e.g. </w:t>
      </w:r>
      <w:r w:rsidR="00E17870" w:rsidRPr="00DA020D">
        <w:rPr>
          <w:rFonts w:ascii="Times New Roman" w:hAnsi="Times New Roman" w:cs="Times New Roman"/>
          <w:noProof/>
          <w:sz w:val="24"/>
          <w:szCs w:val="24"/>
        </w:rPr>
        <w:t xml:space="preserve">had </w:t>
      </w:r>
      <w:r>
        <w:rPr>
          <w:rFonts w:ascii="Times New Roman" w:hAnsi="Times New Roman" w:cs="Times New Roman"/>
          <w:noProof/>
          <w:sz w:val="24"/>
          <w:szCs w:val="24"/>
        </w:rPr>
        <w:t>a diagnosis of dementia</w:t>
      </w:r>
      <w:r w:rsidR="00950671">
        <w:rPr>
          <w:rFonts w:ascii="Times New Roman" w:hAnsi="Times New Roman" w:cs="Times New Roman"/>
          <w:noProof/>
          <w:sz w:val="24"/>
          <w:szCs w:val="24"/>
        </w:rPr>
        <w:t>/</w:t>
      </w:r>
      <w:r w:rsidR="00DF330C" w:rsidRPr="00DA020D">
        <w:rPr>
          <w:rFonts w:ascii="Times New Roman" w:hAnsi="Times New Roman" w:cs="Times New Roman"/>
          <w:noProof/>
          <w:sz w:val="24"/>
          <w:szCs w:val="24"/>
        </w:rPr>
        <w:t>terminal illness</w:t>
      </w:r>
      <w:r>
        <w:rPr>
          <w:rFonts w:ascii="Times New Roman" w:hAnsi="Times New Roman" w:cs="Times New Roman"/>
          <w:noProof/>
          <w:sz w:val="24"/>
          <w:szCs w:val="24"/>
        </w:rPr>
        <w:t>)</w:t>
      </w:r>
      <w:r w:rsidR="0052612A" w:rsidRPr="00DA020D">
        <w:rPr>
          <w:rFonts w:ascii="Times New Roman" w:hAnsi="Times New Roman" w:cs="Times New Roman"/>
          <w:noProof/>
          <w:sz w:val="24"/>
          <w:szCs w:val="24"/>
        </w:rPr>
        <w:t>.</w:t>
      </w:r>
    </w:p>
    <w:p w14:paraId="7FE5EDAD" w14:textId="77777777" w:rsidR="0052612A" w:rsidRPr="00DA020D" w:rsidRDefault="0052612A" w:rsidP="00DF330C">
      <w:pPr>
        <w:pStyle w:val="NoSpacing"/>
        <w:spacing w:line="480" w:lineRule="auto"/>
        <w:jc w:val="both"/>
        <w:rPr>
          <w:rFonts w:ascii="Times New Roman" w:hAnsi="Times New Roman" w:cs="Times New Roman"/>
          <w:noProof/>
          <w:sz w:val="24"/>
          <w:szCs w:val="24"/>
        </w:rPr>
      </w:pPr>
    </w:p>
    <w:p w14:paraId="61E538CD" w14:textId="3A325CFC" w:rsidR="009265D3" w:rsidRPr="008E6E45" w:rsidRDefault="00FD2BC4" w:rsidP="00DF330C">
      <w:pPr>
        <w:pStyle w:val="NoSpacing"/>
        <w:spacing w:line="48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2.1.3 </w:t>
      </w:r>
      <w:r w:rsidR="00D77D1F" w:rsidRPr="008E6E45">
        <w:rPr>
          <w:rFonts w:ascii="Times New Roman" w:hAnsi="Times New Roman" w:cs="Times New Roman"/>
          <w:i/>
          <w:noProof/>
          <w:sz w:val="24"/>
          <w:szCs w:val="24"/>
        </w:rPr>
        <w:t>Identification/</w:t>
      </w:r>
      <w:r w:rsidR="009265D3" w:rsidRPr="008E6E45">
        <w:rPr>
          <w:rFonts w:ascii="Times New Roman" w:hAnsi="Times New Roman" w:cs="Times New Roman"/>
          <w:i/>
          <w:noProof/>
          <w:sz w:val="24"/>
          <w:szCs w:val="24"/>
        </w:rPr>
        <w:t>Assessment</w:t>
      </w:r>
    </w:p>
    <w:p w14:paraId="2CA83678" w14:textId="1139E4F9" w:rsidR="0052612A" w:rsidRPr="00DA020D" w:rsidRDefault="00DF330C" w:rsidP="00DF330C">
      <w:pPr>
        <w:pStyle w:val="NoSpacing"/>
        <w:spacing w:line="480" w:lineRule="auto"/>
        <w:jc w:val="both"/>
        <w:rPr>
          <w:rFonts w:ascii="Times New Roman" w:hAnsi="Times New Roman" w:cs="Times New Roman"/>
          <w:noProof/>
          <w:sz w:val="24"/>
          <w:szCs w:val="24"/>
        </w:rPr>
      </w:pPr>
      <w:r w:rsidRPr="00DA020D">
        <w:rPr>
          <w:rFonts w:ascii="Times New Roman" w:hAnsi="Times New Roman" w:cs="Times New Roman"/>
          <w:noProof/>
          <w:sz w:val="24"/>
          <w:szCs w:val="24"/>
        </w:rPr>
        <w:t xml:space="preserve">Patients were identified by weekly sceening of electronic medical records using appropriate </w:t>
      </w:r>
      <w:r w:rsidR="00A06BFE">
        <w:rPr>
          <w:rFonts w:ascii="Times New Roman" w:hAnsi="Times New Roman" w:cs="Times New Roman"/>
          <w:noProof/>
          <w:sz w:val="24"/>
          <w:szCs w:val="24"/>
        </w:rPr>
        <w:t>R</w:t>
      </w:r>
      <w:r w:rsidR="00A06BFE" w:rsidRPr="00DA020D">
        <w:rPr>
          <w:rFonts w:ascii="Times New Roman" w:hAnsi="Times New Roman" w:cs="Times New Roman"/>
          <w:noProof/>
          <w:sz w:val="24"/>
          <w:szCs w:val="24"/>
        </w:rPr>
        <w:t xml:space="preserve">ead </w:t>
      </w:r>
      <w:r w:rsidRPr="00DA020D">
        <w:rPr>
          <w:rFonts w:ascii="Times New Roman" w:hAnsi="Times New Roman" w:cs="Times New Roman"/>
          <w:noProof/>
          <w:sz w:val="24"/>
          <w:szCs w:val="24"/>
        </w:rPr>
        <w:t>codes</w:t>
      </w:r>
      <w:r w:rsidR="00DB6C09">
        <w:rPr>
          <w:rFonts w:ascii="Times New Roman" w:hAnsi="Times New Roman" w:cs="Times New Roman"/>
          <w:noProof/>
          <w:sz w:val="24"/>
          <w:szCs w:val="24"/>
        </w:rPr>
        <w:t xml:space="preserve"> (coded clinical terms)</w:t>
      </w:r>
      <w:r w:rsidRPr="00DA020D">
        <w:rPr>
          <w:rFonts w:ascii="Times New Roman" w:hAnsi="Times New Roman" w:cs="Times New Roman"/>
          <w:noProof/>
          <w:sz w:val="24"/>
          <w:szCs w:val="24"/>
        </w:rPr>
        <w:t xml:space="preserve">. Eligible patients </w:t>
      </w:r>
      <w:r w:rsidR="00E11774">
        <w:rPr>
          <w:rFonts w:ascii="Times New Roman" w:hAnsi="Times New Roman" w:cs="Times New Roman"/>
          <w:noProof/>
          <w:sz w:val="24"/>
          <w:szCs w:val="24"/>
        </w:rPr>
        <w:t>were sent invitation letter</w:t>
      </w:r>
      <w:r w:rsidR="008E6E45">
        <w:rPr>
          <w:rFonts w:ascii="Times New Roman" w:hAnsi="Times New Roman" w:cs="Times New Roman"/>
          <w:noProof/>
          <w:sz w:val="24"/>
          <w:szCs w:val="24"/>
        </w:rPr>
        <w:t>s</w:t>
      </w:r>
      <w:r w:rsidR="00E11774">
        <w:rPr>
          <w:rFonts w:ascii="Times New Roman" w:hAnsi="Times New Roman" w:cs="Times New Roman"/>
          <w:noProof/>
          <w:sz w:val="24"/>
          <w:szCs w:val="24"/>
        </w:rPr>
        <w:t xml:space="preserve"> </w:t>
      </w:r>
      <w:r w:rsidR="00A06BFE">
        <w:rPr>
          <w:rFonts w:ascii="Times New Roman" w:hAnsi="Times New Roman" w:cs="Times New Roman"/>
          <w:noProof/>
          <w:sz w:val="24"/>
          <w:szCs w:val="24"/>
        </w:rPr>
        <w:t xml:space="preserve">from their general practice </w:t>
      </w:r>
      <w:r w:rsidR="00E11774">
        <w:rPr>
          <w:rFonts w:ascii="Times New Roman" w:hAnsi="Times New Roman" w:cs="Times New Roman"/>
          <w:noProof/>
          <w:sz w:val="24"/>
          <w:szCs w:val="24"/>
        </w:rPr>
        <w:t>(</w:t>
      </w:r>
      <w:r w:rsidR="00910F84">
        <w:rPr>
          <w:rFonts w:ascii="Times New Roman" w:hAnsi="Times New Roman" w:cs="Times New Roman"/>
          <w:noProof/>
          <w:sz w:val="24"/>
          <w:szCs w:val="24"/>
        </w:rPr>
        <w:t xml:space="preserve">containing </w:t>
      </w:r>
      <w:r w:rsidRPr="00DA020D">
        <w:rPr>
          <w:rFonts w:ascii="Times New Roman" w:hAnsi="Times New Roman" w:cs="Times New Roman"/>
          <w:noProof/>
          <w:sz w:val="24"/>
          <w:szCs w:val="24"/>
        </w:rPr>
        <w:t xml:space="preserve">a participant information sheet, </w:t>
      </w:r>
      <w:r w:rsidR="00D12F09">
        <w:rPr>
          <w:rFonts w:ascii="Times New Roman" w:hAnsi="Times New Roman" w:cs="Times New Roman"/>
          <w:noProof/>
          <w:sz w:val="24"/>
          <w:szCs w:val="24"/>
        </w:rPr>
        <w:t xml:space="preserve">and </w:t>
      </w:r>
      <w:r w:rsidRPr="00DA020D">
        <w:rPr>
          <w:rFonts w:ascii="Times New Roman" w:hAnsi="Times New Roman" w:cs="Times New Roman"/>
          <w:noProof/>
          <w:sz w:val="24"/>
          <w:szCs w:val="24"/>
        </w:rPr>
        <w:t>baseline questionnaire</w:t>
      </w:r>
      <w:r w:rsidR="00D12F09">
        <w:rPr>
          <w:rFonts w:ascii="Times New Roman" w:hAnsi="Times New Roman" w:cs="Times New Roman"/>
          <w:noProof/>
          <w:sz w:val="24"/>
          <w:szCs w:val="24"/>
        </w:rPr>
        <w:t xml:space="preserve"> including the</w:t>
      </w:r>
      <w:r w:rsidR="00E11774">
        <w:rPr>
          <w:rFonts w:ascii="Times New Roman" w:hAnsi="Times New Roman" w:cs="Times New Roman"/>
          <w:noProof/>
          <w:sz w:val="24"/>
          <w:szCs w:val="24"/>
        </w:rPr>
        <w:t xml:space="preserve"> </w:t>
      </w:r>
      <w:r w:rsidR="00D77D1F">
        <w:rPr>
          <w:rFonts w:ascii="Times New Roman" w:hAnsi="Times New Roman" w:cs="Times New Roman"/>
          <w:noProof/>
          <w:sz w:val="24"/>
          <w:szCs w:val="24"/>
        </w:rPr>
        <w:t>MSK-HQ, EQ-5D-5</w:t>
      </w:r>
      <w:r w:rsidR="00E11774" w:rsidRPr="00DA020D">
        <w:rPr>
          <w:rFonts w:ascii="Times New Roman" w:hAnsi="Times New Roman" w:cs="Times New Roman"/>
          <w:noProof/>
          <w:sz w:val="24"/>
          <w:szCs w:val="24"/>
        </w:rPr>
        <w:t xml:space="preserve">L, </w:t>
      </w:r>
      <w:r w:rsidR="00D12F09">
        <w:rPr>
          <w:rFonts w:ascii="Times New Roman" w:hAnsi="Times New Roman" w:cs="Times New Roman"/>
          <w:noProof/>
          <w:sz w:val="24"/>
          <w:szCs w:val="24"/>
        </w:rPr>
        <w:t xml:space="preserve">a </w:t>
      </w:r>
      <w:r w:rsidR="004F4F90">
        <w:rPr>
          <w:rFonts w:ascii="Times New Roman" w:hAnsi="Times New Roman" w:cs="Times New Roman"/>
          <w:noProof/>
          <w:sz w:val="24"/>
          <w:szCs w:val="24"/>
        </w:rPr>
        <w:t xml:space="preserve">pain intensity </w:t>
      </w:r>
      <w:r w:rsidR="00D12F09">
        <w:rPr>
          <w:rFonts w:ascii="Times New Roman" w:hAnsi="Times New Roman" w:cs="Times New Roman"/>
          <w:noProof/>
          <w:sz w:val="24"/>
          <w:szCs w:val="24"/>
        </w:rPr>
        <w:t xml:space="preserve">measure </w:t>
      </w:r>
      <w:r w:rsidR="004F4F90">
        <w:rPr>
          <w:rFonts w:ascii="Times New Roman" w:hAnsi="Times New Roman" w:cs="Times New Roman"/>
          <w:noProof/>
          <w:sz w:val="24"/>
          <w:szCs w:val="24"/>
        </w:rPr>
        <w:t xml:space="preserve">[11-point numeric rating scale] </w:t>
      </w:r>
      <w:r w:rsidR="00E11774" w:rsidRPr="00DA020D">
        <w:rPr>
          <w:rFonts w:ascii="Times New Roman" w:hAnsi="Times New Roman" w:cs="Times New Roman"/>
          <w:noProof/>
          <w:sz w:val="24"/>
          <w:szCs w:val="24"/>
        </w:rPr>
        <w:t xml:space="preserve">and </w:t>
      </w:r>
      <w:r w:rsidR="008E6E45">
        <w:rPr>
          <w:rFonts w:ascii="Times New Roman" w:hAnsi="Times New Roman" w:cs="Times New Roman"/>
          <w:noProof/>
          <w:sz w:val="24"/>
          <w:szCs w:val="24"/>
        </w:rPr>
        <w:t>pain-</w:t>
      </w:r>
      <w:r w:rsidR="006036DF">
        <w:rPr>
          <w:rFonts w:ascii="Times New Roman" w:hAnsi="Times New Roman" w:cs="Times New Roman"/>
          <w:noProof/>
          <w:sz w:val="24"/>
          <w:szCs w:val="24"/>
        </w:rPr>
        <w:t>site specific PROM</w:t>
      </w:r>
      <w:r w:rsidR="00D12F09">
        <w:rPr>
          <w:rFonts w:ascii="Times New Roman" w:hAnsi="Times New Roman" w:cs="Times New Roman"/>
          <w:noProof/>
          <w:sz w:val="24"/>
          <w:szCs w:val="24"/>
        </w:rPr>
        <w:t xml:space="preserve"> focusing on function</w:t>
      </w:r>
      <w:r w:rsidR="00E11774">
        <w:rPr>
          <w:rFonts w:ascii="Times New Roman" w:hAnsi="Times New Roman" w:cs="Times New Roman"/>
          <w:noProof/>
          <w:sz w:val="24"/>
          <w:szCs w:val="24"/>
        </w:rPr>
        <w:t>)</w:t>
      </w:r>
      <w:r w:rsidRPr="00DA020D">
        <w:rPr>
          <w:rFonts w:ascii="Times New Roman" w:hAnsi="Times New Roman" w:cs="Times New Roman"/>
          <w:noProof/>
          <w:sz w:val="24"/>
          <w:szCs w:val="24"/>
        </w:rPr>
        <w:t xml:space="preserve"> shortly after their consultation. </w:t>
      </w:r>
      <w:r w:rsidR="0052612A" w:rsidRPr="00DA020D">
        <w:rPr>
          <w:rFonts w:ascii="Times New Roman" w:hAnsi="Times New Roman" w:cs="Times New Roman"/>
          <w:noProof/>
          <w:sz w:val="24"/>
          <w:szCs w:val="24"/>
        </w:rPr>
        <w:t xml:space="preserve">The </w:t>
      </w:r>
      <w:r w:rsidR="008E6E45">
        <w:rPr>
          <w:rFonts w:ascii="Times New Roman" w:hAnsi="Times New Roman" w:cs="Times New Roman"/>
          <w:noProof/>
          <w:sz w:val="24"/>
          <w:szCs w:val="24"/>
        </w:rPr>
        <w:t>pain-</w:t>
      </w:r>
      <w:r w:rsidR="006036DF">
        <w:rPr>
          <w:rFonts w:ascii="Times New Roman" w:hAnsi="Times New Roman" w:cs="Times New Roman"/>
          <w:noProof/>
          <w:sz w:val="24"/>
          <w:szCs w:val="24"/>
        </w:rPr>
        <w:t xml:space="preserve">site specific PROM </w:t>
      </w:r>
      <w:r w:rsidR="00E11774">
        <w:rPr>
          <w:rFonts w:ascii="Times New Roman" w:hAnsi="Times New Roman" w:cs="Times New Roman"/>
          <w:noProof/>
          <w:sz w:val="24"/>
          <w:szCs w:val="24"/>
        </w:rPr>
        <w:t xml:space="preserve">depended </w:t>
      </w:r>
      <w:r w:rsidR="008E6E45">
        <w:rPr>
          <w:rFonts w:ascii="Times New Roman" w:hAnsi="Times New Roman" w:cs="Times New Roman"/>
          <w:noProof/>
          <w:sz w:val="24"/>
          <w:szCs w:val="24"/>
        </w:rPr>
        <w:t>on which pain-</w:t>
      </w:r>
      <w:r w:rsidR="00E11774">
        <w:rPr>
          <w:rFonts w:ascii="Times New Roman" w:hAnsi="Times New Roman" w:cs="Times New Roman"/>
          <w:noProof/>
          <w:sz w:val="24"/>
          <w:szCs w:val="24"/>
        </w:rPr>
        <w:t xml:space="preserve">site </w:t>
      </w:r>
      <w:r w:rsidRPr="00DA020D">
        <w:rPr>
          <w:rFonts w:ascii="Times New Roman" w:hAnsi="Times New Roman" w:cs="Times New Roman"/>
          <w:noProof/>
          <w:sz w:val="24"/>
          <w:szCs w:val="24"/>
        </w:rPr>
        <w:t xml:space="preserve">the </w:t>
      </w:r>
      <w:r w:rsidR="00A06BFE">
        <w:rPr>
          <w:rFonts w:ascii="Times New Roman" w:hAnsi="Times New Roman" w:cs="Times New Roman"/>
          <w:noProof/>
          <w:sz w:val="24"/>
          <w:szCs w:val="24"/>
        </w:rPr>
        <w:t xml:space="preserve">clinician </w:t>
      </w:r>
      <w:r w:rsidRPr="00DA020D">
        <w:rPr>
          <w:rFonts w:ascii="Times New Roman" w:hAnsi="Times New Roman" w:cs="Times New Roman"/>
          <w:noProof/>
          <w:sz w:val="24"/>
          <w:szCs w:val="24"/>
        </w:rPr>
        <w:t xml:space="preserve">recorded as the primary reason for their visit. </w:t>
      </w:r>
      <w:r w:rsidR="00D12F09">
        <w:rPr>
          <w:rFonts w:ascii="Times New Roman" w:hAnsi="Times New Roman" w:cs="Times New Roman"/>
          <w:noProof/>
          <w:sz w:val="24"/>
          <w:szCs w:val="24"/>
        </w:rPr>
        <w:t xml:space="preserve">Patients consenting to data collection </w:t>
      </w:r>
      <w:r w:rsidR="00A06BFE">
        <w:rPr>
          <w:rFonts w:ascii="Times New Roman" w:hAnsi="Times New Roman" w:cs="Times New Roman"/>
          <w:noProof/>
          <w:sz w:val="24"/>
          <w:szCs w:val="24"/>
        </w:rPr>
        <w:t>were sent</w:t>
      </w:r>
      <w:r w:rsidR="00A06BFE" w:rsidRPr="00DA020D">
        <w:rPr>
          <w:rFonts w:ascii="Times New Roman" w:hAnsi="Times New Roman" w:cs="Times New Roman"/>
          <w:noProof/>
          <w:sz w:val="24"/>
          <w:szCs w:val="24"/>
        </w:rPr>
        <w:t xml:space="preserve"> </w:t>
      </w:r>
      <w:r w:rsidRPr="00DA020D">
        <w:rPr>
          <w:rFonts w:ascii="Times New Roman" w:hAnsi="Times New Roman" w:cs="Times New Roman"/>
          <w:noProof/>
          <w:sz w:val="24"/>
          <w:szCs w:val="24"/>
        </w:rPr>
        <w:t xml:space="preserve">a </w:t>
      </w:r>
      <w:r w:rsidR="00E11774">
        <w:rPr>
          <w:rFonts w:ascii="Times New Roman" w:hAnsi="Times New Roman" w:cs="Times New Roman"/>
          <w:noProof/>
          <w:sz w:val="24"/>
          <w:szCs w:val="24"/>
        </w:rPr>
        <w:t>questionnaire at 6-</w:t>
      </w:r>
      <w:r w:rsidR="00A22F03" w:rsidRPr="00DA020D">
        <w:rPr>
          <w:rFonts w:ascii="Times New Roman" w:hAnsi="Times New Roman" w:cs="Times New Roman"/>
          <w:noProof/>
          <w:sz w:val="24"/>
          <w:szCs w:val="24"/>
        </w:rPr>
        <w:t>months</w:t>
      </w:r>
      <w:r w:rsidR="00A06BFE">
        <w:rPr>
          <w:rFonts w:ascii="Times New Roman" w:hAnsi="Times New Roman" w:cs="Times New Roman"/>
          <w:noProof/>
          <w:sz w:val="24"/>
          <w:szCs w:val="24"/>
        </w:rPr>
        <w:t xml:space="preserve"> </w:t>
      </w:r>
      <w:r w:rsidR="00A06BFE" w:rsidRPr="00DA020D">
        <w:rPr>
          <w:rFonts w:ascii="Times New Roman" w:hAnsi="Times New Roman" w:cs="Times New Roman"/>
          <w:noProof/>
          <w:sz w:val="24"/>
          <w:szCs w:val="24"/>
        </w:rPr>
        <w:t>follow-up</w:t>
      </w:r>
      <w:r w:rsidR="00A06BFE">
        <w:rPr>
          <w:rFonts w:ascii="Times New Roman" w:hAnsi="Times New Roman" w:cs="Times New Roman"/>
          <w:noProof/>
          <w:sz w:val="24"/>
          <w:szCs w:val="24"/>
        </w:rPr>
        <w:t xml:space="preserve">, </w:t>
      </w:r>
      <w:r w:rsidR="00910F84">
        <w:rPr>
          <w:rFonts w:ascii="Times New Roman" w:hAnsi="Times New Roman" w:cs="Times New Roman"/>
          <w:noProof/>
          <w:sz w:val="24"/>
          <w:szCs w:val="24"/>
        </w:rPr>
        <w:t xml:space="preserve">capturing the same PROMs alongside a </w:t>
      </w:r>
      <w:r w:rsidR="00910F84" w:rsidRPr="00DA020D">
        <w:rPr>
          <w:rFonts w:ascii="Times New Roman" w:hAnsi="Times New Roman" w:cs="Times New Roman"/>
          <w:noProof/>
          <w:sz w:val="24"/>
          <w:szCs w:val="24"/>
        </w:rPr>
        <w:t xml:space="preserve">global rating of change in their MSK </w:t>
      </w:r>
      <w:r w:rsidR="00BC6553">
        <w:rPr>
          <w:rFonts w:ascii="Times New Roman" w:hAnsi="Times New Roman" w:cs="Times New Roman"/>
          <w:noProof/>
          <w:sz w:val="24"/>
          <w:szCs w:val="24"/>
        </w:rPr>
        <w:t>condition</w:t>
      </w:r>
      <w:r w:rsidR="00910F84">
        <w:rPr>
          <w:rFonts w:ascii="Times New Roman" w:hAnsi="Times New Roman" w:cs="Times New Roman"/>
          <w:noProof/>
          <w:sz w:val="24"/>
          <w:szCs w:val="24"/>
        </w:rPr>
        <w:t>.</w:t>
      </w:r>
    </w:p>
    <w:p w14:paraId="1315D88B" w14:textId="77777777" w:rsidR="0052612A" w:rsidRPr="00DA020D" w:rsidRDefault="0052612A" w:rsidP="00DF330C">
      <w:pPr>
        <w:pStyle w:val="NoSpacing"/>
        <w:spacing w:line="480" w:lineRule="auto"/>
        <w:jc w:val="both"/>
        <w:rPr>
          <w:rFonts w:ascii="Times New Roman" w:hAnsi="Times New Roman" w:cs="Times New Roman"/>
          <w:noProof/>
          <w:sz w:val="24"/>
          <w:szCs w:val="24"/>
        </w:rPr>
      </w:pPr>
    </w:p>
    <w:p w14:paraId="324BBA88" w14:textId="77777777" w:rsidR="00B2603D" w:rsidRDefault="00B2603D">
      <w:pPr>
        <w:rPr>
          <w:rFonts w:ascii="Times New Roman" w:hAnsi="Times New Roman" w:cs="Times New Roman"/>
          <w:i/>
          <w:noProof/>
          <w:sz w:val="24"/>
          <w:szCs w:val="24"/>
        </w:rPr>
      </w:pPr>
      <w:r>
        <w:rPr>
          <w:rFonts w:ascii="Times New Roman" w:hAnsi="Times New Roman" w:cs="Times New Roman"/>
          <w:i/>
          <w:noProof/>
          <w:sz w:val="24"/>
          <w:szCs w:val="24"/>
        </w:rPr>
        <w:br w:type="page"/>
      </w:r>
    </w:p>
    <w:p w14:paraId="24E73844" w14:textId="54799700" w:rsidR="00CB6F41" w:rsidRDefault="00FD2BC4" w:rsidP="00DF330C">
      <w:pPr>
        <w:pStyle w:val="NoSpacing"/>
        <w:spacing w:line="480" w:lineRule="auto"/>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 xml:space="preserve">2.1.4 </w:t>
      </w:r>
      <w:r w:rsidR="00CB6F41">
        <w:rPr>
          <w:rFonts w:ascii="Times New Roman" w:hAnsi="Times New Roman" w:cs="Times New Roman"/>
          <w:i/>
          <w:noProof/>
          <w:sz w:val="24"/>
          <w:szCs w:val="24"/>
        </w:rPr>
        <w:t>Pooled Analysis</w:t>
      </w:r>
    </w:p>
    <w:p w14:paraId="387BB5CF" w14:textId="53FB7547" w:rsidR="00DF330C" w:rsidRPr="00DA020D" w:rsidRDefault="00A06BFE" w:rsidP="00DF330C">
      <w:pPr>
        <w:pStyle w:val="NoSpacing"/>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Analysis of the results from the</w:t>
      </w:r>
      <w:r w:rsidR="00A22F03" w:rsidRPr="00DA020D">
        <w:rPr>
          <w:rFonts w:ascii="Times New Roman" w:hAnsi="Times New Roman" w:cs="Times New Roman"/>
          <w:noProof/>
          <w:sz w:val="24"/>
          <w:szCs w:val="24"/>
        </w:rPr>
        <w:t xml:space="preserve"> pilot </w:t>
      </w:r>
      <w:r w:rsidR="008620D2">
        <w:rPr>
          <w:rFonts w:ascii="Times New Roman" w:hAnsi="Times New Roman" w:cs="Times New Roman"/>
          <w:noProof/>
          <w:sz w:val="24"/>
          <w:szCs w:val="24"/>
        </w:rPr>
        <w:t xml:space="preserve">RCT </w:t>
      </w:r>
      <w:r w:rsidR="008E6E45" w:rsidRPr="00DA020D">
        <w:rPr>
          <w:rFonts w:ascii="Times New Roman" w:hAnsi="Times New Roman" w:cs="Times New Roman"/>
          <w:noProof/>
          <w:sz w:val="24"/>
          <w:szCs w:val="24"/>
        </w:rPr>
        <w:t>primary analysis</w:t>
      </w:r>
      <w:r>
        <w:rPr>
          <w:rFonts w:ascii="Times New Roman" w:hAnsi="Times New Roman" w:cs="Times New Roman"/>
          <w:noProof/>
          <w:sz w:val="24"/>
          <w:szCs w:val="24"/>
        </w:rPr>
        <w:t xml:space="preserve"> </w:t>
      </w:r>
      <w:r w:rsidR="005D3220">
        <w:rPr>
          <w:rFonts w:ascii="Times New Roman" w:hAnsi="Times New Roman" w:cs="Times New Roman"/>
          <w:noProof/>
          <w:sz w:val="24"/>
          <w:szCs w:val="24"/>
        </w:rPr>
        <w:t xml:space="preserve">focused on feasibility outcomes </w:t>
      </w:r>
      <w:r w:rsidR="00D77D1F">
        <w:rPr>
          <w:rFonts w:ascii="Times New Roman" w:hAnsi="Times New Roman" w:cs="Times New Roman"/>
          <w:noProof/>
          <w:sz w:val="24"/>
          <w:szCs w:val="24"/>
        </w:rPr>
        <w:t xml:space="preserve">(e.g. </w:t>
      </w:r>
      <w:r w:rsidR="005D3220">
        <w:rPr>
          <w:rFonts w:ascii="Times New Roman" w:hAnsi="Times New Roman" w:cs="Times New Roman"/>
          <w:noProof/>
          <w:sz w:val="24"/>
          <w:szCs w:val="24"/>
        </w:rPr>
        <w:t>recruitment</w:t>
      </w:r>
      <w:r>
        <w:rPr>
          <w:rFonts w:ascii="Times New Roman" w:hAnsi="Times New Roman" w:cs="Times New Roman"/>
          <w:noProof/>
          <w:sz w:val="24"/>
          <w:szCs w:val="24"/>
        </w:rPr>
        <w:t>, use of stratified care</w:t>
      </w:r>
      <w:r w:rsidR="00D77D1F">
        <w:rPr>
          <w:rFonts w:ascii="Times New Roman" w:hAnsi="Times New Roman" w:cs="Times New Roman"/>
          <w:noProof/>
          <w:sz w:val="24"/>
          <w:szCs w:val="24"/>
        </w:rPr>
        <w:t>)</w:t>
      </w:r>
      <w:r w:rsidR="00B6398C" w:rsidRPr="007A0E61">
        <w:rPr>
          <w:rFonts w:ascii="Times New Roman" w:hAnsi="Times New Roman" w:cs="Times New Roman"/>
          <w:noProof/>
          <w:sz w:val="24"/>
          <w:szCs w:val="24"/>
        </w:rPr>
        <w:t>, alongside describing patients’ clinical outcomes over 6 months.</w:t>
      </w:r>
      <w:r w:rsidR="005D3220" w:rsidRPr="00B6398C">
        <w:rPr>
          <w:rFonts w:ascii="Times New Roman" w:hAnsi="Times New Roman" w:cs="Times New Roman"/>
          <w:noProof/>
          <w:sz w:val="24"/>
          <w:szCs w:val="24"/>
        </w:rPr>
        <w:t xml:space="preserve"> </w:t>
      </w:r>
      <w:r w:rsidR="00B6398C" w:rsidRPr="00B6398C">
        <w:rPr>
          <w:rFonts w:ascii="Times New Roman" w:hAnsi="Times New Roman" w:cs="Times New Roman"/>
          <w:noProof/>
          <w:sz w:val="24"/>
          <w:szCs w:val="24"/>
        </w:rPr>
        <w:fldChar w:fldCharType="begin" w:fldLock="1"/>
      </w:r>
      <w:r w:rsidR="00243DD5">
        <w:rPr>
          <w:rFonts w:ascii="Times New Roman" w:hAnsi="Times New Roman" w:cs="Times New Roman"/>
          <w:noProof/>
          <w:sz w:val="24"/>
          <w:szCs w:val="24"/>
        </w:rPr>
        <w:instrText>ADDIN CSL_CITATION {"citationItems":[{"id":"ITEM-1","itemData":{"author":[{"dropping-particle":"","family":"Hill","given":"J.C.","non-dropping-particle":"","parse-names":false,"suffix":""},{"dropping-particle":"","family":"Garvin","given":"S.","non-dropping-particle":"","parse-names":false,"suffix":""},{"dropping-particle":"","family":"Chen","given":"Y.","non-dropping-particle":"","parse-names":false,"suffix":""},{"dropping-particle":"","family":"Cooper","given":"V.","non-dropping-particle":"","parse-names":false,"suffix":""},{"dropping-particle":"","family":"Wathall","given":"S.","non-dropping-particle":"","parse-names":false,"suffix":""},{"dropping-particle":"","family":"Saunders","given":"B.","non-dropping-particle":"","parse-names":false,"suffix":""},{"dropping-particle":"","family":"Lewis","given":"M.","non-dropping-particle":"","parse-names":false,"suffix":""},{"dropping-particle":"","family":"Protheroe","given":"J.","non-dropping-particle":"","parse-names":false,"suffix":""},{"dropping-particle":"","family":"Chudyk","given":"A.","non-dropping-particle":"","parse-names":false,"suffix":""},{"dropping-particle":"","family":"Dunn","given":"K.M.","non-dropping-particle":"","parse-names":false,"suffix":""},{"dropping-particle":"","family":"Hay","given":"E.","non-dropping-particle":"","parse-names":false,"suffix":""},{"dropping-particle":"","family":"Windt","given":"D.","non-dropping-particle":"van der","parse-names":false,"suffix":""},{"dropping-particle":"","family":"CM","given":"Mallen","non-dropping-particle":"","parse-names":false,"suffix":""},{"dropping-particle":"","family":"Foster","given":"N.E.","non-dropping-particle":"","parse-names":false,"suffix":""}],"container-title":"BMC family practice","id":"ITEM-1","issued":{"date-parts":[["0"]]},"title":"Stratified primary care versus non-stratified care for musculoskeletal pain: findings from the STarT MSK feasibility and pilot cluster randomized controlled trial","type":"article-journal"},"uris":["http://www.mendeley.com/documents/?uuid=5307bbce-94c9-48a8-9118-3d2d86945be3"]}],"mendeley":{"formattedCitation":"(8)","plainTextFormattedCitation":"(8)","previouslyFormattedCitation":"(8)"},"properties":{"noteIndex":0},"schema":"https://github.com/citation-style-language/schema/raw/master/csl-citation.json"}</w:instrText>
      </w:r>
      <w:r w:rsidR="00B6398C" w:rsidRPr="007A0E61">
        <w:rPr>
          <w:rFonts w:ascii="Times New Roman" w:hAnsi="Times New Roman" w:cs="Times New Roman"/>
          <w:noProof/>
          <w:sz w:val="24"/>
          <w:szCs w:val="24"/>
        </w:rPr>
        <w:fldChar w:fldCharType="separate"/>
      </w:r>
      <w:r w:rsidR="00B6398C" w:rsidRPr="00B6398C">
        <w:rPr>
          <w:rFonts w:ascii="Times New Roman" w:hAnsi="Times New Roman" w:cs="Times New Roman"/>
          <w:noProof/>
          <w:sz w:val="24"/>
          <w:szCs w:val="24"/>
        </w:rPr>
        <w:t>(8)</w:t>
      </w:r>
      <w:r w:rsidR="00B6398C" w:rsidRPr="00B6398C">
        <w:rPr>
          <w:rFonts w:ascii="Times New Roman" w:hAnsi="Times New Roman" w:cs="Times New Roman"/>
          <w:noProof/>
          <w:sz w:val="24"/>
          <w:szCs w:val="24"/>
        </w:rPr>
        <w:fldChar w:fldCharType="end"/>
      </w:r>
      <w:r w:rsidR="00A22F03" w:rsidRPr="00B6398C">
        <w:rPr>
          <w:rFonts w:ascii="Times New Roman" w:hAnsi="Times New Roman" w:cs="Times New Roman"/>
          <w:noProof/>
          <w:sz w:val="24"/>
          <w:szCs w:val="24"/>
        </w:rPr>
        <w:t xml:space="preserve">. For </w:t>
      </w:r>
      <w:r w:rsidRPr="00B6398C">
        <w:rPr>
          <w:rFonts w:ascii="Times New Roman" w:hAnsi="Times New Roman" w:cs="Times New Roman"/>
          <w:noProof/>
          <w:sz w:val="24"/>
          <w:szCs w:val="24"/>
        </w:rPr>
        <w:t>this</w:t>
      </w:r>
      <w:r w:rsidR="00A22F03" w:rsidRPr="00243DD5">
        <w:rPr>
          <w:rFonts w:ascii="Times New Roman" w:hAnsi="Times New Roman" w:cs="Times New Roman"/>
          <w:noProof/>
          <w:sz w:val="24"/>
          <w:szCs w:val="24"/>
        </w:rPr>
        <w:t xml:space="preserve"> secondary analysi</w:t>
      </w:r>
      <w:r w:rsidR="00A22F03" w:rsidRPr="00DA020D">
        <w:rPr>
          <w:rFonts w:ascii="Times New Roman" w:hAnsi="Times New Roman" w:cs="Times New Roman"/>
          <w:noProof/>
          <w:sz w:val="24"/>
          <w:szCs w:val="24"/>
        </w:rPr>
        <w:t>s</w:t>
      </w:r>
      <w:r w:rsidR="00DF330C" w:rsidRPr="00DA020D">
        <w:rPr>
          <w:rFonts w:ascii="Times New Roman" w:hAnsi="Times New Roman" w:cs="Times New Roman"/>
          <w:noProof/>
          <w:sz w:val="24"/>
          <w:szCs w:val="24"/>
        </w:rPr>
        <w:t xml:space="preserve">, </w:t>
      </w:r>
      <w:r>
        <w:rPr>
          <w:rFonts w:ascii="Times New Roman" w:hAnsi="Times New Roman" w:cs="Times New Roman"/>
          <w:noProof/>
          <w:sz w:val="24"/>
          <w:szCs w:val="24"/>
        </w:rPr>
        <w:t xml:space="preserve">the two intervention </w:t>
      </w:r>
      <w:r w:rsidR="00A22F03" w:rsidRPr="00DA020D">
        <w:rPr>
          <w:rFonts w:ascii="Times New Roman" w:hAnsi="Times New Roman" w:cs="Times New Roman"/>
          <w:noProof/>
          <w:sz w:val="24"/>
          <w:szCs w:val="24"/>
        </w:rPr>
        <w:t>arms were pooled</w:t>
      </w:r>
      <w:r>
        <w:rPr>
          <w:rFonts w:ascii="Times New Roman" w:hAnsi="Times New Roman" w:cs="Times New Roman"/>
          <w:noProof/>
          <w:sz w:val="24"/>
          <w:szCs w:val="24"/>
        </w:rPr>
        <w:t xml:space="preserve"> to make one dataset</w:t>
      </w:r>
      <w:r w:rsidR="0064403F">
        <w:rPr>
          <w:rFonts w:ascii="Times New Roman" w:hAnsi="Times New Roman" w:cs="Times New Roman"/>
          <w:noProof/>
          <w:sz w:val="24"/>
          <w:szCs w:val="24"/>
        </w:rPr>
        <w:t>.</w:t>
      </w:r>
    </w:p>
    <w:p w14:paraId="15338BD3" w14:textId="34BB289F" w:rsidR="00AC3A91" w:rsidRPr="00DA020D" w:rsidRDefault="001217DD" w:rsidP="006B0978">
      <w:pPr>
        <w:pStyle w:val="NoSpacing"/>
        <w:spacing w:line="480" w:lineRule="auto"/>
        <w:jc w:val="both"/>
        <w:rPr>
          <w:rFonts w:ascii="Times New Roman" w:hAnsi="Times New Roman" w:cs="Times New Roman"/>
          <w:noProof/>
          <w:sz w:val="24"/>
          <w:szCs w:val="24"/>
        </w:rPr>
      </w:pPr>
      <w:r w:rsidRPr="00DA020D">
        <w:rPr>
          <w:rFonts w:ascii="Times New Roman" w:hAnsi="Times New Roman" w:cs="Times New Roman"/>
          <w:noProof/>
          <w:sz w:val="24"/>
          <w:szCs w:val="24"/>
        </w:rPr>
        <w:t xml:space="preserve"> </w:t>
      </w:r>
    </w:p>
    <w:p w14:paraId="7587CD61" w14:textId="4B1CFB9F" w:rsidR="00061FF3" w:rsidRPr="00DA020D" w:rsidRDefault="00FD2BC4" w:rsidP="006B0978">
      <w:pPr>
        <w:pStyle w:val="NoSpacing"/>
        <w:spacing w:line="48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2.2 </w:t>
      </w:r>
      <w:r w:rsidR="00CA3B91" w:rsidRPr="00DA020D">
        <w:rPr>
          <w:rFonts w:ascii="Times New Roman" w:hAnsi="Times New Roman" w:cs="Times New Roman"/>
          <w:b/>
          <w:noProof/>
          <w:sz w:val="24"/>
          <w:szCs w:val="24"/>
        </w:rPr>
        <w:t xml:space="preserve">Patient Reported Outcome </w:t>
      </w:r>
      <w:r w:rsidR="00A62EE8" w:rsidRPr="00DA020D">
        <w:rPr>
          <w:rFonts w:ascii="Times New Roman" w:hAnsi="Times New Roman" w:cs="Times New Roman"/>
          <w:b/>
          <w:noProof/>
          <w:sz w:val="24"/>
          <w:szCs w:val="24"/>
        </w:rPr>
        <w:t>Measures</w:t>
      </w:r>
      <w:r w:rsidR="0031243F">
        <w:rPr>
          <w:rFonts w:ascii="Times New Roman" w:hAnsi="Times New Roman" w:cs="Times New Roman"/>
          <w:b/>
          <w:noProof/>
          <w:sz w:val="24"/>
          <w:szCs w:val="24"/>
        </w:rPr>
        <w:t xml:space="preserve"> (PROMs)</w:t>
      </w:r>
    </w:p>
    <w:p w14:paraId="4EBD9BAC" w14:textId="6835D247" w:rsidR="00E17870" w:rsidRPr="00BC6553" w:rsidRDefault="00FD2BC4" w:rsidP="00CA3B91">
      <w:pPr>
        <w:pStyle w:val="NoSpacing"/>
        <w:spacing w:line="48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2.2.1 </w:t>
      </w:r>
      <w:r w:rsidR="009265D3" w:rsidRPr="00BC6553">
        <w:rPr>
          <w:rFonts w:ascii="Times New Roman" w:hAnsi="Times New Roman" w:cs="Times New Roman"/>
          <w:i/>
          <w:noProof/>
          <w:sz w:val="24"/>
          <w:szCs w:val="24"/>
        </w:rPr>
        <w:t xml:space="preserve">All </w:t>
      </w:r>
      <w:r w:rsidR="0031243F" w:rsidRPr="00BC6553">
        <w:rPr>
          <w:rFonts w:ascii="Times New Roman" w:hAnsi="Times New Roman" w:cs="Times New Roman"/>
          <w:i/>
          <w:noProof/>
          <w:sz w:val="24"/>
          <w:szCs w:val="24"/>
        </w:rPr>
        <w:t>Participants</w:t>
      </w:r>
    </w:p>
    <w:p w14:paraId="3D55447D" w14:textId="532A7A92" w:rsidR="008735B8" w:rsidRPr="00DA020D" w:rsidRDefault="00CA3B91" w:rsidP="008735B8">
      <w:pPr>
        <w:pStyle w:val="NoSpacing"/>
        <w:spacing w:line="480" w:lineRule="auto"/>
        <w:jc w:val="both"/>
      </w:pPr>
      <w:r w:rsidRPr="00BC6553">
        <w:rPr>
          <w:rFonts w:ascii="Times New Roman" w:hAnsi="Times New Roman" w:cs="Times New Roman"/>
          <w:noProof/>
          <w:sz w:val="24"/>
          <w:szCs w:val="24"/>
        </w:rPr>
        <w:t xml:space="preserve">All </w:t>
      </w:r>
      <w:r w:rsidR="0031243F" w:rsidRPr="00BC6553">
        <w:rPr>
          <w:rFonts w:ascii="Times New Roman" w:hAnsi="Times New Roman" w:cs="Times New Roman"/>
          <w:noProof/>
          <w:sz w:val="24"/>
          <w:szCs w:val="24"/>
        </w:rPr>
        <w:t xml:space="preserve">participants </w:t>
      </w:r>
      <w:r w:rsidR="00CB6F41" w:rsidRPr="00BC6553">
        <w:rPr>
          <w:rFonts w:ascii="Times New Roman" w:hAnsi="Times New Roman" w:cs="Times New Roman"/>
          <w:noProof/>
          <w:sz w:val="24"/>
          <w:szCs w:val="24"/>
        </w:rPr>
        <w:t xml:space="preserve">completed </w:t>
      </w:r>
      <w:r w:rsidRPr="00BC6553">
        <w:rPr>
          <w:rFonts w:ascii="Times New Roman" w:hAnsi="Times New Roman" w:cs="Times New Roman"/>
          <w:noProof/>
          <w:sz w:val="24"/>
          <w:szCs w:val="24"/>
        </w:rPr>
        <w:t>the MSK-HQ and EQ-5D-</w:t>
      </w:r>
      <w:r w:rsidR="00381CB5" w:rsidRPr="00BC6553">
        <w:rPr>
          <w:rFonts w:ascii="Times New Roman" w:hAnsi="Times New Roman" w:cs="Times New Roman"/>
          <w:noProof/>
          <w:sz w:val="24"/>
          <w:szCs w:val="24"/>
        </w:rPr>
        <w:t>5</w:t>
      </w:r>
      <w:r w:rsidRPr="00BC6553">
        <w:rPr>
          <w:rFonts w:ascii="Times New Roman" w:hAnsi="Times New Roman" w:cs="Times New Roman"/>
          <w:noProof/>
          <w:sz w:val="24"/>
          <w:szCs w:val="24"/>
        </w:rPr>
        <w:t>L</w:t>
      </w:r>
      <w:r w:rsidR="00CB6F41" w:rsidRPr="00BC6553">
        <w:rPr>
          <w:rFonts w:ascii="Times New Roman" w:hAnsi="Times New Roman" w:cs="Times New Roman"/>
          <w:noProof/>
          <w:sz w:val="24"/>
          <w:szCs w:val="24"/>
        </w:rPr>
        <w:t xml:space="preserve">. </w:t>
      </w:r>
      <w:r w:rsidR="00F053A3" w:rsidRPr="007A0E61">
        <w:rPr>
          <w:rFonts w:ascii="Times New Roman" w:hAnsi="Times New Roman" w:cs="Times New Roman"/>
          <w:sz w:val="24"/>
          <w:szCs w:val="24"/>
        </w:rPr>
        <w:t>The MSK-HQ uses 14 items to capture domains prioritised as important by patients and clinicians</w:t>
      </w:r>
      <w:r w:rsidR="00243DD5">
        <w:rPr>
          <w:rFonts w:ascii="Times New Roman" w:hAnsi="Times New Roman" w:cs="Times New Roman"/>
          <w:sz w:val="24"/>
          <w:szCs w:val="24"/>
        </w:rPr>
        <w:t xml:space="preserve"> </w:t>
      </w:r>
      <w:r w:rsidR="00243DD5">
        <w:rPr>
          <w:rFonts w:ascii="Times New Roman" w:hAnsi="Times New Roman" w:cs="Times New Roman"/>
          <w:sz w:val="24"/>
          <w:szCs w:val="24"/>
        </w:rPr>
        <w:fldChar w:fldCharType="begin" w:fldLock="1"/>
      </w:r>
      <w:r w:rsidR="00243DD5">
        <w:rPr>
          <w:rFonts w:ascii="Times New Roman" w:hAnsi="Times New Roman" w:cs="Times New Roman"/>
          <w:sz w:val="24"/>
          <w:szCs w:val="24"/>
        </w:rPr>
        <w:instrText>ADDIN CSL_CITATION {"citationItems":[{"id":"ITEM-1","itemData":{"DOI":"https://dx.doi.org/10.1136/bmjopen-2016-012331","ISSN":"2044-6055","abstract":"OBJECTIVES: Current musculoskeletal outcome tools are fragmented across different healthcare settings and conditions. Our objectives were to develop and validate a single musculoskeletal outcome measure for use throughout the pathway and patients with different musculoskeletal conditions: the Arthritis Research UK Musculoskeletal Health Questionnaire (MSK-HQ)., SETTING: A consensus workshop with stakeholders from across the musculoskeletal community, workshops and individual interviews with a broad mix of musculoskeletal patients identified and prioritised outcomes for MSK-HQ inclusion. Initial psychometric validation was conducted in four cohorts from community physiotherapy, and secondary care orthopaedic hip, knee and shoulder clinics., PARTICIPANTS: Stakeholders (n=29) included primary care, physiotherapy, orthopaedic and rheumatology patients (n=8); general practitioners, physiotherapists, orthopaedists, rheumatologists and pain specialists (n=7), patient and professional national body representatives (n=10), and researchers (n=4). The four validation cohorts included 570 participants (n=210 physiotherapy, n=150 hip, n=150 knee, n=60 shoulder patients)., OUTCOME MEASURES: Outcomes included the MSK-HQ's acceptability, feasibility, comprehension, readability and responder burden. The validation cohort outcomes were the MSK-HQ's completion rate, test-retest reliability and convergent validity with reference standards (EQ-5D-5L, Oxford Hip, Knee, Shoulder Scores, and the Keele MSK-PROM)., RESULTS: Musculoskeletal domains prioritised were pain severity, physical function, work interference, social interference, sleep, fatigue, emotional health, physical activity, independence, understanding, confidence to self-manage and overall impact. Patients reported MSK-HQ items to be 'highly relevant' and 'easy to understand'. Completion rates were high (94.2%), with scores normally distributed, and no floor/ceiling effects. Test-retest reliability was excellent, and convergent validity was strong (correlations 0.81-0.88)., CONCLUSIONS: A new musculoskeletal outcome measure has been developed through a coproduction process with patients to capture prioritised outcomes for use throughout the pathway and with different musculoskeletal conditions. Four validation cohorts found that the MSK-HQ had high completion rates, excellent test-retest reliability and strong convergent validity with reference standards. Further validation studies are ongoing, including a cohort …","author":[{"dropping-particle":"","family":"Hill","given":"Jonathan C","non-dropping-particle":"","parse-names":false,"suffix":""},{"dropping-particle":"","family":"Kang","given":"Sujin","non-dropping-particle":"","parse-names":false,"suffix":""},{"dropping-particle":"","family":"Benedetto","given":"Elena","non-dropping-particle":"","parse-names":false,"suffix":""},{"dropping-particle":"","family":"Myers","given":"Helen","non-dropping-particle":"","parse-names":false,"suffix":""},{"dropping-particle":"","family":"Blackburn","given":"Steven","non-dropping-particle":"","parse-names":false,"suffix":""},{"dropping-particle":"","family":"Smith","given":"Stephanie","non-dropping-particle":"","parse-names":false,"suffix":""},{"dropping-particle":"","family":"Dunn","given":"Kate M","non-dropping-particle":"","parse-names":false,"suffix":""},{"dropping-particle":"","family":"Hay","given":"Elaine","non-dropping-particle":"","parse-names":false,"suffix":""},{"dropping-particle":"","family":"Rees","given":"Jonathan","non-dropping-particle":"","parse-names":false,"suffix":""},{"dropping-particle":"","family":"Beard","given":"David","non-dropping-particle":"","parse-names":false,"suffix":""},{"dropping-particle":"","family":"Glyn-Jones","given":"Sion","non-dropping-particle":"","parse-names":false,"suffix":""},{"dropping-particle":"","family":"Barker","given":"Karen","non-dropping-particle":"","parse-names":false,"suffix":""},{"dropping-particle":"","family":"Ellis","given":"Benjamin","non-dropping-particle":"","parse-names":false,"suffix":""},{"dropping-particle":"","family":"Fitzpatrick","given":"Ray","non-dropping-particle":"","parse-names":false,"suffix":""},{"dropping-particle":"","family":"Price","given":"Andrew","non-dropping-particle":"","parse-names":false,"suffix":""}],"container-title":"BMJ open","id":"ITEM-1","issue":"8","issued":{"date-parts":[["2016"]]},"page":"e012331","publisher-place":"England","title":"Development and initial cohort validation of the Arthritis Research UK Musculoskeletal Health Questionnaire (MSK-HQ) for use across musculoskeletal care pathways.","type":"article-journal","volume":"6"},"uris":["http://www.mendeley.com/documents/?uuid=8c10e695-9509-4784-bfb6-e4fa4a9ccf59"]}],"mendeley":{"formattedCitation":"(6)","plainTextFormattedCitation":"(6)","previouslyFormattedCitation":"(6)"},"properties":{"noteIndex":0},"schema":"https://github.com/citation-style-language/schema/raw/master/csl-citation.json"}</w:instrText>
      </w:r>
      <w:r w:rsidR="00243DD5">
        <w:rPr>
          <w:rFonts w:ascii="Times New Roman" w:hAnsi="Times New Roman" w:cs="Times New Roman"/>
          <w:sz w:val="24"/>
          <w:szCs w:val="24"/>
        </w:rPr>
        <w:fldChar w:fldCharType="separate"/>
      </w:r>
      <w:r w:rsidR="00243DD5" w:rsidRPr="00243DD5">
        <w:rPr>
          <w:rFonts w:ascii="Times New Roman" w:hAnsi="Times New Roman" w:cs="Times New Roman"/>
          <w:noProof/>
          <w:sz w:val="24"/>
          <w:szCs w:val="24"/>
        </w:rPr>
        <w:t>(6)</w:t>
      </w:r>
      <w:r w:rsidR="00243DD5">
        <w:rPr>
          <w:rFonts w:ascii="Times New Roman" w:hAnsi="Times New Roman" w:cs="Times New Roman"/>
          <w:sz w:val="24"/>
          <w:szCs w:val="24"/>
        </w:rPr>
        <w:fldChar w:fldCharType="end"/>
      </w:r>
      <w:r w:rsidR="00F053A3" w:rsidRPr="007A0E61">
        <w:rPr>
          <w:rFonts w:ascii="Times New Roman" w:hAnsi="Times New Roman" w:cs="Times New Roman"/>
          <w:sz w:val="24"/>
          <w:szCs w:val="24"/>
        </w:rPr>
        <w:t xml:space="preserve">. These domains span pain, mobility, physical activity, sleep, social interaction, work/daily routine, independence, understanding of condition/treatment, confidence at managing symptoms, washing/dressing, fatigue, and overall impact. </w:t>
      </w:r>
      <w:r w:rsidR="00F053A3" w:rsidRPr="007A0E61">
        <w:rPr>
          <w:rFonts w:ascii="Times New Roman" w:hAnsi="Times New Roman" w:cs="Times New Roman"/>
          <w:sz w:val="24"/>
          <w:szCs w:val="24"/>
          <w:shd w:val="clear" w:color="auto" w:fill="FFFFFF"/>
        </w:rPr>
        <w:t xml:space="preserve">Each item has a 5-point scale (coded from ‘not at all’ [4 points] to ‘extremely’ [0 points], except for items 12 and 13, which have response options in the reverse order). The total summed score ranges from 0 to 56, with 56 being the best possible MSK health state. </w:t>
      </w:r>
      <w:r w:rsidR="00CB6F41" w:rsidRPr="001776ED">
        <w:rPr>
          <w:rFonts w:ascii="Times New Roman" w:hAnsi="Times New Roman" w:cs="Times New Roman"/>
          <w:noProof/>
          <w:sz w:val="24"/>
          <w:szCs w:val="24"/>
        </w:rPr>
        <w:t xml:space="preserve">The </w:t>
      </w:r>
      <w:r w:rsidR="00F053A3" w:rsidRPr="00BC7AF3">
        <w:rPr>
          <w:rFonts w:ascii="Times New Roman" w:hAnsi="Times New Roman" w:cs="Times New Roman"/>
          <w:noProof/>
          <w:sz w:val="24"/>
          <w:szCs w:val="24"/>
        </w:rPr>
        <w:t xml:space="preserve">EQ-5D-5L </w:t>
      </w:r>
      <w:r w:rsidR="00CB6F41" w:rsidRPr="00BC7AF3">
        <w:rPr>
          <w:rFonts w:ascii="Times New Roman" w:hAnsi="Times New Roman" w:cs="Times New Roman"/>
          <w:noProof/>
          <w:sz w:val="24"/>
          <w:szCs w:val="24"/>
        </w:rPr>
        <w:t>is a</w:t>
      </w:r>
      <w:r w:rsidR="00CB6F41" w:rsidRPr="00BC6553">
        <w:rPr>
          <w:rFonts w:ascii="Times New Roman" w:hAnsi="Times New Roman" w:cs="Times New Roman"/>
          <w:noProof/>
          <w:sz w:val="24"/>
          <w:szCs w:val="24"/>
        </w:rPr>
        <w:t xml:space="preserve"> widely-</w:t>
      </w:r>
      <w:r w:rsidRPr="00BC6553">
        <w:rPr>
          <w:rFonts w:ascii="Times New Roman" w:hAnsi="Times New Roman" w:cs="Times New Roman"/>
          <w:noProof/>
          <w:sz w:val="24"/>
          <w:szCs w:val="24"/>
        </w:rPr>
        <w:t>used</w:t>
      </w:r>
      <w:r w:rsidR="00CB6F41" w:rsidRPr="00BC6553">
        <w:rPr>
          <w:rFonts w:ascii="Times New Roman" w:hAnsi="Times New Roman" w:cs="Times New Roman"/>
          <w:noProof/>
          <w:sz w:val="24"/>
          <w:szCs w:val="24"/>
        </w:rPr>
        <w:t>,</w:t>
      </w:r>
      <w:r w:rsidRPr="00BC6553">
        <w:rPr>
          <w:rFonts w:ascii="Times New Roman" w:hAnsi="Times New Roman" w:cs="Times New Roman"/>
          <w:noProof/>
          <w:sz w:val="24"/>
          <w:szCs w:val="24"/>
        </w:rPr>
        <w:t xml:space="preserve"> generic health-related quality of life (HRQoL)</w:t>
      </w:r>
      <w:r w:rsidR="00A835A4" w:rsidRPr="00BC6553">
        <w:rPr>
          <w:rFonts w:ascii="Times New Roman" w:hAnsi="Times New Roman" w:cs="Times New Roman"/>
          <w:noProof/>
          <w:sz w:val="24"/>
          <w:szCs w:val="24"/>
        </w:rPr>
        <w:t xml:space="preserve"> measure</w:t>
      </w:r>
      <w:r w:rsidR="00E10DB4" w:rsidRPr="00BC6553">
        <w:rPr>
          <w:rFonts w:ascii="Times New Roman" w:hAnsi="Times New Roman" w:cs="Times New Roman"/>
          <w:noProof/>
          <w:sz w:val="24"/>
          <w:szCs w:val="24"/>
        </w:rPr>
        <w:t>, capturing informat</w:t>
      </w:r>
      <w:r w:rsidR="00A22F03" w:rsidRPr="00BC6553">
        <w:rPr>
          <w:rFonts w:ascii="Times New Roman" w:hAnsi="Times New Roman" w:cs="Times New Roman"/>
          <w:noProof/>
          <w:sz w:val="24"/>
          <w:szCs w:val="24"/>
        </w:rPr>
        <w:t xml:space="preserve">ion from </w:t>
      </w:r>
      <w:r w:rsidR="0031243F" w:rsidRPr="00BC6553">
        <w:rPr>
          <w:rFonts w:ascii="Times New Roman" w:hAnsi="Times New Roman" w:cs="Times New Roman"/>
          <w:noProof/>
          <w:sz w:val="24"/>
          <w:szCs w:val="24"/>
        </w:rPr>
        <w:t xml:space="preserve">five </w:t>
      </w:r>
      <w:r w:rsidR="001C4236" w:rsidRPr="00BC6553">
        <w:rPr>
          <w:rFonts w:ascii="Times New Roman" w:hAnsi="Times New Roman" w:cs="Times New Roman"/>
          <w:noProof/>
          <w:sz w:val="24"/>
          <w:szCs w:val="24"/>
        </w:rPr>
        <w:t>domains</w:t>
      </w:r>
      <w:r w:rsidR="00377CC7" w:rsidRPr="00BC6553">
        <w:rPr>
          <w:rFonts w:ascii="Times New Roman" w:hAnsi="Times New Roman" w:cs="Times New Roman"/>
          <w:noProof/>
          <w:sz w:val="24"/>
          <w:szCs w:val="24"/>
        </w:rPr>
        <w:t xml:space="preserve"> (</w:t>
      </w:r>
      <w:r w:rsidR="00A22F03" w:rsidRPr="00BC6553">
        <w:rPr>
          <w:rFonts w:ascii="Times New Roman" w:hAnsi="Times New Roman" w:cs="Times New Roman"/>
          <w:noProof/>
          <w:sz w:val="24"/>
          <w:szCs w:val="24"/>
        </w:rPr>
        <w:t>mobility, self-care, usual activities, pain/discomfort</w:t>
      </w:r>
      <w:r w:rsidR="00377CC7" w:rsidRPr="00BC6553">
        <w:rPr>
          <w:rFonts w:ascii="Times New Roman" w:hAnsi="Times New Roman" w:cs="Times New Roman"/>
          <w:noProof/>
          <w:sz w:val="24"/>
          <w:szCs w:val="24"/>
        </w:rPr>
        <w:t>,</w:t>
      </w:r>
      <w:r w:rsidR="00A22F03" w:rsidRPr="00BC6553">
        <w:rPr>
          <w:rFonts w:ascii="Times New Roman" w:hAnsi="Times New Roman" w:cs="Times New Roman"/>
          <w:noProof/>
          <w:sz w:val="24"/>
          <w:szCs w:val="24"/>
        </w:rPr>
        <w:t xml:space="preserve"> anxiety/depression</w:t>
      </w:r>
      <w:r w:rsidR="00377CC7" w:rsidRPr="00BC6553">
        <w:rPr>
          <w:rFonts w:ascii="Times New Roman" w:hAnsi="Times New Roman" w:cs="Times New Roman"/>
          <w:noProof/>
          <w:sz w:val="24"/>
          <w:szCs w:val="24"/>
        </w:rPr>
        <w:t>)</w:t>
      </w:r>
      <w:r w:rsidR="00A22F03" w:rsidRPr="00BC6553">
        <w:rPr>
          <w:rFonts w:ascii="Times New Roman" w:hAnsi="Times New Roman" w:cs="Times New Roman"/>
          <w:noProof/>
          <w:sz w:val="24"/>
          <w:szCs w:val="24"/>
        </w:rPr>
        <w:t xml:space="preserve">. These </w:t>
      </w:r>
      <w:r w:rsidR="00E10DB4" w:rsidRPr="00BC6553">
        <w:rPr>
          <w:rFonts w:ascii="Times New Roman" w:hAnsi="Times New Roman" w:cs="Times New Roman"/>
          <w:noProof/>
          <w:sz w:val="24"/>
          <w:szCs w:val="24"/>
        </w:rPr>
        <w:t xml:space="preserve">can be combined in a summary index </w:t>
      </w:r>
      <w:r w:rsidR="00172BD8" w:rsidRPr="00BC6553">
        <w:rPr>
          <w:rFonts w:ascii="Times New Roman" w:hAnsi="Times New Roman" w:cs="Times New Roman"/>
          <w:noProof/>
          <w:sz w:val="24"/>
          <w:szCs w:val="24"/>
        </w:rPr>
        <w:t>score</w:t>
      </w:r>
      <w:r w:rsidR="00A835A4" w:rsidRPr="00BC6553">
        <w:rPr>
          <w:rFonts w:ascii="Times New Roman" w:hAnsi="Times New Roman" w:cs="Times New Roman"/>
          <w:noProof/>
          <w:sz w:val="24"/>
          <w:szCs w:val="24"/>
        </w:rPr>
        <w:t>;</w:t>
      </w:r>
      <w:r w:rsidR="00172BD8" w:rsidRPr="00BC6553">
        <w:rPr>
          <w:rFonts w:ascii="Times New Roman" w:hAnsi="Times New Roman" w:cs="Times New Roman"/>
          <w:noProof/>
          <w:sz w:val="24"/>
          <w:szCs w:val="24"/>
        </w:rPr>
        <w:t xml:space="preserve"> </w:t>
      </w:r>
      <w:r w:rsidR="001C4236" w:rsidRPr="00BC6553">
        <w:rPr>
          <w:rFonts w:ascii="Times New Roman" w:hAnsi="Times New Roman" w:cs="Times New Roman"/>
          <w:noProof/>
          <w:sz w:val="24"/>
          <w:szCs w:val="24"/>
        </w:rPr>
        <w:t xml:space="preserve">higher scores </w:t>
      </w:r>
      <w:r w:rsidR="00A835A4" w:rsidRPr="00BC6553">
        <w:rPr>
          <w:rFonts w:ascii="Times New Roman" w:hAnsi="Times New Roman" w:cs="Times New Roman"/>
          <w:noProof/>
          <w:sz w:val="24"/>
          <w:szCs w:val="24"/>
        </w:rPr>
        <w:t xml:space="preserve">indicate </w:t>
      </w:r>
      <w:r w:rsidR="00E10DB4" w:rsidRPr="00BC6553">
        <w:rPr>
          <w:rFonts w:ascii="Times New Roman" w:hAnsi="Times New Roman" w:cs="Times New Roman"/>
          <w:noProof/>
          <w:sz w:val="24"/>
          <w:szCs w:val="24"/>
        </w:rPr>
        <w:t xml:space="preserve">better HRQoL </w:t>
      </w:r>
      <w:r w:rsidR="00243DD5">
        <w:rPr>
          <w:rFonts w:ascii="Times New Roman" w:hAnsi="Times New Roman" w:cs="Times New Roman"/>
          <w:noProof/>
          <w:sz w:val="24"/>
          <w:szCs w:val="24"/>
        </w:rPr>
        <w:fldChar w:fldCharType="begin" w:fldLock="1"/>
      </w:r>
      <w:r w:rsidR="00243DD5">
        <w:rPr>
          <w:rFonts w:ascii="Times New Roman" w:hAnsi="Times New Roman" w:cs="Times New Roman"/>
          <w:noProof/>
          <w:sz w:val="24"/>
          <w:szCs w:val="24"/>
        </w:rPr>
        <w:instrText>ADDIN CSL_CITATION {"citationItems":[{"id":"ITEM-1","itemData":{"URL":"https://euroqol.org/wp-content/uploads/2016/09/EQ-5D-3L_UserGuide_2015.pdf","accessed":{"date-parts":[["2019","3","21"]]},"author":[{"dropping-particle":"","family":"EuroQol Group","given":"","non-dropping-particle":"","parse-names":false,"suffix":""}],"id":"ITEM-1","issued":{"date-parts":[["0"]]},"title":"EQ-5D-3L User Guide","type":"webpage"},"uris":["http://www.mendeley.com/documents/?uuid=72c92efc-19ee-4d80-b219-f012ebe7afd9"]}],"mendeley":{"formattedCitation":"(17)","plainTextFormattedCitation":"(17)","previouslyFormattedCitation":"(17)"},"properties":{"noteIndex":0},"schema":"https://github.com/citation-style-language/schema/raw/master/csl-citation.json"}</w:instrText>
      </w:r>
      <w:r w:rsidR="00243DD5">
        <w:rPr>
          <w:rFonts w:ascii="Times New Roman" w:hAnsi="Times New Roman" w:cs="Times New Roman"/>
          <w:noProof/>
          <w:sz w:val="24"/>
          <w:szCs w:val="24"/>
        </w:rPr>
        <w:fldChar w:fldCharType="separate"/>
      </w:r>
      <w:r w:rsidR="00243DD5" w:rsidRPr="00243DD5">
        <w:rPr>
          <w:rFonts w:ascii="Times New Roman" w:hAnsi="Times New Roman" w:cs="Times New Roman"/>
          <w:noProof/>
          <w:sz w:val="24"/>
          <w:szCs w:val="24"/>
        </w:rPr>
        <w:t>(17)</w:t>
      </w:r>
      <w:r w:rsidR="00243DD5">
        <w:rPr>
          <w:rFonts w:ascii="Times New Roman" w:hAnsi="Times New Roman" w:cs="Times New Roman"/>
          <w:noProof/>
          <w:sz w:val="24"/>
          <w:szCs w:val="24"/>
        </w:rPr>
        <w:fldChar w:fldCharType="end"/>
      </w:r>
      <w:r w:rsidR="00336B09" w:rsidRPr="00BC6553">
        <w:rPr>
          <w:rFonts w:ascii="Times New Roman" w:hAnsi="Times New Roman" w:cs="Times New Roman"/>
          <w:noProof/>
          <w:sz w:val="24"/>
          <w:szCs w:val="24"/>
        </w:rPr>
        <w:t>.</w:t>
      </w:r>
      <w:r w:rsidR="001C4236" w:rsidRPr="00BC6553">
        <w:rPr>
          <w:rFonts w:ascii="Times New Roman" w:hAnsi="Times New Roman" w:cs="Times New Roman"/>
          <w:noProof/>
          <w:sz w:val="24"/>
          <w:szCs w:val="24"/>
        </w:rPr>
        <w:t xml:space="preserve"> At 6-</w:t>
      </w:r>
      <w:r w:rsidR="008735B8" w:rsidRPr="00BC6553">
        <w:rPr>
          <w:rFonts w:ascii="Times New Roman" w:hAnsi="Times New Roman" w:cs="Times New Roman"/>
          <w:noProof/>
          <w:sz w:val="24"/>
          <w:szCs w:val="24"/>
        </w:rPr>
        <w:t>month</w:t>
      </w:r>
      <w:r w:rsidR="000C0765" w:rsidRPr="00BC6553">
        <w:rPr>
          <w:rFonts w:ascii="Times New Roman" w:hAnsi="Times New Roman" w:cs="Times New Roman"/>
          <w:noProof/>
          <w:sz w:val="24"/>
          <w:szCs w:val="24"/>
        </w:rPr>
        <w:t>s</w:t>
      </w:r>
      <w:r w:rsidR="008735B8" w:rsidRPr="00BC6553">
        <w:rPr>
          <w:rFonts w:ascii="Times New Roman" w:hAnsi="Times New Roman" w:cs="Times New Roman"/>
          <w:noProof/>
          <w:sz w:val="24"/>
          <w:szCs w:val="24"/>
        </w:rPr>
        <w:t xml:space="preserve">, all patients were asked to </w:t>
      </w:r>
      <w:r w:rsidR="00D22C11" w:rsidRPr="00BC6553">
        <w:rPr>
          <w:rFonts w:ascii="Times New Roman" w:hAnsi="Times New Roman" w:cs="Times New Roman"/>
          <w:noProof/>
          <w:sz w:val="24"/>
          <w:szCs w:val="24"/>
        </w:rPr>
        <w:t>provide a global rating of</w:t>
      </w:r>
      <w:r w:rsidR="008735B8" w:rsidRPr="00BC6553">
        <w:rPr>
          <w:rFonts w:ascii="Times New Roman" w:hAnsi="Times New Roman" w:cs="Times New Roman"/>
          <w:noProof/>
          <w:sz w:val="24"/>
          <w:szCs w:val="24"/>
        </w:rPr>
        <w:t xml:space="preserve"> </w:t>
      </w:r>
      <w:r w:rsidR="00D22C11" w:rsidRPr="00BC6553">
        <w:rPr>
          <w:rFonts w:ascii="Times New Roman" w:hAnsi="Times New Roman" w:cs="Times New Roman"/>
          <w:noProof/>
          <w:sz w:val="24"/>
          <w:szCs w:val="24"/>
        </w:rPr>
        <w:t xml:space="preserve">change in their MSK </w:t>
      </w:r>
      <w:r w:rsidR="00377CC7" w:rsidRPr="00BC6553">
        <w:rPr>
          <w:rFonts w:ascii="Times New Roman" w:hAnsi="Times New Roman" w:cs="Times New Roman"/>
          <w:noProof/>
          <w:sz w:val="24"/>
          <w:szCs w:val="24"/>
        </w:rPr>
        <w:t>condition</w:t>
      </w:r>
      <w:r w:rsidR="00D22C11" w:rsidRPr="00BC6553">
        <w:rPr>
          <w:rFonts w:ascii="Times New Roman" w:hAnsi="Times New Roman" w:cs="Times New Roman"/>
          <w:noProof/>
          <w:sz w:val="24"/>
          <w:szCs w:val="24"/>
        </w:rPr>
        <w:t xml:space="preserve">, by answering the </w:t>
      </w:r>
      <w:r w:rsidR="008735B8" w:rsidRPr="00BC6553">
        <w:rPr>
          <w:rFonts w:ascii="Times New Roman" w:hAnsi="Times New Roman" w:cs="Times New Roman"/>
          <w:noProof/>
          <w:sz w:val="24"/>
          <w:szCs w:val="24"/>
        </w:rPr>
        <w:t>following question on a scale of -5 (</w:t>
      </w:r>
      <w:r w:rsidR="00532ADF" w:rsidRPr="00BC6553">
        <w:rPr>
          <w:rFonts w:ascii="Times New Roman" w:hAnsi="Times New Roman" w:cs="Times New Roman"/>
          <w:noProof/>
          <w:sz w:val="24"/>
          <w:szCs w:val="24"/>
        </w:rPr>
        <w:t>“</w:t>
      </w:r>
      <w:r w:rsidR="008735B8" w:rsidRPr="00BC6553">
        <w:rPr>
          <w:rFonts w:ascii="Times New Roman" w:hAnsi="Times New Roman" w:cs="Times New Roman"/>
          <w:noProof/>
          <w:sz w:val="24"/>
          <w:szCs w:val="24"/>
        </w:rPr>
        <w:t>very much worse</w:t>
      </w:r>
      <w:r w:rsidR="00532ADF" w:rsidRPr="00BC6553">
        <w:rPr>
          <w:rFonts w:ascii="Times New Roman" w:hAnsi="Times New Roman" w:cs="Times New Roman"/>
          <w:noProof/>
          <w:sz w:val="24"/>
          <w:szCs w:val="24"/>
        </w:rPr>
        <w:t>”</w:t>
      </w:r>
      <w:r w:rsidR="008735B8" w:rsidRPr="00BC6553">
        <w:rPr>
          <w:rFonts w:ascii="Times New Roman" w:hAnsi="Times New Roman" w:cs="Times New Roman"/>
          <w:noProof/>
          <w:sz w:val="24"/>
          <w:szCs w:val="24"/>
        </w:rPr>
        <w:t>) to +5 (</w:t>
      </w:r>
      <w:r w:rsidR="00532ADF" w:rsidRPr="00BC6553">
        <w:rPr>
          <w:rFonts w:ascii="Times New Roman" w:hAnsi="Times New Roman" w:cs="Times New Roman"/>
          <w:noProof/>
          <w:sz w:val="24"/>
          <w:szCs w:val="24"/>
        </w:rPr>
        <w:t>“</w:t>
      </w:r>
      <w:r w:rsidR="008735B8" w:rsidRPr="00BC6553">
        <w:rPr>
          <w:rFonts w:ascii="Times New Roman" w:hAnsi="Times New Roman" w:cs="Times New Roman"/>
          <w:noProof/>
          <w:sz w:val="24"/>
          <w:szCs w:val="24"/>
        </w:rPr>
        <w:t>completely recovered</w:t>
      </w:r>
      <w:r w:rsidR="00532ADF" w:rsidRPr="00BC6553">
        <w:rPr>
          <w:rFonts w:ascii="Times New Roman" w:hAnsi="Times New Roman" w:cs="Times New Roman"/>
          <w:noProof/>
          <w:sz w:val="24"/>
          <w:szCs w:val="24"/>
        </w:rPr>
        <w:t>”</w:t>
      </w:r>
      <w:r w:rsidR="008735B8" w:rsidRPr="00BC6553">
        <w:rPr>
          <w:rFonts w:ascii="Times New Roman" w:hAnsi="Times New Roman" w:cs="Times New Roman"/>
          <w:noProof/>
          <w:sz w:val="24"/>
          <w:szCs w:val="24"/>
        </w:rPr>
        <w:t>): “</w:t>
      </w:r>
      <w:r w:rsidR="006B4DCD" w:rsidRPr="00BC6553">
        <w:rPr>
          <w:rFonts w:ascii="Times New Roman" w:hAnsi="Times New Roman" w:cs="Times New Roman"/>
          <w:noProof/>
          <w:sz w:val="24"/>
          <w:szCs w:val="24"/>
        </w:rPr>
        <w:t>W</w:t>
      </w:r>
      <w:r w:rsidR="008735B8" w:rsidRPr="00BC6553">
        <w:rPr>
          <w:rFonts w:ascii="Times New Roman" w:hAnsi="Times New Roman" w:cs="Times New Roman"/>
          <w:noProof/>
          <w:sz w:val="24"/>
          <w:szCs w:val="24"/>
        </w:rPr>
        <w:t>ith respect to your [pain site inserted] pain, how would you describe yourself now compared to how it was when you saw your doctor around 6 months ago?”</w:t>
      </w:r>
      <w:r w:rsidR="00D27A29">
        <w:rPr>
          <w:rFonts w:ascii="Times New Roman" w:hAnsi="Times New Roman" w:cs="Times New Roman"/>
          <w:noProof/>
          <w:sz w:val="24"/>
          <w:szCs w:val="24"/>
        </w:rPr>
        <w:t xml:space="preserve"> </w:t>
      </w:r>
      <w:r w:rsidR="00D27A29" w:rsidRPr="007A0E61">
        <w:rPr>
          <w:rFonts w:ascii="Times New Roman" w:hAnsi="Times New Roman" w:cs="Times New Roman"/>
          <w:noProof/>
          <w:sz w:val="24"/>
          <w:szCs w:val="24"/>
        </w:rPr>
        <w:t xml:space="preserve">This provided an 11-point scale ranging from -5 to 5, </w:t>
      </w:r>
      <w:r w:rsidR="00D27A29" w:rsidRPr="007A0E61">
        <w:rPr>
          <w:rFonts w:ascii="Times New Roman" w:hAnsi="Times New Roman" w:cs="Times New Roman"/>
          <w:sz w:val="24"/>
          <w:szCs w:val="24"/>
        </w:rPr>
        <w:t xml:space="preserve">as recommended by </w:t>
      </w:r>
      <w:proofErr w:type="spellStart"/>
      <w:r w:rsidR="00D27A29" w:rsidRPr="007A0E61">
        <w:rPr>
          <w:rFonts w:ascii="Times New Roman" w:hAnsi="Times New Roman" w:cs="Times New Roman"/>
          <w:sz w:val="24"/>
          <w:szCs w:val="24"/>
        </w:rPr>
        <w:t>Kamper</w:t>
      </w:r>
      <w:proofErr w:type="spellEnd"/>
      <w:r w:rsidR="00D27A29" w:rsidRPr="007A0E61">
        <w:rPr>
          <w:rFonts w:ascii="Times New Roman" w:hAnsi="Times New Roman" w:cs="Times New Roman"/>
          <w:sz w:val="24"/>
          <w:szCs w:val="24"/>
        </w:rPr>
        <w:t xml:space="preserve"> et al </w:t>
      </w:r>
      <w:r w:rsidR="00D27A29">
        <w:rPr>
          <w:rFonts w:ascii="Times New Roman" w:hAnsi="Times New Roman" w:cs="Times New Roman"/>
          <w:sz w:val="24"/>
          <w:szCs w:val="24"/>
        </w:rPr>
        <w:fldChar w:fldCharType="begin" w:fldLock="1"/>
      </w:r>
      <w:r w:rsidR="00FF159B">
        <w:rPr>
          <w:rFonts w:ascii="Times New Roman" w:hAnsi="Times New Roman" w:cs="Times New Roman"/>
          <w:sz w:val="24"/>
          <w:szCs w:val="24"/>
        </w:rPr>
        <w:instrText>ADDIN CSL_CITATION {"citationItems":[{"id":"ITEM-1","itemData":{"DOI":"10.1179/jmt.2009.17.3.163","ISSN":"2042-6186","abstract":"Most clinicians ask their patients to rate whether their health condition has improved or deteriorated over time and then use this information to guide management decisions. Many studies also use patient-rated change as an outcome measure to determine the efficacy of a particular treatment. Global rating of change (GRC) scales provide a method of obtaining this information in a manner that is quick, flexible, and efficient. As with any outcome measure, however, meaningful interpretation of results can only be undertaken with due consideration of the clinimetric properties, strengths, and weaknesses of the instrument. The purpose of this article is to summarize this information to assist appropriate interpretation of the GRC results and to provide evidence-informed advice to guide design and administration of GRC scales. These considerations are relevant and applicable to the use of GRC scales both in the clinic and in research.","author":[{"dropping-particle":"","family":"Kamper","given":"Steven J","non-dropping-particle":"","parse-names":false,"suffix":""},{"dropping-particle":"","family":"Maher","given":"Christopher G","non-dropping-particle":"","parse-names":false,"suffix":""},{"dropping-particle":"","family":"Mackay","given":"Grant","non-dropping-particle":"","parse-names":false,"suffix":""}],"container-title":"The Journal of manual &amp; manipulative therapy","id":"ITEM-1","issue":"3","issued":{"date-parts":[["2009"]]},"language":"eng","page":"163-170","publisher":"Journal of Manual &amp; Manipulative Therapy, Inc.","title":"Global rating of change scales: a review of strengths and weaknesses and considerations for design","type":"article-journal","volume":"17"},"uris":["http://www.mendeley.com/documents/?uuid=5a04e272-1fe5-41a3-8015-fb5fa9796987"]}],"mendeley":{"formattedCitation":"(10)","plainTextFormattedCitation":"(10)","previouslyFormattedCitation":"(10)"},"properties":{"noteIndex":0},"schema":"https://github.com/citation-style-language/schema/raw/master/csl-citation.json"}</w:instrText>
      </w:r>
      <w:r w:rsidR="00D27A29">
        <w:rPr>
          <w:rFonts w:ascii="Times New Roman" w:hAnsi="Times New Roman" w:cs="Times New Roman"/>
          <w:sz w:val="24"/>
          <w:szCs w:val="24"/>
        </w:rPr>
        <w:fldChar w:fldCharType="separate"/>
      </w:r>
      <w:r w:rsidR="00FF159B" w:rsidRPr="00FF159B">
        <w:rPr>
          <w:rFonts w:ascii="Times New Roman" w:hAnsi="Times New Roman" w:cs="Times New Roman"/>
          <w:noProof/>
          <w:sz w:val="24"/>
          <w:szCs w:val="24"/>
        </w:rPr>
        <w:t>(10)</w:t>
      </w:r>
      <w:r w:rsidR="00D27A29">
        <w:rPr>
          <w:rFonts w:ascii="Times New Roman" w:hAnsi="Times New Roman" w:cs="Times New Roman"/>
          <w:sz w:val="24"/>
          <w:szCs w:val="24"/>
        </w:rPr>
        <w:fldChar w:fldCharType="end"/>
      </w:r>
      <w:r w:rsidR="00D27A29">
        <w:rPr>
          <w:rFonts w:ascii="Times New Roman" w:hAnsi="Times New Roman" w:cs="Times New Roman"/>
          <w:sz w:val="24"/>
          <w:szCs w:val="24"/>
        </w:rPr>
        <w:t xml:space="preserve"> </w:t>
      </w:r>
      <w:r w:rsidR="00D27A29" w:rsidRPr="007A0E61">
        <w:rPr>
          <w:rFonts w:ascii="Times New Roman" w:hAnsi="Times New Roman" w:cs="Times New Roman"/>
          <w:sz w:val="24"/>
          <w:szCs w:val="24"/>
        </w:rPr>
        <w:t>with “0” representing “no change”, and values greater than and less than “0” representing an improvement, and deterioration, respectively.</w:t>
      </w:r>
    </w:p>
    <w:p w14:paraId="249CDB33" w14:textId="2623C0DA" w:rsidR="00336B09" w:rsidRPr="00DA020D" w:rsidRDefault="00336B09" w:rsidP="00CA3B91">
      <w:pPr>
        <w:pStyle w:val="NoSpacing"/>
        <w:spacing w:line="480" w:lineRule="auto"/>
        <w:jc w:val="both"/>
        <w:rPr>
          <w:rFonts w:ascii="Times New Roman" w:hAnsi="Times New Roman" w:cs="Times New Roman"/>
          <w:noProof/>
          <w:sz w:val="24"/>
          <w:szCs w:val="24"/>
        </w:rPr>
      </w:pPr>
    </w:p>
    <w:p w14:paraId="44AA4436" w14:textId="616B7198" w:rsidR="00E17870" w:rsidRPr="00DA020D" w:rsidRDefault="00FD2BC4" w:rsidP="00CA3B91">
      <w:pPr>
        <w:pStyle w:val="NoSpacing"/>
        <w:spacing w:line="48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2.2.2 </w:t>
      </w:r>
      <w:r w:rsidR="009265D3" w:rsidRPr="00DA020D">
        <w:rPr>
          <w:rFonts w:ascii="Times New Roman" w:hAnsi="Times New Roman" w:cs="Times New Roman"/>
          <w:i/>
          <w:noProof/>
          <w:sz w:val="24"/>
          <w:szCs w:val="24"/>
        </w:rPr>
        <w:t>Low Back Pain</w:t>
      </w:r>
    </w:p>
    <w:p w14:paraId="1CB3362F" w14:textId="09AF3F8A" w:rsidR="00336B09" w:rsidRPr="00DA020D" w:rsidRDefault="00CC03D9" w:rsidP="00CA3B91">
      <w:pPr>
        <w:pStyle w:val="NoSpacing"/>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Patients with low back pain </w:t>
      </w:r>
      <w:r w:rsidR="0031243F">
        <w:rPr>
          <w:rFonts w:ascii="Times New Roman" w:hAnsi="Times New Roman" w:cs="Times New Roman"/>
          <w:noProof/>
          <w:sz w:val="24"/>
          <w:szCs w:val="24"/>
        </w:rPr>
        <w:t xml:space="preserve">were asked to complete </w:t>
      </w:r>
      <w:r w:rsidR="00B06EAB" w:rsidRPr="00DA020D">
        <w:rPr>
          <w:rFonts w:ascii="Times New Roman" w:hAnsi="Times New Roman" w:cs="Times New Roman"/>
          <w:noProof/>
          <w:sz w:val="24"/>
          <w:szCs w:val="24"/>
        </w:rPr>
        <w:t>the Roland</w:t>
      </w:r>
      <w:r w:rsidR="0031243F">
        <w:rPr>
          <w:rFonts w:ascii="Times New Roman" w:hAnsi="Times New Roman" w:cs="Times New Roman"/>
          <w:noProof/>
          <w:sz w:val="24"/>
          <w:szCs w:val="24"/>
        </w:rPr>
        <w:t xml:space="preserve"> and </w:t>
      </w:r>
      <w:r w:rsidR="00B06EAB" w:rsidRPr="00DA020D">
        <w:rPr>
          <w:rFonts w:ascii="Times New Roman" w:hAnsi="Times New Roman" w:cs="Times New Roman"/>
          <w:noProof/>
          <w:sz w:val="24"/>
          <w:szCs w:val="24"/>
        </w:rPr>
        <w:t>Morris Disability Questi</w:t>
      </w:r>
      <w:r w:rsidR="00172BD8" w:rsidRPr="00DA020D">
        <w:rPr>
          <w:rFonts w:ascii="Times New Roman" w:hAnsi="Times New Roman" w:cs="Times New Roman"/>
          <w:noProof/>
          <w:sz w:val="24"/>
          <w:szCs w:val="24"/>
        </w:rPr>
        <w:t>o</w:t>
      </w:r>
      <w:r w:rsidR="00B06EAB" w:rsidRPr="00DA020D">
        <w:rPr>
          <w:rFonts w:ascii="Times New Roman" w:hAnsi="Times New Roman" w:cs="Times New Roman"/>
          <w:noProof/>
          <w:sz w:val="24"/>
          <w:szCs w:val="24"/>
        </w:rPr>
        <w:t>nnaire (RMDQ)</w:t>
      </w:r>
      <w:r w:rsidR="00BF4F6E" w:rsidRPr="00DA020D">
        <w:rPr>
          <w:rFonts w:ascii="Times New Roman" w:hAnsi="Times New Roman" w:cs="Times New Roman"/>
          <w:noProof/>
          <w:sz w:val="24"/>
          <w:szCs w:val="24"/>
        </w:rPr>
        <w:t>. T</w:t>
      </w:r>
      <w:r w:rsidR="00172BD8" w:rsidRPr="00DA020D">
        <w:rPr>
          <w:rFonts w:ascii="Times New Roman" w:hAnsi="Times New Roman" w:cs="Times New Roman"/>
          <w:noProof/>
          <w:sz w:val="24"/>
          <w:szCs w:val="24"/>
        </w:rPr>
        <w:t xml:space="preserve">his </w:t>
      </w:r>
      <w:r w:rsidR="00996A8A">
        <w:rPr>
          <w:rFonts w:ascii="Times New Roman" w:hAnsi="Times New Roman" w:cs="Times New Roman"/>
          <w:noProof/>
          <w:sz w:val="24"/>
          <w:szCs w:val="24"/>
        </w:rPr>
        <w:t xml:space="preserve">includes </w:t>
      </w:r>
      <w:r w:rsidR="00091FCD" w:rsidRPr="00DA020D">
        <w:rPr>
          <w:rFonts w:ascii="Times New Roman" w:hAnsi="Times New Roman" w:cs="Times New Roman"/>
          <w:noProof/>
          <w:sz w:val="24"/>
          <w:szCs w:val="24"/>
        </w:rPr>
        <w:t>24-</w:t>
      </w:r>
      <w:r w:rsidR="00172BD8" w:rsidRPr="00DA020D">
        <w:rPr>
          <w:rFonts w:ascii="Times New Roman" w:hAnsi="Times New Roman" w:cs="Times New Roman"/>
          <w:noProof/>
          <w:sz w:val="24"/>
          <w:szCs w:val="24"/>
        </w:rPr>
        <w:t xml:space="preserve">items </w:t>
      </w:r>
      <w:r w:rsidR="00091FCD" w:rsidRPr="00DA020D">
        <w:rPr>
          <w:rFonts w:ascii="Times New Roman" w:hAnsi="Times New Roman" w:cs="Times New Roman"/>
          <w:noProof/>
          <w:sz w:val="24"/>
          <w:szCs w:val="24"/>
        </w:rPr>
        <w:t>lik</w:t>
      </w:r>
      <w:r w:rsidR="002C06EB" w:rsidRPr="00DA020D">
        <w:rPr>
          <w:rFonts w:ascii="Times New Roman" w:hAnsi="Times New Roman" w:cs="Times New Roman"/>
          <w:noProof/>
          <w:sz w:val="24"/>
          <w:szCs w:val="24"/>
        </w:rPr>
        <w:t xml:space="preserve">ely to be affected by low back </w:t>
      </w:r>
      <w:r w:rsidR="00996A8A">
        <w:rPr>
          <w:rFonts w:ascii="Times New Roman" w:hAnsi="Times New Roman" w:cs="Times New Roman"/>
          <w:noProof/>
          <w:sz w:val="24"/>
          <w:szCs w:val="24"/>
        </w:rPr>
        <w:t xml:space="preserve">pain, </w:t>
      </w:r>
      <w:r w:rsidR="005912BA">
        <w:rPr>
          <w:rFonts w:ascii="Times New Roman" w:hAnsi="Times New Roman" w:cs="Times New Roman"/>
          <w:noProof/>
          <w:sz w:val="24"/>
          <w:szCs w:val="24"/>
        </w:rPr>
        <w:t xml:space="preserve">summed </w:t>
      </w:r>
      <w:r w:rsidR="00172BD8" w:rsidRPr="00DA020D">
        <w:rPr>
          <w:rFonts w:ascii="Times New Roman" w:hAnsi="Times New Roman" w:cs="Times New Roman"/>
          <w:noProof/>
          <w:sz w:val="24"/>
          <w:szCs w:val="24"/>
        </w:rPr>
        <w:t>to provide a score ranging from 0 (no disability) to 24 (maxi</w:t>
      </w:r>
      <w:r w:rsidR="0031243F">
        <w:rPr>
          <w:rFonts w:ascii="Times New Roman" w:hAnsi="Times New Roman" w:cs="Times New Roman"/>
          <w:noProof/>
          <w:sz w:val="24"/>
          <w:szCs w:val="24"/>
        </w:rPr>
        <w:t>m</w:t>
      </w:r>
      <w:r w:rsidR="00172BD8" w:rsidRPr="00DA020D">
        <w:rPr>
          <w:rFonts w:ascii="Times New Roman" w:hAnsi="Times New Roman" w:cs="Times New Roman"/>
          <w:noProof/>
          <w:sz w:val="24"/>
          <w:szCs w:val="24"/>
        </w:rPr>
        <w:t>um disability)</w:t>
      </w:r>
      <w:r w:rsidR="00091FCD" w:rsidRPr="00DA020D">
        <w:rPr>
          <w:rFonts w:ascii="Times New Roman" w:hAnsi="Times New Roman" w:cs="Times New Roman"/>
          <w:noProof/>
          <w:sz w:val="24"/>
          <w:szCs w:val="24"/>
        </w:rPr>
        <w:t xml:space="preserve">. </w:t>
      </w:r>
      <w:r w:rsidR="00996A8A">
        <w:rPr>
          <w:rFonts w:ascii="Times New Roman" w:hAnsi="Times New Roman" w:cs="Times New Roman"/>
          <w:noProof/>
          <w:sz w:val="24"/>
          <w:szCs w:val="24"/>
        </w:rPr>
        <w:t xml:space="preserve">It </w:t>
      </w:r>
      <w:r w:rsidR="00172BD8" w:rsidRPr="00DA020D">
        <w:rPr>
          <w:rFonts w:ascii="Times New Roman" w:hAnsi="Times New Roman" w:cs="Times New Roman"/>
          <w:noProof/>
          <w:sz w:val="24"/>
          <w:szCs w:val="24"/>
        </w:rPr>
        <w:t xml:space="preserve">has been extensively </w:t>
      </w:r>
      <w:r w:rsidR="00997CC2" w:rsidRPr="00DA020D">
        <w:rPr>
          <w:rFonts w:ascii="Times New Roman" w:hAnsi="Times New Roman" w:cs="Times New Roman"/>
          <w:noProof/>
          <w:sz w:val="24"/>
          <w:szCs w:val="24"/>
        </w:rPr>
        <w:t>validated in patients with low</w:t>
      </w:r>
      <w:r w:rsidR="00172BD8" w:rsidRPr="00DA020D">
        <w:rPr>
          <w:rFonts w:ascii="Times New Roman" w:hAnsi="Times New Roman" w:cs="Times New Roman"/>
          <w:noProof/>
          <w:sz w:val="24"/>
          <w:szCs w:val="24"/>
        </w:rPr>
        <w:t xml:space="preserve"> back pain</w:t>
      </w:r>
      <w:r w:rsidR="00091FCD" w:rsidRPr="00DA020D">
        <w:rPr>
          <w:rFonts w:ascii="Times New Roman" w:hAnsi="Times New Roman" w:cs="Times New Roman"/>
          <w:noProof/>
          <w:sz w:val="24"/>
          <w:szCs w:val="24"/>
        </w:rPr>
        <w:t xml:space="preserve"> across </w:t>
      </w:r>
      <w:r w:rsidR="00A835A4">
        <w:rPr>
          <w:rFonts w:ascii="Times New Roman" w:hAnsi="Times New Roman" w:cs="Times New Roman"/>
          <w:noProof/>
          <w:sz w:val="24"/>
          <w:szCs w:val="24"/>
        </w:rPr>
        <w:t xml:space="preserve">many </w:t>
      </w:r>
      <w:r w:rsidR="00091FCD" w:rsidRPr="00DA020D">
        <w:rPr>
          <w:rFonts w:ascii="Times New Roman" w:hAnsi="Times New Roman" w:cs="Times New Roman"/>
          <w:noProof/>
          <w:sz w:val="24"/>
          <w:szCs w:val="24"/>
        </w:rPr>
        <w:t>settings</w:t>
      </w:r>
      <w:r w:rsidR="00CC18E9" w:rsidRPr="00DA020D">
        <w:rPr>
          <w:rFonts w:ascii="Times New Roman" w:hAnsi="Times New Roman" w:cs="Times New Roman"/>
          <w:noProof/>
          <w:sz w:val="24"/>
          <w:szCs w:val="24"/>
        </w:rPr>
        <w:t xml:space="preserve"> </w:t>
      </w:r>
      <w:r w:rsidR="00243DD5">
        <w:rPr>
          <w:rFonts w:ascii="Times New Roman" w:hAnsi="Times New Roman" w:cs="Times New Roman"/>
          <w:noProof/>
          <w:sz w:val="24"/>
          <w:szCs w:val="24"/>
        </w:rPr>
        <w:fldChar w:fldCharType="begin" w:fldLock="1"/>
      </w:r>
      <w:r w:rsidR="00243DD5">
        <w:rPr>
          <w:rFonts w:ascii="Times New Roman" w:hAnsi="Times New Roman" w:cs="Times New Roman"/>
          <w:noProof/>
          <w:sz w:val="24"/>
          <w:szCs w:val="24"/>
        </w:rPr>
        <w:instrText>ADDIN CSL_CITATION {"citationItems":[{"id":"ITEM-1","itemData":{"DOI":"10.1097/00007632-200012150-00006","ISSN":"0362-2436","author":[{"dropping-particle":"","family":"Roland","given":"M","non-dropping-particle":"","parse-names":false,"suffix":""},{"dropping-particle":"","family":"Fairbank","given":"J","non-dropping-particle":"","parse-names":false,"suffix":""}],"container-title":"Spine","id":"ITEM-1","issue":"24","issued":{"date-parts":[["2000","12"]]},"page":"3115—3124","title":"The Roland-Morris Disability Questionnaire and the Oswestry Disability Questionnaire","type":"article-journal","volume":"25"},"uris":["http://www.mendeley.com/documents/?uuid=9afbe6db-d018-4941-9848-82480c82c8a1"]}],"mendeley":{"formattedCitation":"(12)","plainTextFormattedCitation":"(12)","previouslyFormattedCitation":"(12)"},"properties":{"noteIndex":0},"schema":"https://github.com/citation-style-language/schema/raw/master/csl-citation.json"}</w:instrText>
      </w:r>
      <w:r w:rsidR="00243DD5">
        <w:rPr>
          <w:rFonts w:ascii="Times New Roman" w:hAnsi="Times New Roman" w:cs="Times New Roman"/>
          <w:noProof/>
          <w:sz w:val="24"/>
          <w:szCs w:val="24"/>
        </w:rPr>
        <w:fldChar w:fldCharType="separate"/>
      </w:r>
      <w:r w:rsidR="00243DD5" w:rsidRPr="00243DD5">
        <w:rPr>
          <w:rFonts w:ascii="Times New Roman" w:hAnsi="Times New Roman" w:cs="Times New Roman"/>
          <w:noProof/>
          <w:sz w:val="24"/>
          <w:szCs w:val="24"/>
        </w:rPr>
        <w:t>(12)</w:t>
      </w:r>
      <w:r w:rsidR="00243DD5">
        <w:rPr>
          <w:rFonts w:ascii="Times New Roman" w:hAnsi="Times New Roman" w:cs="Times New Roman"/>
          <w:noProof/>
          <w:sz w:val="24"/>
          <w:szCs w:val="24"/>
        </w:rPr>
        <w:fldChar w:fldCharType="end"/>
      </w:r>
      <w:r w:rsidR="00336B09" w:rsidRPr="00DA020D">
        <w:rPr>
          <w:rFonts w:ascii="Times New Roman" w:hAnsi="Times New Roman" w:cs="Times New Roman"/>
          <w:noProof/>
          <w:sz w:val="24"/>
          <w:szCs w:val="24"/>
        </w:rPr>
        <w:t>.</w:t>
      </w:r>
      <w:r w:rsidR="00A22F03" w:rsidRPr="00DA020D">
        <w:rPr>
          <w:rFonts w:ascii="Times New Roman" w:hAnsi="Times New Roman" w:cs="Times New Roman"/>
          <w:noProof/>
          <w:sz w:val="24"/>
          <w:szCs w:val="24"/>
        </w:rPr>
        <w:t xml:space="preserve"> The minimal </w:t>
      </w:r>
      <w:r w:rsidR="008B1962">
        <w:rPr>
          <w:rFonts w:ascii="Times New Roman" w:hAnsi="Times New Roman" w:cs="Times New Roman"/>
          <w:noProof/>
          <w:sz w:val="24"/>
          <w:szCs w:val="24"/>
        </w:rPr>
        <w:t xml:space="preserve">clinically </w:t>
      </w:r>
      <w:r w:rsidR="004171E9" w:rsidRPr="00DA020D">
        <w:rPr>
          <w:rFonts w:ascii="Times New Roman" w:hAnsi="Times New Roman" w:cs="Times New Roman"/>
          <w:noProof/>
          <w:sz w:val="24"/>
          <w:szCs w:val="24"/>
        </w:rPr>
        <w:t>importance difference (M</w:t>
      </w:r>
      <w:r w:rsidR="008B1962">
        <w:rPr>
          <w:rFonts w:ascii="Times New Roman" w:hAnsi="Times New Roman" w:cs="Times New Roman"/>
          <w:noProof/>
          <w:sz w:val="24"/>
          <w:szCs w:val="24"/>
        </w:rPr>
        <w:t>C</w:t>
      </w:r>
      <w:r w:rsidR="004171E9" w:rsidRPr="00DA020D">
        <w:rPr>
          <w:rFonts w:ascii="Times New Roman" w:hAnsi="Times New Roman" w:cs="Times New Roman"/>
          <w:noProof/>
          <w:sz w:val="24"/>
          <w:szCs w:val="24"/>
        </w:rPr>
        <w:t xml:space="preserve">ID) </w:t>
      </w:r>
      <w:r w:rsidR="00A22F03" w:rsidRPr="00DA020D">
        <w:rPr>
          <w:rFonts w:ascii="Times New Roman" w:hAnsi="Times New Roman" w:cs="Times New Roman"/>
          <w:noProof/>
          <w:sz w:val="24"/>
          <w:szCs w:val="24"/>
        </w:rPr>
        <w:t xml:space="preserve">in RMDQ scores has been </w:t>
      </w:r>
      <w:r w:rsidR="00DF67B3">
        <w:rPr>
          <w:rFonts w:ascii="Times New Roman" w:hAnsi="Times New Roman" w:cs="Times New Roman"/>
          <w:noProof/>
          <w:sz w:val="24"/>
          <w:szCs w:val="24"/>
        </w:rPr>
        <w:t xml:space="preserve">reported </w:t>
      </w:r>
      <w:r w:rsidR="004171E9" w:rsidRPr="00DA020D">
        <w:rPr>
          <w:rFonts w:ascii="Times New Roman" w:hAnsi="Times New Roman" w:cs="Times New Roman"/>
          <w:noProof/>
          <w:sz w:val="24"/>
          <w:szCs w:val="24"/>
        </w:rPr>
        <w:t xml:space="preserve">in a primary care population </w:t>
      </w:r>
      <w:r w:rsidR="00A22F03" w:rsidRPr="00DA020D">
        <w:rPr>
          <w:rFonts w:ascii="Times New Roman" w:hAnsi="Times New Roman" w:cs="Times New Roman"/>
          <w:noProof/>
          <w:sz w:val="24"/>
          <w:szCs w:val="24"/>
        </w:rPr>
        <w:t xml:space="preserve">as </w:t>
      </w:r>
      <w:r w:rsidR="004171E9" w:rsidRPr="00DA020D">
        <w:rPr>
          <w:rFonts w:ascii="Times New Roman" w:hAnsi="Times New Roman" w:cs="Times New Roman"/>
          <w:noProof/>
          <w:sz w:val="24"/>
          <w:szCs w:val="24"/>
        </w:rPr>
        <w:t xml:space="preserve">a reduction of </w:t>
      </w:r>
      <w:r w:rsidR="00BC6553">
        <w:rPr>
          <w:rFonts w:ascii="Times New Roman" w:hAnsi="Times New Roman" w:cs="Times New Roman"/>
          <w:noProof/>
          <w:sz w:val="24"/>
          <w:szCs w:val="24"/>
        </w:rPr>
        <w:t>≥</w:t>
      </w:r>
      <w:r w:rsidR="004171E9" w:rsidRPr="00DA020D">
        <w:rPr>
          <w:rFonts w:ascii="Times New Roman" w:hAnsi="Times New Roman" w:cs="Times New Roman"/>
          <w:noProof/>
          <w:sz w:val="24"/>
          <w:szCs w:val="24"/>
        </w:rPr>
        <w:t xml:space="preserve">30% </w:t>
      </w:r>
      <w:r w:rsidR="0031243F">
        <w:rPr>
          <w:rFonts w:ascii="Times New Roman" w:hAnsi="Times New Roman" w:cs="Times New Roman"/>
          <w:noProof/>
          <w:sz w:val="24"/>
          <w:szCs w:val="24"/>
        </w:rPr>
        <w:t>from</w:t>
      </w:r>
      <w:r w:rsidR="004171E9" w:rsidRPr="00DA020D">
        <w:rPr>
          <w:rFonts w:ascii="Times New Roman" w:hAnsi="Times New Roman" w:cs="Times New Roman"/>
          <w:noProof/>
          <w:sz w:val="24"/>
          <w:szCs w:val="24"/>
        </w:rPr>
        <w:t xml:space="preserve"> baseline score at 6 months, alongside patients rating their back pain as </w:t>
      </w:r>
      <w:r w:rsidR="0031243F">
        <w:rPr>
          <w:rFonts w:ascii="Times New Roman" w:hAnsi="Times New Roman" w:cs="Times New Roman"/>
          <w:noProof/>
          <w:sz w:val="24"/>
          <w:szCs w:val="24"/>
        </w:rPr>
        <w:t>‘</w:t>
      </w:r>
      <w:r w:rsidR="004171E9" w:rsidRPr="00DA020D">
        <w:rPr>
          <w:rFonts w:ascii="Times New Roman" w:hAnsi="Times New Roman" w:cs="Times New Roman"/>
          <w:noProof/>
          <w:sz w:val="24"/>
          <w:szCs w:val="24"/>
        </w:rPr>
        <w:t>better</w:t>
      </w:r>
      <w:r w:rsidR="0031243F">
        <w:rPr>
          <w:rFonts w:ascii="Times New Roman" w:hAnsi="Times New Roman" w:cs="Times New Roman"/>
          <w:noProof/>
          <w:sz w:val="24"/>
          <w:szCs w:val="24"/>
        </w:rPr>
        <w:t>’</w:t>
      </w:r>
      <w:r w:rsidR="004171E9" w:rsidRPr="00DA020D">
        <w:rPr>
          <w:rFonts w:ascii="Times New Roman" w:hAnsi="Times New Roman" w:cs="Times New Roman"/>
          <w:noProof/>
          <w:sz w:val="24"/>
          <w:szCs w:val="24"/>
        </w:rPr>
        <w:t xml:space="preserve"> </w:t>
      </w:r>
      <w:r w:rsidR="00997CC2" w:rsidRPr="00DA020D">
        <w:rPr>
          <w:rFonts w:ascii="Times New Roman" w:hAnsi="Times New Roman" w:cs="Times New Roman"/>
          <w:noProof/>
          <w:sz w:val="24"/>
          <w:szCs w:val="24"/>
        </w:rPr>
        <w:t xml:space="preserve">on a global rating scale </w:t>
      </w:r>
      <w:r w:rsidR="00243DD5">
        <w:rPr>
          <w:rFonts w:ascii="Times New Roman" w:hAnsi="Times New Roman" w:cs="Times New Roman"/>
          <w:noProof/>
          <w:sz w:val="24"/>
          <w:szCs w:val="24"/>
        </w:rPr>
        <w:fldChar w:fldCharType="begin" w:fldLock="1"/>
      </w:r>
      <w:r w:rsidR="00243DD5">
        <w:rPr>
          <w:rFonts w:ascii="Times New Roman" w:hAnsi="Times New Roman" w:cs="Times New Roman"/>
          <w:noProof/>
          <w:sz w:val="24"/>
          <w:szCs w:val="24"/>
        </w:rPr>
        <w:instrText>ADDIN CSL_CITATION {"citationItems":[{"id":"ITEM-1","itemData":{"DOI":"10.1016/j.jclinepi.2005.03.018","ISSN":"0895-4356","abstract":"ObjectiveTo compare methods commonly used to derive minimal important differences and recommend a rule for defining patients as clinically improved on the low back pain-specific Roland-Morris Disability Questionnaire (RMDQ).","author":[{"dropping-particle":"","family":"Jordan","given":"Kelvin","non-dropping-particle":"","parse-names":false,"suffix":""},{"dropping-particle":"","family":"Dunn","given":"Kate M","non-dropping-particle":"","parse-names":false,"suffix":""},{"dropping-particle":"","family":"Lewis","given":"Martyn","non-dropping-particle":"","parse-names":false,"suffix":""},{"dropping-particle":"","family":"Croft","given":"Peter","non-dropping-particle":"","parse-names":false,"suffix":""}],"container-title":"Journal of Clinical Epidemiology","id":"ITEM-1","issue":"1","issued":{"date-parts":[["2006","1","1"]]},"note":"doi: 10.1016/j.jclinepi.2005.03.018","page":"45-52","publisher":"Elsevier","title":"A minimal clinically important difference was derived for the Roland-Morris Disability Questionnaire for low back pain","type":"article-journal","volume":"59"},"uris":["http://www.mendeley.com/documents/?uuid=63ddb194-271f-48de-9e51-a3c9658e7960"]}],"mendeley":{"formattedCitation":"(18)","plainTextFormattedCitation":"(18)","previouslyFormattedCitation":"(18)"},"properties":{"noteIndex":0},"schema":"https://github.com/citation-style-language/schema/raw/master/csl-citation.json"}</w:instrText>
      </w:r>
      <w:r w:rsidR="00243DD5">
        <w:rPr>
          <w:rFonts w:ascii="Times New Roman" w:hAnsi="Times New Roman" w:cs="Times New Roman"/>
          <w:noProof/>
          <w:sz w:val="24"/>
          <w:szCs w:val="24"/>
        </w:rPr>
        <w:fldChar w:fldCharType="separate"/>
      </w:r>
      <w:r w:rsidR="00243DD5" w:rsidRPr="00243DD5">
        <w:rPr>
          <w:rFonts w:ascii="Times New Roman" w:hAnsi="Times New Roman" w:cs="Times New Roman"/>
          <w:noProof/>
          <w:sz w:val="24"/>
          <w:szCs w:val="24"/>
        </w:rPr>
        <w:t>(18)</w:t>
      </w:r>
      <w:r w:rsidR="00243DD5">
        <w:rPr>
          <w:rFonts w:ascii="Times New Roman" w:hAnsi="Times New Roman" w:cs="Times New Roman"/>
          <w:noProof/>
          <w:sz w:val="24"/>
          <w:szCs w:val="24"/>
        </w:rPr>
        <w:fldChar w:fldCharType="end"/>
      </w:r>
      <w:r w:rsidR="004171E9" w:rsidRPr="00DA020D">
        <w:rPr>
          <w:rFonts w:ascii="Times New Roman" w:hAnsi="Times New Roman" w:cs="Times New Roman"/>
          <w:noProof/>
          <w:sz w:val="24"/>
          <w:szCs w:val="24"/>
        </w:rPr>
        <w:t>.  Other studies have reported the M</w:t>
      </w:r>
      <w:r w:rsidR="008B1962">
        <w:rPr>
          <w:rFonts w:ascii="Times New Roman" w:hAnsi="Times New Roman" w:cs="Times New Roman"/>
          <w:noProof/>
          <w:sz w:val="24"/>
          <w:szCs w:val="24"/>
        </w:rPr>
        <w:t>C</w:t>
      </w:r>
      <w:r w:rsidR="004171E9" w:rsidRPr="00DA020D">
        <w:rPr>
          <w:rFonts w:ascii="Times New Roman" w:hAnsi="Times New Roman" w:cs="Times New Roman"/>
          <w:noProof/>
          <w:sz w:val="24"/>
          <w:szCs w:val="24"/>
        </w:rPr>
        <w:t xml:space="preserve">ID as being a change score of </w:t>
      </w:r>
      <w:r w:rsidR="00996A8A">
        <w:rPr>
          <w:rFonts w:ascii="Times New Roman" w:hAnsi="Times New Roman" w:cs="Times New Roman"/>
          <w:noProof/>
          <w:sz w:val="24"/>
          <w:szCs w:val="24"/>
        </w:rPr>
        <w:t>~</w:t>
      </w:r>
      <w:r w:rsidR="004171E9" w:rsidRPr="00DA020D">
        <w:rPr>
          <w:rFonts w:ascii="Times New Roman" w:hAnsi="Times New Roman" w:cs="Times New Roman"/>
          <w:noProof/>
          <w:sz w:val="24"/>
          <w:szCs w:val="24"/>
        </w:rPr>
        <w:t xml:space="preserve">5 </w:t>
      </w:r>
      <w:r w:rsidR="00243DD5">
        <w:rPr>
          <w:rFonts w:ascii="Times New Roman" w:hAnsi="Times New Roman" w:cs="Times New Roman"/>
          <w:noProof/>
          <w:sz w:val="24"/>
          <w:szCs w:val="24"/>
        </w:rPr>
        <w:fldChar w:fldCharType="begin" w:fldLock="1"/>
      </w:r>
      <w:r w:rsidR="00D66FE6">
        <w:rPr>
          <w:rFonts w:ascii="Times New Roman" w:hAnsi="Times New Roman" w:cs="Times New Roman"/>
          <w:noProof/>
          <w:sz w:val="24"/>
          <w:szCs w:val="24"/>
        </w:rPr>
        <w:instrText>ADDIN CSL_CITATION {"citationItems":[{"id":"ITEM-1","itemData":{"ISSN":"0031-9023","abstract":"BACKGROUND AND PURPOSE: One purpose of this study was to determine whether the Roland-Morris Back Pain Questionnaire (RMQ) could be used to detect clinically meaningful change in individual patients. The construct that served as the basis for this study was that RMQ change scores should be greater for patients meeting their treatment goals than for patients who did not meet their goals. The second purpose of the study was to determine whether sensitivity to change (STC) varies depending on the magnitude of the initial RMQ score., SUBJECTS AND METHODS: Of the 143 patients with low back pain who completed the study, 104 patients achieved their goals and 39 patients did not achieve their goals. Receiver operating characteristic (ROC) curve analysis and likelihood ratios were used to determine the RMQ change scores that best classify patients as having met or not met their goals., RESULTS: The area under the ROC curve for the entire RMQ scale was 0.68, while the curve areas for smaller RMQ intervals varied from 0.80 to 0.97., CONCLUSION AND DISCUSSION: The STC for the entire RMQ scale was poor for the construct examined in this study. The likelihood ratios for smaller RMQ intervals support the construct validity of the RMQ for assessing change in disability. Initial RMQ score magnitudes must be taken into account to improve the rate of making correct predictions about whether meaningful change in disability will occur following treatment.","author":[{"dropping-particle":"","family":"Riddle","given":"D L","non-dropping-particle":"","parse-names":false,"suffix":""},{"dropping-particle":"","family":"Stratford","given":"P W","non-dropping-particle":"","parse-names":false,"suffix":""},{"dropping-particle":"","family":"Binkley","given":"J M","non-dropping-particle":"","parse-names":false,"suffix":""}],"collection-title":"[Comment in: Phys Ther. 1999 Apr;79(4):420-2; PMID: 10201547 [https://www.ncbi.nlm.nih.gov/pubmed/10201547]]","container-title":"Physical therapy","id":"ITEM-1","issue":"11","issued":{"date-parts":[["1998"]]},"note":"Comment in (CIN)","page":"1197-1207","publisher-place":"United States","title":"Sensitivity to change of the Roland-Morris Back Pain Questionnaire: part 2.","type":"article-journal","volume":"78"},"uris":["http://www.mendeley.com/documents/?uuid=8e522a19-e016-4b79-8020-5409f50a30cb"]},{"id":"ITEM-2","itemData":{"ISSN":"0031-9023","abstract":"BACKGROUND AND PURPOSE: This study estimated the Roland-Morris Back Pain Questionnaire's (RMQ) change score that best classified patients as those who had achieved an important change and those who had not achieved an important change. The study also investigated whether the estimate of change was dependent on patients' initial scores., SUBJECTS AND METHODS: The RMQ was administered to 226 patients with low back pain of less than 6 weeks' duration during their initial visit for physical therapy and following 3 to 6 weeks of treatment. A global rating of change was used to classify patients as those who had changed an important amount and those who had not changed. Receiver operating characteristic curves were used to identify the RMQ change score that most accurately classified patients with respect to important change. This analysis was repeated for 5 overlapping subsamples of patients with initial scores 0 to 8, 5 to 12, 9 to 16, 13 to 20, and 17 to 24., RESULTS: The area under the receiver operating characteristic curves increased when patients' initial scores were taken into account. Estimates of important change were 2, 4, 5, 8, and 8 for the initial score intervals mentioned above., CONCLUSION AND DISCUSSION: Important change appears to be dependent on patients' initial RMQ scores. Subsequent inquiry using different hypotheses would add support to the estimates of important change found in this study.","author":[{"dropping-particle":"","family":"Stratford","given":"P W","non-dropping-particle":"","parse-names":false,"suffix":""},{"dropping-particle":"","family":"Binkley","given":"J M","non-dropping-particle":"","parse-names":false,"suffix":""},{"dropping-particle":"","family":"Riddle","given":"D L","non-dropping-particle":"","parse-names":false,"suffix":""},{"dropping-particle":"","family":"Guyatt","given":"G H","non-dropping-particle":"","parse-names":false,"suffix":""}],"collection-title":"[Comment in: Phys Ther. 1999 Apr;79(4):420-2; PMID: 10201547 [https://www.ncbi.nlm.nih.gov/pubmed/10201547]]","container-title":"Physical therapy","id":"ITEM-2","issue":"11","issued":{"date-parts":[["1998"]]},"note":"Comment in (CIN)","page":"1186-1196","publisher-place":"United States","title":"Sensitivity to change of the Roland-Morris Back Pain Questionnaire: part 1.","type":"article-journal","volume":"78"},"uris":["http://www.mendeley.com/documents/?uuid=72ea534c-37f2-499b-9e6b-cf5305b691c3"]},{"id":"ITEM-3","itemData":{"ISSN":"0031-9023","abstract":"BACKGROUND AND PURPOSE: The Roland-Morris Questionnaire (RMQ) is a self-administered disability measure in which greater levels of disability are reflected by higher numbers on a 24-point scale. The RMQ has been shown to yield reliable measurements, which are valid for inferring the level of disability, and to be sensitive to change over time for groups of patients with low back pain. Little is known about the usefulness of this instrument in aiding decision making regarding individual patients. The purpose of this study was to determine the minimum level of detectable change when the RMQ is applied to individual patients., SUBJECTS: The study sample consisted of 60 outpatients with low back pain., METHODS: The RMQ was administered at the subjects' initial visit and again 4 to 6 weeks later. Conditional standard errors of measurement (CSEMs) were computed for initial and follow-up RMQ scores, and these values were used to estimate the minimum level of detectable change. Results. Minimum levels of detectable change at the 90% confidence level varied from 4 to 5 RMQ points., CONCLUSION AND DISCUSSION: The magnitude of CSEMs is sufficiently small to detect change in patients with initial scores in the central portion of the scale (4-20 RMQ points); however, the magnitude is too large to detect improvement in patients with scores of less than 4 and deterioration in patients who have scores greater than 20.","author":[{"dropping-particle":"","family":"Stratford","given":"P W","non-dropping-particle":"","parse-names":false,"suffix":""},{"dropping-particle":"","family":"Binkley","given":"J","non-dropping-particle":"","parse-names":false,"suffix":""},{"dropping-particle":"","family":"Solomon","given":"P","non-dropping-particle":"","parse-names":false,"suffix":""},{"dropping-particle":"","family":"Finch","given":"E","non-dropping-particle":"","parse-names":false,"suffix":""},{"dropping-particle":"","family":"Gill","given":"C","non-dropping-particle":"","parse-names":false,"suffix":""},{"dropping-particle":"","family":"Moreland","given":"J","non-dropping-particle":"","parse-names":false,"suffix":""}],"container-title":"Physical therapy","id":"ITEM-3","issue":"4","issued":{"date-parts":[["1996"]]},"page":"358-359","publisher-place":"United States","title":"Defining the minimum level of detectable change for the Roland-Morris questionnaire.","type":"article-journal","volume":"76"},"uris":["http://www.mendeley.com/documents/?uuid=ab0f2ace-2e29-4f77-8a5a-a2e89d4fd596"]}],"mendeley":{"formattedCitation":"(19–21)","plainTextFormattedCitation":"(19–21)","previouslyFormattedCitation":"(19–21)"},"properties":{"noteIndex":0},"schema":"https://github.com/citation-style-language/schema/raw/master/csl-citation.json"}</w:instrText>
      </w:r>
      <w:r w:rsidR="00243DD5">
        <w:rPr>
          <w:rFonts w:ascii="Times New Roman" w:hAnsi="Times New Roman" w:cs="Times New Roman"/>
          <w:noProof/>
          <w:sz w:val="24"/>
          <w:szCs w:val="24"/>
        </w:rPr>
        <w:fldChar w:fldCharType="separate"/>
      </w:r>
      <w:r w:rsidR="00243DD5" w:rsidRPr="00243DD5">
        <w:rPr>
          <w:rFonts w:ascii="Times New Roman" w:hAnsi="Times New Roman" w:cs="Times New Roman"/>
          <w:noProof/>
          <w:sz w:val="24"/>
          <w:szCs w:val="24"/>
        </w:rPr>
        <w:t>(19–21)</w:t>
      </w:r>
      <w:r w:rsidR="00243DD5">
        <w:rPr>
          <w:rFonts w:ascii="Times New Roman" w:hAnsi="Times New Roman" w:cs="Times New Roman"/>
          <w:noProof/>
          <w:sz w:val="24"/>
          <w:szCs w:val="24"/>
        </w:rPr>
        <w:fldChar w:fldCharType="end"/>
      </w:r>
      <w:r w:rsidR="004171E9" w:rsidRPr="00DA020D">
        <w:rPr>
          <w:rFonts w:ascii="Times New Roman" w:hAnsi="Times New Roman" w:cs="Times New Roman"/>
          <w:noProof/>
          <w:sz w:val="24"/>
          <w:szCs w:val="24"/>
        </w:rPr>
        <w:t>.</w:t>
      </w:r>
    </w:p>
    <w:p w14:paraId="353C4672" w14:textId="18F3EF3A" w:rsidR="00A835A4" w:rsidRDefault="00A835A4">
      <w:pPr>
        <w:rPr>
          <w:rFonts w:ascii="Times New Roman" w:hAnsi="Times New Roman" w:cs="Times New Roman"/>
          <w:i/>
          <w:noProof/>
          <w:sz w:val="24"/>
          <w:szCs w:val="24"/>
        </w:rPr>
      </w:pPr>
    </w:p>
    <w:p w14:paraId="50626DF0" w14:textId="46536AE2" w:rsidR="009265D3" w:rsidRPr="00DA020D" w:rsidRDefault="00FD2BC4" w:rsidP="00CA3B91">
      <w:pPr>
        <w:pStyle w:val="NoSpacing"/>
        <w:spacing w:line="48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2.2.3 </w:t>
      </w:r>
      <w:r w:rsidR="009265D3" w:rsidRPr="00DA020D">
        <w:rPr>
          <w:rFonts w:ascii="Times New Roman" w:hAnsi="Times New Roman" w:cs="Times New Roman"/>
          <w:i/>
          <w:noProof/>
          <w:sz w:val="24"/>
          <w:szCs w:val="24"/>
        </w:rPr>
        <w:t>Neck Pain</w:t>
      </w:r>
    </w:p>
    <w:p w14:paraId="738049B5" w14:textId="2D3028FE" w:rsidR="00E21172" w:rsidRPr="00DA020D" w:rsidRDefault="00CC03D9" w:rsidP="00CA3B91">
      <w:pPr>
        <w:pStyle w:val="NoSpacing"/>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Patients with </w:t>
      </w:r>
      <w:r w:rsidR="00B06EAB" w:rsidRPr="00DA020D">
        <w:rPr>
          <w:rFonts w:ascii="Times New Roman" w:hAnsi="Times New Roman" w:cs="Times New Roman"/>
          <w:noProof/>
          <w:sz w:val="24"/>
          <w:szCs w:val="24"/>
        </w:rPr>
        <w:t>neck pain</w:t>
      </w:r>
      <w:r>
        <w:rPr>
          <w:rFonts w:ascii="Times New Roman" w:hAnsi="Times New Roman" w:cs="Times New Roman"/>
          <w:noProof/>
          <w:sz w:val="24"/>
          <w:szCs w:val="24"/>
        </w:rPr>
        <w:t xml:space="preserve"> </w:t>
      </w:r>
      <w:r w:rsidR="00B936C4">
        <w:rPr>
          <w:rFonts w:ascii="Times New Roman" w:hAnsi="Times New Roman" w:cs="Times New Roman"/>
          <w:noProof/>
          <w:sz w:val="24"/>
          <w:szCs w:val="24"/>
        </w:rPr>
        <w:t xml:space="preserve">were asked to complete </w:t>
      </w:r>
      <w:r w:rsidR="00CC18E9" w:rsidRPr="00DA020D">
        <w:rPr>
          <w:rFonts w:ascii="Times New Roman" w:hAnsi="Times New Roman" w:cs="Times New Roman"/>
          <w:noProof/>
          <w:sz w:val="24"/>
          <w:szCs w:val="24"/>
        </w:rPr>
        <w:t>the Neck Disability Index (NDI)</w:t>
      </w:r>
      <w:r w:rsidR="00B06EAB" w:rsidRPr="00DA020D">
        <w:rPr>
          <w:rFonts w:ascii="Times New Roman" w:hAnsi="Times New Roman" w:cs="Times New Roman"/>
          <w:noProof/>
          <w:sz w:val="24"/>
          <w:szCs w:val="24"/>
        </w:rPr>
        <w:t xml:space="preserve"> </w:t>
      </w:r>
      <w:r w:rsidR="00D66FE6">
        <w:rPr>
          <w:rFonts w:ascii="Times New Roman" w:hAnsi="Times New Roman" w:cs="Times New Roman"/>
          <w:noProof/>
          <w:sz w:val="24"/>
          <w:szCs w:val="24"/>
        </w:rPr>
        <w:fldChar w:fldCharType="begin" w:fldLock="1"/>
      </w:r>
      <w:r w:rsidR="00D66FE6">
        <w:rPr>
          <w:rFonts w:ascii="Times New Roman" w:hAnsi="Times New Roman" w:cs="Times New Roman"/>
          <w:noProof/>
          <w:sz w:val="24"/>
          <w:szCs w:val="24"/>
        </w:rPr>
        <w:instrText>ADDIN CSL_CITATION {"citationItems":[{"id":"ITEM-1","itemData":{"ISSN":"0161-4754","abstract":"Injuries to the cervical spine, especially those involving the soft tissues, represent a significant source of chronic disability. Methods of assessment for such disability, especially those targeted at activities of daily living which are most affected by neck pain, are few in number. A modification of the Oswestry Low Back Pain Index was conducted producing a 10-item scaled questionnaire entitled the Neck Disability Index (NDI). Face validity was ensured through peer-review and patient feedback sessions. Test-retest reliability was conducted on an initial sample of 17 consecutive \"whiplash\"-injured patients in an outpatient clinic, resulting in good statistical significance (Pearson's r = 0.89, p less than or equal to .05). The alpha coefficients were calculated from a pool of questionnaires completed by 52 such subjects resulting in a total index alpha of 0.80, with all items having individual alpha scores above 0.75. Concurrent validity was assessed in two ways. First, on a smaller subset of 10 patients who completed a course of conservative care, the percentage of change on NDI scores before and after treatment was compared to visual analogue scale scores of percent of perceived improvement in activity levels. These scores correlated at 0.60. Secondly, in a larger subset of 30 subjects, NDI scores were compared to scores on the McGill Pain Questionnaire, with similar moderately high correlations (0.69-0.70). While the sample size of some of the analyses is somewhat small, this study demonstrated that the NDI achieved a high degree of reliability and internal consistency.(ABSTRACT TRUNCATED AT 250 WORDS)","author":[{"dropping-particle":"","family":"Vernon","given":"H","non-dropping-particle":"","parse-names":false,"suffix":""},{"dropping-particle":"","family":"Mior","given":"S","non-dropping-particle":"","parse-names":false,"suffix":""}],"collection-title":"[Erratum in: J Manipulative Physiol Ther 1992 Jan;15(1):followi]","container-title":"Journal of manipulative and physiological therapeutics","id":"ITEM-1","issue":"7","issued":{"date-parts":[["1991"]]},"note":"Erratum in (EIN)","page":"409-415","publisher-place":"United States","title":"The Neck Disability Index: a study of reliability and validity.","type":"article-journal","volume":"14"},"uris":["http://www.mendeley.com/documents/?uuid=cdfd0f1a-3d16-42b5-98a7-a720cb8f8b0d"]}],"mendeley":{"formattedCitation":"(13)","plainTextFormattedCitation":"(13)","previouslyFormattedCitation":"(13)"},"properties":{"noteIndex":0},"schema":"https://github.com/citation-style-language/schema/raw/master/csl-citation.json"}</w:instrText>
      </w:r>
      <w:r w:rsidR="00D66FE6">
        <w:rPr>
          <w:rFonts w:ascii="Times New Roman" w:hAnsi="Times New Roman" w:cs="Times New Roman"/>
          <w:noProof/>
          <w:sz w:val="24"/>
          <w:szCs w:val="24"/>
        </w:rPr>
        <w:fldChar w:fldCharType="separate"/>
      </w:r>
      <w:r w:rsidR="00D66FE6" w:rsidRPr="00D66FE6">
        <w:rPr>
          <w:rFonts w:ascii="Times New Roman" w:hAnsi="Times New Roman" w:cs="Times New Roman"/>
          <w:noProof/>
          <w:sz w:val="24"/>
          <w:szCs w:val="24"/>
        </w:rPr>
        <w:t>(13)</w:t>
      </w:r>
      <w:r w:rsidR="00D66FE6">
        <w:rPr>
          <w:rFonts w:ascii="Times New Roman" w:hAnsi="Times New Roman" w:cs="Times New Roman"/>
          <w:noProof/>
          <w:sz w:val="24"/>
          <w:szCs w:val="24"/>
        </w:rPr>
        <w:fldChar w:fldCharType="end"/>
      </w:r>
      <w:r w:rsidR="00091FCD" w:rsidRPr="00DA020D">
        <w:rPr>
          <w:rFonts w:ascii="Times New Roman" w:hAnsi="Times New Roman" w:cs="Times New Roman"/>
          <w:noProof/>
          <w:sz w:val="24"/>
          <w:szCs w:val="24"/>
        </w:rPr>
        <w:t xml:space="preserve">. </w:t>
      </w:r>
      <w:r>
        <w:rPr>
          <w:rFonts w:ascii="Times New Roman" w:hAnsi="Times New Roman" w:cs="Times New Roman"/>
          <w:noProof/>
          <w:sz w:val="24"/>
          <w:szCs w:val="24"/>
        </w:rPr>
        <w:t xml:space="preserve">This includes </w:t>
      </w:r>
      <w:r w:rsidR="004D28C9" w:rsidRPr="00DA020D">
        <w:rPr>
          <w:rFonts w:ascii="Times New Roman" w:hAnsi="Times New Roman" w:cs="Times New Roman"/>
          <w:noProof/>
          <w:sz w:val="24"/>
          <w:szCs w:val="24"/>
        </w:rPr>
        <w:t xml:space="preserve">10-items covering issues </w:t>
      </w:r>
      <w:r w:rsidR="00FF1C10" w:rsidRPr="00DA020D">
        <w:rPr>
          <w:rFonts w:ascii="Times New Roman" w:hAnsi="Times New Roman" w:cs="Times New Roman"/>
          <w:noProof/>
          <w:sz w:val="24"/>
          <w:szCs w:val="24"/>
        </w:rPr>
        <w:t>such as pain intensi</w:t>
      </w:r>
      <w:r w:rsidR="004D28C9" w:rsidRPr="00DA020D">
        <w:rPr>
          <w:rFonts w:ascii="Times New Roman" w:hAnsi="Times New Roman" w:cs="Times New Roman"/>
          <w:noProof/>
          <w:sz w:val="24"/>
          <w:szCs w:val="24"/>
        </w:rPr>
        <w:t>ty, headache, lifting, and work</w:t>
      </w:r>
      <w:r w:rsidR="00FF1C10" w:rsidRPr="00DA020D">
        <w:rPr>
          <w:rFonts w:ascii="Times New Roman" w:hAnsi="Times New Roman" w:cs="Times New Roman"/>
          <w:noProof/>
          <w:sz w:val="24"/>
          <w:szCs w:val="24"/>
        </w:rPr>
        <w:t xml:space="preserve">. Each item is measured on a scale from 0 (no pain/disability) to 5 (maximum pain/disability), </w:t>
      </w:r>
      <w:r>
        <w:rPr>
          <w:rFonts w:ascii="Times New Roman" w:hAnsi="Times New Roman" w:cs="Times New Roman"/>
          <w:noProof/>
          <w:sz w:val="24"/>
          <w:szCs w:val="24"/>
        </w:rPr>
        <w:t xml:space="preserve">with a </w:t>
      </w:r>
      <w:r w:rsidR="00A40244" w:rsidRPr="00DA020D">
        <w:rPr>
          <w:rFonts w:ascii="Times New Roman" w:hAnsi="Times New Roman" w:cs="Times New Roman"/>
          <w:noProof/>
          <w:sz w:val="24"/>
          <w:szCs w:val="24"/>
        </w:rPr>
        <w:t xml:space="preserve">total score </w:t>
      </w:r>
      <w:r>
        <w:rPr>
          <w:rFonts w:ascii="Times New Roman" w:hAnsi="Times New Roman" w:cs="Times New Roman"/>
          <w:noProof/>
          <w:sz w:val="24"/>
          <w:szCs w:val="24"/>
        </w:rPr>
        <w:t xml:space="preserve">generated </w:t>
      </w:r>
      <w:r w:rsidR="005A5ABA">
        <w:rPr>
          <w:rFonts w:ascii="Times New Roman" w:hAnsi="Times New Roman" w:cs="Times New Roman"/>
          <w:noProof/>
          <w:sz w:val="24"/>
          <w:szCs w:val="24"/>
        </w:rPr>
        <w:t>ranging</w:t>
      </w:r>
      <w:r w:rsidR="004D28C9" w:rsidRPr="00DA020D">
        <w:rPr>
          <w:rFonts w:ascii="Times New Roman" w:hAnsi="Times New Roman" w:cs="Times New Roman"/>
          <w:noProof/>
          <w:sz w:val="24"/>
          <w:szCs w:val="24"/>
        </w:rPr>
        <w:t xml:space="preserve"> </w:t>
      </w:r>
      <w:r w:rsidR="00A40244" w:rsidRPr="00DA020D">
        <w:rPr>
          <w:rFonts w:ascii="Times New Roman" w:hAnsi="Times New Roman" w:cs="Times New Roman"/>
          <w:noProof/>
          <w:sz w:val="24"/>
          <w:szCs w:val="24"/>
        </w:rPr>
        <w:t>from 0 (no disability) to 100 (maximum disability)</w:t>
      </w:r>
      <w:r w:rsidR="00E21172" w:rsidRPr="00DA020D">
        <w:rPr>
          <w:rFonts w:ascii="Times New Roman" w:hAnsi="Times New Roman" w:cs="Times New Roman"/>
          <w:noProof/>
          <w:sz w:val="24"/>
          <w:szCs w:val="24"/>
        </w:rPr>
        <w:t xml:space="preserve"> </w:t>
      </w:r>
      <w:r w:rsidR="00D66FE6">
        <w:rPr>
          <w:rFonts w:ascii="Times New Roman" w:hAnsi="Times New Roman" w:cs="Times New Roman"/>
          <w:noProof/>
          <w:sz w:val="24"/>
          <w:szCs w:val="24"/>
        </w:rPr>
        <w:fldChar w:fldCharType="begin" w:fldLock="1"/>
      </w:r>
      <w:r w:rsidR="00D66FE6">
        <w:rPr>
          <w:rFonts w:ascii="Times New Roman" w:hAnsi="Times New Roman" w:cs="Times New Roman"/>
          <w:noProof/>
          <w:sz w:val="24"/>
          <w:szCs w:val="24"/>
        </w:rPr>
        <w:instrText>ADDIN CSL_CITATION {"citationItems":[{"id":"ITEM-1","itemData":{"ISSN":"1715-6181","abstract":"BACKGROUND: The Neck Disability Index (NDI) and Cervical Ranges of Motion (CROM) are measurement tools that are used for neck pain patients., OBJECTIVE: To review the literature to determine how the NDI is associated with neck pain and CROM outcomes., METHODS: Computer based searches of 5 databases were performed and supplemented by internet and hand searching of article references and \"related citations.\", RESULTS: The search yielded 23 studies that met the inclusion and exclusion criteria and these were summarized into four categories: NDI, NDI and other questionnaires, whiplash and NDI and cervical range of motion and NDI. The NDI was shown to be a well validated and reliable self-reported questionnaire, especially when compared to other questionnaires, in both neck pain and whiplash (WAD) patients. There are very few studies that discuss the NDI and cervical range of motion., CONCLUSION: This review outlines the strength of the NDI as a self-reported neck disability questionnaire, but also demonstrates a need for further research to explore the association between the NDI, neck pain and cervical ranges of motion.","author":[{"dropping-particle":"","family":"Howell","given":"Emily R","non-dropping-particle":"","parse-names":false,"suffix":""}],"container-title":"The Journal of the Canadian Chiropractic Association","id":"ITEM-1","issue":"3","issued":{"date-parts":[["2011"]]},"page":"211-221","publisher-place":"Canada","title":"The association between neck pain, the Neck Disability Index and cervical ranges of motion: a narrative review.","type":"article-journal","volume":"55"},"uris":["http://www.mendeley.com/documents/?uuid=d136f05d-b392-4f85-b6f4-30aac10eda29"]}],"mendeley":{"formattedCitation":"(22)","plainTextFormattedCitation":"(22)","previouslyFormattedCitation":"(22)"},"properties":{"noteIndex":0},"schema":"https://github.com/citation-style-language/schema/raw/master/csl-citation.json"}</w:instrText>
      </w:r>
      <w:r w:rsidR="00D66FE6">
        <w:rPr>
          <w:rFonts w:ascii="Times New Roman" w:hAnsi="Times New Roman" w:cs="Times New Roman"/>
          <w:noProof/>
          <w:sz w:val="24"/>
          <w:szCs w:val="24"/>
        </w:rPr>
        <w:fldChar w:fldCharType="separate"/>
      </w:r>
      <w:r w:rsidR="00D66FE6" w:rsidRPr="00D66FE6">
        <w:rPr>
          <w:rFonts w:ascii="Times New Roman" w:hAnsi="Times New Roman" w:cs="Times New Roman"/>
          <w:noProof/>
          <w:sz w:val="24"/>
          <w:szCs w:val="24"/>
        </w:rPr>
        <w:t>(22)</w:t>
      </w:r>
      <w:r w:rsidR="00D66FE6">
        <w:rPr>
          <w:rFonts w:ascii="Times New Roman" w:hAnsi="Times New Roman" w:cs="Times New Roman"/>
          <w:noProof/>
          <w:sz w:val="24"/>
          <w:szCs w:val="24"/>
        </w:rPr>
        <w:fldChar w:fldCharType="end"/>
      </w:r>
      <w:r w:rsidR="00A40244" w:rsidRPr="00DA020D">
        <w:rPr>
          <w:rFonts w:ascii="Times New Roman" w:hAnsi="Times New Roman" w:cs="Times New Roman"/>
          <w:noProof/>
          <w:sz w:val="24"/>
          <w:szCs w:val="24"/>
        </w:rPr>
        <w:t>.</w:t>
      </w:r>
      <w:r w:rsidR="00E21172" w:rsidRPr="00DA020D">
        <w:rPr>
          <w:rFonts w:ascii="Times New Roman" w:hAnsi="Times New Roman" w:cs="Times New Roman"/>
          <w:noProof/>
          <w:sz w:val="24"/>
          <w:szCs w:val="24"/>
        </w:rPr>
        <w:t xml:space="preserve"> The NDI is the most widely used and validated instrument for assessing self-rated disability in patients with neck pain </w:t>
      </w:r>
      <w:r w:rsidR="00D66FE6">
        <w:rPr>
          <w:rFonts w:ascii="Times New Roman" w:hAnsi="Times New Roman" w:cs="Times New Roman"/>
          <w:noProof/>
          <w:sz w:val="24"/>
          <w:szCs w:val="24"/>
        </w:rPr>
        <w:fldChar w:fldCharType="begin" w:fldLock="1"/>
      </w:r>
      <w:r w:rsidR="00D66FE6">
        <w:rPr>
          <w:rFonts w:ascii="Times New Roman" w:hAnsi="Times New Roman" w:cs="Times New Roman"/>
          <w:noProof/>
          <w:sz w:val="24"/>
          <w:szCs w:val="24"/>
        </w:rPr>
        <w:instrText>ADDIN CSL_CITATION {"citationItems":[{"id":"ITEM-1","itemData":{"DOI":"https://dx.doi.org/10.1016/j.jmpt.2008.08.006","ISSN":"1532-6586","abstract":"BACKGROUND: Published in 1991, the Neck Disability Index (NDI) was the first instrument designed to assess self-rated disability in patients with neck pain. This article reviews the history of the NDI and the current state of the research into its psychometric properties--reliability, validity, and responsiveness--as well as its translations. Focused reviews are presented into its use in studies of the prognosis of whiplash-injured patients as well as its use in clinical trials of conservative therapies for neck pain., SPECIAL FEATURES: The NDI is a relatively short, paper-pencil instrument that is easy to apply in both clinical and research settings. It has strong psychometric characteristics and has proven to be highly responsive in clinical trials. As of late 2007, it has been used in approximately 300 publications; it has been translated into 22 languages, and it is endorsed for use by a number of clinical guidelines., SUMMARY: The NDI is the most widely used and most strongly validated instrument for assessing self-rated disability in patients with neck pain. It has been used effectively in both clinical and research settings in the treatment of this very common problem.","author":[{"dropping-particle":"","family":"Vernon","given":"Howard","non-dropping-particle":"","parse-names":false,"suffix":""}],"container-title":"Journal of manipulative and physiological therapeutics","id":"ITEM-1","issue":"7","issued":{"date-parts":[["2008"]]},"page":"491-502","publisher-place":"United States","title":"The Neck Disability Index: state-of-the-art, 1991-2008.","type":"article-journal","volume":"31"},"uris":["http://www.mendeley.com/documents/?uuid=5f3390ed-ecd8-43d1-9ff1-4fb4fd87d5b9"]}],"mendeley":{"formattedCitation":"(23)","plainTextFormattedCitation":"(23)","previouslyFormattedCitation":"(23)"},"properties":{"noteIndex":0},"schema":"https://github.com/citation-style-language/schema/raw/master/csl-citation.json"}</w:instrText>
      </w:r>
      <w:r w:rsidR="00D66FE6">
        <w:rPr>
          <w:rFonts w:ascii="Times New Roman" w:hAnsi="Times New Roman" w:cs="Times New Roman"/>
          <w:noProof/>
          <w:sz w:val="24"/>
          <w:szCs w:val="24"/>
        </w:rPr>
        <w:fldChar w:fldCharType="separate"/>
      </w:r>
      <w:r w:rsidR="00D66FE6" w:rsidRPr="00D66FE6">
        <w:rPr>
          <w:rFonts w:ascii="Times New Roman" w:hAnsi="Times New Roman" w:cs="Times New Roman"/>
          <w:noProof/>
          <w:sz w:val="24"/>
          <w:szCs w:val="24"/>
        </w:rPr>
        <w:t>(23)</w:t>
      </w:r>
      <w:r w:rsidR="00D66FE6">
        <w:rPr>
          <w:rFonts w:ascii="Times New Roman" w:hAnsi="Times New Roman" w:cs="Times New Roman"/>
          <w:noProof/>
          <w:sz w:val="24"/>
          <w:szCs w:val="24"/>
        </w:rPr>
        <w:fldChar w:fldCharType="end"/>
      </w:r>
      <w:r w:rsidR="00E21172" w:rsidRPr="00DA020D">
        <w:rPr>
          <w:rFonts w:ascii="Times New Roman" w:hAnsi="Times New Roman" w:cs="Times New Roman"/>
          <w:noProof/>
          <w:sz w:val="24"/>
          <w:szCs w:val="24"/>
        </w:rPr>
        <w:t>.</w:t>
      </w:r>
      <w:r w:rsidR="004D28C9" w:rsidRPr="00DA020D">
        <w:rPr>
          <w:rFonts w:ascii="Times New Roman" w:hAnsi="Times New Roman" w:cs="Times New Roman"/>
          <w:noProof/>
          <w:sz w:val="24"/>
          <w:szCs w:val="24"/>
        </w:rPr>
        <w:t xml:space="preserve"> Various M</w:t>
      </w:r>
      <w:r w:rsidR="008B1962">
        <w:rPr>
          <w:rFonts w:ascii="Times New Roman" w:hAnsi="Times New Roman" w:cs="Times New Roman"/>
          <w:noProof/>
          <w:sz w:val="24"/>
          <w:szCs w:val="24"/>
        </w:rPr>
        <w:t>C</w:t>
      </w:r>
      <w:r w:rsidR="004D28C9" w:rsidRPr="00DA020D">
        <w:rPr>
          <w:rFonts w:ascii="Times New Roman" w:hAnsi="Times New Roman" w:cs="Times New Roman"/>
          <w:noProof/>
          <w:sz w:val="24"/>
          <w:szCs w:val="24"/>
        </w:rPr>
        <w:t>ID</w:t>
      </w:r>
      <w:r w:rsidR="002C06EB" w:rsidRPr="00DA020D">
        <w:rPr>
          <w:rFonts w:ascii="Times New Roman" w:hAnsi="Times New Roman" w:cs="Times New Roman"/>
          <w:noProof/>
          <w:sz w:val="24"/>
          <w:szCs w:val="24"/>
        </w:rPr>
        <w:t>s</w:t>
      </w:r>
      <w:r w:rsidR="004D28C9" w:rsidRPr="00DA020D">
        <w:rPr>
          <w:rFonts w:ascii="Times New Roman" w:hAnsi="Times New Roman" w:cs="Times New Roman"/>
          <w:noProof/>
          <w:sz w:val="24"/>
          <w:szCs w:val="24"/>
        </w:rPr>
        <w:t xml:space="preserve"> have been reported across studies</w:t>
      </w:r>
      <w:r w:rsidR="00DF3005" w:rsidRPr="00DA020D">
        <w:rPr>
          <w:rFonts w:ascii="Times New Roman" w:hAnsi="Times New Roman" w:cs="Times New Roman"/>
          <w:noProof/>
          <w:sz w:val="24"/>
          <w:szCs w:val="24"/>
        </w:rPr>
        <w:t xml:space="preserve"> </w:t>
      </w:r>
      <w:r w:rsidR="00D66FE6">
        <w:rPr>
          <w:rFonts w:ascii="Times New Roman" w:hAnsi="Times New Roman" w:cs="Times New Roman"/>
          <w:noProof/>
          <w:sz w:val="24"/>
          <w:szCs w:val="24"/>
        </w:rPr>
        <w:fldChar w:fldCharType="begin" w:fldLock="1"/>
      </w:r>
      <w:r w:rsidR="00D66FE6">
        <w:rPr>
          <w:rFonts w:ascii="Times New Roman" w:hAnsi="Times New Roman" w:cs="Times New Roman"/>
          <w:noProof/>
          <w:sz w:val="24"/>
          <w:szCs w:val="24"/>
        </w:rPr>
        <w:instrText>ADDIN CSL_CITATION {"citationItems":[{"id":"ITEM-1","itemData":{"DOI":"10.2519/jospt.2009.2930","ISSN":"0190-6011","abstract":"Study Design Systematic review of clinical measurement. Objective To find and synthesize evidence on the psychometric properties and usefulness of the neck disability index (NDI). Background The NDI is the most commonly used outcome measure for neck pain, and a synthesis of knowledge should provide a deeper understanding of its use and limitations. Methods And Measures Using a standard search strategy (1966 to September 2008) and 4 databases (Medline, CINAHL, Embase, and PsychInfo), a structured search was conducted and supplemented by web and hand searching. In total, 37 published primary studies, 3 reviews, and 1 in-press paper were analyzed. Pairs of raters conducted data extraction and critical appraisal using structured tools. Ranking of quality and descriptive synthesis were performed. Results Horizon estimation suggested the potential for 1 missed paper. The agreement between raters on quality assessments was high (kappa = 0.82). Half of the studies reached a quality level greater than 70%. Failures to report clear psychometric objectives/hypotheses or to rationalize the sample size were the most common design flaws. Studies often focused on less clinically applicable properties, like construct validity or group reliability, than transferable data, like known group differences or absolute reliability (standard error of measurement [SEM] or minimum detectable change [MDC]). Most studies suggest that the NDI has acceptable reliability, although intraclass correlation coefficients (ICCs) range from 0.50 to 0.98. Longer test intervals and the definition of stable can influence reliability estimates. A number of high-quality published (Korean, Dutch, Spanish, French, Brazilian Portuguese) and commercially supported translations are available. The NDI is considered a 1-dimensional measure that can be interpreted as an interval scale. Some studies question these assumptions. The MDC is around 5/50 for uncomplicated neck pain and up to 10/50 for cervical radiculopathy. The reported clinically important difference (CID) is inconsistent across different studies ranging from 5/50 to 19/50. The NDI is strongly correlated (&gt;0.70) to a number of similar indices and moderately related to both physical and mental aspects of general health. Conclusion The NDI has sufficient support and usefulness to retain its current status as the most commonly used self-report measure for neck pain. More studies of CID in different clinical populations and the relationship to s…","author":[{"dropping-particle":"","family":"MacDermid","given":"Joy C","non-dropping-particle":"","parse-names":false,"suffix":""},{"dropping-particle":"","family":"Walton","given":"David M","non-dropping-particle":"","parse-names":false,"suffix":""},{"dropping-particle":"","family":"Avery","given":"Sarah","non-dropping-particle":"","parse-names":false,"suffix":""},{"dropping-particle":"","family":"Blanchard","given":"Alanna","non-dropping-particle":"","parse-names":false,"suffix":""},{"dropping-particle":"","family":"Etruw","given":"Evelyn","non-dropping-particle":"","parse-names":false,"suffix":""},{"dropping-particle":"","family":"McAlpine","given":"Cheryl","non-dropping-particle":"","parse-names":false,"suffix":""},{"dropping-particle":"","family":"Goldsmith","given":"Charlie H","non-dropping-particle":"","parse-names":false,"suffix":""}],"container-title":"Journal of Orthopaedic &amp; Sports Physical Therapy","id":"ITEM-1","issue":"5","issued":{"date-parts":[["2009","5","1"]]},"note":"doi: 10.2519/jospt.2009.2930","page":"400-417","publisher":"Journal of Orthopaedic &amp; Sports Physical Therapy","title":"Measurement Properties of the Neck Disability Index: A Systematic Review","type":"article-journal","volume":"39"},"uris":["http://www.mendeley.com/documents/?uuid=fd04ff81-7155-4bea-8a0a-ec87668decf2"]}],"mendeley":{"formattedCitation":"(24)","plainTextFormattedCitation":"(24)","previouslyFormattedCitation":"(24)"},"properties":{"noteIndex":0},"schema":"https://github.com/citation-style-language/schema/raw/master/csl-citation.json"}</w:instrText>
      </w:r>
      <w:r w:rsidR="00D66FE6">
        <w:rPr>
          <w:rFonts w:ascii="Times New Roman" w:hAnsi="Times New Roman" w:cs="Times New Roman"/>
          <w:noProof/>
          <w:sz w:val="24"/>
          <w:szCs w:val="24"/>
        </w:rPr>
        <w:fldChar w:fldCharType="separate"/>
      </w:r>
      <w:r w:rsidR="00D66FE6" w:rsidRPr="00D66FE6">
        <w:rPr>
          <w:rFonts w:ascii="Times New Roman" w:hAnsi="Times New Roman" w:cs="Times New Roman"/>
          <w:noProof/>
          <w:sz w:val="24"/>
          <w:szCs w:val="24"/>
        </w:rPr>
        <w:t>(24)</w:t>
      </w:r>
      <w:r w:rsidR="00D66FE6">
        <w:rPr>
          <w:rFonts w:ascii="Times New Roman" w:hAnsi="Times New Roman" w:cs="Times New Roman"/>
          <w:noProof/>
          <w:sz w:val="24"/>
          <w:szCs w:val="24"/>
        </w:rPr>
        <w:fldChar w:fldCharType="end"/>
      </w:r>
      <w:r w:rsidR="007172CB" w:rsidRPr="00DA020D">
        <w:rPr>
          <w:rFonts w:ascii="Times New Roman" w:hAnsi="Times New Roman" w:cs="Times New Roman"/>
          <w:noProof/>
          <w:sz w:val="24"/>
          <w:szCs w:val="24"/>
        </w:rPr>
        <w:t xml:space="preserve">. In patients with </w:t>
      </w:r>
      <w:r w:rsidR="003F68AD" w:rsidRPr="00DA020D">
        <w:rPr>
          <w:rFonts w:ascii="Times New Roman" w:hAnsi="Times New Roman" w:cs="Times New Roman"/>
          <w:noProof/>
          <w:sz w:val="24"/>
          <w:szCs w:val="24"/>
        </w:rPr>
        <w:t>non-specific chronic neck pain</w:t>
      </w:r>
      <w:r w:rsidR="00DF3005" w:rsidRPr="00DA020D">
        <w:rPr>
          <w:rFonts w:ascii="Times New Roman" w:hAnsi="Times New Roman" w:cs="Times New Roman"/>
          <w:noProof/>
          <w:sz w:val="24"/>
          <w:szCs w:val="24"/>
        </w:rPr>
        <w:t>,</w:t>
      </w:r>
      <w:r w:rsidR="007172CB" w:rsidRPr="00DA020D">
        <w:rPr>
          <w:rFonts w:ascii="Times New Roman" w:hAnsi="Times New Roman" w:cs="Times New Roman"/>
          <w:noProof/>
          <w:sz w:val="24"/>
          <w:szCs w:val="24"/>
        </w:rPr>
        <w:t xml:space="preserve"> the M</w:t>
      </w:r>
      <w:r w:rsidR="008B1962">
        <w:rPr>
          <w:rFonts w:ascii="Times New Roman" w:hAnsi="Times New Roman" w:cs="Times New Roman"/>
          <w:noProof/>
          <w:sz w:val="24"/>
          <w:szCs w:val="24"/>
        </w:rPr>
        <w:t>C</w:t>
      </w:r>
      <w:r w:rsidR="007172CB" w:rsidRPr="00DA020D">
        <w:rPr>
          <w:rFonts w:ascii="Times New Roman" w:hAnsi="Times New Roman" w:cs="Times New Roman"/>
          <w:noProof/>
          <w:sz w:val="24"/>
          <w:szCs w:val="24"/>
        </w:rPr>
        <w:t xml:space="preserve">ID has been estimated at 3.5 </w:t>
      </w:r>
      <w:r w:rsidR="00D66FE6">
        <w:rPr>
          <w:rFonts w:ascii="Times New Roman" w:hAnsi="Times New Roman" w:cs="Times New Roman"/>
          <w:noProof/>
          <w:sz w:val="24"/>
          <w:szCs w:val="24"/>
        </w:rPr>
        <w:fldChar w:fldCharType="begin" w:fldLock="1"/>
      </w:r>
      <w:r w:rsidR="00D66FE6">
        <w:rPr>
          <w:rFonts w:ascii="Times New Roman" w:hAnsi="Times New Roman" w:cs="Times New Roman"/>
          <w:noProof/>
          <w:sz w:val="24"/>
          <w:szCs w:val="24"/>
        </w:rPr>
        <w:instrText>ADDIN CSL_CITATION {"citationItems":[{"id":"ITEM-1","itemData":{"DOI":"10.1007/s00586-012-2407-8","ISSN":"1432-0932","abstract":"PURPOSE: To investigate relevant change on the Neck Pain and Disability Scale (NPAD) and Neck Disability Index (NDI) and which questionnaire is the most responsive in patients with non-specific chronic neck pain (CNP). METHODS: Seventy-six patients with non-specific CNP in an outpatient tertiary rehabilitation setting were dichotomized into \"improved\" and \"stable\" based on global perceived effect (GPE) scores. To investigate relevant change minimal detectable change (MDC) and minimal important change (MIC) with the receiver operator characteristic (ROC) cut-off point were assessed. Comparison of responsiveness was performed using areas under the ROC curve (AUC) and correlations between change scores of NPAD and NDI, and GPE. RESULTS: MDC and MIC on NPAD (scale 0-100) were 31.7 and 11.5 points, respectively. MDC and MIC on NDI (scale 0-50) were 8.4 and 3.5 points, respectively. Changes should exceed this MDC or MIC cut-off to be interpreted as relevant. AUC was 0.75 for both NPAD and NDI. Correlations between change scores of NPAD and NDI, and GPE were, respectively, 0.48 (95 % CI 0.29-0.64) and 0.49 (95 % CI 0.30-0.64). CONCLUSIONS: Relevant change on both NPAD and NDI assessed with MDC and MIC resulted in different cut-offs and consequently with different amounts of certainty that the patient is improved. Responsiveness of NPAD and NDI was similar.","author":[{"dropping-particle":"","family":"Jorritsma","given":"Wim","non-dropping-particle":"","parse-names":false,"suffix":""},{"dropping-particle":"","family":"Dijkstra","given":"Pieter U","non-dropping-particle":"","parse-names":false,"suffix":""},{"dropping-particle":"","family":"Vries","given":"Grietje E","non-dropping-particle":"de","parse-names":false,"suffix":""},{"dropping-particle":"","family":"Geertzen","given":"Jan H B","non-dropping-particle":"","parse-names":false,"suffix":""},{"dropping-particle":"","family":"Reneman","given":"Michiel F","non-dropping-particle":"","parse-names":false,"suffix":""}],"container-title":"European spine journal : official publication of the European Spine Society, the European Spinal Deformity Society, and the European Section of the Cervical Spine Research Society","edition":"2012/07/03","id":"ITEM-1","issue":"12","issued":{"date-parts":[["2012","12"]]},"language":"eng","page":"2550-2557","publisher":"Springer-Verlag","title":"Detecting relevant changes and responsiveness of Neck Pain and Disability Scale and Neck Disability Index","type":"article-journal","volume":"21"},"uris":["http://www.mendeley.com/documents/?uuid=3065cd0d-7ba8-4846-8e79-daafbde4b123"]}],"mendeley":{"formattedCitation":"(25)","plainTextFormattedCitation":"(25)","previouslyFormattedCitation":"(25)"},"properties":{"noteIndex":0},"schema":"https://github.com/citation-style-language/schema/raw/master/csl-citation.json"}</w:instrText>
      </w:r>
      <w:r w:rsidR="00D66FE6">
        <w:rPr>
          <w:rFonts w:ascii="Times New Roman" w:hAnsi="Times New Roman" w:cs="Times New Roman"/>
          <w:noProof/>
          <w:sz w:val="24"/>
          <w:szCs w:val="24"/>
        </w:rPr>
        <w:fldChar w:fldCharType="separate"/>
      </w:r>
      <w:r w:rsidR="00D66FE6" w:rsidRPr="00D66FE6">
        <w:rPr>
          <w:rFonts w:ascii="Times New Roman" w:hAnsi="Times New Roman" w:cs="Times New Roman"/>
          <w:noProof/>
          <w:sz w:val="24"/>
          <w:szCs w:val="24"/>
        </w:rPr>
        <w:t>(25)</w:t>
      </w:r>
      <w:r w:rsidR="00D66FE6">
        <w:rPr>
          <w:rFonts w:ascii="Times New Roman" w:hAnsi="Times New Roman" w:cs="Times New Roman"/>
          <w:noProof/>
          <w:sz w:val="24"/>
          <w:szCs w:val="24"/>
        </w:rPr>
        <w:fldChar w:fldCharType="end"/>
      </w:r>
      <w:r w:rsidR="007172CB" w:rsidRPr="00DA020D">
        <w:rPr>
          <w:rFonts w:ascii="Times New Roman" w:hAnsi="Times New Roman" w:cs="Times New Roman"/>
          <w:noProof/>
          <w:sz w:val="24"/>
          <w:szCs w:val="24"/>
        </w:rPr>
        <w:t>; in patients with</w:t>
      </w:r>
      <w:r w:rsidR="00DF3005" w:rsidRPr="00DA020D">
        <w:rPr>
          <w:rFonts w:ascii="Times New Roman" w:hAnsi="Times New Roman" w:cs="Times New Roman"/>
          <w:noProof/>
          <w:sz w:val="24"/>
          <w:szCs w:val="24"/>
        </w:rPr>
        <w:t xml:space="preserve"> cervical radi</w:t>
      </w:r>
      <w:r w:rsidR="00B936C4">
        <w:rPr>
          <w:rFonts w:ascii="Times New Roman" w:hAnsi="Times New Roman" w:cs="Times New Roman"/>
          <w:noProof/>
          <w:sz w:val="24"/>
          <w:szCs w:val="24"/>
        </w:rPr>
        <w:t>c</w:t>
      </w:r>
      <w:r w:rsidR="00DF3005" w:rsidRPr="00DA020D">
        <w:rPr>
          <w:rFonts w:ascii="Times New Roman" w:hAnsi="Times New Roman" w:cs="Times New Roman"/>
          <w:noProof/>
          <w:sz w:val="24"/>
          <w:szCs w:val="24"/>
        </w:rPr>
        <w:t xml:space="preserve">ulopathy it has been estimated at </w:t>
      </w:r>
      <w:r w:rsidR="007172CB" w:rsidRPr="00DA020D">
        <w:rPr>
          <w:rFonts w:ascii="Times New Roman" w:hAnsi="Times New Roman" w:cs="Times New Roman"/>
          <w:noProof/>
          <w:sz w:val="24"/>
          <w:szCs w:val="24"/>
        </w:rPr>
        <w:t>7</w:t>
      </w:r>
      <w:r w:rsidR="003F68AD" w:rsidRPr="00DA020D">
        <w:rPr>
          <w:rFonts w:ascii="Times New Roman" w:hAnsi="Times New Roman" w:cs="Times New Roman"/>
          <w:noProof/>
          <w:sz w:val="24"/>
          <w:szCs w:val="24"/>
        </w:rPr>
        <w:t xml:space="preserve"> </w:t>
      </w:r>
      <w:r w:rsidR="00D66FE6">
        <w:rPr>
          <w:rFonts w:ascii="Times New Roman" w:hAnsi="Times New Roman" w:cs="Times New Roman"/>
          <w:noProof/>
          <w:sz w:val="24"/>
          <w:szCs w:val="24"/>
        </w:rPr>
        <w:fldChar w:fldCharType="begin" w:fldLock="1"/>
      </w:r>
      <w:r w:rsidR="00D66FE6">
        <w:rPr>
          <w:rFonts w:ascii="Times New Roman" w:hAnsi="Times New Roman" w:cs="Times New Roman"/>
          <w:noProof/>
          <w:sz w:val="24"/>
          <w:szCs w:val="24"/>
        </w:rPr>
        <w:instrText>ADDIN CSL_CITATION {"citationItems":[{"id":"ITEM-1","itemData":{"DOI":"10.1097/01.brs.0000201241.90914.22","ISSN":"0362-2436","abstract":"Study Design. Cohort study of patients with cervical radiculopathy undergoing physical therapy., Objectives. Examine the test-retest reliability, construct validity, and minimum levels of detectable and clinically important change for the Neck Disability Index (NDI) and Patient Specific Functional Scale (PSFS) in cohort of patients with cervical radiculopathy., Summary of Background Data. To date, no studies have investigated the psychometric properties of the NDI or PSFS in a cohort of patients with cervical radiculopathy., Methods. Thirty-eight patients with cervical radiculopathy undergoing physical therapy completed the NDI and PSFS, and Numerical Pain Rating Scale (NPRS) at the baseline examination and at a follow-up. In addition, at follow-up, patients completed a 15-point global rating of change (GROC), which was used to dichotomize patients as improved or stable. Changes in the NDI and PSFS were then used to assess test-retest reliability, construct validity, and minimal levels of detectable and clinically important change., Results. Test-retest reliability was moderate for the NDI (intraclass correlation coefficient [ICC] = 0.68; 95% confidence interval [CI], 0.30-0.90) and high for the PSFS (ICC = 0.82; 95% CI, 0.54-0.93). The PSFS was more responsive to change than the NDI. The minimal detectable change for the NDI was 10.2 and for the PSFS 2.1. The minimally clinically important change for the NDI was 7.0 and PSFS 2.0., Conclusions. Our results suggest that the PSFS exhibits superior reliability, construct validity, and responsiveness in this cohort of patients with cervical radiculopathy compared with the NDI. Further research is needed to examine the ability of these measures to accurately reflect changes in individuals, as well as large samples of patients., (C) 2006 Lippincott Williams &amp; Wilkins, Inc.","author":[{"dropping-particle":"","family":"Cleland","given":"Joshua","non-dropping-particle":"","parse-names":false,"suffix":""},{"dropping-particle":"","family":"DPT","given":"O C S","non-dropping-particle":"","parse-names":false,"suffix":""},{"dropping-particle":"","family":"Fritz","given":"Julie","non-dropping-particle":"","parse-names":false,"suffix":""},{"dropping-particle":"","family":"PT","given":"PhD","non-dropping-particle":"","parse-names":false,"suffix":""},{"dropping-particle":"","family":"Whitman","given":"Julie","non-dropping-particle":"","parse-names":false,"suffix":""},{"dropping-particle":"","family":"PT","given":"DSc","non-dropping-particle":"","parse-names":false,"suffix":""},{"dropping-particle":"","family":"OCS","given":"FAAOMPT","non-dropping-particle":"","parse-names":false,"suffix":""},{"dropping-particle":"","family":"Palmer","given":"Jessica","non-dropping-particle":"","parse-names":false,"suffix":""}],"container-title":"Spine","id":"ITEM-1","issue":"5","issued":{"date-parts":[["2006"]]},"page":"598-602","publisher":"From the *Department of Physical Therapy, Franklin Pierce College, Concord, NH; +Division of Physical Therapy, University of Utah, Salt Lake City UT; and ++Department of Physical Therapy, Regis University, Denver, CO.","publisher-place":"(C) 2006 Lippincott Williams &amp; Wilkins, Inc.","title":"The Reliability and Construct Validity of the Neck Disability Index and Patient Specific Functional Scale in Patients With Cervical Radiculopathy.","type":"article-journal","volume":"31"},"uris":["http://www.mendeley.com/documents/?uuid=e0b8b1a7-5fb4-470d-b34b-7a2d20ff4000"]}],"mendeley":{"formattedCitation":"(26)","plainTextFormattedCitation":"(26)","previouslyFormattedCitation":"(26)"},"properties":{"noteIndex":0},"schema":"https://github.com/citation-style-language/schema/raw/master/csl-citation.json"}</w:instrText>
      </w:r>
      <w:r w:rsidR="00D66FE6">
        <w:rPr>
          <w:rFonts w:ascii="Times New Roman" w:hAnsi="Times New Roman" w:cs="Times New Roman"/>
          <w:noProof/>
          <w:sz w:val="24"/>
          <w:szCs w:val="24"/>
        </w:rPr>
        <w:fldChar w:fldCharType="separate"/>
      </w:r>
      <w:r w:rsidR="00D66FE6" w:rsidRPr="00D66FE6">
        <w:rPr>
          <w:rFonts w:ascii="Times New Roman" w:hAnsi="Times New Roman" w:cs="Times New Roman"/>
          <w:noProof/>
          <w:sz w:val="24"/>
          <w:szCs w:val="24"/>
        </w:rPr>
        <w:t>(26)</w:t>
      </w:r>
      <w:r w:rsidR="00D66FE6">
        <w:rPr>
          <w:rFonts w:ascii="Times New Roman" w:hAnsi="Times New Roman" w:cs="Times New Roman"/>
          <w:noProof/>
          <w:sz w:val="24"/>
          <w:szCs w:val="24"/>
        </w:rPr>
        <w:fldChar w:fldCharType="end"/>
      </w:r>
      <w:r w:rsidR="004D28C9" w:rsidRPr="00DA020D">
        <w:rPr>
          <w:rFonts w:ascii="Times New Roman" w:hAnsi="Times New Roman" w:cs="Times New Roman"/>
          <w:noProof/>
          <w:sz w:val="24"/>
          <w:szCs w:val="24"/>
        </w:rPr>
        <w:t>.</w:t>
      </w:r>
    </w:p>
    <w:p w14:paraId="22804A4A" w14:textId="77777777" w:rsidR="00336B09" w:rsidRPr="00DA020D" w:rsidRDefault="00336B09" w:rsidP="00CA3B91">
      <w:pPr>
        <w:pStyle w:val="NoSpacing"/>
        <w:spacing w:line="480" w:lineRule="auto"/>
        <w:jc w:val="both"/>
        <w:rPr>
          <w:rFonts w:ascii="Times New Roman" w:hAnsi="Times New Roman" w:cs="Times New Roman"/>
          <w:noProof/>
          <w:sz w:val="24"/>
          <w:szCs w:val="24"/>
        </w:rPr>
      </w:pPr>
    </w:p>
    <w:p w14:paraId="482A0D55" w14:textId="75D40E0C" w:rsidR="009265D3" w:rsidRPr="00DA020D" w:rsidRDefault="00FD2BC4" w:rsidP="00CA3B91">
      <w:pPr>
        <w:pStyle w:val="NoSpacing"/>
        <w:spacing w:line="48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2.2.4 </w:t>
      </w:r>
      <w:r w:rsidR="009265D3" w:rsidRPr="00DA020D">
        <w:rPr>
          <w:rFonts w:ascii="Times New Roman" w:hAnsi="Times New Roman" w:cs="Times New Roman"/>
          <w:i/>
          <w:noProof/>
          <w:sz w:val="24"/>
          <w:szCs w:val="24"/>
        </w:rPr>
        <w:t>Shoulder Pain</w:t>
      </w:r>
    </w:p>
    <w:p w14:paraId="2407FBF4" w14:textId="6C7AA72C" w:rsidR="00A92A35" w:rsidRPr="00FA2AD2" w:rsidRDefault="00CC03D9" w:rsidP="00FA2AD2">
      <w:pPr>
        <w:pStyle w:val="NoSpacing"/>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Patients with </w:t>
      </w:r>
      <w:r w:rsidR="00B06EAB" w:rsidRPr="00DA020D">
        <w:rPr>
          <w:rFonts w:ascii="Times New Roman" w:hAnsi="Times New Roman" w:cs="Times New Roman"/>
          <w:noProof/>
          <w:sz w:val="24"/>
          <w:szCs w:val="24"/>
        </w:rPr>
        <w:t>shoulder pain</w:t>
      </w:r>
      <w:r>
        <w:rPr>
          <w:rFonts w:ascii="Times New Roman" w:hAnsi="Times New Roman" w:cs="Times New Roman"/>
          <w:noProof/>
          <w:sz w:val="24"/>
          <w:szCs w:val="24"/>
        </w:rPr>
        <w:t xml:space="preserve"> </w:t>
      </w:r>
      <w:r w:rsidR="00B936C4">
        <w:rPr>
          <w:rFonts w:ascii="Times New Roman" w:hAnsi="Times New Roman" w:cs="Times New Roman"/>
          <w:noProof/>
          <w:sz w:val="24"/>
          <w:szCs w:val="24"/>
        </w:rPr>
        <w:t>completed</w:t>
      </w:r>
      <w:r w:rsidR="00B936C4" w:rsidRPr="00DA020D">
        <w:rPr>
          <w:rFonts w:ascii="Times New Roman" w:hAnsi="Times New Roman" w:cs="Times New Roman"/>
          <w:noProof/>
          <w:sz w:val="24"/>
          <w:szCs w:val="24"/>
        </w:rPr>
        <w:t xml:space="preserve"> </w:t>
      </w:r>
      <w:r w:rsidR="00B06EAB" w:rsidRPr="00DA020D">
        <w:rPr>
          <w:rFonts w:ascii="Times New Roman" w:hAnsi="Times New Roman" w:cs="Times New Roman"/>
          <w:noProof/>
          <w:sz w:val="24"/>
          <w:szCs w:val="24"/>
        </w:rPr>
        <w:t xml:space="preserve">the Shoulder Pain and Disability Index </w:t>
      </w:r>
      <w:r w:rsidR="00A92A35" w:rsidRPr="00DA020D">
        <w:rPr>
          <w:rFonts w:ascii="Times New Roman" w:hAnsi="Times New Roman" w:cs="Times New Roman"/>
          <w:noProof/>
          <w:sz w:val="24"/>
          <w:szCs w:val="24"/>
        </w:rPr>
        <w:t>(SPADI)</w:t>
      </w:r>
      <w:r w:rsidR="00B06EAB" w:rsidRPr="00DA020D">
        <w:rPr>
          <w:rFonts w:ascii="Times New Roman" w:hAnsi="Times New Roman" w:cs="Times New Roman"/>
          <w:noProof/>
          <w:sz w:val="24"/>
          <w:szCs w:val="24"/>
        </w:rPr>
        <w:t>.</w:t>
      </w:r>
      <w:r w:rsidR="00A92A35" w:rsidRPr="00DA020D">
        <w:rPr>
          <w:rFonts w:ascii="Times New Roman" w:hAnsi="Times New Roman" w:cs="Times New Roman"/>
          <w:noProof/>
          <w:sz w:val="24"/>
          <w:szCs w:val="24"/>
        </w:rPr>
        <w:t xml:space="preserve"> </w:t>
      </w:r>
      <w:r w:rsidR="008141A4">
        <w:rPr>
          <w:rFonts w:ascii="Times New Roman" w:hAnsi="Times New Roman" w:cs="Times New Roman"/>
          <w:noProof/>
          <w:sz w:val="24"/>
          <w:szCs w:val="24"/>
        </w:rPr>
        <w:t xml:space="preserve">This </w:t>
      </w:r>
      <w:r w:rsidR="000A7D00" w:rsidRPr="00DA020D">
        <w:rPr>
          <w:rFonts w:ascii="Times New Roman" w:hAnsi="Times New Roman" w:cs="Times New Roman"/>
          <w:noProof/>
          <w:sz w:val="24"/>
          <w:szCs w:val="24"/>
        </w:rPr>
        <w:t xml:space="preserve">includes </w:t>
      </w:r>
      <w:r w:rsidR="00A92A35" w:rsidRPr="00DA020D">
        <w:rPr>
          <w:rFonts w:ascii="Times New Roman" w:hAnsi="Times New Roman" w:cs="Times New Roman"/>
          <w:noProof/>
          <w:sz w:val="24"/>
          <w:szCs w:val="24"/>
        </w:rPr>
        <w:t xml:space="preserve">two </w:t>
      </w:r>
      <w:r w:rsidR="000A7D00" w:rsidRPr="00DA020D">
        <w:rPr>
          <w:rFonts w:ascii="Times New Roman" w:hAnsi="Times New Roman" w:cs="Times New Roman"/>
          <w:noProof/>
          <w:sz w:val="24"/>
          <w:szCs w:val="24"/>
        </w:rPr>
        <w:t>subscales</w:t>
      </w:r>
      <w:r w:rsidR="008141A4">
        <w:rPr>
          <w:rFonts w:ascii="Times New Roman" w:hAnsi="Times New Roman" w:cs="Times New Roman"/>
          <w:noProof/>
          <w:sz w:val="24"/>
          <w:szCs w:val="24"/>
        </w:rPr>
        <w:t xml:space="preserve"> (</w:t>
      </w:r>
      <w:r w:rsidR="00A92A35" w:rsidRPr="00DA020D">
        <w:rPr>
          <w:rFonts w:ascii="Times New Roman" w:hAnsi="Times New Roman" w:cs="Times New Roman"/>
          <w:noProof/>
          <w:sz w:val="24"/>
          <w:szCs w:val="24"/>
        </w:rPr>
        <w:t>pain and functional activities</w:t>
      </w:r>
      <w:r w:rsidR="008141A4">
        <w:rPr>
          <w:rFonts w:ascii="Times New Roman" w:hAnsi="Times New Roman" w:cs="Times New Roman"/>
          <w:noProof/>
          <w:sz w:val="24"/>
          <w:szCs w:val="24"/>
        </w:rPr>
        <w:t>)</w:t>
      </w:r>
      <w:r w:rsidR="005A5ABA">
        <w:rPr>
          <w:rFonts w:ascii="Times New Roman" w:hAnsi="Times New Roman" w:cs="Times New Roman"/>
          <w:noProof/>
          <w:sz w:val="24"/>
          <w:szCs w:val="24"/>
        </w:rPr>
        <w:t>, combined to give a total score out of 100</w:t>
      </w:r>
      <w:r w:rsidR="000A7D00" w:rsidRPr="00FA2AD2">
        <w:rPr>
          <w:rFonts w:ascii="Times New Roman" w:hAnsi="Times New Roman" w:cs="Times New Roman"/>
          <w:noProof/>
          <w:sz w:val="24"/>
          <w:szCs w:val="24"/>
        </w:rPr>
        <w:t>, with higher scores indicating great</w:t>
      </w:r>
      <w:r w:rsidR="005A5ABA">
        <w:rPr>
          <w:rFonts w:ascii="Times New Roman" w:hAnsi="Times New Roman" w:cs="Times New Roman"/>
          <w:noProof/>
          <w:sz w:val="24"/>
          <w:szCs w:val="24"/>
        </w:rPr>
        <w:t xml:space="preserve">er </w:t>
      </w:r>
      <w:r w:rsidR="00B936C4">
        <w:rPr>
          <w:rFonts w:ascii="Times New Roman" w:hAnsi="Times New Roman" w:cs="Times New Roman"/>
          <w:noProof/>
          <w:sz w:val="24"/>
          <w:szCs w:val="24"/>
        </w:rPr>
        <w:t xml:space="preserve">shoulder-related </w:t>
      </w:r>
      <w:r w:rsidR="000A7D00" w:rsidRPr="00FA2AD2">
        <w:rPr>
          <w:rFonts w:ascii="Times New Roman" w:hAnsi="Times New Roman" w:cs="Times New Roman"/>
          <w:noProof/>
          <w:sz w:val="24"/>
          <w:szCs w:val="24"/>
        </w:rPr>
        <w:t xml:space="preserve">disability </w:t>
      </w:r>
      <w:r w:rsidR="00D66FE6">
        <w:rPr>
          <w:rFonts w:ascii="Times New Roman" w:hAnsi="Times New Roman" w:cs="Times New Roman"/>
          <w:noProof/>
          <w:sz w:val="24"/>
          <w:szCs w:val="24"/>
        </w:rPr>
        <w:fldChar w:fldCharType="begin" w:fldLock="1"/>
      </w:r>
      <w:r w:rsidR="00D66FE6">
        <w:rPr>
          <w:rFonts w:ascii="Times New Roman" w:hAnsi="Times New Roman" w:cs="Times New Roman"/>
          <w:noProof/>
          <w:sz w:val="24"/>
          <w:szCs w:val="24"/>
        </w:rPr>
        <w:instrText>ADDIN CSL_CITATION {"citationItems":[{"id":"ITEM-1","itemData":{"DOI":"https://doi.org/10.1016/S1836-9553(11)70045-5","ISSN":"1836-9553","author":[{"dropping-particle":"","family":"Breckenridge","given":"John D","non-dropping-particle":"","parse-names":false,"suffix":""},{"dropping-particle":"","family":"McAuley","given":"James H","non-dropping-particle":"","parse-names":false,"suffix":""}],"container-title":"Journal of Physiotherapy","id":"ITEM-1","issue":"3","issued":{"date-parts":[["2011"]]},"page":"197","title":"Shoulder Pain and Disability Index (SPADI)","type":"article-journal","volume":"57"},"uris":["http://www.mendeley.com/documents/?uuid=12b93b76-0837-47df-bb01-72d85056e909"]}],"mendeley":{"formattedCitation":"(27)","plainTextFormattedCitation":"(27)","previouslyFormattedCitation":"(27)"},"properties":{"noteIndex":0},"schema":"https://github.com/citation-style-language/schema/raw/master/csl-citation.json"}</w:instrText>
      </w:r>
      <w:r w:rsidR="00D66FE6">
        <w:rPr>
          <w:rFonts w:ascii="Times New Roman" w:hAnsi="Times New Roman" w:cs="Times New Roman"/>
          <w:noProof/>
          <w:sz w:val="24"/>
          <w:szCs w:val="24"/>
        </w:rPr>
        <w:fldChar w:fldCharType="separate"/>
      </w:r>
      <w:r w:rsidR="00D66FE6" w:rsidRPr="00D66FE6">
        <w:rPr>
          <w:rFonts w:ascii="Times New Roman" w:hAnsi="Times New Roman" w:cs="Times New Roman"/>
          <w:noProof/>
          <w:sz w:val="24"/>
          <w:szCs w:val="24"/>
        </w:rPr>
        <w:t>(27)</w:t>
      </w:r>
      <w:r w:rsidR="00D66FE6">
        <w:rPr>
          <w:rFonts w:ascii="Times New Roman" w:hAnsi="Times New Roman" w:cs="Times New Roman"/>
          <w:noProof/>
          <w:sz w:val="24"/>
          <w:szCs w:val="24"/>
        </w:rPr>
        <w:fldChar w:fldCharType="end"/>
      </w:r>
      <w:r w:rsidR="000A7D00" w:rsidRPr="00FA2AD2">
        <w:rPr>
          <w:rFonts w:ascii="Times New Roman" w:hAnsi="Times New Roman" w:cs="Times New Roman"/>
          <w:noProof/>
          <w:sz w:val="24"/>
          <w:szCs w:val="24"/>
        </w:rPr>
        <w:t xml:space="preserve">. The SPADI has been </w:t>
      </w:r>
      <w:r w:rsidR="000A7D00" w:rsidRPr="00FA2AD2">
        <w:rPr>
          <w:rFonts w:ascii="Times New Roman" w:hAnsi="Times New Roman" w:cs="Times New Roman"/>
          <w:noProof/>
          <w:sz w:val="24"/>
          <w:szCs w:val="24"/>
        </w:rPr>
        <w:lastRenderedPageBreak/>
        <w:t xml:space="preserve">validated across a range of shoulder problems and clinical settings, including </w:t>
      </w:r>
      <w:r w:rsidR="00B936C4">
        <w:rPr>
          <w:rFonts w:ascii="Times New Roman" w:hAnsi="Times New Roman" w:cs="Times New Roman"/>
          <w:noProof/>
          <w:sz w:val="24"/>
          <w:szCs w:val="24"/>
        </w:rPr>
        <w:t>those</w:t>
      </w:r>
      <w:r w:rsidR="000A7D00" w:rsidRPr="00FA2AD2">
        <w:rPr>
          <w:rFonts w:ascii="Times New Roman" w:hAnsi="Times New Roman" w:cs="Times New Roman"/>
          <w:noProof/>
          <w:sz w:val="24"/>
          <w:szCs w:val="24"/>
        </w:rPr>
        <w:t xml:space="preserve"> </w:t>
      </w:r>
      <w:r w:rsidR="00B936C4">
        <w:rPr>
          <w:rFonts w:ascii="Times New Roman" w:hAnsi="Times New Roman" w:cs="Times New Roman"/>
          <w:noProof/>
          <w:sz w:val="24"/>
          <w:szCs w:val="24"/>
        </w:rPr>
        <w:t xml:space="preserve">consulting </w:t>
      </w:r>
      <w:r w:rsidR="000A7D00" w:rsidRPr="00FA2AD2">
        <w:rPr>
          <w:rFonts w:ascii="Times New Roman" w:hAnsi="Times New Roman" w:cs="Times New Roman"/>
          <w:noProof/>
          <w:sz w:val="24"/>
          <w:szCs w:val="24"/>
        </w:rPr>
        <w:t xml:space="preserve">in primary care, and </w:t>
      </w:r>
      <w:r w:rsidR="00B936C4">
        <w:rPr>
          <w:rFonts w:ascii="Times New Roman" w:hAnsi="Times New Roman" w:cs="Times New Roman"/>
          <w:noProof/>
          <w:sz w:val="24"/>
          <w:szCs w:val="24"/>
        </w:rPr>
        <w:t>those having shoulder surgery</w:t>
      </w:r>
      <w:r w:rsidR="000A7D00" w:rsidRPr="00FA2AD2">
        <w:rPr>
          <w:rFonts w:ascii="Times New Roman" w:hAnsi="Times New Roman" w:cs="Times New Roman"/>
          <w:noProof/>
          <w:sz w:val="24"/>
          <w:szCs w:val="24"/>
        </w:rPr>
        <w:t xml:space="preserve"> </w:t>
      </w:r>
      <w:r w:rsidR="00D66FE6">
        <w:rPr>
          <w:rFonts w:ascii="Times New Roman" w:hAnsi="Times New Roman" w:cs="Times New Roman"/>
          <w:noProof/>
          <w:sz w:val="24"/>
          <w:szCs w:val="24"/>
        </w:rPr>
        <w:fldChar w:fldCharType="begin" w:fldLock="1"/>
      </w:r>
      <w:r w:rsidR="00D66FE6">
        <w:rPr>
          <w:rFonts w:ascii="Times New Roman" w:hAnsi="Times New Roman" w:cs="Times New Roman"/>
          <w:noProof/>
          <w:sz w:val="24"/>
          <w:szCs w:val="24"/>
        </w:rPr>
        <w:instrText>ADDIN CSL_CITATION {"citationItems":[{"id":"ITEM-1","itemData":{"DOI":"https://doi.org/10.1016/S1836-9553(11)70045-5","ISSN":"1836-9553","author":[{"dropping-particle":"","family":"Breckenridge","given":"John D","non-dropping-particle":"","parse-names":false,"suffix":""},{"dropping-particle":"","family":"McAuley","given":"James H","non-dropping-particle":"","parse-names":false,"suffix":""}],"container-title":"Journal of Physiotherapy","id":"ITEM-1","issue":"3","issued":{"date-parts":[["2011"]]},"page":"197","title":"Shoulder Pain and Disability Index (SPADI)","type":"article-journal","volume":"57"},"uris":["http://www.mendeley.com/documents/?uuid=12b93b76-0837-47df-bb01-72d85056e909"]}],"mendeley":{"formattedCitation":"(27)","plainTextFormattedCitation":"(27)","previouslyFormattedCitation":"(27)"},"properties":{"noteIndex":0},"schema":"https://github.com/citation-style-language/schema/raw/master/csl-citation.json"}</w:instrText>
      </w:r>
      <w:r w:rsidR="00D66FE6">
        <w:rPr>
          <w:rFonts w:ascii="Times New Roman" w:hAnsi="Times New Roman" w:cs="Times New Roman"/>
          <w:noProof/>
          <w:sz w:val="24"/>
          <w:szCs w:val="24"/>
        </w:rPr>
        <w:fldChar w:fldCharType="separate"/>
      </w:r>
      <w:r w:rsidR="00D66FE6" w:rsidRPr="00D66FE6">
        <w:rPr>
          <w:rFonts w:ascii="Times New Roman" w:hAnsi="Times New Roman" w:cs="Times New Roman"/>
          <w:noProof/>
          <w:sz w:val="24"/>
          <w:szCs w:val="24"/>
        </w:rPr>
        <w:t>(27)</w:t>
      </w:r>
      <w:r w:rsidR="00D66FE6">
        <w:rPr>
          <w:rFonts w:ascii="Times New Roman" w:hAnsi="Times New Roman" w:cs="Times New Roman"/>
          <w:noProof/>
          <w:sz w:val="24"/>
          <w:szCs w:val="24"/>
        </w:rPr>
        <w:fldChar w:fldCharType="end"/>
      </w:r>
      <w:r w:rsidR="000A7D00" w:rsidRPr="00FA2AD2">
        <w:rPr>
          <w:rFonts w:ascii="Times New Roman" w:hAnsi="Times New Roman" w:cs="Times New Roman"/>
          <w:noProof/>
          <w:sz w:val="24"/>
          <w:szCs w:val="24"/>
        </w:rPr>
        <w:t xml:space="preserve">. </w:t>
      </w:r>
      <w:r w:rsidR="00F77789" w:rsidRPr="00FA2AD2">
        <w:rPr>
          <w:rFonts w:ascii="Times New Roman" w:hAnsi="Times New Roman" w:cs="Times New Roman"/>
          <w:noProof/>
          <w:sz w:val="24"/>
          <w:szCs w:val="24"/>
        </w:rPr>
        <w:t>The M</w:t>
      </w:r>
      <w:r w:rsidR="008B1962" w:rsidRPr="00FA2AD2">
        <w:rPr>
          <w:rFonts w:ascii="Times New Roman" w:hAnsi="Times New Roman" w:cs="Times New Roman"/>
          <w:noProof/>
          <w:sz w:val="24"/>
          <w:szCs w:val="24"/>
        </w:rPr>
        <w:t>C</w:t>
      </w:r>
      <w:r w:rsidR="005A5ABA">
        <w:rPr>
          <w:rFonts w:ascii="Times New Roman" w:hAnsi="Times New Roman" w:cs="Times New Roman"/>
          <w:noProof/>
          <w:sz w:val="24"/>
          <w:szCs w:val="24"/>
        </w:rPr>
        <w:t>ID has been estimated at 8-</w:t>
      </w:r>
      <w:r w:rsidR="00F77789" w:rsidRPr="00FA2AD2">
        <w:rPr>
          <w:rFonts w:ascii="Times New Roman" w:hAnsi="Times New Roman" w:cs="Times New Roman"/>
          <w:noProof/>
          <w:sz w:val="24"/>
          <w:szCs w:val="24"/>
        </w:rPr>
        <w:t xml:space="preserve">13 </w:t>
      </w:r>
      <w:r w:rsidR="00D66FE6">
        <w:rPr>
          <w:rFonts w:ascii="Times New Roman" w:hAnsi="Times New Roman" w:cs="Times New Roman"/>
          <w:noProof/>
          <w:sz w:val="24"/>
          <w:szCs w:val="24"/>
        </w:rPr>
        <w:fldChar w:fldCharType="begin" w:fldLock="1"/>
      </w:r>
      <w:r w:rsidR="00D66FE6">
        <w:rPr>
          <w:rFonts w:ascii="Times New Roman" w:hAnsi="Times New Roman" w:cs="Times New Roman"/>
          <w:noProof/>
          <w:sz w:val="24"/>
          <w:szCs w:val="24"/>
        </w:rPr>
        <w:instrText>ADDIN CSL_CITATION {"citationItems":[{"id":"ITEM-1","itemData":{"DOI":"10.1002/art.24396","ISSN":"0004-3591","abstract":"Abstract Objective To conduct a systematic review of the quality and content of the psychometric evidence relating to 4 shoulder disability scales: the Disabilities of the Arm, Shoulder, and Hand (DASH) questionnaire, the Shoulder Pain and Disability Index (SPADI), the American Shoulder and Elbow Surgeons (ASES) score, and the Simple Shoulder Test (SST). Methods We conducted a structured search using 3 databases (Medline, CINAHL, EMBase). In total, 71 published primary studies were analyzed. A pair of raters conducted data extraction and critical appraisal using structured tools. A descriptive synthesis was performed. Results Quality ratings of 55% of the studies reviewed reached a level of ≥75%. Most studies suggest that all 4 questionnaires have excellent reliability (intraclass correlation coefficient ≥0.90). The 4 questionnaires are strongly correlated (r &gt;0.70) with each other and with a number of similar indices, and the questionnaires were able to differentiate between different populations and disability levels. The minimal detectable change (MDC) is ?9.4 for the ASES, 10.5 for the DASH, and 18 for the SPADI; the minimal clinically important difference (MCID) is ?6.4 for the ASES and 10.2 for the DASH, and ranges between 8 and 13 for the SPADI. MDC and MCID have not been defined for the SST. Conclusion The psychometric properties of the ASES, DASH, and SPADI have been shown to be acceptable for clinical use. Conversely, some properties of the SST still need be evaluated, particularly the absolute errors of measurement. Overall, validation studies have focused on less clinically relevant properties (construct validity or group reliability) than estimates of MDC and MCID.","author":[{"dropping-particle":"","family":"Roy","given":"Jean-Sébastien","non-dropping-particle":"","parse-names":false,"suffix":""},{"dropping-particle":"","family":"MacDermid","given":"Joy C","non-dropping-particle":"","parse-names":false,"suffix":""},{"dropping-particle":"","family":"Woodhouse","given":"Linda J","non-dropping-particle":"","parse-names":false,"suffix":""}],"container-title":"Arthritis Care &amp; Research","id":"ITEM-1","issue":"5","issued":{"date-parts":[["2009","5","15"]]},"note":"doi: 10.1002/art.24396","page":"623-632","publisher":"John Wiley &amp; Sons, Ltd","title":"Measuring shoulder function: A systematic review of four questionnaires","type":"article-journal","volume":"61"},"uris":["http://www.mendeley.com/documents/?uuid=0404c373-bc59-4c4a-9060-e773096387ef"]}],"mendeley":{"formattedCitation":"(28)","plainTextFormattedCitation":"(28)","previouslyFormattedCitation":"(28)"},"properties":{"noteIndex":0},"schema":"https://github.com/citation-style-language/schema/raw/master/csl-citation.json"}</w:instrText>
      </w:r>
      <w:r w:rsidR="00D66FE6">
        <w:rPr>
          <w:rFonts w:ascii="Times New Roman" w:hAnsi="Times New Roman" w:cs="Times New Roman"/>
          <w:noProof/>
          <w:sz w:val="24"/>
          <w:szCs w:val="24"/>
        </w:rPr>
        <w:fldChar w:fldCharType="separate"/>
      </w:r>
      <w:r w:rsidR="00D66FE6" w:rsidRPr="00D66FE6">
        <w:rPr>
          <w:rFonts w:ascii="Times New Roman" w:hAnsi="Times New Roman" w:cs="Times New Roman"/>
          <w:noProof/>
          <w:sz w:val="24"/>
          <w:szCs w:val="24"/>
        </w:rPr>
        <w:t>(28)</w:t>
      </w:r>
      <w:r w:rsidR="00D66FE6">
        <w:rPr>
          <w:rFonts w:ascii="Times New Roman" w:hAnsi="Times New Roman" w:cs="Times New Roman"/>
          <w:noProof/>
          <w:sz w:val="24"/>
          <w:szCs w:val="24"/>
        </w:rPr>
        <w:fldChar w:fldCharType="end"/>
      </w:r>
      <w:r w:rsidR="00F77789" w:rsidRPr="00FA2AD2">
        <w:rPr>
          <w:rFonts w:ascii="Times New Roman" w:hAnsi="Times New Roman" w:cs="Times New Roman"/>
          <w:noProof/>
          <w:sz w:val="24"/>
          <w:szCs w:val="24"/>
        </w:rPr>
        <w:t>.</w:t>
      </w:r>
    </w:p>
    <w:p w14:paraId="3FE9F456" w14:textId="77777777" w:rsidR="00A92A35" w:rsidRPr="00520B59" w:rsidRDefault="00A92A35" w:rsidP="00FA2AD2">
      <w:pPr>
        <w:pStyle w:val="NoSpacing"/>
        <w:spacing w:line="480" w:lineRule="auto"/>
        <w:jc w:val="both"/>
        <w:rPr>
          <w:rFonts w:ascii="Times New Roman" w:hAnsi="Times New Roman" w:cs="Times New Roman"/>
          <w:noProof/>
          <w:sz w:val="24"/>
          <w:szCs w:val="24"/>
        </w:rPr>
      </w:pPr>
    </w:p>
    <w:p w14:paraId="5B986EA5" w14:textId="523AA638" w:rsidR="009265D3" w:rsidRPr="00520B59" w:rsidRDefault="00FD2BC4" w:rsidP="00FA2AD2">
      <w:pPr>
        <w:pStyle w:val="NoSpacing"/>
        <w:spacing w:line="48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2.2.5 </w:t>
      </w:r>
      <w:r w:rsidR="009265D3" w:rsidRPr="00520B59">
        <w:rPr>
          <w:rFonts w:ascii="Times New Roman" w:hAnsi="Times New Roman" w:cs="Times New Roman"/>
          <w:i/>
          <w:noProof/>
          <w:sz w:val="24"/>
          <w:szCs w:val="24"/>
        </w:rPr>
        <w:t>Knee Pain</w:t>
      </w:r>
    </w:p>
    <w:p w14:paraId="46A68759" w14:textId="2BC4E0E9" w:rsidR="00336B09" w:rsidRPr="00FA2AD2" w:rsidRDefault="008141A4" w:rsidP="00520B59">
      <w:pPr>
        <w:pStyle w:val="NoSpacing"/>
        <w:spacing w:line="480" w:lineRule="auto"/>
        <w:jc w:val="both"/>
        <w:rPr>
          <w:rFonts w:ascii="Times New Roman" w:hAnsi="Times New Roman" w:cs="Times New Roman"/>
          <w:noProof/>
          <w:sz w:val="24"/>
          <w:szCs w:val="24"/>
        </w:rPr>
      </w:pPr>
      <w:r w:rsidRPr="00520B59">
        <w:rPr>
          <w:rFonts w:ascii="Times New Roman" w:hAnsi="Times New Roman" w:cs="Times New Roman"/>
          <w:noProof/>
          <w:sz w:val="24"/>
          <w:szCs w:val="24"/>
        </w:rPr>
        <w:t xml:space="preserve">Patients with </w:t>
      </w:r>
      <w:r w:rsidR="00CA3B91" w:rsidRPr="00520B59">
        <w:rPr>
          <w:rFonts w:ascii="Times New Roman" w:hAnsi="Times New Roman" w:cs="Times New Roman"/>
          <w:noProof/>
          <w:sz w:val="24"/>
          <w:szCs w:val="24"/>
        </w:rPr>
        <w:t>knee pain</w:t>
      </w:r>
      <w:r w:rsidRPr="00520B59">
        <w:rPr>
          <w:rFonts w:ascii="Times New Roman" w:hAnsi="Times New Roman" w:cs="Times New Roman"/>
          <w:noProof/>
          <w:sz w:val="24"/>
          <w:szCs w:val="24"/>
        </w:rPr>
        <w:t xml:space="preserve"> </w:t>
      </w:r>
      <w:r w:rsidR="00B936C4">
        <w:rPr>
          <w:rFonts w:ascii="Times New Roman" w:hAnsi="Times New Roman" w:cs="Times New Roman"/>
          <w:noProof/>
          <w:sz w:val="24"/>
          <w:szCs w:val="24"/>
        </w:rPr>
        <w:t>completed</w:t>
      </w:r>
      <w:r w:rsidR="00B936C4" w:rsidRPr="00520B59">
        <w:rPr>
          <w:rFonts w:ascii="Times New Roman" w:hAnsi="Times New Roman" w:cs="Times New Roman"/>
          <w:noProof/>
          <w:sz w:val="24"/>
          <w:szCs w:val="24"/>
        </w:rPr>
        <w:t xml:space="preserve"> </w:t>
      </w:r>
      <w:r w:rsidR="00CA3B91" w:rsidRPr="00520B59">
        <w:rPr>
          <w:rFonts w:ascii="Times New Roman" w:hAnsi="Times New Roman" w:cs="Times New Roman"/>
          <w:noProof/>
          <w:sz w:val="24"/>
          <w:szCs w:val="24"/>
        </w:rPr>
        <w:t>the Knee injury and Osteoarthritis Outcome Score (KOOS)</w:t>
      </w:r>
      <w:r w:rsidR="000A7D00" w:rsidRPr="00520B59">
        <w:rPr>
          <w:rFonts w:ascii="Times New Roman" w:hAnsi="Times New Roman" w:cs="Times New Roman"/>
          <w:noProof/>
          <w:sz w:val="24"/>
          <w:szCs w:val="24"/>
        </w:rPr>
        <w:t xml:space="preserve">. </w:t>
      </w:r>
      <w:r w:rsidR="00B05BBB" w:rsidRPr="00520B59">
        <w:rPr>
          <w:rFonts w:ascii="Times New Roman" w:hAnsi="Times New Roman" w:cs="Times New Roman"/>
          <w:noProof/>
          <w:sz w:val="24"/>
          <w:szCs w:val="24"/>
        </w:rPr>
        <w:t>This</w:t>
      </w:r>
      <w:r w:rsidR="000A7D00" w:rsidRPr="00520B59">
        <w:rPr>
          <w:rFonts w:ascii="Times New Roman" w:hAnsi="Times New Roman" w:cs="Times New Roman"/>
          <w:noProof/>
          <w:sz w:val="24"/>
          <w:szCs w:val="24"/>
        </w:rPr>
        <w:t xml:space="preserve"> includes </w:t>
      </w:r>
      <w:r w:rsidR="00CA3B91" w:rsidRPr="00520B59">
        <w:rPr>
          <w:rFonts w:ascii="Times New Roman" w:hAnsi="Times New Roman" w:cs="Times New Roman"/>
          <w:noProof/>
          <w:sz w:val="24"/>
          <w:szCs w:val="24"/>
        </w:rPr>
        <w:t>five patient subscales</w:t>
      </w:r>
      <w:r w:rsidR="000A7D00" w:rsidRPr="00520B59">
        <w:rPr>
          <w:rFonts w:ascii="Times New Roman" w:hAnsi="Times New Roman" w:cs="Times New Roman"/>
          <w:noProof/>
          <w:sz w:val="24"/>
          <w:szCs w:val="24"/>
        </w:rPr>
        <w:t xml:space="preserve">, </w:t>
      </w:r>
      <w:r w:rsidR="00CA3B91" w:rsidRPr="00520B59">
        <w:rPr>
          <w:rFonts w:ascii="Times New Roman" w:hAnsi="Times New Roman" w:cs="Times New Roman"/>
          <w:noProof/>
          <w:sz w:val="24"/>
          <w:szCs w:val="24"/>
        </w:rPr>
        <w:t xml:space="preserve">combined in a summative score ranging </w:t>
      </w:r>
      <w:r w:rsidR="00B936C4">
        <w:rPr>
          <w:rFonts w:ascii="Times New Roman" w:hAnsi="Times New Roman" w:cs="Times New Roman"/>
          <w:noProof/>
          <w:sz w:val="24"/>
          <w:szCs w:val="24"/>
        </w:rPr>
        <w:t xml:space="preserve">from </w:t>
      </w:r>
      <w:r w:rsidR="00CA3B91" w:rsidRPr="00520B59">
        <w:rPr>
          <w:rFonts w:ascii="Times New Roman" w:hAnsi="Times New Roman" w:cs="Times New Roman"/>
          <w:noProof/>
          <w:sz w:val="24"/>
          <w:szCs w:val="24"/>
        </w:rPr>
        <w:t>0 (extreme knee prob</w:t>
      </w:r>
      <w:r w:rsidR="00B05BBB" w:rsidRPr="00520B59">
        <w:rPr>
          <w:rFonts w:ascii="Times New Roman" w:hAnsi="Times New Roman" w:cs="Times New Roman"/>
          <w:noProof/>
          <w:sz w:val="24"/>
          <w:szCs w:val="24"/>
        </w:rPr>
        <w:t>lems) to 100 (no knee problems). It</w:t>
      </w:r>
      <w:r w:rsidR="00CA3B91" w:rsidRPr="00520B59">
        <w:rPr>
          <w:rFonts w:ascii="Times New Roman" w:hAnsi="Times New Roman" w:cs="Times New Roman"/>
          <w:noProof/>
          <w:sz w:val="24"/>
          <w:szCs w:val="24"/>
        </w:rPr>
        <w:t xml:space="preserve"> has been extensively validated in patients with knee pain </w:t>
      </w:r>
      <w:r w:rsidR="000975B9">
        <w:rPr>
          <w:rFonts w:ascii="Times New Roman" w:hAnsi="Times New Roman" w:cs="Times New Roman"/>
          <w:noProof/>
          <w:sz w:val="24"/>
          <w:szCs w:val="24"/>
        </w:rPr>
        <w:t>attributable to many</w:t>
      </w:r>
      <w:r w:rsidR="00B936C4">
        <w:rPr>
          <w:rFonts w:ascii="Times New Roman" w:hAnsi="Times New Roman" w:cs="Times New Roman"/>
          <w:noProof/>
          <w:sz w:val="24"/>
          <w:szCs w:val="24"/>
        </w:rPr>
        <w:t xml:space="preserve"> causes</w:t>
      </w:r>
      <w:r w:rsidR="00CA3B91" w:rsidRPr="00520B59">
        <w:rPr>
          <w:rFonts w:ascii="Times New Roman" w:hAnsi="Times New Roman" w:cs="Times New Roman"/>
          <w:noProof/>
          <w:sz w:val="24"/>
          <w:szCs w:val="24"/>
        </w:rPr>
        <w:t xml:space="preserve"> </w:t>
      </w:r>
      <w:r w:rsidR="00D66FE6">
        <w:rPr>
          <w:rFonts w:ascii="Times New Roman" w:hAnsi="Times New Roman" w:cs="Times New Roman"/>
          <w:noProof/>
          <w:sz w:val="24"/>
          <w:szCs w:val="24"/>
        </w:rPr>
        <w:fldChar w:fldCharType="begin" w:fldLock="1"/>
      </w:r>
      <w:r w:rsidR="00D66FE6">
        <w:rPr>
          <w:rFonts w:ascii="Times New Roman" w:hAnsi="Times New Roman" w:cs="Times New Roman"/>
          <w:noProof/>
          <w:sz w:val="24"/>
          <w:szCs w:val="24"/>
        </w:rPr>
        <w:instrText>ADDIN CSL_CITATION {"citationItems":[{"id":"ITEM-1","itemData":{"DOI":"10.1186/1477-7525-1-64","ISSN":"1477-7525","abstract":"The Knee injury and Osteoarthritis Outcome Score (KOOS) was developed as an extension of the WOMAC Osteoarthritis Index with the purpose of evaluating short-term and long-term symptoms and function in subjects with knee injury and osteoarthritis. The KOOS holds five separately scored subscales: Pain, other Symptoms, Function in daily living (ADL), Function in Sport and Recreation (Sport/Rec), and knee-related Quality of Life (QOL). The KOOS has been validated for several orthopaedic interventions such as anterior cruciate ligament reconstruction, meniscectomy and total knee replacement. In addition the instrument has been used to evaluate physical therapy, nutritional supplementation and glucosamine supplementation. The effect size is generally largest for the subscale QOL followed by the subscale Pain. The KOOS is a valid, reliable and responsive self-administered instrument that can be used for short-term and long-term follow-up of several types of knee injury including osteoarthritis. The measure is relatively new and further use of the instrument will add knowledge and suggest areas that need to be further explored and improved.","author":[{"dropping-particle":"","family":"Roos","given":"Ewa M","non-dropping-particle":"","parse-names":false,"suffix":""},{"dropping-particle":"","family":"Lohmander","given":"L Stefan","non-dropping-particle":"","parse-names":false,"suffix":""}],"container-title":"Health and quality of life outcomes","id":"ITEM-1","issued":{"date-parts":[["2003","11","3"]]},"page":"64","publisher":"BioMed Central","title":"The Knee injury and Osteoarthritis Outcome Score (KOOS): from joint injury to osteoarthritis","type":"article-journal","volume":"1"},"uris":["http://www.mendeley.com/documents/?uuid=5bad98e1-a0ee-43e3-a58e-ee62cdda0c19"]}],"mendeley":{"formattedCitation":"(29)","plainTextFormattedCitation":"(29)","previouslyFormattedCitation":"(29)"},"properties":{"noteIndex":0},"schema":"https://github.com/citation-style-language/schema/raw/master/csl-citation.json"}</w:instrText>
      </w:r>
      <w:r w:rsidR="00D66FE6">
        <w:rPr>
          <w:rFonts w:ascii="Times New Roman" w:hAnsi="Times New Roman" w:cs="Times New Roman"/>
          <w:noProof/>
          <w:sz w:val="24"/>
          <w:szCs w:val="24"/>
        </w:rPr>
        <w:fldChar w:fldCharType="separate"/>
      </w:r>
      <w:r w:rsidR="00D66FE6" w:rsidRPr="00D66FE6">
        <w:rPr>
          <w:rFonts w:ascii="Times New Roman" w:hAnsi="Times New Roman" w:cs="Times New Roman"/>
          <w:noProof/>
          <w:sz w:val="24"/>
          <w:szCs w:val="24"/>
        </w:rPr>
        <w:t>(29)</w:t>
      </w:r>
      <w:r w:rsidR="00D66FE6">
        <w:rPr>
          <w:rFonts w:ascii="Times New Roman" w:hAnsi="Times New Roman" w:cs="Times New Roman"/>
          <w:noProof/>
          <w:sz w:val="24"/>
          <w:szCs w:val="24"/>
        </w:rPr>
        <w:fldChar w:fldCharType="end"/>
      </w:r>
      <w:r w:rsidR="00CA3B91" w:rsidRPr="00FA2AD2">
        <w:rPr>
          <w:rFonts w:ascii="Times New Roman" w:hAnsi="Times New Roman" w:cs="Times New Roman"/>
          <w:noProof/>
          <w:sz w:val="24"/>
          <w:szCs w:val="24"/>
        </w:rPr>
        <w:t>.</w:t>
      </w:r>
      <w:r w:rsidR="000A7D00" w:rsidRPr="00FA2AD2">
        <w:rPr>
          <w:rFonts w:ascii="Times New Roman" w:hAnsi="Times New Roman" w:cs="Times New Roman"/>
          <w:noProof/>
          <w:sz w:val="24"/>
          <w:szCs w:val="24"/>
        </w:rPr>
        <w:t xml:space="preserve"> The KOOS </w:t>
      </w:r>
      <w:r w:rsidR="00B05BBB" w:rsidRPr="00FA2AD2">
        <w:rPr>
          <w:rFonts w:ascii="Times New Roman" w:hAnsi="Times New Roman" w:cs="Times New Roman"/>
          <w:noProof/>
          <w:sz w:val="24"/>
          <w:szCs w:val="24"/>
        </w:rPr>
        <w:t xml:space="preserve">MCID </w:t>
      </w:r>
      <w:r w:rsidR="008B1962" w:rsidRPr="00FA2AD2">
        <w:rPr>
          <w:rFonts w:ascii="Times New Roman" w:hAnsi="Times New Roman" w:cs="Times New Roman"/>
          <w:noProof/>
          <w:sz w:val="24"/>
          <w:szCs w:val="24"/>
        </w:rPr>
        <w:t xml:space="preserve">is most commonly considered to be </w:t>
      </w:r>
      <w:r w:rsidR="008B1962" w:rsidRPr="00520B59">
        <w:rPr>
          <w:rFonts w:ascii="Times New Roman" w:hAnsi="Times New Roman" w:cs="Times New Roman"/>
          <w:noProof/>
          <w:sz w:val="24"/>
          <w:szCs w:val="24"/>
        </w:rPr>
        <w:t xml:space="preserve">8-10 </w:t>
      </w:r>
      <w:r w:rsidR="00D66FE6">
        <w:rPr>
          <w:rFonts w:ascii="Times New Roman" w:hAnsi="Times New Roman" w:cs="Times New Roman"/>
          <w:noProof/>
          <w:sz w:val="24"/>
          <w:szCs w:val="24"/>
        </w:rPr>
        <w:fldChar w:fldCharType="begin" w:fldLock="1"/>
      </w:r>
      <w:r w:rsidR="00AC2F91">
        <w:rPr>
          <w:rFonts w:ascii="Times New Roman" w:hAnsi="Times New Roman" w:cs="Times New Roman"/>
          <w:noProof/>
          <w:sz w:val="24"/>
          <w:szCs w:val="24"/>
        </w:rPr>
        <w:instrText>ADDIN CSL_CITATION {"citationItems":[{"id":"ITEM-1","itemData":{"URL":"http://www.koos.nu/koosfaq.html","accessed":{"date-parts":[["2019","5","26"]]},"id":"ITEM-1","issued":{"date-parts":[["0"]]},"title":"KOOS FAQs","type":"webpage"},"uris":["http://www.mendeley.com/documents/?uuid=ae3e8ad3-9cdf-44b2-ae0c-bbd16a1dd69c"]}],"mendeley":{"formattedCitation":"(14)","plainTextFormattedCitation":"(14)","previouslyFormattedCitation":"(14)"},"properties":{"noteIndex":0},"schema":"https://github.com/citation-style-language/schema/raw/master/csl-citation.json"}</w:instrText>
      </w:r>
      <w:r w:rsidR="00D66FE6">
        <w:rPr>
          <w:rFonts w:ascii="Times New Roman" w:hAnsi="Times New Roman" w:cs="Times New Roman"/>
          <w:noProof/>
          <w:sz w:val="24"/>
          <w:szCs w:val="24"/>
        </w:rPr>
        <w:fldChar w:fldCharType="separate"/>
      </w:r>
      <w:r w:rsidR="00D66FE6" w:rsidRPr="00D66FE6">
        <w:rPr>
          <w:rFonts w:ascii="Times New Roman" w:hAnsi="Times New Roman" w:cs="Times New Roman"/>
          <w:noProof/>
          <w:sz w:val="24"/>
          <w:szCs w:val="24"/>
        </w:rPr>
        <w:t>(14)</w:t>
      </w:r>
      <w:r w:rsidR="00D66FE6">
        <w:rPr>
          <w:rFonts w:ascii="Times New Roman" w:hAnsi="Times New Roman" w:cs="Times New Roman"/>
          <w:noProof/>
          <w:sz w:val="24"/>
          <w:szCs w:val="24"/>
        </w:rPr>
        <w:fldChar w:fldCharType="end"/>
      </w:r>
      <w:r w:rsidR="008B1962" w:rsidRPr="00FA2AD2">
        <w:rPr>
          <w:rFonts w:ascii="Times New Roman" w:hAnsi="Times New Roman" w:cs="Times New Roman"/>
          <w:noProof/>
          <w:sz w:val="24"/>
          <w:szCs w:val="24"/>
        </w:rPr>
        <w:t>.</w:t>
      </w:r>
      <w:r w:rsidR="008B1962" w:rsidRPr="00520B59">
        <w:rPr>
          <w:rFonts w:ascii="Times New Roman" w:hAnsi="Times New Roman" w:cs="Times New Roman"/>
          <w:color w:val="000000"/>
          <w:sz w:val="24"/>
          <w:szCs w:val="24"/>
          <w:shd w:val="clear" w:color="auto" w:fill="FFFFFF"/>
        </w:rPr>
        <w:t xml:space="preserve"> </w:t>
      </w:r>
    </w:p>
    <w:p w14:paraId="2487990A" w14:textId="21E0DE85" w:rsidR="003D03CB" w:rsidRDefault="003D03CB">
      <w:pPr>
        <w:rPr>
          <w:rFonts w:ascii="Times New Roman" w:hAnsi="Times New Roman" w:cs="Times New Roman"/>
          <w:i/>
          <w:noProof/>
          <w:sz w:val="24"/>
          <w:szCs w:val="24"/>
        </w:rPr>
      </w:pPr>
    </w:p>
    <w:p w14:paraId="317DC0D5" w14:textId="321C5590" w:rsidR="009265D3" w:rsidRPr="00520B59" w:rsidRDefault="00FD2BC4" w:rsidP="00520B59">
      <w:pPr>
        <w:pStyle w:val="NoSpacing"/>
        <w:spacing w:line="48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2.2.6 </w:t>
      </w:r>
      <w:r w:rsidR="009265D3" w:rsidRPr="00520B59">
        <w:rPr>
          <w:rFonts w:ascii="Times New Roman" w:hAnsi="Times New Roman" w:cs="Times New Roman"/>
          <w:i/>
          <w:noProof/>
          <w:sz w:val="24"/>
          <w:szCs w:val="24"/>
        </w:rPr>
        <w:t>Multi-Site Pain</w:t>
      </w:r>
    </w:p>
    <w:p w14:paraId="240DF456" w14:textId="4768A8AD" w:rsidR="00F22F9B" w:rsidRDefault="00B05BBB" w:rsidP="00520B59">
      <w:pPr>
        <w:pStyle w:val="NoSpacing"/>
        <w:spacing w:line="480" w:lineRule="auto"/>
        <w:jc w:val="both"/>
        <w:rPr>
          <w:rFonts w:ascii="Times New Roman" w:hAnsi="Times New Roman" w:cs="Times New Roman"/>
          <w:noProof/>
          <w:sz w:val="24"/>
          <w:szCs w:val="24"/>
        </w:rPr>
      </w:pPr>
      <w:r w:rsidRPr="00520B59">
        <w:rPr>
          <w:rFonts w:ascii="Times New Roman" w:hAnsi="Times New Roman" w:cs="Times New Roman"/>
          <w:noProof/>
          <w:sz w:val="24"/>
          <w:szCs w:val="24"/>
        </w:rPr>
        <w:t xml:space="preserve">Patients with </w:t>
      </w:r>
      <w:r w:rsidR="00B06EAB" w:rsidRPr="00520B59">
        <w:rPr>
          <w:rFonts w:ascii="Times New Roman" w:hAnsi="Times New Roman" w:cs="Times New Roman"/>
          <w:noProof/>
          <w:sz w:val="24"/>
          <w:szCs w:val="24"/>
        </w:rPr>
        <w:t>mult</w:t>
      </w:r>
      <w:r w:rsidR="008B1962" w:rsidRPr="00520B59">
        <w:rPr>
          <w:rFonts w:ascii="Times New Roman" w:hAnsi="Times New Roman" w:cs="Times New Roman"/>
          <w:noProof/>
          <w:sz w:val="24"/>
          <w:szCs w:val="24"/>
        </w:rPr>
        <w:t>i-</w:t>
      </w:r>
      <w:r w:rsidR="00B06EAB" w:rsidRPr="00520B59">
        <w:rPr>
          <w:rFonts w:ascii="Times New Roman" w:hAnsi="Times New Roman" w:cs="Times New Roman"/>
          <w:noProof/>
          <w:sz w:val="24"/>
          <w:szCs w:val="24"/>
        </w:rPr>
        <w:t xml:space="preserve">site pain </w:t>
      </w:r>
      <w:r w:rsidR="00B936C4">
        <w:rPr>
          <w:rFonts w:ascii="Times New Roman" w:hAnsi="Times New Roman" w:cs="Times New Roman"/>
          <w:noProof/>
          <w:sz w:val="24"/>
          <w:szCs w:val="24"/>
        </w:rPr>
        <w:t>completed</w:t>
      </w:r>
      <w:r w:rsidRPr="00520B59">
        <w:rPr>
          <w:rFonts w:ascii="Times New Roman" w:hAnsi="Times New Roman" w:cs="Times New Roman"/>
          <w:noProof/>
          <w:sz w:val="24"/>
          <w:szCs w:val="24"/>
        </w:rPr>
        <w:t xml:space="preserve"> </w:t>
      </w:r>
      <w:r w:rsidR="00B06EAB" w:rsidRPr="00520B59">
        <w:rPr>
          <w:rFonts w:ascii="Times New Roman" w:hAnsi="Times New Roman" w:cs="Times New Roman"/>
          <w:noProof/>
          <w:sz w:val="24"/>
          <w:szCs w:val="24"/>
        </w:rPr>
        <w:t>the short-form</w:t>
      </w:r>
      <w:r w:rsidR="00B936C4">
        <w:rPr>
          <w:rFonts w:ascii="Times New Roman" w:hAnsi="Times New Roman" w:cs="Times New Roman"/>
          <w:noProof/>
          <w:sz w:val="24"/>
          <w:szCs w:val="24"/>
        </w:rPr>
        <w:t xml:space="preserve"> version 12</w:t>
      </w:r>
      <w:r w:rsidR="00B06EAB" w:rsidRPr="00520B59">
        <w:rPr>
          <w:rFonts w:ascii="Times New Roman" w:hAnsi="Times New Roman" w:cs="Times New Roman"/>
          <w:noProof/>
          <w:sz w:val="24"/>
          <w:szCs w:val="24"/>
        </w:rPr>
        <w:t xml:space="preserve"> </w:t>
      </w:r>
      <w:r w:rsidR="009B11B6" w:rsidRPr="00520B59">
        <w:rPr>
          <w:rFonts w:ascii="Times New Roman" w:hAnsi="Times New Roman" w:cs="Times New Roman"/>
          <w:noProof/>
          <w:sz w:val="24"/>
          <w:szCs w:val="24"/>
        </w:rPr>
        <w:t>(SF-</w:t>
      </w:r>
      <w:r w:rsidR="00B06EAB" w:rsidRPr="00520B59">
        <w:rPr>
          <w:rFonts w:ascii="Times New Roman" w:hAnsi="Times New Roman" w:cs="Times New Roman"/>
          <w:noProof/>
          <w:sz w:val="24"/>
          <w:szCs w:val="24"/>
        </w:rPr>
        <w:t>12</w:t>
      </w:r>
      <w:r w:rsidR="006B4DCD">
        <w:rPr>
          <w:rFonts w:ascii="Times New Roman" w:hAnsi="Times New Roman" w:cs="Times New Roman"/>
          <w:noProof/>
          <w:sz w:val="24"/>
          <w:szCs w:val="24"/>
        </w:rPr>
        <w:t>)</w:t>
      </w:r>
      <w:r w:rsidR="00B06EAB" w:rsidRPr="00520B59">
        <w:rPr>
          <w:rFonts w:ascii="Times New Roman" w:hAnsi="Times New Roman" w:cs="Times New Roman"/>
          <w:noProof/>
          <w:sz w:val="24"/>
          <w:szCs w:val="24"/>
        </w:rPr>
        <w:t xml:space="preserve"> </w:t>
      </w:r>
      <w:r w:rsidR="00AC2F91">
        <w:rPr>
          <w:rFonts w:ascii="Times New Roman" w:hAnsi="Times New Roman" w:cs="Times New Roman"/>
          <w:noProof/>
          <w:sz w:val="24"/>
          <w:szCs w:val="24"/>
        </w:rPr>
        <w:fldChar w:fldCharType="begin" w:fldLock="1"/>
      </w:r>
      <w:r w:rsidR="00AC2F91">
        <w:rPr>
          <w:rFonts w:ascii="Times New Roman" w:hAnsi="Times New Roman" w:cs="Times New Roman"/>
          <w:noProof/>
          <w:sz w:val="24"/>
          <w:szCs w:val="24"/>
        </w:rPr>
        <w:instrText>ADDIN CSL_CITATION {"citationItems":[{"id":"ITEM-1","itemData":{"ISSN":"0025-7079","abstract":"Regression methods were used to select and score 12 items from the Medical Outcomes Study 36-Item Short-Form Health Survey (SF-36) to reproduce the Physical Component Summary and Mental Component Summary scales in the general US population (n=2,333). The resulting 12-item short-form (SF-12) achieved multiple R squares of 0.911 and 0.918 in predictions of the SF-36 Physical Component Summary and SF-36 Mental Component Summary scores, respectively. Scoring algorithms from the general population used to score 12-item versions of the two components (Physical Components Summary and Mental Component Summary) achieved R squares of 0.905 with the SF-36 Physical Component Summary and 0.938 with SF-36 Mental Component Summary when cross-validated in the Medical Outcomes Study. Test-retest (2-week)correlations of 0.89 and 0.76 were observed for the 12-item Physical Component Summary and the 12-item Mental Component Summary, respectively, in the general US population (n=232). Twenty cross-sectional and longitudinal tests of empirical validity previously published for the 36-item short-form scales and summary measures were replicated for the 12-item Physical Component Summary and the 12-item Mental Component Summary, including comparisons between patient groups known to differ or to change in terms of the presence and seriousness of physical and mental conditions, acute symptoms, age and aging, self-reported 1-year changes in health, and recovery for depression. In 14 validity tests involving physical criteria, relative validity estimates for the 12-item Physical Component Summary ranged from 0.43 to 0.93 (median=0.67) in comparison with the best 36-item short-form scale. Relative validity estimates for the 12-item Mental Component Summary in 6 tests involving mental criteria ranged from 0.60 to 107 (median=0.97) in relation to the best 36-item short-form scale. Average scores for the 2 summary measures, and those for most scales in the 8-scale profile based on the 12-item short-form, closely mirrored those for the 36-item short-form, although standard errors were nearly always larger for the 12-item short-form.","author":[{"dropping-particle":"","family":"Ware","given":"J Jr","non-dropping-particle":"","parse-names":false,"suffix":""},{"dropping-particle":"","family":"Kosinski","given":"M","non-dropping-particle":"","parse-names":false,"suffix":""},{"dropping-particle":"","family":"Keller","given":"S D","non-dropping-particle":"","parse-names":false,"suffix":""}],"collection-title":"[Comment in: Acta Orthop. 2016 Jul;87 Suppl 1:3-8; PMID: 27168175 [https://www.ncbi.nlm.nih.gov/pubmed/27168175]][Comment in: Acta Orthop. 2016 Jul;87 Suppl 1:9-23; PMID: 27228230 [https://www.ncbi.nlm.nih.gov/pubmed/27228230]]","container-title":"Medical care","id":"ITEM-1","issue":"3","issued":{"date-parts":[["1996"]]},"note":"Comment in (CIN), Comment in (CIN)","page":"220-233","publisher-place":"United States","title":"A 12-Item Short-Form Health Survey: construction of scales and preliminary tests of reliability and validity.","type":"article-journal","volume":"34"},"uris":["http://www.mendeley.com/documents/?uuid=76533a15-c12f-4407-b7e7-1cd524994732"]}],"mendeley":{"formattedCitation":"(30)","plainTextFormattedCitation":"(30)","previouslyFormattedCitation":"(30)"},"properties":{"noteIndex":0},"schema":"https://github.com/citation-style-language/schema/raw/master/csl-citation.json"}</w:instrText>
      </w:r>
      <w:r w:rsidR="00AC2F91">
        <w:rPr>
          <w:rFonts w:ascii="Times New Roman" w:hAnsi="Times New Roman" w:cs="Times New Roman"/>
          <w:noProof/>
          <w:sz w:val="24"/>
          <w:szCs w:val="24"/>
        </w:rPr>
        <w:fldChar w:fldCharType="separate"/>
      </w:r>
      <w:r w:rsidR="00AC2F91" w:rsidRPr="00AC2F91">
        <w:rPr>
          <w:rFonts w:ascii="Times New Roman" w:hAnsi="Times New Roman" w:cs="Times New Roman"/>
          <w:noProof/>
          <w:sz w:val="24"/>
          <w:szCs w:val="24"/>
        </w:rPr>
        <w:t>(30)</w:t>
      </w:r>
      <w:r w:rsidR="00AC2F91">
        <w:rPr>
          <w:rFonts w:ascii="Times New Roman" w:hAnsi="Times New Roman" w:cs="Times New Roman"/>
          <w:noProof/>
          <w:sz w:val="24"/>
          <w:szCs w:val="24"/>
        </w:rPr>
        <w:fldChar w:fldCharType="end"/>
      </w:r>
      <w:r w:rsidR="00B06EAB" w:rsidRPr="00FA2AD2">
        <w:rPr>
          <w:rFonts w:ascii="Times New Roman" w:hAnsi="Times New Roman" w:cs="Times New Roman"/>
          <w:noProof/>
          <w:sz w:val="24"/>
          <w:szCs w:val="24"/>
        </w:rPr>
        <w:t>.</w:t>
      </w:r>
      <w:r w:rsidR="009265D3" w:rsidRPr="00FA2AD2">
        <w:rPr>
          <w:rFonts w:ascii="Times New Roman" w:hAnsi="Times New Roman" w:cs="Times New Roman"/>
          <w:noProof/>
          <w:sz w:val="24"/>
          <w:szCs w:val="24"/>
        </w:rPr>
        <w:t xml:space="preserve"> This </w:t>
      </w:r>
      <w:r w:rsidR="009B11B6" w:rsidRPr="00FA2AD2">
        <w:rPr>
          <w:rFonts w:ascii="Times New Roman" w:hAnsi="Times New Roman" w:cs="Times New Roman"/>
          <w:noProof/>
          <w:sz w:val="24"/>
          <w:szCs w:val="24"/>
        </w:rPr>
        <w:t xml:space="preserve">measures </w:t>
      </w:r>
      <w:r w:rsidR="00B936C4">
        <w:rPr>
          <w:rFonts w:ascii="Times New Roman" w:hAnsi="Times New Roman" w:cs="Times New Roman"/>
          <w:noProof/>
          <w:sz w:val="24"/>
          <w:szCs w:val="24"/>
        </w:rPr>
        <w:t>eight</w:t>
      </w:r>
      <w:r w:rsidR="00B936C4" w:rsidRPr="00FA2AD2">
        <w:rPr>
          <w:rFonts w:ascii="Times New Roman" w:hAnsi="Times New Roman" w:cs="Times New Roman"/>
          <w:noProof/>
          <w:sz w:val="24"/>
          <w:szCs w:val="24"/>
        </w:rPr>
        <w:t xml:space="preserve"> </w:t>
      </w:r>
      <w:r w:rsidR="00EA7173" w:rsidRPr="00520B59">
        <w:rPr>
          <w:rFonts w:ascii="Times New Roman" w:hAnsi="Times New Roman" w:cs="Times New Roman"/>
          <w:noProof/>
          <w:sz w:val="24"/>
          <w:szCs w:val="24"/>
        </w:rPr>
        <w:t>hea</w:t>
      </w:r>
      <w:r w:rsidR="003A6095" w:rsidRPr="00520B59">
        <w:rPr>
          <w:rFonts w:ascii="Times New Roman" w:hAnsi="Times New Roman" w:cs="Times New Roman"/>
          <w:noProof/>
          <w:sz w:val="24"/>
          <w:szCs w:val="24"/>
        </w:rPr>
        <w:t>l</w:t>
      </w:r>
      <w:r w:rsidR="00EA7173" w:rsidRPr="00520B59">
        <w:rPr>
          <w:rFonts w:ascii="Times New Roman" w:hAnsi="Times New Roman" w:cs="Times New Roman"/>
          <w:noProof/>
          <w:sz w:val="24"/>
          <w:szCs w:val="24"/>
        </w:rPr>
        <w:t xml:space="preserve">th domains </w:t>
      </w:r>
      <w:r w:rsidR="00F22F9B" w:rsidRPr="00520B59">
        <w:rPr>
          <w:rFonts w:ascii="Times New Roman" w:hAnsi="Times New Roman" w:cs="Times New Roman"/>
          <w:noProof/>
          <w:sz w:val="24"/>
          <w:szCs w:val="24"/>
        </w:rPr>
        <w:t>(four physical; four mental)</w:t>
      </w:r>
      <w:r w:rsidRPr="00520B59">
        <w:rPr>
          <w:rFonts w:ascii="Times New Roman" w:hAnsi="Times New Roman" w:cs="Times New Roman"/>
          <w:noProof/>
          <w:sz w:val="24"/>
          <w:szCs w:val="24"/>
        </w:rPr>
        <w:t>,</w:t>
      </w:r>
      <w:r w:rsidR="00F22F9B" w:rsidRPr="00520B59">
        <w:rPr>
          <w:rFonts w:ascii="Times New Roman" w:hAnsi="Times New Roman" w:cs="Times New Roman"/>
          <w:noProof/>
          <w:sz w:val="24"/>
          <w:szCs w:val="24"/>
        </w:rPr>
        <w:t xml:space="preserve"> </w:t>
      </w:r>
      <w:r w:rsidRPr="00520B59">
        <w:rPr>
          <w:rFonts w:ascii="Times New Roman" w:hAnsi="Times New Roman" w:cs="Times New Roman"/>
          <w:noProof/>
          <w:sz w:val="24"/>
          <w:szCs w:val="24"/>
        </w:rPr>
        <w:t>e</w:t>
      </w:r>
      <w:r w:rsidR="00F22F9B" w:rsidRPr="00520B59">
        <w:rPr>
          <w:rFonts w:ascii="Times New Roman" w:hAnsi="Times New Roman" w:cs="Times New Roman"/>
          <w:noProof/>
          <w:sz w:val="24"/>
          <w:szCs w:val="24"/>
        </w:rPr>
        <w:t xml:space="preserve">ach scored 0 to 100, with higher scores indicating better health. Health domains can be combined in </w:t>
      </w:r>
      <w:r w:rsidR="0076610B">
        <w:rPr>
          <w:rFonts w:ascii="Times New Roman" w:hAnsi="Times New Roman" w:cs="Times New Roman"/>
          <w:noProof/>
          <w:sz w:val="24"/>
          <w:szCs w:val="24"/>
        </w:rPr>
        <w:t xml:space="preserve">a </w:t>
      </w:r>
      <w:r w:rsidR="00F22F9B" w:rsidRPr="00520B59">
        <w:rPr>
          <w:rFonts w:ascii="Times New Roman" w:hAnsi="Times New Roman" w:cs="Times New Roman"/>
          <w:noProof/>
          <w:sz w:val="24"/>
          <w:szCs w:val="24"/>
        </w:rPr>
        <w:t>physical component summary score (PCS), also ranging 0 to 100. The SF-12 is commonly used in studies of mul</w:t>
      </w:r>
      <w:r w:rsidR="009B11B6" w:rsidRPr="00520B59">
        <w:rPr>
          <w:rFonts w:ascii="Times New Roman" w:hAnsi="Times New Roman" w:cs="Times New Roman"/>
          <w:noProof/>
          <w:sz w:val="24"/>
          <w:szCs w:val="24"/>
        </w:rPr>
        <w:t>t</w:t>
      </w:r>
      <w:r w:rsidR="00F22F9B" w:rsidRPr="00520B59">
        <w:rPr>
          <w:rFonts w:ascii="Times New Roman" w:hAnsi="Times New Roman" w:cs="Times New Roman"/>
          <w:noProof/>
          <w:sz w:val="24"/>
          <w:szCs w:val="24"/>
        </w:rPr>
        <w:t>i</w:t>
      </w:r>
      <w:r w:rsidR="00EE0AF3" w:rsidRPr="00520B59">
        <w:rPr>
          <w:rFonts w:ascii="Times New Roman" w:hAnsi="Times New Roman" w:cs="Times New Roman"/>
          <w:noProof/>
          <w:sz w:val="24"/>
          <w:szCs w:val="24"/>
        </w:rPr>
        <w:t>-</w:t>
      </w:r>
      <w:r w:rsidR="00F22F9B" w:rsidRPr="00520B59">
        <w:rPr>
          <w:rFonts w:ascii="Times New Roman" w:hAnsi="Times New Roman" w:cs="Times New Roman"/>
          <w:noProof/>
          <w:sz w:val="24"/>
          <w:szCs w:val="24"/>
        </w:rPr>
        <w:t xml:space="preserve">site pain </w:t>
      </w:r>
      <w:r w:rsidR="00AC2F91">
        <w:rPr>
          <w:rFonts w:ascii="Times New Roman" w:hAnsi="Times New Roman" w:cs="Times New Roman"/>
          <w:noProof/>
          <w:sz w:val="24"/>
          <w:szCs w:val="24"/>
        </w:rPr>
        <w:fldChar w:fldCharType="begin" w:fldLock="1"/>
      </w:r>
      <w:r w:rsidR="00AC2F91">
        <w:rPr>
          <w:rFonts w:ascii="Times New Roman" w:hAnsi="Times New Roman" w:cs="Times New Roman"/>
          <w:noProof/>
          <w:sz w:val="24"/>
          <w:szCs w:val="24"/>
        </w:rPr>
        <w:instrText>ADDIN CSL_CITATION {"citationItems":[{"id":"ITEM-1","itemData":{"DOI":"10.1186/s12891-017-1896-3","ISSN":"1471-2474","abstract":"BACKGROUND: Research into musculoskeletal conditions often focusses on pain at single sites, such as the knee, yet several studies have previously reported the high prevalence of multiple sites of musculoskeletal pain. The most common form of musculoskeletal condition is arthritis, with osteoarthritis (OA) the most common cause of joint pain in adults 45 years and over. However, there is limited recognition of the prevalence of multisite peripheral joint pain in those either living with or at risk of OA, therefore this study set out to estimate the prevalence of multisite peripheral joint pain in adults 45 years and older, and its impact on several dimensions of health. METHODS: A cross-sectional population survey was mailed to adults (n = 28,443) aged 45 years and over from eight general practices in the North West Midlands, United Kingdom (UK). Prevalence rates were established for multisite peripheral joint pain (pain in two or more sites; hands, hips, knees, feet). Impact was measured for general health (SF-12 MCS &amp; PCS), QoL (EQ-5D), pain intensity (0-10 numerical ratings scale) and the number of consultations with a range of health care professionals. RESULTS: Of 15,083 responders (53%), multisite peripheral joint pain was reported by 54%. Peripheral joint pain was present in n = 11,928, of which 68% reported pain in multiple sites. Multisite peripheral joint pain was shown to be significantly associated with reduced physical (Mean difference = -5.9 95% CI -6.3,-5.5) and mental (-2.8 95% CI -3.2,-2.4) components of the SF-12, reduced QoL (-0.14 95% CI -0.15, -0.13), increased pain (+0.70 95% CI 0.62, 0.79) and increased odds of consultations with GPs (OR 2.4 95% CI 2.2, 2.6) and practice nurses (OR 2.6 (95% CI 2.1, 3.2) when compared to single site pain. CONCLUSIONS: Multisite peripheral joint pain is prevalent in the population in adults 45 years and over and has a significant negative impact on several dimensions of health. Health care professionals should consider joint pain beyond the index site in order to address holistic management.","author":[{"dropping-particle":"","family":"Finney","given":"Andrew","non-dropping-particle":"","parse-names":false,"suffix":""},{"dropping-particle":"","family":"Dziedzic","given":"Krysia S","non-dropping-particle":"","parse-names":false,"suffix":""},{"dropping-particle":"","family":"Lewis","given":"Martyn","non-dropping-particle":"","parse-names":false,"suffix":""},{"dropping-particle":"","family":"Healey","given":"Emma","non-dropping-particle":"","parse-names":false,"suffix":""}],"container-title":"BMC musculoskeletal disorders","id":"ITEM-1","issue":"1","issued":{"date-parts":[["2017","12","16"]]},"language":"eng","page":"535","publisher":"BioMed Central","title":"Multisite peripheral joint pain: a cross-sectional study of prevalence and impact on general health, quality of life, pain intensity and consultation behaviour","type":"article-journal","volume":"18"},"uris":["http://www.mendeley.com/documents/?uuid=6087532b-3d9f-4a2c-8ef0-1bfadc44bd74"]},{"id":"ITEM-2","itemData":{"DOI":"10.1093/rheumatology/keu240","ISSN":"1462-0324","abstract":"Objectives. Number of pain sites (NPS) is a potentially important marker of health-related quality of life (HRQoL) but remains unexplored in older people. This cross-sectional study investigated whether, in older people including the oldest old, NPS was independently associated with poorer mental and physical HRQoL and if the association was moderated by age.Methods. A postal questionnaire sent to a population sample of adults aged ≥50 years in North Staffordshire, UK, included the 12-item Short Form Health Survey (SF-12) mental component summary (MCS) and physical component summary (PCS), a blank body pain manikin, socio-demographic, health behaviour and morbidity questions. Participants shaded sites of pain lasting ≥1 day in the past 4 weeks on the manikin. OA consultation data were obtained for participants consenting to medical records review.Results. A total of 13 986 individuals (adjusted response 70.6%) completed a questionnaire, of which 12 408 provided complete pain data. The median NPS reported was 4 [interquartile range (IQR) 0–8]. General linear models showed that an increasing NPS was significantly associated with poorer MCS (β = −0.43, 95% CI −0.46, −0.40) and PCS (β = −0.87, 95% CI −0.90, −0.84). Adjustment for covariates attenuated the associations but they remained significant (MCS: β = −0.28, 95% CI −0.31, −0.24; PCS: β = −0.63, 95% CI −0.66, −0.59). The association between NPS and MCS or PCS was moderated by age, but the strongest associations were not in the oldest old.Conclusion. NPS appears to be a potentially modifiable target for improving physical and mental HRQoL in older people. Future analyses should investigate the influence of NPS on HRQoL over time in older people.","author":[{"dropping-particle":"","family":"Thomas","given":"Elaine","non-dropping-particle":"","parse-names":false,"suffix":""},{"dropping-particle":"","family":"Belcher","given":"John","non-dropping-particle":"","parse-names":false,"suffix":""},{"dropping-particle":"","family":"McBeth","given":"John","non-dropping-particle":"","parse-names":false,"suffix":""},{"dropping-particle":"","family":"Lacey","given":"Rosie J","non-dropping-particle":"","parse-names":false,"suffix":""},{"dropping-particle":"","family":"Wilkie","given":"Ross","non-dropping-particle":"","parse-names":false,"suffix":""},{"dropping-particle":"","family":"Rathod","given":"Trishna","non-dropping-particle":"","parse-names":false,"suffix":""}],"container-title":"Rheumatology","id":"ITEM-2","issue":"11","issued":{"date-parts":[["2014","6","12"]]},"page":"2071-2079","title":"Pain at multiple body sites and health-related quality of life in older adults: results from the North Staffordshire Osteoarthritis Project","type":"article-journal","volume":"53"},"uris":["http://www.mendeley.com/documents/?uuid=c260ca0b-2d59-43e3-8735-728a0eff7d99"]}],"mendeley":{"formattedCitation":"(31,32)","plainTextFormattedCitation":"(31,32)","previouslyFormattedCitation":"(31,32)"},"properties":{"noteIndex":0},"schema":"https://github.com/citation-style-language/schema/raw/master/csl-citation.json"}</w:instrText>
      </w:r>
      <w:r w:rsidR="00AC2F91">
        <w:rPr>
          <w:rFonts w:ascii="Times New Roman" w:hAnsi="Times New Roman" w:cs="Times New Roman"/>
          <w:noProof/>
          <w:sz w:val="24"/>
          <w:szCs w:val="24"/>
        </w:rPr>
        <w:fldChar w:fldCharType="separate"/>
      </w:r>
      <w:r w:rsidR="00AC2F91" w:rsidRPr="00AC2F91">
        <w:rPr>
          <w:rFonts w:ascii="Times New Roman" w:hAnsi="Times New Roman" w:cs="Times New Roman"/>
          <w:noProof/>
          <w:sz w:val="24"/>
          <w:szCs w:val="24"/>
        </w:rPr>
        <w:t>(31,32)</w:t>
      </w:r>
      <w:r w:rsidR="00AC2F91">
        <w:rPr>
          <w:rFonts w:ascii="Times New Roman" w:hAnsi="Times New Roman" w:cs="Times New Roman"/>
          <w:noProof/>
          <w:sz w:val="24"/>
          <w:szCs w:val="24"/>
        </w:rPr>
        <w:fldChar w:fldCharType="end"/>
      </w:r>
      <w:r w:rsidR="00F22F9B" w:rsidRPr="00FA2AD2">
        <w:rPr>
          <w:rFonts w:ascii="Times New Roman" w:hAnsi="Times New Roman" w:cs="Times New Roman"/>
          <w:noProof/>
          <w:sz w:val="24"/>
          <w:szCs w:val="24"/>
        </w:rPr>
        <w:t>. The M</w:t>
      </w:r>
      <w:r w:rsidR="008B1962" w:rsidRPr="00FA2AD2">
        <w:rPr>
          <w:rFonts w:ascii="Times New Roman" w:hAnsi="Times New Roman" w:cs="Times New Roman"/>
          <w:noProof/>
          <w:sz w:val="24"/>
          <w:szCs w:val="24"/>
        </w:rPr>
        <w:t>C</w:t>
      </w:r>
      <w:r w:rsidR="00F22F9B" w:rsidRPr="00FA2AD2">
        <w:rPr>
          <w:rFonts w:ascii="Times New Roman" w:hAnsi="Times New Roman" w:cs="Times New Roman"/>
          <w:noProof/>
          <w:sz w:val="24"/>
          <w:szCs w:val="24"/>
        </w:rPr>
        <w:t xml:space="preserve">ID for the domain and component summary scores are </w:t>
      </w:r>
      <w:r w:rsidR="0006018E" w:rsidRPr="00520B59">
        <w:rPr>
          <w:rFonts w:ascii="Times New Roman" w:hAnsi="Times New Roman" w:cs="Times New Roman"/>
          <w:noProof/>
          <w:sz w:val="24"/>
          <w:szCs w:val="24"/>
        </w:rPr>
        <w:t>unknown for patients with multi</w:t>
      </w:r>
      <w:r w:rsidR="008B1962" w:rsidRPr="00520B59">
        <w:rPr>
          <w:rFonts w:ascii="Times New Roman" w:hAnsi="Times New Roman" w:cs="Times New Roman"/>
          <w:noProof/>
          <w:sz w:val="24"/>
          <w:szCs w:val="24"/>
        </w:rPr>
        <w:t>-</w:t>
      </w:r>
      <w:r w:rsidR="0006018E" w:rsidRPr="00520B59">
        <w:rPr>
          <w:rFonts w:ascii="Times New Roman" w:hAnsi="Times New Roman" w:cs="Times New Roman"/>
          <w:noProof/>
          <w:sz w:val="24"/>
          <w:szCs w:val="24"/>
        </w:rPr>
        <w:t>site MSK pain, although for patients with subacute and chronic low back pain</w:t>
      </w:r>
      <w:r w:rsidR="009B11B6" w:rsidRPr="00520B59">
        <w:rPr>
          <w:rFonts w:ascii="Times New Roman" w:hAnsi="Times New Roman" w:cs="Times New Roman"/>
          <w:noProof/>
          <w:sz w:val="24"/>
          <w:szCs w:val="24"/>
        </w:rPr>
        <w:t>,</w:t>
      </w:r>
      <w:r w:rsidR="0006018E" w:rsidRPr="00520B59">
        <w:rPr>
          <w:rFonts w:ascii="Times New Roman" w:hAnsi="Times New Roman" w:cs="Times New Roman"/>
          <w:noProof/>
          <w:sz w:val="24"/>
          <w:szCs w:val="24"/>
        </w:rPr>
        <w:t xml:space="preserve"> the M</w:t>
      </w:r>
      <w:r w:rsidR="008B1962" w:rsidRPr="00520B59">
        <w:rPr>
          <w:rFonts w:ascii="Times New Roman" w:hAnsi="Times New Roman" w:cs="Times New Roman"/>
          <w:noProof/>
          <w:sz w:val="24"/>
          <w:szCs w:val="24"/>
        </w:rPr>
        <w:t>C</w:t>
      </w:r>
      <w:r w:rsidR="0006018E" w:rsidRPr="00520B59">
        <w:rPr>
          <w:rFonts w:ascii="Times New Roman" w:hAnsi="Times New Roman" w:cs="Times New Roman"/>
          <w:noProof/>
          <w:sz w:val="24"/>
          <w:szCs w:val="24"/>
        </w:rPr>
        <w:t xml:space="preserve">ID for the PCS </w:t>
      </w:r>
      <w:r w:rsidR="0076610B">
        <w:rPr>
          <w:rFonts w:ascii="Times New Roman" w:hAnsi="Times New Roman" w:cs="Times New Roman"/>
          <w:noProof/>
          <w:sz w:val="24"/>
          <w:szCs w:val="24"/>
        </w:rPr>
        <w:t xml:space="preserve">is </w:t>
      </w:r>
      <w:r w:rsidR="0006018E" w:rsidRPr="00520B59">
        <w:rPr>
          <w:rFonts w:ascii="Times New Roman" w:hAnsi="Times New Roman" w:cs="Times New Roman"/>
          <w:noProof/>
          <w:sz w:val="24"/>
          <w:szCs w:val="24"/>
        </w:rPr>
        <w:t>estimated to be 3.29</w:t>
      </w:r>
      <w:r w:rsidR="00AC2F91">
        <w:rPr>
          <w:rFonts w:ascii="Times New Roman" w:hAnsi="Times New Roman" w:cs="Times New Roman"/>
          <w:noProof/>
          <w:sz w:val="24"/>
          <w:szCs w:val="24"/>
        </w:rPr>
        <w:t xml:space="preserve"> </w:t>
      </w:r>
      <w:r w:rsidR="00AC2F91">
        <w:rPr>
          <w:rFonts w:ascii="Times New Roman" w:hAnsi="Times New Roman" w:cs="Times New Roman"/>
          <w:noProof/>
          <w:sz w:val="24"/>
          <w:szCs w:val="24"/>
        </w:rPr>
        <w:fldChar w:fldCharType="begin" w:fldLock="1"/>
      </w:r>
      <w:r w:rsidR="00AC2F91">
        <w:rPr>
          <w:rFonts w:ascii="Times New Roman" w:hAnsi="Times New Roman" w:cs="Times New Roman"/>
          <w:noProof/>
          <w:sz w:val="24"/>
          <w:szCs w:val="24"/>
        </w:rPr>
        <w:instrText>ADDIN CSL_CITATION {"citationItems":[{"id":"ITEM-1","itemData":{"DOI":"https://dx.doi.org/10.1097/BRS.0000000000002298","ISSN":"1528-1159","abstract":"STUDY DESIGN: Multicenter, prospective, cohort study., OBJECTIVE: To estimate the Minimal Clinically Important Difference (MCID) for the physical (PCS) and mental (MCS) component summaries of Short Form SF-12 (SF-12), in patients with low back pain (LBP)., SUMMARY OF BACKGROUND DATA: Quality of life is one of the core domains recommended to be assessed in patients with LBP. SF-12 is the most widely used instrument for this purpose, but its MCID was unknown., METHODS: A total of 458 patients with subacute and chronic LBP were consecutively recruited across 21 practices. LBP, referred pain, disability, PCS, and MCS were assessed upon recruitment and 12 months later. Self-reported health status change between baseline and 12 month-assessment, was used as the external criterion. The MCID for SF-12 was estimated following four anchor-based methods; minimal detectable change (MDC); average change (AC); change difference (CD); and receiver operating characteristic curve (ROC), for which the area under the curve (AUC) was calculated. The effect on MCID values of pain duration and baseline scores was assessed., RESULTS: Values for PCS were: MDC: 0.56, AC: 2.71, CD: 3.29, and ROC: 1.14. Values for MCS were: MDC: 3.77, AC: 3.54, CD: 1.13, and ROC: 4.23. AUC values were &lt;0.7; MCID values were smaller among chronic patients and those with better baseline quality of life., CONCLUSION: Different methods for MCID calculation lead to different results. In patients with subacute and chronic LBP, improvements &gt;3.77 in MCS and &gt;3.29 in PCS, can be considered clinically relevant. MCID is smaller in patients with longer pain duration and better baseline quality of life., LEVEL OF EVIDENCE: 2.","author":[{"dropping-particle":"","family":"Diaz-Arribas","given":"Maria J","non-dropping-particle":"","parse-names":false,"suffix":""},{"dropping-particle":"","family":"Fernandez-Serrano","given":"Monica","non-dropping-particle":"","parse-names":false,"suffix":""},{"dropping-particle":"","family":"Royuela","given":"Ana","non-dropping-particle":"","parse-names":false,"suffix":""},{"dropping-particle":"","family":"Kovacs","given":"Francisco M","non-dropping-particle":"","parse-names":false,"suffix":""},{"dropping-particle":"","family":"Gallego-Izquierdo","given":"Tomas","non-dropping-particle":"","parse-names":false,"suffix":""},{"dropping-particle":"","family":"Ramos-Sanchez","given":"Mabel","non-dropping-particle":"","parse-names":false,"suffix":""},{"dropping-particle":"","family":"Llorca-Palomera","given":"Rosa","non-dropping-particle":"","parse-names":false,"suffix":""},{"dropping-particle":"","family":"Pardo-Hervas","given":"Pedro","non-dropping-particle":"","parse-names":false,"suffix":""},{"dropping-particle":"","family":"Martin-Pariente","given":"Oscar S","non-dropping-particle":"","parse-names":false,"suffix":""}],"container-title":"Spine","id":"ITEM-1","issue":"24","issued":{"date-parts":[["2017"]]},"page":"1908-1916","publisher-place":"United States","title":"Minimal Clinically Important Difference in Quality of Life for Patients With Low Back Pain.","type":"article-journal","volume":"42"},"uris":["http://www.mendeley.com/documents/?uuid=1a50475c-fbd4-46ba-9334-57324e8dcde1"]}],"mendeley":{"formattedCitation":"(15)","plainTextFormattedCitation":"(15)","previouslyFormattedCitation":"(15)"},"properties":{"noteIndex":0},"schema":"https://github.com/citation-style-language/schema/raw/master/csl-citation.json"}</w:instrText>
      </w:r>
      <w:r w:rsidR="00AC2F91">
        <w:rPr>
          <w:rFonts w:ascii="Times New Roman" w:hAnsi="Times New Roman" w:cs="Times New Roman"/>
          <w:noProof/>
          <w:sz w:val="24"/>
          <w:szCs w:val="24"/>
        </w:rPr>
        <w:fldChar w:fldCharType="separate"/>
      </w:r>
      <w:r w:rsidR="00AC2F91" w:rsidRPr="00AC2F91">
        <w:rPr>
          <w:rFonts w:ascii="Times New Roman" w:hAnsi="Times New Roman" w:cs="Times New Roman"/>
          <w:noProof/>
          <w:sz w:val="24"/>
          <w:szCs w:val="24"/>
        </w:rPr>
        <w:t>(15)</w:t>
      </w:r>
      <w:r w:rsidR="00AC2F91">
        <w:rPr>
          <w:rFonts w:ascii="Times New Roman" w:hAnsi="Times New Roman" w:cs="Times New Roman"/>
          <w:noProof/>
          <w:sz w:val="24"/>
          <w:szCs w:val="24"/>
        </w:rPr>
        <w:fldChar w:fldCharType="end"/>
      </w:r>
      <w:r w:rsidR="0006018E" w:rsidRPr="00FA2AD2">
        <w:rPr>
          <w:rFonts w:ascii="Times New Roman" w:hAnsi="Times New Roman" w:cs="Times New Roman"/>
          <w:noProof/>
          <w:sz w:val="24"/>
          <w:szCs w:val="24"/>
        </w:rPr>
        <w:t>.</w:t>
      </w:r>
    </w:p>
    <w:p w14:paraId="210CB603" w14:textId="4D40A513" w:rsidR="00BE226D" w:rsidRDefault="00BE226D" w:rsidP="00520B59">
      <w:pPr>
        <w:pStyle w:val="NoSpacing"/>
        <w:spacing w:line="480" w:lineRule="auto"/>
        <w:jc w:val="both"/>
        <w:rPr>
          <w:rFonts w:ascii="Times New Roman" w:hAnsi="Times New Roman" w:cs="Times New Roman"/>
          <w:noProof/>
          <w:sz w:val="24"/>
          <w:szCs w:val="24"/>
        </w:rPr>
      </w:pPr>
    </w:p>
    <w:p w14:paraId="69147FC6" w14:textId="76EBEC61" w:rsidR="00061FF3" w:rsidRPr="00520B59" w:rsidRDefault="00FD2BC4" w:rsidP="0014410D">
      <w:pPr>
        <w:pStyle w:val="NoSpacing"/>
        <w:spacing w:line="48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2.3 </w:t>
      </w:r>
      <w:r w:rsidR="00061FF3" w:rsidRPr="00520B59">
        <w:rPr>
          <w:rFonts w:ascii="Times New Roman" w:hAnsi="Times New Roman" w:cs="Times New Roman"/>
          <w:b/>
          <w:noProof/>
          <w:sz w:val="24"/>
          <w:szCs w:val="24"/>
        </w:rPr>
        <w:t>Statistical Analysis</w:t>
      </w:r>
    </w:p>
    <w:p w14:paraId="7D8EE09B" w14:textId="49EBEAE9" w:rsidR="00054218" w:rsidRPr="00054218" w:rsidRDefault="00FD2BC4" w:rsidP="0014410D">
      <w:pPr>
        <w:pStyle w:val="NoSpacing"/>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2.3.1 </w:t>
      </w:r>
      <w:r w:rsidR="00054218" w:rsidRPr="00054218">
        <w:rPr>
          <w:rFonts w:ascii="Times New Roman" w:hAnsi="Times New Roman" w:cs="Times New Roman"/>
          <w:i/>
          <w:sz w:val="24"/>
          <w:szCs w:val="24"/>
        </w:rPr>
        <w:t>Missing Data</w:t>
      </w:r>
    </w:p>
    <w:p w14:paraId="1577C8D5" w14:textId="738A02AA" w:rsidR="00054218" w:rsidRPr="00DA020D" w:rsidRDefault="00054218" w:rsidP="00054218">
      <w:pPr>
        <w:pStyle w:val="NoSpacing"/>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Pre-analysis, missing MSK-HQ item data were imputed </w:t>
      </w:r>
      <w:r w:rsidR="00B936C4">
        <w:rPr>
          <w:rFonts w:ascii="Times New Roman" w:hAnsi="Times New Roman" w:cs="Times New Roman"/>
          <w:noProof/>
          <w:sz w:val="24"/>
          <w:szCs w:val="24"/>
        </w:rPr>
        <w:t xml:space="preserve">for participants </w:t>
      </w:r>
      <w:r>
        <w:rPr>
          <w:rFonts w:ascii="Times New Roman" w:hAnsi="Times New Roman" w:cs="Times New Roman"/>
          <w:noProof/>
          <w:sz w:val="24"/>
          <w:szCs w:val="24"/>
        </w:rPr>
        <w:t xml:space="preserve">with a small </w:t>
      </w:r>
      <w:r w:rsidRPr="00EB2CC9">
        <w:rPr>
          <w:rFonts w:ascii="Times New Roman" w:hAnsi="Times New Roman" w:cs="Times New Roman"/>
          <w:noProof/>
          <w:sz w:val="24"/>
          <w:szCs w:val="24"/>
        </w:rPr>
        <w:t>(</w:t>
      </w:r>
      <w:r>
        <w:rPr>
          <w:rFonts w:ascii="Times New Roman" w:hAnsi="Times New Roman" w:cs="Times New Roman"/>
          <w:noProof/>
          <w:sz w:val="24"/>
          <w:szCs w:val="24"/>
        </w:rPr>
        <w:t>n</w:t>
      </w:r>
      <w:r w:rsidRPr="00EB2CC9">
        <w:rPr>
          <w:rFonts w:ascii="Times New Roman" w:hAnsi="Times New Roman" w:cs="Times New Roman"/>
          <w:noProof/>
          <w:sz w:val="24"/>
          <w:szCs w:val="24"/>
        </w:rPr>
        <w:t>&lt;3)</w:t>
      </w:r>
      <w:r>
        <w:rPr>
          <w:rFonts w:ascii="Times New Roman" w:hAnsi="Times New Roman" w:cs="Times New Roman"/>
          <w:noProof/>
          <w:sz w:val="24"/>
          <w:szCs w:val="24"/>
        </w:rPr>
        <w:t xml:space="preserve"> number of</w:t>
      </w:r>
      <w:r w:rsidRPr="00EB2CC9">
        <w:rPr>
          <w:rFonts w:ascii="Times New Roman" w:hAnsi="Times New Roman" w:cs="Times New Roman"/>
          <w:noProof/>
          <w:sz w:val="24"/>
          <w:szCs w:val="24"/>
        </w:rPr>
        <w:t xml:space="preserve"> missing item</w:t>
      </w:r>
      <w:r>
        <w:rPr>
          <w:rFonts w:ascii="Times New Roman" w:hAnsi="Times New Roman" w:cs="Times New Roman"/>
          <w:noProof/>
          <w:sz w:val="24"/>
          <w:szCs w:val="24"/>
        </w:rPr>
        <w:t xml:space="preserve"> responses. At </w:t>
      </w:r>
      <w:r w:rsidRPr="00EB2CC9">
        <w:rPr>
          <w:rFonts w:ascii="Times New Roman" w:hAnsi="Times New Roman" w:cs="Times New Roman"/>
          <w:noProof/>
          <w:sz w:val="24"/>
          <w:szCs w:val="24"/>
        </w:rPr>
        <w:t xml:space="preserve">baseline, 14 </w:t>
      </w:r>
      <w:r w:rsidR="00B936C4">
        <w:rPr>
          <w:rFonts w:ascii="Times New Roman" w:hAnsi="Times New Roman" w:cs="Times New Roman"/>
          <w:noProof/>
          <w:sz w:val="24"/>
          <w:szCs w:val="24"/>
        </w:rPr>
        <w:t xml:space="preserve">participant questionnaires </w:t>
      </w:r>
      <w:r w:rsidRPr="00EB2CC9">
        <w:rPr>
          <w:rFonts w:ascii="Times New Roman" w:hAnsi="Times New Roman" w:cs="Times New Roman"/>
          <w:noProof/>
          <w:sz w:val="24"/>
          <w:szCs w:val="24"/>
        </w:rPr>
        <w:t xml:space="preserve">had </w:t>
      </w:r>
      <w:r>
        <w:rPr>
          <w:rFonts w:ascii="Times New Roman" w:hAnsi="Times New Roman" w:cs="Times New Roman"/>
          <w:noProof/>
          <w:sz w:val="24"/>
          <w:szCs w:val="24"/>
        </w:rPr>
        <w:t xml:space="preserve">1 </w:t>
      </w:r>
      <w:r w:rsidRPr="00EB2CC9">
        <w:rPr>
          <w:rFonts w:ascii="Times New Roman" w:hAnsi="Times New Roman" w:cs="Times New Roman"/>
          <w:noProof/>
          <w:sz w:val="24"/>
          <w:szCs w:val="24"/>
        </w:rPr>
        <w:t>missing item response, 1 had 2 missing item responses</w:t>
      </w:r>
      <w:r>
        <w:rPr>
          <w:rFonts w:ascii="Times New Roman" w:hAnsi="Times New Roman" w:cs="Times New Roman"/>
          <w:noProof/>
          <w:sz w:val="24"/>
          <w:szCs w:val="24"/>
        </w:rPr>
        <w:t>,</w:t>
      </w:r>
      <w:r w:rsidRPr="00EB2CC9">
        <w:rPr>
          <w:rFonts w:ascii="Times New Roman" w:hAnsi="Times New Roman" w:cs="Times New Roman"/>
          <w:noProof/>
          <w:sz w:val="24"/>
          <w:szCs w:val="24"/>
        </w:rPr>
        <w:t xml:space="preserve"> and 2 had </w:t>
      </w:r>
      <w:r>
        <w:rPr>
          <w:rFonts w:ascii="Times New Roman" w:hAnsi="Times New Roman" w:cs="Times New Roman"/>
          <w:noProof/>
          <w:sz w:val="24"/>
          <w:szCs w:val="24"/>
        </w:rPr>
        <w:t xml:space="preserve">7 </w:t>
      </w:r>
      <w:r w:rsidRPr="00EB2CC9">
        <w:rPr>
          <w:rFonts w:ascii="Times New Roman" w:hAnsi="Times New Roman" w:cs="Times New Roman"/>
          <w:noProof/>
          <w:sz w:val="24"/>
          <w:szCs w:val="24"/>
        </w:rPr>
        <w:t xml:space="preserve">missing </w:t>
      </w:r>
      <w:r>
        <w:rPr>
          <w:rFonts w:ascii="Times New Roman" w:hAnsi="Times New Roman" w:cs="Times New Roman"/>
          <w:noProof/>
          <w:sz w:val="24"/>
          <w:szCs w:val="24"/>
        </w:rPr>
        <w:t xml:space="preserve">item </w:t>
      </w:r>
      <w:r w:rsidRPr="00EB2CC9">
        <w:rPr>
          <w:rFonts w:ascii="Times New Roman" w:hAnsi="Times New Roman" w:cs="Times New Roman"/>
          <w:noProof/>
          <w:sz w:val="24"/>
          <w:szCs w:val="24"/>
        </w:rPr>
        <w:t xml:space="preserve">responses. </w:t>
      </w:r>
      <w:r>
        <w:rPr>
          <w:rFonts w:ascii="Times New Roman" w:hAnsi="Times New Roman" w:cs="Times New Roman"/>
          <w:noProof/>
          <w:sz w:val="24"/>
          <w:szCs w:val="24"/>
        </w:rPr>
        <w:t>At 6-</w:t>
      </w:r>
      <w:r>
        <w:rPr>
          <w:rFonts w:ascii="Times New Roman" w:hAnsi="Times New Roman" w:cs="Times New Roman"/>
          <w:noProof/>
          <w:sz w:val="24"/>
          <w:szCs w:val="24"/>
        </w:rPr>
        <w:lastRenderedPageBreak/>
        <w:t xml:space="preserve">months, </w:t>
      </w:r>
      <w:r w:rsidRPr="00EB2CC9">
        <w:rPr>
          <w:rFonts w:ascii="Times New Roman" w:hAnsi="Times New Roman" w:cs="Times New Roman"/>
          <w:noProof/>
          <w:sz w:val="24"/>
          <w:szCs w:val="24"/>
        </w:rPr>
        <w:t xml:space="preserve">13 </w:t>
      </w:r>
      <w:r w:rsidR="00B936C4">
        <w:rPr>
          <w:rFonts w:ascii="Times New Roman" w:hAnsi="Times New Roman" w:cs="Times New Roman"/>
          <w:noProof/>
          <w:sz w:val="24"/>
          <w:szCs w:val="24"/>
        </w:rPr>
        <w:t xml:space="preserve">participant questionnaires </w:t>
      </w:r>
      <w:r>
        <w:rPr>
          <w:rFonts w:ascii="Times New Roman" w:hAnsi="Times New Roman" w:cs="Times New Roman"/>
          <w:noProof/>
          <w:sz w:val="24"/>
          <w:szCs w:val="24"/>
        </w:rPr>
        <w:t xml:space="preserve">had 1 missing item response, 3 had 2 missing item responses, </w:t>
      </w:r>
      <w:r w:rsidRPr="00EB2CC9">
        <w:rPr>
          <w:rFonts w:ascii="Times New Roman" w:hAnsi="Times New Roman" w:cs="Times New Roman"/>
          <w:noProof/>
          <w:sz w:val="24"/>
          <w:szCs w:val="24"/>
        </w:rPr>
        <w:t xml:space="preserve">and </w:t>
      </w:r>
      <w:r>
        <w:rPr>
          <w:rFonts w:ascii="Times New Roman" w:hAnsi="Times New Roman" w:cs="Times New Roman"/>
          <w:noProof/>
          <w:sz w:val="24"/>
          <w:szCs w:val="24"/>
        </w:rPr>
        <w:t xml:space="preserve">1 had 3 missing </w:t>
      </w:r>
      <w:r w:rsidRPr="00EB2CC9">
        <w:rPr>
          <w:rFonts w:ascii="Times New Roman" w:hAnsi="Times New Roman" w:cs="Times New Roman"/>
          <w:noProof/>
          <w:sz w:val="24"/>
          <w:szCs w:val="24"/>
        </w:rPr>
        <w:t xml:space="preserve">item responses. Missing </w:t>
      </w:r>
      <w:r>
        <w:rPr>
          <w:rFonts w:ascii="Times New Roman" w:hAnsi="Times New Roman" w:cs="Times New Roman"/>
          <w:noProof/>
          <w:sz w:val="24"/>
          <w:szCs w:val="24"/>
        </w:rPr>
        <w:t xml:space="preserve">item values </w:t>
      </w:r>
      <w:r w:rsidRPr="00EB2CC9">
        <w:rPr>
          <w:rFonts w:ascii="Times New Roman" w:hAnsi="Times New Roman" w:cs="Times New Roman"/>
          <w:noProof/>
          <w:sz w:val="24"/>
          <w:szCs w:val="24"/>
        </w:rPr>
        <w:t xml:space="preserve">were replaced with </w:t>
      </w:r>
      <w:r>
        <w:rPr>
          <w:rFonts w:ascii="Times New Roman" w:hAnsi="Times New Roman" w:cs="Times New Roman"/>
          <w:noProof/>
          <w:sz w:val="24"/>
          <w:szCs w:val="24"/>
        </w:rPr>
        <w:t>the mean item score for the individual in whom they were missing</w:t>
      </w:r>
      <w:r w:rsidRPr="00EB2CC9">
        <w:rPr>
          <w:rFonts w:ascii="Times New Roman" w:hAnsi="Times New Roman" w:cs="Times New Roman"/>
          <w:noProof/>
          <w:sz w:val="24"/>
          <w:szCs w:val="24"/>
        </w:rPr>
        <w:t>.</w:t>
      </w:r>
    </w:p>
    <w:p w14:paraId="25B8B7C2" w14:textId="77777777" w:rsidR="00054218" w:rsidRDefault="00054218" w:rsidP="0014410D">
      <w:pPr>
        <w:pStyle w:val="NoSpacing"/>
        <w:spacing w:line="480" w:lineRule="auto"/>
        <w:jc w:val="both"/>
        <w:rPr>
          <w:rFonts w:ascii="Times New Roman" w:hAnsi="Times New Roman" w:cs="Times New Roman"/>
          <w:i/>
          <w:sz w:val="24"/>
          <w:szCs w:val="24"/>
        </w:rPr>
      </w:pPr>
    </w:p>
    <w:p w14:paraId="629EB468" w14:textId="1274652E" w:rsidR="00A62EE8" w:rsidRPr="00520B59" w:rsidRDefault="00FD2BC4" w:rsidP="0014410D">
      <w:pPr>
        <w:pStyle w:val="NoSpacing"/>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2.3.2 </w:t>
      </w:r>
      <w:r w:rsidR="00A62EE8" w:rsidRPr="00520B59">
        <w:rPr>
          <w:rFonts w:ascii="Times New Roman" w:hAnsi="Times New Roman" w:cs="Times New Roman"/>
          <w:i/>
          <w:sz w:val="24"/>
          <w:szCs w:val="24"/>
        </w:rPr>
        <w:t>Responsiveness</w:t>
      </w:r>
    </w:p>
    <w:p w14:paraId="7D7BDA36" w14:textId="6773207F" w:rsidR="007200AF" w:rsidRDefault="00A148BE" w:rsidP="0014410D">
      <w:pPr>
        <w:pStyle w:val="NoSpacing"/>
        <w:spacing w:line="480" w:lineRule="auto"/>
        <w:jc w:val="both"/>
        <w:rPr>
          <w:rFonts w:ascii="Times New Roman" w:hAnsi="Times New Roman" w:cs="Times New Roman"/>
          <w:noProof/>
          <w:sz w:val="24"/>
          <w:szCs w:val="24"/>
        </w:rPr>
      </w:pPr>
      <w:r w:rsidRPr="00520B59">
        <w:rPr>
          <w:rFonts w:ascii="Times New Roman" w:hAnsi="Times New Roman" w:cs="Times New Roman"/>
          <w:noProof/>
          <w:sz w:val="24"/>
          <w:szCs w:val="24"/>
        </w:rPr>
        <w:t xml:space="preserve">To </w:t>
      </w:r>
      <w:r w:rsidR="00A86E0D" w:rsidRPr="00520B59">
        <w:rPr>
          <w:rFonts w:ascii="Times New Roman" w:hAnsi="Times New Roman" w:cs="Times New Roman"/>
          <w:noProof/>
          <w:sz w:val="24"/>
          <w:szCs w:val="24"/>
        </w:rPr>
        <w:t xml:space="preserve">evalute </w:t>
      </w:r>
      <w:r w:rsidR="00B936C4">
        <w:rPr>
          <w:rFonts w:ascii="Times New Roman" w:hAnsi="Times New Roman" w:cs="Times New Roman"/>
          <w:noProof/>
          <w:sz w:val="24"/>
          <w:szCs w:val="24"/>
        </w:rPr>
        <w:t>the</w:t>
      </w:r>
      <w:r w:rsidR="007C567F">
        <w:rPr>
          <w:rFonts w:ascii="Times New Roman" w:hAnsi="Times New Roman" w:cs="Times New Roman"/>
          <w:noProof/>
          <w:sz w:val="24"/>
          <w:szCs w:val="24"/>
        </w:rPr>
        <w:t xml:space="preserve"> </w:t>
      </w:r>
      <w:r w:rsidRPr="00520B59">
        <w:rPr>
          <w:rFonts w:ascii="Times New Roman" w:hAnsi="Times New Roman" w:cs="Times New Roman"/>
          <w:noProof/>
          <w:sz w:val="24"/>
          <w:szCs w:val="24"/>
        </w:rPr>
        <w:t>responsiven</w:t>
      </w:r>
      <w:r w:rsidR="006B2B95" w:rsidRPr="00520B59">
        <w:rPr>
          <w:rFonts w:ascii="Times New Roman" w:hAnsi="Times New Roman" w:cs="Times New Roman"/>
          <w:noProof/>
          <w:sz w:val="24"/>
          <w:szCs w:val="24"/>
        </w:rPr>
        <w:t>e</w:t>
      </w:r>
      <w:r w:rsidRPr="00520B59">
        <w:rPr>
          <w:rFonts w:ascii="Times New Roman" w:hAnsi="Times New Roman" w:cs="Times New Roman"/>
          <w:noProof/>
          <w:sz w:val="24"/>
          <w:szCs w:val="24"/>
        </w:rPr>
        <w:t>ss</w:t>
      </w:r>
      <w:r w:rsidR="00B936C4">
        <w:rPr>
          <w:rFonts w:ascii="Times New Roman" w:hAnsi="Times New Roman" w:cs="Times New Roman"/>
          <w:noProof/>
          <w:sz w:val="24"/>
          <w:szCs w:val="24"/>
        </w:rPr>
        <w:t xml:space="preserve"> of the MSK-HQ</w:t>
      </w:r>
      <w:r w:rsidR="006B2B95" w:rsidRPr="00520B59">
        <w:rPr>
          <w:rFonts w:ascii="Times New Roman" w:hAnsi="Times New Roman" w:cs="Times New Roman"/>
          <w:noProof/>
          <w:sz w:val="24"/>
          <w:szCs w:val="24"/>
        </w:rPr>
        <w:t xml:space="preserve">, we </w:t>
      </w:r>
      <w:r w:rsidR="00D22C11" w:rsidRPr="00520B59">
        <w:rPr>
          <w:rFonts w:ascii="Times New Roman" w:hAnsi="Times New Roman" w:cs="Times New Roman"/>
          <w:noProof/>
          <w:sz w:val="24"/>
          <w:szCs w:val="24"/>
        </w:rPr>
        <w:t xml:space="preserve">used the patient global assessment </w:t>
      </w:r>
      <w:r w:rsidR="00D22C11" w:rsidRPr="00FA2AD2">
        <w:rPr>
          <w:rFonts w:ascii="Times New Roman" w:hAnsi="Times New Roman" w:cs="Times New Roman"/>
          <w:noProof/>
          <w:sz w:val="24"/>
          <w:szCs w:val="24"/>
        </w:rPr>
        <w:t xml:space="preserve">of change in MSK </w:t>
      </w:r>
      <w:r w:rsidR="009E07C9">
        <w:rPr>
          <w:rFonts w:ascii="Times New Roman" w:hAnsi="Times New Roman" w:cs="Times New Roman"/>
          <w:noProof/>
          <w:sz w:val="24"/>
          <w:szCs w:val="24"/>
        </w:rPr>
        <w:t xml:space="preserve">condition </w:t>
      </w:r>
      <w:r w:rsidR="00D22C11" w:rsidRPr="00FA2AD2">
        <w:rPr>
          <w:rFonts w:ascii="Times New Roman" w:hAnsi="Times New Roman" w:cs="Times New Roman"/>
          <w:noProof/>
          <w:sz w:val="24"/>
          <w:szCs w:val="24"/>
        </w:rPr>
        <w:t>as a</w:t>
      </w:r>
      <w:r w:rsidR="009B11B6" w:rsidRPr="00FA2AD2">
        <w:rPr>
          <w:rFonts w:ascii="Times New Roman" w:hAnsi="Times New Roman" w:cs="Times New Roman"/>
          <w:noProof/>
          <w:sz w:val="24"/>
          <w:szCs w:val="24"/>
        </w:rPr>
        <w:t>n external anc</w:t>
      </w:r>
      <w:r w:rsidR="00A86E0D" w:rsidRPr="00FA2AD2">
        <w:rPr>
          <w:rFonts w:ascii="Times New Roman" w:hAnsi="Times New Roman" w:cs="Times New Roman"/>
          <w:noProof/>
          <w:sz w:val="24"/>
          <w:szCs w:val="24"/>
        </w:rPr>
        <w:t>hor</w:t>
      </w:r>
      <w:r w:rsidR="00D22C11" w:rsidRPr="00FA2AD2">
        <w:rPr>
          <w:rFonts w:ascii="Times New Roman" w:hAnsi="Times New Roman" w:cs="Times New Roman"/>
          <w:noProof/>
          <w:sz w:val="24"/>
          <w:szCs w:val="24"/>
        </w:rPr>
        <w:t xml:space="preserve"> transition instrument, and </w:t>
      </w:r>
      <w:r w:rsidR="00AD4DA9" w:rsidRPr="00FA2AD2">
        <w:rPr>
          <w:rFonts w:ascii="Times New Roman" w:hAnsi="Times New Roman" w:cs="Times New Roman"/>
          <w:noProof/>
          <w:sz w:val="24"/>
          <w:szCs w:val="24"/>
        </w:rPr>
        <w:t xml:space="preserve">assessed </w:t>
      </w:r>
      <w:r w:rsidR="00D22C11" w:rsidRPr="00FA2AD2">
        <w:rPr>
          <w:rFonts w:ascii="Times New Roman" w:hAnsi="Times New Roman" w:cs="Times New Roman"/>
          <w:noProof/>
          <w:sz w:val="24"/>
          <w:szCs w:val="24"/>
        </w:rPr>
        <w:t xml:space="preserve">the ability of the MSK-HQ </w:t>
      </w:r>
      <w:r w:rsidR="00AD4DA9" w:rsidRPr="00520B59">
        <w:rPr>
          <w:rFonts w:ascii="Times New Roman" w:hAnsi="Times New Roman" w:cs="Times New Roman"/>
          <w:noProof/>
          <w:sz w:val="24"/>
          <w:szCs w:val="24"/>
        </w:rPr>
        <w:t xml:space="preserve">to discriminate between patients </w:t>
      </w:r>
      <w:r w:rsidR="00887F84" w:rsidRPr="00520B59">
        <w:rPr>
          <w:rFonts w:ascii="Times New Roman" w:hAnsi="Times New Roman" w:cs="Times New Roman"/>
          <w:noProof/>
          <w:sz w:val="24"/>
          <w:szCs w:val="24"/>
        </w:rPr>
        <w:t xml:space="preserve">reporting and not reporting </w:t>
      </w:r>
      <w:r w:rsidR="00AD4DA9" w:rsidRPr="00520B59">
        <w:rPr>
          <w:rFonts w:ascii="Times New Roman" w:hAnsi="Times New Roman" w:cs="Times New Roman"/>
          <w:noProof/>
          <w:sz w:val="24"/>
          <w:szCs w:val="24"/>
        </w:rPr>
        <w:t xml:space="preserve">an improvement </w:t>
      </w:r>
      <w:r w:rsidR="00D22C11" w:rsidRPr="00520B59">
        <w:rPr>
          <w:rFonts w:ascii="Times New Roman" w:hAnsi="Times New Roman" w:cs="Times New Roman"/>
          <w:noProof/>
          <w:sz w:val="24"/>
          <w:szCs w:val="24"/>
        </w:rPr>
        <w:t xml:space="preserve">in their MSK </w:t>
      </w:r>
      <w:r w:rsidR="009E07C9">
        <w:rPr>
          <w:rFonts w:ascii="Times New Roman" w:hAnsi="Times New Roman" w:cs="Times New Roman"/>
          <w:noProof/>
          <w:sz w:val="24"/>
          <w:szCs w:val="24"/>
        </w:rPr>
        <w:t>condition</w:t>
      </w:r>
      <w:r w:rsidR="00D22C11" w:rsidRPr="00520B59">
        <w:rPr>
          <w:rFonts w:ascii="Times New Roman" w:hAnsi="Times New Roman" w:cs="Times New Roman"/>
          <w:noProof/>
          <w:sz w:val="24"/>
          <w:szCs w:val="24"/>
        </w:rPr>
        <w:t xml:space="preserve">. </w:t>
      </w:r>
      <w:r w:rsidR="00FA2AD2" w:rsidRPr="00520B59">
        <w:rPr>
          <w:rFonts w:ascii="Times New Roman" w:hAnsi="Times New Roman" w:cs="Times New Roman"/>
          <w:sz w:val="24"/>
          <w:szCs w:val="24"/>
          <w:shd w:val="clear" w:color="auto" w:fill="FFFFFF"/>
        </w:rPr>
        <w:t xml:space="preserve">Global rating of change scales offer </w:t>
      </w:r>
      <w:r w:rsidR="007C567F">
        <w:rPr>
          <w:rFonts w:ascii="Times New Roman" w:hAnsi="Times New Roman" w:cs="Times New Roman"/>
          <w:sz w:val="24"/>
          <w:szCs w:val="24"/>
          <w:shd w:val="clear" w:color="auto" w:fill="FFFFFF"/>
        </w:rPr>
        <w:t xml:space="preserve">efficient </w:t>
      </w:r>
      <w:r w:rsidR="00FA2AD2" w:rsidRPr="00520B59">
        <w:rPr>
          <w:rFonts w:ascii="Times New Roman" w:hAnsi="Times New Roman" w:cs="Times New Roman"/>
          <w:sz w:val="24"/>
          <w:szCs w:val="24"/>
          <w:shd w:val="clear" w:color="auto" w:fill="FFFFFF"/>
        </w:rPr>
        <w:t xml:space="preserve">methods of charting self-assessed progress in research/clinical settings, </w:t>
      </w:r>
      <w:r w:rsidR="0014410D">
        <w:rPr>
          <w:rFonts w:ascii="Times New Roman" w:hAnsi="Times New Roman" w:cs="Times New Roman"/>
          <w:sz w:val="24"/>
          <w:szCs w:val="24"/>
          <w:shd w:val="clear" w:color="auto" w:fill="FFFFFF"/>
        </w:rPr>
        <w:t>demonstrating</w:t>
      </w:r>
      <w:r w:rsidR="007C567F">
        <w:rPr>
          <w:rFonts w:ascii="Times New Roman" w:hAnsi="Times New Roman" w:cs="Times New Roman"/>
          <w:sz w:val="24"/>
          <w:szCs w:val="24"/>
          <w:shd w:val="clear" w:color="auto" w:fill="FFFFFF"/>
        </w:rPr>
        <w:t xml:space="preserve"> </w:t>
      </w:r>
      <w:r w:rsidR="00FA2AD2" w:rsidRPr="00520B59">
        <w:rPr>
          <w:rFonts w:ascii="Times New Roman" w:hAnsi="Times New Roman" w:cs="Times New Roman"/>
          <w:sz w:val="24"/>
          <w:szCs w:val="24"/>
          <w:shd w:val="clear" w:color="auto" w:fill="FFFFFF"/>
        </w:rPr>
        <w:t xml:space="preserve">clinical relevance, adequate reproducibility, and </w:t>
      </w:r>
      <w:r w:rsidR="00FA2AD2" w:rsidRPr="00FA2AD2">
        <w:rPr>
          <w:rFonts w:ascii="Times New Roman" w:hAnsi="Times New Roman" w:cs="Times New Roman"/>
          <w:noProof/>
          <w:sz w:val="24"/>
          <w:szCs w:val="24"/>
        </w:rPr>
        <w:t>sensitivity</w:t>
      </w:r>
      <w:r w:rsidR="00FA2AD2" w:rsidRPr="00520B59">
        <w:rPr>
          <w:rFonts w:ascii="Times New Roman" w:hAnsi="Times New Roman" w:cs="Times New Roman"/>
          <w:sz w:val="24"/>
          <w:szCs w:val="24"/>
          <w:shd w:val="clear" w:color="auto" w:fill="FFFFFF"/>
        </w:rPr>
        <w:t xml:space="preserve"> to change</w:t>
      </w:r>
      <w:r w:rsidR="00FA2AD2">
        <w:rPr>
          <w:rFonts w:ascii="Times New Roman" w:hAnsi="Times New Roman" w:cs="Times New Roman"/>
          <w:sz w:val="24"/>
          <w:szCs w:val="24"/>
          <w:shd w:val="clear" w:color="auto" w:fill="FFFFFF"/>
        </w:rPr>
        <w:t xml:space="preserve"> </w:t>
      </w:r>
      <w:r w:rsidR="00AC2F91">
        <w:rPr>
          <w:rFonts w:ascii="Times New Roman" w:hAnsi="Times New Roman" w:cs="Times New Roman"/>
          <w:noProof/>
          <w:sz w:val="24"/>
          <w:szCs w:val="24"/>
          <w:shd w:val="clear" w:color="auto" w:fill="FFFFFF"/>
        </w:rPr>
        <w:fldChar w:fldCharType="begin" w:fldLock="1"/>
      </w:r>
      <w:r w:rsidR="00AC2F91">
        <w:rPr>
          <w:rFonts w:ascii="Times New Roman" w:hAnsi="Times New Roman" w:cs="Times New Roman"/>
          <w:noProof/>
          <w:sz w:val="24"/>
          <w:szCs w:val="24"/>
          <w:shd w:val="clear" w:color="auto" w:fill="FFFFFF"/>
        </w:rPr>
        <w:instrText>ADDIN CSL_CITATION {"citationItems":[{"id":"ITEM-1","itemData":{"DOI":"10.1179/jmt.2009.17.3.163","ISSN":"2042-6186","abstract":"Most clinicians ask their patients to rate whether their health condition has improved or deteriorated over time and then use this information to guide management decisions. Many studies also use patient-rated change as an outcome measure to determine the efficacy of a particular treatment. Global rating of change (GRC) scales provide a method of obtaining this information in a manner that is quick, flexible, and efficient. As with any outcome measure, however, meaningful interpretation of results can only be undertaken with due consideration of the clinimetric properties, strengths, and weaknesses of the instrument. The purpose of this article is to summarize this information to assist appropriate interpretation of the GRC results and to provide evidence-informed advice to guide design and administration of GRC scales. These considerations are relevant and applicable to the use of GRC scales both in the clinic and in research.","author":[{"dropping-particle":"","family":"Kamper","given":"Steven J","non-dropping-particle":"","parse-names":false,"suffix":""},{"dropping-particle":"","family":"Maher","given":"Christopher G","non-dropping-particle":"","parse-names":false,"suffix":""},{"dropping-particle":"","family":"Mackay","given":"Grant","non-dropping-particle":"","parse-names":false,"suffix":""}],"container-title":"The Journal of manual &amp; manipulative therapy","id":"ITEM-1","issue":"3","issued":{"date-parts":[["2009"]]},"language":"eng","page":"163-170","publisher":"Journal of Manual &amp; Manipulative Therapy, Inc.","title":"Global rating of change scales: a review of strengths and weaknesses and considerations for design","type":"article-journal","volume":"17"},"uris":["http://www.mendeley.com/documents/?uuid=5a04e272-1fe5-41a3-8015-fb5fa9796987"]}],"mendeley":{"formattedCitation":"(10)","plainTextFormattedCitation":"(10)","previouslyFormattedCitation":"(10)"},"properties":{"noteIndex":0},"schema":"https://github.com/citation-style-language/schema/raw/master/csl-citation.json"}</w:instrText>
      </w:r>
      <w:r w:rsidR="00AC2F91">
        <w:rPr>
          <w:rFonts w:ascii="Times New Roman" w:hAnsi="Times New Roman" w:cs="Times New Roman"/>
          <w:noProof/>
          <w:sz w:val="24"/>
          <w:szCs w:val="24"/>
          <w:shd w:val="clear" w:color="auto" w:fill="FFFFFF"/>
        </w:rPr>
        <w:fldChar w:fldCharType="separate"/>
      </w:r>
      <w:r w:rsidR="00AC2F91" w:rsidRPr="00AC2F91">
        <w:rPr>
          <w:rFonts w:ascii="Times New Roman" w:hAnsi="Times New Roman" w:cs="Times New Roman"/>
          <w:noProof/>
          <w:sz w:val="24"/>
          <w:szCs w:val="24"/>
          <w:shd w:val="clear" w:color="auto" w:fill="FFFFFF"/>
        </w:rPr>
        <w:t>(10)</w:t>
      </w:r>
      <w:r w:rsidR="00AC2F91">
        <w:rPr>
          <w:rFonts w:ascii="Times New Roman" w:hAnsi="Times New Roman" w:cs="Times New Roman"/>
          <w:noProof/>
          <w:sz w:val="24"/>
          <w:szCs w:val="24"/>
          <w:shd w:val="clear" w:color="auto" w:fill="FFFFFF"/>
        </w:rPr>
        <w:fldChar w:fldCharType="end"/>
      </w:r>
      <w:r w:rsidR="00FA2AD2" w:rsidRPr="00520B59">
        <w:rPr>
          <w:rFonts w:ascii="Times New Roman" w:hAnsi="Times New Roman" w:cs="Times New Roman"/>
          <w:sz w:val="24"/>
          <w:szCs w:val="24"/>
          <w:shd w:val="clear" w:color="auto" w:fill="FFFFFF"/>
        </w:rPr>
        <w:t xml:space="preserve">. </w:t>
      </w:r>
      <w:r w:rsidR="00D22C11" w:rsidRPr="00FA2AD2">
        <w:rPr>
          <w:rFonts w:ascii="Times New Roman" w:hAnsi="Times New Roman" w:cs="Times New Roman"/>
          <w:noProof/>
          <w:sz w:val="24"/>
          <w:szCs w:val="24"/>
        </w:rPr>
        <w:t>We dichot</w:t>
      </w:r>
      <w:r w:rsidR="004B3A18" w:rsidRPr="00FA2AD2">
        <w:rPr>
          <w:rFonts w:ascii="Times New Roman" w:hAnsi="Times New Roman" w:cs="Times New Roman"/>
          <w:noProof/>
          <w:sz w:val="24"/>
          <w:szCs w:val="24"/>
        </w:rPr>
        <w:t>o</w:t>
      </w:r>
      <w:r w:rsidR="00D22C11" w:rsidRPr="00FA2AD2">
        <w:rPr>
          <w:rFonts w:ascii="Times New Roman" w:hAnsi="Times New Roman" w:cs="Times New Roman"/>
          <w:noProof/>
          <w:sz w:val="24"/>
          <w:szCs w:val="24"/>
        </w:rPr>
        <w:t xml:space="preserve">mised the </w:t>
      </w:r>
      <w:r w:rsidR="006B2B95" w:rsidRPr="00520B59">
        <w:rPr>
          <w:rFonts w:ascii="Times New Roman" w:hAnsi="Times New Roman" w:cs="Times New Roman"/>
          <w:noProof/>
          <w:sz w:val="24"/>
          <w:szCs w:val="24"/>
        </w:rPr>
        <w:t xml:space="preserve">patient </w:t>
      </w:r>
      <w:r w:rsidR="00A62EE8" w:rsidRPr="00520B59">
        <w:rPr>
          <w:rFonts w:ascii="Times New Roman" w:hAnsi="Times New Roman" w:cs="Times New Roman"/>
          <w:noProof/>
          <w:sz w:val="24"/>
          <w:szCs w:val="24"/>
        </w:rPr>
        <w:t xml:space="preserve">global </w:t>
      </w:r>
      <w:r w:rsidR="006B2B95" w:rsidRPr="00520B59">
        <w:rPr>
          <w:rFonts w:ascii="Times New Roman" w:hAnsi="Times New Roman" w:cs="Times New Roman"/>
          <w:noProof/>
          <w:sz w:val="24"/>
          <w:szCs w:val="24"/>
        </w:rPr>
        <w:t>assessment score</w:t>
      </w:r>
      <w:r w:rsidR="00D22C11" w:rsidRPr="00520B59">
        <w:rPr>
          <w:rFonts w:ascii="Times New Roman" w:hAnsi="Times New Roman" w:cs="Times New Roman"/>
          <w:noProof/>
          <w:sz w:val="24"/>
          <w:szCs w:val="24"/>
        </w:rPr>
        <w:t xml:space="preserve"> into those reporting any improvement in </w:t>
      </w:r>
      <w:r w:rsidR="0014410D">
        <w:rPr>
          <w:rFonts w:ascii="Times New Roman" w:hAnsi="Times New Roman" w:cs="Times New Roman"/>
          <w:noProof/>
          <w:sz w:val="24"/>
          <w:szCs w:val="24"/>
        </w:rPr>
        <w:t xml:space="preserve">their MSK </w:t>
      </w:r>
      <w:r w:rsidR="009E07C9">
        <w:rPr>
          <w:rFonts w:ascii="Times New Roman" w:hAnsi="Times New Roman" w:cs="Times New Roman"/>
          <w:noProof/>
          <w:sz w:val="24"/>
          <w:szCs w:val="24"/>
        </w:rPr>
        <w:t>condition</w:t>
      </w:r>
      <w:r w:rsidR="0014410D">
        <w:rPr>
          <w:rFonts w:ascii="Times New Roman" w:hAnsi="Times New Roman" w:cs="Times New Roman"/>
          <w:noProof/>
          <w:sz w:val="24"/>
          <w:szCs w:val="24"/>
        </w:rPr>
        <w:t xml:space="preserve"> v</w:t>
      </w:r>
      <w:r w:rsidR="008E2BF4">
        <w:rPr>
          <w:rFonts w:ascii="Times New Roman" w:hAnsi="Times New Roman" w:cs="Times New Roman"/>
          <w:noProof/>
          <w:sz w:val="24"/>
          <w:szCs w:val="24"/>
        </w:rPr>
        <w:t>ersu</w:t>
      </w:r>
      <w:r w:rsidR="0014410D">
        <w:rPr>
          <w:rFonts w:ascii="Times New Roman" w:hAnsi="Times New Roman" w:cs="Times New Roman"/>
          <w:noProof/>
          <w:sz w:val="24"/>
          <w:szCs w:val="24"/>
        </w:rPr>
        <w:t>s</w:t>
      </w:r>
      <w:r w:rsidR="008E2BF4">
        <w:rPr>
          <w:rFonts w:ascii="Times New Roman" w:hAnsi="Times New Roman" w:cs="Times New Roman"/>
          <w:noProof/>
          <w:sz w:val="24"/>
          <w:szCs w:val="24"/>
        </w:rPr>
        <w:t xml:space="preserve"> those reporting</w:t>
      </w:r>
      <w:r w:rsidR="0014410D">
        <w:rPr>
          <w:rFonts w:ascii="Times New Roman" w:hAnsi="Times New Roman" w:cs="Times New Roman"/>
          <w:noProof/>
          <w:sz w:val="24"/>
          <w:szCs w:val="24"/>
        </w:rPr>
        <w:t xml:space="preserve"> no change/</w:t>
      </w:r>
      <w:r w:rsidR="00D22C11" w:rsidRPr="00520B59">
        <w:rPr>
          <w:rFonts w:ascii="Times New Roman" w:hAnsi="Times New Roman" w:cs="Times New Roman"/>
          <w:noProof/>
          <w:sz w:val="24"/>
          <w:szCs w:val="24"/>
        </w:rPr>
        <w:t>worsening</w:t>
      </w:r>
      <w:r w:rsidR="008E2BF4">
        <w:rPr>
          <w:rFonts w:ascii="Times New Roman" w:hAnsi="Times New Roman" w:cs="Times New Roman"/>
          <w:noProof/>
          <w:sz w:val="24"/>
          <w:szCs w:val="24"/>
        </w:rPr>
        <w:t xml:space="preserve"> symptoms</w:t>
      </w:r>
      <w:r w:rsidR="006B2B95" w:rsidRPr="00520B59">
        <w:rPr>
          <w:rFonts w:ascii="Times New Roman" w:hAnsi="Times New Roman" w:cs="Times New Roman"/>
          <w:noProof/>
          <w:sz w:val="24"/>
          <w:szCs w:val="24"/>
        </w:rPr>
        <w:t>. Rece</w:t>
      </w:r>
      <w:r w:rsidR="00EE0AF3" w:rsidRPr="00520B59">
        <w:rPr>
          <w:rFonts w:ascii="Times New Roman" w:hAnsi="Times New Roman" w:cs="Times New Roman"/>
          <w:noProof/>
          <w:sz w:val="24"/>
          <w:szCs w:val="24"/>
        </w:rPr>
        <w:t>i</w:t>
      </w:r>
      <w:r w:rsidR="006B2B95" w:rsidRPr="00520B59">
        <w:rPr>
          <w:rFonts w:ascii="Times New Roman" w:hAnsi="Times New Roman" w:cs="Times New Roman"/>
          <w:noProof/>
          <w:sz w:val="24"/>
          <w:szCs w:val="24"/>
        </w:rPr>
        <w:t xml:space="preserve">ver operating characteristic (ROC) curves were constructed, and the area under the curve (AUC) calculated for </w:t>
      </w:r>
      <w:r w:rsidR="00A86E0D" w:rsidRPr="00520B59">
        <w:rPr>
          <w:rFonts w:ascii="Times New Roman" w:hAnsi="Times New Roman" w:cs="Times New Roman"/>
          <w:noProof/>
          <w:sz w:val="24"/>
          <w:szCs w:val="24"/>
        </w:rPr>
        <w:t>6-month change</w:t>
      </w:r>
      <w:r w:rsidR="009B11B6" w:rsidRPr="00520B59">
        <w:rPr>
          <w:rFonts w:ascii="Times New Roman" w:hAnsi="Times New Roman" w:cs="Times New Roman"/>
          <w:noProof/>
          <w:sz w:val="24"/>
          <w:szCs w:val="24"/>
        </w:rPr>
        <w:t>s</w:t>
      </w:r>
      <w:r w:rsidR="00A86E0D" w:rsidRPr="00520B59">
        <w:rPr>
          <w:rFonts w:ascii="Times New Roman" w:hAnsi="Times New Roman" w:cs="Times New Roman"/>
          <w:noProof/>
          <w:sz w:val="24"/>
          <w:szCs w:val="24"/>
        </w:rPr>
        <w:t xml:space="preserve"> in </w:t>
      </w:r>
      <w:r w:rsidR="006B2B95" w:rsidRPr="00520B59">
        <w:rPr>
          <w:rFonts w:ascii="Times New Roman" w:hAnsi="Times New Roman" w:cs="Times New Roman"/>
          <w:noProof/>
          <w:sz w:val="24"/>
          <w:szCs w:val="24"/>
        </w:rPr>
        <w:t>MSK-HQ</w:t>
      </w:r>
      <w:r w:rsidR="009B11B6" w:rsidRPr="00520B59">
        <w:rPr>
          <w:rFonts w:ascii="Times New Roman" w:hAnsi="Times New Roman" w:cs="Times New Roman"/>
          <w:noProof/>
          <w:sz w:val="24"/>
          <w:szCs w:val="24"/>
        </w:rPr>
        <w:t>, EQ-5D-</w:t>
      </w:r>
      <w:r w:rsidR="007C567F">
        <w:rPr>
          <w:rFonts w:ascii="Times New Roman" w:hAnsi="Times New Roman" w:cs="Times New Roman"/>
          <w:noProof/>
          <w:sz w:val="24"/>
          <w:szCs w:val="24"/>
        </w:rPr>
        <w:t>5</w:t>
      </w:r>
      <w:r w:rsidR="009B11B6" w:rsidRPr="00520B59">
        <w:rPr>
          <w:rFonts w:ascii="Times New Roman" w:hAnsi="Times New Roman" w:cs="Times New Roman"/>
          <w:noProof/>
          <w:sz w:val="24"/>
          <w:szCs w:val="24"/>
        </w:rPr>
        <w:t>L,</w:t>
      </w:r>
      <w:r w:rsidR="006B2B95" w:rsidRPr="00520B59">
        <w:rPr>
          <w:rFonts w:ascii="Times New Roman" w:hAnsi="Times New Roman" w:cs="Times New Roman"/>
          <w:noProof/>
          <w:sz w:val="24"/>
          <w:szCs w:val="24"/>
        </w:rPr>
        <w:t xml:space="preserve"> and site-specific </w:t>
      </w:r>
      <w:r w:rsidR="008E2BF4">
        <w:rPr>
          <w:rFonts w:ascii="Times New Roman" w:hAnsi="Times New Roman" w:cs="Times New Roman"/>
          <w:noProof/>
          <w:sz w:val="24"/>
          <w:szCs w:val="24"/>
        </w:rPr>
        <w:t xml:space="preserve">disability </w:t>
      </w:r>
      <w:r w:rsidR="006B2B95" w:rsidRPr="00520B59">
        <w:rPr>
          <w:rFonts w:ascii="Times New Roman" w:hAnsi="Times New Roman" w:cs="Times New Roman"/>
          <w:noProof/>
          <w:sz w:val="24"/>
          <w:szCs w:val="24"/>
        </w:rPr>
        <w:t>PROM</w:t>
      </w:r>
      <w:r w:rsidR="00A86E0D" w:rsidRPr="00520B59">
        <w:rPr>
          <w:rFonts w:ascii="Times New Roman" w:hAnsi="Times New Roman" w:cs="Times New Roman"/>
          <w:noProof/>
          <w:sz w:val="24"/>
          <w:szCs w:val="24"/>
        </w:rPr>
        <w:t xml:space="preserve"> scores</w:t>
      </w:r>
      <w:r w:rsidR="00D22C11" w:rsidRPr="00520B59">
        <w:rPr>
          <w:rFonts w:ascii="Times New Roman" w:hAnsi="Times New Roman" w:cs="Times New Roman"/>
          <w:noProof/>
          <w:sz w:val="24"/>
          <w:szCs w:val="24"/>
        </w:rPr>
        <w:t xml:space="preserve"> at </w:t>
      </w:r>
      <w:r w:rsidR="00A86E0D" w:rsidRPr="00520B59">
        <w:rPr>
          <w:rFonts w:ascii="Times New Roman" w:hAnsi="Times New Roman" w:cs="Times New Roman"/>
          <w:noProof/>
          <w:sz w:val="24"/>
          <w:szCs w:val="24"/>
        </w:rPr>
        <w:t xml:space="preserve">discriminating between patients </w:t>
      </w:r>
      <w:r w:rsidR="00D22C11" w:rsidRPr="00520B59">
        <w:rPr>
          <w:rFonts w:ascii="Times New Roman" w:hAnsi="Times New Roman" w:cs="Times New Roman"/>
          <w:noProof/>
          <w:sz w:val="24"/>
          <w:szCs w:val="24"/>
        </w:rPr>
        <w:t xml:space="preserve">reporting </w:t>
      </w:r>
      <w:r w:rsidR="00A86E0D" w:rsidRPr="00520B59">
        <w:rPr>
          <w:rFonts w:ascii="Times New Roman" w:hAnsi="Times New Roman" w:cs="Times New Roman"/>
          <w:noProof/>
          <w:sz w:val="24"/>
          <w:szCs w:val="24"/>
        </w:rPr>
        <w:t xml:space="preserve">and not reporting </w:t>
      </w:r>
      <w:r w:rsidR="00D22C11" w:rsidRPr="00520B59">
        <w:rPr>
          <w:rFonts w:ascii="Times New Roman" w:hAnsi="Times New Roman" w:cs="Times New Roman"/>
          <w:noProof/>
          <w:sz w:val="24"/>
          <w:szCs w:val="24"/>
        </w:rPr>
        <w:t xml:space="preserve">an improvement in </w:t>
      </w:r>
      <w:r w:rsidR="009E07C9">
        <w:rPr>
          <w:rFonts w:ascii="Times New Roman" w:hAnsi="Times New Roman" w:cs="Times New Roman"/>
          <w:noProof/>
          <w:sz w:val="24"/>
          <w:szCs w:val="24"/>
        </w:rPr>
        <w:t xml:space="preserve">their </w:t>
      </w:r>
      <w:r w:rsidR="00A86E0D" w:rsidRPr="00520B59">
        <w:rPr>
          <w:rFonts w:ascii="Times New Roman" w:hAnsi="Times New Roman" w:cs="Times New Roman"/>
          <w:noProof/>
          <w:sz w:val="24"/>
          <w:szCs w:val="24"/>
        </w:rPr>
        <w:t xml:space="preserve">MSK </w:t>
      </w:r>
      <w:r w:rsidR="009E07C9">
        <w:rPr>
          <w:rFonts w:ascii="Times New Roman" w:hAnsi="Times New Roman" w:cs="Times New Roman"/>
          <w:noProof/>
          <w:sz w:val="24"/>
          <w:szCs w:val="24"/>
        </w:rPr>
        <w:t>condition</w:t>
      </w:r>
      <w:r w:rsidR="006B2B95" w:rsidRPr="00520B59">
        <w:rPr>
          <w:rFonts w:ascii="Times New Roman" w:hAnsi="Times New Roman" w:cs="Times New Roman"/>
          <w:noProof/>
          <w:sz w:val="24"/>
          <w:szCs w:val="24"/>
        </w:rPr>
        <w:t>.</w:t>
      </w:r>
      <w:r w:rsidR="00A62EE8" w:rsidRPr="00520B59">
        <w:rPr>
          <w:rFonts w:ascii="Times New Roman" w:hAnsi="Times New Roman" w:cs="Times New Roman"/>
          <w:noProof/>
          <w:sz w:val="24"/>
          <w:szCs w:val="24"/>
        </w:rPr>
        <w:t xml:space="preserve"> </w:t>
      </w:r>
    </w:p>
    <w:p w14:paraId="70451E9E" w14:textId="62FCE8B5" w:rsidR="00C54581" w:rsidRDefault="00C54581" w:rsidP="0014410D">
      <w:pPr>
        <w:pStyle w:val="NoSpacing"/>
        <w:spacing w:line="480" w:lineRule="auto"/>
        <w:jc w:val="both"/>
        <w:rPr>
          <w:rFonts w:ascii="Times New Roman" w:hAnsi="Times New Roman" w:cs="Times New Roman"/>
          <w:noProof/>
          <w:sz w:val="24"/>
          <w:szCs w:val="24"/>
        </w:rPr>
      </w:pPr>
    </w:p>
    <w:p w14:paraId="1B7848A4" w14:textId="3B9C8E26" w:rsidR="00C54581" w:rsidRDefault="00C54581" w:rsidP="0014410D">
      <w:pPr>
        <w:pStyle w:val="NoSpacing"/>
        <w:spacing w:line="480" w:lineRule="auto"/>
        <w:jc w:val="both"/>
        <w:rPr>
          <w:rFonts w:ascii="Times New Roman" w:hAnsi="Times New Roman" w:cs="Times New Roman"/>
          <w:noProof/>
          <w:sz w:val="24"/>
          <w:szCs w:val="24"/>
        </w:rPr>
      </w:pPr>
      <w:r w:rsidRPr="00AC75E4">
        <w:rPr>
          <w:rFonts w:ascii="Times New Roman" w:hAnsi="Times New Roman" w:cs="Times New Roman"/>
          <w:sz w:val="24"/>
          <w:szCs w:val="24"/>
        </w:rPr>
        <w:t xml:space="preserve">We also </w:t>
      </w:r>
      <w:r>
        <w:rPr>
          <w:rFonts w:ascii="Times New Roman" w:hAnsi="Times New Roman" w:cs="Times New Roman"/>
          <w:sz w:val="24"/>
          <w:szCs w:val="24"/>
        </w:rPr>
        <w:t xml:space="preserve">assessed </w:t>
      </w:r>
      <w:r w:rsidRPr="00AC75E4">
        <w:rPr>
          <w:rFonts w:ascii="Times New Roman" w:hAnsi="Times New Roman" w:cs="Times New Roman"/>
          <w:sz w:val="24"/>
          <w:szCs w:val="24"/>
        </w:rPr>
        <w:t xml:space="preserve">the ability of the MSK-HQ and EQ-5D-5L to </w:t>
      </w:r>
      <w:r>
        <w:rPr>
          <w:rFonts w:ascii="Times New Roman" w:hAnsi="Times New Roman" w:cs="Times New Roman"/>
          <w:sz w:val="24"/>
          <w:szCs w:val="24"/>
        </w:rPr>
        <w:t xml:space="preserve">identify </w:t>
      </w:r>
      <w:r w:rsidRPr="00AC75E4">
        <w:rPr>
          <w:rFonts w:ascii="Times New Roman" w:hAnsi="Times New Roman" w:cs="Times New Roman"/>
          <w:sz w:val="24"/>
          <w:szCs w:val="24"/>
        </w:rPr>
        <w:t xml:space="preserve">patients reporting </w:t>
      </w:r>
      <w:r>
        <w:rPr>
          <w:rFonts w:ascii="Times New Roman" w:hAnsi="Times New Roman" w:cs="Times New Roman"/>
          <w:sz w:val="24"/>
          <w:szCs w:val="24"/>
        </w:rPr>
        <w:t xml:space="preserve">varying levels of global change in their </w:t>
      </w:r>
      <w:r w:rsidR="00400586">
        <w:rPr>
          <w:rFonts w:ascii="Times New Roman" w:hAnsi="Times New Roman" w:cs="Times New Roman"/>
          <w:sz w:val="24"/>
          <w:szCs w:val="24"/>
        </w:rPr>
        <w:t xml:space="preserve">MSK condition using two ordinal </w:t>
      </w:r>
      <w:r w:rsidRPr="00AC75E4">
        <w:rPr>
          <w:rFonts w:ascii="Times New Roman" w:hAnsi="Times New Roman" w:cs="Times New Roman"/>
          <w:sz w:val="24"/>
          <w:szCs w:val="24"/>
        </w:rPr>
        <w:t>logistic regression models (proportional odds)</w:t>
      </w:r>
      <w:r>
        <w:rPr>
          <w:rFonts w:ascii="Times New Roman" w:hAnsi="Times New Roman" w:cs="Times New Roman"/>
          <w:sz w:val="24"/>
          <w:szCs w:val="24"/>
        </w:rPr>
        <w:t>. P</w:t>
      </w:r>
      <w:r w:rsidRPr="00520B59">
        <w:rPr>
          <w:rFonts w:ascii="Times New Roman" w:hAnsi="Times New Roman" w:cs="Times New Roman"/>
          <w:sz w:val="24"/>
          <w:szCs w:val="24"/>
        </w:rPr>
        <w:t xml:space="preserve">atient global assessment </w:t>
      </w:r>
      <w:r w:rsidRPr="00FA2AD2">
        <w:rPr>
          <w:rFonts w:ascii="Times New Roman" w:hAnsi="Times New Roman" w:cs="Times New Roman"/>
          <w:sz w:val="24"/>
          <w:szCs w:val="24"/>
        </w:rPr>
        <w:t xml:space="preserve">of change in MSK </w:t>
      </w:r>
      <w:r>
        <w:rPr>
          <w:rFonts w:ascii="Times New Roman" w:hAnsi="Times New Roman" w:cs="Times New Roman"/>
          <w:sz w:val="24"/>
          <w:szCs w:val="24"/>
        </w:rPr>
        <w:t xml:space="preserve">condition scores were grouped into four categories: </w:t>
      </w:r>
      <w:r w:rsidRPr="00AC75E4">
        <w:rPr>
          <w:rFonts w:ascii="Times New Roman" w:hAnsi="Times New Roman" w:cs="Times New Roman"/>
          <w:sz w:val="24"/>
          <w:szCs w:val="24"/>
        </w:rPr>
        <w:t xml:space="preserve">-5 to -2 </w:t>
      </w:r>
      <w:r>
        <w:rPr>
          <w:rFonts w:ascii="Times New Roman" w:hAnsi="Times New Roman" w:cs="Times New Roman"/>
          <w:sz w:val="24"/>
          <w:szCs w:val="24"/>
        </w:rPr>
        <w:t>representing “</w:t>
      </w:r>
      <w:r w:rsidRPr="00AC75E4">
        <w:rPr>
          <w:rFonts w:ascii="Times New Roman" w:hAnsi="Times New Roman" w:cs="Times New Roman"/>
          <w:sz w:val="24"/>
          <w:szCs w:val="24"/>
        </w:rPr>
        <w:t>worse</w:t>
      </w:r>
      <w:r>
        <w:rPr>
          <w:rFonts w:ascii="Times New Roman" w:hAnsi="Times New Roman" w:cs="Times New Roman"/>
          <w:sz w:val="24"/>
          <w:szCs w:val="24"/>
        </w:rPr>
        <w:t>”</w:t>
      </w:r>
      <w:r w:rsidRPr="00AC75E4">
        <w:rPr>
          <w:rFonts w:ascii="Times New Roman" w:hAnsi="Times New Roman" w:cs="Times New Roman"/>
          <w:sz w:val="24"/>
          <w:szCs w:val="24"/>
        </w:rPr>
        <w:t xml:space="preserve">; -1 to 1 </w:t>
      </w:r>
      <w:r>
        <w:rPr>
          <w:rFonts w:ascii="Times New Roman" w:hAnsi="Times New Roman" w:cs="Times New Roman"/>
          <w:sz w:val="24"/>
          <w:szCs w:val="24"/>
        </w:rPr>
        <w:t>representing</w:t>
      </w:r>
      <w:r w:rsidRPr="00AC75E4">
        <w:rPr>
          <w:rFonts w:ascii="Times New Roman" w:hAnsi="Times New Roman" w:cs="Times New Roman"/>
          <w:sz w:val="24"/>
          <w:szCs w:val="24"/>
        </w:rPr>
        <w:t xml:space="preserve"> </w:t>
      </w:r>
      <w:r>
        <w:rPr>
          <w:rFonts w:ascii="Times New Roman" w:hAnsi="Times New Roman" w:cs="Times New Roman"/>
          <w:sz w:val="24"/>
          <w:szCs w:val="24"/>
        </w:rPr>
        <w:t>“</w:t>
      </w:r>
      <w:r w:rsidRPr="00AC75E4">
        <w:rPr>
          <w:rFonts w:ascii="Times New Roman" w:hAnsi="Times New Roman" w:cs="Times New Roman"/>
          <w:sz w:val="24"/>
          <w:szCs w:val="24"/>
        </w:rPr>
        <w:t>similar</w:t>
      </w:r>
      <w:r>
        <w:rPr>
          <w:rFonts w:ascii="Times New Roman" w:hAnsi="Times New Roman" w:cs="Times New Roman"/>
          <w:sz w:val="24"/>
          <w:szCs w:val="24"/>
        </w:rPr>
        <w:t>”</w:t>
      </w:r>
      <w:r w:rsidRPr="00AC75E4">
        <w:rPr>
          <w:rFonts w:ascii="Times New Roman" w:hAnsi="Times New Roman" w:cs="Times New Roman"/>
          <w:sz w:val="24"/>
          <w:szCs w:val="24"/>
        </w:rPr>
        <w:t xml:space="preserve">; 2 to 3 </w:t>
      </w:r>
      <w:r>
        <w:rPr>
          <w:rFonts w:ascii="Times New Roman" w:hAnsi="Times New Roman" w:cs="Times New Roman"/>
          <w:sz w:val="24"/>
          <w:szCs w:val="24"/>
        </w:rPr>
        <w:t>representing</w:t>
      </w:r>
      <w:r w:rsidRPr="00AC75E4">
        <w:rPr>
          <w:rFonts w:ascii="Times New Roman" w:hAnsi="Times New Roman" w:cs="Times New Roman"/>
          <w:sz w:val="24"/>
          <w:szCs w:val="24"/>
        </w:rPr>
        <w:t xml:space="preserve"> </w:t>
      </w:r>
      <w:r>
        <w:rPr>
          <w:rFonts w:ascii="Times New Roman" w:hAnsi="Times New Roman" w:cs="Times New Roman"/>
          <w:sz w:val="24"/>
          <w:szCs w:val="24"/>
        </w:rPr>
        <w:t>“</w:t>
      </w:r>
      <w:r w:rsidRPr="00AC75E4">
        <w:rPr>
          <w:rFonts w:ascii="Times New Roman" w:hAnsi="Times New Roman" w:cs="Times New Roman"/>
          <w:sz w:val="24"/>
          <w:szCs w:val="24"/>
        </w:rPr>
        <w:t>improved</w:t>
      </w:r>
      <w:r>
        <w:rPr>
          <w:rFonts w:ascii="Times New Roman" w:hAnsi="Times New Roman" w:cs="Times New Roman"/>
          <w:sz w:val="24"/>
          <w:szCs w:val="24"/>
        </w:rPr>
        <w:t>”</w:t>
      </w:r>
      <w:r w:rsidRPr="00AC75E4">
        <w:rPr>
          <w:rFonts w:ascii="Times New Roman" w:hAnsi="Times New Roman" w:cs="Times New Roman"/>
          <w:sz w:val="24"/>
          <w:szCs w:val="24"/>
        </w:rPr>
        <w:t xml:space="preserve">; 4 to 5 </w:t>
      </w:r>
      <w:r>
        <w:rPr>
          <w:rFonts w:ascii="Times New Roman" w:hAnsi="Times New Roman" w:cs="Times New Roman"/>
          <w:sz w:val="24"/>
          <w:szCs w:val="24"/>
        </w:rPr>
        <w:t>representing</w:t>
      </w:r>
      <w:r w:rsidRPr="00AC75E4">
        <w:rPr>
          <w:rFonts w:ascii="Times New Roman" w:hAnsi="Times New Roman" w:cs="Times New Roman"/>
          <w:sz w:val="24"/>
          <w:szCs w:val="24"/>
        </w:rPr>
        <w:t xml:space="preserve"> </w:t>
      </w:r>
      <w:r>
        <w:rPr>
          <w:rFonts w:ascii="Times New Roman" w:hAnsi="Times New Roman" w:cs="Times New Roman"/>
          <w:sz w:val="24"/>
          <w:szCs w:val="24"/>
        </w:rPr>
        <w:t>“</w:t>
      </w:r>
      <w:r w:rsidRPr="00AC75E4">
        <w:rPr>
          <w:rFonts w:ascii="Times New Roman" w:hAnsi="Times New Roman" w:cs="Times New Roman"/>
          <w:sz w:val="24"/>
          <w:szCs w:val="24"/>
        </w:rPr>
        <w:t>much improved</w:t>
      </w:r>
      <w:r>
        <w:rPr>
          <w:rFonts w:ascii="Times New Roman" w:hAnsi="Times New Roman" w:cs="Times New Roman"/>
          <w:sz w:val="24"/>
          <w:szCs w:val="24"/>
        </w:rPr>
        <w:t xml:space="preserve">”. These groupings ensured sufficient patient numbers in each category. Predicted cut-offs for 6-month changes in MSK-HQ and EQ-5D-5L scores that assigned patients to each global change category were calculated, with </w:t>
      </w:r>
      <w:r w:rsidRPr="00AC75E4">
        <w:rPr>
          <w:rFonts w:ascii="Times New Roman" w:hAnsi="Times New Roman" w:cs="Times New Roman"/>
          <w:sz w:val="24"/>
          <w:szCs w:val="24"/>
        </w:rPr>
        <w:t xml:space="preserve">95% </w:t>
      </w:r>
      <w:r>
        <w:rPr>
          <w:rFonts w:ascii="Times New Roman" w:hAnsi="Times New Roman" w:cs="Times New Roman"/>
          <w:sz w:val="24"/>
          <w:szCs w:val="24"/>
        </w:rPr>
        <w:t xml:space="preserve">CIs constructed </w:t>
      </w:r>
      <w:r w:rsidRPr="00AC75E4">
        <w:rPr>
          <w:rFonts w:ascii="Times New Roman" w:hAnsi="Times New Roman" w:cs="Times New Roman"/>
          <w:sz w:val="24"/>
          <w:szCs w:val="24"/>
        </w:rPr>
        <w:t>using bootstrap resampling</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9670B7">
        <w:rPr>
          <w:rFonts w:ascii="Times New Roman" w:hAnsi="Times New Roman" w:cs="Times New Roman"/>
          <w:sz w:val="24"/>
          <w:szCs w:val="24"/>
        </w:rPr>
        <w:instrText>ADDIN CSL_CITATION {"citationItems":[{"id":"ITEM-1","itemData":{"id":"ITEM-1","issued":{"date-parts":[["0"]]},"title":"Venables WN, Ripley BD (2002). Modern Applied Statistics with S, Fourth edition. Springer, New York.","type":"book"},"uris":["http://www.mendeley.com/documents/?uuid=613cbc68-e7f9-4148-a5bf-186d4287e0cc"]}],"mendeley":{"formattedCitation":"(33)","plainTextFormattedCitation":"(33)","previouslyFormattedCitation":"(33)"},"properties":{"noteIndex":0},"schema":"https://github.com/citation-style-language/schema/raw/master/csl-citation.json"}</w:instrText>
      </w:r>
      <w:r>
        <w:rPr>
          <w:rFonts w:ascii="Times New Roman" w:hAnsi="Times New Roman" w:cs="Times New Roman"/>
          <w:sz w:val="24"/>
          <w:szCs w:val="24"/>
        </w:rPr>
        <w:fldChar w:fldCharType="separate"/>
      </w:r>
      <w:r w:rsidRPr="00C54581">
        <w:rPr>
          <w:rFonts w:ascii="Times New Roman" w:hAnsi="Times New Roman" w:cs="Times New Roman"/>
          <w:noProof/>
          <w:sz w:val="24"/>
          <w:szCs w:val="24"/>
        </w:rPr>
        <w:t>(33)</w:t>
      </w:r>
      <w:r>
        <w:rPr>
          <w:rFonts w:ascii="Times New Roman" w:hAnsi="Times New Roman" w:cs="Times New Roman"/>
          <w:sz w:val="24"/>
          <w:szCs w:val="24"/>
        </w:rPr>
        <w:fldChar w:fldCharType="end"/>
      </w:r>
      <w:r w:rsidRPr="00AC75E4">
        <w:rPr>
          <w:rFonts w:ascii="Times New Roman" w:hAnsi="Times New Roman" w:cs="Times New Roman"/>
          <w:sz w:val="24"/>
          <w:szCs w:val="24"/>
        </w:rPr>
        <w:t xml:space="preserve">.  </w:t>
      </w:r>
      <w:r>
        <w:rPr>
          <w:rFonts w:ascii="Times New Roman" w:hAnsi="Times New Roman" w:cs="Times New Roman"/>
          <w:sz w:val="24"/>
          <w:szCs w:val="24"/>
        </w:rPr>
        <w:t xml:space="preserve">Agreement between </w:t>
      </w:r>
      <w:r>
        <w:rPr>
          <w:rFonts w:ascii="Times New Roman" w:hAnsi="Times New Roman" w:cs="Times New Roman"/>
          <w:sz w:val="24"/>
          <w:szCs w:val="24"/>
        </w:rPr>
        <w:lastRenderedPageBreak/>
        <w:t xml:space="preserve">known and predicted score cut-offs </w:t>
      </w:r>
      <w:r w:rsidRPr="00AC75E4">
        <w:rPr>
          <w:rFonts w:ascii="Times New Roman" w:hAnsi="Times New Roman" w:cs="Times New Roman"/>
          <w:sz w:val="24"/>
          <w:szCs w:val="24"/>
        </w:rPr>
        <w:t>were examined using Kappa statistics with quadratic weights.</w:t>
      </w:r>
      <w:r>
        <w:rPr>
          <w:rFonts w:ascii="Times New Roman" w:hAnsi="Times New Roman" w:cs="Times New Roman"/>
          <w:sz w:val="24"/>
          <w:szCs w:val="24"/>
        </w:rPr>
        <w:t xml:space="preserve">  This analysis was </w:t>
      </w:r>
      <w:r w:rsidRPr="00F26D9F">
        <w:rPr>
          <w:rFonts w:ascii="Times New Roman" w:hAnsi="Times New Roman" w:cs="Times New Roman"/>
          <w:sz w:val="24"/>
          <w:szCs w:val="24"/>
        </w:rPr>
        <w:t>only con</w:t>
      </w:r>
      <w:r>
        <w:rPr>
          <w:rFonts w:ascii="Times New Roman" w:hAnsi="Times New Roman" w:cs="Times New Roman"/>
          <w:sz w:val="24"/>
          <w:szCs w:val="24"/>
        </w:rPr>
        <w:t>ducted on the full sample, due to insufficient numbers in global change categories on stratifying by MSK pain-site.</w:t>
      </w:r>
    </w:p>
    <w:p w14:paraId="736A2B65" w14:textId="4B0FA485" w:rsidR="00FA2AD2" w:rsidRDefault="00FA2AD2" w:rsidP="00520B59">
      <w:pPr>
        <w:pStyle w:val="NoSpacing"/>
        <w:spacing w:line="480" w:lineRule="auto"/>
        <w:rPr>
          <w:rFonts w:ascii="Times New Roman" w:hAnsi="Times New Roman" w:cs="Times New Roman"/>
          <w:noProof/>
          <w:sz w:val="24"/>
          <w:szCs w:val="24"/>
        </w:rPr>
      </w:pPr>
    </w:p>
    <w:p w14:paraId="01F3E6E5" w14:textId="70166390" w:rsidR="008735B8" w:rsidRPr="00520B59" w:rsidRDefault="00FD2BC4" w:rsidP="00FA2AD2">
      <w:pPr>
        <w:pStyle w:val="NoSpacing"/>
        <w:spacing w:line="48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2.3.3 </w:t>
      </w:r>
      <w:r w:rsidR="008735B8" w:rsidRPr="00520B59">
        <w:rPr>
          <w:rFonts w:ascii="Times New Roman" w:hAnsi="Times New Roman" w:cs="Times New Roman"/>
          <w:i/>
          <w:noProof/>
          <w:sz w:val="24"/>
          <w:szCs w:val="24"/>
        </w:rPr>
        <w:t xml:space="preserve">Calculating Minimal </w:t>
      </w:r>
      <w:r w:rsidR="00EB2CC9" w:rsidRPr="00520B59">
        <w:rPr>
          <w:rFonts w:ascii="Times New Roman" w:hAnsi="Times New Roman" w:cs="Times New Roman"/>
          <w:i/>
          <w:noProof/>
          <w:sz w:val="24"/>
          <w:szCs w:val="24"/>
        </w:rPr>
        <w:t xml:space="preserve">Clinically </w:t>
      </w:r>
      <w:r w:rsidR="008735B8" w:rsidRPr="00520B59">
        <w:rPr>
          <w:rFonts w:ascii="Times New Roman" w:hAnsi="Times New Roman" w:cs="Times New Roman"/>
          <w:i/>
          <w:noProof/>
          <w:sz w:val="24"/>
          <w:szCs w:val="24"/>
        </w:rPr>
        <w:t>Important Differences</w:t>
      </w:r>
    </w:p>
    <w:p w14:paraId="6744519E" w14:textId="0D7BEDCD" w:rsidR="00B87997" w:rsidRPr="00DA020D" w:rsidRDefault="008C7B94" w:rsidP="00520B59">
      <w:pPr>
        <w:pStyle w:val="NoSpacing"/>
        <w:spacing w:line="480" w:lineRule="auto"/>
        <w:jc w:val="both"/>
        <w:rPr>
          <w:rFonts w:ascii="Times New Roman" w:hAnsi="Times New Roman" w:cs="Times New Roman"/>
          <w:noProof/>
          <w:sz w:val="24"/>
          <w:szCs w:val="24"/>
        </w:rPr>
      </w:pPr>
      <w:r w:rsidRPr="00520B59">
        <w:rPr>
          <w:rFonts w:ascii="Times New Roman" w:hAnsi="Times New Roman" w:cs="Times New Roman"/>
          <w:noProof/>
          <w:sz w:val="24"/>
          <w:szCs w:val="24"/>
        </w:rPr>
        <w:t xml:space="preserve">The MCID is </w:t>
      </w:r>
      <w:r w:rsidR="00531458" w:rsidRPr="00520B59">
        <w:rPr>
          <w:rFonts w:ascii="Times New Roman" w:hAnsi="Times New Roman" w:cs="Times New Roman"/>
          <w:noProof/>
          <w:sz w:val="24"/>
          <w:szCs w:val="24"/>
        </w:rPr>
        <w:t xml:space="preserve">broadly </w:t>
      </w:r>
      <w:r w:rsidRPr="00520B59">
        <w:rPr>
          <w:rFonts w:ascii="Times New Roman" w:hAnsi="Times New Roman" w:cs="Times New Roman"/>
          <w:noProof/>
          <w:sz w:val="24"/>
          <w:szCs w:val="24"/>
        </w:rPr>
        <w:t xml:space="preserve">defined as </w:t>
      </w:r>
      <w:r w:rsidR="00531458" w:rsidRPr="00520B59">
        <w:rPr>
          <w:rFonts w:ascii="Times New Roman" w:hAnsi="Times New Roman" w:cs="Times New Roman"/>
          <w:noProof/>
          <w:sz w:val="24"/>
          <w:szCs w:val="24"/>
        </w:rPr>
        <w:t>a difference in a score large enough to have an impl</w:t>
      </w:r>
      <w:r w:rsidR="00027BDA" w:rsidRPr="00520B59">
        <w:rPr>
          <w:rFonts w:ascii="Times New Roman" w:hAnsi="Times New Roman" w:cs="Times New Roman"/>
          <w:noProof/>
          <w:sz w:val="24"/>
          <w:szCs w:val="24"/>
        </w:rPr>
        <w:t>i</w:t>
      </w:r>
      <w:r w:rsidR="00160EFB">
        <w:rPr>
          <w:rFonts w:ascii="Times New Roman" w:hAnsi="Times New Roman" w:cs="Times New Roman"/>
          <w:noProof/>
          <w:sz w:val="24"/>
          <w:szCs w:val="24"/>
        </w:rPr>
        <w:t>cation for patient</w:t>
      </w:r>
      <w:r w:rsidR="00531458" w:rsidRPr="00520B59">
        <w:rPr>
          <w:rFonts w:ascii="Times New Roman" w:hAnsi="Times New Roman" w:cs="Times New Roman"/>
          <w:noProof/>
          <w:sz w:val="24"/>
          <w:szCs w:val="24"/>
        </w:rPr>
        <w:t xml:space="preserve"> management</w:t>
      </w:r>
      <w:r w:rsidR="00027BDA" w:rsidRPr="00520B59">
        <w:rPr>
          <w:rFonts w:ascii="Times New Roman" w:hAnsi="Times New Roman" w:cs="Times New Roman"/>
          <w:noProof/>
          <w:sz w:val="24"/>
          <w:szCs w:val="24"/>
        </w:rPr>
        <w:t xml:space="preserve"> </w:t>
      </w:r>
      <w:r w:rsidR="00AC2F91">
        <w:rPr>
          <w:rFonts w:ascii="Times New Roman" w:hAnsi="Times New Roman" w:cs="Times New Roman"/>
          <w:noProof/>
          <w:sz w:val="24"/>
          <w:szCs w:val="24"/>
        </w:rPr>
        <w:fldChar w:fldCharType="begin" w:fldLock="1"/>
      </w:r>
      <w:r w:rsidR="009670B7">
        <w:rPr>
          <w:rFonts w:ascii="Times New Roman" w:hAnsi="Times New Roman" w:cs="Times New Roman"/>
          <w:noProof/>
          <w:sz w:val="24"/>
          <w:szCs w:val="24"/>
        </w:rPr>
        <w:instrText>ADDIN CSL_CITATION {"citationItems":[{"id":"ITEM-1","itemData":{"DOI":"10.1177/0194599819852604","ISSN":"0194-5998","abstract":"ObjectiveThe minimal clinically important difference (MCID) of a patient-reported outcome measure (PROM) represents a threshold value of change in PROM score deemed to have an implication in clinical management. The MCID is frequently used to interpret the significance of results from clinical studies that use PROMs. However, an understanding of the many caveats of the MCID, as well as its strengths and limitations, is necessary. The objective of this article is to provide a review of the calculation, interpretation, and caveats of MCID.Data SourcesMEDLINE and PubMed Central.Review MethodsLiterature search?including primary studies, review articles, and consensus statements?pertinent to the objectives of this review using PubMed.ConclusionsThe MCID of a PROM may vary depending on the patients and clinical context in which the PROM is given. The primary approaches for calculating MCID are distribution-based and anchor-based methods. Each methodology has strengths and limitations, and the ideal determination of a PROM MCID includes synthesis of results from both approaches. The MCID of a PROM is also not perfect in detecting patients experiencing a clinically important improvement, and this is reflected in its accuracy (eg, sensitivity and specificity).Implications for PracticeInterpretation or application of MCID requires consideration of all caveats underlying the MCID, including the patients in whom it was derived, the limitations of the methodologies used to calculate it, and its accuracy for identifying patients who have experienced clinically significant improvement.","author":[{"dropping-particle":"","family":"Sedaghat","given":"Ahmad R","non-dropping-particle":"","parse-names":false,"suffix":""}],"container-title":"Otolaryngology–Head and Neck Surgery","id":"ITEM-1","issued":{"date-parts":[["2019","6","4"]]},"note":"doi: 10.1177/0194599819852604","page":"0194599819852604","publisher":"SAGE Publications Inc","title":"Understanding the Minimal Clinically Important Difference (MCID) of Patient-Reported Outcome Measures","type":"article-journal"},"uris":["http://www.mendeley.com/documents/?uuid=771a9324-8691-4248-b644-bac1d0f96629"]}],"mendeley":{"formattedCitation":"(34)","plainTextFormattedCitation":"(34)","previouslyFormattedCitation":"(34)"},"properties":{"noteIndex":0},"schema":"https://github.com/citation-style-language/schema/raw/master/csl-citation.json"}</w:instrText>
      </w:r>
      <w:r w:rsidR="00AC2F91">
        <w:rPr>
          <w:rFonts w:ascii="Times New Roman" w:hAnsi="Times New Roman" w:cs="Times New Roman"/>
          <w:noProof/>
          <w:sz w:val="24"/>
          <w:szCs w:val="24"/>
        </w:rPr>
        <w:fldChar w:fldCharType="separate"/>
      </w:r>
      <w:r w:rsidR="00C54581" w:rsidRPr="00C54581">
        <w:rPr>
          <w:rFonts w:ascii="Times New Roman" w:hAnsi="Times New Roman" w:cs="Times New Roman"/>
          <w:noProof/>
          <w:sz w:val="24"/>
          <w:szCs w:val="24"/>
        </w:rPr>
        <w:t>(34)</w:t>
      </w:r>
      <w:r w:rsidR="00AC2F91">
        <w:rPr>
          <w:rFonts w:ascii="Times New Roman" w:hAnsi="Times New Roman" w:cs="Times New Roman"/>
          <w:noProof/>
          <w:sz w:val="24"/>
          <w:szCs w:val="24"/>
        </w:rPr>
        <w:fldChar w:fldCharType="end"/>
      </w:r>
      <w:r w:rsidR="00531458" w:rsidRPr="00FA2AD2">
        <w:rPr>
          <w:rFonts w:ascii="Times New Roman" w:hAnsi="Times New Roman" w:cs="Times New Roman"/>
          <w:noProof/>
          <w:sz w:val="24"/>
          <w:szCs w:val="24"/>
        </w:rPr>
        <w:t xml:space="preserve">. </w:t>
      </w:r>
      <w:r w:rsidR="008C5FEF">
        <w:rPr>
          <w:rFonts w:ascii="Times New Roman" w:hAnsi="Times New Roman" w:cs="Times New Roman"/>
          <w:noProof/>
          <w:sz w:val="24"/>
          <w:szCs w:val="24"/>
        </w:rPr>
        <w:t xml:space="preserve">No </w:t>
      </w:r>
      <w:r w:rsidR="00531458" w:rsidRPr="00FA2AD2">
        <w:rPr>
          <w:rFonts w:ascii="Times New Roman" w:hAnsi="Times New Roman" w:cs="Times New Roman"/>
          <w:noProof/>
          <w:sz w:val="24"/>
          <w:szCs w:val="24"/>
        </w:rPr>
        <w:t xml:space="preserve">consensus </w:t>
      </w:r>
      <w:r w:rsidR="008C5FEF">
        <w:rPr>
          <w:rFonts w:ascii="Times New Roman" w:hAnsi="Times New Roman" w:cs="Times New Roman"/>
          <w:noProof/>
          <w:sz w:val="24"/>
          <w:szCs w:val="24"/>
        </w:rPr>
        <w:t xml:space="preserve">exists </w:t>
      </w:r>
      <w:r w:rsidR="00531458" w:rsidRPr="00FA2AD2">
        <w:rPr>
          <w:rFonts w:ascii="Times New Roman" w:hAnsi="Times New Roman" w:cs="Times New Roman"/>
          <w:noProof/>
          <w:sz w:val="24"/>
          <w:szCs w:val="24"/>
        </w:rPr>
        <w:t xml:space="preserve">on the </w:t>
      </w:r>
      <w:r w:rsidR="00027BDA" w:rsidRPr="00FA2AD2">
        <w:rPr>
          <w:rFonts w:ascii="Times New Roman" w:hAnsi="Times New Roman" w:cs="Times New Roman"/>
          <w:noProof/>
          <w:sz w:val="24"/>
          <w:szCs w:val="24"/>
        </w:rPr>
        <w:t>best methodology to calculate an</w:t>
      </w:r>
      <w:r w:rsidR="00531458" w:rsidRPr="00FA2AD2">
        <w:rPr>
          <w:rFonts w:ascii="Times New Roman" w:hAnsi="Times New Roman" w:cs="Times New Roman"/>
          <w:noProof/>
          <w:sz w:val="24"/>
          <w:szCs w:val="24"/>
        </w:rPr>
        <w:t xml:space="preserve"> MCID. We used the </w:t>
      </w:r>
      <w:r w:rsidR="008C5FEF">
        <w:rPr>
          <w:rFonts w:ascii="Times New Roman" w:hAnsi="Times New Roman" w:cs="Times New Roman"/>
          <w:noProof/>
          <w:sz w:val="24"/>
          <w:szCs w:val="24"/>
        </w:rPr>
        <w:t xml:space="preserve">commonest </w:t>
      </w:r>
      <w:r w:rsidR="00D22C11" w:rsidRPr="00FA2AD2">
        <w:rPr>
          <w:rFonts w:ascii="Times New Roman" w:hAnsi="Times New Roman" w:cs="Times New Roman"/>
          <w:noProof/>
          <w:sz w:val="24"/>
          <w:szCs w:val="24"/>
        </w:rPr>
        <w:t>anchor</w:t>
      </w:r>
      <w:r w:rsidR="00D22C11" w:rsidRPr="00DA020D">
        <w:rPr>
          <w:rFonts w:ascii="Times New Roman" w:hAnsi="Times New Roman" w:cs="Times New Roman"/>
          <w:noProof/>
          <w:sz w:val="24"/>
          <w:szCs w:val="24"/>
        </w:rPr>
        <w:t>-based approac</w:t>
      </w:r>
      <w:r w:rsidR="00A86E0D" w:rsidRPr="00DA020D">
        <w:rPr>
          <w:rFonts w:ascii="Times New Roman" w:hAnsi="Times New Roman" w:cs="Times New Roman"/>
          <w:noProof/>
          <w:sz w:val="24"/>
          <w:szCs w:val="24"/>
        </w:rPr>
        <w:t>h to calculate</w:t>
      </w:r>
      <w:r w:rsidR="00D22C11" w:rsidRPr="00DA020D">
        <w:rPr>
          <w:rFonts w:ascii="Times New Roman" w:hAnsi="Times New Roman" w:cs="Times New Roman"/>
          <w:noProof/>
          <w:sz w:val="24"/>
          <w:szCs w:val="24"/>
        </w:rPr>
        <w:t xml:space="preserve"> the M</w:t>
      </w:r>
      <w:r w:rsidR="00EB2CC9">
        <w:rPr>
          <w:rFonts w:ascii="Times New Roman" w:hAnsi="Times New Roman" w:cs="Times New Roman"/>
          <w:noProof/>
          <w:sz w:val="24"/>
          <w:szCs w:val="24"/>
        </w:rPr>
        <w:t>C</w:t>
      </w:r>
      <w:r w:rsidR="00D22C11" w:rsidRPr="00DA020D">
        <w:rPr>
          <w:rFonts w:ascii="Times New Roman" w:hAnsi="Times New Roman" w:cs="Times New Roman"/>
          <w:noProof/>
          <w:sz w:val="24"/>
          <w:szCs w:val="24"/>
        </w:rPr>
        <w:t xml:space="preserve">ID </w:t>
      </w:r>
      <w:r w:rsidR="00A86E0D" w:rsidRPr="00DA020D">
        <w:rPr>
          <w:rFonts w:ascii="Times New Roman" w:hAnsi="Times New Roman" w:cs="Times New Roman"/>
          <w:noProof/>
          <w:sz w:val="24"/>
          <w:szCs w:val="24"/>
        </w:rPr>
        <w:t>for the MSK-HQ</w:t>
      </w:r>
      <w:r w:rsidR="008C5FEF">
        <w:rPr>
          <w:rFonts w:ascii="Times New Roman" w:hAnsi="Times New Roman" w:cs="Times New Roman"/>
          <w:noProof/>
          <w:sz w:val="24"/>
          <w:szCs w:val="24"/>
        </w:rPr>
        <w:t>, EQ-5D-5</w:t>
      </w:r>
      <w:r w:rsidR="00887F84">
        <w:rPr>
          <w:rFonts w:ascii="Times New Roman" w:hAnsi="Times New Roman" w:cs="Times New Roman"/>
          <w:noProof/>
          <w:sz w:val="24"/>
          <w:szCs w:val="24"/>
        </w:rPr>
        <w:t>L,</w:t>
      </w:r>
      <w:r w:rsidR="00A86E0D" w:rsidRPr="00DA020D">
        <w:rPr>
          <w:rFonts w:ascii="Times New Roman" w:hAnsi="Times New Roman" w:cs="Times New Roman"/>
          <w:noProof/>
          <w:sz w:val="24"/>
          <w:szCs w:val="24"/>
        </w:rPr>
        <w:t xml:space="preserve"> and each of the site-specific PROMs</w:t>
      </w:r>
      <w:r w:rsidR="00193694" w:rsidRPr="00DA020D">
        <w:rPr>
          <w:rFonts w:ascii="Times New Roman" w:hAnsi="Times New Roman" w:cs="Times New Roman"/>
          <w:noProof/>
          <w:sz w:val="24"/>
          <w:szCs w:val="24"/>
        </w:rPr>
        <w:t xml:space="preserve"> </w:t>
      </w:r>
      <w:r w:rsidR="00AC2F91">
        <w:rPr>
          <w:rFonts w:ascii="Times New Roman" w:hAnsi="Times New Roman" w:cs="Times New Roman"/>
          <w:noProof/>
          <w:sz w:val="24"/>
          <w:szCs w:val="24"/>
        </w:rPr>
        <w:fldChar w:fldCharType="begin" w:fldLock="1"/>
      </w:r>
      <w:r w:rsidR="009670B7">
        <w:rPr>
          <w:rFonts w:ascii="Times New Roman" w:hAnsi="Times New Roman" w:cs="Times New Roman"/>
          <w:noProof/>
          <w:sz w:val="24"/>
          <w:szCs w:val="24"/>
        </w:rPr>
        <w:instrText>ADDIN CSL_CITATION {"citationItems":[{"id":"ITEM-1","itemData":{"ISSN":"0197-2456","abstract":"In recent years quality of life instruments have been featured as primary outcomes in many randomized trials. One of the challenges facing the investigator using such measures is determining the significance of any differences observed, and communicating that significance to clinicians who will be applying the trial results. We have developed an approach to elucidating the significance of changes in score in quality of life instruments by comparing them to global ratings of change. Using this approach we have established a plausible range within which the minimal clinically important difference (MCID) falls. In three studies in which instruments measuring dyspnea, fatigue, and emotional function in patients with chronic heart and lung disease were applied the MCID was represented by mean change in score of approximately 0.5 per item, when responses were presented on a seven point Likert scale. Furthermore, we have established ranges for changes in questionnaire scores that correspond to moderate and large changes in the domains of interest. This information will be useful in interpreting questionnaire scores, both in individuals and in groups of patients participating in controlled trials, and in the planning of new trials.","author":[{"dropping-particle":"","family":"Jaeschke","given":"R","non-dropping-particle":"","parse-names":false,"suffix":""},{"dropping-particle":"","family":"Singer","given":"J","non-dropping-particle":"","parse-names":false,"suffix":""},{"dropping-particle":"","family":"Guyatt","given":"G H","non-dropping-particle":"","parse-names":false,"suffix":""}],"collection-title":"[Comment in: Acta Orthop. 2016 Jul;87 Suppl 1:3-8; PMID: 27168175 [https://www.ncbi.nlm.nih.gov/pubmed/27168175]]","container-title":"Controlled clinical trials","id":"ITEM-1","issue":"4","issued":{"date-parts":[["1989"]]},"note":"Comment in (CIN)","page":"407-415","publisher-place":"United States","title":"Measurement of health status. Ascertaining the minimal clinically important difference.","type":"article-journal","volume":"10"},"uris":["http://www.mendeley.com/documents/?uuid=97fcc9f3-00e5-416e-b4ee-b992a6223464"]}],"mendeley":{"formattedCitation":"(35)","plainTextFormattedCitation":"(35)","previouslyFormattedCitation":"(35)"},"properties":{"noteIndex":0},"schema":"https://github.com/citation-style-language/schema/raw/master/csl-citation.json"}</w:instrText>
      </w:r>
      <w:r w:rsidR="00AC2F91">
        <w:rPr>
          <w:rFonts w:ascii="Times New Roman" w:hAnsi="Times New Roman" w:cs="Times New Roman"/>
          <w:noProof/>
          <w:sz w:val="24"/>
          <w:szCs w:val="24"/>
        </w:rPr>
        <w:fldChar w:fldCharType="separate"/>
      </w:r>
      <w:r w:rsidR="00C54581" w:rsidRPr="00C54581">
        <w:rPr>
          <w:rFonts w:ascii="Times New Roman" w:hAnsi="Times New Roman" w:cs="Times New Roman"/>
          <w:noProof/>
          <w:sz w:val="24"/>
          <w:szCs w:val="24"/>
        </w:rPr>
        <w:t>(35)</w:t>
      </w:r>
      <w:r w:rsidR="00AC2F91">
        <w:rPr>
          <w:rFonts w:ascii="Times New Roman" w:hAnsi="Times New Roman" w:cs="Times New Roman"/>
          <w:noProof/>
          <w:sz w:val="24"/>
          <w:szCs w:val="24"/>
        </w:rPr>
        <w:fldChar w:fldCharType="end"/>
      </w:r>
      <w:r w:rsidR="00A86E0D" w:rsidRPr="00DA020D">
        <w:rPr>
          <w:rFonts w:ascii="Times New Roman" w:hAnsi="Times New Roman" w:cs="Times New Roman"/>
          <w:noProof/>
          <w:sz w:val="24"/>
          <w:szCs w:val="24"/>
        </w:rPr>
        <w:t>.</w:t>
      </w:r>
      <w:r w:rsidR="00531458">
        <w:rPr>
          <w:rFonts w:ascii="Times New Roman" w:hAnsi="Times New Roman" w:cs="Times New Roman"/>
          <w:noProof/>
          <w:sz w:val="24"/>
          <w:szCs w:val="24"/>
        </w:rPr>
        <w:t xml:space="preserve"> This involved choosing the </w:t>
      </w:r>
      <w:r w:rsidR="008C5FEF">
        <w:rPr>
          <w:rFonts w:ascii="Times New Roman" w:hAnsi="Times New Roman" w:cs="Times New Roman"/>
          <w:noProof/>
          <w:sz w:val="24"/>
          <w:szCs w:val="24"/>
        </w:rPr>
        <w:t xml:space="preserve">ROC curve </w:t>
      </w:r>
      <w:r w:rsidR="00531458">
        <w:rPr>
          <w:rFonts w:ascii="Times New Roman" w:hAnsi="Times New Roman" w:cs="Times New Roman"/>
          <w:noProof/>
          <w:sz w:val="24"/>
          <w:szCs w:val="24"/>
        </w:rPr>
        <w:t>point for PROM change scores</w:t>
      </w:r>
      <w:r w:rsidR="00160EFB">
        <w:rPr>
          <w:rFonts w:ascii="Times New Roman" w:hAnsi="Times New Roman" w:cs="Times New Roman"/>
          <w:noProof/>
          <w:sz w:val="24"/>
          <w:szCs w:val="24"/>
        </w:rPr>
        <w:t xml:space="preserve"> optimising</w:t>
      </w:r>
      <w:r w:rsidR="00531458">
        <w:rPr>
          <w:rFonts w:ascii="Times New Roman" w:hAnsi="Times New Roman" w:cs="Times New Roman"/>
          <w:noProof/>
          <w:sz w:val="24"/>
          <w:szCs w:val="24"/>
        </w:rPr>
        <w:t xml:space="preserve"> the sensitivity and specificity of discriminating between </w:t>
      </w:r>
      <w:r w:rsidR="00531458" w:rsidRPr="00DA020D">
        <w:rPr>
          <w:rFonts w:ascii="Times New Roman" w:hAnsi="Times New Roman" w:cs="Times New Roman"/>
          <w:noProof/>
          <w:sz w:val="24"/>
          <w:szCs w:val="24"/>
        </w:rPr>
        <w:t xml:space="preserve">patients with improved and unchanged/worsening patient global assessment of </w:t>
      </w:r>
      <w:r w:rsidR="007C698E">
        <w:rPr>
          <w:rFonts w:ascii="Times New Roman" w:hAnsi="Times New Roman" w:cs="Times New Roman"/>
          <w:noProof/>
          <w:sz w:val="24"/>
          <w:szCs w:val="24"/>
        </w:rPr>
        <w:t xml:space="preserve">MSK </w:t>
      </w:r>
      <w:r w:rsidR="009B293E">
        <w:rPr>
          <w:rFonts w:ascii="Times New Roman" w:hAnsi="Times New Roman" w:cs="Times New Roman"/>
          <w:noProof/>
          <w:sz w:val="24"/>
          <w:szCs w:val="24"/>
        </w:rPr>
        <w:t>condition scores</w:t>
      </w:r>
      <w:r w:rsidR="00531458" w:rsidRPr="00DA020D">
        <w:rPr>
          <w:rFonts w:ascii="Times New Roman" w:hAnsi="Times New Roman" w:cs="Times New Roman"/>
          <w:noProof/>
          <w:sz w:val="24"/>
          <w:szCs w:val="24"/>
        </w:rPr>
        <w:t>.</w:t>
      </w:r>
      <w:r w:rsidR="00A86E0D" w:rsidRPr="00DA020D">
        <w:rPr>
          <w:rFonts w:ascii="Times New Roman" w:hAnsi="Times New Roman" w:cs="Times New Roman"/>
          <w:noProof/>
          <w:sz w:val="24"/>
          <w:szCs w:val="24"/>
        </w:rPr>
        <w:t xml:space="preserve"> </w:t>
      </w:r>
      <w:r w:rsidR="00A86E0D" w:rsidRPr="00EB2CC9">
        <w:rPr>
          <w:rFonts w:ascii="Times New Roman" w:hAnsi="Times New Roman" w:cs="Times New Roman"/>
          <w:noProof/>
          <w:sz w:val="24"/>
          <w:szCs w:val="24"/>
        </w:rPr>
        <w:t xml:space="preserve">As </w:t>
      </w:r>
      <w:r w:rsidR="00193694" w:rsidRPr="00EB2CC9">
        <w:rPr>
          <w:rFonts w:ascii="Times New Roman" w:hAnsi="Times New Roman" w:cs="Times New Roman"/>
          <w:noProof/>
          <w:sz w:val="24"/>
          <w:szCs w:val="24"/>
        </w:rPr>
        <w:t>M</w:t>
      </w:r>
      <w:r w:rsidR="00EB2CC9" w:rsidRPr="00EB2CC9">
        <w:rPr>
          <w:rFonts w:ascii="Times New Roman" w:hAnsi="Times New Roman" w:cs="Times New Roman"/>
          <w:noProof/>
          <w:sz w:val="24"/>
          <w:szCs w:val="24"/>
        </w:rPr>
        <w:t>C</w:t>
      </w:r>
      <w:r w:rsidR="00193694" w:rsidRPr="00EB2CC9">
        <w:rPr>
          <w:rFonts w:ascii="Times New Roman" w:hAnsi="Times New Roman" w:cs="Times New Roman"/>
          <w:noProof/>
          <w:sz w:val="24"/>
          <w:szCs w:val="24"/>
        </w:rPr>
        <w:t xml:space="preserve">ID </w:t>
      </w:r>
      <w:r w:rsidR="00A86E0D" w:rsidRPr="00EB2CC9">
        <w:rPr>
          <w:rFonts w:ascii="Times New Roman" w:hAnsi="Times New Roman" w:cs="Times New Roman"/>
          <w:noProof/>
          <w:sz w:val="24"/>
          <w:szCs w:val="24"/>
        </w:rPr>
        <w:t xml:space="preserve">values can be affected by baseline scores, </w:t>
      </w:r>
      <w:r w:rsidR="00193694" w:rsidRPr="00EB2CC9">
        <w:rPr>
          <w:rFonts w:ascii="Times New Roman" w:hAnsi="Times New Roman" w:cs="Times New Roman"/>
          <w:noProof/>
          <w:sz w:val="24"/>
          <w:szCs w:val="24"/>
        </w:rPr>
        <w:t xml:space="preserve">a sensitivity </w:t>
      </w:r>
      <w:r w:rsidR="00A86E0D" w:rsidRPr="00EB2CC9">
        <w:rPr>
          <w:rFonts w:ascii="Times New Roman" w:hAnsi="Times New Roman" w:cs="Times New Roman"/>
          <w:noProof/>
          <w:sz w:val="24"/>
          <w:szCs w:val="24"/>
        </w:rPr>
        <w:t xml:space="preserve">analysis </w:t>
      </w:r>
      <w:r w:rsidR="008C5FEF">
        <w:rPr>
          <w:rFonts w:ascii="Times New Roman" w:hAnsi="Times New Roman" w:cs="Times New Roman"/>
          <w:noProof/>
          <w:sz w:val="24"/>
          <w:szCs w:val="24"/>
        </w:rPr>
        <w:t xml:space="preserve">used </w:t>
      </w:r>
      <w:r w:rsidR="00193694" w:rsidRPr="00EB2CC9">
        <w:rPr>
          <w:rFonts w:ascii="Times New Roman" w:hAnsi="Times New Roman" w:cs="Times New Roman"/>
          <w:noProof/>
          <w:sz w:val="24"/>
          <w:szCs w:val="24"/>
        </w:rPr>
        <w:t>the 6-month PROM change score</w:t>
      </w:r>
      <w:r w:rsidR="00E43B5A">
        <w:rPr>
          <w:rFonts w:ascii="Times New Roman" w:hAnsi="Times New Roman" w:cs="Times New Roman"/>
          <w:noProof/>
          <w:sz w:val="24"/>
          <w:szCs w:val="24"/>
        </w:rPr>
        <w:t>,</w:t>
      </w:r>
      <w:r w:rsidR="00193694" w:rsidRPr="00EB2CC9">
        <w:rPr>
          <w:rFonts w:ascii="Times New Roman" w:hAnsi="Times New Roman" w:cs="Times New Roman"/>
          <w:noProof/>
          <w:sz w:val="24"/>
          <w:szCs w:val="24"/>
        </w:rPr>
        <w:t xml:space="preserve"> </w:t>
      </w:r>
      <w:r w:rsidR="00A86E0D" w:rsidRPr="00EB2CC9">
        <w:rPr>
          <w:rFonts w:ascii="Times New Roman" w:hAnsi="Times New Roman" w:cs="Times New Roman"/>
          <w:noProof/>
          <w:sz w:val="24"/>
          <w:szCs w:val="24"/>
        </w:rPr>
        <w:t xml:space="preserve">expressed as </w:t>
      </w:r>
      <w:r w:rsidR="00193694" w:rsidRPr="00EB2CC9">
        <w:rPr>
          <w:rFonts w:ascii="Times New Roman" w:hAnsi="Times New Roman" w:cs="Times New Roman"/>
          <w:noProof/>
          <w:sz w:val="24"/>
          <w:szCs w:val="24"/>
        </w:rPr>
        <w:t>a perc</w:t>
      </w:r>
      <w:r w:rsidR="00484386" w:rsidRPr="00EB2CC9">
        <w:rPr>
          <w:rFonts w:ascii="Times New Roman" w:hAnsi="Times New Roman" w:cs="Times New Roman"/>
          <w:noProof/>
          <w:sz w:val="24"/>
          <w:szCs w:val="24"/>
        </w:rPr>
        <w:t>entage of the baseline score</w:t>
      </w:r>
      <w:r w:rsidR="00193694" w:rsidRPr="00EB2CC9">
        <w:rPr>
          <w:rFonts w:ascii="Times New Roman" w:hAnsi="Times New Roman" w:cs="Times New Roman"/>
          <w:noProof/>
          <w:sz w:val="24"/>
          <w:szCs w:val="24"/>
        </w:rPr>
        <w:t xml:space="preserve"> </w:t>
      </w:r>
      <w:r w:rsidR="00AC2F91">
        <w:rPr>
          <w:rFonts w:ascii="Times New Roman" w:hAnsi="Times New Roman" w:cs="Times New Roman"/>
          <w:noProof/>
          <w:sz w:val="24"/>
          <w:szCs w:val="24"/>
        </w:rPr>
        <w:fldChar w:fldCharType="begin" w:fldLock="1"/>
      </w:r>
      <w:r w:rsidR="009670B7">
        <w:rPr>
          <w:rFonts w:ascii="Times New Roman" w:hAnsi="Times New Roman" w:cs="Times New Roman"/>
          <w:noProof/>
          <w:sz w:val="24"/>
          <w:szCs w:val="24"/>
        </w:rPr>
        <w:instrText>ADDIN CSL_CITATION {"citationItems":[{"id":"ITEM-1","itemData":{"DOI":"https://dx.doi.org/10.1016/j.jclinepi.2018.05.007","ISSN":"1878-5921","abstract":"BACKGROUND: The minimum clinically important difference (MCID) is used to interpret the relevance of treatment effects, e.g., when developing clinical guidelines, evaluating trial results or planning sample sizes. There is currently no agreement on an appropriate MCID in chronic pain and little is known about which contextual factors cause variation., METHODS: This is a systematic review. We searched PubMed, EMBASE, and Cochrane Library. Eligible studies determined MCID for chronic pain based on a one-dimensional pain scale, a patient-reported transition scale of perceived improvement, and either a mean change analysis (mean difference in pain among minimally improved patients) or a threshold analysis (pain reduction associated with best sensitivity and specificity for identifying minimally improved patients). Main results were descriptively summarized due to considerable heterogeneity, which were quantified using meta-analyses and explored using subgroup analyses and metaregression., RESULTS: We included 66 studies (31.254 patients). Median absolute MCID was 23 mm on a 0-100 mm scale (interquartile range [IQR] 12-39) and median relative MCID was 34% (IQR 22-45) among studies using the mean change approach. In both cases, heterogeneity was very high: absolute MCID I2 = 99% and relative MCID I2 = 96%. High variation was also seen among studies using the threshold approach: median absolute MCID was 20 mm (IQR 15-30) and relative MCID was 32% (IQR 15-41). Absolute MCID was strongly associated with baseline pain, explaining approximately two-thirds of the variation, and to a lesser degree with the operational definition of minimum pain relief and clinical condition. A total of 15 clinical and methodological factors were assessed as possible causes for variation in MCID., CONCLUSIONS: MCID for chronic pain relief vary considerably. Baseline pain is strongly associated with absolute, but not relative, measures. To a much lesser degree, MCID is also influenced by the operational definition of relevant pain relief and possibly by clinical condition. Explicit and conscientious reflections on the choice of an MCID are required when classifying effect sizes as clinically important or trivial. Copyright © 2018 Elsevier Inc. All rights reserved.","author":[{"dropping-particle":"","family":"Olsen","given":"Mette Frahm","non-dropping-particle":"","parse-names":false,"suffix":""},{"dropping-particle":"","family":"Bjerre","given":"Eik","non-dropping-particle":"","parse-names":false,"suffix":""},{"dropping-particle":"","family":"Hansen","given":"Maria Damkjaer","non-dropping-particle":"","parse-names":false,"suffix":""},{"dropping-particle":"","family":"Tendal","given":"Britta","non-dropping-particle":"","parse-names":false,"suffix":""},{"dropping-particle":"","family":"Hilden","given":"Jorgen","non-dropping-particle":"","parse-names":false,"suffix":""},{"dropping-particle":"","family":"Hrobjartsson","given":"Asbjorn","non-dropping-particle":"","parse-names":false,"suffix":""}],"container-title":"Journal of clinical epidemiology","id":"ITEM-1","issued":{"date-parts":[["2018"]]},"page":"87-106.e2","publisher-place":"United States","title":"Minimum clinically important differences in chronic pain vary considerably by baseline pain and methodological factors: systematic review of empirical studies.","type":"article-journal","volume":"101"},"uris":["http://www.mendeley.com/documents/?uuid=a0371cbc-201f-4ede-a5f1-455e144b6b91"]}],"mendeley":{"formattedCitation":"(36)","plainTextFormattedCitation":"(36)","previouslyFormattedCitation":"(36)"},"properties":{"noteIndex":0},"schema":"https://github.com/citation-style-language/schema/raw/master/csl-citation.json"}</w:instrText>
      </w:r>
      <w:r w:rsidR="00AC2F91">
        <w:rPr>
          <w:rFonts w:ascii="Times New Roman" w:hAnsi="Times New Roman" w:cs="Times New Roman"/>
          <w:noProof/>
          <w:sz w:val="24"/>
          <w:szCs w:val="24"/>
        </w:rPr>
        <w:fldChar w:fldCharType="separate"/>
      </w:r>
      <w:r w:rsidR="00C54581" w:rsidRPr="00C54581">
        <w:rPr>
          <w:rFonts w:ascii="Times New Roman" w:hAnsi="Times New Roman" w:cs="Times New Roman"/>
          <w:noProof/>
          <w:sz w:val="24"/>
          <w:szCs w:val="24"/>
        </w:rPr>
        <w:t>(36)</w:t>
      </w:r>
      <w:r w:rsidR="00AC2F91">
        <w:rPr>
          <w:rFonts w:ascii="Times New Roman" w:hAnsi="Times New Roman" w:cs="Times New Roman"/>
          <w:noProof/>
          <w:sz w:val="24"/>
          <w:szCs w:val="24"/>
        </w:rPr>
        <w:fldChar w:fldCharType="end"/>
      </w:r>
      <w:r w:rsidR="00A86E0D" w:rsidRPr="00EB2CC9">
        <w:rPr>
          <w:rFonts w:ascii="Times New Roman" w:hAnsi="Times New Roman" w:cs="Times New Roman"/>
          <w:noProof/>
          <w:sz w:val="24"/>
          <w:szCs w:val="24"/>
        </w:rPr>
        <w:t>.</w:t>
      </w:r>
      <w:r w:rsidR="00C92C69" w:rsidRPr="00DA020D">
        <w:rPr>
          <w:rFonts w:ascii="Times New Roman" w:hAnsi="Times New Roman" w:cs="Times New Roman"/>
          <w:noProof/>
          <w:sz w:val="24"/>
          <w:szCs w:val="24"/>
        </w:rPr>
        <w:t xml:space="preserve"> </w:t>
      </w:r>
      <w:r w:rsidR="00E43B5A">
        <w:rPr>
          <w:rFonts w:ascii="Times New Roman" w:hAnsi="Times New Roman" w:cs="Times New Roman"/>
          <w:noProof/>
          <w:sz w:val="24"/>
          <w:szCs w:val="24"/>
        </w:rPr>
        <w:t xml:space="preserve">As </w:t>
      </w:r>
      <w:r w:rsidR="00B87997" w:rsidRPr="00EB2CC9">
        <w:rPr>
          <w:rFonts w:ascii="Times New Roman" w:hAnsi="Times New Roman" w:cs="Times New Roman"/>
          <w:noProof/>
          <w:sz w:val="24"/>
          <w:szCs w:val="24"/>
        </w:rPr>
        <w:t>recommended by Revicki et al</w:t>
      </w:r>
      <w:r w:rsidR="008E2BF4">
        <w:rPr>
          <w:rFonts w:ascii="Times New Roman" w:hAnsi="Times New Roman" w:cs="Times New Roman"/>
          <w:noProof/>
          <w:sz w:val="24"/>
          <w:szCs w:val="24"/>
        </w:rPr>
        <w:t xml:space="preserve"> </w:t>
      </w:r>
      <w:r w:rsidR="00AC2F91">
        <w:rPr>
          <w:rFonts w:ascii="Times New Roman" w:hAnsi="Times New Roman" w:cs="Times New Roman"/>
          <w:noProof/>
          <w:sz w:val="24"/>
          <w:szCs w:val="24"/>
        </w:rPr>
        <w:fldChar w:fldCharType="begin" w:fldLock="1"/>
      </w:r>
      <w:r w:rsidR="009670B7">
        <w:rPr>
          <w:rFonts w:ascii="Times New Roman" w:hAnsi="Times New Roman" w:cs="Times New Roman"/>
          <w:noProof/>
          <w:sz w:val="24"/>
          <w:szCs w:val="24"/>
        </w:rPr>
        <w:instrText>ADDIN CSL_CITATION {"citationItems":[{"id":"ITEM-1","itemData":{"DOI":"https://doi.org/10.1016/j.jclinepi.2007.03.012","ISSN":"0895-4356","abstract":"Objective The objective of this review is to summarize recommendations on methods for evaluating responsiveness and minimal important difference (MID) for patient-reported outcome (PRO) measures. Study Design and Setting We review, summarize, and integrate information on issues and methods for evaluating responsiveness and determining MID estimates for PRO measures. Recommendations are made on best-practice methods for evaluating responsiveness and MID. Results The MID for a PRO instrument is not an immutable characteristic, but may vary by population and context, and no one MID may be valid for all study applications. MID estimates should be based on multiple approaches and triangulation of methods. Anchor-based methods applying various relevant patient-rated, clinician-rated, and disease-specific variables provide primary and meaningful estimates of an instrument's MID. Results for the PRO measures from clinical trials can also provide insight into observed effects based on treatment comparisons and should be used to help determine MID. Distribution-based methods can support estimates from anchor-based approaches and can be used in situations where anchor-based estimates are unavailable. Conclusion We recommend that the MID is based primarily on relevant patient-based and clinical anchors, with clinical trial experience used to further inform understanding of MID.","author":[{"dropping-particle":"","family":"Revicki","given":"Dennis","non-dropping-particle":"","parse-names":false,"suffix":""},{"dropping-particle":"","family":"Hays","given":"Ron D","non-dropping-particle":"","parse-names":false,"suffix":""},{"dropping-particle":"","family":"Cella","given":"David","non-dropping-particle":"","parse-names":false,"suffix":""},{"dropping-particle":"","family":"Sloan","given":"Jeff","non-dropping-particle":"","parse-names":false,"suffix":""}],"container-title":"Journal of Clinical Epidemiology","id":"ITEM-1","issue":"2","issued":{"date-parts":[["2008"]]},"page":"102-109","title":"Recommended methods for determining responsiveness and minimally important differences for patient-reported outcomes","type":"article-journal","volume":"61"},"uris":["http://www.mendeley.com/documents/?uuid=c6f5d30f-a441-444e-9edd-8a5cf6d4bdc7"]}],"mendeley":{"formattedCitation":"(37)","plainTextFormattedCitation":"(37)","previouslyFormattedCitation":"(37)"},"properties":{"noteIndex":0},"schema":"https://github.com/citation-style-language/schema/raw/master/csl-citation.json"}</w:instrText>
      </w:r>
      <w:r w:rsidR="00AC2F91">
        <w:rPr>
          <w:rFonts w:ascii="Times New Roman" w:hAnsi="Times New Roman" w:cs="Times New Roman"/>
          <w:noProof/>
          <w:sz w:val="24"/>
          <w:szCs w:val="24"/>
        </w:rPr>
        <w:fldChar w:fldCharType="separate"/>
      </w:r>
      <w:r w:rsidR="00C54581" w:rsidRPr="00C54581">
        <w:rPr>
          <w:rFonts w:ascii="Times New Roman" w:hAnsi="Times New Roman" w:cs="Times New Roman"/>
          <w:noProof/>
          <w:sz w:val="24"/>
          <w:szCs w:val="24"/>
        </w:rPr>
        <w:t>(37)</w:t>
      </w:r>
      <w:r w:rsidR="00AC2F91">
        <w:rPr>
          <w:rFonts w:ascii="Times New Roman" w:hAnsi="Times New Roman" w:cs="Times New Roman"/>
          <w:noProof/>
          <w:sz w:val="24"/>
          <w:szCs w:val="24"/>
        </w:rPr>
        <w:fldChar w:fldCharType="end"/>
      </w:r>
      <w:r w:rsidR="00B87997" w:rsidRPr="00EB2CC9">
        <w:rPr>
          <w:rFonts w:ascii="Times New Roman" w:hAnsi="Times New Roman" w:cs="Times New Roman"/>
          <w:noProof/>
          <w:sz w:val="24"/>
          <w:szCs w:val="24"/>
        </w:rPr>
        <w:t>, we calculated correlation coefficients between 6-month changes in MSK-HQ score</w:t>
      </w:r>
      <w:r w:rsidR="00E43B5A">
        <w:rPr>
          <w:rFonts w:ascii="Times New Roman" w:hAnsi="Times New Roman" w:cs="Times New Roman"/>
          <w:noProof/>
          <w:sz w:val="24"/>
          <w:szCs w:val="24"/>
        </w:rPr>
        <w:t>s,</w:t>
      </w:r>
      <w:r w:rsidR="00B87997" w:rsidRPr="00EB2CC9">
        <w:rPr>
          <w:rFonts w:ascii="Times New Roman" w:hAnsi="Times New Roman" w:cs="Times New Roman"/>
          <w:noProof/>
          <w:sz w:val="24"/>
          <w:szCs w:val="24"/>
        </w:rPr>
        <w:t xml:space="preserve"> and patient global assessment of change in MSK </w:t>
      </w:r>
      <w:r w:rsidR="009B293E">
        <w:rPr>
          <w:rFonts w:ascii="Times New Roman" w:hAnsi="Times New Roman" w:cs="Times New Roman"/>
          <w:noProof/>
          <w:sz w:val="24"/>
          <w:szCs w:val="24"/>
        </w:rPr>
        <w:t xml:space="preserve">condition </w:t>
      </w:r>
      <w:r w:rsidR="00E43B5A">
        <w:rPr>
          <w:rFonts w:ascii="Times New Roman" w:hAnsi="Times New Roman" w:cs="Times New Roman"/>
          <w:noProof/>
          <w:sz w:val="24"/>
          <w:szCs w:val="24"/>
        </w:rPr>
        <w:t>scores</w:t>
      </w:r>
      <w:r w:rsidR="00B87997" w:rsidRPr="00EB2CC9">
        <w:rPr>
          <w:rFonts w:ascii="Times New Roman" w:hAnsi="Times New Roman" w:cs="Times New Roman"/>
          <w:noProof/>
          <w:sz w:val="24"/>
          <w:szCs w:val="24"/>
        </w:rPr>
        <w:t>, to confirm “non-trivial” association</w:t>
      </w:r>
      <w:r w:rsidR="008C5FEF">
        <w:rPr>
          <w:rFonts w:ascii="Times New Roman" w:hAnsi="Times New Roman" w:cs="Times New Roman"/>
          <w:noProof/>
          <w:sz w:val="24"/>
          <w:szCs w:val="24"/>
        </w:rPr>
        <w:t>s</w:t>
      </w:r>
      <w:r w:rsidR="007C698E">
        <w:rPr>
          <w:rFonts w:ascii="Times New Roman" w:hAnsi="Times New Roman" w:cs="Times New Roman"/>
          <w:noProof/>
          <w:sz w:val="24"/>
          <w:szCs w:val="24"/>
        </w:rPr>
        <w:t>.</w:t>
      </w:r>
    </w:p>
    <w:p w14:paraId="5A8FEEE5" w14:textId="0C8E2BDF" w:rsidR="00B87997" w:rsidRPr="00DA020D" w:rsidRDefault="00B87997" w:rsidP="00A86E0D">
      <w:pPr>
        <w:pStyle w:val="NoSpacing"/>
        <w:spacing w:line="480" w:lineRule="auto"/>
        <w:jc w:val="both"/>
        <w:rPr>
          <w:rFonts w:ascii="Times New Roman" w:hAnsi="Times New Roman" w:cs="Times New Roman"/>
          <w:i/>
          <w:noProof/>
          <w:sz w:val="24"/>
          <w:szCs w:val="24"/>
        </w:rPr>
      </w:pPr>
    </w:p>
    <w:p w14:paraId="2C3E51C8" w14:textId="2CDCA811" w:rsidR="00EB2CC9" w:rsidRPr="00DA020D" w:rsidRDefault="00FD2BC4" w:rsidP="00EB2CC9">
      <w:pPr>
        <w:pStyle w:val="NoSpacing"/>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2.3.4 </w:t>
      </w:r>
      <w:r w:rsidR="00EB2CC9">
        <w:rPr>
          <w:rFonts w:ascii="Times New Roman" w:hAnsi="Times New Roman" w:cs="Times New Roman"/>
          <w:i/>
          <w:sz w:val="24"/>
          <w:szCs w:val="24"/>
        </w:rPr>
        <w:t>Concurrent</w:t>
      </w:r>
      <w:r w:rsidR="00EB2CC9" w:rsidRPr="00DA020D">
        <w:rPr>
          <w:rFonts w:ascii="Times New Roman" w:hAnsi="Times New Roman" w:cs="Times New Roman"/>
          <w:i/>
          <w:sz w:val="24"/>
          <w:szCs w:val="24"/>
        </w:rPr>
        <w:t xml:space="preserve"> Validity</w:t>
      </w:r>
    </w:p>
    <w:p w14:paraId="6DD44291" w14:textId="665E7FED" w:rsidR="00EB2CC9" w:rsidRPr="00DA020D" w:rsidRDefault="00EB2CC9" w:rsidP="00EB2CC9">
      <w:pPr>
        <w:pStyle w:val="NoSpacing"/>
        <w:spacing w:line="480" w:lineRule="auto"/>
        <w:jc w:val="both"/>
        <w:rPr>
          <w:rFonts w:ascii="Times New Roman" w:hAnsi="Times New Roman" w:cs="Times New Roman"/>
          <w:sz w:val="24"/>
          <w:szCs w:val="24"/>
        </w:rPr>
      </w:pPr>
      <w:r>
        <w:rPr>
          <w:rFonts w:ascii="Times New Roman" w:hAnsi="Times New Roman" w:cs="Times New Roman"/>
          <w:noProof/>
          <w:sz w:val="24"/>
          <w:szCs w:val="24"/>
        </w:rPr>
        <w:t>Concurrent</w:t>
      </w:r>
      <w:r w:rsidRPr="00DA020D">
        <w:rPr>
          <w:rFonts w:ascii="Times New Roman" w:hAnsi="Times New Roman" w:cs="Times New Roman"/>
          <w:noProof/>
          <w:sz w:val="24"/>
          <w:szCs w:val="24"/>
        </w:rPr>
        <w:t xml:space="preserve"> validity was assessed by evaluating </w:t>
      </w:r>
      <w:r w:rsidR="00183A86">
        <w:rPr>
          <w:rFonts w:ascii="Times New Roman" w:hAnsi="Times New Roman" w:cs="Times New Roman"/>
          <w:noProof/>
          <w:sz w:val="24"/>
          <w:szCs w:val="24"/>
        </w:rPr>
        <w:t xml:space="preserve">Spearman’s </w:t>
      </w:r>
      <w:r w:rsidRPr="00DA020D">
        <w:rPr>
          <w:rFonts w:ascii="Times New Roman" w:hAnsi="Times New Roman" w:cs="Times New Roman"/>
          <w:noProof/>
          <w:sz w:val="24"/>
          <w:szCs w:val="24"/>
        </w:rPr>
        <w:t>correlations between 6-month change scores in the MSK-HQ, and the EQ-5D-</w:t>
      </w:r>
      <w:r w:rsidR="008C5FEF">
        <w:rPr>
          <w:rFonts w:ascii="Times New Roman" w:hAnsi="Times New Roman" w:cs="Times New Roman"/>
          <w:noProof/>
          <w:sz w:val="24"/>
          <w:szCs w:val="24"/>
        </w:rPr>
        <w:t>5</w:t>
      </w:r>
      <w:r w:rsidRPr="00DA020D">
        <w:rPr>
          <w:rFonts w:ascii="Times New Roman" w:hAnsi="Times New Roman" w:cs="Times New Roman"/>
          <w:noProof/>
          <w:sz w:val="24"/>
          <w:szCs w:val="24"/>
        </w:rPr>
        <w:t>L</w:t>
      </w:r>
      <w:r w:rsidR="00887F84">
        <w:rPr>
          <w:rFonts w:ascii="Times New Roman" w:hAnsi="Times New Roman" w:cs="Times New Roman"/>
          <w:noProof/>
          <w:sz w:val="24"/>
          <w:szCs w:val="24"/>
        </w:rPr>
        <w:t>,</w:t>
      </w:r>
      <w:r w:rsidRPr="00DA020D">
        <w:rPr>
          <w:rFonts w:ascii="Times New Roman" w:hAnsi="Times New Roman" w:cs="Times New Roman"/>
          <w:noProof/>
          <w:sz w:val="24"/>
          <w:szCs w:val="24"/>
        </w:rPr>
        <w:t xml:space="preserve"> and </w:t>
      </w:r>
      <w:r w:rsidR="008C5FEF">
        <w:rPr>
          <w:rFonts w:ascii="Times New Roman" w:hAnsi="Times New Roman" w:cs="Times New Roman"/>
          <w:noProof/>
          <w:sz w:val="24"/>
          <w:szCs w:val="24"/>
        </w:rPr>
        <w:t xml:space="preserve">site-specific </w:t>
      </w:r>
      <w:r w:rsidR="00416A40">
        <w:rPr>
          <w:rFonts w:ascii="Times New Roman" w:hAnsi="Times New Roman" w:cs="Times New Roman"/>
          <w:noProof/>
          <w:sz w:val="24"/>
          <w:szCs w:val="24"/>
        </w:rPr>
        <w:t xml:space="preserve">disability </w:t>
      </w:r>
      <w:r w:rsidR="008C5FEF">
        <w:rPr>
          <w:rFonts w:ascii="Times New Roman" w:hAnsi="Times New Roman" w:cs="Times New Roman"/>
          <w:noProof/>
          <w:sz w:val="24"/>
          <w:szCs w:val="24"/>
        </w:rPr>
        <w:t>PROMs</w:t>
      </w:r>
      <w:r w:rsidRPr="00DA020D">
        <w:rPr>
          <w:rFonts w:ascii="Times New Roman" w:hAnsi="Times New Roman" w:cs="Times New Roman"/>
          <w:noProof/>
          <w:sz w:val="24"/>
          <w:szCs w:val="24"/>
        </w:rPr>
        <w:t xml:space="preserve">. </w:t>
      </w:r>
    </w:p>
    <w:p w14:paraId="2275225B" w14:textId="525E989D" w:rsidR="001E6235" w:rsidRDefault="001E6235">
      <w:pPr>
        <w:rPr>
          <w:rFonts w:ascii="Times New Roman" w:hAnsi="Times New Roman" w:cs="Times New Roman"/>
          <w:i/>
          <w:noProof/>
          <w:sz w:val="24"/>
          <w:szCs w:val="24"/>
        </w:rPr>
      </w:pPr>
    </w:p>
    <w:p w14:paraId="03528263" w14:textId="5F97E21F" w:rsidR="00EE52D9" w:rsidRPr="00827503" w:rsidRDefault="00FD2BC4" w:rsidP="00A86E0D">
      <w:pPr>
        <w:pStyle w:val="NoSpacing"/>
        <w:spacing w:line="48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2.3.5 </w:t>
      </w:r>
      <w:r w:rsidR="00EE52D9" w:rsidRPr="00827503">
        <w:rPr>
          <w:rFonts w:ascii="Times New Roman" w:hAnsi="Times New Roman" w:cs="Times New Roman"/>
          <w:i/>
          <w:noProof/>
          <w:sz w:val="24"/>
          <w:szCs w:val="24"/>
        </w:rPr>
        <w:t>Programme Used</w:t>
      </w:r>
    </w:p>
    <w:p w14:paraId="0643A091" w14:textId="682D6E2E" w:rsidR="00EE52D9" w:rsidRPr="00DA020D" w:rsidRDefault="00EE52D9" w:rsidP="00A86E0D">
      <w:pPr>
        <w:pStyle w:val="NoSpacing"/>
        <w:spacing w:line="480" w:lineRule="auto"/>
        <w:jc w:val="both"/>
        <w:rPr>
          <w:rFonts w:ascii="Times New Roman" w:hAnsi="Times New Roman" w:cs="Times New Roman"/>
          <w:noProof/>
          <w:sz w:val="24"/>
          <w:szCs w:val="24"/>
        </w:rPr>
      </w:pPr>
      <w:r w:rsidRPr="00DA020D">
        <w:rPr>
          <w:rFonts w:ascii="Times New Roman" w:hAnsi="Times New Roman" w:cs="Times New Roman"/>
          <w:noProof/>
          <w:sz w:val="24"/>
          <w:szCs w:val="24"/>
        </w:rPr>
        <w:t xml:space="preserve">All analyses were conducted in R, version </w:t>
      </w:r>
      <w:r w:rsidR="00845E0E" w:rsidRPr="00EB2CC9">
        <w:rPr>
          <w:rFonts w:ascii="Times New Roman" w:hAnsi="Times New Roman" w:cs="Times New Roman"/>
          <w:noProof/>
          <w:sz w:val="24"/>
          <w:szCs w:val="24"/>
        </w:rPr>
        <w:t>3.4.1</w:t>
      </w:r>
      <w:r w:rsidRPr="00DA020D">
        <w:rPr>
          <w:rFonts w:ascii="Times New Roman" w:hAnsi="Times New Roman" w:cs="Times New Roman"/>
          <w:noProof/>
          <w:sz w:val="24"/>
          <w:szCs w:val="24"/>
        </w:rPr>
        <w:t>.</w:t>
      </w:r>
    </w:p>
    <w:p w14:paraId="707E7BA3" w14:textId="3F5A0544" w:rsidR="00EE52D9" w:rsidRPr="00DA020D" w:rsidRDefault="00EE52D9" w:rsidP="00A86E0D">
      <w:pPr>
        <w:pStyle w:val="NoSpacing"/>
        <w:spacing w:line="480" w:lineRule="auto"/>
        <w:jc w:val="both"/>
        <w:rPr>
          <w:rFonts w:ascii="Times New Roman" w:hAnsi="Times New Roman" w:cs="Times New Roman"/>
          <w:noProof/>
          <w:sz w:val="24"/>
          <w:szCs w:val="24"/>
        </w:rPr>
      </w:pPr>
    </w:p>
    <w:p w14:paraId="3D00090B" w14:textId="77777777" w:rsidR="009648A1" w:rsidRDefault="009648A1" w:rsidP="00A86E0D">
      <w:pPr>
        <w:pStyle w:val="NoSpacing"/>
        <w:spacing w:line="480" w:lineRule="auto"/>
        <w:jc w:val="both"/>
        <w:rPr>
          <w:rFonts w:ascii="Times New Roman" w:hAnsi="Times New Roman" w:cs="Times New Roman"/>
          <w:b/>
          <w:noProof/>
          <w:sz w:val="24"/>
          <w:szCs w:val="24"/>
        </w:rPr>
      </w:pPr>
    </w:p>
    <w:p w14:paraId="7B88CEA7" w14:textId="4A410F98" w:rsidR="00EE52D9" w:rsidRPr="00DA020D" w:rsidRDefault="00FD2BC4" w:rsidP="00A86E0D">
      <w:pPr>
        <w:pStyle w:val="NoSpacing"/>
        <w:spacing w:line="480" w:lineRule="auto"/>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 xml:space="preserve">2.4 </w:t>
      </w:r>
      <w:r w:rsidR="00EE52D9" w:rsidRPr="00DA020D">
        <w:rPr>
          <w:rFonts w:ascii="Times New Roman" w:hAnsi="Times New Roman" w:cs="Times New Roman"/>
          <w:b/>
          <w:noProof/>
          <w:sz w:val="24"/>
          <w:szCs w:val="24"/>
        </w:rPr>
        <w:t>Ethical Approval</w:t>
      </w:r>
    </w:p>
    <w:p w14:paraId="708077CA" w14:textId="5433E386" w:rsidR="00EE52D9" w:rsidRPr="00DA020D" w:rsidRDefault="00EE52D9" w:rsidP="00EE52D9">
      <w:pPr>
        <w:pStyle w:val="NoSpacing"/>
        <w:spacing w:line="480" w:lineRule="auto"/>
        <w:jc w:val="both"/>
        <w:rPr>
          <w:rFonts w:ascii="Times New Roman" w:hAnsi="Times New Roman" w:cs="Times New Roman"/>
          <w:noProof/>
          <w:sz w:val="24"/>
          <w:szCs w:val="24"/>
        </w:rPr>
      </w:pPr>
      <w:r w:rsidRPr="00DA020D">
        <w:rPr>
          <w:rFonts w:ascii="Times New Roman" w:hAnsi="Times New Roman" w:cs="Times New Roman"/>
          <w:noProof/>
          <w:sz w:val="24"/>
          <w:szCs w:val="24"/>
        </w:rPr>
        <w:t>All participants provided informed consent</w:t>
      </w:r>
      <w:r w:rsidR="007C698E">
        <w:rPr>
          <w:rFonts w:ascii="Times New Roman" w:hAnsi="Times New Roman" w:cs="Times New Roman"/>
          <w:noProof/>
          <w:sz w:val="24"/>
          <w:szCs w:val="24"/>
        </w:rPr>
        <w:t xml:space="preserve"> for data collection</w:t>
      </w:r>
      <w:r w:rsidR="00887F84">
        <w:rPr>
          <w:rFonts w:ascii="Times New Roman" w:hAnsi="Times New Roman" w:cs="Times New Roman"/>
          <w:noProof/>
          <w:sz w:val="24"/>
          <w:szCs w:val="24"/>
        </w:rPr>
        <w:t xml:space="preserve">. </w:t>
      </w:r>
      <w:r w:rsidR="00416A40">
        <w:rPr>
          <w:rFonts w:ascii="Times New Roman" w:hAnsi="Times New Roman" w:cs="Times New Roman"/>
          <w:noProof/>
          <w:sz w:val="24"/>
          <w:szCs w:val="24"/>
        </w:rPr>
        <w:t>Research</w:t>
      </w:r>
      <w:r w:rsidR="00416A40" w:rsidRPr="00DA020D">
        <w:rPr>
          <w:rFonts w:ascii="Times New Roman" w:hAnsi="Times New Roman" w:cs="Times New Roman"/>
          <w:noProof/>
          <w:sz w:val="24"/>
          <w:szCs w:val="24"/>
        </w:rPr>
        <w:t xml:space="preserve"> </w:t>
      </w:r>
      <w:r w:rsidRPr="00DA020D">
        <w:rPr>
          <w:rFonts w:ascii="Times New Roman" w:hAnsi="Times New Roman" w:cs="Times New Roman"/>
          <w:noProof/>
          <w:sz w:val="24"/>
          <w:szCs w:val="24"/>
        </w:rPr>
        <w:t xml:space="preserve">ethical approval was obtained </w:t>
      </w:r>
      <w:r w:rsidR="00887F84">
        <w:rPr>
          <w:rFonts w:ascii="Times New Roman" w:hAnsi="Times New Roman" w:cs="Times New Roman"/>
          <w:noProof/>
          <w:sz w:val="24"/>
          <w:szCs w:val="24"/>
        </w:rPr>
        <w:t xml:space="preserve">for the STarT MSK </w:t>
      </w:r>
      <w:r w:rsidR="00416A40">
        <w:rPr>
          <w:rFonts w:ascii="Times New Roman" w:hAnsi="Times New Roman" w:cs="Times New Roman"/>
          <w:noProof/>
          <w:sz w:val="24"/>
          <w:szCs w:val="24"/>
        </w:rPr>
        <w:t xml:space="preserve">pilot trial from the </w:t>
      </w:r>
      <w:r w:rsidR="00520B59">
        <w:rPr>
          <w:rFonts w:ascii="Times New Roman" w:hAnsi="Times New Roman" w:cs="Times New Roman"/>
          <w:noProof/>
          <w:sz w:val="24"/>
          <w:szCs w:val="24"/>
        </w:rPr>
        <w:t xml:space="preserve">East Midlands </w:t>
      </w:r>
      <w:r w:rsidR="00416A40">
        <w:rPr>
          <w:rFonts w:ascii="Times New Roman" w:hAnsi="Times New Roman" w:cs="Times New Roman"/>
          <w:noProof/>
          <w:sz w:val="24"/>
          <w:szCs w:val="24"/>
        </w:rPr>
        <w:t xml:space="preserve">Research Ethical </w:t>
      </w:r>
      <w:r w:rsidR="00520B59">
        <w:rPr>
          <w:rFonts w:ascii="Times New Roman" w:hAnsi="Times New Roman" w:cs="Times New Roman"/>
          <w:noProof/>
          <w:sz w:val="24"/>
          <w:szCs w:val="24"/>
        </w:rPr>
        <w:t>Committee, Nottingham</w:t>
      </w:r>
      <w:r w:rsidR="00416A40">
        <w:rPr>
          <w:rFonts w:ascii="Times New Roman" w:hAnsi="Times New Roman" w:cs="Times New Roman"/>
          <w:noProof/>
          <w:sz w:val="24"/>
          <w:szCs w:val="24"/>
        </w:rPr>
        <w:t xml:space="preserve"> (</w:t>
      </w:r>
      <w:r w:rsidRPr="00DA020D">
        <w:rPr>
          <w:rFonts w:ascii="Times New Roman" w:hAnsi="Times New Roman" w:cs="Times New Roman"/>
          <w:noProof/>
          <w:sz w:val="24"/>
          <w:szCs w:val="24"/>
        </w:rPr>
        <w:t xml:space="preserve">Ref:16/EM/0257). </w:t>
      </w:r>
    </w:p>
    <w:p w14:paraId="4D12918E" w14:textId="5C66E55A" w:rsidR="00EE52D9" w:rsidRPr="00DA020D" w:rsidRDefault="00EE52D9" w:rsidP="00EE52D9">
      <w:pPr>
        <w:pStyle w:val="NoSpacing"/>
        <w:spacing w:line="480" w:lineRule="auto"/>
        <w:jc w:val="both"/>
        <w:rPr>
          <w:rFonts w:ascii="Times New Roman" w:hAnsi="Times New Roman" w:cs="Times New Roman"/>
          <w:noProof/>
          <w:sz w:val="24"/>
          <w:szCs w:val="24"/>
        </w:rPr>
      </w:pPr>
    </w:p>
    <w:p w14:paraId="727995B1" w14:textId="4F5CA5A1" w:rsidR="00EE52D9" w:rsidRPr="00DA020D" w:rsidRDefault="00FD2BC4" w:rsidP="00EE52D9">
      <w:pPr>
        <w:pStyle w:val="NoSpacing"/>
        <w:spacing w:line="48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2.5 </w:t>
      </w:r>
      <w:r w:rsidR="00EE52D9" w:rsidRPr="00DA020D">
        <w:rPr>
          <w:rFonts w:ascii="Times New Roman" w:hAnsi="Times New Roman" w:cs="Times New Roman"/>
          <w:b/>
          <w:noProof/>
          <w:sz w:val="24"/>
          <w:szCs w:val="24"/>
        </w:rPr>
        <w:t>Trial Registration</w:t>
      </w:r>
    </w:p>
    <w:p w14:paraId="2E1F7E3E" w14:textId="1F4170B5" w:rsidR="0020507B" w:rsidRPr="00DA020D" w:rsidRDefault="00EE52D9" w:rsidP="00EE52D9">
      <w:pPr>
        <w:pStyle w:val="NoSpacing"/>
        <w:spacing w:line="480" w:lineRule="auto"/>
        <w:jc w:val="both"/>
        <w:rPr>
          <w:rFonts w:ascii="Times New Roman" w:hAnsi="Times New Roman" w:cs="Times New Roman"/>
          <w:noProof/>
          <w:sz w:val="24"/>
          <w:szCs w:val="24"/>
        </w:rPr>
      </w:pPr>
      <w:r w:rsidRPr="00DA020D">
        <w:rPr>
          <w:rFonts w:ascii="Times New Roman" w:hAnsi="Times New Roman" w:cs="Times New Roman"/>
          <w:noProof/>
          <w:sz w:val="24"/>
          <w:szCs w:val="24"/>
        </w:rPr>
        <w:t>The STarT MSK pilot trial was registered on the ISRCTN registry (reference number 15366334).</w:t>
      </w:r>
    </w:p>
    <w:p w14:paraId="2C8D9FDB" w14:textId="503A4EB4" w:rsidR="00EE52D9" w:rsidRPr="00DA020D" w:rsidRDefault="00EE52D9" w:rsidP="00EE52D9">
      <w:pPr>
        <w:pStyle w:val="NoSpacing"/>
        <w:spacing w:line="480" w:lineRule="auto"/>
        <w:jc w:val="both"/>
        <w:rPr>
          <w:rFonts w:ascii="Times New Roman" w:hAnsi="Times New Roman" w:cs="Times New Roman"/>
          <w:noProof/>
          <w:sz w:val="24"/>
          <w:szCs w:val="24"/>
        </w:rPr>
      </w:pPr>
    </w:p>
    <w:p w14:paraId="67EA276E" w14:textId="4E2224D0" w:rsidR="00EE52D9" w:rsidRDefault="00EE52D9" w:rsidP="00FD2BC4">
      <w:pPr>
        <w:pStyle w:val="NoSpacing"/>
        <w:numPr>
          <w:ilvl w:val="0"/>
          <w:numId w:val="6"/>
        </w:numPr>
        <w:spacing w:line="480" w:lineRule="auto"/>
        <w:jc w:val="both"/>
        <w:rPr>
          <w:rFonts w:ascii="Times New Roman" w:hAnsi="Times New Roman" w:cs="Times New Roman"/>
          <w:b/>
          <w:noProof/>
          <w:sz w:val="24"/>
          <w:szCs w:val="24"/>
        </w:rPr>
      </w:pPr>
      <w:r w:rsidRPr="00DA020D">
        <w:rPr>
          <w:rFonts w:ascii="Times New Roman" w:hAnsi="Times New Roman" w:cs="Times New Roman"/>
          <w:b/>
          <w:noProof/>
          <w:sz w:val="24"/>
          <w:szCs w:val="24"/>
        </w:rPr>
        <w:t>RESULTS</w:t>
      </w:r>
    </w:p>
    <w:p w14:paraId="2DA910D0" w14:textId="2D492189" w:rsidR="002A6C71" w:rsidRDefault="005E4DFA" w:rsidP="00EE52D9">
      <w:pPr>
        <w:pStyle w:val="NoSpacing"/>
        <w:spacing w:line="48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3.1 </w:t>
      </w:r>
      <w:r w:rsidR="00416A40">
        <w:rPr>
          <w:rFonts w:ascii="Times New Roman" w:hAnsi="Times New Roman" w:cs="Times New Roman"/>
          <w:b/>
          <w:noProof/>
          <w:sz w:val="24"/>
          <w:szCs w:val="24"/>
        </w:rPr>
        <w:t xml:space="preserve">Participant </w:t>
      </w:r>
      <w:r w:rsidR="00C72B5B">
        <w:rPr>
          <w:rFonts w:ascii="Times New Roman" w:hAnsi="Times New Roman" w:cs="Times New Roman"/>
          <w:b/>
          <w:noProof/>
          <w:sz w:val="24"/>
          <w:szCs w:val="24"/>
        </w:rPr>
        <w:t>Characteristics</w:t>
      </w:r>
    </w:p>
    <w:p w14:paraId="14130F16" w14:textId="2007850E" w:rsidR="00C72B5B" w:rsidRDefault="00416A40" w:rsidP="00EE52D9">
      <w:pPr>
        <w:pStyle w:val="NoSpacing"/>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Of </w:t>
      </w:r>
      <w:r w:rsidR="00C72B5B">
        <w:rPr>
          <w:rFonts w:ascii="Times New Roman" w:hAnsi="Times New Roman" w:cs="Times New Roman"/>
          <w:noProof/>
          <w:sz w:val="24"/>
          <w:szCs w:val="24"/>
        </w:rPr>
        <w:t xml:space="preserve">524 </w:t>
      </w:r>
      <w:r>
        <w:rPr>
          <w:rFonts w:ascii="Times New Roman" w:hAnsi="Times New Roman" w:cs="Times New Roman"/>
          <w:noProof/>
          <w:sz w:val="24"/>
          <w:szCs w:val="24"/>
        </w:rPr>
        <w:t>participants at baseline,</w:t>
      </w:r>
      <w:r w:rsidR="00C72B5B">
        <w:rPr>
          <w:rFonts w:ascii="Times New Roman" w:hAnsi="Times New Roman" w:cs="Times New Roman"/>
          <w:noProof/>
          <w:sz w:val="24"/>
          <w:szCs w:val="24"/>
        </w:rPr>
        <w:t xml:space="preserve"> </w:t>
      </w:r>
      <w:r w:rsidR="008C3630">
        <w:rPr>
          <w:rFonts w:ascii="Times New Roman" w:hAnsi="Times New Roman" w:cs="Times New Roman"/>
          <w:noProof/>
          <w:sz w:val="24"/>
          <w:szCs w:val="24"/>
        </w:rPr>
        <w:t xml:space="preserve">most </w:t>
      </w:r>
      <w:r w:rsidR="00C72B5B">
        <w:rPr>
          <w:rFonts w:ascii="Times New Roman" w:hAnsi="Times New Roman" w:cs="Times New Roman"/>
          <w:noProof/>
          <w:sz w:val="24"/>
          <w:szCs w:val="24"/>
        </w:rPr>
        <w:t>had low back</w:t>
      </w:r>
      <w:r>
        <w:rPr>
          <w:rFonts w:ascii="Times New Roman" w:hAnsi="Times New Roman" w:cs="Times New Roman"/>
          <w:noProof/>
          <w:sz w:val="24"/>
          <w:szCs w:val="24"/>
        </w:rPr>
        <w:t xml:space="preserve"> </w:t>
      </w:r>
      <w:r w:rsidR="00C72B5B">
        <w:rPr>
          <w:rFonts w:ascii="Times New Roman" w:hAnsi="Times New Roman" w:cs="Times New Roman"/>
          <w:noProof/>
          <w:sz w:val="24"/>
          <w:szCs w:val="24"/>
        </w:rPr>
        <w:t>(n=155), knee</w:t>
      </w:r>
      <w:r>
        <w:rPr>
          <w:rFonts w:ascii="Times New Roman" w:hAnsi="Times New Roman" w:cs="Times New Roman"/>
          <w:noProof/>
          <w:sz w:val="24"/>
          <w:szCs w:val="24"/>
        </w:rPr>
        <w:t xml:space="preserve"> </w:t>
      </w:r>
      <w:r w:rsidR="00C72B5B">
        <w:rPr>
          <w:rFonts w:ascii="Times New Roman" w:hAnsi="Times New Roman" w:cs="Times New Roman"/>
          <w:noProof/>
          <w:sz w:val="24"/>
          <w:szCs w:val="24"/>
        </w:rPr>
        <w:t xml:space="preserve">(n=144), </w:t>
      </w:r>
      <w:r>
        <w:rPr>
          <w:rFonts w:ascii="Times New Roman" w:hAnsi="Times New Roman" w:cs="Times New Roman"/>
          <w:noProof/>
          <w:sz w:val="24"/>
          <w:szCs w:val="24"/>
        </w:rPr>
        <w:t xml:space="preserve">or </w:t>
      </w:r>
      <w:r w:rsidR="00C72B5B">
        <w:rPr>
          <w:rFonts w:ascii="Times New Roman" w:hAnsi="Times New Roman" w:cs="Times New Roman"/>
          <w:noProof/>
          <w:sz w:val="24"/>
          <w:szCs w:val="24"/>
        </w:rPr>
        <w:t>shoulder</w:t>
      </w:r>
      <w:r>
        <w:rPr>
          <w:rFonts w:ascii="Times New Roman" w:hAnsi="Times New Roman" w:cs="Times New Roman"/>
          <w:noProof/>
          <w:sz w:val="24"/>
          <w:szCs w:val="24"/>
        </w:rPr>
        <w:t xml:space="preserve"> </w:t>
      </w:r>
      <w:r w:rsidR="00C72B5B">
        <w:rPr>
          <w:rFonts w:ascii="Times New Roman" w:hAnsi="Times New Roman" w:cs="Times New Roman"/>
          <w:noProof/>
          <w:sz w:val="24"/>
          <w:szCs w:val="24"/>
        </w:rPr>
        <w:t xml:space="preserve">(n=124) </w:t>
      </w:r>
      <w:r w:rsidR="000C7F57">
        <w:rPr>
          <w:rFonts w:ascii="Times New Roman" w:hAnsi="Times New Roman" w:cs="Times New Roman"/>
          <w:noProof/>
          <w:sz w:val="24"/>
          <w:szCs w:val="24"/>
        </w:rPr>
        <w:t>pain</w:t>
      </w:r>
      <w:r w:rsidR="00C72B5B">
        <w:rPr>
          <w:rFonts w:ascii="Times New Roman" w:hAnsi="Times New Roman" w:cs="Times New Roman"/>
          <w:noProof/>
          <w:sz w:val="24"/>
          <w:szCs w:val="24"/>
        </w:rPr>
        <w:t xml:space="preserve">, </w:t>
      </w:r>
      <w:r>
        <w:rPr>
          <w:rFonts w:ascii="Times New Roman" w:hAnsi="Times New Roman" w:cs="Times New Roman"/>
          <w:noProof/>
          <w:sz w:val="24"/>
          <w:szCs w:val="24"/>
        </w:rPr>
        <w:t>with fewer consulting for</w:t>
      </w:r>
      <w:r w:rsidR="000C7F57">
        <w:rPr>
          <w:rFonts w:ascii="Times New Roman" w:hAnsi="Times New Roman" w:cs="Times New Roman"/>
          <w:noProof/>
          <w:sz w:val="24"/>
          <w:szCs w:val="24"/>
        </w:rPr>
        <w:t xml:space="preserve"> </w:t>
      </w:r>
      <w:r w:rsidR="00C72B5B">
        <w:rPr>
          <w:rFonts w:ascii="Times New Roman" w:hAnsi="Times New Roman" w:cs="Times New Roman"/>
          <w:noProof/>
          <w:sz w:val="24"/>
          <w:szCs w:val="24"/>
        </w:rPr>
        <w:t>neck (n</w:t>
      </w:r>
      <w:r w:rsidR="004E3A5B">
        <w:rPr>
          <w:rFonts w:ascii="Times New Roman" w:hAnsi="Times New Roman" w:cs="Times New Roman"/>
          <w:noProof/>
          <w:sz w:val="24"/>
          <w:szCs w:val="24"/>
        </w:rPr>
        <w:t xml:space="preserve">=59) </w:t>
      </w:r>
      <w:r>
        <w:rPr>
          <w:rFonts w:ascii="Times New Roman" w:hAnsi="Times New Roman" w:cs="Times New Roman"/>
          <w:noProof/>
          <w:sz w:val="24"/>
          <w:szCs w:val="24"/>
        </w:rPr>
        <w:t xml:space="preserve">or </w:t>
      </w:r>
      <w:r w:rsidR="004E3A5B">
        <w:rPr>
          <w:rFonts w:ascii="Times New Roman" w:hAnsi="Times New Roman" w:cs="Times New Roman"/>
          <w:noProof/>
          <w:sz w:val="24"/>
          <w:szCs w:val="24"/>
        </w:rPr>
        <w:t>multi-site</w:t>
      </w:r>
      <w:r>
        <w:rPr>
          <w:rFonts w:ascii="Times New Roman" w:hAnsi="Times New Roman" w:cs="Times New Roman"/>
          <w:noProof/>
          <w:sz w:val="24"/>
          <w:szCs w:val="24"/>
        </w:rPr>
        <w:t xml:space="preserve"> </w:t>
      </w:r>
      <w:r w:rsidR="004E3A5B">
        <w:rPr>
          <w:rFonts w:ascii="Times New Roman" w:hAnsi="Times New Roman" w:cs="Times New Roman"/>
          <w:noProof/>
          <w:sz w:val="24"/>
          <w:szCs w:val="24"/>
        </w:rPr>
        <w:t>(n=42)</w:t>
      </w:r>
      <w:r w:rsidR="000C7F57">
        <w:rPr>
          <w:rFonts w:ascii="Times New Roman" w:hAnsi="Times New Roman" w:cs="Times New Roman"/>
          <w:noProof/>
          <w:sz w:val="24"/>
          <w:szCs w:val="24"/>
        </w:rPr>
        <w:t xml:space="preserve"> pain</w:t>
      </w:r>
      <w:r w:rsidR="004E3A5B">
        <w:rPr>
          <w:rFonts w:ascii="Times New Roman" w:hAnsi="Times New Roman" w:cs="Times New Roman"/>
          <w:noProof/>
          <w:sz w:val="24"/>
          <w:szCs w:val="24"/>
        </w:rPr>
        <w:t xml:space="preserve"> (Table 1)</w:t>
      </w:r>
      <w:r w:rsidR="00161069">
        <w:rPr>
          <w:rFonts w:ascii="Times New Roman" w:hAnsi="Times New Roman" w:cs="Times New Roman"/>
          <w:noProof/>
          <w:sz w:val="24"/>
          <w:szCs w:val="24"/>
        </w:rPr>
        <w:t xml:space="preserve">. </w:t>
      </w:r>
      <w:r w:rsidR="000C7F57">
        <w:rPr>
          <w:rFonts w:ascii="Times New Roman" w:hAnsi="Times New Roman" w:cs="Times New Roman"/>
          <w:noProof/>
          <w:sz w:val="24"/>
          <w:szCs w:val="24"/>
        </w:rPr>
        <w:t>M</w:t>
      </w:r>
      <w:r>
        <w:rPr>
          <w:rFonts w:ascii="Times New Roman" w:hAnsi="Times New Roman" w:cs="Times New Roman"/>
          <w:noProof/>
          <w:sz w:val="24"/>
          <w:szCs w:val="24"/>
        </w:rPr>
        <w:t xml:space="preserve">ean </w:t>
      </w:r>
      <w:r w:rsidR="00161069">
        <w:rPr>
          <w:rFonts w:ascii="Times New Roman" w:hAnsi="Times New Roman" w:cs="Times New Roman"/>
          <w:noProof/>
          <w:sz w:val="24"/>
          <w:szCs w:val="24"/>
        </w:rPr>
        <w:t>age</w:t>
      </w:r>
      <w:r w:rsidR="008C3630">
        <w:rPr>
          <w:rFonts w:ascii="Times New Roman" w:hAnsi="Times New Roman" w:cs="Times New Roman"/>
          <w:noProof/>
          <w:sz w:val="24"/>
          <w:szCs w:val="24"/>
        </w:rPr>
        <w:t xml:space="preserve"> </w:t>
      </w:r>
      <w:r>
        <w:rPr>
          <w:rFonts w:ascii="Times New Roman" w:hAnsi="Times New Roman" w:cs="Times New Roman"/>
          <w:noProof/>
          <w:sz w:val="24"/>
          <w:szCs w:val="24"/>
        </w:rPr>
        <w:t>of participants</w:t>
      </w:r>
      <w:r w:rsidR="008C3630">
        <w:rPr>
          <w:rFonts w:ascii="Times New Roman" w:hAnsi="Times New Roman" w:cs="Times New Roman"/>
          <w:noProof/>
          <w:sz w:val="24"/>
          <w:szCs w:val="24"/>
        </w:rPr>
        <w:t xml:space="preserve"> was 61.1 years</w:t>
      </w:r>
      <w:r>
        <w:rPr>
          <w:rFonts w:ascii="Times New Roman" w:hAnsi="Times New Roman" w:cs="Times New Roman"/>
          <w:noProof/>
          <w:sz w:val="24"/>
          <w:szCs w:val="24"/>
        </w:rPr>
        <w:t xml:space="preserve">, with </w:t>
      </w:r>
      <w:r w:rsidR="008C3630">
        <w:rPr>
          <w:rFonts w:ascii="Times New Roman" w:hAnsi="Times New Roman" w:cs="Times New Roman"/>
          <w:noProof/>
          <w:sz w:val="24"/>
          <w:szCs w:val="24"/>
        </w:rPr>
        <w:t xml:space="preserve">similar mean ages </w:t>
      </w:r>
      <w:r>
        <w:rPr>
          <w:rFonts w:ascii="Times New Roman" w:hAnsi="Times New Roman" w:cs="Times New Roman"/>
          <w:noProof/>
          <w:sz w:val="24"/>
          <w:szCs w:val="24"/>
        </w:rPr>
        <w:t>reported by participants with</w:t>
      </w:r>
      <w:r w:rsidR="008C3630">
        <w:rPr>
          <w:rFonts w:ascii="Times New Roman" w:hAnsi="Times New Roman" w:cs="Times New Roman"/>
          <w:noProof/>
          <w:sz w:val="24"/>
          <w:szCs w:val="24"/>
        </w:rPr>
        <w:t xml:space="preserve"> </w:t>
      </w:r>
      <w:r>
        <w:rPr>
          <w:rFonts w:ascii="Times New Roman" w:hAnsi="Times New Roman" w:cs="Times New Roman"/>
          <w:noProof/>
          <w:sz w:val="24"/>
          <w:szCs w:val="24"/>
        </w:rPr>
        <w:t xml:space="preserve">different pain </w:t>
      </w:r>
      <w:r w:rsidR="00342909">
        <w:rPr>
          <w:rFonts w:ascii="Times New Roman" w:hAnsi="Times New Roman" w:cs="Times New Roman"/>
          <w:noProof/>
          <w:sz w:val="24"/>
          <w:szCs w:val="24"/>
        </w:rPr>
        <w:t>conditions</w:t>
      </w:r>
      <w:r w:rsidR="008C5FEF">
        <w:rPr>
          <w:rFonts w:ascii="Times New Roman" w:hAnsi="Times New Roman" w:cs="Times New Roman"/>
          <w:noProof/>
          <w:sz w:val="24"/>
          <w:szCs w:val="24"/>
        </w:rPr>
        <w:t xml:space="preserve"> (58.1-</w:t>
      </w:r>
      <w:r w:rsidR="00161069">
        <w:rPr>
          <w:rFonts w:ascii="Times New Roman" w:hAnsi="Times New Roman" w:cs="Times New Roman"/>
          <w:noProof/>
          <w:sz w:val="24"/>
          <w:szCs w:val="24"/>
        </w:rPr>
        <w:t xml:space="preserve">64.5 years). </w:t>
      </w:r>
      <w:r>
        <w:rPr>
          <w:rFonts w:ascii="Times New Roman" w:hAnsi="Times New Roman" w:cs="Times New Roman"/>
          <w:noProof/>
          <w:sz w:val="24"/>
          <w:szCs w:val="24"/>
        </w:rPr>
        <w:t>Overall, 39% of participants were</w:t>
      </w:r>
      <w:r w:rsidR="00F61252">
        <w:rPr>
          <w:rFonts w:ascii="Times New Roman" w:hAnsi="Times New Roman" w:cs="Times New Roman"/>
          <w:noProof/>
          <w:sz w:val="24"/>
          <w:szCs w:val="24"/>
        </w:rPr>
        <w:t xml:space="preserve"> male</w:t>
      </w:r>
      <w:r w:rsidR="000C7F57">
        <w:rPr>
          <w:rFonts w:ascii="Times New Roman" w:hAnsi="Times New Roman" w:cs="Times New Roman"/>
          <w:noProof/>
          <w:sz w:val="24"/>
          <w:szCs w:val="24"/>
        </w:rPr>
        <w:t xml:space="preserve">. </w:t>
      </w:r>
      <w:r w:rsidR="00F61252">
        <w:rPr>
          <w:rFonts w:ascii="Times New Roman" w:hAnsi="Times New Roman" w:cs="Times New Roman"/>
          <w:noProof/>
          <w:sz w:val="24"/>
          <w:szCs w:val="24"/>
        </w:rPr>
        <w:t xml:space="preserve">Most </w:t>
      </w:r>
      <w:r>
        <w:rPr>
          <w:rFonts w:ascii="Times New Roman" w:hAnsi="Times New Roman" w:cs="Times New Roman"/>
          <w:noProof/>
          <w:sz w:val="24"/>
          <w:szCs w:val="24"/>
        </w:rPr>
        <w:t>reported that their current episode of MSK</w:t>
      </w:r>
      <w:r w:rsidR="00F61252">
        <w:rPr>
          <w:rFonts w:ascii="Times New Roman" w:hAnsi="Times New Roman" w:cs="Times New Roman"/>
          <w:noProof/>
          <w:sz w:val="24"/>
          <w:szCs w:val="24"/>
        </w:rPr>
        <w:t xml:space="preserve"> pain </w:t>
      </w:r>
      <w:r>
        <w:rPr>
          <w:rFonts w:ascii="Times New Roman" w:hAnsi="Times New Roman" w:cs="Times New Roman"/>
          <w:noProof/>
          <w:sz w:val="24"/>
          <w:szCs w:val="24"/>
        </w:rPr>
        <w:t xml:space="preserve">had lasted for  less than </w:t>
      </w:r>
      <w:r w:rsidR="00F61252">
        <w:rPr>
          <w:rFonts w:ascii="Times New Roman" w:hAnsi="Times New Roman" w:cs="Times New Roman"/>
          <w:noProof/>
          <w:sz w:val="24"/>
          <w:szCs w:val="24"/>
        </w:rPr>
        <w:t xml:space="preserve">12 months, </w:t>
      </w:r>
      <w:r>
        <w:rPr>
          <w:rFonts w:ascii="Times New Roman" w:hAnsi="Times New Roman" w:cs="Times New Roman"/>
          <w:noProof/>
          <w:sz w:val="24"/>
          <w:szCs w:val="24"/>
        </w:rPr>
        <w:t>apart from those reporting</w:t>
      </w:r>
      <w:r w:rsidR="00F61252">
        <w:rPr>
          <w:rFonts w:ascii="Times New Roman" w:hAnsi="Times New Roman" w:cs="Times New Roman"/>
          <w:noProof/>
          <w:sz w:val="24"/>
          <w:szCs w:val="24"/>
        </w:rPr>
        <w:t xml:space="preserve"> multi-site pain, in whom 69% </w:t>
      </w:r>
      <w:r>
        <w:rPr>
          <w:rFonts w:ascii="Times New Roman" w:hAnsi="Times New Roman" w:cs="Times New Roman"/>
          <w:noProof/>
          <w:sz w:val="24"/>
          <w:szCs w:val="24"/>
        </w:rPr>
        <w:t xml:space="preserve">reported </w:t>
      </w:r>
      <w:r w:rsidR="00F61252">
        <w:rPr>
          <w:rFonts w:ascii="Times New Roman" w:hAnsi="Times New Roman" w:cs="Times New Roman"/>
          <w:noProof/>
          <w:sz w:val="24"/>
          <w:szCs w:val="24"/>
        </w:rPr>
        <w:t xml:space="preserve">pain </w:t>
      </w:r>
      <w:r>
        <w:rPr>
          <w:rFonts w:ascii="Times New Roman" w:hAnsi="Times New Roman" w:cs="Times New Roman"/>
          <w:noProof/>
          <w:sz w:val="24"/>
          <w:szCs w:val="24"/>
        </w:rPr>
        <w:t xml:space="preserve">lasting for </w:t>
      </w:r>
      <w:r w:rsidR="00342909">
        <w:rPr>
          <w:rFonts w:ascii="Times New Roman" w:hAnsi="Times New Roman" w:cs="Times New Roman"/>
          <w:noProof/>
          <w:sz w:val="24"/>
          <w:szCs w:val="24"/>
        </w:rPr>
        <w:t>&gt;</w:t>
      </w:r>
      <w:r w:rsidR="00F61252">
        <w:rPr>
          <w:rFonts w:ascii="Times New Roman" w:hAnsi="Times New Roman" w:cs="Times New Roman"/>
          <w:noProof/>
          <w:sz w:val="24"/>
          <w:szCs w:val="24"/>
        </w:rPr>
        <w:t xml:space="preserve">1 year, and 19% pain for </w:t>
      </w:r>
      <w:r w:rsidR="00342909">
        <w:rPr>
          <w:rFonts w:ascii="Times New Roman" w:hAnsi="Times New Roman" w:cs="Times New Roman"/>
          <w:noProof/>
          <w:sz w:val="24"/>
          <w:szCs w:val="24"/>
        </w:rPr>
        <w:t>&gt;</w:t>
      </w:r>
      <w:r w:rsidR="00F61252">
        <w:rPr>
          <w:rFonts w:ascii="Times New Roman" w:hAnsi="Times New Roman" w:cs="Times New Roman"/>
          <w:noProof/>
          <w:sz w:val="24"/>
          <w:szCs w:val="24"/>
        </w:rPr>
        <w:t xml:space="preserve">10 years. </w:t>
      </w:r>
    </w:p>
    <w:p w14:paraId="5DDA5940" w14:textId="3274FBE8" w:rsidR="00F61252" w:rsidRDefault="00F61252" w:rsidP="00EE52D9">
      <w:pPr>
        <w:pStyle w:val="NoSpacing"/>
        <w:spacing w:line="480" w:lineRule="auto"/>
        <w:jc w:val="both"/>
        <w:rPr>
          <w:rFonts w:ascii="Times New Roman" w:hAnsi="Times New Roman" w:cs="Times New Roman"/>
          <w:noProof/>
          <w:sz w:val="24"/>
          <w:szCs w:val="24"/>
        </w:rPr>
      </w:pPr>
    </w:p>
    <w:p w14:paraId="4CF0D2D0" w14:textId="54B9EE77" w:rsidR="0010760A" w:rsidRPr="0010760A" w:rsidRDefault="005E4DFA" w:rsidP="00EE52D9">
      <w:pPr>
        <w:pStyle w:val="NoSpacing"/>
        <w:spacing w:line="48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3.2 </w:t>
      </w:r>
      <w:r w:rsidR="0010760A" w:rsidRPr="0010760A">
        <w:rPr>
          <w:rFonts w:ascii="Times New Roman" w:hAnsi="Times New Roman" w:cs="Times New Roman"/>
          <w:b/>
          <w:noProof/>
          <w:sz w:val="24"/>
          <w:szCs w:val="24"/>
        </w:rPr>
        <w:t>Pain Scores</w:t>
      </w:r>
    </w:p>
    <w:p w14:paraId="685DECE7" w14:textId="0F5518FC" w:rsidR="0010760A" w:rsidRPr="0010760A" w:rsidRDefault="00403F18" w:rsidP="00EE52D9">
      <w:pPr>
        <w:pStyle w:val="NoSpacing"/>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Overall</w:t>
      </w:r>
      <w:r w:rsidR="000C409B">
        <w:rPr>
          <w:rFonts w:ascii="Times New Roman" w:hAnsi="Times New Roman" w:cs="Times New Roman"/>
          <w:noProof/>
          <w:sz w:val="24"/>
          <w:szCs w:val="24"/>
        </w:rPr>
        <w:t>, the</w:t>
      </w:r>
      <w:r>
        <w:rPr>
          <w:rFonts w:ascii="Times New Roman" w:hAnsi="Times New Roman" w:cs="Times New Roman"/>
          <w:noProof/>
          <w:sz w:val="24"/>
          <w:szCs w:val="24"/>
        </w:rPr>
        <w:t xml:space="preserve"> </w:t>
      </w:r>
      <w:r w:rsidR="00044A3D">
        <w:rPr>
          <w:rFonts w:ascii="Times New Roman" w:hAnsi="Times New Roman" w:cs="Times New Roman"/>
          <w:noProof/>
          <w:sz w:val="24"/>
          <w:szCs w:val="24"/>
        </w:rPr>
        <w:t xml:space="preserve">mean </w:t>
      </w:r>
      <w:r>
        <w:rPr>
          <w:rFonts w:ascii="Times New Roman" w:hAnsi="Times New Roman" w:cs="Times New Roman"/>
          <w:noProof/>
          <w:sz w:val="24"/>
          <w:szCs w:val="24"/>
        </w:rPr>
        <w:t xml:space="preserve">baseline </w:t>
      </w:r>
      <w:r w:rsidR="000C409B">
        <w:rPr>
          <w:rFonts w:ascii="Times New Roman" w:hAnsi="Times New Roman" w:cs="Times New Roman"/>
          <w:noProof/>
          <w:sz w:val="24"/>
          <w:szCs w:val="24"/>
        </w:rPr>
        <w:t xml:space="preserve">MSK </w:t>
      </w:r>
      <w:r w:rsidR="00044A3D">
        <w:rPr>
          <w:rFonts w:ascii="Times New Roman" w:hAnsi="Times New Roman" w:cs="Times New Roman"/>
          <w:noProof/>
          <w:sz w:val="24"/>
          <w:szCs w:val="24"/>
        </w:rPr>
        <w:t xml:space="preserve">pain score </w:t>
      </w:r>
      <w:r w:rsidR="000C409B">
        <w:rPr>
          <w:rFonts w:ascii="Times New Roman" w:hAnsi="Times New Roman" w:cs="Times New Roman"/>
          <w:noProof/>
          <w:sz w:val="24"/>
          <w:szCs w:val="24"/>
        </w:rPr>
        <w:t xml:space="preserve">was </w:t>
      </w:r>
      <w:r w:rsidR="00044A3D">
        <w:rPr>
          <w:rFonts w:ascii="Times New Roman" w:hAnsi="Times New Roman" w:cs="Times New Roman"/>
          <w:noProof/>
          <w:sz w:val="24"/>
          <w:szCs w:val="24"/>
        </w:rPr>
        <w:t xml:space="preserve">6.21 </w:t>
      </w:r>
      <w:r w:rsidR="000C409B">
        <w:rPr>
          <w:rFonts w:ascii="Times New Roman" w:hAnsi="Times New Roman" w:cs="Times New Roman"/>
          <w:noProof/>
          <w:sz w:val="24"/>
          <w:szCs w:val="24"/>
        </w:rPr>
        <w:t>(out of 10)</w:t>
      </w:r>
      <w:r w:rsidR="00044A3D">
        <w:rPr>
          <w:rFonts w:ascii="Times New Roman" w:hAnsi="Times New Roman" w:cs="Times New Roman"/>
          <w:noProof/>
          <w:sz w:val="24"/>
          <w:szCs w:val="24"/>
        </w:rPr>
        <w:t xml:space="preserve">, </w:t>
      </w:r>
      <w:r w:rsidR="000C409B">
        <w:rPr>
          <w:rFonts w:ascii="Times New Roman" w:hAnsi="Times New Roman" w:cs="Times New Roman"/>
          <w:noProof/>
          <w:sz w:val="24"/>
          <w:szCs w:val="24"/>
        </w:rPr>
        <w:t>reducing to</w:t>
      </w:r>
      <w:r w:rsidR="00044A3D">
        <w:rPr>
          <w:rFonts w:ascii="Times New Roman" w:hAnsi="Times New Roman" w:cs="Times New Roman"/>
          <w:noProof/>
          <w:sz w:val="24"/>
          <w:szCs w:val="24"/>
        </w:rPr>
        <w:t xml:space="preserve"> 4.07 </w:t>
      </w:r>
      <w:r w:rsidR="000C409B">
        <w:rPr>
          <w:rFonts w:ascii="Times New Roman" w:hAnsi="Times New Roman" w:cs="Times New Roman"/>
          <w:noProof/>
          <w:sz w:val="24"/>
          <w:szCs w:val="24"/>
        </w:rPr>
        <w:t xml:space="preserve">at 6 months follow-up </w:t>
      </w:r>
      <w:r w:rsidR="00044A3D">
        <w:rPr>
          <w:rFonts w:ascii="Times New Roman" w:hAnsi="Times New Roman" w:cs="Times New Roman"/>
          <w:noProof/>
          <w:sz w:val="24"/>
          <w:szCs w:val="24"/>
        </w:rPr>
        <w:t xml:space="preserve">(Table 1). Mean </w:t>
      </w:r>
      <w:r>
        <w:rPr>
          <w:rFonts w:ascii="Times New Roman" w:hAnsi="Times New Roman" w:cs="Times New Roman"/>
          <w:noProof/>
          <w:sz w:val="24"/>
          <w:szCs w:val="24"/>
        </w:rPr>
        <w:t xml:space="preserve">baseline, 6-month, and </w:t>
      </w:r>
      <w:r w:rsidR="008C5FEF">
        <w:rPr>
          <w:rFonts w:ascii="Times New Roman" w:hAnsi="Times New Roman" w:cs="Times New Roman"/>
          <w:noProof/>
          <w:sz w:val="24"/>
          <w:szCs w:val="24"/>
        </w:rPr>
        <w:t xml:space="preserve">6-month </w:t>
      </w:r>
      <w:r>
        <w:rPr>
          <w:rFonts w:ascii="Times New Roman" w:hAnsi="Times New Roman" w:cs="Times New Roman"/>
          <w:noProof/>
          <w:sz w:val="24"/>
          <w:szCs w:val="24"/>
        </w:rPr>
        <w:t xml:space="preserve">changes in </w:t>
      </w:r>
      <w:r w:rsidR="00044A3D">
        <w:rPr>
          <w:rFonts w:ascii="Times New Roman" w:hAnsi="Times New Roman" w:cs="Times New Roman"/>
          <w:noProof/>
          <w:sz w:val="24"/>
          <w:szCs w:val="24"/>
        </w:rPr>
        <w:t xml:space="preserve">pain </w:t>
      </w:r>
      <w:r w:rsidR="00A953BE">
        <w:rPr>
          <w:rFonts w:ascii="Times New Roman" w:hAnsi="Times New Roman" w:cs="Times New Roman"/>
          <w:noProof/>
          <w:sz w:val="24"/>
          <w:szCs w:val="24"/>
        </w:rPr>
        <w:t xml:space="preserve">scores were similar </w:t>
      </w:r>
      <w:r w:rsidR="00B4267A">
        <w:rPr>
          <w:rFonts w:ascii="Times New Roman" w:hAnsi="Times New Roman" w:cs="Times New Roman"/>
          <w:noProof/>
          <w:sz w:val="24"/>
          <w:szCs w:val="24"/>
        </w:rPr>
        <w:t>in patients reporting different MSK pain sites</w:t>
      </w:r>
      <w:r w:rsidR="00044A3D">
        <w:rPr>
          <w:rFonts w:ascii="Times New Roman" w:hAnsi="Times New Roman" w:cs="Times New Roman"/>
          <w:noProof/>
          <w:sz w:val="24"/>
          <w:szCs w:val="24"/>
        </w:rPr>
        <w:t>, with the except</w:t>
      </w:r>
      <w:r>
        <w:rPr>
          <w:rFonts w:ascii="Times New Roman" w:hAnsi="Times New Roman" w:cs="Times New Roman"/>
          <w:noProof/>
          <w:sz w:val="24"/>
          <w:szCs w:val="24"/>
        </w:rPr>
        <w:t>ion</w:t>
      </w:r>
      <w:r w:rsidR="00044A3D">
        <w:rPr>
          <w:rFonts w:ascii="Times New Roman" w:hAnsi="Times New Roman" w:cs="Times New Roman"/>
          <w:noProof/>
          <w:sz w:val="24"/>
          <w:szCs w:val="24"/>
        </w:rPr>
        <w:t xml:space="preserve"> of </w:t>
      </w:r>
      <w:r w:rsidR="00B4267A">
        <w:rPr>
          <w:rFonts w:ascii="Times New Roman" w:hAnsi="Times New Roman" w:cs="Times New Roman"/>
          <w:noProof/>
          <w:sz w:val="24"/>
          <w:szCs w:val="24"/>
        </w:rPr>
        <w:t xml:space="preserve">those with </w:t>
      </w:r>
      <w:r w:rsidR="00044A3D">
        <w:rPr>
          <w:rFonts w:ascii="Times New Roman" w:hAnsi="Times New Roman" w:cs="Times New Roman"/>
          <w:noProof/>
          <w:sz w:val="24"/>
          <w:szCs w:val="24"/>
        </w:rPr>
        <w:t>knee and multi</w:t>
      </w:r>
      <w:r>
        <w:rPr>
          <w:rFonts w:ascii="Times New Roman" w:hAnsi="Times New Roman" w:cs="Times New Roman"/>
          <w:noProof/>
          <w:sz w:val="24"/>
          <w:szCs w:val="24"/>
        </w:rPr>
        <w:t xml:space="preserve">-site pain, </w:t>
      </w:r>
      <w:r w:rsidR="00B4267A">
        <w:rPr>
          <w:rFonts w:ascii="Times New Roman" w:hAnsi="Times New Roman" w:cs="Times New Roman"/>
          <w:noProof/>
          <w:sz w:val="24"/>
          <w:szCs w:val="24"/>
        </w:rPr>
        <w:t>who reported</w:t>
      </w:r>
      <w:r>
        <w:rPr>
          <w:rFonts w:ascii="Times New Roman" w:hAnsi="Times New Roman" w:cs="Times New Roman"/>
          <w:noProof/>
          <w:sz w:val="24"/>
          <w:szCs w:val="24"/>
        </w:rPr>
        <w:t xml:space="preserve"> smaller 6-</w:t>
      </w:r>
      <w:r w:rsidR="00044A3D">
        <w:rPr>
          <w:rFonts w:ascii="Times New Roman" w:hAnsi="Times New Roman" w:cs="Times New Roman"/>
          <w:noProof/>
          <w:sz w:val="24"/>
          <w:szCs w:val="24"/>
        </w:rPr>
        <w:t xml:space="preserve">month improvements of </w:t>
      </w:r>
      <w:r w:rsidR="00B4267A">
        <w:rPr>
          <w:rFonts w:ascii="Times New Roman" w:hAnsi="Times New Roman" w:cs="Times New Roman"/>
          <w:noProof/>
          <w:sz w:val="24"/>
          <w:szCs w:val="24"/>
        </w:rPr>
        <w:t xml:space="preserve">only </w:t>
      </w:r>
      <w:r w:rsidR="00575CE3">
        <w:rPr>
          <w:rFonts w:ascii="Times New Roman" w:hAnsi="Times New Roman" w:cs="Times New Roman"/>
          <w:noProof/>
          <w:sz w:val="24"/>
          <w:szCs w:val="24"/>
        </w:rPr>
        <w:t>1.53 and 1.14, respectively.</w:t>
      </w:r>
      <w:r>
        <w:rPr>
          <w:rFonts w:ascii="Times New Roman" w:hAnsi="Times New Roman" w:cs="Times New Roman"/>
          <w:noProof/>
          <w:sz w:val="24"/>
          <w:szCs w:val="24"/>
        </w:rPr>
        <w:t xml:space="preserve"> </w:t>
      </w:r>
      <w:r w:rsidR="008C5FEF">
        <w:rPr>
          <w:rFonts w:ascii="Times New Roman" w:hAnsi="Times New Roman" w:cs="Times New Roman"/>
          <w:noProof/>
          <w:sz w:val="24"/>
          <w:szCs w:val="24"/>
        </w:rPr>
        <w:t xml:space="preserve">Many </w:t>
      </w:r>
      <w:r w:rsidR="00044A3D">
        <w:rPr>
          <w:rFonts w:ascii="Times New Roman" w:hAnsi="Times New Roman" w:cs="Times New Roman"/>
          <w:noProof/>
          <w:sz w:val="24"/>
          <w:szCs w:val="24"/>
        </w:rPr>
        <w:t xml:space="preserve">(60%) </w:t>
      </w:r>
      <w:r w:rsidR="00B47872">
        <w:rPr>
          <w:rFonts w:ascii="Times New Roman" w:hAnsi="Times New Roman" w:cs="Times New Roman"/>
          <w:noProof/>
          <w:sz w:val="24"/>
          <w:szCs w:val="24"/>
        </w:rPr>
        <w:t xml:space="preserve">patients </w:t>
      </w:r>
      <w:r w:rsidR="00044A3D">
        <w:rPr>
          <w:rFonts w:ascii="Times New Roman" w:hAnsi="Times New Roman" w:cs="Times New Roman"/>
          <w:noProof/>
          <w:sz w:val="24"/>
          <w:szCs w:val="24"/>
        </w:rPr>
        <w:t xml:space="preserve">reported </w:t>
      </w:r>
      <w:r w:rsidR="00417182">
        <w:rPr>
          <w:rFonts w:ascii="Times New Roman" w:hAnsi="Times New Roman" w:cs="Times New Roman"/>
          <w:noProof/>
          <w:sz w:val="24"/>
          <w:szCs w:val="24"/>
        </w:rPr>
        <w:t xml:space="preserve">global </w:t>
      </w:r>
      <w:r w:rsidR="00044A3D">
        <w:rPr>
          <w:rFonts w:ascii="Times New Roman" w:hAnsi="Times New Roman" w:cs="Times New Roman"/>
          <w:noProof/>
          <w:sz w:val="24"/>
          <w:szCs w:val="24"/>
        </w:rPr>
        <w:t>improvement</w:t>
      </w:r>
      <w:r w:rsidR="008C5FEF">
        <w:rPr>
          <w:rFonts w:ascii="Times New Roman" w:hAnsi="Times New Roman" w:cs="Times New Roman"/>
          <w:noProof/>
          <w:sz w:val="24"/>
          <w:szCs w:val="24"/>
        </w:rPr>
        <w:t>s</w:t>
      </w:r>
      <w:r w:rsidR="00044A3D">
        <w:rPr>
          <w:rFonts w:ascii="Times New Roman" w:hAnsi="Times New Roman" w:cs="Times New Roman"/>
          <w:noProof/>
          <w:sz w:val="24"/>
          <w:szCs w:val="24"/>
        </w:rPr>
        <w:t xml:space="preserve"> in </w:t>
      </w:r>
      <w:r w:rsidR="007E5997">
        <w:rPr>
          <w:rFonts w:ascii="Times New Roman" w:hAnsi="Times New Roman" w:cs="Times New Roman"/>
          <w:noProof/>
          <w:sz w:val="24"/>
          <w:szCs w:val="24"/>
        </w:rPr>
        <w:t xml:space="preserve">their </w:t>
      </w:r>
      <w:r w:rsidR="00044A3D">
        <w:rPr>
          <w:rFonts w:ascii="Times New Roman" w:hAnsi="Times New Roman" w:cs="Times New Roman"/>
          <w:noProof/>
          <w:sz w:val="24"/>
          <w:szCs w:val="24"/>
        </w:rPr>
        <w:t xml:space="preserve">MSK </w:t>
      </w:r>
      <w:r w:rsidR="007E5997">
        <w:rPr>
          <w:rFonts w:ascii="Times New Roman" w:hAnsi="Times New Roman" w:cs="Times New Roman"/>
          <w:noProof/>
          <w:sz w:val="24"/>
          <w:szCs w:val="24"/>
        </w:rPr>
        <w:t>condition</w:t>
      </w:r>
      <w:r w:rsidR="00575CE3">
        <w:rPr>
          <w:rFonts w:ascii="Times New Roman" w:hAnsi="Times New Roman" w:cs="Times New Roman"/>
          <w:noProof/>
          <w:sz w:val="24"/>
          <w:szCs w:val="24"/>
        </w:rPr>
        <w:t xml:space="preserve">. The proportion of </w:t>
      </w:r>
      <w:r w:rsidR="00575CE3">
        <w:rPr>
          <w:rFonts w:ascii="Times New Roman" w:hAnsi="Times New Roman" w:cs="Times New Roman"/>
          <w:noProof/>
          <w:sz w:val="24"/>
          <w:szCs w:val="24"/>
        </w:rPr>
        <w:lastRenderedPageBreak/>
        <w:t xml:space="preserve">patients </w:t>
      </w:r>
      <w:r w:rsidR="00B47872">
        <w:rPr>
          <w:rFonts w:ascii="Times New Roman" w:hAnsi="Times New Roman" w:cs="Times New Roman"/>
          <w:noProof/>
          <w:sz w:val="24"/>
          <w:szCs w:val="24"/>
        </w:rPr>
        <w:t xml:space="preserve">reporting </w:t>
      </w:r>
      <w:r w:rsidR="00417182">
        <w:rPr>
          <w:rFonts w:ascii="Times New Roman" w:hAnsi="Times New Roman" w:cs="Times New Roman"/>
          <w:noProof/>
          <w:sz w:val="24"/>
          <w:szCs w:val="24"/>
        </w:rPr>
        <w:t xml:space="preserve">global </w:t>
      </w:r>
      <w:r w:rsidR="00B47872">
        <w:rPr>
          <w:rFonts w:ascii="Times New Roman" w:hAnsi="Times New Roman" w:cs="Times New Roman"/>
          <w:noProof/>
          <w:sz w:val="24"/>
          <w:szCs w:val="24"/>
        </w:rPr>
        <w:t xml:space="preserve">improvements </w:t>
      </w:r>
      <w:r w:rsidR="00B4267A">
        <w:rPr>
          <w:rFonts w:ascii="Times New Roman" w:hAnsi="Times New Roman" w:cs="Times New Roman"/>
          <w:noProof/>
          <w:sz w:val="24"/>
          <w:szCs w:val="24"/>
        </w:rPr>
        <w:t xml:space="preserve">in </w:t>
      </w:r>
      <w:r w:rsidR="00B47872">
        <w:rPr>
          <w:rFonts w:ascii="Times New Roman" w:hAnsi="Times New Roman" w:cs="Times New Roman"/>
          <w:noProof/>
          <w:sz w:val="24"/>
          <w:szCs w:val="24"/>
        </w:rPr>
        <w:t>neck (71%)</w:t>
      </w:r>
      <w:r w:rsidR="00575CE3">
        <w:rPr>
          <w:rFonts w:ascii="Times New Roman" w:hAnsi="Times New Roman" w:cs="Times New Roman"/>
          <w:noProof/>
          <w:sz w:val="24"/>
          <w:szCs w:val="24"/>
        </w:rPr>
        <w:t xml:space="preserve"> and shoulder (70%) </w:t>
      </w:r>
      <w:r w:rsidR="00417182">
        <w:rPr>
          <w:rFonts w:ascii="Times New Roman" w:hAnsi="Times New Roman" w:cs="Times New Roman"/>
          <w:noProof/>
          <w:sz w:val="24"/>
          <w:szCs w:val="24"/>
        </w:rPr>
        <w:t xml:space="preserve">MSK pain </w:t>
      </w:r>
      <w:r w:rsidR="00575CE3">
        <w:rPr>
          <w:rFonts w:ascii="Times New Roman" w:hAnsi="Times New Roman" w:cs="Times New Roman"/>
          <w:noProof/>
          <w:sz w:val="24"/>
          <w:szCs w:val="24"/>
        </w:rPr>
        <w:t xml:space="preserve">were higher than those </w:t>
      </w:r>
      <w:r w:rsidR="00B4267A">
        <w:rPr>
          <w:rFonts w:ascii="Times New Roman" w:hAnsi="Times New Roman" w:cs="Times New Roman"/>
          <w:noProof/>
          <w:sz w:val="24"/>
          <w:szCs w:val="24"/>
        </w:rPr>
        <w:t xml:space="preserve">reporting </w:t>
      </w:r>
      <w:r w:rsidR="00575CE3">
        <w:rPr>
          <w:rFonts w:ascii="Times New Roman" w:hAnsi="Times New Roman" w:cs="Times New Roman"/>
          <w:noProof/>
          <w:sz w:val="24"/>
          <w:szCs w:val="24"/>
        </w:rPr>
        <w:t xml:space="preserve">knee (50%), low back (58%), </w:t>
      </w:r>
      <w:r w:rsidR="00B4267A">
        <w:rPr>
          <w:rFonts w:ascii="Times New Roman" w:hAnsi="Times New Roman" w:cs="Times New Roman"/>
          <w:noProof/>
          <w:sz w:val="24"/>
          <w:szCs w:val="24"/>
        </w:rPr>
        <w:t xml:space="preserve">or </w:t>
      </w:r>
      <w:r w:rsidR="00575CE3">
        <w:rPr>
          <w:rFonts w:ascii="Times New Roman" w:hAnsi="Times New Roman" w:cs="Times New Roman"/>
          <w:noProof/>
          <w:sz w:val="24"/>
          <w:szCs w:val="24"/>
        </w:rPr>
        <w:t xml:space="preserve">multi-site (54%) </w:t>
      </w:r>
      <w:r w:rsidR="00417182">
        <w:rPr>
          <w:rFonts w:ascii="Times New Roman" w:hAnsi="Times New Roman" w:cs="Times New Roman"/>
          <w:noProof/>
          <w:sz w:val="24"/>
          <w:szCs w:val="24"/>
        </w:rPr>
        <w:t xml:space="preserve">MSK </w:t>
      </w:r>
      <w:r w:rsidR="00575CE3">
        <w:rPr>
          <w:rFonts w:ascii="Times New Roman" w:hAnsi="Times New Roman" w:cs="Times New Roman"/>
          <w:noProof/>
          <w:sz w:val="24"/>
          <w:szCs w:val="24"/>
        </w:rPr>
        <w:t>pain.</w:t>
      </w:r>
    </w:p>
    <w:p w14:paraId="438C0DDA" w14:textId="77777777" w:rsidR="0010760A" w:rsidRPr="0010760A" w:rsidRDefault="0010760A" w:rsidP="00EE52D9">
      <w:pPr>
        <w:pStyle w:val="NoSpacing"/>
        <w:spacing w:line="480" w:lineRule="auto"/>
        <w:jc w:val="both"/>
        <w:rPr>
          <w:rFonts w:ascii="Times New Roman" w:hAnsi="Times New Roman" w:cs="Times New Roman"/>
          <w:b/>
          <w:noProof/>
          <w:sz w:val="24"/>
          <w:szCs w:val="24"/>
        </w:rPr>
      </w:pPr>
    </w:p>
    <w:p w14:paraId="133065E0" w14:textId="4877BFC7" w:rsidR="00F61252" w:rsidRDefault="00AA56FA" w:rsidP="005E4DFA">
      <w:pPr>
        <w:pStyle w:val="NoSpacing"/>
        <w:numPr>
          <w:ilvl w:val="1"/>
          <w:numId w:val="2"/>
        </w:numPr>
        <w:spacing w:line="48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Generic </w:t>
      </w:r>
      <w:r w:rsidR="00F61252">
        <w:rPr>
          <w:rFonts w:ascii="Times New Roman" w:hAnsi="Times New Roman" w:cs="Times New Roman"/>
          <w:b/>
          <w:noProof/>
          <w:sz w:val="24"/>
          <w:szCs w:val="24"/>
        </w:rPr>
        <w:t>PROM Scores</w:t>
      </w:r>
    </w:p>
    <w:p w14:paraId="295163F8" w14:textId="14CC8B1B" w:rsidR="0010760A" w:rsidRDefault="00B47872" w:rsidP="00EE52D9">
      <w:pPr>
        <w:pStyle w:val="NoSpacing"/>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Overall</w:t>
      </w:r>
      <w:r w:rsidR="007E5997">
        <w:rPr>
          <w:rFonts w:ascii="Times New Roman" w:hAnsi="Times New Roman" w:cs="Times New Roman"/>
          <w:noProof/>
          <w:sz w:val="24"/>
          <w:szCs w:val="24"/>
        </w:rPr>
        <w:t>,</w:t>
      </w:r>
      <w:r w:rsidR="00575CE3">
        <w:rPr>
          <w:rFonts w:ascii="Times New Roman" w:hAnsi="Times New Roman" w:cs="Times New Roman"/>
          <w:noProof/>
          <w:sz w:val="24"/>
          <w:szCs w:val="24"/>
        </w:rPr>
        <w:t xml:space="preserve"> </w:t>
      </w:r>
      <w:r w:rsidR="00B4267A">
        <w:rPr>
          <w:rFonts w:ascii="Times New Roman" w:hAnsi="Times New Roman" w:cs="Times New Roman"/>
          <w:noProof/>
          <w:sz w:val="24"/>
          <w:szCs w:val="24"/>
        </w:rPr>
        <w:t xml:space="preserve">the </w:t>
      </w:r>
      <w:r w:rsidR="00575CE3">
        <w:rPr>
          <w:rFonts w:ascii="Times New Roman" w:hAnsi="Times New Roman" w:cs="Times New Roman"/>
          <w:noProof/>
          <w:sz w:val="24"/>
          <w:szCs w:val="24"/>
        </w:rPr>
        <w:t xml:space="preserve">mean </w:t>
      </w:r>
      <w:r>
        <w:rPr>
          <w:rFonts w:ascii="Times New Roman" w:hAnsi="Times New Roman" w:cs="Times New Roman"/>
          <w:noProof/>
          <w:sz w:val="24"/>
          <w:szCs w:val="24"/>
        </w:rPr>
        <w:t xml:space="preserve">baseline </w:t>
      </w:r>
      <w:r w:rsidR="00575CE3">
        <w:rPr>
          <w:rFonts w:ascii="Times New Roman" w:hAnsi="Times New Roman" w:cs="Times New Roman"/>
          <w:noProof/>
          <w:sz w:val="24"/>
          <w:szCs w:val="24"/>
        </w:rPr>
        <w:t xml:space="preserve">MSK-HQ score </w:t>
      </w:r>
      <w:r w:rsidR="00B4267A">
        <w:rPr>
          <w:rFonts w:ascii="Times New Roman" w:hAnsi="Times New Roman" w:cs="Times New Roman"/>
          <w:noProof/>
          <w:sz w:val="24"/>
          <w:szCs w:val="24"/>
        </w:rPr>
        <w:t xml:space="preserve">was </w:t>
      </w:r>
      <w:r w:rsidR="00575CE3">
        <w:rPr>
          <w:rFonts w:ascii="Times New Roman" w:hAnsi="Times New Roman" w:cs="Times New Roman"/>
          <w:noProof/>
          <w:sz w:val="24"/>
          <w:szCs w:val="24"/>
        </w:rPr>
        <w:t xml:space="preserve">29.36 </w:t>
      </w:r>
      <w:r w:rsidR="00B4267A">
        <w:rPr>
          <w:rFonts w:ascii="Times New Roman" w:hAnsi="Times New Roman" w:cs="Times New Roman"/>
          <w:noProof/>
          <w:sz w:val="24"/>
          <w:szCs w:val="24"/>
        </w:rPr>
        <w:t>(</w:t>
      </w:r>
      <w:r w:rsidR="003E2DDF">
        <w:rPr>
          <w:rFonts w:ascii="Times New Roman" w:hAnsi="Times New Roman" w:cs="Times New Roman"/>
          <w:noProof/>
          <w:sz w:val="24"/>
          <w:szCs w:val="24"/>
        </w:rPr>
        <w:t>potential maximum of 56</w:t>
      </w:r>
      <w:r w:rsidR="00B4267A">
        <w:rPr>
          <w:rFonts w:ascii="Times New Roman" w:hAnsi="Times New Roman" w:cs="Times New Roman"/>
          <w:noProof/>
          <w:sz w:val="24"/>
          <w:szCs w:val="24"/>
        </w:rPr>
        <w:t>)</w:t>
      </w:r>
      <w:r w:rsidR="00575CE3">
        <w:rPr>
          <w:rFonts w:ascii="Times New Roman" w:hAnsi="Times New Roman" w:cs="Times New Roman"/>
          <w:noProof/>
          <w:sz w:val="24"/>
          <w:szCs w:val="24"/>
        </w:rPr>
        <w:t xml:space="preserve">, with </w:t>
      </w:r>
      <w:r>
        <w:rPr>
          <w:rFonts w:ascii="Times New Roman" w:hAnsi="Times New Roman" w:cs="Times New Roman"/>
          <w:noProof/>
          <w:sz w:val="24"/>
          <w:szCs w:val="24"/>
        </w:rPr>
        <w:t xml:space="preserve">a </w:t>
      </w:r>
      <w:r w:rsidR="00575CE3">
        <w:rPr>
          <w:rFonts w:ascii="Times New Roman" w:hAnsi="Times New Roman" w:cs="Times New Roman"/>
          <w:noProof/>
          <w:sz w:val="24"/>
          <w:szCs w:val="24"/>
        </w:rPr>
        <w:t xml:space="preserve">mean </w:t>
      </w:r>
      <w:r>
        <w:rPr>
          <w:rFonts w:ascii="Times New Roman" w:hAnsi="Times New Roman" w:cs="Times New Roman"/>
          <w:noProof/>
          <w:sz w:val="24"/>
          <w:szCs w:val="24"/>
        </w:rPr>
        <w:t>increase</w:t>
      </w:r>
      <w:r w:rsidR="00B4267A">
        <w:rPr>
          <w:rFonts w:ascii="Times New Roman" w:hAnsi="Times New Roman" w:cs="Times New Roman"/>
          <w:noProof/>
          <w:sz w:val="24"/>
          <w:szCs w:val="24"/>
        </w:rPr>
        <w:t xml:space="preserve"> (</w:t>
      </w:r>
      <w:r w:rsidR="003E2DDF">
        <w:rPr>
          <w:rFonts w:ascii="Times New Roman" w:hAnsi="Times New Roman" w:cs="Times New Roman"/>
          <w:noProof/>
          <w:sz w:val="24"/>
          <w:szCs w:val="24"/>
        </w:rPr>
        <w:t xml:space="preserve">representing </w:t>
      </w:r>
      <w:r w:rsidR="00B4267A">
        <w:rPr>
          <w:rFonts w:ascii="Times New Roman" w:hAnsi="Times New Roman" w:cs="Times New Roman"/>
          <w:noProof/>
          <w:sz w:val="24"/>
          <w:szCs w:val="24"/>
        </w:rPr>
        <w:t>improvement)</w:t>
      </w:r>
      <w:r>
        <w:rPr>
          <w:rFonts w:ascii="Times New Roman" w:hAnsi="Times New Roman" w:cs="Times New Roman"/>
          <w:noProof/>
          <w:sz w:val="24"/>
          <w:szCs w:val="24"/>
        </w:rPr>
        <w:t xml:space="preserve"> </w:t>
      </w:r>
      <w:r w:rsidR="00B4267A">
        <w:rPr>
          <w:rFonts w:ascii="Times New Roman" w:hAnsi="Times New Roman" w:cs="Times New Roman"/>
          <w:noProof/>
          <w:sz w:val="24"/>
          <w:szCs w:val="24"/>
        </w:rPr>
        <w:t xml:space="preserve">by </w:t>
      </w:r>
      <w:r w:rsidR="00575CE3">
        <w:rPr>
          <w:rFonts w:ascii="Times New Roman" w:hAnsi="Times New Roman" w:cs="Times New Roman"/>
          <w:noProof/>
          <w:sz w:val="24"/>
          <w:szCs w:val="24"/>
        </w:rPr>
        <w:t>6 months of 7.46</w:t>
      </w:r>
      <w:r>
        <w:rPr>
          <w:rFonts w:ascii="Times New Roman" w:hAnsi="Times New Roman" w:cs="Times New Roman"/>
          <w:noProof/>
          <w:sz w:val="24"/>
          <w:szCs w:val="24"/>
        </w:rPr>
        <w:t xml:space="preserve">, </w:t>
      </w:r>
      <w:r w:rsidR="00B4267A">
        <w:rPr>
          <w:rFonts w:ascii="Times New Roman" w:hAnsi="Times New Roman" w:cs="Times New Roman"/>
          <w:noProof/>
          <w:sz w:val="24"/>
          <w:szCs w:val="24"/>
        </w:rPr>
        <w:t xml:space="preserve">resulting in </w:t>
      </w:r>
      <w:r>
        <w:rPr>
          <w:rFonts w:ascii="Times New Roman" w:hAnsi="Times New Roman" w:cs="Times New Roman"/>
          <w:noProof/>
          <w:sz w:val="24"/>
          <w:szCs w:val="24"/>
        </w:rPr>
        <w:t xml:space="preserve">a </w:t>
      </w:r>
      <w:r w:rsidR="00C4645D">
        <w:rPr>
          <w:rFonts w:ascii="Times New Roman" w:hAnsi="Times New Roman" w:cs="Times New Roman"/>
          <w:noProof/>
          <w:sz w:val="24"/>
          <w:szCs w:val="24"/>
        </w:rPr>
        <w:t xml:space="preserve">mean </w:t>
      </w:r>
      <w:r>
        <w:rPr>
          <w:rFonts w:ascii="Times New Roman" w:hAnsi="Times New Roman" w:cs="Times New Roman"/>
          <w:noProof/>
          <w:sz w:val="24"/>
          <w:szCs w:val="24"/>
        </w:rPr>
        <w:t>6-</w:t>
      </w:r>
      <w:r w:rsidR="00575CE3">
        <w:rPr>
          <w:rFonts w:ascii="Times New Roman" w:hAnsi="Times New Roman" w:cs="Times New Roman"/>
          <w:noProof/>
          <w:sz w:val="24"/>
          <w:szCs w:val="24"/>
        </w:rPr>
        <w:t xml:space="preserve">month score of 37.35 (Table 1). Similar </w:t>
      </w:r>
      <w:r>
        <w:rPr>
          <w:rFonts w:ascii="Times New Roman" w:hAnsi="Times New Roman" w:cs="Times New Roman"/>
          <w:noProof/>
          <w:sz w:val="24"/>
          <w:szCs w:val="24"/>
        </w:rPr>
        <w:t xml:space="preserve">mean </w:t>
      </w:r>
      <w:r w:rsidR="00575CE3">
        <w:rPr>
          <w:rFonts w:ascii="Times New Roman" w:hAnsi="Times New Roman" w:cs="Times New Roman"/>
          <w:noProof/>
          <w:sz w:val="24"/>
          <w:szCs w:val="24"/>
        </w:rPr>
        <w:t>baseline MSK-HQ scores wer</w:t>
      </w:r>
      <w:r w:rsidR="00A953BE">
        <w:rPr>
          <w:rFonts w:ascii="Times New Roman" w:hAnsi="Times New Roman" w:cs="Times New Roman"/>
          <w:noProof/>
          <w:sz w:val="24"/>
          <w:szCs w:val="24"/>
        </w:rPr>
        <w:t xml:space="preserve">e seen </w:t>
      </w:r>
      <w:r w:rsidR="00B4267A">
        <w:rPr>
          <w:rFonts w:ascii="Times New Roman" w:hAnsi="Times New Roman" w:cs="Times New Roman"/>
          <w:noProof/>
          <w:sz w:val="24"/>
          <w:szCs w:val="24"/>
        </w:rPr>
        <w:t xml:space="preserve">in participants with MSK pain in different </w:t>
      </w:r>
      <w:r w:rsidR="00B52CFA">
        <w:rPr>
          <w:rFonts w:ascii="Times New Roman" w:hAnsi="Times New Roman" w:cs="Times New Roman"/>
          <w:noProof/>
          <w:sz w:val="24"/>
          <w:szCs w:val="24"/>
        </w:rPr>
        <w:t>sites (28.12-</w:t>
      </w:r>
      <w:r w:rsidR="00575CE3">
        <w:rPr>
          <w:rFonts w:ascii="Times New Roman" w:hAnsi="Times New Roman" w:cs="Times New Roman"/>
          <w:noProof/>
          <w:sz w:val="24"/>
          <w:szCs w:val="24"/>
        </w:rPr>
        <w:t>32.19)</w:t>
      </w:r>
      <w:r w:rsidR="00C4645D">
        <w:rPr>
          <w:rFonts w:ascii="Times New Roman" w:hAnsi="Times New Roman" w:cs="Times New Roman"/>
          <w:noProof/>
          <w:sz w:val="24"/>
          <w:szCs w:val="24"/>
        </w:rPr>
        <w:t>. G</w:t>
      </w:r>
      <w:r w:rsidR="00575CE3">
        <w:rPr>
          <w:rFonts w:ascii="Times New Roman" w:hAnsi="Times New Roman" w:cs="Times New Roman"/>
          <w:noProof/>
          <w:sz w:val="24"/>
          <w:szCs w:val="24"/>
        </w:rPr>
        <w:t xml:space="preserve">reater </w:t>
      </w:r>
      <w:r>
        <w:rPr>
          <w:rFonts w:ascii="Times New Roman" w:hAnsi="Times New Roman" w:cs="Times New Roman"/>
          <w:noProof/>
          <w:sz w:val="24"/>
          <w:szCs w:val="24"/>
        </w:rPr>
        <w:t xml:space="preserve">mean </w:t>
      </w:r>
      <w:r w:rsidR="00575CE3">
        <w:rPr>
          <w:rFonts w:ascii="Times New Roman" w:hAnsi="Times New Roman" w:cs="Times New Roman"/>
          <w:noProof/>
          <w:sz w:val="24"/>
          <w:szCs w:val="24"/>
        </w:rPr>
        <w:t xml:space="preserve">increases in MSK-HQ scores were observed </w:t>
      </w:r>
      <w:r w:rsidR="00AA56FA">
        <w:rPr>
          <w:rFonts w:ascii="Times New Roman" w:hAnsi="Times New Roman" w:cs="Times New Roman"/>
          <w:noProof/>
          <w:sz w:val="24"/>
          <w:szCs w:val="24"/>
        </w:rPr>
        <w:t xml:space="preserve">in </w:t>
      </w:r>
      <w:r w:rsidR="00B4267A">
        <w:rPr>
          <w:rFonts w:ascii="Times New Roman" w:hAnsi="Times New Roman" w:cs="Times New Roman"/>
          <w:noProof/>
          <w:sz w:val="24"/>
          <w:szCs w:val="24"/>
        </w:rPr>
        <w:t xml:space="preserve">those </w:t>
      </w:r>
      <w:r w:rsidR="00AA56FA">
        <w:rPr>
          <w:rFonts w:ascii="Times New Roman" w:hAnsi="Times New Roman" w:cs="Times New Roman"/>
          <w:noProof/>
          <w:sz w:val="24"/>
          <w:szCs w:val="24"/>
        </w:rPr>
        <w:t>with neck (9.41), low back (9.01), and shoulder (7.81) pain than kne</w:t>
      </w:r>
      <w:r>
        <w:rPr>
          <w:rFonts w:ascii="Times New Roman" w:hAnsi="Times New Roman" w:cs="Times New Roman"/>
          <w:noProof/>
          <w:sz w:val="24"/>
          <w:szCs w:val="24"/>
        </w:rPr>
        <w:t>e</w:t>
      </w:r>
      <w:r w:rsidR="00AA56FA">
        <w:rPr>
          <w:rFonts w:ascii="Times New Roman" w:hAnsi="Times New Roman" w:cs="Times New Roman"/>
          <w:noProof/>
          <w:sz w:val="24"/>
          <w:szCs w:val="24"/>
        </w:rPr>
        <w:t xml:space="preserve"> (5.58) </w:t>
      </w:r>
      <w:r w:rsidR="00B4267A">
        <w:rPr>
          <w:rFonts w:ascii="Times New Roman" w:hAnsi="Times New Roman" w:cs="Times New Roman"/>
          <w:noProof/>
          <w:sz w:val="24"/>
          <w:szCs w:val="24"/>
        </w:rPr>
        <w:t xml:space="preserve">or </w:t>
      </w:r>
      <w:r w:rsidR="00AA56FA">
        <w:rPr>
          <w:rFonts w:ascii="Times New Roman" w:hAnsi="Times New Roman" w:cs="Times New Roman"/>
          <w:noProof/>
          <w:sz w:val="24"/>
          <w:szCs w:val="24"/>
        </w:rPr>
        <w:t xml:space="preserve">multi-site (4.38) pain. Similar patterns were observed </w:t>
      </w:r>
      <w:r>
        <w:rPr>
          <w:rFonts w:ascii="Times New Roman" w:hAnsi="Times New Roman" w:cs="Times New Roman"/>
          <w:noProof/>
          <w:sz w:val="24"/>
          <w:szCs w:val="24"/>
        </w:rPr>
        <w:t xml:space="preserve">for </w:t>
      </w:r>
      <w:r w:rsidR="00B52CFA">
        <w:rPr>
          <w:rFonts w:ascii="Times New Roman" w:hAnsi="Times New Roman" w:cs="Times New Roman"/>
          <w:noProof/>
          <w:sz w:val="24"/>
          <w:szCs w:val="24"/>
        </w:rPr>
        <w:t>EQ-5D-5</w:t>
      </w:r>
      <w:r w:rsidR="00AA56FA">
        <w:rPr>
          <w:rFonts w:ascii="Times New Roman" w:hAnsi="Times New Roman" w:cs="Times New Roman"/>
          <w:noProof/>
          <w:sz w:val="24"/>
          <w:szCs w:val="24"/>
        </w:rPr>
        <w:t>L.</w:t>
      </w:r>
    </w:p>
    <w:p w14:paraId="7703D1BF" w14:textId="77777777" w:rsidR="00AA56FA" w:rsidRDefault="00AA56FA" w:rsidP="00EE52D9">
      <w:pPr>
        <w:pStyle w:val="NoSpacing"/>
        <w:spacing w:line="480" w:lineRule="auto"/>
        <w:jc w:val="both"/>
        <w:rPr>
          <w:rFonts w:ascii="Times New Roman" w:hAnsi="Times New Roman" w:cs="Times New Roman"/>
          <w:b/>
          <w:noProof/>
          <w:sz w:val="24"/>
          <w:szCs w:val="24"/>
        </w:rPr>
      </w:pPr>
    </w:p>
    <w:p w14:paraId="0C680B31" w14:textId="659ACF28" w:rsidR="00AA56FA" w:rsidRDefault="005E4DFA" w:rsidP="00EE52D9">
      <w:pPr>
        <w:pStyle w:val="NoSpacing"/>
        <w:spacing w:line="48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3.4 </w:t>
      </w:r>
      <w:r w:rsidR="00AA56FA">
        <w:rPr>
          <w:rFonts w:ascii="Times New Roman" w:hAnsi="Times New Roman" w:cs="Times New Roman"/>
          <w:b/>
          <w:noProof/>
          <w:sz w:val="24"/>
          <w:szCs w:val="24"/>
        </w:rPr>
        <w:t>Responsiveness</w:t>
      </w:r>
    </w:p>
    <w:p w14:paraId="162EE481" w14:textId="12119FFF" w:rsidR="005E06D3" w:rsidRDefault="005C65C0" w:rsidP="00EE52D9">
      <w:pPr>
        <w:pStyle w:val="NoSpacing"/>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The MSK-HQ had a moderate ability to discri</w:t>
      </w:r>
      <w:r w:rsidR="00D0378A">
        <w:rPr>
          <w:rFonts w:ascii="Times New Roman" w:hAnsi="Times New Roman" w:cs="Times New Roman"/>
          <w:noProof/>
          <w:sz w:val="24"/>
          <w:szCs w:val="24"/>
        </w:rPr>
        <w:t xml:space="preserve">minate between </w:t>
      </w:r>
      <w:r w:rsidR="00B4267A">
        <w:rPr>
          <w:rFonts w:ascii="Times New Roman" w:hAnsi="Times New Roman" w:cs="Times New Roman"/>
          <w:noProof/>
          <w:sz w:val="24"/>
          <w:szCs w:val="24"/>
        </w:rPr>
        <w:t xml:space="preserve">participants </w:t>
      </w:r>
      <w:r w:rsidR="0094588F">
        <w:rPr>
          <w:rFonts w:ascii="Times New Roman" w:hAnsi="Times New Roman" w:cs="Times New Roman"/>
          <w:noProof/>
          <w:sz w:val="24"/>
          <w:szCs w:val="24"/>
        </w:rPr>
        <w:t>reporting</w:t>
      </w:r>
      <w:r w:rsidR="00B4267A">
        <w:rPr>
          <w:rFonts w:ascii="Times New Roman" w:hAnsi="Times New Roman" w:cs="Times New Roman"/>
          <w:noProof/>
          <w:sz w:val="24"/>
          <w:szCs w:val="24"/>
        </w:rPr>
        <w:t xml:space="preserve"> a global assessment of</w:t>
      </w:r>
      <w:r>
        <w:rPr>
          <w:rFonts w:ascii="Times New Roman" w:hAnsi="Times New Roman" w:cs="Times New Roman"/>
          <w:noProof/>
          <w:sz w:val="24"/>
          <w:szCs w:val="24"/>
        </w:rPr>
        <w:t xml:space="preserve"> </w:t>
      </w:r>
      <w:r w:rsidR="0094588F">
        <w:rPr>
          <w:rFonts w:ascii="Times New Roman" w:hAnsi="Times New Roman" w:cs="Times New Roman"/>
          <w:noProof/>
          <w:sz w:val="24"/>
          <w:szCs w:val="24"/>
        </w:rPr>
        <w:t>resolution/</w:t>
      </w:r>
      <w:r>
        <w:rPr>
          <w:rFonts w:ascii="Times New Roman" w:hAnsi="Times New Roman" w:cs="Times New Roman"/>
          <w:noProof/>
          <w:sz w:val="24"/>
          <w:szCs w:val="24"/>
        </w:rPr>
        <w:t xml:space="preserve">improvement </w:t>
      </w:r>
      <w:r w:rsidR="00B4267A">
        <w:rPr>
          <w:rFonts w:ascii="Times New Roman" w:hAnsi="Times New Roman" w:cs="Times New Roman"/>
          <w:noProof/>
          <w:sz w:val="24"/>
          <w:szCs w:val="24"/>
        </w:rPr>
        <w:t xml:space="preserve">versus </w:t>
      </w:r>
      <w:r>
        <w:rPr>
          <w:rFonts w:ascii="Times New Roman" w:hAnsi="Times New Roman" w:cs="Times New Roman"/>
          <w:noProof/>
          <w:sz w:val="24"/>
          <w:szCs w:val="24"/>
        </w:rPr>
        <w:t xml:space="preserve">no change/worsening </w:t>
      </w:r>
      <w:r w:rsidR="00B4267A">
        <w:rPr>
          <w:rFonts w:ascii="Times New Roman" w:hAnsi="Times New Roman" w:cs="Times New Roman"/>
          <w:noProof/>
          <w:sz w:val="24"/>
          <w:szCs w:val="24"/>
        </w:rPr>
        <w:t>at</w:t>
      </w:r>
      <w:r>
        <w:rPr>
          <w:rFonts w:ascii="Times New Roman" w:hAnsi="Times New Roman" w:cs="Times New Roman"/>
          <w:noProof/>
          <w:sz w:val="24"/>
          <w:szCs w:val="24"/>
        </w:rPr>
        <w:t xml:space="preserve"> 6 months</w:t>
      </w:r>
      <w:r w:rsidR="00F56EA2">
        <w:rPr>
          <w:rFonts w:ascii="Times New Roman" w:hAnsi="Times New Roman" w:cs="Times New Roman"/>
          <w:noProof/>
          <w:sz w:val="24"/>
          <w:szCs w:val="24"/>
        </w:rPr>
        <w:t xml:space="preserve"> in </w:t>
      </w:r>
      <w:r w:rsidR="00413887">
        <w:rPr>
          <w:rFonts w:ascii="Times New Roman" w:hAnsi="Times New Roman" w:cs="Times New Roman"/>
          <w:noProof/>
          <w:sz w:val="24"/>
          <w:szCs w:val="24"/>
        </w:rPr>
        <w:t xml:space="preserve">their </w:t>
      </w:r>
      <w:r w:rsidR="00F56EA2">
        <w:rPr>
          <w:rFonts w:ascii="Times New Roman" w:hAnsi="Times New Roman" w:cs="Times New Roman"/>
          <w:noProof/>
          <w:sz w:val="24"/>
          <w:szCs w:val="24"/>
        </w:rPr>
        <w:t xml:space="preserve">MSK </w:t>
      </w:r>
      <w:r w:rsidR="00413887">
        <w:rPr>
          <w:rFonts w:ascii="Times New Roman" w:hAnsi="Times New Roman" w:cs="Times New Roman"/>
          <w:noProof/>
          <w:sz w:val="24"/>
          <w:szCs w:val="24"/>
        </w:rPr>
        <w:t xml:space="preserve">condition </w:t>
      </w:r>
      <w:r w:rsidR="005E06D3">
        <w:rPr>
          <w:rFonts w:ascii="Times New Roman" w:hAnsi="Times New Roman" w:cs="Times New Roman"/>
          <w:noProof/>
          <w:sz w:val="24"/>
          <w:szCs w:val="24"/>
        </w:rPr>
        <w:t>(Table 2</w:t>
      </w:r>
      <w:r w:rsidR="00B52CFA">
        <w:rPr>
          <w:rFonts w:ascii="Times New Roman" w:hAnsi="Times New Roman" w:cs="Times New Roman"/>
          <w:noProof/>
          <w:sz w:val="24"/>
          <w:szCs w:val="24"/>
        </w:rPr>
        <w:t xml:space="preserve">; </w:t>
      </w:r>
      <w:r w:rsidR="00DB18CB">
        <w:rPr>
          <w:rFonts w:ascii="Times New Roman" w:hAnsi="Times New Roman" w:cs="Times New Roman"/>
          <w:noProof/>
          <w:sz w:val="24"/>
          <w:szCs w:val="24"/>
        </w:rPr>
        <w:t>Figure 1</w:t>
      </w:r>
      <w:r w:rsidR="005E06D3">
        <w:rPr>
          <w:rFonts w:ascii="Times New Roman" w:hAnsi="Times New Roman" w:cs="Times New Roman"/>
          <w:noProof/>
          <w:sz w:val="24"/>
          <w:szCs w:val="24"/>
        </w:rPr>
        <w:t>)</w:t>
      </w:r>
      <w:r>
        <w:rPr>
          <w:rFonts w:ascii="Times New Roman" w:hAnsi="Times New Roman" w:cs="Times New Roman"/>
          <w:noProof/>
          <w:sz w:val="24"/>
          <w:szCs w:val="24"/>
        </w:rPr>
        <w:t>. The AUC for the absol</w:t>
      </w:r>
      <w:r w:rsidR="005E06D3">
        <w:rPr>
          <w:rFonts w:ascii="Times New Roman" w:hAnsi="Times New Roman" w:cs="Times New Roman"/>
          <w:noProof/>
          <w:sz w:val="24"/>
          <w:szCs w:val="24"/>
        </w:rPr>
        <w:t>u</w:t>
      </w:r>
      <w:r>
        <w:rPr>
          <w:rFonts w:ascii="Times New Roman" w:hAnsi="Times New Roman" w:cs="Times New Roman"/>
          <w:noProof/>
          <w:sz w:val="24"/>
          <w:szCs w:val="24"/>
        </w:rPr>
        <w:t xml:space="preserve">te 6-month change in MSK-HQ scores in all </w:t>
      </w:r>
      <w:r w:rsidR="0094588F">
        <w:rPr>
          <w:rFonts w:ascii="Times New Roman" w:hAnsi="Times New Roman" w:cs="Times New Roman"/>
          <w:noProof/>
          <w:sz w:val="24"/>
          <w:szCs w:val="24"/>
        </w:rPr>
        <w:t xml:space="preserve">participants </w:t>
      </w:r>
      <w:r>
        <w:rPr>
          <w:rFonts w:ascii="Times New Roman" w:hAnsi="Times New Roman" w:cs="Times New Roman"/>
          <w:noProof/>
          <w:sz w:val="24"/>
          <w:szCs w:val="24"/>
        </w:rPr>
        <w:t xml:space="preserve">was 0.81 (95% CI </w:t>
      </w:r>
      <w:r w:rsidR="007F0CF6">
        <w:rPr>
          <w:rFonts w:ascii="Times New Roman" w:hAnsi="Times New Roman" w:cs="Times New Roman"/>
          <w:noProof/>
          <w:sz w:val="24"/>
          <w:szCs w:val="24"/>
        </w:rPr>
        <w:t xml:space="preserve">0.78, </w:t>
      </w:r>
      <w:r w:rsidR="005E06D3">
        <w:rPr>
          <w:rFonts w:ascii="Times New Roman" w:hAnsi="Times New Roman" w:cs="Times New Roman"/>
          <w:noProof/>
          <w:sz w:val="24"/>
          <w:szCs w:val="24"/>
        </w:rPr>
        <w:t xml:space="preserve">0.85). </w:t>
      </w:r>
      <w:r w:rsidR="00EC01A4">
        <w:rPr>
          <w:rFonts w:ascii="Times New Roman" w:hAnsi="Times New Roman" w:cs="Times New Roman"/>
          <w:noProof/>
          <w:sz w:val="24"/>
          <w:szCs w:val="24"/>
        </w:rPr>
        <w:t xml:space="preserve">An AUC of 0.70 is considered sufficient in this context </w:t>
      </w:r>
      <w:r w:rsidR="00FF2BD8">
        <w:rPr>
          <w:rFonts w:ascii="Times New Roman" w:hAnsi="Times New Roman" w:cs="Times New Roman"/>
          <w:noProof/>
          <w:sz w:val="24"/>
          <w:szCs w:val="24"/>
        </w:rPr>
        <w:fldChar w:fldCharType="begin" w:fldLock="1"/>
      </w:r>
      <w:r w:rsidR="009670B7">
        <w:rPr>
          <w:rFonts w:ascii="Times New Roman" w:hAnsi="Times New Roman" w:cs="Times New Roman"/>
          <w:noProof/>
          <w:sz w:val="24"/>
          <w:szCs w:val="24"/>
        </w:rPr>
        <w:instrText>ADDIN CSL_CITATION {"citationItems":[{"id":"ITEM-1","itemData":{"DOI":"https://doi.org/10.1016/j.jclinepi.2006.03.012","ISSN":"0895-4356","abstract":"Objectives Recently, an increasing number of systematic reviews have been published in which the measurement properties of health status questionnaires are compared. For a meaningful comparison, quality criteria for measurement properties are needed. Our aim was to develop quality criteria for design, methods, and outcomes of studies on the development and evaluation of health status questionnaires. Study Design and Setting Quality criteria for content validity, internal consistency, criterion validity, construct validity, reproducibility, longitudinal validity, responsiveness, floor and ceiling effects, and interpretability were derived from existing guidelines and consensus within our research group. Results For each measurement property a criterion was defined for a positive, negative, or indeterminate rating, depending on the design, methods, and outcomes of the validation study. Conclusion Our criteria make a substantial contribution toward defining explicit quality criteria for measurement properties of health status questionnaires. Our criteria can be used in systematic reviews of health status questionnaires, to detect shortcomings and gaps in knowledge of measurement properties, and to design validation studies. The future challenge will be to refine and complete the criteria and to reach broad consensus, especially on quality criteria for good measurement properties.","author":[{"dropping-particle":"","family":"Terwee","given":"Caroline B","non-dropping-particle":"","parse-names":false,"suffix":""},{"dropping-particle":"","family":"Bot","given":"Sandra D M","non-dropping-particle":"","parse-names":false,"suffix":""},{"dropping-particle":"","family":"Boer","given":"Michael R","non-dropping-particle":"de","parse-names":false,"suffix":""},{"dropping-particle":"","family":"Windt","given":"Daniëlle A W M","non-dropping-particle":"van der","parse-names":false,"suffix":""},{"dropping-particle":"","family":"Knol","given":"Dirk L","non-dropping-particle":"","parse-names":false,"suffix":""},{"dropping-particle":"","family":"Dekker","given":"Joost","non-dropping-particle":"","parse-names":false,"suffix":""},{"dropping-particle":"","family":"Bouter","given":"Lex M","non-dropping-particle":"","parse-names":false,"suffix":""},{"dropping-particle":"","family":"Vet","given":"Henrica C W","non-dropping-particle":"de","parse-names":false,"suffix":""}],"container-title":"Journal of Clinical Epidemiology","id":"ITEM-1","issue":"1","issued":{"date-parts":[["2007"]]},"page":"34-42","title":"Quality criteria were proposed for measurement properties of health status questionnaires","type":"article-journal","volume":"60"},"uris":["http://www.mendeley.com/documents/?uuid=82273b03-14f8-44d9-92fe-6d9e368a0e21"]}],"mendeley":{"formattedCitation":"(38)","plainTextFormattedCitation":"(38)","previouslyFormattedCitation":"(38)"},"properties":{"noteIndex":0},"schema":"https://github.com/citation-style-language/schema/raw/master/csl-citation.json"}</w:instrText>
      </w:r>
      <w:r w:rsidR="00FF2BD8">
        <w:rPr>
          <w:rFonts w:ascii="Times New Roman" w:hAnsi="Times New Roman" w:cs="Times New Roman"/>
          <w:noProof/>
          <w:sz w:val="24"/>
          <w:szCs w:val="24"/>
        </w:rPr>
        <w:fldChar w:fldCharType="separate"/>
      </w:r>
      <w:r w:rsidR="00C54581" w:rsidRPr="00C54581">
        <w:rPr>
          <w:rFonts w:ascii="Times New Roman" w:hAnsi="Times New Roman" w:cs="Times New Roman"/>
          <w:noProof/>
          <w:sz w:val="24"/>
          <w:szCs w:val="24"/>
        </w:rPr>
        <w:t>(38)</w:t>
      </w:r>
      <w:r w:rsidR="00FF2BD8">
        <w:rPr>
          <w:rFonts w:ascii="Times New Roman" w:hAnsi="Times New Roman" w:cs="Times New Roman"/>
          <w:noProof/>
          <w:sz w:val="24"/>
          <w:szCs w:val="24"/>
        </w:rPr>
        <w:fldChar w:fldCharType="end"/>
      </w:r>
      <w:r w:rsidR="00EC01A4">
        <w:rPr>
          <w:rFonts w:ascii="Times New Roman" w:hAnsi="Times New Roman" w:cs="Times New Roman"/>
          <w:noProof/>
          <w:sz w:val="24"/>
          <w:szCs w:val="24"/>
        </w:rPr>
        <w:t xml:space="preserve">. </w:t>
      </w:r>
      <w:r w:rsidR="005E06D3">
        <w:rPr>
          <w:rFonts w:ascii="Times New Roman" w:hAnsi="Times New Roman" w:cs="Times New Roman"/>
          <w:noProof/>
          <w:sz w:val="24"/>
          <w:szCs w:val="24"/>
        </w:rPr>
        <w:t xml:space="preserve">The lowest AUC was observed </w:t>
      </w:r>
      <w:r w:rsidR="0094588F">
        <w:rPr>
          <w:rFonts w:ascii="Times New Roman" w:hAnsi="Times New Roman" w:cs="Times New Roman"/>
          <w:noProof/>
          <w:sz w:val="24"/>
          <w:szCs w:val="24"/>
        </w:rPr>
        <w:t xml:space="preserve">for </w:t>
      </w:r>
      <w:r w:rsidR="005E06D3">
        <w:rPr>
          <w:rFonts w:ascii="Times New Roman" w:hAnsi="Times New Roman" w:cs="Times New Roman"/>
          <w:noProof/>
          <w:sz w:val="24"/>
          <w:szCs w:val="24"/>
        </w:rPr>
        <w:t>neck (0.75</w:t>
      </w:r>
      <w:r w:rsidR="007F0CF6">
        <w:rPr>
          <w:rFonts w:ascii="Times New Roman" w:hAnsi="Times New Roman" w:cs="Times New Roman"/>
          <w:noProof/>
          <w:sz w:val="24"/>
          <w:szCs w:val="24"/>
        </w:rPr>
        <w:t xml:space="preserve">; 95% CI 0.59, </w:t>
      </w:r>
      <w:r w:rsidR="0061458E">
        <w:rPr>
          <w:rFonts w:ascii="Times New Roman" w:hAnsi="Times New Roman" w:cs="Times New Roman"/>
          <w:noProof/>
          <w:sz w:val="24"/>
          <w:szCs w:val="24"/>
        </w:rPr>
        <w:t>0.81</w:t>
      </w:r>
      <w:r w:rsidR="005E06D3">
        <w:rPr>
          <w:rFonts w:ascii="Times New Roman" w:hAnsi="Times New Roman" w:cs="Times New Roman"/>
          <w:noProof/>
          <w:sz w:val="24"/>
          <w:szCs w:val="24"/>
        </w:rPr>
        <w:t xml:space="preserve">) and highest </w:t>
      </w:r>
      <w:r w:rsidR="0094588F">
        <w:rPr>
          <w:rFonts w:ascii="Times New Roman" w:hAnsi="Times New Roman" w:cs="Times New Roman"/>
          <w:noProof/>
          <w:sz w:val="24"/>
          <w:szCs w:val="24"/>
        </w:rPr>
        <w:t xml:space="preserve">for </w:t>
      </w:r>
      <w:r w:rsidR="005E06D3">
        <w:rPr>
          <w:rFonts w:ascii="Times New Roman" w:hAnsi="Times New Roman" w:cs="Times New Roman"/>
          <w:noProof/>
          <w:sz w:val="24"/>
          <w:szCs w:val="24"/>
        </w:rPr>
        <w:t>multi-site (0.92</w:t>
      </w:r>
      <w:r w:rsidR="007F0CF6">
        <w:rPr>
          <w:rFonts w:ascii="Times New Roman" w:hAnsi="Times New Roman" w:cs="Times New Roman"/>
          <w:noProof/>
          <w:sz w:val="24"/>
          <w:szCs w:val="24"/>
        </w:rPr>
        <w:t xml:space="preserve">; 95% CI 0.82, </w:t>
      </w:r>
      <w:r w:rsidR="0061458E">
        <w:rPr>
          <w:rFonts w:ascii="Times New Roman" w:hAnsi="Times New Roman" w:cs="Times New Roman"/>
          <w:noProof/>
          <w:sz w:val="24"/>
          <w:szCs w:val="24"/>
        </w:rPr>
        <w:t>1.00</w:t>
      </w:r>
      <w:r w:rsidR="005E06D3">
        <w:rPr>
          <w:rFonts w:ascii="Times New Roman" w:hAnsi="Times New Roman" w:cs="Times New Roman"/>
          <w:noProof/>
          <w:sz w:val="24"/>
          <w:szCs w:val="24"/>
        </w:rPr>
        <w:t xml:space="preserve">) </w:t>
      </w:r>
      <w:r w:rsidR="00413887">
        <w:rPr>
          <w:rFonts w:ascii="Times New Roman" w:hAnsi="Times New Roman" w:cs="Times New Roman"/>
          <w:noProof/>
          <w:sz w:val="24"/>
          <w:szCs w:val="24"/>
        </w:rPr>
        <w:t xml:space="preserve">pain, </w:t>
      </w:r>
      <w:r w:rsidR="005E06D3">
        <w:rPr>
          <w:rFonts w:ascii="Times New Roman" w:hAnsi="Times New Roman" w:cs="Times New Roman"/>
          <w:noProof/>
          <w:sz w:val="24"/>
          <w:szCs w:val="24"/>
        </w:rPr>
        <w:t xml:space="preserve">although the small number of </w:t>
      </w:r>
      <w:r w:rsidR="0094588F">
        <w:rPr>
          <w:rFonts w:ascii="Times New Roman" w:hAnsi="Times New Roman" w:cs="Times New Roman"/>
          <w:noProof/>
          <w:sz w:val="24"/>
          <w:szCs w:val="24"/>
        </w:rPr>
        <w:t xml:space="preserve">participants </w:t>
      </w:r>
      <w:r w:rsidR="005E06D3">
        <w:rPr>
          <w:rFonts w:ascii="Times New Roman" w:hAnsi="Times New Roman" w:cs="Times New Roman"/>
          <w:noProof/>
          <w:sz w:val="24"/>
          <w:szCs w:val="24"/>
        </w:rPr>
        <w:t xml:space="preserve">in the latter group (n=35) limited the </w:t>
      </w:r>
      <w:r w:rsidR="00B52CFA">
        <w:rPr>
          <w:rFonts w:ascii="Times New Roman" w:hAnsi="Times New Roman" w:cs="Times New Roman"/>
          <w:noProof/>
          <w:sz w:val="24"/>
          <w:szCs w:val="24"/>
        </w:rPr>
        <w:t xml:space="preserve">estimate’s </w:t>
      </w:r>
      <w:r w:rsidR="005E06D3">
        <w:rPr>
          <w:rFonts w:ascii="Times New Roman" w:hAnsi="Times New Roman" w:cs="Times New Roman"/>
          <w:noProof/>
          <w:sz w:val="24"/>
          <w:szCs w:val="24"/>
        </w:rPr>
        <w:t xml:space="preserve">precision. Similar AUC </w:t>
      </w:r>
      <w:r w:rsidR="00D0378A">
        <w:rPr>
          <w:rFonts w:ascii="Times New Roman" w:hAnsi="Times New Roman" w:cs="Times New Roman"/>
          <w:noProof/>
          <w:sz w:val="24"/>
          <w:szCs w:val="24"/>
        </w:rPr>
        <w:t xml:space="preserve">scores </w:t>
      </w:r>
      <w:r w:rsidR="005E06D3">
        <w:rPr>
          <w:rFonts w:ascii="Times New Roman" w:hAnsi="Times New Roman" w:cs="Times New Roman"/>
          <w:noProof/>
          <w:sz w:val="24"/>
          <w:szCs w:val="24"/>
        </w:rPr>
        <w:t>were observed for the relative 6-month change in the MSK-HQ.</w:t>
      </w:r>
    </w:p>
    <w:p w14:paraId="5E8A2AD3" w14:textId="77777777" w:rsidR="005E06D3" w:rsidRDefault="005E06D3" w:rsidP="00EE52D9">
      <w:pPr>
        <w:pStyle w:val="NoSpacing"/>
        <w:spacing w:line="480" w:lineRule="auto"/>
        <w:jc w:val="both"/>
        <w:rPr>
          <w:rFonts w:ascii="Times New Roman" w:hAnsi="Times New Roman" w:cs="Times New Roman"/>
          <w:noProof/>
          <w:sz w:val="24"/>
          <w:szCs w:val="24"/>
        </w:rPr>
      </w:pPr>
    </w:p>
    <w:p w14:paraId="529ECE4E" w14:textId="29E5FB3D" w:rsidR="00AA56FA" w:rsidRPr="00AA56FA" w:rsidRDefault="005E06D3" w:rsidP="00EE52D9">
      <w:pPr>
        <w:pStyle w:val="NoSpacing"/>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MSK-HQ had </w:t>
      </w:r>
      <w:r w:rsidR="001776ED">
        <w:rPr>
          <w:rFonts w:ascii="Times New Roman" w:hAnsi="Times New Roman" w:cs="Times New Roman"/>
          <w:noProof/>
          <w:sz w:val="24"/>
          <w:szCs w:val="24"/>
        </w:rPr>
        <w:t xml:space="preserve">higher AUC values </w:t>
      </w:r>
      <w:r w:rsidR="00B52CFA">
        <w:rPr>
          <w:rFonts w:ascii="Times New Roman" w:hAnsi="Times New Roman" w:cs="Times New Roman"/>
          <w:noProof/>
          <w:sz w:val="24"/>
          <w:szCs w:val="24"/>
        </w:rPr>
        <w:t xml:space="preserve">than </w:t>
      </w:r>
      <w:r>
        <w:rPr>
          <w:rFonts w:ascii="Times New Roman" w:hAnsi="Times New Roman" w:cs="Times New Roman"/>
          <w:noProof/>
          <w:sz w:val="24"/>
          <w:szCs w:val="24"/>
        </w:rPr>
        <w:t>the EQ-5D-</w:t>
      </w:r>
      <w:r w:rsidR="00B52CFA">
        <w:rPr>
          <w:rFonts w:ascii="Times New Roman" w:hAnsi="Times New Roman" w:cs="Times New Roman"/>
          <w:noProof/>
          <w:sz w:val="24"/>
          <w:szCs w:val="24"/>
        </w:rPr>
        <w:t>5</w:t>
      </w:r>
      <w:r>
        <w:rPr>
          <w:rFonts w:ascii="Times New Roman" w:hAnsi="Times New Roman" w:cs="Times New Roman"/>
          <w:noProof/>
          <w:sz w:val="24"/>
          <w:szCs w:val="24"/>
        </w:rPr>
        <w:t xml:space="preserve">L. </w:t>
      </w:r>
      <w:r w:rsidR="00CE4060">
        <w:rPr>
          <w:rFonts w:ascii="Times New Roman" w:hAnsi="Times New Roman" w:cs="Times New Roman"/>
          <w:noProof/>
          <w:sz w:val="24"/>
          <w:szCs w:val="24"/>
        </w:rPr>
        <w:t>T</w:t>
      </w:r>
      <w:r>
        <w:rPr>
          <w:rFonts w:ascii="Times New Roman" w:hAnsi="Times New Roman" w:cs="Times New Roman"/>
          <w:noProof/>
          <w:sz w:val="24"/>
          <w:szCs w:val="24"/>
        </w:rPr>
        <w:t>he AUC for the absolute 6-month change in EQ-5D-</w:t>
      </w:r>
      <w:r w:rsidR="00B52CFA">
        <w:rPr>
          <w:rFonts w:ascii="Times New Roman" w:hAnsi="Times New Roman" w:cs="Times New Roman"/>
          <w:noProof/>
          <w:sz w:val="24"/>
          <w:szCs w:val="24"/>
        </w:rPr>
        <w:t>5</w:t>
      </w:r>
      <w:r>
        <w:rPr>
          <w:rFonts w:ascii="Times New Roman" w:hAnsi="Times New Roman" w:cs="Times New Roman"/>
          <w:noProof/>
          <w:sz w:val="24"/>
          <w:szCs w:val="24"/>
        </w:rPr>
        <w:t>L in all</w:t>
      </w:r>
      <w:r w:rsidR="007F0CF6">
        <w:rPr>
          <w:rFonts w:ascii="Times New Roman" w:hAnsi="Times New Roman" w:cs="Times New Roman"/>
          <w:noProof/>
          <w:sz w:val="24"/>
          <w:szCs w:val="24"/>
        </w:rPr>
        <w:t xml:space="preserve"> </w:t>
      </w:r>
      <w:r w:rsidR="0094588F">
        <w:rPr>
          <w:rFonts w:ascii="Times New Roman" w:hAnsi="Times New Roman" w:cs="Times New Roman"/>
          <w:noProof/>
          <w:sz w:val="24"/>
          <w:szCs w:val="24"/>
        </w:rPr>
        <w:t xml:space="preserve">participants </w:t>
      </w:r>
      <w:r w:rsidR="007F0CF6">
        <w:rPr>
          <w:rFonts w:ascii="Times New Roman" w:hAnsi="Times New Roman" w:cs="Times New Roman"/>
          <w:noProof/>
          <w:sz w:val="24"/>
          <w:szCs w:val="24"/>
        </w:rPr>
        <w:t xml:space="preserve">was 0.68 (95% CI 0.62, </w:t>
      </w:r>
      <w:r>
        <w:rPr>
          <w:rFonts w:ascii="Times New Roman" w:hAnsi="Times New Roman" w:cs="Times New Roman"/>
          <w:noProof/>
          <w:sz w:val="24"/>
          <w:szCs w:val="24"/>
        </w:rPr>
        <w:t xml:space="preserve">0.73). The lowest AUC was observed </w:t>
      </w:r>
      <w:r w:rsidR="0094588F">
        <w:rPr>
          <w:rFonts w:ascii="Times New Roman" w:hAnsi="Times New Roman" w:cs="Times New Roman"/>
          <w:noProof/>
          <w:sz w:val="24"/>
          <w:szCs w:val="24"/>
        </w:rPr>
        <w:t xml:space="preserve">for </w:t>
      </w:r>
      <w:r w:rsidR="00585981">
        <w:rPr>
          <w:rFonts w:ascii="Times New Roman" w:hAnsi="Times New Roman" w:cs="Times New Roman"/>
          <w:noProof/>
          <w:sz w:val="24"/>
          <w:szCs w:val="24"/>
        </w:rPr>
        <w:t>neck</w:t>
      </w:r>
      <w:r w:rsidR="00CE4060">
        <w:rPr>
          <w:rFonts w:ascii="Times New Roman" w:hAnsi="Times New Roman" w:cs="Times New Roman"/>
          <w:noProof/>
          <w:sz w:val="24"/>
          <w:szCs w:val="24"/>
        </w:rPr>
        <w:t xml:space="preserve"> </w:t>
      </w:r>
      <w:r>
        <w:rPr>
          <w:rFonts w:ascii="Times New Roman" w:hAnsi="Times New Roman" w:cs="Times New Roman"/>
          <w:noProof/>
          <w:sz w:val="24"/>
          <w:szCs w:val="24"/>
        </w:rPr>
        <w:t>(0.49</w:t>
      </w:r>
      <w:r w:rsidR="00585981">
        <w:rPr>
          <w:rFonts w:ascii="Times New Roman" w:hAnsi="Times New Roman" w:cs="Times New Roman"/>
          <w:noProof/>
          <w:sz w:val="24"/>
          <w:szCs w:val="24"/>
        </w:rPr>
        <w:t>; 95% CI 0.32</w:t>
      </w:r>
      <w:r w:rsidR="007F0CF6">
        <w:rPr>
          <w:rFonts w:ascii="Times New Roman" w:hAnsi="Times New Roman" w:cs="Times New Roman"/>
          <w:noProof/>
          <w:sz w:val="24"/>
          <w:szCs w:val="24"/>
        </w:rPr>
        <w:t xml:space="preserve">, </w:t>
      </w:r>
      <w:r w:rsidR="00585981">
        <w:rPr>
          <w:rFonts w:ascii="Times New Roman" w:hAnsi="Times New Roman" w:cs="Times New Roman"/>
          <w:noProof/>
          <w:sz w:val="24"/>
          <w:szCs w:val="24"/>
        </w:rPr>
        <w:t xml:space="preserve">0.66) and highest </w:t>
      </w:r>
      <w:r w:rsidR="0094588F">
        <w:rPr>
          <w:rFonts w:ascii="Times New Roman" w:hAnsi="Times New Roman" w:cs="Times New Roman"/>
          <w:noProof/>
          <w:sz w:val="24"/>
          <w:szCs w:val="24"/>
        </w:rPr>
        <w:t xml:space="preserve">for </w:t>
      </w:r>
      <w:r w:rsidR="00585981">
        <w:rPr>
          <w:rFonts w:ascii="Times New Roman" w:hAnsi="Times New Roman" w:cs="Times New Roman"/>
          <w:noProof/>
          <w:sz w:val="24"/>
          <w:szCs w:val="24"/>
        </w:rPr>
        <w:t>s</w:t>
      </w:r>
      <w:r w:rsidR="007F0CF6">
        <w:rPr>
          <w:rFonts w:ascii="Times New Roman" w:hAnsi="Times New Roman" w:cs="Times New Roman"/>
          <w:noProof/>
          <w:sz w:val="24"/>
          <w:szCs w:val="24"/>
        </w:rPr>
        <w:t xml:space="preserve">houlder (0.72; 95% CI 0.60, </w:t>
      </w:r>
      <w:r w:rsidR="00585981">
        <w:rPr>
          <w:rFonts w:ascii="Times New Roman" w:hAnsi="Times New Roman" w:cs="Times New Roman"/>
          <w:noProof/>
          <w:sz w:val="24"/>
          <w:szCs w:val="24"/>
        </w:rPr>
        <w:t>0.72</w:t>
      </w:r>
      <w:r>
        <w:rPr>
          <w:rFonts w:ascii="Times New Roman" w:hAnsi="Times New Roman" w:cs="Times New Roman"/>
          <w:noProof/>
          <w:sz w:val="24"/>
          <w:szCs w:val="24"/>
        </w:rPr>
        <w:t>)</w:t>
      </w:r>
      <w:r w:rsidR="00413887">
        <w:rPr>
          <w:rFonts w:ascii="Times New Roman" w:hAnsi="Times New Roman" w:cs="Times New Roman"/>
          <w:noProof/>
          <w:sz w:val="24"/>
          <w:szCs w:val="24"/>
        </w:rPr>
        <w:t xml:space="preserve"> pain</w:t>
      </w:r>
      <w:r>
        <w:rPr>
          <w:rFonts w:ascii="Times New Roman" w:hAnsi="Times New Roman" w:cs="Times New Roman"/>
          <w:noProof/>
          <w:sz w:val="24"/>
          <w:szCs w:val="24"/>
        </w:rPr>
        <w:t>. Similar AUC scores were observed for the relative 6-month change in EQ-5D-</w:t>
      </w:r>
      <w:r w:rsidR="00B52CFA">
        <w:rPr>
          <w:rFonts w:ascii="Times New Roman" w:hAnsi="Times New Roman" w:cs="Times New Roman"/>
          <w:noProof/>
          <w:sz w:val="24"/>
          <w:szCs w:val="24"/>
        </w:rPr>
        <w:t>5</w:t>
      </w:r>
      <w:r>
        <w:rPr>
          <w:rFonts w:ascii="Times New Roman" w:hAnsi="Times New Roman" w:cs="Times New Roman"/>
          <w:noProof/>
          <w:sz w:val="24"/>
          <w:szCs w:val="24"/>
        </w:rPr>
        <w:t>L.</w:t>
      </w:r>
    </w:p>
    <w:p w14:paraId="36C29786" w14:textId="1B80F68A" w:rsidR="00F61252" w:rsidRDefault="00F61252" w:rsidP="00EE52D9">
      <w:pPr>
        <w:pStyle w:val="NoSpacing"/>
        <w:spacing w:line="480" w:lineRule="auto"/>
        <w:jc w:val="both"/>
        <w:rPr>
          <w:rFonts w:ascii="Times New Roman" w:hAnsi="Times New Roman" w:cs="Times New Roman"/>
          <w:noProof/>
          <w:sz w:val="24"/>
          <w:szCs w:val="24"/>
        </w:rPr>
      </w:pPr>
    </w:p>
    <w:p w14:paraId="70FB9942" w14:textId="097625AB" w:rsidR="001726CC" w:rsidRDefault="00CE4060" w:rsidP="001726CC">
      <w:pPr>
        <w:pStyle w:val="NoSpacing"/>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T</w:t>
      </w:r>
      <w:r w:rsidR="00DE58F3">
        <w:rPr>
          <w:rFonts w:ascii="Times New Roman" w:hAnsi="Times New Roman" w:cs="Times New Roman"/>
          <w:noProof/>
          <w:sz w:val="24"/>
          <w:szCs w:val="24"/>
        </w:rPr>
        <w:t xml:space="preserve">he MSK-HQ </w:t>
      </w:r>
      <w:r w:rsidR="001776ED">
        <w:rPr>
          <w:rFonts w:ascii="Times New Roman" w:hAnsi="Times New Roman" w:cs="Times New Roman"/>
          <w:noProof/>
          <w:sz w:val="24"/>
          <w:szCs w:val="24"/>
        </w:rPr>
        <w:t xml:space="preserve">had similar AUC values to </w:t>
      </w:r>
      <w:r w:rsidR="00DE58F3">
        <w:rPr>
          <w:rFonts w:ascii="Times New Roman" w:hAnsi="Times New Roman" w:cs="Times New Roman"/>
          <w:noProof/>
          <w:sz w:val="24"/>
          <w:szCs w:val="24"/>
        </w:rPr>
        <w:t>reference standard PROMs</w:t>
      </w:r>
      <w:r w:rsidR="0094588F">
        <w:rPr>
          <w:rFonts w:ascii="Times New Roman" w:hAnsi="Times New Roman" w:cs="Times New Roman"/>
          <w:noProof/>
          <w:sz w:val="24"/>
          <w:szCs w:val="24"/>
        </w:rPr>
        <w:t xml:space="preserve"> measuring disability</w:t>
      </w:r>
      <w:r w:rsidR="00DE58F3">
        <w:rPr>
          <w:rFonts w:ascii="Times New Roman" w:hAnsi="Times New Roman" w:cs="Times New Roman"/>
          <w:noProof/>
          <w:sz w:val="24"/>
          <w:szCs w:val="24"/>
        </w:rPr>
        <w:t xml:space="preserve"> </w:t>
      </w:r>
      <w:r w:rsidR="00510D88">
        <w:rPr>
          <w:rFonts w:ascii="Times New Roman" w:hAnsi="Times New Roman" w:cs="Times New Roman"/>
          <w:noProof/>
          <w:sz w:val="24"/>
          <w:szCs w:val="24"/>
        </w:rPr>
        <w:t xml:space="preserve">at discriminating between </w:t>
      </w:r>
      <w:r w:rsidR="0094588F">
        <w:rPr>
          <w:rFonts w:ascii="Times New Roman" w:hAnsi="Times New Roman" w:cs="Times New Roman"/>
          <w:noProof/>
          <w:sz w:val="24"/>
          <w:szCs w:val="24"/>
        </w:rPr>
        <w:t xml:space="preserve">those </w:t>
      </w:r>
      <w:r w:rsidR="00510D88">
        <w:rPr>
          <w:rFonts w:ascii="Times New Roman" w:hAnsi="Times New Roman" w:cs="Times New Roman"/>
          <w:noProof/>
          <w:sz w:val="24"/>
          <w:szCs w:val="24"/>
        </w:rPr>
        <w:t xml:space="preserve">reporting </w:t>
      </w:r>
      <w:r w:rsidR="0094588F">
        <w:rPr>
          <w:rFonts w:ascii="Times New Roman" w:hAnsi="Times New Roman" w:cs="Times New Roman"/>
          <w:noProof/>
          <w:sz w:val="24"/>
          <w:szCs w:val="24"/>
        </w:rPr>
        <w:t>resolution/</w:t>
      </w:r>
      <w:r w:rsidR="00510D88">
        <w:rPr>
          <w:rFonts w:ascii="Times New Roman" w:hAnsi="Times New Roman" w:cs="Times New Roman"/>
          <w:noProof/>
          <w:sz w:val="24"/>
          <w:szCs w:val="24"/>
        </w:rPr>
        <w:t xml:space="preserve">improvement </w:t>
      </w:r>
      <w:r w:rsidR="0094588F">
        <w:rPr>
          <w:rFonts w:ascii="Times New Roman" w:hAnsi="Times New Roman" w:cs="Times New Roman"/>
          <w:noProof/>
          <w:sz w:val="24"/>
          <w:szCs w:val="24"/>
        </w:rPr>
        <w:t>versus</w:t>
      </w:r>
      <w:r w:rsidR="00510D88">
        <w:rPr>
          <w:rFonts w:ascii="Times New Roman" w:hAnsi="Times New Roman" w:cs="Times New Roman"/>
          <w:noProof/>
          <w:sz w:val="24"/>
          <w:szCs w:val="24"/>
        </w:rPr>
        <w:t xml:space="preserve"> no change/worsening </w:t>
      </w:r>
      <w:r w:rsidR="00DE58F3">
        <w:rPr>
          <w:rFonts w:ascii="Times New Roman" w:hAnsi="Times New Roman" w:cs="Times New Roman"/>
          <w:noProof/>
          <w:sz w:val="24"/>
          <w:szCs w:val="24"/>
        </w:rPr>
        <w:t>(Table 2</w:t>
      </w:r>
      <w:r w:rsidR="00B52CFA">
        <w:rPr>
          <w:rFonts w:ascii="Times New Roman" w:hAnsi="Times New Roman" w:cs="Times New Roman"/>
          <w:noProof/>
          <w:sz w:val="24"/>
          <w:szCs w:val="24"/>
        </w:rPr>
        <w:t>;</w:t>
      </w:r>
      <w:r w:rsidR="00DB18CB">
        <w:rPr>
          <w:rFonts w:ascii="Times New Roman" w:hAnsi="Times New Roman" w:cs="Times New Roman"/>
          <w:noProof/>
          <w:sz w:val="24"/>
          <w:szCs w:val="24"/>
        </w:rPr>
        <w:t xml:space="preserve"> Figure 1</w:t>
      </w:r>
      <w:r w:rsidR="00DE58F3">
        <w:rPr>
          <w:rFonts w:ascii="Times New Roman" w:hAnsi="Times New Roman" w:cs="Times New Roman"/>
          <w:noProof/>
          <w:sz w:val="24"/>
          <w:szCs w:val="24"/>
        </w:rPr>
        <w:t xml:space="preserve">). </w:t>
      </w:r>
      <w:r w:rsidR="002102B4">
        <w:rPr>
          <w:rFonts w:ascii="Times New Roman" w:hAnsi="Times New Roman" w:cs="Times New Roman"/>
          <w:noProof/>
          <w:sz w:val="24"/>
          <w:szCs w:val="24"/>
        </w:rPr>
        <w:t xml:space="preserve">For low back pain, AUC values for the absolute 6-month change scores in the RMDQ and MSK-HQ were </w:t>
      </w:r>
      <w:r w:rsidR="002102B4" w:rsidRPr="0012269E">
        <w:rPr>
          <w:rFonts w:ascii="Times New Roman" w:hAnsi="Times New Roman" w:cs="Times New Roman"/>
          <w:noProof/>
          <w:sz w:val="24"/>
          <w:szCs w:val="24"/>
        </w:rPr>
        <w:t>0.74 (</w:t>
      </w:r>
      <w:r w:rsidR="002102B4">
        <w:rPr>
          <w:rFonts w:ascii="Times New Roman" w:hAnsi="Times New Roman" w:cs="Times New Roman"/>
          <w:noProof/>
          <w:sz w:val="24"/>
          <w:szCs w:val="24"/>
        </w:rPr>
        <w:t xml:space="preserve">95% CI 0.65, </w:t>
      </w:r>
      <w:r w:rsidR="002102B4" w:rsidRPr="0012269E">
        <w:rPr>
          <w:rFonts w:ascii="Times New Roman" w:hAnsi="Times New Roman" w:cs="Times New Roman"/>
          <w:noProof/>
          <w:sz w:val="24"/>
          <w:szCs w:val="24"/>
        </w:rPr>
        <w:t xml:space="preserve">0.82) </w:t>
      </w:r>
      <w:r w:rsidR="002102B4">
        <w:rPr>
          <w:rFonts w:ascii="Times New Roman" w:hAnsi="Times New Roman" w:cs="Times New Roman"/>
          <w:noProof/>
          <w:sz w:val="24"/>
          <w:szCs w:val="24"/>
        </w:rPr>
        <w:t xml:space="preserve">and </w:t>
      </w:r>
      <w:r w:rsidR="002102B4" w:rsidRPr="0012269E">
        <w:rPr>
          <w:rFonts w:ascii="Times New Roman" w:hAnsi="Times New Roman" w:cs="Times New Roman"/>
          <w:noProof/>
          <w:sz w:val="24"/>
          <w:szCs w:val="24"/>
        </w:rPr>
        <w:t>0.81 (</w:t>
      </w:r>
      <w:r w:rsidR="002102B4">
        <w:rPr>
          <w:rFonts w:ascii="Times New Roman" w:hAnsi="Times New Roman" w:cs="Times New Roman"/>
          <w:noProof/>
          <w:sz w:val="24"/>
          <w:szCs w:val="24"/>
        </w:rPr>
        <w:t xml:space="preserve">95% CI 0.74, </w:t>
      </w:r>
      <w:r w:rsidR="002102B4" w:rsidRPr="0012269E">
        <w:rPr>
          <w:rFonts w:ascii="Times New Roman" w:hAnsi="Times New Roman" w:cs="Times New Roman"/>
          <w:noProof/>
          <w:sz w:val="24"/>
          <w:szCs w:val="24"/>
        </w:rPr>
        <w:t>0.88)</w:t>
      </w:r>
      <w:r w:rsidR="002102B4">
        <w:rPr>
          <w:rFonts w:ascii="Times New Roman" w:hAnsi="Times New Roman" w:cs="Times New Roman"/>
          <w:noProof/>
          <w:sz w:val="24"/>
          <w:szCs w:val="24"/>
        </w:rPr>
        <w:t xml:space="preserve">, respectively. For neck pain, AUC values for the absolute 6-month change scores in the NDI and MSK-HQ were </w:t>
      </w:r>
      <w:r w:rsidR="002102B4" w:rsidRPr="0012269E">
        <w:rPr>
          <w:rFonts w:ascii="Times New Roman" w:hAnsi="Times New Roman" w:cs="Times New Roman"/>
          <w:noProof/>
          <w:sz w:val="24"/>
          <w:szCs w:val="24"/>
        </w:rPr>
        <w:t>0.74 (</w:t>
      </w:r>
      <w:r w:rsidR="002102B4">
        <w:rPr>
          <w:rFonts w:ascii="Times New Roman" w:hAnsi="Times New Roman" w:cs="Times New Roman"/>
          <w:noProof/>
          <w:sz w:val="24"/>
          <w:szCs w:val="24"/>
        </w:rPr>
        <w:t xml:space="preserve">95% CI 0.59, </w:t>
      </w:r>
      <w:r w:rsidR="002102B4" w:rsidRPr="0012269E">
        <w:rPr>
          <w:rFonts w:ascii="Times New Roman" w:hAnsi="Times New Roman" w:cs="Times New Roman"/>
          <w:noProof/>
          <w:sz w:val="24"/>
          <w:szCs w:val="24"/>
        </w:rPr>
        <w:t xml:space="preserve">0.89) </w:t>
      </w:r>
      <w:r w:rsidR="002102B4">
        <w:rPr>
          <w:rFonts w:ascii="Times New Roman" w:hAnsi="Times New Roman" w:cs="Times New Roman"/>
          <w:noProof/>
          <w:sz w:val="24"/>
          <w:szCs w:val="24"/>
        </w:rPr>
        <w:t xml:space="preserve">and </w:t>
      </w:r>
      <w:r w:rsidR="002102B4" w:rsidRPr="0012269E">
        <w:rPr>
          <w:rFonts w:ascii="Times New Roman" w:hAnsi="Times New Roman" w:cs="Times New Roman"/>
          <w:noProof/>
          <w:sz w:val="24"/>
          <w:szCs w:val="24"/>
        </w:rPr>
        <w:t>0.75 (</w:t>
      </w:r>
      <w:r w:rsidR="002102B4">
        <w:rPr>
          <w:rFonts w:ascii="Times New Roman" w:hAnsi="Times New Roman" w:cs="Times New Roman"/>
          <w:noProof/>
          <w:sz w:val="24"/>
          <w:szCs w:val="24"/>
        </w:rPr>
        <w:t xml:space="preserve">95% CI 0.59, </w:t>
      </w:r>
      <w:r w:rsidR="002102B4" w:rsidRPr="0012269E">
        <w:rPr>
          <w:rFonts w:ascii="Times New Roman" w:hAnsi="Times New Roman" w:cs="Times New Roman"/>
          <w:noProof/>
          <w:sz w:val="24"/>
          <w:szCs w:val="24"/>
        </w:rPr>
        <w:t>0.81)</w:t>
      </w:r>
      <w:r w:rsidR="002102B4">
        <w:rPr>
          <w:rFonts w:ascii="Times New Roman" w:hAnsi="Times New Roman" w:cs="Times New Roman"/>
          <w:noProof/>
          <w:sz w:val="24"/>
          <w:szCs w:val="24"/>
        </w:rPr>
        <w:t xml:space="preserve">, respectively. For shoulder pain, AUC values for the absolute 6-month change scores in the SPADI and MSK-HQ were </w:t>
      </w:r>
      <w:r w:rsidR="002102B4" w:rsidRPr="0012269E">
        <w:rPr>
          <w:rFonts w:ascii="Times New Roman" w:hAnsi="Times New Roman" w:cs="Times New Roman"/>
          <w:noProof/>
          <w:sz w:val="24"/>
          <w:szCs w:val="24"/>
        </w:rPr>
        <w:t>0.74 (</w:t>
      </w:r>
      <w:r w:rsidR="002102B4">
        <w:rPr>
          <w:rFonts w:ascii="Times New Roman" w:hAnsi="Times New Roman" w:cs="Times New Roman"/>
          <w:noProof/>
          <w:sz w:val="24"/>
          <w:szCs w:val="24"/>
        </w:rPr>
        <w:t xml:space="preserve">95% CI 0.64, </w:t>
      </w:r>
      <w:r w:rsidR="002102B4" w:rsidRPr="0012269E">
        <w:rPr>
          <w:rFonts w:ascii="Times New Roman" w:hAnsi="Times New Roman" w:cs="Times New Roman"/>
          <w:noProof/>
          <w:sz w:val="24"/>
          <w:szCs w:val="24"/>
        </w:rPr>
        <w:t xml:space="preserve">0.84) </w:t>
      </w:r>
      <w:r w:rsidR="002102B4">
        <w:rPr>
          <w:rFonts w:ascii="Times New Roman" w:hAnsi="Times New Roman" w:cs="Times New Roman"/>
          <w:noProof/>
          <w:sz w:val="24"/>
          <w:szCs w:val="24"/>
        </w:rPr>
        <w:t xml:space="preserve">and </w:t>
      </w:r>
      <w:r w:rsidR="002102B4" w:rsidRPr="0012269E">
        <w:rPr>
          <w:rFonts w:ascii="Times New Roman" w:hAnsi="Times New Roman" w:cs="Times New Roman"/>
          <w:noProof/>
          <w:sz w:val="24"/>
          <w:szCs w:val="24"/>
        </w:rPr>
        <w:t>0.83 (</w:t>
      </w:r>
      <w:r w:rsidR="002102B4">
        <w:rPr>
          <w:rFonts w:ascii="Times New Roman" w:hAnsi="Times New Roman" w:cs="Times New Roman"/>
          <w:noProof/>
          <w:sz w:val="24"/>
          <w:szCs w:val="24"/>
        </w:rPr>
        <w:t xml:space="preserve">95% CI 0.74, </w:t>
      </w:r>
      <w:r w:rsidR="002102B4" w:rsidRPr="0012269E">
        <w:rPr>
          <w:rFonts w:ascii="Times New Roman" w:hAnsi="Times New Roman" w:cs="Times New Roman"/>
          <w:noProof/>
          <w:sz w:val="24"/>
          <w:szCs w:val="24"/>
        </w:rPr>
        <w:t>0.91)</w:t>
      </w:r>
      <w:r w:rsidR="002102B4">
        <w:rPr>
          <w:rFonts w:ascii="Times New Roman" w:hAnsi="Times New Roman" w:cs="Times New Roman"/>
          <w:noProof/>
          <w:sz w:val="24"/>
          <w:szCs w:val="24"/>
        </w:rPr>
        <w:t xml:space="preserve">, respectively. </w:t>
      </w:r>
      <w:r w:rsidR="00DE58F3">
        <w:rPr>
          <w:rFonts w:ascii="Times New Roman" w:hAnsi="Times New Roman" w:cs="Times New Roman"/>
          <w:noProof/>
          <w:sz w:val="24"/>
          <w:szCs w:val="24"/>
        </w:rPr>
        <w:t xml:space="preserve">For knee pain, AUC values for the </w:t>
      </w:r>
      <w:r>
        <w:rPr>
          <w:rFonts w:ascii="Times New Roman" w:hAnsi="Times New Roman" w:cs="Times New Roman"/>
          <w:noProof/>
          <w:sz w:val="24"/>
          <w:szCs w:val="24"/>
        </w:rPr>
        <w:t xml:space="preserve">absolute </w:t>
      </w:r>
      <w:r w:rsidR="00DE58F3">
        <w:rPr>
          <w:rFonts w:ascii="Times New Roman" w:hAnsi="Times New Roman" w:cs="Times New Roman"/>
          <w:noProof/>
          <w:sz w:val="24"/>
          <w:szCs w:val="24"/>
        </w:rPr>
        <w:t xml:space="preserve">6-month change scores </w:t>
      </w:r>
      <w:r>
        <w:rPr>
          <w:rFonts w:ascii="Times New Roman" w:hAnsi="Times New Roman" w:cs="Times New Roman"/>
          <w:noProof/>
          <w:sz w:val="24"/>
          <w:szCs w:val="24"/>
        </w:rPr>
        <w:t xml:space="preserve">in </w:t>
      </w:r>
      <w:r w:rsidR="00DE58F3">
        <w:rPr>
          <w:rFonts w:ascii="Times New Roman" w:hAnsi="Times New Roman" w:cs="Times New Roman"/>
          <w:noProof/>
          <w:sz w:val="24"/>
          <w:szCs w:val="24"/>
        </w:rPr>
        <w:t xml:space="preserve">the KOOS and MSK-HQ were 0.80 (95% CI </w:t>
      </w:r>
      <w:r w:rsidR="007F0CF6">
        <w:rPr>
          <w:rFonts w:ascii="Times New Roman" w:hAnsi="Times New Roman" w:cs="Times New Roman"/>
          <w:noProof/>
          <w:sz w:val="24"/>
          <w:szCs w:val="24"/>
        </w:rPr>
        <w:t xml:space="preserve">0.72, 0.88) and 0.80 (95% CI 0.72, </w:t>
      </w:r>
      <w:r w:rsidR="00905A36">
        <w:rPr>
          <w:rFonts w:ascii="Times New Roman" w:hAnsi="Times New Roman" w:cs="Times New Roman"/>
          <w:noProof/>
          <w:sz w:val="24"/>
          <w:szCs w:val="24"/>
        </w:rPr>
        <w:t xml:space="preserve">0.87), respectively. </w:t>
      </w:r>
      <w:r>
        <w:rPr>
          <w:rFonts w:ascii="Times New Roman" w:hAnsi="Times New Roman" w:cs="Times New Roman"/>
          <w:noProof/>
          <w:sz w:val="24"/>
          <w:szCs w:val="24"/>
        </w:rPr>
        <w:t>Finally, f</w:t>
      </w:r>
      <w:r w:rsidR="00905A36">
        <w:rPr>
          <w:rFonts w:ascii="Times New Roman" w:hAnsi="Times New Roman" w:cs="Times New Roman"/>
          <w:noProof/>
          <w:sz w:val="24"/>
          <w:szCs w:val="24"/>
        </w:rPr>
        <w:t xml:space="preserve">or </w:t>
      </w:r>
      <w:r w:rsidR="0012269E">
        <w:rPr>
          <w:rFonts w:ascii="Times New Roman" w:hAnsi="Times New Roman" w:cs="Times New Roman"/>
          <w:noProof/>
          <w:sz w:val="24"/>
          <w:szCs w:val="24"/>
        </w:rPr>
        <w:t>multi-site</w:t>
      </w:r>
      <w:r w:rsidR="00905A36">
        <w:rPr>
          <w:rFonts w:ascii="Times New Roman" w:hAnsi="Times New Roman" w:cs="Times New Roman"/>
          <w:noProof/>
          <w:sz w:val="24"/>
          <w:szCs w:val="24"/>
        </w:rPr>
        <w:t xml:space="preserve"> pain, AUC values for the absol</w:t>
      </w:r>
      <w:r w:rsidR="001726CC">
        <w:rPr>
          <w:rFonts w:ascii="Times New Roman" w:hAnsi="Times New Roman" w:cs="Times New Roman"/>
          <w:noProof/>
          <w:sz w:val="24"/>
          <w:szCs w:val="24"/>
        </w:rPr>
        <w:t>u</w:t>
      </w:r>
      <w:r w:rsidR="00905A36">
        <w:rPr>
          <w:rFonts w:ascii="Times New Roman" w:hAnsi="Times New Roman" w:cs="Times New Roman"/>
          <w:noProof/>
          <w:sz w:val="24"/>
          <w:szCs w:val="24"/>
        </w:rPr>
        <w:t xml:space="preserve">te 6-month change scores </w:t>
      </w:r>
      <w:r>
        <w:rPr>
          <w:rFonts w:ascii="Times New Roman" w:hAnsi="Times New Roman" w:cs="Times New Roman"/>
          <w:noProof/>
          <w:sz w:val="24"/>
          <w:szCs w:val="24"/>
        </w:rPr>
        <w:t xml:space="preserve">in </w:t>
      </w:r>
      <w:r w:rsidR="00905A36">
        <w:rPr>
          <w:rFonts w:ascii="Times New Roman" w:hAnsi="Times New Roman" w:cs="Times New Roman"/>
          <w:noProof/>
          <w:sz w:val="24"/>
          <w:szCs w:val="24"/>
        </w:rPr>
        <w:t xml:space="preserve">the </w:t>
      </w:r>
      <w:r w:rsidR="0012269E">
        <w:rPr>
          <w:rFonts w:ascii="Times New Roman" w:hAnsi="Times New Roman" w:cs="Times New Roman"/>
          <w:noProof/>
          <w:sz w:val="24"/>
          <w:szCs w:val="24"/>
        </w:rPr>
        <w:t xml:space="preserve">SF-36 PCS, and </w:t>
      </w:r>
      <w:r w:rsidR="00905A36">
        <w:rPr>
          <w:rFonts w:ascii="Times New Roman" w:hAnsi="Times New Roman" w:cs="Times New Roman"/>
          <w:noProof/>
          <w:sz w:val="24"/>
          <w:szCs w:val="24"/>
        </w:rPr>
        <w:t xml:space="preserve">MSK-HQ were </w:t>
      </w:r>
      <w:r w:rsidR="0012269E" w:rsidRPr="0012269E">
        <w:rPr>
          <w:rFonts w:ascii="Times New Roman" w:hAnsi="Times New Roman" w:cs="Times New Roman"/>
          <w:noProof/>
          <w:sz w:val="24"/>
          <w:szCs w:val="24"/>
        </w:rPr>
        <w:t>0.57 (</w:t>
      </w:r>
      <w:r w:rsidR="00510D88">
        <w:rPr>
          <w:rFonts w:ascii="Times New Roman" w:hAnsi="Times New Roman" w:cs="Times New Roman"/>
          <w:noProof/>
          <w:sz w:val="24"/>
          <w:szCs w:val="24"/>
        </w:rPr>
        <w:t xml:space="preserve">95% CI </w:t>
      </w:r>
      <w:r w:rsidR="007F0CF6">
        <w:rPr>
          <w:rFonts w:ascii="Times New Roman" w:hAnsi="Times New Roman" w:cs="Times New Roman"/>
          <w:noProof/>
          <w:sz w:val="24"/>
          <w:szCs w:val="24"/>
        </w:rPr>
        <w:t xml:space="preserve">0.37, </w:t>
      </w:r>
      <w:r w:rsidR="0012269E" w:rsidRPr="0012269E">
        <w:rPr>
          <w:rFonts w:ascii="Times New Roman" w:hAnsi="Times New Roman" w:cs="Times New Roman"/>
          <w:noProof/>
          <w:sz w:val="24"/>
          <w:szCs w:val="24"/>
        </w:rPr>
        <w:t>0.68), and 0.92 (</w:t>
      </w:r>
      <w:r w:rsidR="00510D88">
        <w:rPr>
          <w:rFonts w:ascii="Times New Roman" w:hAnsi="Times New Roman" w:cs="Times New Roman"/>
          <w:noProof/>
          <w:sz w:val="24"/>
          <w:szCs w:val="24"/>
        </w:rPr>
        <w:t xml:space="preserve">95% CI </w:t>
      </w:r>
      <w:r w:rsidR="007F0CF6">
        <w:rPr>
          <w:rFonts w:ascii="Times New Roman" w:hAnsi="Times New Roman" w:cs="Times New Roman"/>
          <w:noProof/>
          <w:sz w:val="24"/>
          <w:szCs w:val="24"/>
        </w:rPr>
        <w:t xml:space="preserve">0.82, </w:t>
      </w:r>
      <w:r w:rsidR="0012269E" w:rsidRPr="0012269E">
        <w:rPr>
          <w:rFonts w:ascii="Times New Roman" w:hAnsi="Times New Roman" w:cs="Times New Roman"/>
          <w:noProof/>
          <w:sz w:val="24"/>
          <w:szCs w:val="24"/>
        </w:rPr>
        <w:t>1.00)</w:t>
      </w:r>
      <w:r w:rsidR="00905A36">
        <w:rPr>
          <w:rFonts w:ascii="Times New Roman" w:hAnsi="Times New Roman" w:cs="Times New Roman"/>
          <w:noProof/>
          <w:sz w:val="24"/>
          <w:szCs w:val="24"/>
        </w:rPr>
        <w:t xml:space="preserve">, respectively. </w:t>
      </w:r>
      <w:r w:rsidR="0012269E">
        <w:rPr>
          <w:rFonts w:ascii="Times New Roman" w:hAnsi="Times New Roman" w:cs="Times New Roman"/>
          <w:noProof/>
          <w:sz w:val="24"/>
          <w:szCs w:val="24"/>
        </w:rPr>
        <w:t>Similar findings were seen for relative 6-month PROM change scores.</w:t>
      </w:r>
      <w:r w:rsidR="001726CC">
        <w:rPr>
          <w:rFonts w:ascii="Times New Roman" w:hAnsi="Times New Roman" w:cs="Times New Roman"/>
          <w:noProof/>
          <w:sz w:val="24"/>
          <w:szCs w:val="24"/>
        </w:rPr>
        <w:t xml:space="preserve"> The EQ-5D-</w:t>
      </w:r>
      <w:r w:rsidR="00B52CFA">
        <w:rPr>
          <w:rFonts w:ascii="Times New Roman" w:hAnsi="Times New Roman" w:cs="Times New Roman"/>
          <w:noProof/>
          <w:sz w:val="24"/>
          <w:szCs w:val="24"/>
        </w:rPr>
        <w:t>5</w:t>
      </w:r>
      <w:r w:rsidR="001726CC">
        <w:rPr>
          <w:rFonts w:ascii="Times New Roman" w:hAnsi="Times New Roman" w:cs="Times New Roman"/>
          <w:noProof/>
          <w:sz w:val="24"/>
          <w:szCs w:val="24"/>
        </w:rPr>
        <w:t>L had lower AUC statistics than all reference standard PROMs, except the SF-12 PCS for multi-site pain</w:t>
      </w:r>
      <w:r w:rsidR="006E31C8">
        <w:rPr>
          <w:rFonts w:ascii="Times New Roman" w:hAnsi="Times New Roman" w:cs="Times New Roman"/>
          <w:noProof/>
          <w:sz w:val="24"/>
          <w:szCs w:val="24"/>
        </w:rPr>
        <w:t xml:space="preserve"> </w:t>
      </w:r>
      <w:r w:rsidR="001726CC">
        <w:rPr>
          <w:rFonts w:ascii="Times New Roman" w:hAnsi="Times New Roman" w:cs="Times New Roman"/>
          <w:noProof/>
          <w:sz w:val="24"/>
          <w:szCs w:val="24"/>
        </w:rPr>
        <w:t>(Table 2</w:t>
      </w:r>
      <w:r w:rsidR="00B52CFA">
        <w:rPr>
          <w:rFonts w:ascii="Times New Roman" w:hAnsi="Times New Roman" w:cs="Times New Roman"/>
          <w:noProof/>
          <w:sz w:val="24"/>
          <w:szCs w:val="24"/>
        </w:rPr>
        <w:t>;</w:t>
      </w:r>
      <w:r w:rsidR="001726CC">
        <w:rPr>
          <w:rFonts w:ascii="Times New Roman" w:hAnsi="Times New Roman" w:cs="Times New Roman"/>
          <w:noProof/>
          <w:sz w:val="24"/>
          <w:szCs w:val="24"/>
        </w:rPr>
        <w:t xml:space="preserve"> Figure 1). </w:t>
      </w:r>
    </w:p>
    <w:p w14:paraId="2336F711" w14:textId="56ED2F61" w:rsidR="00C54581" w:rsidRPr="00C54581" w:rsidRDefault="00C54581" w:rsidP="001726CC">
      <w:pPr>
        <w:pStyle w:val="NoSpacing"/>
        <w:spacing w:line="480" w:lineRule="auto"/>
        <w:jc w:val="both"/>
        <w:rPr>
          <w:rFonts w:ascii="Times New Roman" w:hAnsi="Times New Roman" w:cs="Times New Roman"/>
          <w:noProof/>
          <w:sz w:val="24"/>
          <w:szCs w:val="24"/>
        </w:rPr>
      </w:pPr>
    </w:p>
    <w:p w14:paraId="643F87D5" w14:textId="6308C8CC" w:rsidR="00C54581" w:rsidRPr="00C54581" w:rsidRDefault="00C54581" w:rsidP="001726CC">
      <w:pPr>
        <w:pStyle w:val="NoSpacing"/>
        <w:spacing w:line="480" w:lineRule="auto"/>
        <w:jc w:val="both"/>
        <w:rPr>
          <w:rFonts w:ascii="Times New Roman" w:hAnsi="Times New Roman" w:cs="Times New Roman"/>
          <w:noProof/>
          <w:sz w:val="24"/>
          <w:szCs w:val="24"/>
        </w:rPr>
      </w:pPr>
      <w:r w:rsidRPr="007A0E61">
        <w:rPr>
          <w:rFonts w:ascii="Times New Roman" w:hAnsi="Times New Roman" w:cs="Times New Roman"/>
          <w:sz w:val="24"/>
          <w:szCs w:val="24"/>
        </w:rPr>
        <w:t xml:space="preserve">Using ordinal logistic regression models, predicted cut-offs in 6-month changes in MSK-HQ scores of -6.5 (95% CI -10.5, -3.5), 7.5 (95% CI 4.5, 10.5) and 17.5 (95% CI 13.5, 20.5) were optimal to identify patients that were worse/similar, similar/improved, and improved/much improved in their global assessment of change in MSK condition scores, respectively. For the EQ-5D-5L, these scores were -0.30 (95% CI -0.48, -0.16), 0.08 (95% CI -0.02, 0.19), and 0.26 (95% CI 0.16, 0.40), respectively. For the MSK-HQ, the Kappa statistic for agreement between the known and predicted score cut-offs for global change categories was 0.55 (95% CI 0.48, 0.61), with the lower 95% confidence interval indicating </w:t>
      </w:r>
      <w:r w:rsidRPr="007A0E61">
        <w:rPr>
          <w:rFonts w:ascii="Times New Roman" w:hAnsi="Times New Roman" w:cs="Times New Roman"/>
          <w:iCs/>
          <w:sz w:val="24"/>
          <w:szCs w:val="24"/>
        </w:rPr>
        <w:t>intermediate-to-good</w:t>
      </w:r>
      <w:r w:rsidRPr="007A0E61">
        <w:rPr>
          <w:rFonts w:ascii="Times New Roman" w:hAnsi="Times New Roman" w:cs="Times New Roman"/>
          <w:sz w:val="24"/>
          <w:szCs w:val="24"/>
        </w:rPr>
        <w:t xml:space="preserve"> agreement </w:t>
      </w:r>
      <w:r w:rsidRPr="007A0E61">
        <w:rPr>
          <w:rFonts w:ascii="Times New Roman" w:hAnsi="Times New Roman" w:cs="Times New Roman"/>
          <w:sz w:val="24"/>
          <w:szCs w:val="24"/>
        </w:rPr>
        <w:fldChar w:fldCharType="begin" w:fldLock="1"/>
      </w:r>
      <w:r w:rsidR="009670B7">
        <w:rPr>
          <w:rFonts w:ascii="Times New Roman" w:hAnsi="Times New Roman" w:cs="Times New Roman"/>
          <w:sz w:val="24"/>
          <w:szCs w:val="24"/>
        </w:rPr>
        <w:instrText>ADDIN CSL_CITATION {"citationItems":[{"id":"ITEM-1","itemData":{"id":"ITEM-1","issued":{"date-parts":[["0"]]},"title":"Fleiss, J. 1981. Statistical Methods for Rates and Proportions. John Wiley &amp; Sons","type":"book"},"uris":["http://www.mendeley.com/documents/?uuid=22de1811-6155-4741-8a37-f0386ed6d484"]}],"mendeley":{"formattedCitation":"(39)","plainTextFormattedCitation":"(39)","previouslyFormattedCitation":"(39)"},"properties":{"noteIndex":0},"schema":"https://github.com/citation-style-language/schema/raw/master/csl-citation.json"}</w:instrText>
      </w:r>
      <w:r w:rsidRPr="007A0E61">
        <w:rPr>
          <w:rFonts w:ascii="Times New Roman" w:hAnsi="Times New Roman" w:cs="Times New Roman"/>
          <w:sz w:val="24"/>
          <w:szCs w:val="24"/>
        </w:rPr>
        <w:fldChar w:fldCharType="separate"/>
      </w:r>
      <w:r w:rsidRPr="00C54581">
        <w:rPr>
          <w:rFonts w:ascii="Times New Roman" w:hAnsi="Times New Roman" w:cs="Times New Roman"/>
          <w:noProof/>
          <w:sz w:val="24"/>
          <w:szCs w:val="24"/>
        </w:rPr>
        <w:t>(39)</w:t>
      </w:r>
      <w:r w:rsidRPr="007A0E61">
        <w:rPr>
          <w:rFonts w:ascii="Times New Roman" w:hAnsi="Times New Roman" w:cs="Times New Roman"/>
          <w:sz w:val="24"/>
          <w:szCs w:val="24"/>
        </w:rPr>
        <w:fldChar w:fldCharType="end"/>
      </w:r>
      <w:r w:rsidRPr="007A0E61">
        <w:rPr>
          <w:rFonts w:ascii="Times New Roman" w:hAnsi="Times New Roman" w:cs="Times New Roman"/>
          <w:sz w:val="24"/>
          <w:szCs w:val="24"/>
        </w:rPr>
        <w:t xml:space="preserve">. </w:t>
      </w:r>
      <w:r w:rsidRPr="007A0E61">
        <w:rPr>
          <w:rFonts w:ascii="Times New Roman" w:hAnsi="Times New Roman" w:cs="Times New Roman"/>
          <w:sz w:val="24"/>
          <w:szCs w:val="24"/>
        </w:rPr>
        <w:lastRenderedPageBreak/>
        <w:t xml:space="preserve">For the EQ-5D-5L, the Kappa statistic was 0.31 (95% CI 0.22, 0.40) with the lower CI indicating </w:t>
      </w:r>
      <w:r w:rsidRPr="007A0E61">
        <w:rPr>
          <w:rFonts w:ascii="Times New Roman" w:hAnsi="Times New Roman" w:cs="Times New Roman"/>
          <w:iCs/>
          <w:sz w:val="24"/>
          <w:szCs w:val="24"/>
        </w:rPr>
        <w:t>poor</w:t>
      </w:r>
      <w:r w:rsidRPr="007A0E61">
        <w:rPr>
          <w:rFonts w:ascii="Times New Roman" w:hAnsi="Times New Roman" w:cs="Times New Roman"/>
          <w:sz w:val="24"/>
          <w:szCs w:val="24"/>
        </w:rPr>
        <w:t xml:space="preserve"> agreement.</w:t>
      </w:r>
    </w:p>
    <w:p w14:paraId="323DCF42" w14:textId="77777777" w:rsidR="0012269E" w:rsidRDefault="0012269E" w:rsidP="00EE52D9">
      <w:pPr>
        <w:pStyle w:val="NoSpacing"/>
        <w:spacing w:line="480" w:lineRule="auto"/>
        <w:jc w:val="both"/>
        <w:rPr>
          <w:rFonts w:ascii="Times New Roman" w:hAnsi="Times New Roman" w:cs="Times New Roman"/>
          <w:noProof/>
          <w:sz w:val="24"/>
          <w:szCs w:val="24"/>
        </w:rPr>
      </w:pPr>
    </w:p>
    <w:p w14:paraId="52A55672" w14:textId="2E96A8FE" w:rsidR="0012269E" w:rsidRDefault="005E4DFA" w:rsidP="00EE52D9">
      <w:pPr>
        <w:pStyle w:val="NoSpacing"/>
        <w:spacing w:line="48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3.5 </w:t>
      </w:r>
      <w:r w:rsidR="0012269E">
        <w:rPr>
          <w:rFonts w:ascii="Times New Roman" w:hAnsi="Times New Roman" w:cs="Times New Roman"/>
          <w:b/>
          <w:noProof/>
          <w:sz w:val="24"/>
          <w:szCs w:val="24"/>
        </w:rPr>
        <w:t>Minimal Clinical Important Differences</w:t>
      </w:r>
      <w:r w:rsidR="0094588F">
        <w:rPr>
          <w:rFonts w:ascii="Times New Roman" w:hAnsi="Times New Roman" w:cs="Times New Roman"/>
          <w:b/>
          <w:noProof/>
          <w:sz w:val="24"/>
          <w:szCs w:val="24"/>
        </w:rPr>
        <w:t xml:space="preserve"> (MCIDs)</w:t>
      </w:r>
    </w:p>
    <w:p w14:paraId="41831D2C" w14:textId="0A736D2C" w:rsidR="0012269E" w:rsidRDefault="00F95A78" w:rsidP="00EE52D9">
      <w:pPr>
        <w:pStyle w:val="NoSpacing"/>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sidR="0012269E">
        <w:rPr>
          <w:rFonts w:ascii="Times New Roman" w:hAnsi="Times New Roman" w:cs="Times New Roman"/>
          <w:noProof/>
          <w:sz w:val="24"/>
          <w:szCs w:val="24"/>
        </w:rPr>
        <w:t xml:space="preserve">6-month change in MSK-HQ </w:t>
      </w:r>
      <w:r w:rsidR="00CF6BE8">
        <w:rPr>
          <w:rFonts w:ascii="Times New Roman" w:hAnsi="Times New Roman" w:cs="Times New Roman"/>
          <w:noProof/>
          <w:sz w:val="24"/>
          <w:szCs w:val="24"/>
        </w:rPr>
        <w:t>scores had a strong correlation</w:t>
      </w:r>
      <w:r w:rsidR="0012269E">
        <w:rPr>
          <w:rFonts w:ascii="Times New Roman" w:hAnsi="Times New Roman" w:cs="Times New Roman"/>
          <w:noProof/>
          <w:sz w:val="24"/>
          <w:szCs w:val="24"/>
        </w:rPr>
        <w:t xml:space="preserve"> with patient global assessment of change in MSK </w:t>
      </w:r>
      <w:r w:rsidR="004A0C34">
        <w:rPr>
          <w:rFonts w:ascii="Times New Roman" w:hAnsi="Times New Roman" w:cs="Times New Roman"/>
          <w:noProof/>
          <w:sz w:val="24"/>
          <w:szCs w:val="24"/>
        </w:rPr>
        <w:t>condition scores</w:t>
      </w:r>
      <w:r w:rsidR="007F0CF6">
        <w:rPr>
          <w:rFonts w:ascii="Times New Roman" w:hAnsi="Times New Roman" w:cs="Times New Roman"/>
          <w:noProof/>
          <w:sz w:val="24"/>
          <w:szCs w:val="24"/>
        </w:rPr>
        <w:t xml:space="preserve"> (r=0.</w:t>
      </w:r>
      <w:r w:rsidR="007A684C">
        <w:rPr>
          <w:rFonts w:ascii="Times New Roman" w:hAnsi="Times New Roman" w:cs="Times New Roman"/>
          <w:noProof/>
          <w:sz w:val="24"/>
          <w:szCs w:val="24"/>
        </w:rPr>
        <w:t>60</w:t>
      </w:r>
      <w:r w:rsidR="007F0CF6">
        <w:rPr>
          <w:rFonts w:ascii="Times New Roman" w:hAnsi="Times New Roman" w:cs="Times New Roman"/>
          <w:noProof/>
          <w:sz w:val="24"/>
          <w:szCs w:val="24"/>
        </w:rPr>
        <w:t>; 95% CI 0.5</w:t>
      </w:r>
      <w:r w:rsidR="007A684C">
        <w:rPr>
          <w:rFonts w:ascii="Times New Roman" w:hAnsi="Times New Roman" w:cs="Times New Roman"/>
          <w:noProof/>
          <w:sz w:val="24"/>
          <w:szCs w:val="24"/>
        </w:rPr>
        <w:t>3</w:t>
      </w:r>
      <w:r w:rsidR="007F0CF6">
        <w:rPr>
          <w:rFonts w:ascii="Times New Roman" w:hAnsi="Times New Roman" w:cs="Times New Roman"/>
          <w:noProof/>
          <w:sz w:val="24"/>
          <w:szCs w:val="24"/>
        </w:rPr>
        <w:t xml:space="preserve">, </w:t>
      </w:r>
      <w:r w:rsidR="0012269E">
        <w:rPr>
          <w:rFonts w:ascii="Times New Roman" w:hAnsi="Times New Roman" w:cs="Times New Roman"/>
          <w:noProof/>
          <w:sz w:val="24"/>
          <w:szCs w:val="24"/>
        </w:rPr>
        <w:t>0.6</w:t>
      </w:r>
      <w:r w:rsidR="007A684C">
        <w:rPr>
          <w:rFonts w:ascii="Times New Roman" w:hAnsi="Times New Roman" w:cs="Times New Roman"/>
          <w:noProof/>
          <w:sz w:val="24"/>
          <w:szCs w:val="24"/>
        </w:rPr>
        <w:t>5</w:t>
      </w:r>
      <w:r w:rsidR="0012269E">
        <w:rPr>
          <w:rFonts w:ascii="Times New Roman" w:hAnsi="Times New Roman" w:cs="Times New Roman"/>
          <w:noProof/>
          <w:sz w:val="24"/>
          <w:szCs w:val="24"/>
        </w:rPr>
        <w:t xml:space="preserve">) (Table 3). High correlations were also observed </w:t>
      </w:r>
      <w:r w:rsidR="001F7AB8">
        <w:rPr>
          <w:rFonts w:ascii="Times New Roman" w:hAnsi="Times New Roman" w:cs="Times New Roman"/>
          <w:noProof/>
          <w:sz w:val="24"/>
          <w:szCs w:val="24"/>
        </w:rPr>
        <w:t>between patient global assessment o</w:t>
      </w:r>
      <w:r w:rsidR="004A0C34">
        <w:rPr>
          <w:rFonts w:ascii="Times New Roman" w:hAnsi="Times New Roman" w:cs="Times New Roman"/>
          <w:noProof/>
          <w:sz w:val="24"/>
          <w:szCs w:val="24"/>
        </w:rPr>
        <w:t xml:space="preserve">f change scores, </w:t>
      </w:r>
      <w:r w:rsidR="001F7AB8">
        <w:rPr>
          <w:rFonts w:ascii="Times New Roman" w:hAnsi="Times New Roman" w:cs="Times New Roman"/>
          <w:noProof/>
          <w:sz w:val="24"/>
          <w:szCs w:val="24"/>
        </w:rPr>
        <w:t xml:space="preserve">and </w:t>
      </w:r>
      <w:r w:rsidR="0012269E">
        <w:rPr>
          <w:rFonts w:ascii="Times New Roman" w:hAnsi="Times New Roman" w:cs="Times New Roman"/>
          <w:noProof/>
          <w:sz w:val="24"/>
          <w:szCs w:val="24"/>
        </w:rPr>
        <w:t>the KOOS</w:t>
      </w:r>
      <w:r w:rsidR="001F7AB8">
        <w:rPr>
          <w:rFonts w:ascii="Times New Roman" w:hAnsi="Times New Roman" w:cs="Times New Roman"/>
          <w:noProof/>
          <w:sz w:val="24"/>
          <w:szCs w:val="24"/>
        </w:rPr>
        <w:t xml:space="preserve"> (r=0.5</w:t>
      </w:r>
      <w:r w:rsidR="007A684C">
        <w:rPr>
          <w:rFonts w:ascii="Times New Roman" w:hAnsi="Times New Roman" w:cs="Times New Roman"/>
          <w:noProof/>
          <w:sz w:val="24"/>
          <w:szCs w:val="24"/>
        </w:rPr>
        <w:t>9</w:t>
      </w:r>
      <w:r w:rsidR="001F7AB8">
        <w:rPr>
          <w:rFonts w:ascii="Times New Roman" w:hAnsi="Times New Roman" w:cs="Times New Roman"/>
          <w:noProof/>
          <w:sz w:val="24"/>
          <w:szCs w:val="24"/>
        </w:rPr>
        <w:t>)</w:t>
      </w:r>
      <w:r w:rsidR="0012269E">
        <w:rPr>
          <w:rFonts w:ascii="Times New Roman" w:hAnsi="Times New Roman" w:cs="Times New Roman"/>
          <w:noProof/>
          <w:sz w:val="24"/>
          <w:szCs w:val="24"/>
        </w:rPr>
        <w:t xml:space="preserve">, </w:t>
      </w:r>
      <w:r w:rsidR="00DB18CB">
        <w:rPr>
          <w:rFonts w:ascii="Times New Roman" w:hAnsi="Times New Roman" w:cs="Times New Roman"/>
          <w:noProof/>
          <w:sz w:val="24"/>
          <w:szCs w:val="24"/>
        </w:rPr>
        <w:t>NDI</w:t>
      </w:r>
      <w:r w:rsidR="001F7AB8">
        <w:rPr>
          <w:rFonts w:ascii="Times New Roman" w:hAnsi="Times New Roman" w:cs="Times New Roman"/>
          <w:noProof/>
          <w:sz w:val="24"/>
          <w:szCs w:val="24"/>
        </w:rPr>
        <w:t xml:space="preserve"> (r=-0.5</w:t>
      </w:r>
      <w:r w:rsidR="007A684C">
        <w:rPr>
          <w:rFonts w:ascii="Times New Roman" w:hAnsi="Times New Roman" w:cs="Times New Roman"/>
          <w:noProof/>
          <w:sz w:val="24"/>
          <w:szCs w:val="24"/>
        </w:rPr>
        <w:t>3</w:t>
      </w:r>
      <w:r w:rsidR="001F7AB8">
        <w:rPr>
          <w:rFonts w:ascii="Times New Roman" w:hAnsi="Times New Roman" w:cs="Times New Roman"/>
          <w:noProof/>
          <w:sz w:val="24"/>
          <w:szCs w:val="24"/>
        </w:rPr>
        <w:t>)</w:t>
      </w:r>
      <w:r w:rsidR="00DB18CB">
        <w:rPr>
          <w:rFonts w:ascii="Times New Roman" w:hAnsi="Times New Roman" w:cs="Times New Roman"/>
          <w:noProof/>
          <w:sz w:val="24"/>
          <w:szCs w:val="24"/>
        </w:rPr>
        <w:t>, RM</w:t>
      </w:r>
      <w:r w:rsidR="00871BFB">
        <w:rPr>
          <w:rFonts w:ascii="Times New Roman" w:hAnsi="Times New Roman" w:cs="Times New Roman"/>
          <w:noProof/>
          <w:sz w:val="24"/>
          <w:szCs w:val="24"/>
        </w:rPr>
        <w:t>D</w:t>
      </w:r>
      <w:r w:rsidR="00DB18CB">
        <w:rPr>
          <w:rFonts w:ascii="Times New Roman" w:hAnsi="Times New Roman" w:cs="Times New Roman"/>
          <w:noProof/>
          <w:sz w:val="24"/>
          <w:szCs w:val="24"/>
        </w:rPr>
        <w:t>Q</w:t>
      </w:r>
      <w:r w:rsidR="001F7AB8">
        <w:rPr>
          <w:rFonts w:ascii="Times New Roman" w:hAnsi="Times New Roman" w:cs="Times New Roman"/>
          <w:noProof/>
          <w:sz w:val="24"/>
          <w:szCs w:val="24"/>
        </w:rPr>
        <w:t xml:space="preserve"> (r=-0.4</w:t>
      </w:r>
      <w:r w:rsidR="007A684C">
        <w:rPr>
          <w:rFonts w:ascii="Times New Roman" w:hAnsi="Times New Roman" w:cs="Times New Roman"/>
          <w:noProof/>
          <w:sz w:val="24"/>
          <w:szCs w:val="24"/>
        </w:rPr>
        <w:t>3</w:t>
      </w:r>
      <w:r w:rsidR="001F7AB8">
        <w:rPr>
          <w:rFonts w:ascii="Times New Roman" w:hAnsi="Times New Roman" w:cs="Times New Roman"/>
          <w:noProof/>
          <w:sz w:val="24"/>
          <w:szCs w:val="24"/>
        </w:rPr>
        <w:t>)</w:t>
      </w:r>
      <w:r w:rsidR="00871BFB">
        <w:rPr>
          <w:rFonts w:ascii="Times New Roman" w:hAnsi="Times New Roman" w:cs="Times New Roman"/>
          <w:noProof/>
          <w:sz w:val="24"/>
          <w:szCs w:val="24"/>
        </w:rPr>
        <w:t>, and SPADI</w:t>
      </w:r>
      <w:r w:rsidR="001F7AB8">
        <w:rPr>
          <w:rFonts w:ascii="Times New Roman" w:hAnsi="Times New Roman" w:cs="Times New Roman"/>
          <w:noProof/>
          <w:sz w:val="24"/>
          <w:szCs w:val="24"/>
        </w:rPr>
        <w:t xml:space="preserve"> (-0.4</w:t>
      </w:r>
      <w:r w:rsidR="007A684C">
        <w:rPr>
          <w:rFonts w:ascii="Times New Roman" w:hAnsi="Times New Roman" w:cs="Times New Roman"/>
          <w:noProof/>
          <w:sz w:val="24"/>
          <w:szCs w:val="24"/>
        </w:rPr>
        <w:t>4</w:t>
      </w:r>
      <w:r w:rsidR="001F7AB8">
        <w:rPr>
          <w:rFonts w:ascii="Times New Roman" w:hAnsi="Times New Roman" w:cs="Times New Roman"/>
          <w:noProof/>
          <w:sz w:val="24"/>
          <w:szCs w:val="24"/>
        </w:rPr>
        <w:t>)</w:t>
      </w:r>
      <w:r w:rsidR="00D252A4">
        <w:rPr>
          <w:rFonts w:ascii="Times New Roman" w:hAnsi="Times New Roman" w:cs="Times New Roman"/>
          <w:noProof/>
          <w:sz w:val="24"/>
          <w:szCs w:val="24"/>
        </w:rPr>
        <w:t xml:space="preserve">, </w:t>
      </w:r>
      <w:r w:rsidR="007A684C">
        <w:rPr>
          <w:rFonts w:ascii="Times New Roman" w:hAnsi="Times New Roman" w:cs="Times New Roman"/>
          <w:noProof/>
          <w:sz w:val="24"/>
          <w:szCs w:val="24"/>
        </w:rPr>
        <w:t xml:space="preserve">with weaker correlations observed with </w:t>
      </w:r>
      <w:r w:rsidR="00D252A4">
        <w:rPr>
          <w:rFonts w:ascii="Times New Roman" w:hAnsi="Times New Roman" w:cs="Times New Roman"/>
          <w:noProof/>
          <w:sz w:val="24"/>
          <w:szCs w:val="24"/>
        </w:rPr>
        <w:t>the EQ-5D-</w:t>
      </w:r>
      <w:r w:rsidR="00CF6BE8">
        <w:rPr>
          <w:rFonts w:ascii="Times New Roman" w:hAnsi="Times New Roman" w:cs="Times New Roman"/>
          <w:noProof/>
          <w:sz w:val="24"/>
          <w:szCs w:val="24"/>
        </w:rPr>
        <w:t>5</w:t>
      </w:r>
      <w:r w:rsidR="00D252A4">
        <w:rPr>
          <w:rFonts w:ascii="Times New Roman" w:hAnsi="Times New Roman" w:cs="Times New Roman"/>
          <w:noProof/>
          <w:sz w:val="24"/>
          <w:szCs w:val="24"/>
        </w:rPr>
        <w:t xml:space="preserve">L </w:t>
      </w:r>
      <w:r w:rsidR="001F7AB8">
        <w:rPr>
          <w:rFonts w:ascii="Times New Roman" w:hAnsi="Times New Roman" w:cs="Times New Roman"/>
          <w:noProof/>
          <w:sz w:val="24"/>
          <w:szCs w:val="24"/>
        </w:rPr>
        <w:t>(r=0.</w:t>
      </w:r>
      <w:r w:rsidR="007A684C">
        <w:rPr>
          <w:rFonts w:ascii="Times New Roman" w:hAnsi="Times New Roman" w:cs="Times New Roman"/>
          <w:noProof/>
          <w:sz w:val="24"/>
          <w:szCs w:val="24"/>
        </w:rPr>
        <w:t>37</w:t>
      </w:r>
      <w:r w:rsidR="001F7AB8">
        <w:rPr>
          <w:rFonts w:ascii="Times New Roman" w:hAnsi="Times New Roman" w:cs="Times New Roman"/>
          <w:noProof/>
          <w:sz w:val="24"/>
          <w:szCs w:val="24"/>
        </w:rPr>
        <w:t>)</w:t>
      </w:r>
      <w:r w:rsidR="00D252A4">
        <w:rPr>
          <w:rFonts w:ascii="Times New Roman" w:hAnsi="Times New Roman" w:cs="Times New Roman"/>
          <w:noProof/>
          <w:sz w:val="24"/>
          <w:szCs w:val="24"/>
        </w:rPr>
        <w:t xml:space="preserve">, </w:t>
      </w:r>
      <w:r w:rsidR="007A684C">
        <w:rPr>
          <w:rFonts w:ascii="Times New Roman" w:hAnsi="Times New Roman" w:cs="Times New Roman"/>
          <w:noProof/>
          <w:sz w:val="24"/>
          <w:szCs w:val="24"/>
        </w:rPr>
        <w:t xml:space="preserve">and </w:t>
      </w:r>
      <w:r w:rsidR="00D252A4">
        <w:rPr>
          <w:rFonts w:ascii="Times New Roman" w:hAnsi="Times New Roman" w:cs="Times New Roman"/>
          <w:noProof/>
          <w:sz w:val="24"/>
          <w:szCs w:val="24"/>
        </w:rPr>
        <w:t xml:space="preserve">SF-36 PCS </w:t>
      </w:r>
      <w:r w:rsidR="001F7AB8">
        <w:rPr>
          <w:rFonts w:ascii="Times New Roman" w:hAnsi="Times New Roman" w:cs="Times New Roman"/>
          <w:noProof/>
          <w:sz w:val="24"/>
          <w:szCs w:val="24"/>
        </w:rPr>
        <w:t>(r=0.1</w:t>
      </w:r>
      <w:r w:rsidR="007A684C">
        <w:rPr>
          <w:rFonts w:ascii="Times New Roman" w:hAnsi="Times New Roman" w:cs="Times New Roman"/>
          <w:noProof/>
          <w:sz w:val="24"/>
          <w:szCs w:val="24"/>
        </w:rPr>
        <w:t>5</w:t>
      </w:r>
      <w:r w:rsidR="001F7AB8">
        <w:rPr>
          <w:rFonts w:ascii="Times New Roman" w:hAnsi="Times New Roman" w:cs="Times New Roman"/>
          <w:noProof/>
          <w:sz w:val="24"/>
          <w:szCs w:val="24"/>
        </w:rPr>
        <w:t>)</w:t>
      </w:r>
      <w:r w:rsidR="00D252A4">
        <w:rPr>
          <w:rFonts w:ascii="Times New Roman" w:hAnsi="Times New Roman" w:cs="Times New Roman"/>
          <w:noProof/>
          <w:sz w:val="24"/>
          <w:szCs w:val="24"/>
        </w:rPr>
        <w:t>.</w:t>
      </w:r>
    </w:p>
    <w:p w14:paraId="0CBE4D1B" w14:textId="7BA0B030" w:rsidR="00D252A4" w:rsidRDefault="00D252A4" w:rsidP="00EE52D9">
      <w:pPr>
        <w:pStyle w:val="NoSpacing"/>
        <w:spacing w:line="480" w:lineRule="auto"/>
        <w:jc w:val="both"/>
        <w:rPr>
          <w:rFonts w:ascii="Times New Roman" w:hAnsi="Times New Roman" w:cs="Times New Roman"/>
          <w:noProof/>
          <w:sz w:val="24"/>
          <w:szCs w:val="24"/>
        </w:rPr>
      </w:pPr>
    </w:p>
    <w:p w14:paraId="3E79E8CF" w14:textId="092FDEB2" w:rsidR="00215F60" w:rsidRDefault="00D252A4" w:rsidP="00EE52D9">
      <w:pPr>
        <w:pStyle w:val="NoSpacing"/>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all </w:t>
      </w:r>
      <w:r w:rsidR="009C7729">
        <w:rPr>
          <w:rFonts w:ascii="Times New Roman" w:hAnsi="Times New Roman" w:cs="Times New Roman"/>
          <w:noProof/>
          <w:sz w:val="24"/>
          <w:szCs w:val="24"/>
        </w:rPr>
        <w:t>participants,</w:t>
      </w:r>
      <w:r>
        <w:rPr>
          <w:rFonts w:ascii="Times New Roman" w:hAnsi="Times New Roman" w:cs="Times New Roman"/>
          <w:noProof/>
          <w:sz w:val="24"/>
          <w:szCs w:val="24"/>
        </w:rPr>
        <w:t xml:space="preserve"> the MCID in the absolute 6-month change score for the MSK-HQ was 5.5, which had a 72% sensitivity and 78</w:t>
      </w:r>
      <w:r w:rsidR="00DB18CB">
        <w:rPr>
          <w:rFonts w:ascii="Times New Roman" w:hAnsi="Times New Roman" w:cs="Times New Roman"/>
          <w:noProof/>
          <w:sz w:val="24"/>
          <w:szCs w:val="24"/>
        </w:rPr>
        <w:t>%</w:t>
      </w:r>
      <w:r>
        <w:rPr>
          <w:rFonts w:ascii="Times New Roman" w:hAnsi="Times New Roman" w:cs="Times New Roman"/>
          <w:noProof/>
          <w:sz w:val="24"/>
          <w:szCs w:val="24"/>
        </w:rPr>
        <w:t xml:space="preserve"> specificity </w:t>
      </w:r>
      <w:r w:rsidR="00DB18CB">
        <w:rPr>
          <w:rFonts w:ascii="Times New Roman" w:hAnsi="Times New Roman" w:cs="Times New Roman"/>
          <w:noProof/>
          <w:sz w:val="24"/>
          <w:szCs w:val="24"/>
        </w:rPr>
        <w:t xml:space="preserve">for </w:t>
      </w:r>
      <w:r>
        <w:rPr>
          <w:rFonts w:ascii="Times New Roman" w:hAnsi="Times New Roman" w:cs="Times New Roman"/>
          <w:noProof/>
          <w:sz w:val="24"/>
          <w:szCs w:val="24"/>
        </w:rPr>
        <w:t xml:space="preserve">discriminating between patients reporting and not reporting </w:t>
      </w:r>
      <w:r w:rsidR="009C7729">
        <w:rPr>
          <w:rFonts w:ascii="Times New Roman" w:hAnsi="Times New Roman" w:cs="Times New Roman"/>
          <w:noProof/>
          <w:sz w:val="24"/>
          <w:szCs w:val="24"/>
        </w:rPr>
        <w:t>resolution/</w:t>
      </w:r>
      <w:r>
        <w:rPr>
          <w:rFonts w:ascii="Times New Roman" w:hAnsi="Times New Roman" w:cs="Times New Roman"/>
          <w:noProof/>
          <w:sz w:val="24"/>
          <w:szCs w:val="24"/>
        </w:rPr>
        <w:t xml:space="preserve">improvement in </w:t>
      </w:r>
      <w:r w:rsidR="004A0C34">
        <w:rPr>
          <w:rFonts w:ascii="Times New Roman" w:hAnsi="Times New Roman" w:cs="Times New Roman"/>
          <w:noProof/>
          <w:sz w:val="24"/>
          <w:szCs w:val="24"/>
        </w:rPr>
        <w:t xml:space="preserve">their </w:t>
      </w:r>
      <w:r>
        <w:rPr>
          <w:rFonts w:ascii="Times New Roman" w:hAnsi="Times New Roman" w:cs="Times New Roman"/>
          <w:noProof/>
          <w:sz w:val="24"/>
          <w:szCs w:val="24"/>
        </w:rPr>
        <w:t xml:space="preserve">MSK </w:t>
      </w:r>
      <w:r w:rsidR="004A0C34">
        <w:rPr>
          <w:rFonts w:ascii="Times New Roman" w:hAnsi="Times New Roman" w:cs="Times New Roman"/>
          <w:noProof/>
          <w:sz w:val="24"/>
          <w:szCs w:val="24"/>
        </w:rPr>
        <w:t xml:space="preserve">condition </w:t>
      </w:r>
      <w:r w:rsidR="00DB18CB">
        <w:rPr>
          <w:rFonts w:ascii="Times New Roman" w:hAnsi="Times New Roman" w:cs="Times New Roman"/>
          <w:noProof/>
          <w:sz w:val="24"/>
          <w:szCs w:val="24"/>
        </w:rPr>
        <w:t>(Table 2)</w:t>
      </w:r>
      <w:r w:rsidR="00CF6BE8">
        <w:rPr>
          <w:rFonts w:ascii="Times New Roman" w:hAnsi="Times New Roman" w:cs="Times New Roman"/>
          <w:noProof/>
          <w:sz w:val="24"/>
          <w:szCs w:val="24"/>
        </w:rPr>
        <w:t xml:space="preserve">, replicating </w:t>
      </w:r>
      <w:r w:rsidR="00215F60">
        <w:rPr>
          <w:rFonts w:ascii="Times New Roman" w:hAnsi="Times New Roman" w:cs="Times New Roman"/>
          <w:noProof/>
          <w:sz w:val="24"/>
          <w:szCs w:val="24"/>
        </w:rPr>
        <w:t xml:space="preserve">the MCID </w:t>
      </w:r>
      <w:r w:rsidR="00DB18CB">
        <w:rPr>
          <w:rFonts w:ascii="Times New Roman" w:hAnsi="Times New Roman" w:cs="Times New Roman"/>
          <w:noProof/>
          <w:sz w:val="24"/>
          <w:szCs w:val="24"/>
        </w:rPr>
        <w:t xml:space="preserve">reported </w:t>
      </w:r>
      <w:r w:rsidR="00CF6BE8">
        <w:rPr>
          <w:rFonts w:ascii="Times New Roman" w:hAnsi="Times New Roman" w:cs="Times New Roman"/>
          <w:noProof/>
          <w:sz w:val="24"/>
          <w:szCs w:val="24"/>
        </w:rPr>
        <w:t xml:space="preserve">in another study </w:t>
      </w:r>
      <w:r w:rsidR="00FF2BD8">
        <w:rPr>
          <w:rFonts w:ascii="Times New Roman" w:hAnsi="Times New Roman" w:cs="Times New Roman"/>
          <w:noProof/>
          <w:sz w:val="24"/>
          <w:szCs w:val="24"/>
        </w:rPr>
        <w:fldChar w:fldCharType="begin" w:fldLock="1"/>
      </w:r>
      <w:r w:rsidR="00FF2BD8">
        <w:rPr>
          <w:rFonts w:ascii="Times New Roman" w:hAnsi="Times New Roman" w:cs="Times New Roman"/>
          <w:noProof/>
          <w:sz w:val="24"/>
          <w:szCs w:val="24"/>
        </w:rPr>
        <w:instrText>ADDIN CSL_CITATION {"citationItems":[{"id":"ITEM-1","itemData":{"DOI":"10.1136/bmjopen-2018-025357","abstract":"Objectives We have previously developed and validated the Arthritis Research UK Musculoskeletal Health Questionnaire (MSK-HQ) for use across musculoskeletal care pathways, showing encouraging psychometric test results. The objective of this study was to determine the responsiveness of MSK-HQ following MSK treatments and to determine the minimally important change (MIC).Setting We collected data in four cohorts from community physiotherapy and secondary-care orthopaedic hip, knee and shoulder clinics.Participants 592 individuals were recruited; 210 patients treated with physiotherapy for a range of MSK conditions in primary care; 150 patients undergoing hip replacement, 150 patients undergoing knee replacement and 82 undergoing shoulder surgery in secondary care.Outcome measures Preoperative data were collected including the MSK-HQ, European Quality of Life-5D (EQ-5D) and the OHS, OKS or OSS in each joint-specific group. The same scores, together with anchor questions, were collected postintervention at 3 months for the physiotherapy group and 6 months for all others. Following COnsensus-based Standards for the selection of health status Measurement INstruments (COSMIN) guidelines, responsiveness was assessed using correlation between scores and the MIC was calculated for the entire cohort using receiver operating characteristic curve analysis.Results The MSK-HQ demonstrated strong correlation (R=0.73) with EQ-5D across the entire cohort and with each of the joint-specific Oxford scores (hip R=0.87, knee R=0.92 and shoulder R=0.77). Moderate correlation was seen between MSK-HQ and EQ-5D across each individual group (R value range 0.60–0.68), apart from the hip group where correlation was strong (R=0.77). The effect size with MSK-HQ was 0.93, in the entire cohort, double that measured with EQ-5D (0.43). In all subgroups, MSK-HQ measured a greater treatment effect compared with EQ-5D. The MIC is 5.5 (95% CI 2.7 to 8.3).Conclusion Our study demonstrates that the MSK-HQ questionnaire is responsive to change across a range of musculoskeletal conditions, supporting its use as a generic MSK measurement instrument.","author":[{"dropping-particle":"","family":"Price","given":"Andrew James","non-dropping-particle":"","parse-names":false,"suffix":""},{"dropping-particle":"","family":"Ogollah","given":"Reuben","non-dropping-particle":"","parse-names":false,"suffix":""},{"dropping-particle":"","family":"Kang","given":"Sujin","non-dropping-particle":"","parse-names":false,"suffix":""},{"dropping-particle":"","family":"Hay","given":"Elaine","non-dropping-particle":"","parse-names":false,"suffix":""},{"dropping-particle":"","family":"Barker","given":"Karen L","non-dropping-particle":"","parse-names":false,"suffix":""},{"dropping-particle":"","family":"Benedetto","given":"Elena","non-dropping-particle":"","parse-names":false,"suffix":""},{"dropping-particle":"","family":"Smith","given":"Stephanie","non-dropping-particle":"","parse-names":false,"suffix":""},{"dropping-particle":"","family":"Smith","given":"James","non-dropping-particle":"","parse-names":false,"suffix":""},{"dropping-particle":"","family":"Galloway","given":"James B","non-dropping-particle":"","parse-names":false,"suffix":""},{"dropping-particle":"","family":"Ellis","given":"Benjamin","non-dropping-particle":"","parse-names":false,"suffix":""},{"dropping-particle":"","family":"Rees","given":"Jonathan","non-dropping-particle":"","parse-names":false,"suffix":""},{"dropping-particle":"","family":"Glyn-Jones","given":"Sion","non-dropping-particle":"","parse-names":false,"suffix":""},{"dropping-particle":"","family":"Beard","given":"David","non-dropping-particle":"","parse-names":false,"suffix":""},{"dropping-particle":"","family":"Fitzpatrick","given":"Ray","non-dropping-particle":"","parse-names":false,"suffix":""},{"dropping-particle":"","family":"Hill","given":"Jonathan C","non-dropping-particle":"","parse-names":false,"suffix":""}],"container-title":"BMJ Open","id":"ITEM-1","issue":"10","issued":{"date-parts":[["2019","10","1"]]},"page":"e025357","title":"Determining responsiveness and meaningful changes for the Musculoskeletal Health Questionnaire (MSK-HQ) for use across musculoskeletal care pathways","type":"article-journal","volume":"9"},"uris":["http://www.mendeley.com/documents/?uuid=3fcd98ff-f5e8-4b7d-8616-fa7a192fd965"]}],"mendeley":{"formattedCitation":"(7)","plainTextFormattedCitation":"(7)","previouslyFormattedCitation":"(7)"},"properties":{"noteIndex":0},"schema":"https://github.com/citation-style-language/schema/raw/master/csl-citation.json"}</w:instrText>
      </w:r>
      <w:r w:rsidR="00FF2BD8">
        <w:rPr>
          <w:rFonts w:ascii="Times New Roman" w:hAnsi="Times New Roman" w:cs="Times New Roman"/>
          <w:noProof/>
          <w:sz w:val="24"/>
          <w:szCs w:val="24"/>
        </w:rPr>
        <w:fldChar w:fldCharType="separate"/>
      </w:r>
      <w:r w:rsidR="00FF2BD8" w:rsidRPr="00FF2BD8">
        <w:rPr>
          <w:rFonts w:ascii="Times New Roman" w:hAnsi="Times New Roman" w:cs="Times New Roman"/>
          <w:noProof/>
          <w:sz w:val="24"/>
          <w:szCs w:val="24"/>
        </w:rPr>
        <w:t>(7)</w:t>
      </w:r>
      <w:r w:rsidR="00FF2BD8">
        <w:rPr>
          <w:rFonts w:ascii="Times New Roman" w:hAnsi="Times New Roman" w:cs="Times New Roman"/>
          <w:noProof/>
          <w:sz w:val="24"/>
          <w:szCs w:val="24"/>
        </w:rPr>
        <w:fldChar w:fldCharType="end"/>
      </w:r>
      <w:r w:rsidR="00215F60">
        <w:rPr>
          <w:rFonts w:ascii="Times New Roman" w:hAnsi="Times New Roman" w:cs="Times New Roman"/>
          <w:noProof/>
          <w:sz w:val="24"/>
          <w:szCs w:val="24"/>
        </w:rPr>
        <w:t xml:space="preserve">. </w:t>
      </w:r>
      <w:r w:rsidR="008D3D96">
        <w:rPr>
          <w:rFonts w:ascii="Times New Roman" w:hAnsi="Times New Roman" w:cs="Times New Roman"/>
          <w:noProof/>
          <w:sz w:val="24"/>
          <w:szCs w:val="24"/>
        </w:rPr>
        <w:t>Some minor v</w:t>
      </w:r>
      <w:r w:rsidR="00215F60">
        <w:rPr>
          <w:rFonts w:ascii="Times New Roman" w:hAnsi="Times New Roman" w:cs="Times New Roman"/>
          <w:noProof/>
          <w:sz w:val="24"/>
          <w:szCs w:val="24"/>
        </w:rPr>
        <w:t xml:space="preserve">ariation </w:t>
      </w:r>
      <w:r w:rsidR="008D3D96">
        <w:rPr>
          <w:rFonts w:ascii="Times New Roman" w:hAnsi="Times New Roman" w:cs="Times New Roman"/>
          <w:noProof/>
          <w:sz w:val="24"/>
          <w:szCs w:val="24"/>
        </w:rPr>
        <w:t xml:space="preserve">(within 2.0 units) </w:t>
      </w:r>
      <w:r w:rsidR="00215F60">
        <w:rPr>
          <w:rFonts w:ascii="Times New Roman" w:hAnsi="Times New Roman" w:cs="Times New Roman"/>
          <w:noProof/>
          <w:sz w:val="24"/>
          <w:szCs w:val="24"/>
        </w:rPr>
        <w:t xml:space="preserve">was observed in the MCID in the MSK-HQ absolute 6-month change score across </w:t>
      </w:r>
      <w:r w:rsidR="008D3D96">
        <w:rPr>
          <w:rFonts w:ascii="Times New Roman" w:hAnsi="Times New Roman" w:cs="Times New Roman"/>
          <w:noProof/>
          <w:sz w:val="24"/>
          <w:szCs w:val="24"/>
        </w:rPr>
        <w:t xml:space="preserve">four of </w:t>
      </w:r>
      <w:r w:rsidR="00F95A78">
        <w:rPr>
          <w:rFonts w:ascii="Times New Roman" w:hAnsi="Times New Roman" w:cs="Times New Roman"/>
          <w:noProof/>
          <w:sz w:val="24"/>
          <w:szCs w:val="24"/>
        </w:rPr>
        <w:t>the five pain-</w:t>
      </w:r>
      <w:r w:rsidR="00215F60">
        <w:rPr>
          <w:rFonts w:ascii="Times New Roman" w:hAnsi="Times New Roman" w:cs="Times New Roman"/>
          <w:noProof/>
          <w:sz w:val="24"/>
          <w:szCs w:val="24"/>
        </w:rPr>
        <w:t xml:space="preserve">sites. </w:t>
      </w:r>
      <w:r w:rsidR="008D3D96">
        <w:rPr>
          <w:rFonts w:ascii="Times New Roman" w:hAnsi="Times New Roman" w:cs="Times New Roman"/>
          <w:noProof/>
          <w:sz w:val="24"/>
          <w:szCs w:val="24"/>
        </w:rPr>
        <w:t>However, for multi-site pain the MCID was substantially lower at 0.50, although the limited sample size of this group makes the</w:t>
      </w:r>
      <w:r w:rsidR="002102B4">
        <w:rPr>
          <w:rFonts w:ascii="Times New Roman" w:hAnsi="Times New Roman" w:cs="Times New Roman"/>
          <w:noProof/>
          <w:sz w:val="24"/>
          <w:szCs w:val="24"/>
        </w:rPr>
        <w:t xml:space="preserve"> </w:t>
      </w:r>
      <w:r w:rsidR="008D3D96">
        <w:rPr>
          <w:rFonts w:ascii="Times New Roman" w:hAnsi="Times New Roman" w:cs="Times New Roman"/>
          <w:noProof/>
          <w:sz w:val="24"/>
          <w:szCs w:val="24"/>
        </w:rPr>
        <w:t>relevance of this finding uncertain.</w:t>
      </w:r>
    </w:p>
    <w:p w14:paraId="3B4594E7" w14:textId="776E408D" w:rsidR="008D3D96" w:rsidRDefault="008D3D96" w:rsidP="00EE52D9">
      <w:pPr>
        <w:pStyle w:val="NoSpacing"/>
        <w:spacing w:line="480" w:lineRule="auto"/>
        <w:jc w:val="both"/>
        <w:rPr>
          <w:rFonts w:ascii="Times New Roman" w:hAnsi="Times New Roman" w:cs="Times New Roman"/>
          <w:noProof/>
          <w:sz w:val="24"/>
          <w:szCs w:val="24"/>
        </w:rPr>
      </w:pPr>
    </w:p>
    <w:p w14:paraId="5BAF4ADF" w14:textId="1736B132" w:rsidR="008D3D96" w:rsidRDefault="008D3D96" w:rsidP="008D3D96">
      <w:pPr>
        <w:pStyle w:val="NoSpacing"/>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MCID for the relative 6-month change score </w:t>
      </w:r>
      <w:r w:rsidR="00806FBD">
        <w:rPr>
          <w:rFonts w:ascii="Times New Roman" w:hAnsi="Times New Roman" w:cs="Times New Roman"/>
          <w:noProof/>
          <w:sz w:val="24"/>
          <w:szCs w:val="24"/>
        </w:rPr>
        <w:t xml:space="preserve">for the MSK-HQ </w:t>
      </w:r>
      <w:r>
        <w:rPr>
          <w:rFonts w:ascii="Times New Roman" w:hAnsi="Times New Roman" w:cs="Times New Roman"/>
          <w:noProof/>
          <w:sz w:val="24"/>
          <w:szCs w:val="24"/>
        </w:rPr>
        <w:t>was 15.7%</w:t>
      </w:r>
      <w:r w:rsidR="00251B3E">
        <w:rPr>
          <w:rFonts w:ascii="Times New Roman" w:hAnsi="Times New Roman" w:cs="Times New Roman"/>
          <w:noProof/>
          <w:sz w:val="24"/>
          <w:szCs w:val="24"/>
        </w:rPr>
        <w:t xml:space="preserve"> (Table 2)</w:t>
      </w:r>
      <w:r>
        <w:rPr>
          <w:rFonts w:ascii="Times New Roman" w:hAnsi="Times New Roman" w:cs="Times New Roman"/>
          <w:noProof/>
          <w:sz w:val="24"/>
          <w:szCs w:val="24"/>
        </w:rPr>
        <w:t>, which had the same sensitivity as the absolute 6-month change score (72%), but slightly lower specificity (71%). There was some minor variation in the MCID for the relative 6-month change s</w:t>
      </w:r>
      <w:r w:rsidR="00FE5EA6">
        <w:rPr>
          <w:rFonts w:ascii="Times New Roman" w:hAnsi="Times New Roman" w:cs="Times New Roman"/>
          <w:noProof/>
          <w:sz w:val="24"/>
          <w:szCs w:val="24"/>
        </w:rPr>
        <w:t>cores in three of the five pain-</w:t>
      </w:r>
      <w:r>
        <w:rPr>
          <w:rFonts w:ascii="Times New Roman" w:hAnsi="Times New Roman" w:cs="Times New Roman"/>
          <w:noProof/>
          <w:sz w:val="24"/>
          <w:szCs w:val="24"/>
        </w:rPr>
        <w:t>sites (ranging from 14.9</w:t>
      </w:r>
      <w:r w:rsidR="00FE5EA6">
        <w:rPr>
          <w:rFonts w:ascii="Times New Roman" w:hAnsi="Times New Roman" w:cs="Times New Roman"/>
          <w:noProof/>
          <w:sz w:val="24"/>
          <w:szCs w:val="24"/>
        </w:rPr>
        <w:t>-</w:t>
      </w:r>
      <w:r>
        <w:rPr>
          <w:rFonts w:ascii="Times New Roman" w:hAnsi="Times New Roman" w:cs="Times New Roman"/>
          <w:noProof/>
          <w:sz w:val="24"/>
          <w:szCs w:val="24"/>
        </w:rPr>
        <w:t xml:space="preserve">20.6%) but substantially lower scores were seen for </w:t>
      </w:r>
      <w:r w:rsidR="00351E97">
        <w:rPr>
          <w:rFonts w:ascii="Times New Roman" w:hAnsi="Times New Roman" w:cs="Times New Roman"/>
          <w:noProof/>
          <w:sz w:val="24"/>
          <w:szCs w:val="24"/>
        </w:rPr>
        <w:t>shoulder (</w:t>
      </w:r>
      <w:r w:rsidR="00463CE2">
        <w:rPr>
          <w:rFonts w:ascii="Times New Roman" w:hAnsi="Times New Roman" w:cs="Times New Roman"/>
          <w:noProof/>
          <w:sz w:val="24"/>
          <w:szCs w:val="24"/>
        </w:rPr>
        <w:t>9.7%) and mult</w:t>
      </w:r>
      <w:r w:rsidR="00DB18CB">
        <w:rPr>
          <w:rFonts w:ascii="Times New Roman" w:hAnsi="Times New Roman" w:cs="Times New Roman"/>
          <w:noProof/>
          <w:sz w:val="24"/>
          <w:szCs w:val="24"/>
        </w:rPr>
        <w:t>i</w:t>
      </w:r>
      <w:r w:rsidR="00463CE2">
        <w:rPr>
          <w:rFonts w:ascii="Times New Roman" w:hAnsi="Times New Roman" w:cs="Times New Roman"/>
          <w:noProof/>
          <w:sz w:val="24"/>
          <w:szCs w:val="24"/>
        </w:rPr>
        <w:t>-site (2%) pain.</w:t>
      </w:r>
    </w:p>
    <w:p w14:paraId="799CE0D0" w14:textId="126973DE" w:rsidR="00463CE2" w:rsidRDefault="00463CE2" w:rsidP="008D3D96">
      <w:pPr>
        <w:pStyle w:val="NoSpacing"/>
        <w:spacing w:line="480" w:lineRule="auto"/>
        <w:jc w:val="both"/>
        <w:rPr>
          <w:rFonts w:ascii="Times New Roman" w:hAnsi="Times New Roman" w:cs="Times New Roman"/>
          <w:noProof/>
          <w:sz w:val="24"/>
          <w:szCs w:val="24"/>
        </w:rPr>
      </w:pPr>
    </w:p>
    <w:p w14:paraId="728EB921" w14:textId="573BECDF" w:rsidR="00463CE2" w:rsidRDefault="00DB18CB" w:rsidP="008D3D96">
      <w:pPr>
        <w:pStyle w:val="NoSpacing"/>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The </w:t>
      </w:r>
      <w:r w:rsidR="00463CE2">
        <w:rPr>
          <w:rFonts w:ascii="Times New Roman" w:hAnsi="Times New Roman" w:cs="Times New Roman"/>
          <w:noProof/>
          <w:sz w:val="24"/>
          <w:szCs w:val="24"/>
        </w:rPr>
        <w:t>MCID</w:t>
      </w:r>
      <w:r>
        <w:rPr>
          <w:rFonts w:ascii="Times New Roman" w:hAnsi="Times New Roman" w:cs="Times New Roman"/>
          <w:noProof/>
          <w:sz w:val="24"/>
          <w:szCs w:val="24"/>
        </w:rPr>
        <w:t>s</w:t>
      </w:r>
      <w:r w:rsidR="00463CE2">
        <w:rPr>
          <w:rFonts w:ascii="Times New Roman" w:hAnsi="Times New Roman" w:cs="Times New Roman"/>
          <w:noProof/>
          <w:sz w:val="24"/>
          <w:szCs w:val="24"/>
        </w:rPr>
        <w:t xml:space="preserve"> for the absolute 6-month change scores for site-specific PROMs were similar to those reported in the existing literature, with the exception of the SF-36 PCS, although </w:t>
      </w:r>
      <w:r w:rsidR="0076610B">
        <w:rPr>
          <w:rFonts w:ascii="Times New Roman" w:hAnsi="Times New Roman" w:cs="Times New Roman"/>
          <w:noProof/>
          <w:sz w:val="24"/>
          <w:szCs w:val="24"/>
        </w:rPr>
        <w:t xml:space="preserve">this was a </w:t>
      </w:r>
      <w:r w:rsidR="00463CE2">
        <w:rPr>
          <w:rFonts w:ascii="Times New Roman" w:hAnsi="Times New Roman" w:cs="Times New Roman"/>
          <w:noProof/>
          <w:sz w:val="24"/>
          <w:szCs w:val="24"/>
        </w:rPr>
        <w:t xml:space="preserve">poor discriminator of </w:t>
      </w:r>
      <w:r w:rsidR="00A744E4">
        <w:rPr>
          <w:rFonts w:ascii="Times New Roman" w:hAnsi="Times New Roman" w:cs="Times New Roman"/>
          <w:noProof/>
          <w:sz w:val="24"/>
          <w:szCs w:val="24"/>
        </w:rPr>
        <w:t>those reporting  or not reporting resolution/improvement</w:t>
      </w:r>
      <w:r w:rsidR="00463CE2">
        <w:rPr>
          <w:rFonts w:ascii="Times New Roman" w:hAnsi="Times New Roman" w:cs="Times New Roman"/>
          <w:noProof/>
          <w:sz w:val="24"/>
          <w:szCs w:val="24"/>
        </w:rPr>
        <w:t>. For knee pain</w:t>
      </w:r>
      <w:r>
        <w:rPr>
          <w:rFonts w:ascii="Times New Roman" w:hAnsi="Times New Roman" w:cs="Times New Roman"/>
          <w:noProof/>
          <w:sz w:val="24"/>
          <w:szCs w:val="24"/>
        </w:rPr>
        <w:t>,</w:t>
      </w:r>
      <w:r w:rsidR="00463CE2">
        <w:rPr>
          <w:rFonts w:ascii="Times New Roman" w:hAnsi="Times New Roman" w:cs="Times New Roman"/>
          <w:noProof/>
          <w:sz w:val="24"/>
          <w:szCs w:val="24"/>
        </w:rPr>
        <w:t xml:space="preserve"> the KOOS MCID was 10.7; for neck pain</w:t>
      </w:r>
      <w:r>
        <w:rPr>
          <w:rFonts w:ascii="Times New Roman" w:hAnsi="Times New Roman" w:cs="Times New Roman"/>
          <w:noProof/>
          <w:sz w:val="24"/>
          <w:szCs w:val="24"/>
        </w:rPr>
        <w:t>,</w:t>
      </w:r>
      <w:r w:rsidR="00463CE2">
        <w:rPr>
          <w:rFonts w:ascii="Times New Roman" w:hAnsi="Times New Roman" w:cs="Times New Roman"/>
          <w:noProof/>
          <w:sz w:val="24"/>
          <w:szCs w:val="24"/>
        </w:rPr>
        <w:t xml:space="preserve"> the NDI MCID was 3.5; for low back pain</w:t>
      </w:r>
      <w:r>
        <w:rPr>
          <w:rFonts w:ascii="Times New Roman" w:hAnsi="Times New Roman" w:cs="Times New Roman"/>
          <w:noProof/>
          <w:sz w:val="24"/>
          <w:szCs w:val="24"/>
        </w:rPr>
        <w:t>,</w:t>
      </w:r>
      <w:r w:rsidR="00463CE2">
        <w:rPr>
          <w:rFonts w:ascii="Times New Roman" w:hAnsi="Times New Roman" w:cs="Times New Roman"/>
          <w:noProof/>
          <w:sz w:val="24"/>
          <w:szCs w:val="24"/>
        </w:rPr>
        <w:t xml:space="preserve"> the RMDQ MCID was 2.5; for shoulder pain</w:t>
      </w:r>
      <w:r>
        <w:rPr>
          <w:rFonts w:ascii="Times New Roman" w:hAnsi="Times New Roman" w:cs="Times New Roman"/>
          <w:noProof/>
          <w:sz w:val="24"/>
          <w:szCs w:val="24"/>
        </w:rPr>
        <w:t>,</w:t>
      </w:r>
      <w:r w:rsidR="00463CE2">
        <w:rPr>
          <w:rFonts w:ascii="Times New Roman" w:hAnsi="Times New Roman" w:cs="Times New Roman"/>
          <w:noProof/>
          <w:sz w:val="24"/>
          <w:szCs w:val="24"/>
        </w:rPr>
        <w:t xml:space="preserve"> the SPADI MCID was 11.2; for multi-site pain</w:t>
      </w:r>
      <w:r>
        <w:rPr>
          <w:rFonts w:ascii="Times New Roman" w:hAnsi="Times New Roman" w:cs="Times New Roman"/>
          <w:noProof/>
          <w:sz w:val="24"/>
          <w:szCs w:val="24"/>
        </w:rPr>
        <w:t>,</w:t>
      </w:r>
      <w:r w:rsidR="00463CE2">
        <w:rPr>
          <w:rFonts w:ascii="Times New Roman" w:hAnsi="Times New Roman" w:cs="Times New Roman"/>
          <w:noProof/>
          <w:sz w:val="24"/>
          <w:szCs w:val="24"/>
        </w:rPr>
        <w:t xml:space="preserve"> the SF-36 PCS MCID was 0.35.</w:t>
      </w:r>
    </w:p>
    <w:p w14:paraId="0B36FBFB" w14:textId="0C7EFE80" w:rsidR="001E6235" w:rsidRDefault="001E6235">
      <w:pPr>
        <w:rPr>
          <w:rFonts w:ascii="Times New Roman" w:hAnsi="Times New Roman" w:cs="Times New Roman"/>
          <w:b/>
          <w:noProof/>
          <w:sz w:val="24"/>
          <w:szCs w:val="24"/>
        </w:rPr>
      </w:pPr>
    </w:p>
    <w:p w14:paraId="484F4359" w14:textId="18D69BD5" w:rsidR="00463CE2" w:rsidRDefault="005E4DFA" w:rsidP="008D3D96">
      <w:pPr>
        <w:pStyle w:val="NoSpacing"/>
        <w:spacing w:line="48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3.6 </w:t>
      </w:r>
      <w:r w:rsidR="00463CE2">
        <w:rPr>
          <w:rFonts w:ascii="Times New Roman" w:hAnsi="Times New Roman" w:cs="Times New Roman"/>
          <w:b/>
          <w:noProof/>
          <w:sz w:val="24"/>
          <w:szCs w:val="24"/>
        </w:rPr>
        <w:t>Concurrent Validity</w:t>
      </w:r>
    </w:p>
    <w:p w14:paraId="154D6E00" w14:textId="72F3A235" w:rsidR="00463CE2" w:rsidRDefault="00463CE2" w:rsidP="008D3D96">
      <w:pPr>
        <w:pStyle w:val="NoSpacing"/>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Strong positive correlations were observed between </w:t>
      </w:r>
      <w:r w:rsidR="00A55F7E">
        <w:rPr>
          <w:rFonts w:ascii="Times New Roman" w:hAnsi="Times New Roman" w:cs="Times New Roman"/>
          <w:noProof/>
          <w:sz w:val="24"/>
          <w:szCs w:val="24"/>
        </w:rPr>
        <w:t xml:space="preserve">6-month changes in </w:t>
      </w:r>
      <w:r>
        <w:rPr>
          <w:rFonts w:ascii="Times New Roman" w:hAnsi="Times New Roman" w:cs="Times New Roman"/>
          <w:noProof/>
          <w:sz w:val="24"/>
          <w:szCs w:val="24"/>
        </w:rPr>
        <w:t>the MSK-HQ and the EQ-5D-</w:t>
      </w:r>
      <w:r w:rsidR="00CF6BE8">
        <w:rPr>
          <w:rFonts w:ascii="Times New Roman" w:hAnsi="Times New Roman" w:cs="Times New Roman"/>
          <w:noProof/>
          <w:sz w:val="24"/>
          <w:szCs w:val="24"/>
        </w:rPr>
        <w:t>5</w:t>
      </w:r>
      <w:r>
        <w:rPr>
          <w:rFonts w:ascii="Times New Roman" w:hAnsi="Times New Roman" w:cs="Times New Roman"/>
          <w:noProof/>
          <w:sz w:val="24"/>
          <w:szCs w:val="24"/>
        </w:rPr>
        <w:t>L (</w:t>
      </w:r>
      <w:r w:rsidR="00F84B36">
        <w:rPr>
          <w:rFonts w:ascii="Times New Roman" w:hAnsi="Times New Roman" w:cs="Times New Roman"/>
          <w:noProof/>
          <w:sz w:val="24"/>
          <w:szCs w:val="24"/>
        </w:rPr>
        <w:t>r=</w:t>
      </w:r>
      <w:r>
        <w:rPr>
          <w:rFonts w:ascii="Times New Roman" w:hAnsi="Times New Roman" w:cs="Times New Roman"/>
          <w:noProof/>
          <w:sz w:val="24"/>
          <w:szCs w:val="24"/>
        </w:rPr>
        <w:t>0.59), and KOOS (</w:t>
      </w:r>
      <w:r w:rsidR="00F84B36">
        <w:rPr>
          <w:rFonts w:ascii="Times New Roman" w:hAnsi="Times New Roman" w:cs="Times New Roman"/>
          <w:noProof/>
          <w:sz w:val="24"/>
          <w:szCs w:val="24"/>
        </w:rPr>
        <w:t>r=</w:t>
      </w:r>
      <w:r>
        <w:rPr>
          <w:rFonts w:ascii="Times New Roman" w:hAnsi="Times New Roman" w:cs="Times New Roman"/>
          <w:noProof/>
          <w:sz w:val="24"/>
          <w:szCs w:val="24"/>
        </w:rPr>
        <w:t>0.</w:t>
      </w:r>
      <w:r w:rsidR="004C4598">
        <w:rPr>
          <w:rFonts w:ascii="Times New Roman" w:hAnsi="Times New Roman" w:cs="Times New Roman"/>
          <w:noProof/>
          <w:sz w:val="24"/>
          <w:szCs w:val="24"/>
        </w:rPr>
        <w:t>61</w:t>
      </w:r>
      <w:r>
        <w:rPr>
          <w:rFonts w:ascii="Times New Roman" w:hAnsi="Times New Roman" w:cs="Times New Roman"/>
          <w:noProof/>
          <w:sz w:val="24"/>
          <w:szCs w:val="24"/>
        </w:rPr>
        <w:t xml:space="preserve">), and strong negative correlations between </w:t>
      </w:r>
      <w:r w:rsidR="00A55F7E">
        <w:rPr>
          <w:rFonts w:ascii="Times New Roman" w:hAnsi="Times New Roman" w:cs="Times New Roman"/>
          <w:noProof/>
          <w:sz w:val="24"/>
          <w:szCs w:val="24"/>
        </w:rPr>
        <w:t xml:space="preserve">6-month changes in </w:t>
      </w:r>
      <w:r>
        <w:rPr>
          <w:rFonts w:ascii="Times New Roman" w:hAnsi="Times New Roman" w:cs="Times New Roman"/>
          <w:noProof/>
          <w:sz w:val="24"/>
          <w:szCs w:val="24"/>
        </w:rPr>
        <w:t>the MSK-HQ and the NDI (</w:t>
      </w:r>
      <w:r w:rsidR="00F84B36">
        <w:rPr>
          <w:rFonts w:ascii="Times New Roman" w:hAnsi="Times New Roman" w:cs="Times New Roman"/>
          <w:noProof/>
          <w:sz w:val="24"/>
          <w:szCs w:val="24"/>
        </w:rPr>
        <w:t>r=</w:t>
      </w:r>
      <w:r w:rsidR="00DB18CB">
        <w:rPr>
          <w:rFonts w:ascii="Times New Roman" w:hAnsi="Times New Roman" w:cs="Times New Roman"/>
          <w:noProof/>
          <w:sz w:val="24"/>
          <w:szCs w:val="24"/>
        </w:rPr>
        <w:t>-0.7</w:t>
      </w:r>
      <w:r w:rsidR="004C4598">
        <w:rPr>
          <w:rFonts w:ascii="Times New Roman" w:hAnsi="Times New Roman" w:cs="Times New Roman"/>
          <w:noProof/>
          <w:sz w:val="24"/>
          <w:szCs w:val="24"/>
        </w:rPr>
        <w:t>7</w:t>
      </w:r>
      <w:r w:rsidR="00DB18CB">
        <w:rPr>
          <w:rFonts w:ascii="Times New Roman" w:hAnsi="Times New Roman" w:cs="Times New Roman"/>
          <w:noProof/>
          <w:sz w:val="24"/>
          <w:szCs w:val="24"/>
        </w:rPr>
        <w:t>), RM</w:t>
      </w:r>
      <w:r w:rsidR="003542E5">
        <w:rPr>
          <w:rFonts w:ascii="Times New Roman" w:hAnsi="Times New Roman" w:cs="Times New Roman"/>
          <w:noProof/>
          <w:sz w:val="24"/>
          <w:szCs w:val="24"/>
        </w:rPr>
        <w:t>D</w:t>
      </w:r>
      <w:r w:rsidR="00DB18CB">
        <w:rPr>
          <w:rFonts w:ascii="Times New Roman" w:hAnsi="Times New Roman" w:cs="Times New Roman"/>
          <w:noProof/>
          <w:sz w:val="24"/>
          <w:szCs w:val="24"/>
        </w:rPr>
        <w:t>Q</w:t>
      </w:r>
      <w:r w:rsidR="003542E5">
        <w:rPr>
          <w:rFonts w:ascii="Times New Roman" w:hAnsi="Times New Roman" w:cs="Times New Roman"/>
          <w:noProof/>
          <w:sz w:val="24"/>
          <w:szCs w:val="24"/>
        </w:rPr>
        <w:t xml:space="preserve"> (</w:t>
      </w:r>
      <w:r w:rsidR="00F84B36">
        <w:rPr>
          <w:rFonts w:ascii="Times New Roman" w:hAnsi="Times New Roman" w:cs="Times New Roman"/>
          <w:noProof/>
          <w:sz w:val="24"/>
          <w:szCs w:val="24"/>
        </w:rPr>
        <w:t>r=</w:t>
      </w:r>
      <w:r w:rsidR="003542E5">
        <w:rPr>
          <w:rFonts w:ascii="Times New Roman" w:hAnsi="Times New Roman" w:cs="Times New Roman"/>
          <w:noProof/>
          <w:sz w:val="24"/>
          <w:szCs w:val="24"/>
        </w:rPr>
        <w:t>-0.</w:t>
      </w:r>
      <w:r w:rsidR="004C4598">
        <w:rPr>
          <w:rFonts w:ascii="Times New Roman" w:hAnsi="Times New Roman" w:cs="Times New Roman"/>
          <w:noProof/>
          <w:sz w:val="24"/>
          <w:szCs w:val="24"/>
        </w:rPr>
        <w:t>69</w:t>
      </w:r>
      <w:r w:rsidR="003542E5">
        <w:rPr>
          <w:rFonts w:ascii="Times New Roman" w:hAnsi="Times New Roman" w:cs="Times New Roman"/>
          <w:noProof/>
          <w:sz w:val="24"/>
          <w:szCs w:val="24"/>
        </w:rPr>
        <w:t>), and SPADI (</w:t>
      </w:r>
      <w:r w:rsidR="00F84B36">
        <w:rPr>
          <w:rFonts w:ascii="Times New Roman" w:hAnsi="Times New Roman" w:cs="Times New Roman"/>
          <w:noProof/>
          <w:sz w:val="24"/>
          <w:szCs w:val="24"/>
        </w:rPr>
        <w:t>r=</w:t>
      </w:r>
      <w:r w:rsidR="003542E5">
        <w:rPr>
          <w:rFonts w:ascii="Times New Roman" w:hAnsi="Times New Roman" w:cs="Times New Roman"/>
          <w:noProof/>
          <w:sz w:val="24"/>
          <w:szCs w:val="24"/>
        </w:rPr>
        <w:t>-0.7</w:t>
      </w:r>
      <w:r w:rsidR="004C4598">
        <w:rPr>
          <w:rFonts w:ascii="Times New Roman" w:hAnsi="Times New Roman" w:cs="Times New Roman"/>
          <w:noProof/>
          <w:sz w:val="24"/>
          <w:szCs w:val="24"/>
        </w:rPr>
        <w:t>0</w:t>
      </w:r>
      <w:r w:rsidR="003542E5">
        <w:rPr>
          <w:rFonts w:ascii="Times New Roman" w:hAnsi="Times New Roman" w:cs="Times New Roman"/>
          <w:noProof/>
          <w:sz w:val="24"/>
          <w:szCs w:val="24"/>
        </w:rPr>
        <w:t>)</w:t>
      </w:r>
      <w:r w:rsidR="00F84B36">
        <w:rPr>
          <w:rFonts w:ascii="Times New Roman" w:hAnsi="Times New Roman" w:cs="Times New Roman"/>
          <w:noProof/>
          <w:sz w:val="24"/>
          <w:szCs w:val="24"/>
        </w:rPr>
        <w:t xml:space="preserve"> (Table 4)</w:t>
      </w:r>
      <w:r w:rsidR="003542E5">
        <w:rPr>
          <w:rFonts w:ascii="Times New Roman" w:hAnsi="Times New Roman" w:cs="Times New Roman"/>
          <w:noProof/>
          <w:sz w:val="24"/>
          <w:szCs w:val="24"/>
        </w:rPr>
        <w:t xml:space="preserve">. </w:t>
      </w:r>
      <w:r w:rsidR="0076610B">
        <w:rPr>
          <w:rFonts w:ascii="Times New Roman" w:hAnsi="Times New Roman" w:cs="Times New Roman"/>
          <w:noProof/>
          <w:sz w:val="24"/>
          <w:szCs w:val="24"/>
        </w:rPr>
        <w:t>A w</w:t>
      </w:r>
      <w:r w:rsidR="003542E5">
        <w:rPr>
          <w:rFonts w:ascii="Times New Roman" w:hAnsi="Times New Roman" w:cs="Times New Roman"/>
          <w:noProof/>
          <w:sz w:val="24"/>
          <w:szCs w:val="24"/>
        </w:rPr>
        <w:t xml:space="preserve">eaker positive correlation </w:t>
      </w:r>
      <w:r w:rsidR="0076610B">
        <w:rPr>
          <w:rFonts w:ascii="Times New Roman" w:hAnsi="Times New Roman" w:cs="Times New Roman"/>
          <w:noProof/>
          <w:sz w:val="24"/>
          <w:szCs w:val="24"/>
        </w:rPr>
        <w:t xml:space="preserve">was </w:t>
      </w:r>
      <w:r w:rsidR="003542E5">
        <w:rPr>
          <w:rFonts w:ascii="Times New Roman" w:hAnsi="Times New Roman" w:cs="Times New Roman"/>
          <w:noProof/>
          <w:sz w:val="24"/>
          <w:szCs w:val="24"/>
        </w:rPr>
        <w:t xml:space="preserve">observed between </w:t>
      </w:r>
      <w:r w:rsidR="00A55F7E">
        <w:rPr>
          <w:rFonts w:ascii="Times New Roman" w:hAnsi="Times New Roman" w:cs="Times New Roman"/>
          <w:noProof/>
          <w:sz w:val="24"/>
          <w:szCs w:val="24"/>
        </w:rPr>
        <w:t xml:space="preserve">6-month changes in </w:t>
      </w:r>
      <w:r w:rsidR="003542E5">
        <w:rPr>
          <w:rFonts w:ascii="Times New Roman" w:hAnsi="Times New Roman" w:cs="Times New Roman"/>
          <w:noProof/>
          <w:sz w:val="24"/>
          <w:szCs w:val="24"/>
        </w:rPr>
        <w:t xml:space="preserve">the MSK-HQ and the SF-36 </w:t>
      </w:r>
      <w:r w:rsidR="00DB18CB">
        <w:rPr>
          <w:rFonts w:ascii="Times New Roman" w:hAnsi="Times New Roman" w:cs="Times New Roman"/>
          <w:noProof/>
          <w:sz w:val="24"/>
          <w:szCs w:val="24"/>
        </w:rPr>
        <w:t xml:space="preserve">PCS </w:t>
      </w:r>
      <w:r w:rsidR="003542E5">
        <w:rPr>
          <w:rFonts w:ascii="Times New Roman" w:hAnsi="Times New Roman" w:cs="Times New Roman"/>
          <w:noProof/>
          <w:sz w:val="24"/>
          <w:szCs w:val="24"/>
        </w:rPr>
        <w:t>(</w:t>
      </w:r>
      <w:r w:rsidR="00A55F7E">
        <w:rPr>
          <w:rFonts w:ascii="Times New Roman" w:hAnsi="Times New Roman" w:cs="Times New Roman"/>
          <w:noProof/>
          <w:sz w:val="24"/>
          <w:szCs w:val="24"/>
        </w:rPr>
        <w:t>r=</w:t>
      </w:r>
      <w:r w:rsidR="003542E5">
        <w:rPr>
          <w:rFonts w:ascii="Times New Roman" w:hAnsi="Times New Roman" w:cs="Times New Roman"/>
          <w:noProof/>
          <w:sz w:val="24"/>
          <w:szCs w:val="24"/>
        </w:rPr>
        <w:t>0.</w:t>
      </w:r>
      <w:r w:rsidR="004C4598">
        <w:rPr>
          <w:rFonts w:ascii="Times New Roman" w:hAnsi="Times New Roman" w:cs="Times New Roman"/>
          <w:noProof/>
          <w:sz w:val="24"/>
          <w:szCs w:val="24"/>
        </w:rPr>
        <w:t>17</w:t>
      </w:r>
      <w:r w:rsidR="003542E5">
        <w:rPr>
          <w:rFonts w:ascii="Times New Roman" w:hAnsi="Times New Roman" w:cs="Times New Roman"/>
          <w:noProof/>
          <w:sz w:val="24"/>
          <w:szCs w:val="24"/>
        </w:rPr>
        <w:t xml:space="preserve">), which </w:t>
      </w:r>
      <w:r w:rsidR="0076610B">
        <w:rPr>
          <w:rFonts w:ascii="Times New Roman" w:hAnsi="Times New Roman" w:cs="Times New Roman"/>
          <w:noProof/>
          <w:sz w:val="24"/>
          <w:szCs w:val="24"/>
        </w:rPr>
        <w:t xml:space="preserve">was </w:t>
      </w:r>
      <w:r w:rsidR="003542E5">
        <w:rPr>
          <w:rFonts w:ascii="Times New Roman" w:hAnsi="Times New Roman" w:cs="Times New Roman"/>
          <w:noProof/>
          <w:sz w:val="24"/>
          <w:szCs w:val="24"/>
        </w:rPr>
        <w:t xml:space="preserve">not statistically significant. </w:t>
      </w:r>
      <w:r w:rsidR="00DB18CB">
        <w:rPr>
          <w:rFonts w:ascii="Times New Roman" w:hAnsi="Times New Roman" w:cs="Times New Roman"/>
          <w:noProof/>
          <w:sz w:val="24"/>
          <w:szCs w:val="24"/>
        </w:rPr>
        <w:t>C</w:t>
      </w:r>
      <w:r w:rsidR="00CF6BE8">
        <w:rPr>
          <w:rFonts w:ascii="Times New Roman" w:hAnsi="Times New Roman" w:cs="Times New Roman"/>
          <w:noProof/>
          <w:sz w:val="24"/>
          <w:szCs w:val="24"/>
        </w:rPr>
        <w:t xml:space="preserve">orrelations between </w:t>
      </w:r>
      <w:r w:rsidR="00A55F7E">
        <w:rPr>
          <w:rFonts w:ascii="Times New Roman" w:hAnsi="Times New Roman" w:cs="Times New Roman"/>
          <w:noProof/>
          <w:sz w:val="24"/>
          <w:szCs w:val="24"/>
        </w:rPr>
        <w:t xml:space="preserve">6-month changes in </w:t>
      </w:r>
      <w:r w:rsidR="00CF6BE8">
        <w:rPr>
          <w:rFonts w:ascii="Times New Roman" w:hAnsi="Times New Roman" w:cs="Times New Roman"/>
          <w:noProof/>
          <w:sz w:val="24"/>
          <w:szCs w:val="24"/>
        </w:rPr>
        <w:t>the EQ-5D-5</w:t>
      </w:r>
      <w:r w:rsidR="003542E5">
        <w:rPr>
          <w:rFonts w:ascii="Times New Roman" w:hAnsi="Times New Roman" w:cs="Times New Roman"/>
          <w:noProof/>
          <w:sz w:val="24"/>
          <w:szCs w:val="24"/>
        </w:rPr>
        <w:t>L</w:t>
      </w:r>
      <w:r w:rsidR="00CF6BE8">
        <w:rPr>
          <w:rFonts w:ascii="Times New Roman" w:hAnsi="Times New Roman" w:cs="Times New Roman"/>
          <w:noProof/>
          <w:sz w:val="24"/>
          <w:szCs w:val="24"/>
        </w:rPr>
        <w:t>,</w:t>
      </w:r>
      <w:r w:rsidR="003542E5">
        <w:rPr>
          <w:rFonts w:ascii="Times New Roman" w:hAnsi="Times New Roman" w:cs="Times New Roman"/>
          <w:noProof/>
          <w:sz w:val="24"/>
          <w:szCs w:val="24"/>
        </w:rPr>
        <w:t xml:space="preserve"> and site-specific PROMs were of a smaller magnitude compared to the MSK-HQ for all PROMs except the SF-36 PCS.</w:t>
      </w:r>
    </w:p>
    <w:p w14:paraId="0E2DE389" w14:textId="117EC3A2" w:rsidR="003542E5" w:rsidRDefault="003542E5" w:rsidP="008D3D96">
      <w:pPr>
        <w:pStyle w:val="NoSpacing"/>
        <w:spacing w:line="480" w:lineRule="auto"/>
        <w:jc w:val="both"/>
        <w:rPr>
          <w:rFonts w:ascii="Times New Roman" w:hAnsi="Times New Roman" w:cs="Times New Roman"/>
          <w:noProof/>
          <w:sz w:val="24"/>
          <w:szCs w:val="24"/>
        </w:rPr>
      </w:pPr>
    </w:p>
    <w:p w14:paraId="4723CE8E" w14:textId="1C300962" w:rsidR="003542E5" w:rsidRDefault="003542E5" w:rsidP="005E4DFA">
      <w:pPr>
        <w:pStyle w:val="NoSpacing"/>
        <w:numPr>
          <w:ilvl w:val="0"/>
          <w:numId w:val="2"/>
        </w:numPr>
        <w:spacing w:line="480" w:lineRule="auto"/>
        <w:jc w:val="both"/>
        <w:rPr>
          <w:rFonts w:ascii="Times New Roman" w:hAnsi="Times New Roman" w:cs="Times New Roman"/>
          <w:b/>
          <w:noProof/>
          <w:sz w:val="24"/>
          <w:szCs w:val="24"/>
        </w:rPr>
      </w:pPr>
      <w:r>
        <w:rPr>
          <w:rFonts w:ascii="Times New Roman" w:hAnsi="Times New Roman" w:cs="Times New Roman"/>
          <w:b/>
          <w:noProof/>
          <w:sz w:val="24"/>
          <w:szCs w:val="24"/>
        </w:rPr>
        <w:t>DISCUSSION</w:t>
      </w:r>
    </w:p>
    <w:p w14:paraId="3D2D8604" w14:textId="064DB818" w:rsidR="002A085A" w:rsidRDefault="002A085A" w:rsidP="002A085A">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Our study evaluate</w:t>
      </w:r>
      <w:r w:rsidR="00FA571E">
        <w:rPr>
          <w:rFonts w:ascii="Times New Roman" w:hAnsi="Times New Roman" w:cs="Times New Roman"/>
          <w:noProof/>
          <w:sz w:val="24"/>
          <w:szCs w:val="24"/>
        </w:rPr>
        <w:t>d</w:t>
      </w:r>
      <w:r>
        <w:rPr>
          <w:rFonts w:ascii="Times New Roman" w:hAnsi="Times New Roman" w:cs="Times New Roman"/>
          <w:noProof/>
          <w:sz w:val="24"/>
          <w:szCs w:val="24"/>
        </w:rPr>
        <w:t xml:space="preserve"> the responsiveness, and concurrent validity of the MSK-HQ in patients with MSK conditions managed in primary care. </w:t>
      </w:r>
      <w:r w:rsidR="00A744E4">
        <w:rPr>
          <w:rFonts w:ascii="Times New Roman" w:hAnsi="Times New Roman" w:cs="Times New Roman"/>
          <w:noProof/>
          <w:sz w:val="24"/>
          <w:szCs w:val="24"/>
        </w:rPr>
        <w:t>We found that, firstly</w:t>
      </w:r>
      <w:r>
        <w:rPr>
          <w:rFonts w:ascii="Times New Roman" w:hAnsi="Times New Roman" w:cs="Times New Roman"/>
          <w:noProof/>
          <w:sz w:val="24"/>
          <w:szCs w:val="24"/>
        </w:rPr>
        <w:t xml:space="preserve">, the MSK-HQ </w:t>
      </w:r>
      <w:r w:rsidR="00A744E4">
        <w:rPr>
          <w:rFonts w:ascii="Times New Roman" w:hAnsi="Times New Roman" w:cs="Times New Roman"/>
          <w:noProof/>
          <w:sz w:val="24"/>
          <w:szCs w:val="24"/>
        </w:rPr>
        <w:t>was able to</w:t>
      </w:r>
      <w:r>
        <w:rPr>
          <w:rFonts w:ascii="Times New Roman" w:hAnsi="Times New Roman" w:cs="Times New Roman"/>
          <w:noProof/>
          <w:sz w:val="24"/>
          <w:szCs w:val="24"/>
        </w:rPr>
        <w:t xml:space="preserve"> discriminate </w:t>
      </w:r>
      <w:r w:rsidR="00A744E4">
        <w:rPr>
          <w:rFonts w:ascii="Times New Roman" w:hAnsi="Times New Roman" w:cs="Times New Roman"/>
          <w:noProof/>
          <w:sz w:val="24"/>
          <w:szCs w:val="24"/>
        </w:rPr>
        <w:t xml:space="preserve">well </w:t>
      </w:r>
      <w:r>
        <w:rPr>
          <w:rFonts w:ascii="Times New Roman" w:hAnsi="Times New Roman" w:cs="Times New Roman"/>
          <w:noProof/>
          <w:sz w:val="24"/>
          <w:szCs w:val="24"/>
        </w:rPr>
        <w:t xml:space="preserve">between patients reporting, and those not reporting </w:t>
      </w:r>
      <w:r w:rsidR="00806FBD">
        <w:rPr>
          <w:rFonts w:ascii="Times New Roman" w:hAnsi="Times New Roman" w:cs="Times New Roman"/>
          <w:noProof/>
          <w:sz w:val="24"/>
          <w:szCs w:val="24"/>
        </w:rPr>
        <w:t xml:space="preserve">global </w:t>
      </w:r>
      <w:r w:rsidR="00A744E4">
        <w:rPr>
          <w:rFonts w:ascii="Times New Roman" w:hAnsi="Times New Roman" w:cs="Times New Roman"/>
          <w:noProof/>
          <w:sz w:val="24"/>
          <w:szCs w:val="24"/>
        </w:rPr>
        <w:t>resolution/</w:t>
      </w:r>
      <w:r>
        <w:rPr>
          <w:rFonts w:ascii="Times New Roman" w:hAnsi="Times New Roman" w:cs="Times New Roman"/>
          <w:noProof/>
          <w:sz w:val="24"/>
          <w:szCs w:val="24"/>
        </w:rPr>
        <w:t xml:space="preserve">improvement in their MSK </w:t>
      </w:r>
      <w:r w:rsidR="00571060">
        <w:rPr>
          <w:rFonts w:ascii="Times New Roman" w:hAnsi="Times New Roman" w:cs="Times New Roman"/>
          <w:noProof/>
          <w:sz w:val="24"/>
          <w:szCs w:val="24"/>
        </w:rPr>
        <w:t xml:space="preserve">condition </w:t>
      </w:r>
      <w:r>
        <w:rPr>
          <w:rFonts w:ascii="Times New Roman" w:hAnsi="Times New Roman" w:cs="Times New Roman"/>
          <w:noProof/>
          <w:sz w:val="24"/>
          <w:szCs w:val="24"/>
        </w:rPr>
        <w:t>over 6 months, with AUC statistics ranging from</w:t>
      </w:r>
      <w:r w:rsidR="00B2603D">
        <w:rPr>
          <w:rFonts w:ascii="Times New Roman" w:hAnsi="Times New Roman" w:cs="Times New Roman"/>
          <w:noProof/>
          <w:sz w:val="24"/>
          <w:szCs w:val="24"/>
        </w:rPr>
        <w:t xml:space="preserve"> 0.75-</w:t>
      </w:r>
      <w:r w:rsidR="00FA571E">
        <w:rPr>
          <w:rFonts w:ascii="Times New Roman" w:hAnsi="Times New Roman" w:cs="Times New Roman"/>
          <w:noProof/>
          <w:sz w:val="24"/>
          <w:szCs w:val="24"/>
        </w:rPr>
        <w:t>0.92 across the 5 pain-</w:t>
      </w:r>
      <w:r>
        <w:rPr>
          <w:rFonts w:ascii="Times New Roman" w:hAnsi="Times New Roman" w:cs="Times New Roman"/>
          <w:noProof/>
          <w:sz w:val="24"/>
          <w:szCs w:val="24"/>
        </w:rPr>
        <w:t>sites for absolute 6-month change</w:t>
      </w:r>
      <w:r w:rsidR="00BC7692">
        <w:rPr>
          <w:rFonts w:ascii="Times New Roman" w:hAnsi="Times New Roman" w:cs="Times New Roman"/>
          <w:noProof/>
          <w:sz w:val="24"/>
          <w:szCs w:val="24"/>
        </w:rPr>
        <w:t>s</w:t>
      </w:r>
      <w:r>
        <w:rPr>
          <w:rFonts w:ascii="Times New Roman" w:hAnsi="Times New Roman" w:cs="Times New Roman"/>
          <w:noProof/>
          <w:sz w:val="24"/>
          <w:szCs w:val="24"/>
        </w:rPr>
        <w:t xml:space="preserve"> in MSK-HQ scores. Secondly</w:t>
      </w:r>
      <w:r w:rsidRPr="00A23577">
        <w:rPr>
          <w:rFonts w:ascii="Times New Roman" w:hAnsi="Times New Roman" w:cs="Times New Roman"/>
          <w:noProof/>
          <w:sz w:val="24"/>
          <w:szCs w:val="24"/>
        </w:rPr>
        <w:t xml:space="preserve">, </w:t>
      </w:r>
      <w:r w:rsidRPr="00361575">
        <w:rPr>
          <w:rFonts w:ascii="Times New Roman" w:hAnsi="Times New Roman" w:cs="Times New Roman"/>
          <w:noProof/>
          <w:sz w:val="24"/>
          <w:szCs w:val="24"/>
        </w:rPr>
        <w:t>the MSK-HQ</w:t>
      </w:r>
      <w:r>
        <w:rPr>
          <w:rFonts w:ascii="Times New Roman" w:hAnsi="Times New Roman" w:cs="Times New Roman"/>
          <w:noProof/>
          <w:sz w:val="24"/>
          <w:szCs w:val="24"/>
        </w:rPr>
        <w:t xml:space="preserve"> </w:t>
      </w:r>
      <w:r w:rsidR="008E317E">
        <w:rPr>
          <w:rFonts w:ascii="Times New Roman" w:hAnsi="Times New Roman" w:cs="Times New Roman"/>
          <w:noProof/>
          <w:sz w:val="24"/>
          <w:szCs w:val="24"/>
        </w:rPr>
        <w:t xml:space="preserve">had similar capabilities to </w:t>
      </w:r>
      <w:r>
        <w:rPr>
          <w:rFonts w:ascii="Times New Roman" w:hAnsi="Times New Roman" w:cs="Times New Roman"/>
          <w:noProof/>
          <w:sz w:val="24"/>
          <w:szCs w:val="24"/>
        </w:rPr>
        <w:t xml:space="preserve">existing pain-site specific reference </w:t>
      </w:r>
      <w:r w:rsidR="00A75F75">
        <w:rPr>
          <w:rFonts w:ascii="Times New Roman" w:hAnsi="Times New Roman" w:cs="Times New Roman"/>
          <w:noProof/>
          <w:sz w:val="24"/>
          <w:szCs w:val="24"/>
        </w:rPr>
        <w:t>PROMs</w:t>
      </w:r>
      <w:r w:rsidR="00A744E4">
        <w:rPr>
          <w:rFonts w:ascii="Times New Roman" w:hAnsi="Times New Roman" w:cs="Times New Roman"/>
          <w:noProof/>
          <w:sz w:val="24"/>
          <w:szCs w:val="24"/>
        </w:rPr>
        <w:t xml:space="preserve"> that measure disability,</w:t>
      </w:r>
      <w:r>
        <w:rPr>
          <w:rFonts w:ascii="Times New Roman" w:hAnsi="Times New Roman" w:cs="Times New Roman"/>
          <w:noProof/>
          <w:sz w:val="24"/>
          <w:szCs w:val="24"/>
        </w:rPr>
        <w:t xml:space="preserve"> at identifying patients reporting </w:t>
      </w:r>
      <w:r w:rsidR="00806FBD">
        <w:rPr>
          <w:rFonts w:ascii="Times New Roman" w:hAnsi="Times New Roman" w:cs="Times New Roman"/>
          <w:noProof/>
          <w:sz w:val="24"/>
          <w:szCs w:val="24"/>
        </w:rPr>
        <w:t xml:space="preserve">global </w:t>
      </w:r>
      <w:r>
        <w:rPr>
          <w:rFonts w:ascii="Times New Roman" w:hAnsi="Times New Roman" w:cs="Times New Roman"/>
          <w:noProof/>
          <w:sz w:val="24"/>
          <w:szCs w:val="24"/>
        </w:rPr>
        <w:t xml:space="preserve">improvements in </w:t>
      </w:r>
      <w:r w:rsidR="00571060">
        <w:rPr>
          <w:rFonts w:ascii="Times New Roman" w:hAnsi="Times New Roman" w:cs="Times New Roman"/>
          <w:noProof/>
          <w:sz w:val="24"/>
          <w:szCs w:val="24"/>
        </w:rPr>
        <w:t xml:space="preserve">their </w:t>
      </w:r>
      <w:r w:rsidR="00806FBD">
        <w:rPr>
          <w:rFonts w:ascii="Times New Roman" w:hAnsi="Times New Roman" w:cs="Times New Roman"/>
          <w:noProof/>
          <w:sz w:val="24"/>
          <w:szCs w:val="24"/>
        </w:rPr>
        <w:t xml:space="preserve">MSK </w:t>
      </w:r>
      <w:r w:rsidR="00571060">
        <w:rPr>
          <w:rFonts w:ascii="Times New Roman" w:hAnsi="Times New Roman" w:cs="Times New Roman"/>
          <w:noProof/>
          <w:sz w:val="24"/>
          <w:szCs w:val="24"/>
        </w:rPr>
        <w:t>condition</w:t>
      </w:r>
      <w:r w:rsidR="00BC7692">
        <w:rPr>
          <w:rFonts w:ascii="Times New Roman" w:hAnsi="Times New Roman" w:cs="Times New Roman"/>
          <w:noProof/>
          <w:sz w:val="24"/>
          <w:szCs w:val="24"/>
        </w:rPr>
        <w:t>, with similar AUC statistics observed</w:t>
      </w:r>
      <w:r>
        <w:rPr>
          <w:rFonts w:ascii="Times New Roman" w:hAnsi="Times New Roman" w:cs="Times New Roman"/>
          <w:noProof/>
          <w:sz w:val="24"/>
          <w:szCs w:val="24"/>
        </w:rPr>
        <w:t xml:space="preserve">. </w:t>
      </w:r>
      <w:r w:rsidR="00E07B2C">
        <w:rPr>
          <w:rFonts w:ascii="Times New Roman" w:hAnsi="Times New Roman" w:cs="Times New Roman"/>
          <w:noProof/>
          <w:sz w:val="24"/>
          <w:szCs w:val="24"/>
        </w:rPr>
        <w:t xml:space="preserve">As many patients in the primary care sector </w:t>
      </w:r>
      <w:r w:rsidR="00E07B2C">
        <w:rPr>
          <w:rFonts w:ascii="Times New Roman" w:hAnsi="Times New Roman" w:cs="Times New Roman"/>
          <w:noProof/>
          <w:sz w:val="24"/>
          <w:szCs w:val="24"/>
        </w:rPr>
        <w:lastRenderedPageBreak/>
        <w:t xml:space="preserve">will have symptoms at more than one MSK pain site over time, its similar responsiveness to site-specific PROMs across different pain sites is particuarly </w:t>
      </w:r>
      <w:r w:rsidR="0008354B">
        <w:rPr>
          <w:rFonts w:ascii="Times New Roman" w:hAnsi="Times New Roman" w:cs="Times New Roman"/>
          <w:noProof/>
          <w:sz w:val="24"/>
          <w:szCs w:val="24"/>
        </w:rPr>
        <w:t>advantagous</w:t>
      </w:r>
      <w:r w:rsidR="00E07B2C">
        <w:rPr>
          <w:rFonts w:ascii="Times New Roman" w:hAnsi="Times New Roman" w:cs="Times New Roman"/>
          <w:noProof/>
          <w:sz w:val="24"/>
          <w:szCs w:val="24"/>
        </w:rPr>
        <w:t xml:space="preserve">. </w:t>
      </w:r>
      <w:r>
        <w:rPr>
          <w:rFonts w:ascii="Times New Roman" w:hAnsi="Times New Roman" w:cs="Times New Roman"/>
          <w:noProof/>
          <w:sz w:val="24"/>
          <w:szCs w:val="24"/>
        </w:rPr>
        <w:t xml:space="preserve">Thirdly, the MSK-HQ </w:t>
      </w:r>
      <w:r w:rsidR="008E317E">
        <w:rPr>
          <w:rFonts w:ascii="Times New Roman" w:hAnsi="Times New Roman" w:cs="Times New Roman"/>
          <w:noProof/>
          <w:sz w:val="24"/>
          <w:szCs w:val="24"/>
        </w:rPr>
        <w:t xml:space="preserve">had higher AUC values than </w:t>
      </w:r>
      <w:r w:rsidR="00B2603D">
        <w:rPr>
          <w:rFonts w:ascii="Times New Roman" w:hAnsi="Times New Roman" w:cs="Times New Roman"/>
          <w:noProof/>
          <w:sz w:val="24"/>
          <w:szCs w:val="24"/>
        </w:rPr>
        <w:t>the EQ-5D-5L (</w:t>
      </w:r>
      <w:r w:rsidR="00FA571E">
        <w:rPr>
          <w:rFonts w:ascii="Times New Roman" w:hAnsi="Times New Roman" w:cs="Times New Roman"/>
          <w:noProof/>
          <w:sz w:val="24"/>
          <w:szCs w:val="24"/>
        </w:rPr>
        <w:t>widely-</w:t>
      </w:r>
      <w:r>
        <w:rPr>
          <w:rFonts w:ascii="Times New Roman" w:hAnsi="Times New Roman" w:cs="Times New Roman"/>
          <w:noProof/>
          <w:sz w:val="24"/>
          <w:szCs w:val="24"/>
        </w:rPr>
        <w:t>used</w:t>
      </w:r>
      <w:r w:rsidR="00FA571E">
        <w:rPr>
          <w:rFonts w:ascii="Times New Roman" w:hAnsi="Times New Roman" w:cs="Times New Roman"/>
          <w:noProof/>
          <w:sz w:val="24"/>
          <w:szCs w:val="24"/>
        </w:rPr>
        <w:t>,</w:t>
      </w:r>
      <w:r>
        <w:rPr>
          <w:rFonts w:ascii="Times New Roman" w:hAnsi="Times New Roman" w:cs="Times New Roman"/>
          <w:noProof/>
          <w:sz w:val="24"/>
          <w:szCs w:val="24"/>
        </w:rPr>
        <w:t xml:space="preserve"> generic </w:t>
      </w:r>
      <w:r w:rsidR="00FA571E">
        <w:rPr>
          <w:rFonts w:ascii="Times New Roman" w:hAnsi="Times New Roman" w:cs="Times New Roman"/>
          <w:noProof/>
          <w:sz w:val="24"/>
          <w:szCs w:val="24"/>
        </w:rPr>
        <w:t>HRQoL</w:t>
      </w:r>
      <w:r w:rsidR="00A75F75">
        <w:rPr>
          <w:rFonts w:ascii="Times New Roman" w:hAnsi="Times New Roman" w:cs="Times New Roman"/>
          <w:noProof/>
          <w:sz w:val="24"/>
          <w:szCs w:val="24"/>
        </w:rPr>
        <w:t xml:space="preserve"> measure</w:t>
      </w:r>
      <w:r w:rsidR="00B2603D">
        <w:rPr>
          <w:rFonts w:ascii="Times New Roman" w:hAnsi="Times New Roman" w:cs="Times New Roman"/>
          <w:noProof/>
          <w:sz w:val="24"/>
          <w:szCs w:val="24"/>
        </w:rPr>
        <w:t>)</w:t>
      </w:r>
      <w:r w:rsidR="00A75F75">
        <w:rPr>
          <w:rFonts w:ascii="Times New Roman" w:hAnsi="Times New Roman" w:cs="Times New Roman"/>
          <w:noProof/>
          <w:sz w:val="24"/>
          <w:szCs w:val="24"/>
        </w:rPr>
        <w:t xml:space="preserve"> </w:t>
      </w:r>
      <w:r>
        <w:rPr>
          <w:rFonts w:ascii="Times New Roman" w:hAnsi="Times New Roman" w:cs="Times New Roman"/>
          <w:noProof/>
          <w:sz w:val="24"/>
          <w:szCs w:val="24"/>
        </w:rPr>
        <w:t xml:space="preserve">at identifying patients </w:t>
      </w:r>
      <w:r w:rsidR="00A744E4">
        <w:rPr>
          <w:rFonts w:ascii="Times New Roman" w:hAnsi="Times New Roman" w:cs="Times New Roman"/>
          <w:noProof/>
          <w:sz w:val="24"/>
          <w:szCs w:val="24"/>
        </w:rPr>
        <w:t xml:space="preserve">who reported </w:t>
      </w:r>
      <w:r w:rsidR="00806FBD">
        <w:rPr>
          <w:rFonts w:ascii="Times New Roman" w:hAnsi="Times New Roman" w:cs="Times New Roman"/>
          <w:noProof/>
          <w:sz w:val="24"/>
          <w:szCs w:val="24"/>
        </w:rPr>
        <w:t xml:space="preserve">global </w:t>
      </w:r>
      <w:r w:rsidR="00A744E4">
        <w:rPr>
          <w:rFonts w:ascii="Times New Roman" w:hAnsi="Times New Roman" w:cs="Times New Roman"/>
          <w:noProof/>
          <w:sz w:val="24"/>
          <w:szCs w:val="24"/>
        </w:rPr>
        <w:t>resolution/</w:t>
      </w:r>
      <w:r>
        <w:rPr>
          <w:rFonts w:ascii="Times New Roman" w:hAnsi="Times New Roman" w:cs="Times New Roman"/>
          <w:noProof/>
          <w:sz w:val="24"/>
          <w:szCs w:val="24"/>
        </w:rPr>
        <w:t>improvement</w:t>
      </w:r>
      <w:r w:rsidR="00806FBD">
        <w:rPr>
          <w:rFonts w:ascii="Times New Roman" w:hAnsi="Times New Roman" w:cs="Times New Roman"/>
          <w:noProof/>
          <w:sz w:val="24"/>
          <w:szCs w:val="24"/>
        </w:rPr>
        <w:t xml:space="preserve"> in </w:t>
      </w:r>
      <w:r w:rsidR="00571060">
        <w:rPr>
          <w:rFonts w:ascii="Times New Roman" w:hAnsi="Times New Roman" w:cs="Times New Roman"/>
          <w:noProof/>
          <w:sz w:val="24"/>
          <w:szCs w:val="24"/>
        </w:rPr>
        <w:t xml:space="preserve">their </w:t>
      </w:r>
      <w:r w:rsidR="00806FBD">
        <w:rPr>
          <w:rFonts w:ascii="Times New Roman" w:hAnsi="Times New Roman" w:cs="Times New Roman"/>
          <w:noProof/>
          <w:sz w:val="24"/>
          <w:szCs w:val="24"/>
        </w:rPr>
        <w:t xml:space="preserve">MSK </w:t>
      </w:r>
      <w:r w:rsidR="00571060">
        <w:rPr>
          <w:rFonts w:ascii="Times New Roman" w:hAnsi="Times New Roman" w:cs="Times New Roman"/>
          <w:noProof/>
          <w:sz w:val="24"/>
          <w:szCs w:val="24"/>
        </w:rPr>
        <w:t>condition</w:t>
      </w:r>
      <w:r>
        <w:rPr>
          <w:rFonts w:ascii="Times New Roman" w:hAnsi="Times New Roman" w:cs="Times New Roman"/>
          <w:noProof/>
          <w:sz w:val="24"/>
          <w:szCs w:val="24"/>
        </w:rPr>
        <w:t xml:space="preserve">. Overall, these results provide further evidence that the MSK-HQ </w:t>
      </w:r>
      <w:r w:rsidR="002D2886">
        <w:rPr>
          <w:rFonts w:ascii="Times New Roman" w:hAnsi="Times New Roman" w:cs="Times New Roman"/>
          <w:noProof/>
          <w:sz w:val="24"/>
          <w:szCs w:val="24"/>
        </w:rPr>
        <w:t xml:space="preserve">is </w:t>
      </w:r>
      <w:r>
        <w:rPr>
          <w:rFonts w:ascii="Times New Roman" w:hAnsi="Times New Roman" w:cs="Times New Roman"/>
          <w:noProof/>
          <w:sz w:val="24"/>
          <w:szCs w:val="24"/>
        </w:rPr>
        <w:t xml:space="preserve">a valid and responsive PROM for use </w:t>
      </w:r>
      <w:r w:rsidR="00571060">
        <w:rPr>
          <w:rFonts w:ascii="Times New Roman" w:hAnsi="Times New Roman" w:cs="Times New Roman"/>
          <w:noProof/>
          <w:sz w:val="24"/>
          <w:szCs w:val="24"/>
        </w:rPr>
        <w:t>in</w:t>
      </w:r>
      <w:r w:rsidR="002D2886">
        <w:rPr>
          <w:rFonts w:ascii="Times New Roman" w:hAnsi="Times New Roman" w:cs="Times New Roman"/>
          <w:noProof/>
          <w:sz w:val="24"/>
          <w:szCs w:val="24"/>
        </w:rPr>
        <w:t xml:space="preserve"> </w:t>
      </w:r>
      <w:r>
        <w:rPr>
          <w:rFonts w:ascii="Times New Roman" w:hAnsi="Times New Roman" w:cs="Times New Roman"/>
          <w:noProof/>
          <w:sz w:val="24"/>
          <w:szCs w:val="24"/>
        </w:rPr>
        <w:t xml:space="preserve">patients </w:t>
      </w:r>
      <w:r w:rsidR="002D2886">
        <w:rPr>
          <w:rFonts w:ascii="Times New Roman" w:hAnsi="Times New Roman" w:cs="Times New Roman"/>
          <w:noProof/>
          <w:sz w:val="24"/>
          <w:szCs w:val="24"/>
        </w:rPr>
        <w:t>reporting a range</w:t>
      </w:r>
      <w:r>
        <w:rPr>
          <w:rFonts w:ascii="Times New Roman" w:hAnsi="Times New Roman" w:cs="Times New Roman"/>
          <w:noProof/>
          <w:sz w:val="24"/>
          <w:szCs w:val="24"/>
        </w:rPr>
        <w:t xml:space="preserve"> of MSK pain </w:t>
      </w:r>
      <w:r w:rsidR="002D2886">
        <w:rPr>
          <w:rFonts w:ascii="Times New Roman" w:hAnsi="Times New Roman" w:cs="Times New Roman"/>
          <w:noProof/>
          <w:sz w:val="24"/>
          <w:szCs w:val="24"/>
        </w:rPr>
        <w:t>presentations</w:t>
      </w:r>
      <w:r>
        <w:rPr>
          <w:rFonts w:ascii="Times New Roman" w:hAnsi="Times New Roman" w:cs="Times New Roman"/>
          <w:noProof/>
          <w:sz w:val="24"/>
          <w:szCs w:val="24"/>
        </w:rPr>
        <w:t>.</w:t>
      </w:r>
    </w:p>
    <w:p w14:paraId="167B0A97" w14:textId="77777777" w:rsidR="002A085A" w:rsidRDefault="002A085A" w:rsidP="002A085A">
      <w:pPr>
        <w:spacing w:line="480" w:lineRule="auto"/>
        <w:jc w:val="both"/>
        <w:rPr>
          <w:rFonts w:ascii="Times New Roman" w:hAnsi="Times New Roman" w:cs="Times New Roman"/>
          <w:noProof/>
          <w:sz w:val="24"/>
          <w:szCs w:val="24"/>
        </w:rPr>
      </w:pPr>
    </w:p>
    <w:p w14:paraId="0952131B" w14:textId="7F9184E0" w:rsidR="002A085A" w:rsidRDefault="002A085A" w:rsidP="002A085A">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Our finding that the MSK-HQ had </w:t>
      </w:r>
      <w:r w:rsidR="008E317E">
        <w:rPr>
          <w:rFonts w:ascii="Times New Roman" w:hAnsi="Times New Roman" w:cs="Times New Roman"/>
          <w:noProof/>
          <w:sz w:val="24"/>
          <w:szCs w:val="24"/>
        </w:rPr>
        <w:t xml:space="preserve">higher AUC values </w:t>
      </w:r>
      <w:r>
        <w:rPr>
          <w:rFonts w:ascii="Times New Roman" w:hAnsi="Times New Roman" w:cs="Times New Roman"/>
          <w:noProof/>
          <w:sz w:val="24"/>
          <w:szCs w:val="24"/>
        </w:rPr>
        <w:t>at identi</w:t>
      </w:r>
      <w:r w:rsidR="00806FBD">
        <w:rPr>
          <w:rFonts w:ascii="Times New Roman" w:hAnsi="Times New Roman" w:cs="Times New Roman"/>
          <w:noProof/>
          <w:sz w:val="24"/>
          <w:szCs w:val="24"/>
        </w:rPr>
        <w:t>fying patients self-reporting a global</w:t>
      </w:r>
      <w:r>
        <w:rPr>
          <w:rFonts w:ascii="Times New Roman" w:hAnsi="Times New Roman" w:cs="Times New Roman"/>
          <w:noProof/>
          <w:sz w:val="24"/>
          <w:szCs w:val="24"/>
        </w:rPr>
        <w:t xml:space="preserve"> improvement in their </w:t>
      </w:r>
      <w:r w:rsidR="00806FBD">
        <w:rPr>
          <w:rFonts w:ascii="Times New Roman" w:hAnsi="Times New Roman" w:cs="Times New Roman"/>
          <w:noProof/>
          <w:sz w:val="24"/>
          <w:szCs w:val="24"/>
        </w:rPr>
        <w:t xml:space="preserve">MSK </w:t>
      </w:r>
      <w:r w:rsidR="00892BD1">
        <w:rPr>
          <w:rFonts w:ascii="Times New Roman" w:hAnsi="Times New Roman" w:cs="Times New Roman"/>
          <w:noProof/>
          <w:sz w:val="24"/>
          <w:szCs w:val="24"/>
        </w:rPr>
        <w:t>condition</w:t>
      </w:r>
      <w:r>
        <w:rPr>
          <w:rFonts w:ascii="Times New Roman" w:hAnsi="Times New Roman" w:cs="Times New Roman"/>
          <w:noProof/>
          <w:sz w:val="24"/>
          <w:szCs w:val="24"/>
        </w:rPr>
        <w:t>, compared to the EQ-5D-5L index score, is of particular interest.  The</w:t>
      </w:r>
      <w:r w:rsidR="00892BD1">
        <w:rPr>
          <w:rFonts w:ascii="Times New Roman" w:hAnsi="Times New Roman" w:cs="Times New Roman"/>
          <w:noProof/>
          <w:sz w:val="24"/>
          <w:szCs w:val="24"/>
        </w:rPr>
        <w:t xml:space="preserve"> EQ-5D (encompassing its 3-</w:t>
      </w:r>
      <w:r w:rsidR="00006CB4">
        <w:rPr>
          <w:rFonts w:ascii="Times New Roman" w:hAnsi="Times New Roman" w:cs="Times New Roman"/>
          <w:noProof/>
          <w:sz w:val="24"/>
          <w:szCs w:val="24"/>
        </w:rPr>
        <w:t xml:space="preserve"> and 5-</w:t>
      </w:r>
      <w:r>
        <w:rPr>
          <w:rFonts w:ascii="Times New Roman" w:hAnsi="Times New Roman" w:cs="Times New Roman"/>
          <w:noProof/>
          <w:sz w:val="24"/>
          <w:szCs w:val="24"/>
        </w:rPr>
        <w:t xml:space="preserve">level </w:t>
      </w:r>
      <w:r w:rsidR="00006CB4">
        <w:rPr>
          <w:rFonts w:ascii="Times New Roman" w:hAnsi="Times New Roman" w:cs="Times New Roman"/>
          <w:noProof/>
          <w:sz w:val="24"/>
          <w:szCs w:val="24"/>
        </w:rPr>
        <w:t>forms</w:t>
      </w:r>
      <w:r>
        <w:rPr>
          <w:rFonts w:ascii="Times New Roman" w:hAnsi="Times New Roman" w:cs="Times New Roman"/>
          <w:noProof/>
          <w:sz w:val="24"/>
          <w:szCs w:val="24"/>
        </w:rPr>
        <w:t xml:space="preserve">) is one of the most frequently used generic, preference-based </w:t>
      </w:r>
      <w:r w:rsidR="00CA602B">
        <w:rPr>
          <w:rFonts w:ascii="Times New Roman" w:hAnsi="Times New Roman" w:cs="Times New Roman"/>
          <w:noProof/>
          <w:sz w:val="24"/>
          <w:szCs w:val="24"/>
        </w:rPr>
        <w:t xml:space="preserve">HRQoL </w:t>
      </w:r>
      <w:r>
        <w:rPr>
          <w:rFonts w:ascii="Times New Roman" w:hAnsi="Times New Roman" w:cs="Times New Roman"/>
          <w:noProof/>
          <w:sz w:val="24"/>
          <w:szCs w:val="24"/>
        </w:rPr>
        <w:t xml:space="preserve">measures, </w:t>
      </w:r>
      <w:r w:rsidR="00BC7692">
        <w:rPr>
          <w:rFonts w:ascii="Times New Roman" w:hAnsi="Times New Roman" w:cs="Times New Roman"/>
          <w:noProof/>
          <w:sz w:val="24"/>
          <w:szCs w:val="24"/>
        </w:rPr>
        <w:t xml:space="preserve">with the EQ-5D-3L </w:t>
      </w:r>
      <w:r>
        <w:rPr>
          <w:rFonts w:ascii="Times New Roman" w:hAnsi="Times New Roman" w:cs="Times New Roman"/>
          <w:noProof/>
          <w:sz w:val="24"/>
          <w:szCs w:val="24"/>
        </w:rPr>
        <w:t xml:space="preserve">recommended by the National Institute for Health and Care Excellence </w:t>
      </w:r>
      <w:r w:rsidR="00CB4DD7">
        <w:rPr>
          <w:rFonts w:ascii="Times New Roman" w:hAnsi="Times New Roman" w:cs="Times New Roman"/>
          <w:noProof/>
          <w:sz w:val="24"/>
          <w:szCs w:val="24"/>
        </w:rPr>
        <w:t xml:space="preserve">for use </w:t>
      </w:r>
      <w:r>
        <w:rPr>
          <w:rFonts w:ascii="Times New Roman" w:hAnsi="Times New Roman" w:cs="Times New Roman"/>
          <w:noProof/>
          <w:sz w:val="24"/>
          <w:szCs w:val="24"/>
        </w:rPr>
        <w:t>in its technology appraisal economic evaluations</w:t>
      </w:r>
      <w:r w:rsidR="00BC7692">
        <w:rPr>
          <w:rFonts w:ascii="Times New Roman" w:hAnsi="Times New Roman" w:cs="Times New Roman"/>
          <w:noProof/>
          <w:sz w:val="24"/>
          <w:szCs w:val="24"/>
        </w:rPr>
        <w:t xml:space="preserve"> </w:t>
      </w:r>
      <w:r w:rsidR="00FF2BD8">
        <w:rPr>
          <w:rFonts w:ascii="Times New Roman" w:hAnsi="Times New Roman" w:cs="Times New Roman"/>
          <w:noProof/>
          <w:sz w:val="24"/>
          <w:szCs w:val="24"/>
        </w:rPr>
        <w:fldChar w:fldCharType="begin" w:fldLock="1"/>
      </w:r>
      <w:r w:rsidR="009670B7">
        <w:rPr>
          <w:rFonts w:ascii="Times New Roman" w:hAnsi="Times New Roman" w:cs="Times New Roman"/>
          <w:noProof/>
          <w:sz w:val="24"/>
          <w:szCs w:val="24"/>
        </w:rPr>
        <w:instrText>ADDIN CSL_CITATION {"citationItems":[{"id":"ITEM-1","itemData":{"URL":"https://www.nice.org.uk/process/pmg20/chapter/incorporating-economic-evaluation","accessed":{"date-parts":[["2019","7","22"]]},"author":[{"dropping-particle":"","family":"National Institute for Health and Care Excellence (NICE)","given":"","non-dropping-particle":"","parse-names":false,"suffix":""}],"id":"ITEM-1","issued":{"date-parts":[["0"]]},"title":"Measuring and valuing effects for health interventions","type":"webpage"},"uris":["http://www.mendeley.com/documents/?uuid=5ab3bf18-ffe6-45a6-9bad-58e2e140b793"]}],"mendeley":{"formattedCitation":"(40)","plainTextFormattedCitation":"(40)","previouslyFormattedCitation":"(40)"},"properties":{"noteIndex":0},"schema":"https://github.com/citation-style-language/schema/raw/master/csl-citation.json"}</w:instrText>
      </w:r>
      <w:r w:rsidR="00FF2BD8">
        <w:rPr>
          <w:rFonts w:ascii="Times New Roman" w:hAnsi="Times New Roman" w:cs="Times New Roman"/>
          <w:noProof/>
          <w:sz w:val="24"/>
          <w:szCs w:val="24"/>
        </w:rPr>
        <w:fldChar w:fldCharType="separate"/>
      </w:r>
      <w:r w:rsidR="00C54581" w:rsidRPr="00C54581">
        <w:rPr>
          <w:rFonts w:ascii="Times New Roman" w:hAnsi="Times New Roman" w:cs="Times New Roman"/>
          <w:noProof/>
          <w:sz w:val="24"/>
          <w:szCs w:val="24"/>
        </w:rPr>
        <w:t>(40)</w:t>
      </w:r>
      <w:r w:rsidR="00FF2BD8">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r w:rsidR="00600637">
        <w:rPr>
          <w:rFonts w:ascii="Times New Roman" w:hAnsi="Times New Roman" w:cs="Times New Roman"/>
          <w:noProof/>
          <w:sz w:val="24"/>
          <w:szCs w:val="24"/>
        </w:rPr>
        <w:t>R</w:t>
      </w:r>
      <w:r>
        <w:rPr>
          <w:rFonts w:ascii="Times New Roman" w:hAnsi="Times New Roman" w:cs="Times New Roman"/>
          <w:noProof/>
          <w:sz w:val="24"/>
          <w:szCs w:val="24"/>
        </w:rPr>
        <w:t>esponsiveness to detect clinical changes of importance to patients is a crucial property of a PROM; if it is insufficently sensitive, it will fail to detect treatment benefits</w:t>
      </w:r>
      <w:r w:rsidR="00FA3FBA">
        <w:rPr>
          <w:rFonts w:ascii="Times New Roman" w:hAnsi="Times New Roman" w:cs="Times New Roman"/>
          <w:noProof/>
          <w:sz w:val="24"/>
          <w:szCs w:val="24"/>
        </w:rPr>
        <w:t xml:space="preserve">, </w:t>
      </w:r>
      <w:r w:rsidR="00006CB4">
        <w:rPr>
          <w:rFonts w:ascii="Times New Roman" w:hAnsi="Times New Roman" w:cs="Times New Roman"/>
          <w:noProof/>
          <w:sz w:val="24"/>
          <w:szCs w:val="24"/>
        </w:rPr>
        <w:t xml:space="preserve">leading </w:t>
      </w:r>
      <w:r w:rsidR="00FA3FBA">
        <w:rPr>
          <w:rFonts w:ascii="Times New Roman" w:hAnsi="Times New Roman" w:cs="Times New Roman"/>
          <w:noProof/>
          <w:sz w:val="24"/>
          <w:szCs w:val="24"/>
        </w:rPr>
        <w:t xml:space="preserve">to imprecise </w:t>
      </w:r>
      <w:r>
        <w:rPr>
          <w:rFonts w:ascii="Times New Roman" w:hAnsi="Times New Roman" w:cs="Times New Roman"/>
          <w:noProof/>
          <w:sz w:val="24"/>
          <w:szCs w:val="24"/>
        </w:rPr>
        <w:t>evaluations. Payakachat et al recently systematically reviewed the ability of the EQ-5D to detect clinically meaningful changes</w:t>
      </w:r>
      <w:r w:rsidR="00FA3FBA">
        <w:rPr>
          <w:rFonts w:ascii="Times New Roman" w:hAnsi="Times New Roman" w:cs="Times New Roman"/>
          <w:noProof/>
          <w:sz w:val="24"/>
          <w:szCs w:val="24"/>
        </w:rPr>
        <w:t xml:space="preserve"> in health status</w:t>
      </w:r>
      <w:r>
        <w:rPr>
          <w:rFonts w:ascii="Times New Roman" w:hAnsi="Times New Roman" w:cs="Times New Roman"/>
          <w:noProof/>
          <w:sz w:val="24"/>
          <w:szCs w:val="24"/>
        </w:rPr>
        <w:t xml:space="preserve">, reporting it was responsive in </w:t>
      </w:r>
      <w:r w:rsidR="00600637">
        <w:rPr>
          <w:rFonts w:ascii="Times New Roman" w:hAnsi="Times New Roman" w:cs="Times New Roman"/>
          <w:noProof/>
          <w:sz w:val="24"/>
          <w:szCs w:val="24"/>
        </w:rPr>
        <w:t xml:space="preserve">fewer than </w:t>
      </w:r>
      <w:r>
        <w:rPr>
          <w:rFonts w:ascii="Times New Roman" w:hAnsi="Times New Roman" w:cs="Times New Roman"/>
          <w:noProof/>
          <w:sz w:val="24"/>
          <w:szCs w:val="24"/>
        </w:rPr>
        <w:t>half</w:t>
      </w:r>
      <w:r w:rsidR="00600637">
        <w:rPr>
          <w:rFonts w:ascii="Times New Roman" w:hAnsi="Times New Roman" w:cs="Times New Roman"/>
          <w:noProof/>
          <w:sz w:val="24"/>
          <w:szCs w:val="24"/>
        </w:rPr>
        <w:t xml:space="preserve"> of</w:t>
      </w:r>
      <w:r>
        <w:rPr>
          <w:rFonts w:ascii="Times New Roman" w:hAnsi="Times New Roman" w:cs="Times New Roman"/>
          <w:noProof/>
          <w:sz w:val="24"/>
          <w:szCs w:val="24"/>
        </w:rPr>
        <w:t xml:space="preserve"> the 56 conditions evaluated </w:t>
      </w:r>
      <w:r w:rsidR="00006CB4">
        <w:rPr>
          <w:rFonts w:ascii="Times New Roman" w:hAnsi="Times New Roman" w:cs="Times New Roman"/>
          <w:noProof/>
          <w:sz w:val="24"/>
          <w:szCs w:val="24"/>
        </w:rPr>
        <w:t xml:space="preserve">across </w:t>
      </w:r>
      <w:r>
        <w:rPr>
          <w:rFonts w:ascii="Times New Roman" w:hAnsi="Times New Roman" w:cs="Times New Roman"/>
          <w:noProof/>
          <w:sz w:val="24"/>
          <w:szCs w:val="24"/>
        </w:rPr>
        <w:t>145 studies</w:t>
      </w:r>
      <w:r w:rsidR="00C806A6">
        <w:rPr>
          <w:rFonts w:ascii="Times New Roman" w:hAnsi="Times New Roman" w:cs="Times New Roman"/>
          <w:noProof/>
          <w:sz w:val="24"/>
          <w:szCs w:val="24"/>
        </w:rPr>
        <w:t xml:space="preserve">, with mixed and no evidence of responsiveness seen in 48% and 7% of conditions, respectively </w:t>
      </w:r>
      <w:r w:rsidR="00FF2BD8">
        <w:rPr>
          <w:rFonts w:ascii="Times New Roman" w:hAnsi="Times New Roman" w:cs="Times New Roman"/>
          <w:noProof/>
          <w:sz w:val="24"/>
          <w:szCs w:val="24"/>
        </w:rPr>
        <w:fldChar w:fldCharType="begin" w:fldLock="1"/>
      </w:r>
      <w:r w:rsidR="009670B7">
        <w:rPr>
          <w:rFonts w:ascii="Times New Roman" w:hAnsi="Times New Roman" w:cs="Times New Roman"/>
          <w:noProof/>
          <w:sz w:val="24"/>
          <w:szCs w:val="24"/>
        </w:rPr>
        <w:instrText>ADDIN CSL_CITATION {"citationItems":[{"id":"ITEM-1","itemData":{"DOI":"10.1007/s40273-015-0295-6","ISSN":"1179-2027","abstract":"BACKGROUND: The EQ-5D is one of the most frequently used, generic, preference-based instruments for measuring the health utilities of patients in economic evaluations. It is recommended for health technology assessment by the National Institute for Health and Clinical Excellence. Because the EQ-5D plays such an important role in economic evaluations, useful information on its responsiveness to detect meaningful change in health status is required. OBJECTIVE: This study systematically reviewed and synthesized evidence on the responsiveness of the EQ-5D to detect meaningful change in health status for clinical research and economic evaluations. METHODS: We searched the EuroQol website, PubMed, PsychINFO, and EconLit databases to identify studies published in English from the inception of the EQ-5D until August 15, 2014 using keywords that were related to responsiveness. Studies that used only the EQ-VAS were excluded from the final analysis. Narrative synthesis was conducted to summarize evidence on the responsiveness of the EQ-5D by conditions or physiological functions. RESULTS: Of 1401 studies, 145 were included in the narrative synthesis and categorized into 19 categories for 56 conditions. The EQ-5D was found to be responsive in 25 conditions (45 %) with the magnitude of responsiveness varying from small to large depending on the condition. There was mixed evidence of responsiveness in 27 conditions (48 %). Only four conditions (7 %) (i.e., alcohol dependency, schizophrenia, limb reconstruction, and hearing impairment) were identified where the EQ-5D was not responsive. CONCLUSION: The EQ-5D is an appropriate measure for economic evaluation and health technology assessment in conditions where it has demonstrated evidence of responsiveness. In conditions with mixed evidence of responsiveness, researchers should consider using the EQ-5D with other condition-specific measures to ensure appropriate estimates of effectiveness. These conditions should be a main focus for future research using the new EQ-5D version with five response levels.","author":[{"dropping-particle":"","family":"Payakachat","given":"Nalin","non-dropping-particle":"","parse-names":false,"suffix":""},{"dropping-particle":"","family":"Ali","given":"Mir M","non-dropping-particle":"","parse-names":false,"suffix":""},{"dropping-particle":"","family":"Tilford","given":"J Mick","non-dropping-particle":"","parse-names":false,"suffix":""}],"container-title":"PharmacoEconomics","id":"ITEM-1","issue":"11","issued":{"date-parts":[["2015","11"]]},"language":"eng","page":"1137-1154","title":"Can The EQ-5D Detect Meaningful Change? A Systematic Review","type":"article-journal","volume":"33"},"uris":["http://www.mendeley.com/documents/?uuid=8ebf7af1-c805-4665-80a6-94820a2a2c64"]}],"mendeley":{"formattedCitation":"(41)","plainTextFormattedCitation":"(41)","previouslyFormattedCitation":"(41)"},"properties":{"noteIndex":0},"schema":"https://github.com/citation-style-language/schema/raw/master/csl-citation.json"}</w:instrText>
      </w:r>
      <w:r w:rsidR="00FF2BD8">
        <w:rPr>
          <w:rFonts w:ascii="Times New Roman" w:hAnsi="Times New Roman" w:cs="Times New Roman"/>
          <w:noProof/>
          <w:sz w:val="24"/>
          <w:szCs w:val="24"/>
        </w:rPr>
        <w:fldChar w:fldCharType="separate"/>
      </w:r>
      <w:r w:rsidR="00C54581" w:rsidRPr="00C54581">
        <w:rPr>
          <w:rFonts w:ascii="Times New Roman" w:hAnsi="Times New Roman" w:cs="Times New Roman"/>
          <w:noProof/>
          <w:sz w:val="24"/>
          <w:szCs w:val="24"/>
        </w:rPr>
        <w:t>(41)</w:t>
      </w:r>
      <w:r w:rsidR="00FF2BD8">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In patients with MSK </w:t>
      </w:r>
      <w:r w:rsidR="00892BD1">
        <w:rPr>
          <w:rFonts w:ascii="Times New Roman" w:hAnsi="Times New Roman" w:cs="Times New Roman"/>
          <w:noProof/>
          <w:sz w:val="24"/>
          <w:szCs w:val="24"/>
        </w:rPr>
        <w:t>conditions</w:t>
      </w:r>
      <w:r>
        <w:rPr>
          <w:rFonts w:ascii="Times New Roman" w:hAnsi="Times New Roman" w:cs="Times New Roman"/>
          <w:noProof/>
          <w:sz w:val="24"/>
          <w:szCs w:val="24"/>
        </w:rPr>
        <w:t xml:space="preserve">, the responsiveness of the EQ-5D has mainly </w:t>
      </w:r>
      <w:r w:rsidR="00FA3FBA">
        <w:rPr>
          <w:rFonts w:ascii="Times New Roman" w:hAnsi="Times New Roman" w:cs="Times New Roman"/>
          <w:noProof/>
          <w:sz w:val="24"/>
          <w:szCs w:val="24"/>
        </w:rPr>
        <w:t xml:space="preserve">been evaluated in patients </w:t>
      </w:r>
      <w:r w:rsidR="00600637">
        <w:rPr>
          <w:rFonts w:ascii="Times New Roman" w:hAnsi="Times New Roman" w:cs="Times New Roman"/>
          <w:noProof/>
          <w:sz w:val="24"/>
          <w:szCs w:val="24"/>
        </w:rPr>
        <w:t xml:space="preserve">having </w:t>
      </w:r>
      <w:r>
        <w:rPr>
          <w:rFonts w:ascii="Times New Roman" w:hAnsi="Times New Roman" w:cs="Times New Roman"/>
          <w:noProof/>
          <w:sz w:val="24"/>
          <w:szCs w:val="24"/>
        </w:rPr>
        <w:t xml:space="preserve">surgery, or </w:t>
      </w:r>
      <w:r w:rsidR="00600637">
        <w:rPr>
          <w:rFonts w:ascii="Times New Roman" w:hAnsi="Times New Roman" w:cs="Times New Roman"/>
          <w:noProof/>
          <w:sz w:val="24"/>
          <w:szCs w:val="24"/>
        </w:rPr>
        <w:t xml:space="preserve">those </w:t>
      </w:r>
      <w:r>
        <w:rPr>
          <w:rFonts w:ascii="Times New Roman" w:hAnsi="Times New Roman" w:cs="Times New Roman"/>
          <w:noProof/>
          <w:sz w:val="24"/>
          <w:szCs w:val="24"/>
        </w:rPr>
        <w:t>reviewed in orthopedic clinics. Several studies have assessed its internal responsiveness (ability</w:t>
      </w:r>
      <w:r w:rsidR="00006CB4">
        <w:rPr>
          <w:rFonts w:ascii="Times New Roman" w:hAnsi="Times New Roman" w:cs="Times New Roman"/>
          <w:noProof/>
          <w:sz w:val="24"/>
          <w:szCs w:val="24"/>
        </w:rPr>
        <w:t xml:space="preserve"> to change over a specific time-period, usually pre-/</w:t>
      </w:r>
      <w:r>
        <w:rPr>
          <w:rFonts w:ascii="Times New Roman" w:hAnsi="Times New Roman" w:cs="Times New Roman"/>
          <w:noProof/>
          <w:sz w:val="24"/>
          <w:szCs w:val="24"/>
        </w:rPr>
        <w:t xml:space="preserve">post-surgery). In 60 patients undergoing carpal tunnel decompression surgery the EQ-5D-5L had “moderate” internal responsiveness (Cohen’s d score of 0.5 comparing mean post-operative and pre-operative EQ-5D-3L scores) </w:t>
      </w:r>
      <w:r w:rsidR="00FF2BD8">
        <w:rPr>
          <w:rFonts w:ascii="Times New Roman" w:hAnsi="Times New Roman" w:cs="Times New Roman"/>
          <w:noProof/>
          <w:sz w:val="24"/>
          <w:szCs w:val="24"/>
        </w:rPr>
        <w:fldChar w:fldCharType="begin" w:fldLock="1"/>
      </w:r>
      <w:r w:rsidR="009670B7">
        <w:rPr>
          <w:rFonts w:ascii="Times New Roman" w:hAnsi="Times New Roman" w:cs="Times New Roman"/>
          <w:noProof/>
          <w:sz w:val="24"/>
          <w:szCs w:val="24"/>
        </w:rPr>
        <w:instrText>ADDIN CSL_CITATION {"citationItems":[{"id":"ITEM-1","itemData":{"DOI":"10.1177/1753193416659404","ISSN":"1753-1934","abstract":"The objective of this study was to investigate the measurement properties of the EuroQol EQ-5D-5L questionnaire (EQ-5D-5L). A total of 60 patients with carpal tunnel syndrome completed the EQ-5D-5L twice before surgical decompression and once more 6?weeks after surgery. In addition, they filled out the Short Form 12 and Michigan Hand Outcomes Questionnaire at the baseline and postoperative follow-up examinations. Test?retest reliability was excellent with an intraclass correlation coefficient of 0.81. Internal consistency was high with Cronbach?s alpha of 0.83. Good validity of the EQ-5D-5L was indicated by correlations of r?=?0.7 and r?=?0.5 with the Short Form 12 and Michigan Hand Outcomes Questionnaire, respectively. Moderate responsiveness was shown by an effect size of 0.5. The minimal important change was 0.09 points. Overall, the EQ-5D-5L demonstrates sound measurement properties and can be recommended as a suitable tool to assess quality of life in patients with carpal tunnel syndrome.Level of evidence: I","author":[{"dropping-particle":"","family":"Marti","given":"C","non-dropping-particle":"","parse-names":false,"suffix":""},{"dropping-particle":"","family":"Hensler","given":"S","non-dropping-particle":"","parse-names":false,"suffix":""},{"dropping-particle":"","family":"Herren","given":"D B","non-dropping-particle":"","parse-names":false,"suffix":""},{"dropping-particle":"","family":"Niedermann","given":"K","non-dropping-particle":"","parse-names":false,"suffix":""},{"dropping-particle":"","family":"Marks","given":"M","non-dropping-particle":"","parse-names":false,"suffix":""}],"container-title":"Journal of Hand Surgery (European Volume)","id":"ITEM-1","issue":"9","issued":{"date-parts":[["2016","7","18"]]},"note":"doi: 10.1177/1753193416659404","page":"957-962","publisher":"SAGE Publications Ltd STM","title":"Measurement properties of the EuroQoL EQ-5D-5L to assess quality of life in patients undergoing carpal tunnel release","type":"article-journal","volume":"41"},"uris":["http://www.mendeley.com/documents/?uuid=639eac06-4c43-48ce-906d-f1be8b61605a"]}],"mendeley":{"formattedCitation":"(42)","plainTextFormattedCitation":"(42)","previouslyFormattedCitation":"(42)"},"properties":{"noteIndex":0},"schema":"https://github.com/citation-style-language/schema/raw/master/csl-citation.json"}</w:instrText>
      </w:r>
      <w:r w:rsidR="00FF2BD8">
        <w:rPr>
          <w:rFonts w:ascii="Times New Roman" w:hAnsi="Times New Roman" w:cs="Times New Roman"/>
          <w:noProof/>
          <w:sz w:val="24"/>
          <w:szCs w:val="24"/>
        </w:rPr>
        <w:fldChar w:fldCharType="separate"/>
      </w:r>
      <w:r w:rsidR="00C54581" w:rsidRPr="00C54581">
        <w:rPr>
          <w:rFonts w:ascii="Times New Roman" w:hAnsi="Times New Roman" w:cs="Times New Roman"/>
          <w:noProof/>
          <w:sz w:val="24"/>
          <w:szCs w:val="24"/>
        </w:rPr>
        <w:t>(42)</w:t>
      </w:r>
      <w:r w:rsidR="00FF2BD8">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In 54,486 patients </w:t>
      </w:r>
      <w:r w:rsidR="00600637">
        <w:rPr>
          <w:rFonts w:ascii="Times New Roman" w:hAnsi="Times New Roman" w:cs="Times New Roman"/>
          <w:noProof/>
          <w:sz w:val="24"/>
          <w:szCs w:val="24"/>
        </w:rPr>
        <w:t>having</w:t>
      </w:r>
      <w:r>
        <w:rPr>
          <w:rFonts w:ascii="Times New Roman" w:hAnsi="Times New Roman" w:cs="Times New Roman"/>
          <w:noProof/>
          <w:sz w:val="24"/>
          <w:szCs w:val="24"/>
        </w:rPr>
        <w:t xml:space="preserve"> knee replacement surgery, standardised response mean scores were 0.90 for EQ-5D-3L index scores, </w:t>
      </w:r>
      <w:r>
        <w:rPr>
          <w:rFonts w:ascii="Times New Roman" w:hAnsi="Times New Roman" w:cs="Times New Roman"/>
          <w:noProof/>
          <w:sz w:val="24"/>
          <w:szCs w:val="24"/>
        </w:rPr>
        <w:lastRenderedPageBreak/>
        <w:t xml:space="preserve">compared with 1.50 for Oxford Knee Scores </w:t>
      </w:r>
      <w:r w:rsidR="00FF2BD8">
        <w:rPr>
          <w:rFonts w:ascii="Times New Roman" w:hAnsi="Times New Roman" w:cs="Times New Roman"/>
          <w:noProof/>
          <w:sz w:val="24"/>
          <w:szCs w:val="24"/>
        </w:rPr>
        <w:fldChar w:fldCharType="begin" w:fldLock="1"/>
      </w:r>
      <w:r w:rsidR="009670B7">
        <w:rPr>
          <w:rFonts w:ascii="Times New Roman" w:hAnsi="Times New Roman" w:cs="Times New Roman"/>
          <w:noProof/>
          <w:sz w:val="24"/>
          <w:szCs w:val="24"/>
        </w:rPr>
        <w:instrText>ADDIN CSL_CITATION {"citationItems":[{"id":"ITEM-1","itemData":{"DOI":"https://dx.doi.org/10.1007/s10198-013-0489-9","ISSN":"1618-7601","abstract":"PURPOSE: Using the UK National Health Service's Patient Reported Outcome Measures data, we examined the magnitude of changes and relationship among the EQ-5D index, EQ-5D Visual Analog Scale (EQ-VAS), and Oxford Knee Score (OKS) in patients undergoing knee replacement., METHODS: Patients undergoing knee replacements in 2009-2011 completed the EQ-5D and OKS before and after surgery. Responsiveness was compared using the standardized response mean (SRM). Stratified analyses based on change scores in the OKS were utilized to investigate how changes in the outcome measures related to each other. Patients were grouped based on the preoperative OKS to examine the relationship of change in the EQ-5D index and EQ-VAS with respect to initial health status., RESULTS: For the overall cohort (54,486 patients), mean change scores pre/post knee replacement were 0.30 for the EQ-5D index (SD 0.33; SRM = 0.90), 3.3 for the EQ-VAS (SD 21.0; SRM = 0.16), and 14.9 for the OKS (SD 9.9; SRM = 1.50). The OKS changed uniformly with the EQ-5D index, but less concordantly with the EQ-VAS in response to knee replacement surgery. Substantial functional improvement was needed before mean EQ-VAS change scores showed improvement. Patients with worse preoperative health status had greater improvement following surgery, but the improvement in the EQ-5D index did not necessarily translate into comparable improvement in self-perceived well-being measured by the EQ-VAS., CONCLUSIONS: On average, patients self-rated their health systematically lower using the EQ-VAS compared to the EQ-5D index and OKS following knee replacement. The EQ-VAS captured information about how patients feel about their health pre-/post-surgical intervention that contrasted with more functional measures of health. Additional qualitative research is needed to better understand these differences.","author":[{"dropping-particle":"","family":"Lin","given":"Fang-Ju","non-dropping-particle":"","parse-names":false,"suffix":""},{"dropping-particle":"","family":"Samp","given":"Jennifer","non-dropping-particle":"","parse-names":false,"suffix":""},{"dropping-particle":"","family":"Munoz","given":"Alexis","non-dropping-particle":"","parse-names":false,"suffix":""},{"dropping-particle":"","family":"Wong","given":"Pei Shieen","non-dropping-particle":"","parse-names":false,"suffix":""},{"dropping-particle":"","family":"Pickard","given":"A Simon","non-dropping-particle":"","parse-names":false,"suffix":""}],"container-title":"The European journal of health economics : HEPAC : health economics in prevention and care","id":"ITEM-1","issue":"5","issued":{"date-parts":[["2014"]]},"page":"489-496","publisher-place":"Germany","title":"Evaluating change using patient-reported outcome measures in knee replacement: the complementary nature of the EQ-5D index and VAS scores.","type":"article-journal","volume":"15"},"uris":["http://www.mendeley.com/documents/?uuid=29db8b75-0707-4141-be5a-9d0a351399d4"]}],"mendeley":{"formattedCitation":"(43)","plainTextFormattedCitation":"(43)","previouslyFormattedCitation":"(43)"},"properties":{"noteIndex":0},"schema":"https://github.com/citation-style-language/schema/raw/master/csl-citation.json"}</w:instrText>
      </w:r>
      <w:r w:rsidR="00FF2BD8">
        <w:rPr>
          <w:rFonts w:ascii="Times New Roman" w:hAnsi="Times New Roman" w:cs="Times New Roman"/>
          <w:noProof/>
          <w:sz w:val="24"/>
          <w:szCs w:val="24"/>
        </w:rPr>
        <w:fldChar w:fldCharType="separate"/>
      </w:r>
      <w:r w:rsidR="00C54581" w:rsidRPr="00C54581">
        <w:rPr>
          <w:rFonts w:ascii="Times New Roman" w:hAnsi="Times New Roman" w:cs="Times New Roman"/>
          <w:noProof/>
          <w:sz w:val="24"/>
          <w:szCs w:val="24"/>
        </w:rPr>
        <w:t>(43)</w:t>
      </w:r>
      <w:r w:rsidR="00FF2BD8">
        <w:rPr>
          <w:rFonts w:ascii="Times New Roman" w:hAnsi="Times New Roman" w:cs="Times New Roman"/>
          <w:noProof/>
          <w:sz w:val="24"/>
          <w:szCs w:val="24"/>
        </w:rPr>
        <w:fldChar w:fldCharType="end"/>
      </w:r>
      <w:r>
        <w:rPr>
          <w:rFonts w:ascii="Times New Roman" w:hAnsi="Times New Roman" w:cs="Times New Roman"/>
          <w:noProof/>
          <w:sz w:val="24"/>
          <w:szCs w:val="24"/>
        </w:rPr>
        <w:t>. Limited data exists on its external responsiveness</w:t>
      </w:r>
      <w:r w:rsidR="00A036C7">
        <w:rPr>
          <w:rFonts w:ascii="Times New Roman" w:hAnsi="Times New Roman" w:cs="Times New Roman"/>
          <w:noProof/>
          <w:sz w:val="24"/>
          <w:szCs w:val="24"/>
        </w:rPr>
        <w:t xml:space="preserve"> (</w:t>
      </w:r>
      <w:r w:rsidR="00A036C7" w:rsidRPr="00520B59">
        <w:rPr>
          <w:rFonts w:ascii="Times New Roman" w:hAnsi="Times New Roman" w:cs="Times New Roman"/>
          <w:noProof/>
          <w:sz w:val="24"/>
          <w:szCs w:val="24"/>
        </w:rPr>
        <w:t xml:space="preserve">extent to which </w:t>
      </w:r>
      <w:r w:rsidR="00A036C7">
        <w:rPr>
          <w:rFonts w:ascii="Times New Roman" w:hAnsi="Times New Roman" w:cs="Times New Roman"/>
          <w:noProof/>
          <w:sz w:val="24"/>
          <w:szCs w:val="24"/>
        </w:rPr>
        <w:t xml:space="preserve">its change </w:t>
      </w:r>
      <w:r w:rsidR="00A036C7" w:rsidRPr="00520B59">
        <w:rPr>
          <w:rFonts w:ascii="Times New Roman" w:hAnsi="Times New Roman" w:cs="Times New Roman"/>
          <w:noProof/>
          <w:sz w:val="24"/>
          <w:szCs w:val="24"/>
        </w:rPr>
        <w:t>relates to corresponding change</w:t>
      </w:r>
      <w:r w:rsidR="00006CB4">
        <w:rPr>
          <w:rFonts w:ascii="Times New Roman" w:hAnsi="Times New Roman" w:cs="Times New Roman"/>
          <w:noProof/>
          <w:sz w:val="24"/>
          <w:szCs w:val="24"/>
        </w:rPr>
        <w:t>s</w:t>
      </w:r>
      <w:r w:rsidR="00A036C7" w:rsidRPr="00520B59">
        <w:rPr>
          <w:rFonts w:ascii="Times New Roman" w:hAnsi="Times New Roman" w:cs="Times New Roman"/>
          <w:noProof/>
          <w:sz w:val="24"/>
          <w:szCs w:val="24"/>
        </w:rPr>
        <w:t xml:space="preserve"> in a reference measure of clinical or health status)</w:t>
      </w:r>
      <w:r w:rsidR="00A036C7">
        <w:rPr>
          <w:rFonts w:ascii="Times New Roman" w:hAnsi="Times New Roman" w:cs="Times New Roman"/>
          <w:noProof/>
          <w:sz w:val="24"/>
          <w:szCs w:val="24"/>
        </w:rPr>
        <w:t>, although Soer</w:t>
      </w:r>
      <w:r>
        <w:rPr>
          <w:rFonts w:ascii="Times New Roman" w:hAnsi="Times New Roman" w:cs="Times New Roman"/>
          <w:noProof/>
          <w:sz w:val="24"/>
          <w:szCs w:val="24"/>
        </w:rPr>
        <w:t xml:space="preserve"> et al reported that in 151 patients with non-specific chronic lower back pain receiving treatment in a tertiary care spine centre, EQ-5D-3L index scores had an AUC of 0.71 at idenfifying patients reporting improvements in their global scores</w:t>
      </w:r>
      <w:r w:rsidR="009670B7">
        <w:rPr>
          <w:rFonts w:ascii="Times New Roman" w:hAnsi="Times New Roman" w:cs="Times New Roman"/>
          <w:noProof/>
          <w:sz w:val="24"/>
          <w:szCs w:val="24"/>
        </w:rPr>
        <w:t xml:space="preserve"> </w:t>
      </w:r>
      <w:r w:rsidR="009670B7">
        <w:rPr>
          <w:rFonts w:ascii="Times New Roman" w:hAnsi="Times New Roman" w:cs="Times New Roman"/>
          <w:noProof/>
          <w:sz w:val="24"/>
          <w:szCs w:val="24"/>
        </w:rPr>
        <w:fldChar w:fldCharType="begin" w:fldLock="1"/>
      </w:r>
      <w:r w:rsidR="009670B7">
        <w:rPr>
          <w:rFonts w:ascii="Times New Roman" w:hAnsi="Times New Roman" w:cs="Times New Roman"/>
          <w:noProof/>
          <w:sz w:val="24"/>
          <w:szCs w:val="24"/>
        </w:rPr>
        <w:instrText>ADDIN CSL_CITATION {"citationItems":[{"id":"ITEM-1","itemData":{"DOI":"https://dx.doi.org/10.1016/j.spinee.2012.10.030","ISSN":"1878-1632","abstract":"BACKGROUND CONTEXT: Clinimetric properties of the EuroQol-5D (EQ-5D) in patients with nonspecific chronic low back pain (CLBP) are largely unknown., PURPOSE: To study the criterion validity, responsiveness, and minimal clinically important change (MCIC) of EQ-5D in patients with CLBP., STUDY DESIGN: Prospective study design carried out in a multispecialist Spine Center in The Netherlands., PATIENT SAMPLE: One hundred fifty-one patients with CLBP., OUTCOME MEASURES: Quality of life (QOL) was measured with EQ-5D, consisting of two scales: one scale measuring QOL with five categorical questions and the other measuring health state on a visual analog scale (0-100). Criterion measures were disability, measured with the Pain Disability Index (PDI) and the Roland Morris Disability Questionnaire (RMDQ), and pain intensity, measured with a numeric rating scale (NRS)., METHODS: Pearson correlation coefficients between the EQ-5D and RMDQ, PDI, and NRS were calculated to test the criterion validity. Correlations were interpreted based on predefined criteria. Responsiveness of the EQ-5D was calculated with area under the receiver operating characteristics (ROC) curve. Minimal clinically important change was calculated with the optimal cutoff point under the ROC curve, and sensitivity and specificity were also calculated., RESULTS: Correlations between EQ-5D and criterion measures ranged between 0.39 and 0.59 and were considered moderate to good. Areas under the ROC curve ranged from 0.59 to 0.72 depending on the external criterion and EQ-5D subscale. The MCIC was 0.03 points for the categorical scales of the EQ-5D and 10.5 points for the EQ-5D visual analog scale., CONCLUSIONS: The EQ-5D is a valid and responsive QOL scale in patients with CLBP. Copyright © 2012 Elsevier Inc. All rights reserved.","author":[{"dropping-particle":"","family":"Soer","given":"Remko","non-dropping-particle":"","parse-names":false,"suffix":""},{"dropping-particle":"","family":"Reneman","given":"Michiel F","non-dropping-particle":"","parse-names":false,"suffix":""},{"dropping-particle":"","family":"Speijer","given":"Bert L G N","non-dropping-particle":"","parse-names":false,"suffix":""},{"dropping-particle":"","family":"Coppes","given":"Maarten H","non-dropping-particle":"","parse-names":false,"suffix":""},{"dropping-particle":"","family":"Vroomen","given":"Patrick C A J","non-dropping-particle":"","parse-names":false,"suffix":""}],"container-title":"The spine journal : official journal of the North American Spine Society","id":"ITEM-1","issue":"11","issued":{"date-parts":[["2012"]]},"page":"1035-1039","publisher-place":"United States","title":"Clinimetric properties of the EuroQol-5D in patients with chronic low back pain.","type":"article-journal","volume":"12"},"uris":["http://www.mendeley.com/documents/?uuid=9324831b-dc9a-4cb5-8946-a293fd591968"]}],"mendeley":{"formattedCitation":"(44)","plainTextFormattedCitation":"(44)"},"properties":{"noteIndex":0},"schema":"https://github.com/citation-style-language/schema/raw/master/csl-citation.json"}</w:instrText>
      </w:r>
      <w:r w:rsidR="009670B7">
        <w:rPr>
          <w:rFonts w:ascii="Times New Roman" w:hAnsi="Times New Roman" w:cs="Times New Roman"/>
          <w:noProof/>
          <w:sz w:val="24"/>
          <w:szCs w:val="24"/>
        </w:rPr>
        <w:fldChar w:fldCharType="separate"/>
      </w:r>
      <w:r w:rsidR="009670B7" w:rsidRPr="009670B7">
        <w:rPr>
          <w:rFonts w:ascii="Times New Roman" w:hAnsi="Times New Roman" w:cs="Times New Roman"/>
          <w:noProof/>
          <w:sz w:val="24"/>
          <w:szCs w:val="24"/>
        </w:rPr>
        <w:t>(44)</w:t>
      </w:r>
      <w:r w:rsidR="009670B7">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The findings from our study suggest that in patients with common MSK </w:t>
      </w:r>
      <w:r w:rsidR="00600637">
        <w:rPr>
          <w:rFonts w:ascii="Times New Roman" w:hAnsi="Times New Roman" w:cs="Times New Roman"/>
          <w:noProof/>
          <w:sz w:val="24"/>
          <w:szCs w:val="24"/>
        </w:rPr>
        <w:t xml:space="preserve">pain presentations </w:t>
      </w:r>
      <w:r>
        <w:rPr>
          <w:rFonts w:ascii="Times New Roman" w:hAnsi="Times New Roman" w:cs="Times New Roman"/>
          <w:noProof/>
          <w:sz w:val="24"/>
          <w:szCs w:val="24"/>
        </w:rPr>
        <w:t>seen in primary care, the MSK-HQ is better at detecting clinically meaningful improvements in patients</w:t>
      </w:r>
      <w:r w:rsidR="00BC7692">
        <w:rPr>
          <w:rFonts w:ascii="Times New Roman" w:hAnsi="Times New Roman" w:cs="Times New Roman"/>
          <w:noProof/>
          <w:sz w:val="24"/>
          <w:szCs w:val="24"/>
        </w:rPr>
        <w:t>’</w:t>
      </w:r>
      <w:r w:rsidR="00806FBD">
        <w:rPr>
          <w:rFonts w:ascii="Times New Roman" w:hAnsi="Times New Roman" w:cs="Times New Roman"/>
          <w:noProof/>
          <w:sz w:val="24"/>
          <w:szCs w:val="24"/>
        </w:rPr>
        <w:t xml:space="preserve"> MSK </w:t>
      </w:r>
      <w:r w:rsidR="00892BD1">
        <w:rPr>
          <w:rFonts w:ascii="Times New Roman" w:hAnsi="Times New Roman" w:cs="Times New Roman"/>
          <w:noProof/>
          <w:sz w:val="24"/>
          <w:szCs w:val="24"/>
        </w:rPr>
        <w:t>conditions</w:t>
      </w:r>
      <w:r>
        <w:rPr>
          <w:rFonts w:ascii="Times New Roman" w:hAnsi="Times New Roman" w:cs="Times New Roman"/>
          <w:noProof/>
          <w:sz w:val="24"/>
          <w:szCs w:val="24"/>
        </w:rPr>
        <w:t xml:space="preserve">, and </w:t>
      </w:r>
      <w:r w:rsidR="00600637">
        <w:rPr>
          <w:rFonts w:ascii="Times New Roman" w:hAnsi="Times New Roman" w:cs="Times New Roman"/>
          <w:noProof/>
          <w:sz w:val="24"/>
          <w:szCs w:val="24"/>
        </w:rPr>
        <w:t>is</w:t>
      </w:r>
      <w:r>
        <w:rPr>
          <w:rFonts w:ascii="Times New Roman" w:hAnsi="Times New Roman" w:cs="Times New Roman"/>
          <w:noProof/>
          <w:sz w:val="24"/>
          <w:szCs w:val="24"/>
        </w:rPr>
        <w:t xml:space="preserve"> a </w:t>
      </w:r>
      <w:r w:rsidR="00BC7692">
        <w:rPr>
          <w:rFonts w:ascii="Times New Roman" w:hAnsi="Times New Roman" w:cs="Times New Roman"/>
          <w:noProof/>
          <w:sz w:val="24"/>
          <w:szCs w:val="24"/>
        </w:rPr>
        <w:t>superio</w:t>
      </w:r>
      <w:r w:rsidR="00A036C7">
        <w:rPr>
          <w:rFonts w:ascii="Times New Roman" w:hAnsi="Times New Roman" w:cs="Times New Roman"/>
          <w:noProof/>
          <w:sz w:val="24"/>
          <w:szCs w:val="24"/>
        </w:rPr>
        <w:t xml:space="preserve">r </w:t>
      </w:r>
      <w:r>
        <w:rPr>
          <w:rFonts w:ascii="Times New Roman" w:hAnsi="Times New Roman" w:cs="Times New Roman"/>
          <w:noProof/>
          <w:sz w:val="24"/>
          <w:szCs w:val="24"/>
        </w:rPr>
        <w:t xml:space="preserve">PROM </w:t>
      </w:r>
      <w:r w:rsidR="00CB4DD7">
        <w:rPr>
          <w:rFonts w:ascii="Times New Roman" w:hAnsi="Times New Roman" w:cs="Times New Roman"/>
          <w:noProof/>
          <w:sz w:val="24"/>
          <w:szCs w:val="24"/>
        </w:rPr>
        <w:t xml:space="preserve">than the </w:t>
      </w:r>
      <w:r w:rsidR="00BC7692">
        <w:rPr>
          <w:rFonts w:ascii="Times New Roman" w:hAnsi="Times New Roman" w:cs="Times New Roman"/>
          <w:noProof/>
          <w:sz w:val="24"/>
          <w:szCs w:val="24"/>
        </w:rPr>
        <w:t xml:space="preserve">EQ-5D </w:t>
      </w:r>
      <w:r>
        <w:rPr>
          <w:rFonts w:ascii="Times New Roman" w:hAnsi="Times New Roman" w:cs="Times New Roman"/>
          <w:noProof/>
          <w:sz w:val="24"/>
          <w:szCs w:val="24"/>
        </w:rPr>
        <w:t>in this setting.</w:t>
      </w:r>
    </w:p>
    <w:p w14:paraId="540C0B5E" w14:textId="77777777" w:rsidR="00A036C7" w:rsidRDefault="00A036C7" w:rsidP="002A085A">
      <w:pPr>
        <w:spacing w:line="480" w:lineRule="auto"/>
        <w:jc w:val="both"/>
        <w:rPr>
          <w:rFonts w:ascii="Times New Roman" w:hAnsi="Times New Roman" w:cs="Times New Roman"/>
          <w:noProof/>
          <w:sz w:val="24"/>
          <w:szCs w:val="24"/>
        </w:rPr>
      </w:pPr>
    </w:p>
    <w:p w14:paraId="78FBF67F" w14:textId="242E7D49" w:rsidR="00070B6B" w:rsidRDefault="0086399E">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We </w:t>
      </w:r>
      <w:r w:rsidR="00DD1B4A">
        <w:rPr>
          <w:rFonts w:ascii="Times New Roman" w:hAnsi="Times New Roman" w:cs="Times New Roman"/>
          <w:noProof/>
          <w:sz w:val="24"/>
          <w:szCs w:val="24"/>
        </w:rPr>
        <w:t xml:space="preserve">used the </w:t>
      </w:r>
      <w:r>
        <w:rPr>
          <w:rFonts w:ascii="Times New Roman" w:hAnsi="Times New Roman" w:cs="Times New Roman"/>
          <w:noProof/>
          <w:sz w:val="24"/>
          <w:szCs w:val="24"/>
        </w:rPr>
        <w:t>anchor-based method</w:t>
      </w:r>
      <w:r w:rsidR="00DD1B4A">
        <w:rPr>
          <w:rFonts w:ascii="Times New Roman" w:hAnsi="Times New Roman" w:cs="Times New Roman"/>
          <w:noProof/>
          <w:sz w:val="24"/>
          <w:szCs w:val="24"/>
        </w:rPr>
        <w:t xml:space="preserve"> to calculate the MCID for the MSK-HQ</w:t>
      </w:r>
      <w:r>
        <w:rPr>
          <w:rFonts w:ascii="Times New Roman" w:hAnsi="Times New Roman" w:cs="Times New Roman"/>
          <w:noProof/>
          <w:sz w:val="24"/>
          <w:szCs w:val="24"/>
        </w:rPr>
        <w:t xml:space="preserve">, comparing </w:t>
      </w:r>
      <w:r w:rsidR="00DD1B4A">
        <w:rPr>
          <w:rFonts w:ascii="Times New Roman" w:hAnsi="Times New Roman" w:cs="Times New Roman"/>
          <w:noProof/>
          <w:sz w:val="24"/>
          <w:szCs w:val="24"/>
        </w:rPr>
        <w:t xml:space="preserve">changes in MSK-HQ scores with changes in a </w:t>
      </w:r>
      <w:r w:rsidR="00DD1B4A" w:rsidRPr="00DA020D">
        <w:rPr>
          <w:rFonts w:ascii="Times New Roman" w:hAnsi="Times New Roman" w:cs="Times New Roman"/>
          <w:noProof/>
          <w:sz w:val="24"/>
          <w:szCs w:val="24"/>
        </w:rPr>
        <w:t xml:space="preserve">patient global assessment of </w:t>
      </w:r>
      <w:r w:rsidR="00806FBD">
        <w:rPr>
          <w:rFonts w:ascii="Times New Roman" w:hAnsi="Times New Roman" w:cs="Times New Roman"/>
          <w:noProof/>
          <w:sz w:val="24"/>
          <w:szCs w:val="24"/>
        </w:rPr>
        <w:t xml:space="preserve">MSK </w:t>
      </w:r>
      <w:r w:rsidR="00292D02">
        <w:rPr>
          <w:rFonts w:ascii="Times New Roman" w:hAnsi="Times New Roman" w:cs="Times New Roman"/>
          <w:noProof/>
          <w:sz w:val="24"/>
          <w:szCs w:val="24"/>
        </w:rPr>
        <w:t>condition</w:t>
      </w:r>
      <w:r w:rsidR="00DD1B4A" w:rsidRPr="00DA020D">
        <w:rPr>
          <w:rFonts w:ascii="Times New Roman" w:hAnsi="Times New Roman" w:cs="Times New Roman"/>
          <w:noProof/>
          <w:sz w:val="24"/>
          <w:szCs w:val="24"/>
        </w:rPr>
        <w:t xml:space="preserve"> score</w:t>
      </w:r>
      <w:r w:rsidR="00054218">
        <w:rPr>
          <w:rFonts w:ascii="Times New Roman" w:hAnsi="Times New Roman" w:cs="Times New Roman"/>
          <w:noProof/>
          <w:sz w:val="24"/>
          <w:szCs w:val="24"/>
        </w:rPr>
        <w:t xml:space="preserve"> in a ROC curve analysis</w:t>
      </w:r>
      <w:r w:rsidR="00AA7861">
        <w:rPr>
          <w:rFonts w:ascii="Times New Roman" w:hAnsi="Times New Roman" w:cs="Times New Roman"/>
          <w:noProof/>
          <w:sz w:val="24"/>
          <w:szCs w:val="24"/>
        </w:rPr>
        <w:t>. This is the most widely-</w:t>
      </w:r>
      <w:r w:rsidR="00DD1B4A">
        <w:rPr>
          <w:rFonts w:ascii="Times New Roman" w:hAnsi="Times New Roman" w:cs="Times New Roman"/>
          <w:noProof/>
          <w:sz w:val="24"/>
          <w:szCs w:val="24"/>
        </w:rPr>
        <w:t>used approach to calculating MCID</w:t>
      </w:r>
      <w:r w:rsidR="0035768C">
        <w:rPr>
          <w:rFonts w:ascii="Times New Roman" w:hAnsi="Times New Roman" w:cs="Times New Roman"/>
          <w:noProof/>
          <w:sz w:val="24"/>
          <w:szCs w:val="24"/>
        </w:rPr>
        <w:t xml:space="preserve"> </w:t>
      </w:r>
      <w:r w:rsidR="00FF2BD8">
        <w:rPr>
          <w:rFonts w:ascii="Times New Roman" w:hAnsi="Times New Roman" w:cs="Times New Roman"/>
          <w:noProof/>
          <w:sz w:val="24"/>
          <w:szCs w:val="24"/>
        </w:rPr>
        <w:fldChar w:fldCharType="begin" w:fldLock="1"/>
      </w:r>
      <w:r w:rsidR="009670B7">
        <w:rPr>
          <w:rFonts w:ascii="Times New Roman" w:hAnsi="Times New Roman" w:cs="Times New Roman"/>
          <w:noProof/>
          <w:sz w:val="24"/>
          <w:szCs w:val="24"/>
        </w:rPr>
        <w:instrText>ADDIN CSL_CITATION {"citationItems":[{"id":"ITEM-1","itemData":{"DOI":"10.1016/j.jclinepi.2017.06.009","ISSN":"0895-4356","author":[{"dropping-particle":"","family":"Jayadevappa","given":"Ravishankar","non-dropping-particle":"","parse-names":false,"suffix":""},{"dropping-particle":"","family":"Cook","given":"Ratna","non-dropping-particle":"","parse-names":false,"suffix":""},{"dropping-particle":"","family":"Chhatre","given":"Sumedha","non-dropping-particle":"","parse-names":false,"suffix":""}],"container-title":"Journal of Clinical Epidemiology","id":"ITEM-1","issued":{"date-parts":[["2017","9","1"]]},"note":"doi: 10.1016/j.jclinepi.2017.06.009","page":"188-198","publisher":"Elsevier","title":"Minimal important difference to infer changes in health-related quality of&amp;#xa0;life&amp;#x2014;a systematic review","type":"article-journal","volume":"89"},"uris":["http://www.mendeley.com/documents/?uuid=74cfc7ce-77ee-47a7-afe0-5a807fb521c2"]}],"mendeley":{"formattedCitation":"(45)","plainTextFormattedCitation":"(45)","previouslyFormattedCitation":"(44)"},"properties":{"noteIndex":0},"schema":"https://github.com/citation-style-language/schema/raw/master/csl-citation.json"}</w:instrText>
      </w:r>
      <w:r w:rsidR="00FF2BD8">
        <w:rPr>
          <w:rFonts w:ascii="Times New Roman" w:hAnsi="Times New Roman" w:cs="Times New Roman"/>
          <w:noProof/>
          <w:sz w:val="24"/>
          <w:szCs w:val="24"/>
        </w:rPr>
        <w:fldChar w:fldCharType="separate"/>
      </w:r>
      <w:r w:rsidR="009670B7" w:rsidRPr="009670B7">
        <w:rPr>
          <w:rFonts w:ascii="Times New Roman" w:hAnsi="Times New Roman" w:cs="Times New Roman"/>
          <w:noProof/>
          <w:sz w:val="24"/>
          <w:szCs w:val="24"/>
        </w:rPr>
        <w:t>(45)</w:t>
      </w:r>
      <w:r w:rsidR="00FF2BD8">
        <w:rPr>
          <w:rFonts w:ascii="Times New Roman" w:hAnsi="Times New Roman" w:cs="Times New Roman"/>
          <w:noProof/>
          <w:sz w:val="24"/>
          <w:szCs w:val="24"/>
        </w:rPr>
        <w:fldChar w:fldCharType="end"/>
      </w:r>
      <w:r w:rsidR="00054218">
        <w:rPr>
          <w:rFonts w:ascii="Times New Roman" w:hAnsi="Times New Roman" w:cs="Times New Roman"/>
          <w:noProof/>
          <w:sz w:val="24"/>
          <w:szCs w:val="24"/>
        </w:rPr>
        <w:t>, and analagous to the optimal cut-off when comparing scores at one time-point</w:t>
      </w:r>
      <w:r w:rsidR="00DD1B4A">
        <w:rPr>
          <w:rFonts w:ascii="Times New Roman" w:hAnsi="Times New Roman" w:cs="Times New Roman"/>
          <w:noProof/>
          <w:sz w:val="24"/>
          <w:szCs w:val="24"/>
        </w:rPr>
        <w:t xml:space="preserve">. </w:t>
      </w:r>
      <w:r w:rsidR="00BC7692">
        <w:rPr>
          <w:rFonts w:ascii="Times New Roman" w:hAnsi="Times New Roman" w:cs="Times New Roman"/>
          <w:noProof/>
          <w:sz w:val="24"/>
          <w:szCs w:val="24"/>
        </w:rPr>
        <w:t xml:space="preserve">We observed </w:t>
      </w:r>
      <w:r w:rsidR="00DD1B4A">
        <w:rPr>
          <w:rFonts w:ascii="Times New Roman" w:hAnsi="Times New Roman" w:cs="Times New Roman"/>
          <w:noProof/>
          <w:sz w:val="24"/>
          <w:szCs w:val="24"/>
        </w:rPr>
        <w:t>variability in the MCID f</w:t>
      </w:r>
      <w:r w:rsidR="00AA7861">
        <w:rPr>
          <w:rFonts w:ascii="Times New Roman" w:hAnsi="Times New Roman" w:cs="Times New Roman"/>
          <w:noProof/>
          <w:sz w:val="24"/>
          <w:szCs w:val="24"/>
        </w:rPr>
        <w:t xml:space="preserve">or the MSK-HQ across the </w:t>
      </w:r>
      <w:r w:rsidR="00600637">
        <w:rPr>
          <w:rFonts w:ascii="Times New Roman" w:hAnsi="Times New Roman" w:cs="Times New Roman"/>
          <w:noProof/>
          <w:sz w:val="24"/>
          <w:szCs w:val="24"/>
        </w:rPr>
        <w:t xml:space="preserve">five </w:t>
      </w:r>
      <w:r w:rsidR="00AA7861">
        <w:rPr>
          <w:rFonts w:ascii="Times New Roman" w:hAnsi="Times New Roman" w:cs="Times New Roman"/>
          <w:noProof/>
          <w:sz w:val="24"/>
          <w:szCs w:val="24"/>
        </w:rPr>
        <w:t>pain-sites, ranging from 0.50-</w:t>
      </w:r>
      <w:r w:rsidR="00DD1B4A">
        <w:rPr>
          <w:rFonts w:ascii="Times New Roman" w:hAnsi="Times New Roman" w:cs="Times New Roman"/>
          <w:noProof/>
          <w:sz w:val="24"/>
          <w:szCs w:val="24"/>
        </w:rPr>
        <w:t>6.50. This is not a suprising finding, considering the small sample size of some of the MSK pain subgroups</w:t>
      </w:r>
      <w:r w:rsidR="0035768C">
        <w:rPr>
          <w:rFonts w:ascii="Times New Roman" w:hAnsi="Times New Roman" w:cs="Times New Roman"/>
          <w:noProof/>
          <w:sz w:val="24"/>
          <w:szCs w:val="24"/>
        </w:rPr>
        <w:t xml:space="preserve"> limiting the precision of </w:t>
      </w:r>
      <w:r w:rsidR="00600637">
        <w:rPr>
          <w:rFonts w:ascii="Times New Roman" w:hAnsi="Times New Roman" w:cs="Times New Roman"/>
          <w:noProof/>
          <w:sz w:val="24"/>
          <w:szCs w:val="24"/>
        </w:rPr>
        <w:t xml:space="preserve">our </w:t>
      </w:r>
      <w:r w:rsidR="0035768C">
        <w:rPr>
          <w:rFonts w:ascii="Times New Roman" w:hAnsi="Times New Roman" w:cs="Times New Roman"/>
          <w:noProof/>
          <w:sz w:val="24"/>
          <w:szCs w:val="24"/>
        </w:rPr>
        <w:t>estimates</w:t>
      </w:r>
      <w:r w:rsidR="00DD1B4A">
        <w:rPr>
          <w:rFonts w:ascii="Times New Roman" w:hAnsi="Times New Roman" w:cs="Times New Roman"/>
          <w:noProof/>
          <w:sz w:val="24"/>
          <w:szCs w:val="24"/>
        </w:rPr>
        <w:t xml:space="preserve"> (with </w:t>
      </w:r>
      <w:r w:rsidR="00BC7692">
        <w:rPr>
          <w:rFonts w:ascii="Times New Roman" w:hAnsi="Times New Roman" w:cs="Times New Roman"/>
          <w:noProof/>
          <w:sz w:val="24"/>
          <w:szCs w:val="24"/>
        </w:rPr>
        <w:t xml:space="preserve">only 35 patients in </w:t>
      </w:r>
      <w:r w:rsidR="00DD1B4A">
        <w:rPr>
          <w:rFonts w:ascii="Times New Roman" w:hAnsi="Times New Roman" w:cs="Times New Roman"/>
          <w:noProof/>
          <w:sz w:val="24"/>
          <w:szCs w:val="24"/>
        </w:rPr>
        <w:t xml:space="preserve">the multisite pain group </w:t>
      </w:r>
      <w:r w:rsidR="00BC7692">
        <w:rPr>
          <w:rFonts w:ascii="Times New Roman" w:hAnsi="Times New Roman" w:cs="Times New Roman"/>
          <w:noProof/>
          <w:sz w:val="24"/>
          <w:szCs w:val="24"/>
        </w:rPr>
        <w:t xml:space="preserve">having </w:t>
      </w:r>
      <w:r w:rsidR="00AA7861">
        <w:rPr>
          <w:rFonts w:ascii="Times New Roman" w:hAnsi="Times New Roman" w:cs="Times New Roman"/>
          <w:noProof/>
          <w:sz w:val="24"/>
          <w:szCs w:val="24"/>
        </w:rPr>
        <w:t>6-</w:t>
      </w:r>
      <w:r w:rsidR="00DD1B4A">
        <w:rPr>
          <w:rFonts w:ascii="Times New Roman" w:hAnsi="Times New Roman" w:cs="Times New Roman"/>
          <w:noProof/>
          <w:sz w:val="24"/>
          <w:szCs w:val="24"/>
        </w:rPr>
        <w:t xml:space="preserve">month </w:t>
      </w:r>
      <w:r w:rsidR="00BC7692">
        <w:rPr>
          <w:rFonts w:ascii="Times New Roman" w:hAnsi="Times New Roman" w:cs="Times New Roman"/>
          <w:noProof/>
          <w:sz w:val="24"/>
          <w:szCs w:val="24"/>
        </w:rPr>
        <w:t xml:space="preserve">MSK-HQ </w:t>
      </w:r>
      <w:r w:rsidR="00DD1B4A">
        <w:rPr>
          <w:rFonts w:ascii="Times New Roman" w:hAnsi="Times New Roman" w:cs="Times New Roman"/>
          <w:noProof/>
          <w:sz w:val="24"/>
          <w:szCs w:val="24"/>
        </w:rPr>
        <w:t xml:space="preserve">change data). </w:t>
      </w:r>
      <w:r w:rsidR="0035768C">
        <w:rPr>
          <w:rFonts w:ascii="Times New Roman" w:hAnsi="Times New Roman" w:cs="Times New Roman"/>
          <w:noProof/>
          <w:sz w:val="24"/>
          <w:szCs w:val="24"/>
        </w:rPr>
        <w:t xml:space="preserve">Variability of PROM MCIDs across </w:t>
      </w:r>
      <w:r w:rsidR="00600637">
        <w:rPr>
          <w:rFonts w:ascii="Times New Roman" w:hAnsi="Times New Roman" w:cs="Times New Roman"/>
          <w:noProof/>
          <w:sz w:val="24"/>
          <w:szCs w:val="24"/>
        </w:rPr>
        <w:t xml:space="preserve">clinical conditions </w:t>
      </w:r>
      <w:r w:rsidR="0035768C">
        <w:rPr>
          <w:rFonts w:ascii="Times New Roman" w:hAnsi="Times New Roman" w:cs="Times New Roman"/>
          <w:noProof/>
          <w:sz w:val="24"/>
          <w:szCs w:val="24"/>
        </w:rPr>
        <w:t xml:space="preserve">and </w:t>
      </w:r>
      <w:r w:rsidR="00CB4DD7">
        <w:rPr>
          <w:rFonts w:ascii="Times New Roman" w:hAnsi="Times New Roman" w:cs="Times New Roman"/>
          <w:noProof/>
          <w:sz w:val="24"/>
          <w:szCs w:val="24"/>
        </w:rPr>
        <w:t>studies is a well-</w:t>
      </w:r>
      <w:r w:rsidR="0035768C">
        <w:rPr>
          <w:rFonts w:ascii="Times New Roman" w:hAnsi="Times New Roman" w:cs="Times New Roman"/>
          <w:noProof/>
          <w:sz w:val="24"/>
          <w:szCs w:val="24"/>
        </w:rPr>
        <w:t xml:space="preserve">established </w:t>
      </w:r>
      <w:r w:rsidR="00F77F6B">
        <w:rPr>
          <w:rFonts w:ascii="Times New Roman" w:hAnsi="Times New Roman" w:cs="Times New Roman"/>
          <w:noProof/>
          <w:sz w:val="24"/>
          <w:szCs w:val="24"/>
        </w:rPr>
        <w:t>challenge</w:t>
      </w:r>
      <w:r w:rsidR="0035768C">
        <w:rPr>
          <w:rFonts w:ascii="Times New Roman" w:hAnsi="Times New Roman" w:cs="Times New Roman"/>
          <w:noProof/>
          <w:sz w:val="24"/>
          <w:szCs w:val="24"/>
        </w:rPr>
        <w:t xml:space="preserve">, consistently demonstrated </w:t>
      </w:r>
      <w:r w:rsidR="00F77F6B">
        <w:rPr>
          <w:rFonts w:ascii="Times New Roman" w:hAnsi="Times New Roman" w:cs="Times New Roman"/>
          <w:noProof/>
          <w:sz w:val="24"/>
          <w:szCs w:val="24"/>
        </w:rPr>
        <w:t>in</w:t>
      </w:r>
      <w:r w:rsidR="0035768C">
        <w:rPr>
          <w:rFonts w:ascii="Times New Roman" w:hAnsi="Times New Roman" w:cs="Times New Roman"/>
          <w:noProof/>
          <w:sz w:val="24"/>
          <w:szCs w:val="24"/>
        </w:rPr>
        <w:t xml:space="preserve"> </w:t>
      </w:r>
      <w:r w:rsidR="00F77F6B">
        <w:rPr>
          <w:rFonts w:ascii="Times New Roman" w:hAnsi="Times New Roman" w:cs="Times New Roman"/>
          <w:noProof/>
          <w:sz w:val="24"/>
          <w:szCs w:val="24"/>
        </w:rPr>
        <w:t xml:space="preserve">several </w:t>
      </w:r>
      <w:r w:rsidR="0035768C">
        <w:rPr>
          <w:rFonts w:ascii="Times New Roman" w:hAnsi="Times New Roman" w:cs="Times New Roman"/>
          <w:noProof/>
          <w:sz w:val="24"/>
          <w:szCs w:val="24"/>
        </w:rPr>
        <w:t>systematic reviews</w:t>
      </w:r>
      <w:r w:rsidR="00FF2BD8">
        <w:rPr>
          <w:rFonts w:ascii="Times New Roman" w:hAnsi="Times New Roman" w:cs="Times New Roman"/>
          <w:noProof/>
          <w:sz w:val="24"/>
          <w:szCs w:val="24"/>
        </w:rPr>
        <w:t xml:space="preserve"> </w:t>
      </w:r>
      <w:r w:rsidR="00FF2BD8">
        <w:rPr>
          <w:rFonts w:ascii="Times New Roman" w:hAnsi="Times New Roman" w:cs="Times New Roman"/>
          <w:noProof/>
          <w:sz w:val="24"/>
          <w:szCs w:val="24"/>
        </w:rPr>
        <w:fldChar w:fldCharType="begin" w:fldLock="1"/>
      </w:r>
      <w:r w:rsidR="009670B7">
        <w:rPr>
          <w:rFonts w:ascii="Times New Roman" w:hAnsi="Times New Roman" w:cs="Times New Roman"/>
          <w:noProof/>
          <w:sz w:val="24"/>
          <w:szCs w:val="24"/>
        </w:rPr>
        <w:instrText>ADDIN CSL_CITATION {"citationItems":[{"id":"ITEM-1","itemData":{"DOI":"10.1016/j.jclinepi.2017.06.009","ISSN":"0895-4356","author":[{"dropping-particle":"","family":"Jayadevappa","given":"Ravishankar","non-dropping-particle":"","parse-names":false,"suffix":""},{"dropping-particle":"","family":"Cook","given":"Ratna","non-dropping-particle":"","parse-names":false,"suffix":""},{"dropping-particle":"","family":"Chhatre","given":"Sumedha","non-dropping-particle":"","parse-names":false,"suffix":""}],"container-title":"Journal of Clinical Epidemiology","id":"ITEM-1","issued":{"date-parts":[["2017","9","1"]]},"note":"doi: 10.1016/j.jclinepi.2017.06.009","page":"188-198","publisher":"Elsevier","title":"Minimal important difference to infer changes in health-related quality of&amp;#xa0;life&amp;#x2014;a systematic review","type":"article-journal","volume":"89"},"uris":["http://www.mendeley.com/documents/?uuid=74cfc7ce-77ee-47a7-afe0-5a807fb521c2"]},{"id":"ITEM-2","itemData":{"DOI":"https://doi.org/10.1016/j.jclinepi.2019.04.017","ISSN":"0895-4356","abstract":"Objective Minimal clinically important difference (MCID) has become the most important psychometric factor for interpreting change in individual's responses over time from the patient's perspective, evaluating study results and planning sample sizes. The purpose was to synthesize and critically appraise MCID of the most frequently used hip-, knee-, foot-, and ankle-specific patient-reported outcomes (PROs). Study Design and Setting A search was conducted on PubMed, Cochrane Library, and Web of Science from each site's respective inception through January 2019 for MCID in 25 PROs. The studies reporting their results with anchor-based method were included. Results 228 full-text articles were assessed for eligibility, and 48 were included in the final evaluation. Our synthesis provides a comprehensive assessment of MCID for 16 disease or joint specific PROs. MCID of the Western Ontario and McMaster Universities Index (33.3%), International Knee Documentation Committee Subjective Knee Form (14.5%) and Knee Injury, and Osteoarthritis Outcome Score (14.5%) was found to be the most commonly presented PROs. The studies mainly (85%) used the receiver operating curve analysis to elicit MCID. Conclusion MCID is increasingly used as a measure of patient's improvement. However, MCID varied based on the analytic methods, study population, type of disease, the baseline status, change in values and treatments, and patient demographics. Therefore, it should be interpreted with caution.","author":[{"dropping-particle":"","family":"Çelik","given":"Derya","non-dropping-particle":"","parse-names":false,"suffix":""},{"dropping-particle":"","family":"Çoban","given":"Özge","non-dropping-particle":"","parse-names":false,"suffix":""},{"dropping-particle":"","family":"Kılıçoğlu","given":"Önder","non-dropping-particle":"","parse-names":false,"suffix":""}],"container-title":"Journal of Clinical Epidemiology","id":"ITEM-2","issued":{"date-parts":[["2019"]]},"page":"44-57","title":"Minimal clinically important difference of commonly used hip-, knee-, foot-, and ankle-specific questionnaires: a systematic review","type":"article-journal","volume":"113"},"uris":["http://www.mendeley.com/documents/?uuid=81f977eb-60ad-48a5-bb0b-ada865a6c1c7"]}],"mendeley":{"formattedCitation":"(45,46)","plainTextFormattedCitation":"(45,46)","previouslyFormattedCitation":"(44,45)"},"properties":{"noteIndex":0},"schema":"https://github.com/citation-style-language/schema/raw/master/csl-citation.json"}</w:instrText>
      </w:r>
      <w:r w:rsidR="00FF2BD8">
        <w:rPr>
          <w:rFonts w:ascii="Times New Roman" w:hAnsi="Times New Roman" w:cs="Times New Roman"/>
          <w:noProof/>
          <w:sz w:val="24"/>
          <w:szCs w:val="24"/>
        </w:rPr>
        <w:fldChar w:fldCharType="separate"/>
      </w:r>
      <w:r w:rsidR="009670B7" w:rsidRPr="009670B7">
        <w:rPr>
          <w:rFonts w:ascii="Times New Roman" w:hAnsi="Times New Roman" w:cs="Times New Roman"/>
          <w:noProof/>
          <w:sz w:val="24"/>
          <w:szCs w:val="24"/>
        </w:rPr>
        <w:t>(45,46)</w:t>
      </w:r>
      <w:r w:rsidR="00FF2BD8">
        <w:rPr>
          <w:rFonts w:ascii="Times New Roman" w:hAnsi="Times New Roman" w:cs="Times New Roman"/>
          <w:noProof/>
          <w:sz w:val="24"/>
          <w:szCs w:val="24"/>
        </w:rPr>
        <w:fldChar w:fldCharType="end"/>
      </w:r>
      <w:r w:rsidR="0035768C">
        <w:rPr>
          <w:rFonts w:ascii="Times New Roman" w:hAnsi="Times New Roman" w:cs="Times New Roman"/>
          <w:noProof/>
          <w:sz w:val="24"/>
          <w:szCs w:val="24"/>
        </w:rPr>
        <w:t xml:space="preserve">.  </w:t>
      </w:r>
      <w:r w:rsidR="004D6D74">
        <w:rPr>
          <w:rFonts w:ascii="Times New Roman" w:hAnsi="Times New Roman" w:cs="Times New Roman"/>
          <w:noProof/>
          <w:sz w:val="24"/>
          <w:szCs w:val="24"/>
        </w:rPr>
        <w:t xml:space="preserve">The reasons </w:t>
      </w:r>
      <w:r w:rsidR="0035768C">
        <w:rPr>
          <w:rFonts w:ascii="Times New Roman" w:hAnsi="Times New Roman" w:cs="Times New Roman"/>
          <w:noProof/>
          <w:sz w:val="24"/>
          <w:szCs w:val="24"/>
        </w:rPr>
        <w:t xml:space="preserve">for this variability include </w:t>
      </w:r>
      <w:r w:rsidR="004D6D74">
        <w:rPr>
          <w:rFonts w:ascii="Times New Roman" w:hAnsi="Times New Roman" w:cs="Times New Roman"/>
          <w:noProof/>
          <w:sz w:val="24"/>
          <w:szCs w:val="24"/>
        </w:rPr>
        <w:t>heterogeneity in patient population</w:t>
      </w:r>
      <w:r w:rsidR="00292D02">
        <w:rPr>
          <w:rFonts w:ascii="Times New Roman" w:hAnsi="Times New Roman" w:cs="Times New Roman"/>
          <w:noProof/>
          <w:sz w:val="24"/>
          <w:szCs w:val="24"/>
        </w:rPr>
        <w:t>s</w:t>
      </w:r>
      <w:r w:rsidR="004D6D74">
        <w:rPr>
          <w:rFonts w:ascii="Times New Roman" w:hAnsi="Times New Roman" w:cs="Times New Roman"/>
          <w:noProof/>
          <w:sz w:val="24"/>
          <w:szCs w:val="24"/>
        </w:rPr>
        <w:t xml:space="preserve"> (</w:t>
      </w:r>
      <w:r w:rsidR="00070B6B">
        <w:rPr>
          <w:rFonts w:ascii="Times New Roman" w:hAnsi="Times New Roman" w:cs="Times New Roman"/>
          <w:noProof/>
          <w:sz w:val="24"/>
          <w:szCs w:val="24"/>
        </w:rPr>
        <w:t>vary</w:t>
      </w:r>
      <w:r w:rsidR="00E63364">
        <w:rPr>
          <w:rFonts w:ascii="Times New Roman" w:hAnsi="Times New Roman" w:cs="Times New Roman"/>
          <w:noProof/>
          <w:sz w:val="24"/>
          <w:szCs w:val="24"/>
        </w:rPr>
        <w:t>ing by</w:t>
      </w:r>
      <w:r w:rsidR="00070B6B">
        <w:rPr>
          <w:rFonts w:ascii="Times New Roman" w:hAnsi="Times New Roman" w:cs="Times New Roman"/>
          <w:noProof/>
          <w:sz w:val="24"/>
          <w:szCs w:val="24"/>
        </w:rPr>
        <w:t xml:space="preserve"> </w:t>
      </w:r>
      <w:r w:rsidR="004D6D74">
        <w:rPr>
          <w:rFonts w:ascii="Times New Roman" w:hAnsi="Times New Roman" w:cs="Times New Roman"/>
          <w:noProof/>
          <w:sz w:val="24"/>
          <w:szCs w:val="24"/>
        </w:rPr>
        <w:t xml:space="preserve">age, gender, </w:t>
      </w:r>
      <w:r w:rsidR="00004BD0">
        <w:rPr>
          <w:rFonts w:ascii="Times New Roman" w:hAnsi="Times New Roman" w:cs="Times New Roman"/>
          <w:noProof/>
          <w:sz w:val="24"/>
          <w:szCs w:val="24"/>
        </w:rPr>
        <w:t xml:space="preserve">and </w:t>
      </w:r>
      <w:r w:rsidR="00CB4DD7">
        <w:rPr>
          <w:rFonts w:ascii="Times New Roman" w:hAnsi="Times New Roman" w:cs="Times New Roman"/>
          <w:noProof/>
          <w:sz w:val="24"/>
          <w:szCs w:val="24"/>
        </w:rPr>
        <w:t>condition</w:t>
      </w:r>
      <w:r w:rsidR="00292D02">
        <w:rPr>
          <w:rFonts w:ascii="Times New Roman" w:hAnsi="Times New Roman" w:cs="Times New Roman"/>
          <w:noProof/>
          <w:sz w:val="24"/>
          <w:szCs w:val="24"/>
        </w:rPr>
        <w:t>s</w:t>
      </w:r>
      <w:r w:rsidR="004D6D74">
        <w:rPr>
          <w:rFonts w:ascii="Times New Roman" w:hAnsi="Times New Roman" w:cs="Times New Roman"/>
          <w:noProof/>
          <w:sz w:val="24"/>
          <w:szCs w:val="24"/>
        </w:rPr>
        <w:t xml:space="preserve">), methodology (different global anchors and </w:t>
      </w:r>
      <w:r w:rsidR="00004BD0">
        <w:rPr>
          <w:rFonts w:ascii="Times New Roman" w:hAnsi="Times New Roman" w:cs="Times New Roman"/>
          <w:noProof/>
          <w:sz w:val="24"/>
          <w:szCs w:val="24"/>
        </w:rPr>
        <w:t xml:space="preserve">analysis </w:t>
      </w:r>
      <w:r w:rsidR="004D6D74">
        <w:rPr>
          <w:rFonts w:ascii="Times New Roman" w:hAnsi="Times New Roman" w:cs="Times New Roman"/>
          <w:noProof/>
          <w:sz w:val="24"/>
          <w:szCs w:val="24"/>
        </w:rPr>
        <w:t xml:space="preserve">methods), and study quality. </w:t>
      </w:r>
      <w:r w:rsidR="00CB4DD7">
        <w:rPr>
          <w:rFonts w:ascii="Times New Roman" w:hAnsi="Times New Roman" w:cs="Times New Roman"/>
          <w:noProof/>
          <w:sz w:val="24"/>
          <w:szCs w:val="24"/>
        </w:rPr>
        <w:t>Therefore, w</w:t>
      </w:r>
      <w:r w:rsidR="00070B6B">
        <w:rPr>
          <w:rFonts w:ascii="Times New Roman" w:hAnsi="Times New Roman" w:cs="Times New Roman"/>
          <w:noProof/>
          <w:sz w:val="24"/>
          <w:szCs w:val="24"/>
        </w:rPr>
        <w:t>hilst it is accepted that the MCID is a useful and necess</w:t>
      </w:r>
      <w:r w:rsidR="00AA7861">
        <w:rPr>
          <w:rFonts w:ascii="Times New Roman" w:hAnsi="Times New Roman" w:cs="Times New Roman"/>
          <w:noProof/>
          <w:sz w:val="24"/>
          <w:szCs w:val="24"/>
        </w:rPr>
        <w:t xml:space="preserve">ary tool </w:t>
      </w:r>
      <w:r w:rsidR="00F77F6B">
        <w:rPr>
          <w:rFonts w:ascii="Times New Roman" w:hAnsi="Times New Roman" w:cs="Times New Roman"/>
          <w:noProof/>
          <w:sz w:val="24"/>
          <w:szCs w:val="24"/>
        </w:rPr>
        <w:t>to help interpret patient reported improvement</w:t>
      </w:r>
      <w:r w:rsidR="00070B6B">
        <w:rPr>
          <w:rFonts w:ascii="Times New Roman" w:hAnsi="Times New Roman" w:cs="Times New Roman"/>
          <w:noProof/>
          <w:sz w:val="24"/>
          <w:szCs w:val="24"/>
        </w:rPr>
        <w:t xml:space="preserve">, </w:t>
      </w:r>
      <w:r w:rsidR="00F77F6B">
        <w:rPr>
          <w:rFonts w:ascii="Times New Roman" w:hAnsi="Times New Roman" w:cs="Times New Roman"/>
          <w:noProof/>
          <w:sz w:val="24"/>
          <w:szCs w:val="24"/>
        </w:rPr>
        <w:t>interpretation is needed that takes the range of available estimates</w:t>
      </w:r>
      <w:r w:rsidR="00070B6B" w:rsidRPr="00520B59">
        <w:rPr>
          <w:rFonts w:ascii="Times New Roman" w:hAnsi="Times New Roman" w:cs="Times New Roman"/>
          <w:noProof/>
          <w:sz w:val="24"/>
          <w:szCs w:val="24"/>
        </w:rPr>
        <w:t xml:space="preserve"> </w:t>
      </w:r>
      <w:r w:rsidR="00F77F6B">
        <w:rPr>
          <w:rFonts w:ascii="Times New Roman" w:hAnsi="Times New Roman" w:cs="Times New Roman"/>
          <w:noProof/>
          <w:sz w:val="24"/>
          <w:szCs w:val="24"/>
        </w:rPr>
        <w:t>into account</w:t>
      </w:r>
      <w:r w:rsidR="00070B6B">
        <w:rPr>
          <w:rFonts w:ascii="Times New Roman" w:hAnsi="Times New Roman" w:cs="Times New Roman"/>
          <w:noProof/>
          <w:sz w:val="24"/>
          <w:szCs w:val="24"/>
        </w:rPr>
        <w:t xml:space="preserve"> </w:t>
      </w:r>
      <w:r w:rsidR="00FF2BD8">
        <w:rPr>
          <w:rFonts w:ascii="Times New Roman" w:hAnsi="Times New Roman" w:cs="Times New Roman"/>
          <w:noProof/>
          <w:sz w:val="24"/>
          <w:szCs w:val="24"/>
        </w:rPr>
        <w:fldChar w:fldCharType="begin" w:fldLock="1"/>
      </w:r>
      <w:r w:rsidR="009670B7">
        <w:rPr>
          <w:rFonts w:ascii="Times New Roman" w:hAnsi="Times New Roman" w:cs="Times New Roman"/>
          <w:noProof/>
          <w:sz w:val="24"/>
          <w:szCs w:val="24"/>
        </w:rPr>
        <w:instrText>ADDIN CSL_CITATION {"citationItems":[{"id":"ITEM-1","itemData":{"DOI":"10.1177/0194599819852604","ISSN":"0194-5998","abstract":"ObjectiveThe minimal clinically important difference (MCID) of a patient-reported outcome measure (PROM) represents a threshold value of change in PROM score deemed to have an implication in clinical management. The MCID is frequently used to interpret the significance of results from clinical studies that use PROMs. However, an understanding of the many caveats of the MCID, as well as its strengths and limitations, is necessary. The objective of this article is to provide a review of the calculation, interpretation, and caveats of MCID.Data SourcesMEDLINE and PubMed Central.Review MethodsLiterature search?including primary studies, review articles, and consensus statements?pertinent to the objectives of this review using PubMed.ConclusionsThe MCID of a PROM may vary depending on the patients and clinical context in which the PROM is given. The primary approaches for calculating MCID are distribution-based and anchor-based methods. Each methodology has strengths and limitations, and the ideal determination of a PROM MCID includes synthesis of results from both approaches. The MCID of a PROM is also not perfect in detecting patients experiencing a clinically important improvement, and this is reflected in its accuracy (eg, sensitivity and specificity).Implications for PracticeInterpretation or application of MCID requires consideration of all caveats underlying the MCID, including the patients in whom it was derived, the limitations of the methodologies used to calculate it, and its accuracy for identifying patients who have experienced clinically significant improvement.","author":[{"dropping-particle":"","family":"Sedaghat","given":"Ahmad R","non-dropping-particle":"","parse-names":false,"suffix":""}],"container-title":"Otolaryngology–Head and Neck Surgery","id":"ITEM-1","issued":{"date-parts":[["2019","6","4"]]},"note":"doi: 10.1177/0194599819852604","page":"0194599819852604","publisher":"SAGE Publications Inc","title":"Understanding the Minimal Clinically Important Difference (MCID) of Patient-Reported Outcome Measures","type":"article-journal"},"uris":["http://www.mendeley.com/documents/?uuid=771a9324-8691-4248-b644-bac1d0f96629"]},{"id":"ITEM-2","itemData":{"DOI":"10.1016/j.jclinepi.2017.06.009","ISSN":"0895-4356","author":[{"dropping-particle":"","family":"Jayadevappa","given":"Ravishankar","non-dropping-particle":"","parse-names":false,"suffix":""},{"dropping-particle":"","family":"Cook","given":"Ratna","non-dropping-particle":"","parse-names":false,"suffix":""},{"dropping-particle":"","family":"Chhatre","given":"Sumedha","non-dropping-particle":"","parse-names":false,"suffix":""}],"container-title":"Journal of Clinical Epidemiology","id":"ITEM-2","issued":{"date-parts":[["2017","9","1"]]},"note":"doi: 10.1016/j.jclinepi.2017.06.009","page":"188-198","publisher":"Elsevier","title":"Minimal important difference to infer changes in health-related quality of&amp;#xa0;life&amp;#x2014;a systematic review","type":"article-journal","volume":"89"},"uris":["http://www.mendeley.com/documents/?uuid=74cfc7ce-77ee-47a7-afe0-5a807fb521c2"]}],"mendeley":{"formattedCitation":"(34,45)","plainTextFormattedCitation":"(34,45)","previouslyFormattedCitation":"(34,44)"},"properties":{"noteIndex":0},"schema":"https://github.com/citation-style-language/schema/raw/master/csl-citation.json"}</w:instrText>
      </w:r>
      <w:r w:rsidR="00FF2BD8">
        <w:rPr>
          <w:rFonts w:ascii="Times New Roman" w:hAnsi="Times New Roman" w:cs="Times New Roman"/>
          <w:noProof/>
          <w:sz w:val="24"/>
          <w:szCs w:val="24"/>
        </w:rPr>
        <w:fldChar w:fldCharType="separate"/>
      </w:r>
      <w:r w:rsidR="009670B7" w:rsidRPr="009670B7">
        <w:rPr>
          <w:rFonts w:ascii="Times New Roman" w:hAnsi="Times New Roman" w:cs="Times New Roman"/>
          <w:noProof/>
          <w:sz w:val="24"/>
          <w:szCs w:val="24"/>
        </w:rPr>
        <w:t>(34,45)</w:t>
      </w:r>
      <w:r w:rsidR="00FF2BD8">
        <w:rPr>
          <w:rFonts w:ascii="Times New Roman" w:hAnsi="Times New Roman" w:cs="Times New Roman"/>
          <w:noProof/>
          <w:sz w:val="24"/>
          <w:szCs w:val="24"/>
        </w:rPr>
        <w:fldChar w:fldCharType="end"/>
      </w:r>
      <w:r w:rsidR="00070B6B" w:rsidRPr="00520B59">
        <w:rPr>
          <w:rFonts w:ascii="Times New Roman" w:hAnsi="Times New Roman" w:cs="Times New Roman"/>
          <w:noProof/>
          <w:sz w:val="24"/>
          <w:szCs w:val="24"/>
        </w:rPr>
        <w:t>.</w:t>
      </w:r>
      <w:r w:rsidR="00070B6B">
        <w:rPr>
          <w:rFonts w:ascii="Times New Roman" w:hAnsi="Times New Roman" w:cs="Times New Roman"/>
          <w:noProof/>
          <w:sz w:val="24"/>
          <w:szCs w:val="24"/>
        </w:rPr>
        <w:t xml:space="preserve"> </w:t>
      </w:r>
      <w:r w:rsidR="00E63364">
        <w:rPr>
          <w:rFonts w:ascii="Times New Roman" w:hAnsi="Times New Roman" w:cs="Times New Roman"/>
          <w:noProof/>
          <w:sz w:val="24"/>
          <w:szCs w:val="24"/>
        </w:rPr>
        <w:t xml:space="preserve">Whilst our overall MCID of 5.5 </w:t>
      </w:r>
      <w:r w:rsidR="00F77F6B">
        <w:rPr>
          <w:rFonts w:ascii="Times New Roman" w:hAnsi="Times New Roman" w:cs="Times New Roman"/>
          <w:noProof/>
          <w:sz w:val="24"/>
          <w:szCs w:val="24"/>
        </w:rPr>
        <w:t>for the MSK-HQ</w:t>
      </w:r>
      <w:r w:rsidR="00E63364">
        <w:rPr>
          <w:rFonts w:ascii="Times New Roman" w:hAnsi="Times New Roman" w:cs="Times New Roman"/>
          <w:noProof/>
          <w:sz w:val="24"/>
          <w:szCs w:val="24"/>
        </w:rPr>
        <w:t xml:space="preserve"> is constistent with </w:t>
      </w:r>
      <w:r w:rsidR="00F77F6B">
        <w:rPr>
          <w:rFonts w:ascii="Times New Roman" w:hAnsi="Times New Roman" w:cs="Times New Roman"/>
          <w:noProof/>
          <w:sz w:val="24"/>
          <w:szCs w:val="24"/>
        </w:rPr>
        <w:t xml:space="preserve">a previous </w:t>
      </w:r>
      <w:r w:rsidR="004860DB">
        <w:rPr>
          <w:rFonts w:ascii="Times New Roman" w:hAnsi="Times New Roman" w:cs="Times New Roman"/>
          <w:noProof/>
          <w:sz w:val="24"/>
          <w:szCs w:val="24"/>
        </w:rPr>
        <w:t>study</w:t>
      </w:r>
      <w:r w:rsidR="00870910">
        <w:rPr>
          <w:rFonts w:ascii="Times New Roman" w:hAnsi="Times New Roman" w:cs="Times New Roman"/>
          <w:noProof/>
          <w:sz w:val="24"/>
          <w:szCs w:val="24"/>
        </w:rPr>
        <w:t xml:space="preserve"> in a physiotherapy, and </w:t>
      </w:r>
      <w:r w:rsidR="00870910">
        <w:rPr>
          <w:rFonts w:ascii="Times New Roman" w:hAnsi="Times New Roman" w:cs="Times New Roman"/>
          <w:noProof/>
          <w:sz w:val="24"/>
          <w:szCs w:val="24"/>
        </w:rPr>
        <w:lastRenderedPageBreak/>
        <w:t>secondary care</w:t>
      </w:r>
      <w:r w:rsidR="00F77F6B">
        <w:rPr>
          <w:rFonts w:ascii="Times New Roman" w:hAnsi="Times New Roman" w:cs="Times New Roman"/>
          <w:noProof/>
          <w:sz w:val="24"/>
          <w:szCs w:val="24"/>
        </w:rPr>
        <w:t xml:space="preserve"> setting </w:t>
      </w:r>
      <w:r w:rsidR="00FF2BD8">
        <w:rPr>
          <w:rFonts w:ascii="Times New Roman" w:hAnsi="Times New Roman" w:cs="Times New Roman"/>
          <w:noProof/>
          <w:sz w:val="24"/>
          <w:szCs w:val="24"/>
        </w:rPr>
        <w:fldChar w:fldCharType="begin" w:fldLock="1"/>
      </w:r>
      <w:r w:rsidR="00FF2BD8">
        <w:rPr>
          <w:rFonts w:ascii="Times New Roman" w:hAnsi="Times New Roman" w:cs="Times New Roman"/>
          <w:noProof/>
          <w:sz w:val="24"/>
          <w:szCs w:val="24"/>
        </w:rPr>
        <w:instrText>ADDIN CSL_CITATION {"citationItems":[{"id":"ITEM-1","itemData":{"DOI":"10.1136/bmjopen-2018-025357","abstract":"Objectives We have previously developed and validated the Arthritis Research UK Musculoskeletal Health Questionnaire (MSK-HQ) for use across musculoskeletal care pathways, showing encouraging psychometric test results. The objective of this study was to determine the responsiveness of MSK-HQ following MSK treatments and to determine the minimally important change (MIC).Setting We collected data in four cohorts from community physiotherapy and secondary-care orthopaedic hip, knee and shoulder clinics.Participants 592 individuals were recruited; 210 patients treated with physiotherapy for a range of MSK conditions in primary care; 150 patients undergoing hip replacement, 150 patients undergoing knee replacement and 82 undergoing shoulder surgery in secondary care.Outcome measures Preoperative data were collected including the MSK-HQ, European Quality of Life-5D (EQ-5D) and the OHS, OKS or OSS in each joint-specific group. The same scores, together with anchor questions, were collected postintervention at 3 months for the physiotherapy group and 6 months for all others. Following COnsensus-based Standards for the selection of health status Measurement INstruments (COSMIN) guidelines, responsiveness was assessed using correlation between scores and the MIC was calculated for the entire cohort using receiver operating characteristic curve analysis.Results The MSK-HQ demonstrated strong correlation (R=0.73) with EQ-5D across the entire cohort and with each of the joint-specific Oxford scores (hip R=0.87, knee R=0.92 and shoulder R=0.77). Moderate correlation was seen between MSK-HQ and EQ-5D across each individual group (R value range 0.60–0.68), apart from the hip group where correlation was strong (R=0.77). The effect size with MSK-HQ was 0.93, in the entire cohort, double that measured with EQ-5D (0.43). In all subgroups, MSK-HQ measured a greater treatment effect compared with EQ-5D. The MIC is 5.5 (95% CI 2.7 to 8.3).Conclusion Our study demonstrates that the MSK-HQ questionnaire is responsive to change across a range of musculoskeletal conditions, supporting its use as a generic MSK measurement instrument.","author":[{"dropping-particle":"","family":"Price","given":"Andrew James","non-dropping-particle":"","parse-names":false,"suffix":""},{"dropping-particle":"","family":"Ogollah","given":"Reuben","non-dropping-particle":"","parse-names":false,"suffix":""},{"dropping-particle":"","family":"Kang","given":"Sujin","non-dropping-particle":"","parse-names":false,"suffix":""},{"dropping-particle":"","family":"Hay","given":"Elaine","non-dropping-particle":"","parse-names":false,"suffix":""},{"dropping-particle":"","family":"Barker","given":"Karen L","non-dropping-particle":"","parse-names":false,"suffix":""},{"dropping-particle":"","family":"Benedetto","given":"Elena","non-dropping-particle":"","parse-names":false,"suffix":""},{"dropping-particle":"","family":"Smith","given":"Stephanie","non-dropping-particle":"","parse-names":false,"suffix":""},{"dropping-particle":"","family":"Smith","given":"James","non-dropping-particle":"","parse-names":false,"suffix":""},{"dropping-particle":"","family":"Galloway","given":"James B","non-dropping-particle":"","parse-names":false,"suffix":""},{"dropping-particle":"","family":"Ellis","given":"Benjamin","non-dropping-particle":"","parse-names":false,"suffix":""},{"dropping-particle":"","family":"Rees","given":"Jonathan","non-dropping-particle":"","parse-names":false,"suffix":""},{"dropping-particle":"","family":"Glyn-Jones","given":"Sion","non-dropping-particle":"","parse-names":false,"suffix":""},{"dropping-particle":"","family":"Beard","given":"David","non-dropping-particle":"","parse-names":false,"suffix":""},{"dropping-particle":"","family":"Fitzpatrick","given":"Ray","non-dropping-particle":"","parse-names":false,"suffix":""},{"dropping-particle":"","family":"Hill","given":"Jonathan C","non-dropping-particle":"","parse-names":false,"suffix":""}],"container-title":"BMJ Open","id":"ITEM-1","issue":"10","issued":{"date-parts":[["2019","10","1"]]},"page":"e025357","title":"Determining responsiveness and meaningful changes for the Musculoskeletal Health Questionnaire (MSK-HQ) for use across musculoskeletal care pathways","type":"article-journal","volume":"9"},"uris":["http://www.mendeley.com/documents/?uuid=3fcd98ff-f5e8-4b7d-8616-fa7a192fd965"]}],"mendeley":{"formattedCitation":"(7)","plainTextFormattedCitation":"(7)","previouslyFormattedCitation":"(7)"},"properties":{"noteIndex":0},"schema":"https://github.com/citation-style-language/schema/raw/master/csl-citation.json"}</w:instrText>
      </w:r>
      <w:r w:rsidR="00FF2BD8">
        <w:rPr>
          <w:rFonts w:ascii="Times New Roman" w:hAnsi="Times New Roman" w:cs="Times New Roman"/>
          <w:noProof/>
          <w:sz w:val="24"/>
          <w:szCs w:val="24"/>
        </w:rPr>
        <w:fldChar w:fldCharType="separate"/>
      </w:r>
      <w:r w:rsidR="00FF2BD8" w:rsidRPr="00FF2BD8">
        <w:rPr>
          <w:rFonts w:ascii="Times New Roman" w:hAnsi="Times New Roman" w:cs="Times New Roman"/>
          <w:noProof/>
          <w:sz w:val="24"/>
          <w:szCs w:val="24"/>
        </w:rPr>
        <w:t>(7)</w:t>
      </w:r>
      <w:r w:rsidR="00FF2BD8">
        <w:rPr>
          <w:rFonts w:ascii="Times New Roman" w:hAnsi="Times New Roman" w:cs="Times New Roman"/>
          <w:noProof/>
          <w:sz w:val="24"/>
          <w:szCs w:val="24"/>
        </w:rPr>
        <w:fldChar w:fldCharType="end"/>
      </w:r>
      <w:r w:rsidR="00E63364">
        <w:rPr>
          <w:rFonts w:ascii="Times New Roman" w:hAnsi="Times New Roman" w:cs="Times New Roman"/>
          <w:noProof/>
          <w:sz w:val="24"/>
          <w:szCs w:val="24"/>
        </w:rPr>
        <w:t>, f</w:t>
      </w:r>
      <w:r w:rsidR="00070B6B">
        <w:rPr>
          <w:rFonts w:ascii="Times New Roman" w:hAnsi="Times New Roman" w:cs="Times New Roman"/>
          <w:noProof/>
          <w:sz w:val="24"/>
          <w:szCs w:val="24"/>
        </w:rPr>
        <w:t xml:space="preserve">urther work is required to evaluate MCIDs for the MSK-HQ </w:t>
      </w:r>
      <w:r w:rsidR="00F77F6B">
        <w:rPr>
          <w:rFonts w:ascii="Times New Roman" w:hAnsi="Times New Roman" w:cs="Times New Roman"/>
          <w:noProof/>
          <w:sz w:val="24"/>
          <w:szCs w:val="24"/>
        </w:rPr>
        <w:t xml:space="preserve">in </w:t>
      </w:r>
      <w:r w:rsidR="00070B6B">
        <w:rPr>
          <w:rFonts w:ascii="Times New Roman" w:hAnsi="Times New Roman" w:cs="Times New Roman"/>
          <w:noProof/>
          <w:sz w:val="24"/>
          <w:szCs w:val="24"/>
        </w:rPr>
        <w:t xml:space="preserve">different </w:t>
      </w:r>
      <w:r w:rsidR="00870910">
        <w:rPr>
          <w:rFonts w:ascii="Times New Roman" w:hAnsi="Times New Roman" w:cs="Times New Roman"/>
          <w:noProof/>
          <w:sz w:val="24"/>
          <w:szCs w:val="24"/>
        </w:rPr>
        <w:t xml:space="preserve">MSK </w:t>
      </w:r>
      <w:r w:rsidR="00CB4DD7">
        <w:rPr>
          <w:rFonts w:ascii="Times New Roman" w:hAnsi="Times New Roman" w:cs="Times New Roman"/>
          <w:noProof/>
          <w:sz w:val="24"/>
          <w:szCs w:val="24"/>
        </w:rPr>
        <w:t xml:space="preserve">patient </w:t>
      </w:r>
      <w:r w:rsidR="00070B6B">
        <w:rPr>
          <w:rFonts w:ascii="Times New Roman" w:hAnsi="Times New Roman" w:cs="Times New Roman"/>
          <w:noProof/>
          <w:sz w:val="24"/>
          <w:szCs w:val="24"/>
        </w:rPr>
        <w:t>populations</w:t>
      </w:r>
      <w:r w:rsidR="00CB4DD7">
        <w:rPr>
          <w:rFonts w:ascii="Times New Roman" w:hAnsi="Times New Roman" w:cs="Times New Roman"/>
          <w:noProof/>
          <w:sz w:val="24"/>
          <w:szCs w:val="24"/>
        </w:rPr>
        <w:t xml:space="preserve">, </w:t>
      </w:r>
      <w:r w:rsidR="00070B6B">
        <w:rPr>
          <w:rFonts w:ascii="Times New Roman" w:hAnsi="Times New Roman" w:cs="Times New Roman"/>
          <w:noProof/>
          <w:sz w:val="24"/>
          <w:szCs w:val="24"/>
        </w:rPr>
        <w:t xml:space="preserve">to provide a greater understanding of what changes would have implications for patients’ management in different </w:t>
      </w:r>
      <w:r w:rsidR="00697A9A">
        <w:rPr>
          <w:rFonts w:ascii="Times New Roman" w:hAnsi="Times New Roman" w:cs="Times New Roman"/>
          <w:noProof/>
          <w:sz w:val="24"/>
          <w:szCs w:val="24"/>
        </w:rPr>
        <w:t xml:space="preserve">healthcare </w:t>
      </w:r>
      <w:r w:rsidR="00070B6B">
        <w:rPr>
          <w:rFonts w:ascii="Times New Roman" w:hAnsi="Times New Roman" w:cs="Times New Roman"/>
          <w:noProof/>
          <w:sz w:val="24"/>
          <w:szCs w:val="24"/>
        </w:rPr>
        <w:t>settings</w:t>
      </w:r>
      <w:r w:rsidR="00697A9A">
        <w:rPr>
          <w:rFonts w:ascii="Times New Roman" w:hAnsi="Times New Roman" w:cs="Times New Roman"/>
          <w:noProof/>
          <w:sz w:val="24"/>
          <w:szCs w:val="24"/>
        </w:rPr>
        <w:t>, and MSK conditions</w:t>
      </w:r>
      <w:r w:rsidR="00070B6B">
        <w:rPr>
          <w:rFonts w:ascii="Times New Roman" w:hAnsi="Times New Roman" w:cs="Times New Roman"/>
          <w:noProof/>
          <w:sz w:val="24"/>
          <w:szCs w:val="24"/>
        </w:rPr>
        <w:t>.</w:t>
      </w:r>
    </w:p>
    <w:p w14:paraId="4EAE6198" w14:textId="6C40B4A7" w:rsidR="007B0D26" w:rsidRDefault="007B0D26">
      <w:pPr>
        <w:spacing w:line="480" w:lineRule="auto"/>
        <w:jc w:val="both"/>
        <w:rPr>
          <w:rFonts w:ascii="Times New Roman" w:hAnsi="Times New Roman" w:cs="Times New Roman"/>
          <w:noProof/>
          <w:sz w:val="24"/>
          <w:szCs w:val="24"/>
        </w:rPr>
      </w:pPr>
    </w:p>
    <w:p w14:paraId="095F4B8E" w14:textId="19BE9BB6" w:rsidR="007B0D26" w:rsidRPr="008E317E" w:rsidRDefault="007B0D26">
      <w:pPr>
        <w:spacing w:line="480" w:lineRule="auto"/>
        <w:jc w:val="both"/>
        <w:rPr>
          <w:rFonts w:ascii="Times New Roman" w:hAnsi="Times New Roman" w:cs="Times New Roman"/>
          <w:noProof/>
          <w:sz w:val="24"/>
          <w:szCs w:val="24"/>
        </w:rPr>
      </w:pPr>
      <w:r w:rsidRPr="007A0E61">
        <w:rPr>
          <w:rFonts w:ascii="Times New Roman" w:eastAsia="Times New Roman" w:hAnsi="Times New Roman" w:cs="Times New Roman"/>
          <w:sz w:val="24"/>
          <w:szCs w:val="24"/>
        </w:rPr>
        <w:t xml:space="preserve">In the START MSK Pilot RCT both the </w:t>
      </w:r>
      <w:proofErr w:type="spellStart"/>
      <w:r w:rsidRPr="007A0E61">
        <w:rPr>
          <w:rFonts w:ascii="Times New Roman" w:eastAsia="Times New Roman" w:hAnsi="Times New Roman" w:cs="Times New Roman"/>
          <w:sz w:val="24"/>
          <w:szCs w:val="24"/>
        </w:rPr>
        <w:t>Keele</w:t>
      </w:r>
      <w:proofErr w:type="spellEnd"/>
      <w:r w:rsidRPr="007A0E61">
        <w:rPr>
          <w:rFonts w:ascii="Times New Roman" w:eastAsia="Times New Roman" w:hAnsi="Times New Roman" w:cs="Times New Roman"/>
          <w:sz w:val="24"/>
          <w:szCs w:val="24"/>
        </w:rPr>
        <w:t xml:space="preserve"> </w:t>
      </w:r>
      <w:proofErr w:type="spellStart"/>
      <w:r w:rsidRPr="007A0E61">
        <w:rPr>
          <w:rFonts w:ascii="Times New Roman" w:eastAsia="Times New Roman" w:hAnsi="Times New Roman" w:cs="Times New Roman"/>
          <w:sz w:val="24"/>
          <w:szCs w:val="24"/>
        </w:rPr>
        <w:t>STarT</w:t>
      </w:r>
      <w:proofErr w:type="spellEnd"/>
      <w:r w:rsidRPr="007A0E61">
        <w:rPr>
          <w:rFonts w:ascii="Times New Roman" w:eastAsia="Times New Roman" w:hAnsi="Times New Roman" w:cs="Times New Roman"/>
          <w:sz w:val="24"/>
          <w:szCs w:val="24"/>
        </w:rPr>
        <w:t xml:space="preserve"> MSK Tool and MSK-HQ were used</w:t>
      </w:r>
      <w:r w:rsidR="00183A86">
        <w:rPr>
          <w:rFonts w:ascii="Times New Roman" w:eastAsia="Times New Roman" w:hAnsi="Times New Roman" w:cs="Times New Roman"/>
          <w:sz w:val="24"/>
          <w:szCs w:val="24"/>
        </w:rPr>
        <w:t xml:space="preserve"> </w:t>
      </w:r>
      <w:r w:rsidR="00183A86">
        <w:rPr>
          <w:rFonts w:ascii="Times New Roman" w:eastAsia="Times New Roman" w:hAnsi="Times New Roman" w:cs="Times New Roman"/>
          <w:sz w:val="24"/>
          <w:szCs w:val="24"/>
        </w:rPr>
        <w:fldChar w:fldCharType="begin" w:fldLock="1"/>
      </w:r>
      <w:r w:rsidR="00FF159B">
        <w:rPr>
          <w:rFonts w:ascii="Times New Roman" w:eastAsia="Times New Roman" w:hAnsi="Times New Roman" w:cs="Times New Roman"/>
          <w:sz w:val="24"/>
          <w:szCs w:val="24"/>
        </w:rPr>
        <w:instrText>ADDIN CSL_CITATION {"citationItems":[{"id":"ITEM-1","itemData":{"author":[{"dropping-particle":"","family":"Hill","given":"J.C.","non-dropping-particle":"","parse-names":false,"suffix":""},{"dropping-particle":"","family":"Garvin","given":"S.","non-dropping-particle":"","parse-names":false,"suffix":""},{"dropping-particle":"","family":"Chen","given":"Y.","non-dropping-particle":"","parse-names":false,"suffix":""},{"dropping-particle":"","family":"Cooper","given":"V.","non-dropping-particle":"","parse-names":false,"suffix":""},{"dropping-particle":"","family":"Wathall","given":"S.","non-dropping-particle":"","parse-names":false,"suffix":""},{"dropping-particle":"","family":"Saunders","given":"B.","non-dropping-particle":"","parse-names":false,"suffix":""},{"dropping-particle":"","family":"Lewis","given":"M.","non-dropping-particle":"","parse-names":false,"suffix":""},{"dropping-particle":"","family":"Protheroe","given":"J.","non-dropping-particle":"","parse-names":false,"suffix":""},{"dropping-particle":"","family":"Chudyk","given":"A.","non-dropping-particle":"","parse-names":false,"suffix":""},{"dropping-particle":"","family":"Dunn","given":"K.M.","non-dropping-particle":"","parse-names":false,"suffix":""},{"dropping-particle":"","family":"Hay","given":"E.","non-dropping-particle":"","parse-names":false,"suffix":""},{"dropping-particle":"","family":"Windt","given":"D.","non-dropping-particle":"van der","parse-names":false,"suffix":""},{"dropping-particle":"","family":"CM","given":"Mallen","non-dropping-particle":"","parse-names":false,"suffix":""},{"dropping-particle":"","family":"Foster","given":"N.E.","non-dropping-particle":"","parse-names":false,"suffix":""}],"container-title":"BMC family practice","id":"ITEM-1","issued":{"date-parts":[["0"]]},"title":"Stratified primary care versus non-stratified care for musculoskeletal pain: findings from the STarT MSK feasibility and pilot cluster randomized controlled trial","type":"article-journal"},"uris":["http://www.mendeley.com/documents/?uuid=5307bbce-94c9-48a8-9118-3d2d86945be3"]}],"mendeley":{"formattedCitation":"(8)","plainTextFormattedCitation":"(8)","previouslyFormattedCitation":"(8)"},"properties":{"noteIndex":0},"schema":"https://github.com/citation-style-language/schema/raw/master/csl-citation.json"}</w:instrText>
      </w:r>
      <w:r w:rsidR="00183A86">
        <w:rPr>
          <w:rFonts w:ascii="Times New Roman" w:eastAsia="Times New Roman" w:hAnsi="Times New Roman" w:cs="Times New Roman"/>
          <w:sz w:val="24"/>
          <w:szCs w:val="24"/>
        </w:rPr>
        <w:fldChar w:fldCharType="separate"/>
      </w:r>
      <w:r w:rsidR="00FF159B" w:rsidRPr="00FF159B">
        <w:rPr>
          <w:rFonts w:ascii="Times New Roman" w:eastAsia="Times New Roman" w:hAnsi="Times New Roman" w:cs="Times New Roman"/>
          <w:noProof/>
          <w:sz w:val="24"/>
          <w:szCs w:val="24"/>
        </w:rPr>
        <w:t>(8)</w:t>
      </w:r>
      <w:r w:rsidR="00183A86">
        <w:rPr>
          <w:rFonts w:ascii="Times New Roman" w:eastAsia="Times New Roman" w:hAnsi="Times New Roman" w:cs="Times New Roman"/>
          <w:sz w:val="24"/>
          <w:szCs w:val="24"/>
        </w:rPr>
        <w:fldChar w:fldCharType="end"/>
      </w:r>
      <w:r w:rsidRPr="007A0E61">
        <w:rPr>
          <w:rFonts w:ascii="Times New Roman" w:eastAsia="Times New Roman" w:hAnsi="Times New Roman" w:cs="Times New Roman"/>
          <w:sz w:val="24"/>
          <w:szCs w:val="24"/>
        </w:rPr>
        <w:t xml:space="preserve">. These PROMs have important conceptual differences. The </w:t>
      </w:r>
      <w:proofErr w:type="spellStart"/>
      <w:r w:rsidRPr="007A0E61">
        <w:rPr>
          <w:rFonts w:ascii="Times New Roman" w:eastAsia="Times New Roman" w:hAnsi="Times New Roman" w:cs="Times New Roman"/>
          <w:sz w:val="24"/>
          <w:szCs w:val="24"/>
        </w:rPr>
        <w:t>STarT</w:t>
      </w:r>
      <w:proofErr w:type="spellEnd"/>
      <w:r w:rsidRPr="007A0E61">
        <w:rPr>
          <w:rFonts w:ascii="Times New Roman" w:eastAsia="Times New Roman" w:hAnsi="Times New Roman" w:cs="Times New Roman"/>
          <w:sz w:val="24"/>
          <w:szCs w:val="24"/>
        </w:rPr>
        <w:t xml:space="preserve"> MSK tool is a </w:t>
      </w:r>
      <w:r w:rsidRPr="008E317E">
        <w:rPr>
          <w:rFonts w:ascii="Times New Roman" w:eastAsia="Times New Roman" w:hAnsi="Times New Roman" w:cs="Times New Roman"/>
          <w:sz w:val="24"/>
          <w:szCs w:val="24"/>
        </w:rPr>
        <w:t>prognostic stratification tool, for use among patients with MSK pain</w:t>
      </w:r>
      <w:r w:rsidRPr="007A0E61">
        <w:rPr>
          <w:rFonts w:ascii="Times New Roman" w:eastAsia="Times New Roman" w:hAnsi="Times New Roman" w:cs="Times New Roman"/>
          <w:sz w:val="24"/>
          <w:szCs w:val="24"/>
        </w:rPr>
        <w:t xml:space="preserve"> </w:t>
      </w:r>
      <w:r w:rsidRPr="008E317E">
        <w:rPr>
          <w:rFonts w:ascii="Times New Roman" w:eastAsia="Times New Roman" w:hAnsi="Times New Roman" w:cs="Times New Roman"/>
          <w:sz w:val="24"/>
          <w:szCs w:val="24"/>
        </w:rPr>
        <w:t xml:space="preserve">to identify </w:t>
      </w:r>
      <w:r w:rsidRPr="007A0E61">
        <w:rPr>
          <w:rFonts w:ascii="Times New Roman" w:eastAsia="Times New Roman" w:hAnsi="Times New Roman" w:cs="Times New Roman"/>
          <w:sz w:val="24"/>
          <w:szCs w:val="24"/>
        </w:rPr>
        <w:t>those at low, medium or high-</w:t>
      </w:r>
      <w:r w:rsidRPr="008E317E">
        <w:rPr>
          <w:rFonts w:ascii="Times New Roman" w:eastAsia="Times New Roman" w:hAnsi="Times New Roman" w:cs="Times New Roman"/>
          <w:sz w:val="24"/>
          <w:szCs w:val="24"/>
        </w:rPr>
        <w:t>risk of persistent MSK pain</w:t>
      </w:r>
      <w:r w:rsidR="001C1285" w:rsidRPr="007A0E61">
        <w:rPr>
          <w:rFonts w:ascii="Times New Roman" w:eastAsia="Times New Roman" w:hAnsi="Times New Roman" w:cs="Times New Roman"/>
          <w:sz w:val="24"/>
          <w:szCs w:val="24"/>
        </w:rPr>
        <w:t xml:space="preserve"> </w:t>
      </w:r>
      <w:r w:rsidR="00183A86">
        <w:rPr>
          <w:rFonts w:ascii="Times New Roman" w:eastAsia="Times New Roman" w:hAnsi="Times New Roman" w:cs="Times New Roman"/>
          <w:sz w:val="24"/>
          <w:szCs w:val="24"/>
        </w:rPr>
        <w:fldChar w:fldCharType="begin" w:fldLock="1"/>
      </w:r>
      <w:r w:rsidR="009670B7">
        <w:rPr>
          <w:rFonts w:ascii="Times New Roman" w:eastAsia="Times New Roman" w:hAnsi="Times New Roman" w:cs="Times New Roman"/>
          <w:sz w:val="24"/>
          <w:szCs w:val="24"/>
        </w:rPr>
        <w:instrText>ADDIN CSL_CITATION {"citationItems":[{"id":"ITEM-1","itemData":{"URL":"https://www.keele.ac.uk/startmsk/","accessed":{"date-parts":[["2020","5","31"]]},"author":[{"dropping-particle":"","family":"Keele University","given":"","non-dropping-particle":"","parse-names":false,"suffix":""}],"id":"ITEM-1","issued":{"date-parts":[["2017"]]},"title":"Keele START MSK Tool","type":"webpage"},"uris":["http://www.mendeley.com/documents/?uuid=13162639-7a6b-40ea-9b2e-71110b4b96dd"]},{"id":"ITEM-2","itemData":{"ISSN":"1178-7090","abstract":"Musculoskeletal conditions represent a considerable burden worldwide, and are predominantly managed in primary care. Evidence suggests that many musculoskeletal conditions share similar prognostic factors. Systematically assessing patient's prognosis and matching treatments based on prognostic subgroups (stratified care) has been shown to be both clinically effective and cost-effective. This study (Keele Aches and Pains Study) aims to refine and examine the validity of a brief questionnaire (Keele STarT MSK tool) designed to enable risk stratification of primary care patients with the five most common musculoskeletal pain presentations. We also describe the subgroups of patients, and explore the acceptability and feasibility of using the tool and how the tool is best implemented in clinical practice. The study design is mixed methods: a prospective, quantitative observational cohort study with a linked qualitative focus group and interview study. Patients who have consulted their GP or health care practitioner about a relevant musculoskeletal condition will be recruited from general practice. Participating patients will complete a baseline questionnaire (shortly after consultation), plus questionnaires 2 and 6 months later. A subsample of patients, along with participating GPs and health care practitioners, will be invited to take part in qualitative focus groups and interviews. The Keele STarT MSK tool will be refined based on face, discriminant, construct, and predictive validity at baseline and 2 months, and validated using data from 6-month follow-up. Patient and clinician perspectives about using the tool will be explored. This study will provide a validated prognostic tool (Keele STarT MSK) with established cutoff points to stratify patients with the five most common musculoskeletal presentations into low-, medium-, and high-risk subgroups. The qualitative analysis of patient and health care perspectives will inform practitioners on how to embed the tool into clinical practice using established general practice IT systems and clinician-support packages.","author":[{"dropping-particle":"","family":"Campbell","given":"Paul","non-dropping-particle":"","parse-names":false,"suffix":""},{"dropping-particle":"","family":"Hill","given":"Jonathan C","non-dropping-particle":"","parse-names":false,"suffix":""},{"dropping-particle":"","family":"Protheroe","given":"Joanne","non-dropping-particle":"","parse-names":false,"suffix":""},{"dropping-particle":"","family":"Afolabi","given":"Ebenezer K","non-dropping-particle":"","parse-names":false,"suffix":""},{"dropping-particle":"","family":"Lewis","given":"Martyn","non-dropping-particle":"","parse-names":false,"suffix":""},{"dropping-particle":"","family":"Beardmore","given":"Ruth","non-dropping-particle":"","parse-names":false,"suffix":""},{"dropping-particle":"","family":"Hay","given":"Elaine M","non-dropping-particle":"","parse-names":false,"suffix":""},{"dropping-particle":"","family":"Mallen","given":"Christian D","non-dropping-particle":"","parse-names":false,"suffix":""},{"dropping-particle":"","family":"Bartlam","given":"Bernadette","non-dropping-particle":"","parse-names":false,"suffix":""},{"dropping-particle":"","family":"Saunders","given":"Benjamin","non-dropping-particle":"","parse-names":false,"suffix":""},{"dropping-particle":"","family":"Windt","given":"Danielle A","non-dropping-particle":"van der","parse-names":false,"suffix":""},{"dropping-particle":"","family":"Jowett","given":"Sue","non-dropping-particle":"","parse-names":false,"suffix":""},{"dropping-particle":"","family":"Foster","given":"Nadine E","non-dropping-particle":"","parse-names":false,"suffix":""},{"dropping-particle":"","family":"Dunn","given":"Kate M","non-dropping-particle":"","parse-names":false,"suffix":""}],"container-title":"Journal of pain research","id":"ITEM-2","issued":{"date-parts":[["2016"]]},"page":"807-818","publisher-place":"New Zealand","title":"Keele Aches and Pains Study protocol: validity, acceptability, and feasibility of the Keele STarT MSK tool for subgrouping musculoskeletal patients in primary care.","type":"article-journal","volume":"9"},"uris":["http://www.mendeley.com/documents/?uuid=fde2e0e2-f27d-4864-a2e4-0d776b325397"]}],"mendeley":{"formattedCitation":"(16,47)","plainTextFormattedCitation":"(16,47)","previouslyFormattedCitation":"(16,46)"},"properties":{"noteIndex":0},"schema":"https://github.com/citation-style-language/schema/raw/master/csl-citation.json"}</w:instrText>
      </w:r>
      <w:r w:rsidR="00183A86">
        <w:rPr>
          <w:rFonts w:ascii="Times New Roman" w:eastAsia="Times New Roman" w:hAnsi="Times New Roman" w:cs="Times New Roman"/>
          <w:sz w:val="24"/>
          <w:szCs w:val="24"/>
        </w:rPr>
        <w:fldChar w:fldCharType="separate"/>
      </w:r>
      <w:r w:rsidR="009670B7" w:rsidRPr="009670B7">
        <w:rPr>
          <w:rFonts w:ascii="Times New Roman" w:eastAsia="Times New Roman" w:hAnsi="Times New Roman" w:cs="Times New Roman"/>
          <w:noProof/>
          <w:sz w:val="24"/>
          <w:szCs w:val="24"/>
        </w:rPr>
        <w:t>(16,47)</w:t>
      </w:r>
      <w:r w:rsidR="00183A86">
        <w:rPr>
          <w:rFonts w:ascii="Times New Roman" w:eastAsia="Times New Roman" w:hAnsi="Times New Roman" w:cs="Times New Roman"/>
          <w:sz w:val="24"/>
          <w:szCs w:val="24"/>
        </w:rPr>
        <w:fldChar w:fldCharType="end"/>
      </w:r>
      <w:r w:rsidRPr="008E317E">
        <w:rPr>
          <w:rFonts w:ascii="Times New Roman" w:eastAsia="Times New Roman" w:hAnsi="Times New Roman" w:cs="Times New Roman"/>
          <w:sz w:val="24"/>
          <w:szCs w:val="24"/>
        </w:rPr>
        <w:t xml:space="preserve">. It should be used to help clinicians understand </w:t>
      </w:r>
      <w:r w:rsidRPr="007A0E61">
        <w:rPr>
          <w:rFonts w:ascii="Times New Roman" w:eastAsia="Times New Roman" w:hAnsi="Times New Roman" w:cs="Times New Roman"/>
          <w:sz w:val="24"/>
          <w:szCs w:val="24"/>
        </w:rPr>
        <w:t xml:space="preserve">patients’ likely prognoses, and guide initial treatment decisions e.g. early physiotherapy in those at high-risk. In contrast, the MSK-HQ is used to measure overall MSK </w:t>
      </w:r>
      <w:r w:rsidRPr="007A0E61">
        <w:rPr>
          <w:rFonts w:ascii="Times New Roman" w:hAnsi="Times New Roman" w:cs="Times New Roman"/>
          <w:sz w:val="24"/>
          <w:szCs w:val="24"/>
        </w:rPr>
        <w:t>health status using domains that patients and clinicians have prioritised as being important. Having now demonstrated its excellent responsiveness in the primary care setting, clinicians can be confident in using it as a standard MSK PROM to evaluate changes in MSK health following treatment in primary care.</w:t>
      </w:r>
    </w:p>
    <w:p w14:paraId="40CC2C7E" w14:textId="77777777" w:rsidR="002A085A" w:rsidRDefault="002A085A" w:rsidP="002A085A">
      <w:pPr>
        <w:spacing w:line="480" w:lineRule="auto"/>
        <w:jc w:val="both"/>
        <w:rPr>
          <w:rFonts w:ascii="Times New Roman" w:hAnsi="Times New Roman" w:cs="Times New Roman"/>
          <w:noProof/>
          <w:sz w:val="24"/>
          <w:szCs w:val="24"/>
        </w:rPr>
      </w:pPr>
    </w:p>
    <w:p w14:paraId="7C51FB33" w14:textId="49D5AC4A" w:rsidR="002A085A" w:rsidRDefault="00F77F6B">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The strengths of this secondary analysis</w:t>
      </w:r>
      <w:r w:rsidR="004D6D74">
        <w:rPr>
          <w:rFonts w:ascii="Times New Roman" w:hAnsi="Times New Roman" w:cs="Times New Roman"/>
          <w:noProof/>
          <w:sz w:val="24"/>
          <w:szCs w:val="24"/>
        </w:rPr>
        <w:t xml:space="preserve"> </w:t>
      </w:r>
      <w:r>
        <w:rPr>
          <w:rFonts w:ascii="Times New Roman" w:hAnsi="Times New Roman" w:cs="Times New Roman"/>
          <w:noProof/>
          <w:sz w:val="24"/>
          <w:szCs w:val="24"/>
        </w:rPr>
        <w:t>include the</w:t>
      </w:r>
      <w:r w:rsidR="004D6D74">
        <w:rPr>
          <w:rFonts w:ascii="Times New Roman" w:hAnsi="Times New Roman" w:cs="Times New Roman"/>
          <w:noProof/>
          <w:sz w:val="24"/>
          <w:szCs w:val="24"/>
        </w:rPr>
        <w:t xml:space="preserve"> sample size (</w:t>
      </w:r>
      <w:r w:rsidR="00CA0BDB">
        <w:rPr>
          <w:rFonts w:ascii="Times New Roman" w:hAnsi="Times New Roman" w:cs="Times New Roman"/>
          <w:noProof/>
          <w:sz w:val="24"/>
          <w:szCs w:val="24"/>
        </w:rPr>
        <w:t>&gt;</w:t>
      </w:r>
      <w:r w:rsidR="004D6D74">
        <w:rPr>
          <w:rFonts w:ascii="Times New Roman" w:hAnsi="Times New Roman" w:cs="Times New Roman"/>
          <w:noProof/>
          <w:sz w:val="24"/>
          <w:szCs w:val="24"/>
        </w:rPr>
        <w:t xml:space="preserve">500 patients), </w:t>
      </w:r>
      <w:r w:rsidR="00B277C6">
        <w:rPr>
          <w:rFonts w:ascii="Times New Roman" w:hAnsi="Times New Roman" w:cs="Times New Roman"/>
          <w:noProof/>
          <w:sz w:val="24"/>
          <w:szCs w:val="24"/>
        </w:rPr>
        <w:t xml:space="preserve">inclusion </w:t>
      </w:r>
      <w:r w:rsidR="00070B6B">
        <w:rPr>
          <w:rFonts w:ascii="Times New Roman" w:hAnsi="Times New Roman" w:cs="Times New Roman"/>
          <w:noProof/>
          <w:sz w:val="24"/>
          <w:szCs w:val="24"/>
        </w:rPr>
        <w:t>of widely-accepted reference</w:t>
      </w:r>
      <w:r w:rsidR="00B277C6">
        <w:rPr>
          <w:rFonts w:ascii="Times New Roman" w:hAnsi="Times New Roman" w:cs="Times New Roman"/>
          <w:noProof/>
          <w:sz w:val="24"/>
          <w:szCs w:val="24"/>
        </w:rPr>
        <w:t xml:space="preserve"> PROMs</w:t>
      </w:r>
      <w:r w:rsidR="00AA7861">
        <w:rPr>
          <w:rFonts w:ascii="Times New Roman" w:hAnsi="Times New Roman" w:cs="Times New Roman"/>
          <w:noProof/>
          <w:sz w:val="24"/>
          <w:szCs w:val="24"/>
        </w:rPr>
        <w:t xml:space="preserve"> </w:t>
      </w:r>
      <w:r>
        <w:rPr>
          <w:rFonts w:ascii="Times New Roman" w:hAnsi="Times New Roman" w:cs="Times New Roman"/>
          <w:noProof/>
          <w:sz w:val="24"/>
          <w:szCs w:val="24"/>
        </w:rPr>
        <w:t xml:space="preserve">capturing disabilty related to different </w:t>
      </w:r>
      <w:r w:rsidR="00AA7861">
        <w:rPr>
          <w:rFonts w:ascii="Times New Roman" w:hAnsi="Times New Roman" w:cs="Times New Roman"/>
          <w:noProof/>
          <w:sz w:val="24"/>
          <w:szCs w:val="24"/>
        </w:rPr>
        <w:t>MSK pain-</w:t>
      </w:r>
      <w:r w:rsidR="00070B6B">
        <w:rPr>
          <w:rFonts w:ascii="Times New Roman" w:hAnsi="Times New Roman" w:cs="Times New Roman"/>
          <w:noProof/>
          <w:sz w:val="24"/>
          <w:szCs w:val="24"/>
        </w:rPr>
        <w:t>sites</w:t>
      </w:r>
      <w:r w:rsidR="00B277C6">
        <w:rPr>
          <w:rFonts w:ascii="Times New Roman" w:hAnsi="Times New Roman" w:cs="Times New Roman"/>
          <w:noProof/>
          <w:sz w:val="24"/>
          <w:szCs w:val="24"/>
        </w:rPr>
        <w:t xml:space="preserve">, and </w:t>
      </w:r>
      <w:r w:rsidR="00070B6B">
        <w:rPr>
          <w:rFonts w:ascii="Times New Roman" w:hAnsi="Times New Roman" w:cs="Times New Roman"/>
          <w:noProof/>
          <w:sz w:val="24"/>
          <w:szCs w:val="24"/>
        </w:rPr>
        <w:t xml:space="preserve">its </w:t>
      </w:r>
      <w:r w:rsidR="00CA0BDB">
        <w:rPr>
          <w:rFonts w:ascii="Times New Roman" w:hAnsi="Times New Roman" w:cs="Times New Roman"/>
          <w:noProof/>
          <w:sz w:val="24"/>
          <w:szCs w:val="24"/>
        </w:rPr>
        <w:t>primary care setting (</w:t>
      </w:r>
      <w:r>
        <w:rPr>
          <w:rFonts w:ascii="Times New Roman" w:hAnsi="Times New Roman" w:cs="Times New Roman"/>
          <w:noProof/>
          <w:sz w:val="24"/>
          <w:szCs w:val="24"/>
        </w:rPr>
        <w:t xml:space="preserve">since </w:t>
      </w:r>
      <w:r w:rsidR="00B277C6">
        <w:rPr>
          <w:rFonts w:ascii="Times New Roman" w:hAnsi="Times New Roman" w:cs="Times New Roman"/>
          <w:noProof/>
          <w:sz w:val="24"/>
          <w:szCs w:val="24"/>
        </w:rPr>
        <w:t xml:space="preserve">most </w:t>
      </w:r>
      <w:r>
        <w:rPr>
          <w:rFonts w:ascii="Times New Roman" w:hAnsi="Times New Roman" w:cs="Times New Roman"/>
          <w:noProof/>
          <w:sz w:val="24"/>
          <w:szCs w:val="24"/>
        </w:rPr>
        <w:t xml:space="preserve">patients with </w:t>
      </w:r>
      <w:r w:rsidR="00B277C6">
        <w:rPr>
          <w:rFonts w:ascii="Times New Roman" w:hAnsi="Times New Roman" w:cs="Times New Roman"/>
          <w:noProof/>
          <w:sz w:val="24"/>
          <w:szCs w:val="24"/>
        </w:rPr>
        <w:t xml:space="preserve">MSK pain </w:t>
      </w:r>
      <w:r>
        <w:rPr>
          <w:rFonts w:ascii="Times New Roman" w:hAnsi="Times New Roman" w:cs="Times New Roman"/>
          <w:noProof/>
          <w:sz w:val="24"/>
          <w:szCs w:val="24"/>
        </w:rPr>
        <w:t>are managed</w:t>
      </w:r>
      <w:r w:rsidR="00070B6B">
        <w:rPr>
          <w:rFonts w:ascii="Times New Roman" w:hAnsi="Times New Roman" w:cs="Times New Roman"/>
          <w:noProof/>
          <w:sz w:val="24"/>
          <w:szCs w:val="24"/>
        </w:rPr>
        <w:t xml:space="preserve"> </w:t>
      </w:r>
      <w:r w:rsidR="00292D02">
        <w:rPr>
          <w:rFonts w:ascii="Times New Roman" w:hAnsi="Times New Roman" w:cs="Times New Roman"/>
          <w:noProof/>
          <w:sz w:val="24"/>
          <w:szCs w:val="24"/>
        </w:rPr>
        <w:t>there</w:t>
      </w:r>
      <w:r w:rsidR="00CA0BDB">
        <w:rPr>
          <w:rFonts w:ascii="Times New Roman" w:hAnsi="Times New Roman" w:cs="Times New Roman"/>
          <w:noProof/>
          <w:sz w:val="24"/>
          <w:szCs w:val="24"/>
        </w:rPr>
        <w:t>).</w:t>
      </w:r>
      <w:r w:rsidR="00B277C6">
        <w:rPr>
          <w:rFonts w:ascii="Times New Roman" w:hAnsi="Times New Roman" w:cs="Times New Roman"/>
          <w:noProof/>
          <w:sz w:val="24"/>
          <w:szCs w:val="24"/>
        </w:rPr>
        <w:t xml:space="preserve"> It also has several limitations. </w:t>
      </w:r>
      <w:r w:rsidR="00870910">
        <w:rPr>
          <w:rFonts w:ascii="Times New Roman" w:hAnsi="Times New Roman" w:cs="Times New Roman"/>
          <w:noProof/>
          <w:sz w:val="24"/>
          <w:szCs w:val="24"/>
        </w:rPr>
        <w:t>Firstly,</w:t>
      </w:r>
      <w:r w:rsidR="00D16551">
        <w:rPr>
          <w:rFonts w:ascii="Times New Roman" w:hAnsi="Times New Roman" w:cs="Times New Roman"/>
          <w:noProof/>
          <w:sz w:val="24"/>
          <w:szCs w:val="24"/>
        </w:rPr>
        <w:t xml:space="preserve"> </w:t>
      </w:r>
      <w:r>
        <w:rPr>
          <w:rFonts w:ascii="Times New Roman" w:hAnsi="Times New Roman" w:cs="Times New Roman"/>
          <w:noProof/>
          <w:sz w:val="24"/>
          <w:szCs w:val="24"/>
        </w:rPr>
        <w:t xml:space="preserve">participants </w:t>
      </w:r>
      <w:r w:rsidR="00AA7861">
        <w:rPr>
          <w:rFonts w:ascii="Times New Roman" w:hAnsi="Times New Roman" w:cs="Times New Roman"/>
          <w:noProof/>
          <w:sz w:val="24"/>
          <w:szCs w:val="24"/>
        </w:rPr>
        <w:t xml:space="preserve">were </w:t>
      </w:r>
      <w:r>
        <w:rPr>
          <w:rFonts w:ascii="Times New Roman" w:hAnsi="Times New Roman" w:cs="Times New Roman"/>
          <w:noProof/>
          <w:sz w:val="24"/>
          <w:szCs w:val="24"/>
        </w:rPr>
        <w:t>grouped into one of five common</w:t>
      </w:r>
      <w:r w:rsidR="00870910">
        <w:rPr>
          <w:rFonts w:ascii="Times New Roman" w:hAnsi="Times New Roman" w:cs="Times New Roman"/>
          <w:noProof/>
          <w:sz w:val="24"/>
          <w:szCs w:val="24"/>
        </w:rPr>
        <w:t xml:space="preserve"> </w:t>
      </w:r>
      <w:r w:rsidR="00AA7861">
        <w:rPr>
          <w:rFonts w:ascii="Times New Roman" w:hAnsi="Times New Roman" w:cs="Times New Roman"/>
          <w:noProof/>
          <w:sz w:val="24"/>
          <w:szCs w:val="24"/>
        </w:rPr>
        <w:t xml:space="preserve">MSK </w:t>
      </w:r>
      <w:r>
        <w:rPr>
          <w:rFonts w:ascii="Times New Roman" w:hAnsi="Times New Roman" w:cs="Times New Roman"/>
          <w:noProof/>
          <w:sz w:val="24"/>
          <w:szCs w:val="24"/>
        </w:rPr>
        <w:t>pain presentations</w:t>
      </w:r>
      <w:r w:rsidR="00D16551">
        <w:rPr>
          <w:rFonts w:ascii="Times New Roman" w:hAnsi="Times New Roman" w:cs="Times New Roman"/>
          <w:noProof/>
          <w:sz w:val="24"/>
          <w:szCs w:val="24"/>
        </w:rPr>
        <w:t xml:space="preserve">, </w:t>
      </w:r>
      <w:r>
        <w:rPr>
          <w:rFonts w:ascii="Times New Roman" w:hAnsi="Times New Roman" w:cs="Times New Roman"/>
          <w:noProof/>
          <w:sz w:val="24"/>
          <w:szCs w:val="24"/>
        </w:rPr>
        <w:t>rather than specific clinical</w:t>
      </w:r>
      <w:r w:rsidR="00D16551">
        <w:rPr>
          <w:rFonts w:ascii="Times New Roman" w:hAnsi="Times New Roman" w:cs="Times New Roman"/>
          <w:noProof/>
          <w:sz w:val="24"/>
          <w:szCs w:val="24"/>
        </w:rPr>
        <w:t xml:space="preserve"> </w:t>
      </w:r>
      <w:r>
        <w:rPr>
          <w:rFonts w:ascii="Times New Roman" w:hAnsi="Times New Roman" w:cs="Times New Roman"/>
          <w:noProof/>
          <w:sz w:val="24"/>
          <w:szCs w:val="24"/>
        </w:rPr>
        <w:t>diagnoses</w:t>
      </w:r>
      <w:r w:rsidR="00D16551">
        <w:rPr>
          <w:rFonts w:ascii="Times New Roman" w:hAnsi="Times New Roman" w:cs="Times New Roman"/>
          <w:noProof/>
          <w:sz w:val="24"/>
          <w:szCs w:val="24"/>
        </w:rPr>
        <w:t xml:space="preserve">; clinical heterogeneity is likely to exist </w:t>
      </w:r>
      <w:r w:rsidR="00697A9A">
        <w:rPr>
          <w:rFonts w:ascii="Times New Roman" w:hAnsi="Times New Roman" w:cs="Times New Roman"/>
          <w:noProof/>
          <w:sz w:val="24"/>
          <w:szCs w:val="24"/>
        </w:rPr>
        <w:t>in the pathophysiology underlying pain at different sites</w:t>
      </w:r>
      <w:r w:rsidR="00870910">
        <w:rPr>
          <w:rFonts w:ascii="Times New Roman" w:hAnsi="Times New Roman" w:cs="Times New Roman"/>
          <w:noProof/>
          <w:sz w:val="24"/>
          <w:szCs w:val="24"/>
        </w:rPr>
        <w:t xml:space="preserve">, and the MSK-HQ could perform differently across </w:t>
      </w:r>
      <w:r w:rsidR="005C1F53">
        <w:rPr>
          <w:rFonts w:ascii="Times New Roman" w:hAnsi="Times New Roman" w:cs="Times New Roman"/>
          <w:noProof/>
          <w:sz w:val="24"/>
          <w:szCs w:val="24"/>
        </w:rPr>
        <w:t>specific diagnoses</w:t>
      </w:r>
      <w:r w:rsidR="00697A9A">
        <w:rPr>
          <w:rFonts w:ascii="Times New Roman" w:hAnsi="Times New Roman" w:cs="Times New Roman"/>
          <w:noProof/>
          <w:sz w:val="24"/>
          <w:szCs w:val="24"/>
        </w:rPr>
        <w:t xml:space="preserve">. </w:t>
      </w:r>
      <w:r w:rsidR="00870910">
        <w:rPr>
          <w:rFonts w:ascii="Times New Roman" w:hAnsi="Times New Roman" w:cs="Times New Roman"/>
          <w:noProof/>
          <w:sz w:val="24"/>
          <w:szCs w:val="24"/>
        </w:rPr>
        <w:t>Secondly</w:t>
      </w:r>
      <w:r w:rsidR="00353A65">
        <w:rPr>
          <w:rFonts w:ascii="Times New Roman" w:hAnsi="Times New Roman" w:cs="Times New Roman"/>
          <w:noProof/>
          <w:sz w:val="24"/>
          <w:szCs w:val="24"/>
        </w:rPr>
        <w:t xml:space="preserve">, </w:t>
      </w:r>
      <w:r w:rsidR="00697A9A">
        <w:rPr>
          <w:rFonts w:ascii="Times New Roman" w:hAnsi="Times New Roman" w:cs="Times New Roman"/>
          <w:noProof/>
          <w:sz w:val="24"/>
          <w:szCs w:val="24"/>
        </w:rPr>
        <w:t xml:space="preserve">the </w:t>
      </w:r>
      <w:r w:rsidR="00353A65">
        <w:rPr>
          <w:rFonts w:ascii="Times New Roman" w:hAnsi="Times New Roman" w:cs="Times New Roman"/>
          <w:noProof/>
          <w:sz w:val="24"/>
          <w:szCs w:val="24"/>
        </w:rPr>
        <w:t>sample size</w:t>
      </w:r>
      <w:r w:rsidR="006B277B">
        <w:rPr>
          <w:rFonts w:ascii="Times New Roman" w:hAnsi="Times New Roman" w:cs="Times New Roman"/>
          <w:noProof/>
          <w:sz w:val="24"/>
          <w:szCs w:val="24"/>
        </w:rPr>
        <w:t xml:space="preserve"> of some of the groups of participants</w:t>
      </w:r>
      <w:r w:rsidR="00697A9A">
        <w:rPr>
          <w:rFonts w:ascii="Times New Roman" w:hAnsi="Times New Roman" w:cs="Times New Roman"/>
          <w:noProof/>
          <w:sz w:val="24"/>
          <w:szCs w:val="24"/>
        </w:rPr>
        <w:t xml:space="preserve"> </w:t>
      </w:r>
      <w:r w:rsidR="006B277B">
        <w:rPr>
          <w:rFonts w:ascii="Times New Roman" w:hAnsi="Times New Roman" w:cs="Times New Roman"/>
          <w:noProof/>
          <w:sz w:val="24"/>
          <w:szCs w:val="24"/>
        </w:rPr>
        <w:t xml:space="preserve">(those with neck and multi-site pain) </w:t>
      </w:r>
      <w:r w:rsidR="00292D02">
        <w:rPr>
          <w:rFonts w:ascii="Times New Roman" w:hAnsi="Times New Roman" w:cs="Times New Roman"/>
          <w:noProof/>
          <w:sz w:val="24"/>
          <w:szCs w:val="24"/>
        </w:rPr>
        <w:t xml:space="preserve">was small, </w:t>
      </w:r>
      <w:r w:rsidR="006B277B">
        <w:rPr>
          <w:rFonts w:ascii="Times New Roman" w:hAnsi="Times New Roman" w:cs="Times New Roman"/>
          <w:noProof/>
          <w:sz w:val="24"/>
          <w:szCs w:val="24"/>
        </w:rPr>
        <w:t xml:space="preserve">and therefore the estimates were </w:t>
      </w:r>
      <w:r w:rsidR="006B277B" w:rsidRPr="00A87B53">
        <w:rPr>
          <w:rFonts w:ascii="Times New Roman" w:hAnsi="Times New Roman" w:cs="Times New Roman"/>
          <w:noProof/>
          <w:sz w:val="24"/>
          <w:szCs w:val="24"/>
        </w:rPr>
        <w:lastRenderedPageBreak/>
        <w:t xml:space="preserve">imprecise. </w:t>
      </w:r>
      <w:r w:rsidR="00A87B53" w:rsidRPr="00A87B53">
        <w:rPr>
          <w:rFonts w:ascii="Times New Roman" w:hAnsi="Times New Roman" w:cs="Times New Roman"/>
          <w:noProof/>
          <w:sz w:val="24"/>
          <w:szCs w:val="24"/>
        </w:rPr>
        <w:t xml:space="preserve">Thirdly, </w:t>
      </w:r>
      <w:r w:rsidR="00A87B53" w:rsidRPr="007A0E61">
        <w:rPr>
          <w:rFonts w:ascii="Times New Roman" w:hAnsi="Times New Roman" w:cs="Times New Roman"/>
          <w:sz w:val="24"/>
          <w:szCs w:val="24"/>
          <w:shd w:val="clear" w:color="auto" w:fill="FFFFFF"/>
        </w:rPr>
        <w:t>whilst the SF-12 is frequently used in studies of multi-site pain, it was not developed for the purpose of evaluating multi-site pain specifically, and is therefore not analogous to the site-specific measures used for the other MSK-pain sites.</w:t>
      </w:r>
    </w:p>
    <w:p w14:paraId="0AF14B4E" w14:textId="65E29D57" w:rsidR="002A085A" w:rsidRDefault="002A085A" w:rsidP="002A085A">
      <w:pPr>
        <w:spacing w:line="480" w:lineRule="auto"/>
        <w:jc w:val="both"/>
        <w:rPr>
          <w:rFonts w:ascii="Times New Roman" w:hAnsi="Times New Roman" w:cs="Times New Roman"/>
          <w:noProof/>
          <w:sz w:val="24"/>
          <w:szCs w:val="24"/>
        </w:rPr>
      </w:pPr>
    </w:p>
    <w:p w14:paraId="41BB00AD" w14:textId="7B19F09F" w:rsidR="002A085A" w:rsidRDefault="00697A9A" w:rsidP="00782D1E">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conclusion, </w:t>
      </w:r>
      <w:r w:rsidR="006B277B">
        <w:rPr>
          <w:rFonts w:ascii="Times New Roman" w:hAnsi="Times New Roman" w:cs="Times New Roman"/>
          <w:noProof/>
          <w:sz w:val="24"/>
          <w:szCs w:val="24"/>
        </w:rPr>
        <w:t>this analysis</w:t>
      </w:r>
      <w:r>
        <w:rPr>
          <w:rFonts w:ascii="Times New Roman" w:hAnsi="Times New Roman" w:cs="Times New Roman"/>
          <w:noProof/>
          <w:sz w:val="24"/>
          <w:szCs w:val="24"/>
        </w:rPr>
        <w:t xml:space="preserve"> demonstrates that the MSK-HQ has good responsiveness, and concurrent validity in patients with </w:t>
      </w:r>
      <w:r w:rsidR="006B277B">
        <w:rPr>
          <w:rFonts w:ascii="Times New Roman" w:hAnsi="Times New Roman" w:cs="Times New Roman"/>
          <w:noProof/>
          <w:sz w:val="24"/>
          <w:szCs w:val="24"/>
        </w:rPr>
        <w:t xml:space="preserve">the five most common </w:t>
      </w:r>
      <w:r>
        <w:rPr>
          <w:rFonts w:ascii="Times New Roman" w:hAnsi="Times New Roman" w:cs="Times New Roman"/>
          <w:noProof/>
          <w:sz w:val="24"/>
          <w:szCs w:val="24"/>
        </w:rPr>
        <w:t xml:space="preserve">MSK </w:t>
      </w:r>
      <w:r w:rsidR="006B277B">
        <w:rPr>
          <w:rFonts w:ascii="Times New Roman" w:hAnsi="Times New Roman" w:cs="Times New Roman"/>
          <w:noProof/>
          <w:sz w:val="24"/>
          <w:szCs w:val="24"/>
        </w:rPr>
        <w:t xml:space="preserve">pain presentations consulting </w:t>
      </w:r>
      <w:r>
        <w:rPr>
          <w:rFonts w:ascii="Times New Roman" w:hAnsi="Times New Roman" w:cs="Times New Roman"/>
          <w:noProof/>
          <w:sz w:val="24"/>
          <w:szCs w:val="24"/>
        </w:rPr>
        <w:t xml:space="preserve">in </w:t>
      </w:r>
      <w:r w:rsidRPr="00782D1E">
        <w:rPr>
          <w:rFonts w:ascii="Times New Roman" w:hAnsi="Times New Roman" w:cs="Times New Roman"/>
          <w:noProof/>
          <w:sz w:val="24"/>
          <w:szCs w:val="24"/>
        </w:rPr>
        <w:t xml:space="preserve">primary care. </w:t>
      </w:r>
    </w:p>
    <w:p w14:paraId="0F7FA76B" w14:textId="77777777" w:rsidR="005E4DFA" w:rsidRDefault="005E4DFA" w:rsidP="002A085A">
      <w:pPr>
        <w:spacing w:line="480" w:lineRule="auto"/>
        <w:jc w:val="both"/>
        <w:rPr>
          <w:rFonts w:ascii="Times New Roman" w:hAnsi="Times New Roman" w:cs="Times New Roman"/>
          <w:noProof/>
          <w:sz w:val="24"/>
          <w:szCs w:val="24"/>
        </w:rPr>
      </w:pPr>
    </w:p>
    <w:p w14:paraId="4A0DBFDC" w14:textId="76ADA18E" w:rsidR="00887AD8" w:rsidRDefault="005E4DFA" w:rsidP="00BC7AF3">
      <w:pPr>
        <w:pStyle w:val="ListParagraph"/>
        <w:numPr>
          <w:ilvl w:val="0"/>
          <w:numId w:val="2"/>
        </w:numPr>
        <w:spacing w:line="480" w:lineRule="auto"/>
        <w:jc w:val="both"/>
        <w:rPr>
          <w:rFonts w:ascii="Times New Roman" w:hAnsi="Times New Roman" w:cs="Times New Roman"/>
          <w:b/>
          <w:noProof/>
          <w:sz w:val="24"/>
          <w:szCs w:val="24"/>
        </w:rPr>
      </w:pPr>
      <w:r>
        <w:rPr>
          <w:rFonts w:ascii="Times New Roman" w:hAnsi="Times New Roman" w:cs="Times New Roman"/>
          <w:b/>
          <w:noProof/>
          <w:sz w:val="24"/>
          <w:szCs w:val="24"/>
        </w:rPr>
        <w:t>FUNDING</w:t>
      </w:r>
    </w:p>
    <w:p w14:paraId="39C4F1C5" w14:textId="35A66514" w:rsidR="00BC7AF3" w:rsidRPr="00A73456" w:rsidRDefault="00BC7AF3" w:rsidP="007A0E61">
      <w:pPr>
        <w:pStyle w:val="NoSpacing"/>
        <w:spacing w:line="480" w:lineRule="auto"/>
        <w:jc w:val="both"/>
        <w:rPr>
          <w:rFonts w:ascii="Times New Roman" w:hAnsi="Times New Roman" w:cs="Times New Roman"/>
          <w:sz w:val="24"/>
          <w:szCs w:val="24"/>
        </w:rPr>
      </w:pPr>
      <w:r w:rsidRPr="00A73456">
        <w:rPr>
          <w:rFonts w:ascii="Times New Roman" w:hAnsi="Times New Roman" w:cs="Times New Roman"/>
          <w:sz w:val="24"/>
          <w:szCs w:val="24"/>
        </w:rPr>
        <w:t>This paper presents independent research funded by the National Institute for Health Research</w:t>
      </w:r>
      <w:r>
        <w:rPr>
          <w:rFonts w:ascii="Times New Roman" w:hAnsi="Times New Roman" w:cs="Times New Roman"/>
          <w:sz w:val="24"/>
          <w:szCs w:val="24"/>
        </w:rPr>
        <w:t xml:space="preserve"> </w:t>
      </w:r>
      <w:r w:rsidRPr="00A73456">
        <w:rPr>
          <w:rFonts w:ascii="Times New Roman" w:hAnsi="Times New Roman" w:cs="Times New Roman"/>
          <w:sz w:val="24"/>
          <w:szCs w:val="24"/>
        </w:rPr>
        <w:t>(NIHR) under its Programme Grants for Applied Research (</w:t>
      </w:r>
      <w:proofErr w:type="spellStart"/>
      <w:r w:rsidRPr="00A73456">
        <w:rPr>
          <w:rFonts w:ascii="Times New Roman" w:hAnsi="Times New Roman" w:cs="Times New Roman"/>
          <w:sz w:val="24"/>
          <w:szCs w:val="24"/>
        </w:rPr>
        <w:t>PGfAR</w:t>
      </w:r>
      <w:proofErr w:type="spellEnd"/>
      <w:r w:rsidRPr="00A73456">
        <w:rPr>
          <w:rFonts w:ascii="Times New Roman" w:hAnsi="Times New Roman" w:cs="Times New Roman"/>
          <w:sz w:val="24"/>
          <w:szCs w:val="24"/>
        </w:rPr>
        <w:t xml:space="preserve">) Programme (Grant Reference Number RP-PG-1211-20010). The views expressed are those of the author(s) and not necessarily those of the NIHR or the Department of Health. Nadine Foster is also NIHR Senior Investigator and was supported through an NIHR Research Professorship (NIHR-RP-011-015). Ian Scott </w:t>
      </w:r>
      <w:r w:rsidRPr="005E4DFA">
        <w:rPr>
          <w:rFonts w:ascii="Times New Roman" w:hAnsi="Times New Roman" w:cs="Times New Roman"/>
          <w:sz w:val="24"/>
          <w:szCs w:val="24"/>
        </w:rPr>
        <w:t>receives funding from the NIHR West Midlands Clinical Research Network (Clinical Trials Scholarship</w:t>
      </w:r>
      <w:r>
        <w:rPr>
          <w:rFonts w:ascii="Times New Roman" w:hAnsi="Times New Roman" w:cs="Times New Roman"/>
          <w:sz w:val="24"/>
          <w:szCs w:val="24"/>
        </w:rPr>
        <w:t xml:space="preserve">). We also acknowledge </w:t>
      </w:r>
      <w:r w:rsidRPr="00A73456">
        <w:rPr>
          <w:rFonts w:ascii="Times New Roman" w:hAnsi="Times New Roman" w:cs="Times New Roman"/>
          <w:sz w:val="24"/>
          <w:szCs w:val="24"/>
        </w:rPr>
        <w:t>Centre of Excellence funding from Versus Arthritis</w:t>
      </w:r>
      <w:r>
        <w:rPr>
          <w:rFonts w:ascii="Times New Roman" w:hAnsi="Times New Roman" w:cs="Times New Roman"/>
          <w:sz w:val="24"/>
          <w:szCs w:val="24"/>
        </w:rPr>
        <w:t> (Grant R</w:t>
      </w:r>
      <w:r w:rsidRPr="00A73456">
        <w:rPr>
          <w:rFonts w:ascii="Times New Roman" w:hAnsi="Times New Roman" w:cs="Times New Roman"/>
          <w:sz w:val="24"/>
          <w:szCs w:val="24"/>
        </w:rPr>
        <w:t>eference</w:t>
      </w:r>
      <w:r>
        <w:rPr>
          <w:rFonts w:ascii="Times New Roman" w:hAnsi="Times New Roman" w:cs="Times New Roman"/>
          <w:sz w:val="24"/>
          <w:szCs w:val="24"/>
        </w:rPr>
        <w:t xml:space="preserve"> Number </w:t>
      </w:r>
      <w:r w:rsidRPr="00A73456">
        <w:rPr>
          <w:rFonts w:ascii="Times New Roman" w:hAnsi="Times New Roman" w:cs="Times New Roman"/>
          <w:sz w:val="24"/>
          <w:szCs w:val="24"/>
        </w:rPr>
        <w:t>20202). The views expressed in this article are those of the authors and not necessarily those of the NHS, the NIHR, our funding bodies or the Department of Health and Social Care.</w:t>
      </w:r>
    </w:p>
    <w:p w14:paraId="7E1BB354" w14:textId="77777777" w:rsidR="005E4DFA" w:rsidRPr="005E4DFA" w:rsidRDefault="005E4DFA" w:rsidP="005E4DFA">
      <w:pPr>
        <w:spacing w:line="480" w:lineRule="auto"/>
        <w:jc w:val="both"/>
        <w:rPr>
          <w:rFonts w:ascii="Times New Roman" w:hAnsi="Times New Roman" w:cs="Times New Roman"/>
          <w:b/>
          <w:noProof/>
          <w:sz w:val="24"/>
          <w:szCs w:val="24"/>
        </w:rPr>
      </w:pPr>
    </w:p>
    <w:p w14:paraId="6FBAB8D5" w14:textId="244933E3" w:rsidR="005E4DFA" w:rsidRDefault="005E4DFA" w:rsidP="005E4DFA">
      <w:pPr>
        <w:pStyle w:val="ListParagraph"/>
        <w:numPr>
          <w:ilvl w:val="0"/>
          <w:numId w:val="2"/>
        </w:numPr>
        <w:spacing w:line="480" w:lineRule="auto"/>
        <w:jc w:val="both"/>
        <w:rPr>
          <w:rFonts w:ascii="Times New Roman" w:hAnsi="Times New Roman" w:cs="Times New Roman"/>
          <w:b/>
          <w:noProof/>
          <w:sz w:val="24"/>
          <w:szCs w:val="24"/>
        </w:rPr>
      </w:pPr>
      <w:r>
        <w:rPr>
          <w:rFonts w:ascii="Times New Roman" w:hAnsi="Times New Roman" w:cs="Times New Roman"/>
          <w:b/>
          <w:noProof/>
          <w:sz w:val="24"/>
          <w:szCs w:val="24"/>
        </w:rPr>
        <w:t>CONFLICT OF INTEREST</w:t>
      </w:r>
    </w:p>
    <w:p w14:paraId="27585918" w14:textId="0F1BA86A" w:rsidR="005E4DFA" w:rsidRPr="005E4DFA" w:rsidRDefault="005E4DFA">
      <w:pPr>
        <w:spacing w:line="480" w:lineRule="auto"/>
        <w:jc w:val="both"/>
        <w:rPr>
          <w:rFonts w:ascii="Times New Roman" w:hAnsi="Times New Roman" w:cs="Times New Roman"/>
          <w:b/>
          <w:noProof/>
          <w:sz w:val="24"/>
          <w:szCs w:val="24"/>
        </w:rPr>
      </w:pPr>
      <w:r>
        <w:rPr>
          <w:rFonts w:ascii="Times New Roman" w:hAnsi="Times New Roman" w:cs="Times New Roman"/>
          <w:sz w:val="24"/>
          <w:szCs w:val="24"/>
        </w:rPr>
        <w:t>N</w:t>
      </w:r>
      <w:r w:rsidRPr="005E4DFA">
        <w:rPr>
          <w:rFonts w:ascii="Times New Roman" w:hAnsi="Times New Roman" w:cs="Times New Roman"/>
          <w:sz w:val="24"/>
          <w:szCs w:val="24"/>
        </w:rPr>
        <w:t>one declared</w:t>
      </w:r>
      <w:r>
        <w:rPr>
          <w:rFonts w:ascii="Times New Roman" w:hAnsi="Times New Roman" w:cs="Times New Roman"/>
          <w:sz w:val="24"/>
          <w:szCs w:val="24"/>
        </w:rPr>
        <w:t>.</w:t>
      </w:r>
    </w:p>
    <w:p w14:paraId="50CCFB03" w14:textId="77777777" w:rsidR="0087487A" w:rsidRDefault="0087487A" w:rsidP="007A0E61">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14:paraId="0AAD9249" w14:textId="5677E65A" w:rsidR="00B37D94" w:rsidRPr="00DA020D" w:rsidRDefault="00B37D94" w:rsidP="00B37D94">
      <w:pPr>
        <w:rPr>
          <w:rFonts w:ascii="Times New Roman" w:hAnsi="Times New Roman" w:cs="Times New Roman"/>
          <w:b/>
          <w:sz w:val="24"/>
          <w:szCs w:val="24"/>
        </w:rPr>
      </w:pPr>
      <w:r w:rsidRPr="00DA020D">
        <w:rPr>
          <w:rFonts w:ascii="Times New Roman" w:hAnsi="Times New Roman" w:cs="Times New Roman"/>
          <w:b/>
          <w:sz w:val="24"/>
          <w:szCs w:val="24"/>
        </w:rPr>
        <w:lastRenderedPageBreak/>
        <w:t>REFERENCES</w:t>
      </w:r>
    </w:p>
    <w:p w14:paraId="1B2ADCA8" w14:textId="6CA23015" w:rsidR="009670B7" w:rsidRPr="009670B7" w:rsidRDefault="00FF2BD8"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 xml:space="preserve">ADDIN Mendeley Bibliography CSL_BIBLIOGRAPHY </w:instrText>
      </w:r>
      <w:r>
        <w:rPr>
          <w:rFonts w:ascii="Times New Roman" w:hAnsi="Times New Roman" w:cs="Times New Roman"/>
          <w:noProof/>
          <w:sz w:val="24"/>
          <w:szCs w:val="24"/>
        </w:rPr>
        <w:fldChar w:fldCharType="separate"/>
      </w:r>
      <w:r w:rsidR="009670B7" w:rsidRPr="009670B7">
        <w:rPr>
          <w:rFonts w:ascii="Times New Roman" w:hAnsi="Times New Roman" w:cs="Times New Roman"/>
          <w:noProof/>
          <w:sz w:val="24"/>
          <w:szCs w:val="24"/>
        </w:rPr>
        <w:t xml:space="preserve">1. </w:t>
      </w:r>
      <w:r w:rsidR="009670B7" w:rsidRPr="009670B7">
        <w:rPr>
          <w:rFonts w:ascii="Times New Roman" w:hAnsi="Times New Roman" w:cs="Times New Roman"/>
          <w:noProof/>
          <w:sz w:val="24"/>
          <w:szCs w:val="24"/>
        </w:rPr>
        <w:tab/>
        <w:t xml:space="preserve">Jordan KP, Kadam UT, Hayward R, Porcheret M, Young C, Croft P. Annual consultation prevalence of regional musculoskeletal problems in primary care: an observational study. BMC Musculoskelet Disord. 2010;11:144. </w:t>
      </w:r>
    </w:p>
    <w:p w14:paraId="565FCB15" w14:textId="251B7670"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2. </w:t>
      </w:r>
      <w:r w:rsidRPr="009670B7">
        <w:rPr>
          <w:rFonts w:ascii="Times New Roman" w:hAnsi="Times New Roman" w:cs="Times New Roman"/>
          <w:noProof/>
          <w:sz w:val="24"/>
          <w:szCs w:val="24"/>
        </w:rPr>
        <w:tab/>
        <w:t xml:space="preserve">Bergman S, Herrström P, Högström K, Petersson IF, Svensson B, Jacobsson LT. Chronic musculoskeletal pain, prevalence rates, and sociodemographic associations in a Swedish population study. J Rheumatol. 2001 Jun 1;28(6):1369 LP – 1377. </w:t>
      </w:r>
    </w:p>
    <w:p w14:paraId="33FECB5B" w14:textId="299B743D" w:rsidR="009670B7" w:rsidRPr="009670B7" w:rsidRDefault="009670B7" w:rsidP="00B25A49">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3. </w:t>
      </w:r>
      <w:r w:rsidRPr="009670B7">
        <w:rPr>
          <w:rFonts w:ascii="Times New Roman" w:hAnsi="Times New Roman" w:cs="Times New Roman"/>
          <w:noProof/>
          <w:sz w:val="24"/>
          <w:szCs w:val="24"/>
        </w:rPr>
        <w:tab/>
        <w:t xml:space="preserve">US Bone and Joint Initiative. The Burden of Musculoskeletal Diseases in the United States </w:t>
      </w:r>
      <w:r w:rsidR="00B743B8">
        <w:rPr>
          <w:rFonts w:ascii="Times New Roman" w:hAnsi="Times New Roman" w:cs="Times New Roman"/>
          <w:noProof/>
          <w:sz w:val="24"/>
          <w:szCs w:val="24"/>
        </w:rPr>
        <w:t xml:space="preserve">Available at: </w:t>
      </w:r>
      <w:r w:rsidR="00B743B8" w:rsidRPr="00524D06">
        <w:rPr>
          <w:rFonts w:ascii="Times New Roman" w:hAnsi="Times New Roman" w:cs="Times New Roman"/>
          <w:noProof/>
          <w:sz w:val="24"/>
          <w:szCs w:val="24"/>
        </w:rPr>
        <w:t>https://www.boneandjointburden.org/docs/BMUS Impact of MSK on Americans booklet_4th Edition %282018%29.pdf</w:t>
      </w:r>
      <w:r w:rsidR="00B743B8">
        <w:rPr>
          <w:rFonts w:ascii="Times New Roman" w:hAnsi="Times New Roman" w:cs="Times New Roman"/>
          <w:noProof/>
          <w:sz w:val="24"/>
          <w:szCs w:val="24"/>
        </w:rPr>
        <w:t>.</w:t>
      </w:r>
      <w:r w:rsidR="00B743B8" w:rsidRPr="00615F08">
        <w:rPr>
          <w:rFonts w:ascii="Times New Roman" w:hAnsi="Times New Roman" w:cs="Times New Roman"/>
          <w:noProof/>
          <w:sz w:val="24"/>
          <w:szCs w:val="24"/>
        </w:rPr>
        <w:t xml:space="preserve"> [Internet]. [</w:t>
      </w:r>
      <w:r w:rsidR="00B743B8">
        <w:rPr>
          <w:rFonts w:ascii="Times New Roman" w:hAnsi="Times New Roman" w:cs="Times New Roman"/>
          <w:noProof/>
          <w:sz w:val="24"/>
          <w:szCs w:val="24"/>
        </w:rPr>
        <w:t xml:space="preserve">Accessed </w:t>
      </w:r>
      <w:r w:rsidR="00B743B8">
        <w:rPr>
          <w:rFonts w:ascii="Times New Roman" w:hAnsi="Times New Roman" w:cs="Times New Roman"/>
          <w:noProof/>
          <w:sz w:val="24"/>
          <w:szCs w:val="24"/>
        </w:rPr>
        <w:t>2019 May 26]</w:t>
      </w:r>
      <w:r w:rsidRPr="009670B7">
        <w:rPr>
          <w:rFonts w:ascii="Times New Roman" w:hAnsi="Times New Roman" w:cs="Times New Roman"/>
          <w:noProof/>
          <w:sz w:val="24"/>
          <w:szCs w:val="24"/>
        </w:rPr>
        <w:t xml:space="preserve">. </w:t>
      </w:r>
    </w:p>
    <w:p w14:paraId="50CC3D05" w14:textId="4BC721ED"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4. </w:t>
      </w:r>
      <w:r w:rsidRPr="009670B7">
        <w:rPr>
          <w:rFonts w:ascii="Times New Roman" w:hAnsi="Times New Roman" w:cs="Times New Roman"/>
          <w:noProof/>
          <w:sz w:val="24"/>
          <w:szCs w:val="24"/>
        </w:rPr>
        <w:tab/>
        <w:t xml:space="preserve">Hoy D, Geere J-A, Davatchi F, Meggitt B, Barrero LH. A time for action: Opportunities for preventing the growing burden and disability from musculoskeletal conditions in low- and middle-income countries. Best Pract Res Clin Rheumatol. 2014;28(3):377–93. </w:t>
      </w:r>
    </w:p>
    <w:p w14:paraId="464DD649" w14:textId="316D4BCD" w:rsidR="009670B7" w:rsidRPr="009670B7" w:rsidRDefault="009670B7" w:rsidP="00B25A49">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5. </w:t>
      </w:r>
      <w:r w:rsidRPr="009670B7">
        <w:rPr>
          <w:rFonts w:ascii="Times New Roman" w:hAnsi="Times New Roman" w:cs="Times New Roman"/>
          <w:noProof/>
          <w:sz w:val="24"/>
          <w:szCs w:val="24"/>
        </w:rPr>
        <w:tab/>
        <w:t xml:space="preserve">Food and Drug Administration (2009) Guidance for industry. Patient-reported outcome measures: use in medical product development to support labeling claims. </w:t>
      </w:r>
      <w:r w:rsidR="00B743B8">
        <w:rPr>
          <w:rFonts w:ascii="Times New Roman" w:hAnsi="Times New Roman" w:cs="Times New Roman"/>
          <w:noProof/>
          <w:sz w:val="24"/>
          <w:szCs w:val="24"/>
        </w:rPr>
        <w:t xml:space="preserve">Available at: </w:t>
      </w:r>
      <w:r w:rsidR="00B743B8" w:rsidRPr="0025328F">
        <w:rPr>
          <w:rFonts w:ascii="Times New Roman" w:hAnsi="Times New Roman" w:cs="Times New Roman"/>
          <w:noProof/>
          <w:sz w:val="24"/>
          <w:szCs w:val="24"/>
        </w:rPr>
        <w:t>https://www.fda.gov/downloads/Drugs/GuidanceComplianceRegulatoryInformation/Guidances/UCM193282.pdf</w:t>
      </w:r>
      <w:r w:rsidR="00B743B8">
        <w:rPr>
          <w:rFonts w:ascii="Times New Roman" w:hAnsi="Times New Roman" w:cs="Times New Roman"/>
          <w:noProof/>
          <w:sz w:val="24"/>
          <w:szCs w:val="24"/>
        </w:rPr>
        <w:t>.</w:t>
      </w:r>
      <w:r w:rsidR="00B743B8" w:rsidRPr="00615F08">
        <w:rPr>
          <w:rFonts w:ascii="Times New Roman" w:hAnsi="Times New Roman" w:cs="Times New Roman"/>
          <w:noProof/>
          <w:sz w:val="24"/>
          <w:szCs w:val="24"/>
        </w:rPr>
        <w:t xml:space="preserve"> [Internet]. [</w:t>
      </w:r>
      <w:r w:rsidR="00B743B8">
        <w:rPr>
          <w:rFonts w:ascii="Times New Roman" w:hAnsi="Times New Roman" w:cs="Times New Roman"/>
          <w:noProof/>
          <w:sz w:val="24"/>
          <w:szCs w:val="24"/>
        </w:rPr>
        <w:t xml:space="preserve">Accessed </w:t>
      </w:r>
      <w:r w:rsidR="00B743B8">
        <w:rPr>
          <w:rFonts w:ascii="Times New Roman" w:hAnsi="Times New Roman" w:cs="Times New Roman"/>
          <w:noProof/>
          <w:sz w:val="24"/>
          <w:szCs w:val="24"/>
        </w:rPr>
        <w:t>2018 Aug 22].</w:t>
      </w:r>
    </w:p>
    <w:p w14:paraId="332296D2" w14:textId="4901D4FC"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6. </w:t>
      </w:r>
      <w:r w:rsidRPr="009670B7">
        <w:rPr>
          <w:rFonts w:ascii="Times New Roman" w:hAnsi="Times New Roman" w:cs="Times New Roman"/>
          <w:noProof/>
          <w:sz w:val="24"/>
          <w:szCs w:val="24"/>
        </w:rPr>
        <w:tab/>
        <w:t xml:space="preserve">Hill JC, Kang S, Benedetto E, Myers H, Blackburn S, Smith S, et al. Development and initial cohort validation of the Arthritis Research UK Musculoskeletal Health Questionnaire (MSK-HQ) for use across musculoskeletal care pathways. BMJ Open. 2016;6(8):e012331. </w:t>
      </w:r>
    </w:p>
    <w:p w14:paraId="5100CA22" w14:textId="66549565"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7. </w:t>
      </w:r>
      <w:r w:rsidRPr="009670B7">
        <w:rPr>
          <w:rFonts w:ascii="Times New Roman" w:hAnsi="Times New Roman" w:cs="Times New Roman"/>
          <w:noProof/>
          <w:sz w:val="24"/>
          <w:szCs w:val="24"/>
        </w:rPr>
        <w:tab/>
        <w:t xml:space="preserve">Price AJ, Ogollah R, Kang S, Hay E, Barker KL, Benedetto E, et al. Determining </w:t>
      </w:r>
      <w:r w:rsidRPr="009670B7">
        <w:rPr>
          <w:rFonts w:ascii="Times New Roman" w:hAnsi="Times New Roman" w:cs="Times New Roman"/>
          <w:noProof/>
          <w:sz w:val="24"/>
          <w:szCs w:val="24"/>
        </w:rPr>
        <w:lastRenderedPageBreak/>
        <w:t xml:space="preserve">responsiveness and meaningful changes for the Musculoskeletal Health Questionnaire (MSK-HQ) for use across musculoskeletal care pathways. BMJ Open. 2019 Oct 1;9(10):e025357. </w:t>
      </w:r>
    </w:p>
    <w:p w14:paraId="602B9B9A" w14:textId="52E06524" w:rsidR="0055305C" w:rsidRPr="00615F08" w:rsidRDefault="009670B7" w:rsidP="0055305C">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8. </w:t>
      </w:r>
      <w:r w:rsidRPr="009670B7">
        <w:rPr>
          <w:rFonts w:ascii="Times New Roman" w:hAnsi="Times New Roman" w:cs="Times New Roman"/>
          <w:noProof/>
          <w:sz w:val="24"/>
          <w:szCs w:val="24"/>
        </w:rPr>
        <w:tab/>
        <w:t>Hill JC, Garvin S, Chen Y, Cooper V, Wathall S, Saunders B, et al. Stratified primary care versus non-stratified care for musculoskeletal pain: findings from the STarT MSK feasibility and pilot cluster randomized controlled trial. BMC Fam Pract</w:t>
      </w:r>
      <w:r w:rsidR="0055305C">
        <w:rPr>
          <w:rFonts w:ascii="Times New Roman" w:hAnsi="Times New Roman" w:cs="Times New Roman"/>
          <w:noProof/>
          <w:sz w:val="24"/>
          <w:szCs w:val="24"/>
        </w:rPr>
        <w:t xml:space="preserve">. </w:t>
      </w:r>
      <w:r w:rsidR="0055305C">
        <w:rPr>
          <w:rFonts w:ascii="Times New Roman" w:hAnsi="Times New Roman" w:cs="Times New Roman"/>
          <w:noProof/>
          <w:sz w:val="24"/>
          <w:szCs w:val="24"/>
        </w:rPr>
        <w:t>In-Press (</w:t>
      </w:r>
      <w:r w:rsidR="0055305C" w:rsidRPr="00671706">
        <w:rPr>
          <w:rFonts w:ascii="Times New Roman" w:hAnsi="Times New Roman" w:cs="Times New Roman"/>
          <w:noProof/>
          <w:sz w:val="24"/>
          <w:szCs w:val="24"/>
        </w:rPr>
        <w:t>Accepted Dec 2019</w:t>
      </w:r>
      <w:r w:rsidR="0055305C">
        <w:rPr>
          <w:rFonts w:ascii="Times New Roman" w:hAnsi="Times New Roman" w:cs="Times New Roman"/>
          <w:noProof/>
          <w:sz w:val="24"/>
          <w:szCs w:val="24"/>
        </w:rPr>
        <w:t>)</w:t>
      </w:r>
      <w:r w:rsidR="0055305C" w:rsidRPr="00671706">
        <w:rPr>
          <w:rFonts w:ascii="Times New Roman" w:hAnsi="Times New Roman" w:cs="Times New Roman"/>
          <w:noProof/>
          <w:sz w:val="24"/>
          <w:szCs w:val="24"/>
        </w:rPr>
        <w:t>.</w:t>
      </w:r>
    </w:p>
    <w:p w14:paraId="00BE3C89" w14:textId="15482C1A"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9. </w:t>
      </w:r>
      <w:r w:rsidRPr="009670B7">
        <w:rPr>
          <w:rFonts w:ascii="Times New Roman" w:hAnsi="Times New Roman" w:cs="Times New Roman"/>
          <w:noProof/>
          <w:sz w:val="24"/>
          <w:szCs w:val="24"/>
        </w:rPr>
        <w:tab/>
        <w:t xml:space="preserve">Fitzpatrick R, Davey C, Buxton MJ, Jones DR. Evaluating patient-based outcome measures for use in clinical trials. Health Technol Assess. 1998;2(14):i–74. </w:t>
      </w:r>
    </w:p>
    <w:p w14:paraId="1D250407" w14:textId="0CD09A18"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10. </w:t>
      </w:r>
      <w:r w:rsidRPr="009670B7">
        <w:rPr>
          <w:rFonts w:ascii="Times New Roman" w:hAnsi="Times New Roman" w:cs="Times New Roman"/>
          <w:noProof/>
          <w:sz w:val="24"/>
          <w:szCs w:val="24"/>
        </w:rPr>
        <w:tab/>
        <w:t xml:space="preserve">Kamper SJ, Maher CG, Mackay G. Global rating of change scales: a review of strengths and weaknesses and considerations for design. J Man Manip Ther. 2009;17(3):163–70. </w:t>
      </w:r>
    </w:p>
    <w:p w14:paraId="3018331F" w14:textId="39B44A7C"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11. </w:t>
      </w:r>
      <w:r w:rsidRPr="009670B7">
        <w:rPr>
          <w:rFonts w:ascii="Times New Roman" w:hAnsi="Times New Roman" w:cs="Times New Roman"/>
          <w:noProof/>
          <w:sz w:val="24"/>
          <w:szCs w:val="24"/>
        </w:rPr>
        <w:tab/>
        <w:t xml:space="preserve">Roach KE, Budiman-Mak E, Songsiridej N, Lertratanakul Y. Development of a shoulder pain and disability index. Arthritis Care Res. 1991;4(4):143–9. </w:t>
      </w:r>
    </w:p>
    <w:p w14:paraId="2B6E028B" w14:textId="549A40A0"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12. </w:t>
      </w:r>
      <w:r w:rsidRPr="009670B7">
        <w:rPr>
          <w:rFonts w:ascii="Times New Roman" w:hAnsi="Times New Roman" w:cs="Times New Roman"/>
          <w:noProof/>
          <w:sz w:val="24"/>
          <w:szCs w:val="24"/>
        </w:rPr>
        <w:tab/>
        <w:t xml:space="preserve">Roland M, Fairbank J. The Roland-Morris Disability Questionnaire and the Oswestry Disability Questionnaire. Spine (Phila Pa 1976). 2000 Dec;25(24):3115—3124. </w:t>
      </w:r>
    </w:p>
    <w:p w14:paraId="36645B43" w14:textId="3CAE2233"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13. </w:t>
      </w:r>
      <w:r w:rsidRPr="009670B7">
        <w:rPr>
          <w:rFonts w:ascii="Times New Roman" w:hAnsi="Times New Roman" w:cs="Times New Roman"/>
          <w:noProof/>
          <w:sz w:val="24"/>
          <w:szCs w:val="24"/>
        </w:rPr>
        <w:tab/>
        <w:t xml:space="preserve">Vernon H, Mior S. The Neck Disability Index: a study of reliability and validity. J Manipulative Physiol Ther. 1991;14(7):409–15. </w:t>
      </w:r>
    </w:p>
    <w:p w14:paraId="430DE37B" w14:textId="7F62E3D4"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14. </w:t>
      </w:r>
      <w:r w:rsidRPr="009670B7">
        <w:rPr>
          <w:rFonts w:ascii="Times New Roman" w:hAnsi="Times New Roman" w:cs="Times New Roman"/>
          <w:noProof/>
          <w:sz w:val="24"/>
          <w:szCs w:val="24"/>
        </w:rPr>
        <w:tab/>
        <w:t xml:space="preserve">KOOS FAQs </w:t>
      </w:r>
      <w:r w:rsidR="0055305C">
        <w:rPr>
          <w:rFonts w:ascii="Times New Roman" w:hAnsi="Times New Roman" w:cs="Times New Roman"/>
          <w:noProof/>
          <w:sz w:val="24"/>
          <w:szCs w:val="24"/>
        </w:rPr>
        <w:t xml:space="preserve">Available at: </w:t>
      </w:r>
      <w:r w:rsidR="0055305C" w:rsidRPr="00923386">
        <w:rPr>
          <w:rFonts w:ascii="Times New Roman" w:hAnsi="Times New Roman" w:cs="Times New Roman"/>
          <w:noProof/>
          <w:sz w:val="24"/>
          <w:szCs w:val="24"/>
        </w:rPr>
        <w:t>http://www.koos.nu/koosfaq.html</w:t>
      </w:r>
      <w:r w:rsidR="0055305C">
        <w:rPr>
          <w:rFonts w:ascii="Times New Roman" w:hAnsi="Times New Roman" w:cs="Times New Roman"/>
          <w:noProof/>
          <w:sz w:val="24"/>
          <w:szCs w:val="24"/>
        </w:rPr>
        <w:t>.</w:t>
      </w:r>
      <w:r w:rsidR="0055305C" w:rsidRPr="00615F08">
        <w:rPr>
          <w:rFonts w:ascii="Times New Roman" w:hAnsi="Times New Roman" w:cs="Times New Roman"/>
          <w:noProof/>
          <w:sz w:val="24"/>
          <w:szCs w:val="24"/>
        </w:rPr>
        <w:t xml:space="preserve"> [Internet]. [</w:t>
      </w:r>
      <w:r w:rsidR="0055305C">
        <w:rPr>
          <w:rFonts w:ascii="Times New Roman" w:hAnsi="Times New Roman" w:cs="Times New Roman"/>
          <w:noProof/>
          <w:sz w:val="24"/>
          <w:szCs w:val="24"/>
        </w:rPr>
        <w:t xml:space="preserve">Accessed </w:t>
      </w:r>
      <w:r w:rsidR="0055305C" w:rsidRPr="00615F08">
        <w:rPr>
          <w:rFonts w:ascii="Times New Roman" w:hAnsi="Times New Roman" w:cs="Times New Roman"/>
          <w:noProof/>
          <w:sz w:val="24"/>
          <w:szCs w:val="24"/>
        </w:rPr>
        <w:t xml:space="preserve">2019 May 26]. </w:t>
      </w:r>
    </w:p>
    <w:p w14:paraId="06DCC871" w14:textId="0FCB2C09"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15. </w:t>
      </w:r>
      <w:r w:rsidRPr="009670B7">
        <w:rPr>
          <w:rFonts w:ascii="Times New Roman" w:hAnsi="Times New Roman" w:cs="Times New Roman"/>
          <w:noProof/>
          <w:sz w:val="24"/>
          <w:szCs w:val="24"/>
        </w:rPr>
        <w:tab/>
        <w:t xml:space="preserve">Diaz-Arribas MJ, Fernandez-Serrano M, Royuela A, Kovacs FM, Gallego-Izquierdo T, Ramos-Sanchez M, et al. Minimal Clinically Important Difference in Quality of Life for Patients With Low Back Pain. Spine (Phila Pa 1976). 2017;42(24):1908–16. </w:t>
      </w:r>
    </w:p>
    <w:p w14:paraId="5F0259F6" w14:textId="423DB455"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16. </w:t>
      </w:r>
      <w:r w:rsidRPr="009670B7">
        <w:rPr>
          <w:rFonts w:ascii="Times New Roman" w:hAnsi="Times New Roman" w:cs="Times New Roman"/>
          <w:noProof/>
          <w:sz w:val="24"/>
          <w:szCs w:val="24"/>
        </w:rPr>
        <w:tab/>
        <w:t xml:space="preserve">Campbell P, Hill JC, Protheroe J, Afolabi EK, Lewis M, Beardmore R, et al. Keele Aches and Pains Study protocol: validity, acceptability, and feasibility of the Keele </w:t>
      </w:r>
      <w:r w:rsidRPr="009670B7">
        <w:rPr>
          <w:rFonts w:ascii="Times New Roman" w:hAnsi="Times New Roman" w:cs="Times New Roman"/>
          <w:noProof/>
          <w:sz w:val="24"/>
          <w:szCs w:val="24"/>
        </w:rPr>
        <w:lastRenderedPageBreak/>
        <w:t xml:space="preserve">STarT MSK tool for subgrouping musculoskeletal patients in primary care. J Pain Res. 2016;9:807–18. </w:t>
      </w:r>
    </w:p>
    <w:p w14:paraId="04C294DF" w14:textId="5224D55B" w:rsidR="0055305C" w:rsidRPr="00615F08" w:rsidRDefault="009670B7" w:rsidP="0055305C">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17. </w:t>
      </w:r>
      <w:r w:rsidRPr="009670B7">
        <w:rPr>
          <w:rFonts w:ascii="Times New Roman" w:hAnsi="Times New Roman" w:cs="Times New Roman"/>
          <w:noProof/>
          <w:sz w:val="24"/>
          <w:szCs w:val="24"/>
        </w:rPr>
        <w:tab/>
        <w:t>EuroQol Group. EQ-5D-3L User Guide</w:t>
      </w:r>
      <w:r w:rsidR="0055305C">
        <w:rPr>
          <w:rFonts w:ascii="Times New Roman" w:hAnsi="Times New Roman" w:cs="Times New Roman"/>
          <w:noProof/>
          <w:sz w:val="24"/>
          <w:szCs w:val="24"/>
        </w:rPr>
        <w:t>.</w:t>
      </w:r>
      <w:r w:rsidRPr="009670B7">
        <w:rPr>
          <w:rFonts w:ascii="Times New Roman" w:hAnsi="Times New Roman" w:cs="Times New Roman"/>
          <w:noProof/>
          <w:sz w:val="24"/>
          <w:szCs w:val="24"/>
        </w:rPr>
        <w:t xml:space="preserve"> </w:t>
      </w:r>
      <w:r w:rsidR="0055305C">
        <w:rPr>
          <w:rFonts w:ascii="Times New Roman" w:hAnsi="Times New Roman" w:cs="Times New Roman"/>
          <w:noProof/>
          <w:sz w:val="24"/>
          <w:szCs w:val="24"/>
        </w:rPr>
        <w:t xml:space="preserve">Available at: </w:t>
      </w:r>
      <w:r w:rsidR="0055305C" w:rsidRPr="009D4457">
        <w:rPr>
          <w:rFonts w:ascii="Times New Roman" w:hAnsi="Times New Roman" w:cs="Times New Roman"/>
          <w:noProof/>
          <w:sz w:val="24"/>
          <w:szCs w:val="24"/>
        </w:rPr>
        <w:t>https://euroqol.org/wp-content/uploads/2016/09/EQ-5D-3L_UserGuide_2015.pdf</w:t>
      </w:r>
      <w:r w:rsidR="0055305C">
        <w:rPr>
          <w:rFonts w:ascii="Times New Roman" w:hAnsi="Times New Roman" w:cs="Times New Roman"/>
          <w:noProof/>
          <w:sz w:val="24"/>
          <w:szCs w:val="24"/>
        </w:rPr>
        <w:t>.</w:t>
      </w:r>
      <w:r w:rsidR="0055305C" w:rsidRPr="00615F08">
        <w:rPr>
          <w:rFonts w:ascii="Times New Roman" w:hAnsi="Times New Roman" w:cs="Times New Roman"/>
          <w:noProof/>
          <w:sz w:val="24"/>
          <w:szCs w:val="24"/>
        </w:rPr>
        <w:t xml:space="preserve"> [Internet]. [</w:t>
      </w:r>
      <w:r w:rsidR="0055305C">
        <w:rPr>
          <w:rFonts w:ascii="Times New Roman" w:hAnsi="Times New Roman" w:cs="Times New Roman"/>
          <w:noProof/>
          <w:sz w:val="24"/>
          <w:szCs w:val="24"/>
        </w:rPr>
        <w:t xml:space="preserve">Accessed </w:t>
      </w:r>
      <w:r w:rsidR="0055305C" w:rsidRPr="00615F08">
        <w:rPr>
          <w:rFonts w:ascii="Times New Roman" w:hAnsi="Times New Roman" w:cs="Times New Roman"/>
          <w:noProof/>
          <w:sz w:val="24"/>
          <w:szCs w:val="24"/>
        </w:rPr>
        <w:t xml:space="preserve">2019 Mar 21]. </w:t>
      </w:r>
    </w:p>
    <w:p w14:paraId="1A08F159" w14:textId="554C1F98" w:rsidR="009670B7" w:rsidRPr="009670B7" w:rsidRDefault="0055305C"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sidDel="0055305C">
        <w:rPr>
          <w:rFonts w:ascii="Times New Roman" w:hAnsi="Times New Roman" w:cs="Times New Roman"/>
          <w:noProof/>
          <w:sz w:val="24"/>
          <w:szCs w:val="24"/>
        </w:rPr>
        <w:t xml:space="preserve"> </w:t>
      </w:r>
      <w:r w:rsidR="009670B7" w:rsidRPr="009670B7">
        <w:rPr>
          <w:rFonts w:ascii="Times New Roman" w:hAnsi="Times New Roman" w:cs="Times New Roman"/>
          <w:noProof/>
          <w:sz w:val="24"/>
          <w:szCs w:val="24"/>
        </w:rPr>
        <w:t xml:space="preserve">18. </w:t>
      </w:r>
      <w:r w:rsidR="009670B7" w:rsidRPr="009670B7">
        <w:rPr>
          <w:rFonts w:ascii="Times New Roman" w:hAnsi="Times New Roman" w:cs="Times New Roman"/>
          <w:noProof/>
          <w:sz w:val="24"/>
          <w:szCs w:val="24"/>
        </w:rPr>
        <w:tab/>
        <w:t xml:space="preserve">Jordan K, Dunn KM, Lewis M, Croft P. A minimal clinically important difference was derived for the Roland-Morris Disability Questionnaire for low back pain. J Clin Epidemiol. 2006 Jan 1;59(1):45–52. </w:t>
      </w:r>
    </w:p>
    <w:p w14:paraId="641FB214" w14:textId="6464F643"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19. </w:t>
      </w:r>
      <w:r w:rsidRPr="009670B7">
        <w:rPr>
          <w:rFonts w:ascii="Times New Roman" w:hAnsi="Times New Roman" w:cs="Times New Roman"/>
          <w:noProof/>
          <w:sz w:val="24"/>
          <w:szCs w:val="24"/>
        </w:rPr>
        <w:tab/>
        <w:t xml:space="preserve">Riddle DL, Stratford PW, Binkley JM. Sensitivity to change of the Roland-Morris Back Pain Questionnaire: part 2. Phys Ther. 1998;78(11):1197–207. </w:t>
      </w:r>
    </w:p>
    <w:p w14:paraId="2EFFA5CC" w14:textId="104865B3"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20. </w:t>
      </w:r>
      <w:r w:rsidRPr="009670B7">
        <w:rPr>
          <w:rFonts w:ascii="Times New Roman" w:hAnsi="Times New Roman" w:cs="Times New Roman"/>
          <w:noProof/>
          <w:sz w:val="24"/>
          <w:szCs w:val="24"/>
        </w:rPr>
        <w:tab/>
        <w:t xml:space="preserve">Stratford PW, Binkley JM, Riddle DL, Guyatt GH. Sensitivity to change of the Roland-Morris Back Pain Questionnaire: part 1. Phys Ther. 1998;78(11):1186–96. </w:t>
      </w:r>
    </w:p>
    <w:p w14:paraId="2088589B" w14:textId="44723315"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21. </w:t>
      </w:r>
      <w:r w:rsidRPr="009670B7">
        <w:rPr>
          <w:rFonts w:ascii="Times New Roman" w:hAnsi="Times New Roman" w:cs="Times New Roman"/>
          <w:noProof/>
          <w:sz w:val="24"/>
          <w:szCs w:val="24"/>
        </w:rPr>
        <w:tab/>
        <w:t xml:space="preserve">Stratford PW, Binkley J, Solomon P, Finch E, Gill C, Moreland J. Defining the minimum level of detectable change for the Roland-Morris questionnaire. Phys Ther. 1996;76(4):358–9. </w:t>
      </w:r>
    </w:p>
    <w:p w14:paraId="29BBEF74" w14:textId="6C1E892A"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22. </w:t>
      </w:r>
      <w:r w:rsidRPr="009670B7">
        <w:rPr>
          <w:rFonts w:ascii="Times New Roman" w:hAnsi="Times New Roman" w:cs="Times New Roman"/>
          <w:noProof/>
          <w:sz w:val="24"/>
          <w:szCs w:val="24"/>
        </w:rPr>
        <w:tab/>
        <w:t xml:space="preserve">Howell ER. The association between neck pain, the Neck Disability Index and cervical ranges of motion: a narrative review. J Can Chiropr Assoc. 2011;55(3):211–21. </w:t>
      </w:r>
    </w:p>
    <w:p w14:paraId="29DDF103" w14:textId="6A80F69C"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23. </w:t>
      </w:r>
      <w:r w:rsidRPr="009670B7">
        <w:rPr>
          <w:rFonts w:ascii="Times New Roman" w:hAnsi="Times New Roman" w:cs="Times New Roman"/>
          <w:noProof/>
          <w:sz w:val="24"/>
          <w:szCs w:val="24"/>
        </w:rPr>
        <w:tab/>
        <w:t xml:space="preserve">Vernon H. The Neck Disability Index: state-of-the-art, 1991-2008. J Manipulative Physiol Ther. 2008;31(7):491–502. </w:t>
      </w:r>
    </w:p>
    <w:p w14:paraId="4273B896" w14:textId="70819D4E"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24. </w:t>
      </w:r>
      <w:r w:rsidRPr="009670B7">
        <w:rPr>
          <w:rFonts w:ascii="Times New Roman" w:hAnsi="Times New Roman" w:cs="Times New Roman"/>
          <w:noProof/>
          <w:sz w:val="24"/>
          <w:szCs w:val="24"/>
        </w:rPr>
        <w:tab/>
        <w:t xml:space="preserve">MacDermid JC, Walton DM, Avery S, Blanchard A, Etruw E, McAlpine C, et al. Measurement Properties of the Neck Disability Index: A Systematic Review. J Orthop Sport Phys Ther. 2009 May 1;39(5):400–17. </w:t>
      </w:r>
    </w:p>
    <w:p w14:paraId="6C7D2AAE" w14:textId="377CA2FC"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25. </w:t>
      </w:r>
      <w:r w:rsidRPr="009670B7">
        <w:rPr>
          <w:rFonts w:ascii="Times New Roman" w:hAnsi="Times New Roman" w:cs="Times New Roman"/>
          <w:noProof/>
          <w:sz w:val="24"/>
          <w:szCs w:val="24"/>
        </w:rPr>
        <w:tab/>
        <w:t xml:space="preserve">Jorritsma W, Dijkstra PU, de Vries GE, Geertzen JHB, Reneman MF. Detecting relevant changes and responsiveness of Neck Pain and Disability Scale and Neck Disability Index. Eur Spine J. 2012/07/03. 2012 Dec;21(12):2550–7. </w:t>
      </w:r>
    </w:p>
    <w:p w14:paraId="18DB4D66" w14:textId="43857BE2"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lastRenderedPageBreak/>
        <w:t xml:space="preserve">26. </w:t>
      </w:r>
      <w:r w:rsidRPr="009670B7">
        <w:rPr>
          <w:rFonts w:ascii="Times New Roman" w:hAnsi="Times New Roman" w:cs="Times New Roman"/>
          <w:noProof/>
          <w:sz w:val="24"/>
          <w:szCs w:val="24"/>
        </w:rPr>
        <w:tab/>
        <w:t xml:space="preserve">Cleland J, DPT OCS, Fritz J, PT P, Whitman J, PT Ds, et al. The Reliability and Construct Validity of the Neck Disability Index and Patient Specific Functional Scale in Patients With Cervical Radiculopathy. Spine (Phila Pa 1976). 2006;31(5):598–602. </w:t>
      </w:r>
    </w:p>
    <w:p w14:paraId="30350305" w14:textId="72EE5AE0"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27. </w:t>
      </w:r>
      <w:r w:rsidRPr="009670B7">
        <w:rPr>
          <w:rFonts w:ascii="Times New Roman" w:hAnsi="Times New Roman" w:cs="Times New Roman"/>
          <w:noProof/>
          <w:sz w:val="24"/>
          <w:szCs w:val="24"/>
        </w:rPr>
        <w:tab/>
        <w:t xml:space="preserve">Breckenridge JD, McAuley JH. Shoulder Pain and Disability Index (SPADI). J Physiother. 2011;57(3):197. </w:t>
      </w:r>
    </w:p>
    <w:p w14:paraId="7CC19CCC" w14:textId="3D21320B"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28. </w:t>
      </w:r>
      <w:r w:rsidRPr="009670B7">
        <w:rPr>
          <w:rFonts w:ascii="Times New Roman" w:hAnsi="Times New Roman" w:cs="Times New Roman"/>
          <w:noProof/>
          <w:sz w:val="24"/>
          <w:szCs w:val="24"/>
        </w:rPr>
        <w:tab/>
        <w:t xml:space="preserve">Roy J-S, MacDermid JC, Woodhouse LJ. Measuring shoulder function: A systematic review of four questionnaires. Arthritis Care Res (Hoboken). 2009 May 15;61(5):623–32. </w:t>
      </w:r>
    </w:p>
    <w:p w14:paraId="2AA930FA" w14:textId="3D89B4C6"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29. </w:t>
      </w:r>
      <w:r w:rsidRPr="009670B7">
        <w:rPr>
          <w:rFonts w:ascii="Times New Roman" w:hAnsi="Times New Roman" w:cs="Times New Roman"/>
          <w:noProof/>
          <w:sz w:val="24"/>
          <w:szCs w:val="24"/>
        </w:rPr>
        <w:tab/>
        <w:t xml:space="preserve">Roos EM, Lohmander LS. The Knee injury and Osteoarthritis Outcome Score (KOOS): from joint injury to osteoarthritis. Health Qual Life Outcomes. 2003 Nov 3;1:64. </w:t>
      </w:r>
    </w:p>
    <w:p w14:paraId="37C8ABD5" w14:textId="122047F0"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30. </w:t>
      </w:r>
      <w:r w:rsidRPr="009670B7">
        <w:rPr>
          <w:rFonts w:ascii="Times New Roman" w:hAnsi="Times New Roman" w:cs="Times New Roman"/>
          <w:noProof/>
          <w:sz w:val="24"/>
          <w:szCs w:val="24"/>
        </w:rPr>
        <w:tab/>
        <w:t xml:space="preserve">Ware JJ, Kosinski M, Keller SD. A 12-Item Short-Form Health Survey: construction of scales and preliminary tests of reliability and validity. Med Care. 1996;34(3):220–33. </w:t>
      </w:r>
    </w:p>
    <w:p w14:paraId="2874C905" w14:textId="7B747A61"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31. </w:t>
      </w:r>
      <w:r w:rsidRPr="009670B7">
        <w:rPr>
          <w:rFonts w:ascii="Times New Roman" w:hAnsi="Times New Roman" w:cs="Times New Roman"/>
          <w:noProof/>
          <w:sz w:val="24"/>
          <w:szCs w:val="24"/>
        </w:rPr>
        <w:tab/>
        <w:t xml:space="preserve">Finney A, Dziedzic KS, Lewis M, Healey E. Multisite peripheral joint pain: a cross-sectional study of prevalence and impact on general health, quality of life, pain intensity and consultation behaviour. BMC Musculoskelet Disord. 2017 Dec 16;18(1):535. </w:t>
      </w:r>
    </w:p>
    <w:p w14:paraId="235098F7" w14:textId="3E87E448"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32. </w:t>
      </w:r>
      <w:r w:rsidRPr="009670B7">
        <w:rPr>
          <w:rFonts w:ascii="Times New Roman" w:hAnsi="Times New Roman" w:cs="Times New Roman"/>
          <w:noProof/>
          <w:sz w:val="24"/>
          <w:szCs w:val="24"/>
        </w:rPr>
        <w:tab/>
        <w:t xml:space="preserve">Thomas E, Belcher J, McBeth J, Lacey RJ, Wilkie R, Rathod T. Pain at multiple body sites and health-related quality of life in older adults: results from the North Staffordshire Osteoarthritis Project. Rheumatology. 2014 Jun 12;53(11):2071–9. </w:t>
      </w:r>
    </w:p>
    <w:p w14:paraId="6608EE88" w14:textId="77777777"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33. </w:t>
      </w:r>
      <w:r w:rsidRPr="009670B7">
        <w:rPr>
          <w:rFonts w:ascii="Times New Roman" w:hAnsi="Times New Roman" w:cs="Times New Roman"/>
          <w:noProof/>
          <w:sz w:val="24"/>
          <w:szCs w:val="24"/>
        </w:rPr>
        <w:tab/>
        <w:t xml:space="preserve">Venables WN, Ripley BD (2002). Modern Applied Statistics with S, Fourth edition. Springer, New York. </w:t>
      </w:r>
    </w:p>
    <w:p w14:paraId="7FB3B716" w14:textId="7E48F490"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34. </w:t>
      </w:r>
      <w:r w:rsidRPr="009670B7">
        <w:rPr>
          <w:rFonts w:ascii="Times New Roman" w:hAnsi="Times New Roman" w:cs="Times New Roman"/>
          <w:noProof/>
          <w:sz w:val="24"/>
          <w:szCs w:val="24"/>
        </w:rPr>
        <w:tab/>
        <w:t xml:space="preserve">Sedaghat AR. Understanding the Minimal Clinically Important Difference (MCID) of Patient-Reported Outcome Measures. Otolaryngol Neck Surg. 2019 Jun </w:t>
      </w:r>
      <w:r w:rsidRPr="009670B7">
        <w:rPr>
          <w:rFonts w:ascii="Times New Roman" w:hAnsi="Times New Roman" w:cs="Times New Roman"/>
          <w:noProof/>
          <w:sz w:val="24"/>
          <w:szCs w:val="24"/>
        </w:rPr>
        <w:lastRenderedPageBreak/>
        <w:t xml:space="preserve">4;0194599819852604. </w:t>
      </w:r>
    </w:p>
    <w:p w14:paraId="2C83C579" w14:textId="4FDB2EA0"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35. </w:t>
      </w:r>
      <w:r w:rsidRPr="009670B7">
        <w:rPr>
          <w:rFonts w:ascii="Times New Roman" w:hAnsi="Times New Roman" w:cs="Times New Roman"/>
          <w:noProof/>
          <w:sz w:val="24"/>
          <w:szCs w:val="24"/>
        </w:rPr>
        <w:tab/>
        <w:t xml:space="preserve">Jaeschke R, Singer J, Guyatt GH. Measurement of health status. Ascertaining the minimal clinically important difference. Control Clin Trials. 1989;10(4):407–15. </w:t>
      </w:r>
    </w:p>
    <w:p w14:paraId="563B7DCF" w14:textId="269882C6"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36. </w:t>
      </w:r>
      <w:r w:rsidRPr="009670B7">
        <w:rPr>
          <w:rFonts w:ascii="Times New Roman" w:hAnsi="Times New Roman" w:cs="Times New Roman"/>
          <w:noProof/>
          <w:sz w:val="24"/>
          <w:szCs w:val="24"/>
        </w:rPr>
        <w:tab/>
        <w:t xml:space="preserve">Olsen MF, Bjerre E, Hansen MD, Tendal B, Hilden J, Hrobjartsson A. Minimum clinically important differences in chronic pain vary considerably by baseline pain and methodological factors: systematic review of empirical studies. J Clin Epidemiol. 2018;101:87-106.e2. </w:t>
      </w:r>
    </w:p>
    <w:p w14:paraId="435659A6" w14:textId="43DDA6D1"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37. </w:t>
      </w:r>
      <w:r w:rsidRPr="009670B7">
        <w:rPr>
          <w:rFonts w:ascii="Times New Roman" w:hAnsi="Times New Roman" w:cs="Times New Roman"/>
          <w:noProof/>
          <w:sz w:val="24"/>
          <w:szCs w:val="24"/>
        </w:rPr>
        <w:tab/>
        <w:t xml:space="preserve">Revicki D, Hays RD, Cella D, Sloan J. Recommended methods for determining responsiveness and minimally important differences for patient-reported outcomes. J Clin Epidemiol. 2008;61(2):102–9. </w:t>
      </w:r>
    </w:p>
    <w:p w14:paraId="62B9FAE9" w14:textId="2955854E"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38. </w:t>
      </w:r>
      <w:r w:rsidRPr="009670B7">
        <w:rPr>
          <w:rFonts w:ascii="Times New Roman" w:hAnsi="Times New Roman" w:cs="Times New Roman"/>
          <w:noProof/>
          <w:sz w:val="24"/>
          <w:szCs w:val="24"/>
        </w:rPr>
        <w:tab/>
        <w:t xml:space="preserve">Terwee CB, Bot SDM, de Boer MR, van der Windt DAWM, Knol DL, Dekker J, et al. Quality criteria were proposed for measurement properties of health status questionnaires. J Clin Epidemiol. 2007;60(1):34–42. </w:t>
      </w:r>
    </w:p>
    <w:p w14:paraId="13DBB309" w14:textId="77777777"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39. </w:t>
      </w:r>
      <w:r w:rsidRPr="009670B7">
        <w:rPr>
          <w:rFonts w:ascii="Times New Roman" w:hAnsi="Times New Roman" w:cs="Times New Roman"/>
          <w:noProof/>
          <w:sz w:val="24"/>
          <w:szCs w:val="24"/>
        </w:rPr>
        <w:tab/>
        <w:t xml:space="preserve">Fleiss, J. 1981. Statistical Methods for Rates and Proportions. John Wiley &amp; Sons. </w:t>
      </w:r>
    </w:p>
    <w:p w14:paraId="6E701371" w14:textId="686E8EED" w:rsidR="009670B7" w:rsidRPr="009670B7" w:rsidRDefault="009670B7" w:rsidP="0055305C">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40. </w:t>
      </w:r>
      <w:r w:rsidRPr="009670B7">
        <w:rPr>
          <w:rFonts w:ascii="Times New Roman" w:hAnsi="Times New Roman" w:cs="Times New Roman"/>
          <w:noProof/>
          <w:sz w:val="24"/>
          <w:szCs w:val="24"/>
        </w:rPr>
        <w:tab/>
        <w:t>National Institute for Health and Care Excellence (NICE). Measuring and valuing effects for health interventions</w:t>
      </w:r>
      <w:r w:rsidR="0055305C">
        <w:rPr>
          <w:rFonts w:ascii="Times New Roman" w:hAnsi="Times New Roman" w:cs="Times New Roman"/>
          <w:noProof/>
          <w:sz w:val="24"/>
          <w:szCs w:val="24"/>
        </w:rPr>
        <w:t xml:space="preserve">. </w:t>
      </w:r>
      <w:r w:rsidR="0055305C">
        <w:rPr>
          <w:rFonts w:ascii="Times New Roman" w:hAnsi="Times New Roman" w:cs="Times New Roman"/>
          <w:noProof/>
          <w:sz w:val="24"/>
          <w:szCs w:val="24"/>
        </w:rPr>
        <w:t xml:space="preserve">Available at: </w:t>
      </w:r>
      <w:r w:rsidR="0055305C" w:rsidRPr="00721AAA">
        <w:rPr>
          <w:rFonts w:ascii="Times New Roman" w:hAnsi="Times New Roman" w:cs="Times New Roman"/>
          <w:noProof/>
          <w:sz w:val="24"/>
          <w:szCs w:val="24"/>
        </w:rPr>
        <w:t>https://www.nice.org.uk/process/pmg20/chapter/incorporating-economic-evaluation</w:t>
      </w:r>
      <w:r w:rsidR="0055305C" w:rsidRPr="00615F08">
        <w:rPr>
          <w:rFonts w:ascii="Times New Roman" w:hAnsi="Times New Roman" w:cs="Times New Roman"/>
          <w:noProof/>
          <w:sz w:val="24"/>
          <w:szCs w:val="24"/>
        </w:rPr>
        <w:t xml:space="preserve"> [Internet]. [</w:t>
      </w:r>
      <w:r w:rsidR="0055305C">
        <w:rPr>
          <w:rFonts w:ascii="Times New Roman" w:hAnsi="Times New Roman" w:cs="Times New Roman"/>
          <w:noProof/>
          <w:sz w:val="24"/>
          <w:szCs w:val="24"/>
        </w:rPr>
        <w:t xml:space="preserve">Accessed </w:t>
      </w:r>
      <w:r w:rsidR="0055305C" w:rsidRPr="00615F08">
        <w:rPr>
          <w:rFonts w:ascii="Times New Roman" w:hAnsi="Times New Roman" w:cs="Times New Roman"/>
          <w:noProof/>
          <w:sz w:val="24"/>
          <w:szCs w:val="24"/>
        </w:rPr>
        <w:t>2019 Jul 22].</w:t>
      </w:r>
    </w:p>
    <w:p w14:paraId="5CA6D893" w14:textId="746DFBA7"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41. </w:t>
      </w:r>
      <w:r w:rsidRPr="009670B7">
        <w:rPr>
          <w:rFonts w:ascii="Times New Roman" w:hAnsi="Times New Roman" w:cs="Times New Roman"/>
          <w:noProof/>
          <w:sz w:val="24"/>
          <w:szCs w:val="24"/>
        </w:rPr>
        <w:tab/>
        <w:t xml:space="preserve">Payakachat N, Ali MM, Tilford JM. Can The EQ-5D Detect Meaningful Change? A Systematic Review. Pharmacoeconomics. 2015 Nov;33(11):1137–54. </w:t>
      </w:r>
    </w:p>
    <w:p w14:paraId="07CF696E" w14:textId="10B837C4"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42. </w:t>
      </w:r>
      <w:r w:rsidRPr="009670B7">
        <w:rPr>
          <w:rFonts w:ascii="Times New Roman" w:hAnsi="Times New Roman" w:cs="Times New Roman"/>
          <w:noProof/>
          <w:sz w:val="24"/>
          <w:szCs w:val="24"/>
        </w:rPr>
        <w:tab/>
        <w:t xml:space="preserve">Marti C, Hensler S, Herren DB, Niedermann K, Marks M. Measurement properties of the EuroQoL EQ-5D-5L to assess quality of life in patients undergoing carpal tunnel release. J Hand Surg. 2016 Jul 18;41(9):957–62. </w:t>
      </w:r>
    </w:p>
    <w:p w14:paraId="3B0C5543" w14:textId="06402642"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43. </w:t>
      </w:r>
      <w:r w:rsidRPr="009670B7">
        <w:rPr>
          <w:rFonts w:ascii="Times New Roman" w:hAnsi="Times New Roman" w:cs="Times New Roman"/>
          <w:noProof/>
          <w:sz w:val="24"/>
          <w:szCs w:val="24"/>
        </w:rPr>
        <w:tab/>
        <w:t>Lin F-J, Samp J, Munoz A, Wong PS, Pickard AS. Evaluating change using patient-reported outcome measures in knee replacement: the complementary nature of the EQ-</w:t>
      </w:r>
      <w:r w:rsidRPr="009670B7">
        <w:rPr>
          <w:rFonts w:ascii="Times New Roman" w:hAnsi="Times New Roman" w:cs="Times New Roman"/>
          <w:noProof/>
          <w:sz w:val="24"/>
          <w:szCs w:val="24"/>
        </w:rPr>
        <w:lastRenderedPageBreak/>
        <w:t xml:space="preserve">5D index and VAS scores. Eur J Health Econ. 2014;15(5):489–96. </w:t>
      </w:r>
    </w:p>
    <w:p w14:paraId="632FBCEF" w14:textId="66087376"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44. </w:t>
      </w:r>
      <w:r w:rsidRPr="009670B7">
        <w:rPr>
          <w:rFonts w:ascii="Times New Roman" w:hAnsi="Times New Roman" w:cs="Times New Roman"/>
          <w:noProof/>
          <w:sz w:val="24"/>
          <w:szCs w:val="24"/>
        </w:rPr>
        <w:tab/>
        <w:t xml:space="preserve">Soer R, Reneman MF, Speijer BLGN, Coppes MH, Vroomen PCAJ. Clinimetric properties of the EuroQol-5D in patients with chronic low back pain. Spine J. 2012;12(11):1035–9. </w:t>
      </w:r>
    </w:p>
    <w:p w14:paraId="3970159C" w14:textId="284E3282"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45. </w:t>
      </w:r>
      <w:r w:rsidRPr="009670B7">
        <w:rPr>
          <w:rFonts w:ascii="Times New Roman" w:hAnsi="Times New Roman" w:cs="Times New Roman"/>
          <w:noProof/>
          <w:sz w:val="24"/>
          <w:szCs w:val="24"/>
        </w:rPr>
        <w:tab/>
        <w:t>Jayadevappa R, Cook R, Chhatre S. Minimal important difference to infer changes in health-related quality of</w:t>
      </w:r>
      <w:r w:rsidR="0096032C">
        <w:rPr>
          <w:rFonts w:ascii="Times New Roman" w:hAnsi="Times New Roman" w:cs="Times New Roman"/>
          <w:noProof/>
          <w:sz w:val="24"/>
          <w:szCs w:val="24"/>
        </w:rPr>
        <w:t xml:space="preserve"> life - </w:t>
      </w:r>
      <w:bookmarkStart w:id="0" w:name="_GoBack"/>
      <w:bookmarkEnd w:id="0"/>
      <w:r w:rsidRPr="009670B7">
        <w:rPr>
          <w:rFonts w:ascii="Times New Roman" w:hAnsi="Times New Roman" w:cs="Times New Roman"/>
          <w:noProof/>
          <w:sz w:val="24"/>
          <w:szCs w:val="24"/>
        </w:rPr>
        <w:t xml:space="preserve">a systematic review. J Clin Epidemiol. 2017 Sep 1;89:188–98. </w:t>
      </w:r>
    </w:p>
    <w:p w14:paraId="1BF9D405" w14:textId="5AF46CC8"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70B7">
        <w:rPr>
          <w:rFonts w:ascii="Times New Roman" w:hAnsi="Times New Roman" w:cs="Times New Roman"/>
          <w:noProof/>
          <w:sz w:val="24"/>
          <w:szCs w:val="24"/>
        </w:rPr>
        <w:t xml:space="preserve">46. </w:t>
      </w:r>
      <w:r w:rsidRPr="009670B7">
        <w:rPr>
          <w:rFonts w:ascii="Times New Roman" w:hAnsi="Times New Roman" w:cs="Times New Roman"/>
          <w:noProof/>
          <w:sz w:val="24"/>
          <w:szCs w:val="24"/>
        </w:rPr>
        <w:tab/>
        <w:t xml:space="preserve">Çelik D, Çoban Ö, Kılıçoğlu Ö. Minimal clinically important difference of commonly used hip-, knee-, foot-, and ankle-specific questionnaires: a systematic review. J Clin Epidemiol. 2019;113:44–57. </w:t>
      </w:r>
    </w:p>
    <w:p w14:paraId="5A478F31" w14:textId="76ADCA53" w:rsidR="009670B7" w:rsidRPr="009670B7" w:rsidRDefault="009670B7" w:rsidP="009670B7">
      <w:pPr>
        <w:widowControl w:val="0"/>
        <w:autoSpaceDE w:val="0"/>
        <w:autoSpaceDN w:val="0"/>
        <w:adjustRightInd w:val="0"/>
        <w:spacing w:after="0" w:line="480" w:lineRule="auto"/>
        <w:ind w:left="640" w:hanging="640"/>
        <w:rPr>
          <w:rFonts w:ascii="Times New Roman" w:hAnsi="Times New Roman" w:cs="Times New Roman"/>
          <w:noProof/>
          <w:sz w:val="24"/>
        </w:rPr>
      </w:pPr>
      <w:r w:rsidRPr="009670B7">
        <w:rPr>
          <w:rFonts w:ascii="Times New Roman" w:hAnsi="Times New Roman" w:cs="Times New Roman"/>
          <w:noProof/>
          <w:sz w:val="24"/>
          <w:szCs w:val="24"/>
        </w:rPr>
        <w:t xml:space="preserve">47. </w:t>
      </w:r>
      <w:r w:rsidRPr="009670B7">
        <w:rPr>
          <w:rFonts w:ascii="Times New Roman" w:hAnsi="Times New Roman" w:cs="Times New Roman"/>
          <w:noProof/>
          <w:sz w:val="24"/>
          <w:szCs w:val="24"/>
        </w:rPr>
        <w:tab/>
        <w:t>Keele University. Keele START MSK Tool</w:t>
      </w:r>
      <w:r w:rsidR="0055305C">
        <w:rPr>
          <w:rFonts w:ascii="Times New Roman" w:hAnsi="Times New Roman" w:cs="Times New Roman"/>
          <w:noProof/>
          <w:sz w:val="24"/>
          <w:szCs w:val="24"/>
        </w:rPr>
        <w:t xml:space="preserve">. Available at: </w:t>
      </w:r>
      <w:hyperlink r:id="rId9" w:history="1">
        <w:r w:rsidR="0055305C" w:rsidRPr="007A0E61">
          <w:rPr>
            <w:rFonts w:ascii="Times New Roman" w:hAnsi="Times New Roman" w:cs="Times New Roman"/>
            <w:noProof/>
            <w:sz w:val="24"/>
            <w:szCs w:val="24"/>
          </w:rPr>
          <w:t>https://www.keele.ac.uk/startmsk/</w:t>
        </w:r>
      </w:hyperlink>
      <w:r w:rsidR="0055305C" w:rsidRPr="007A0E61">
        <w:rPr>
          <w:rFonts w:ascii="Times New Roman" w:hAnsi="Times New Roman" w:cs="Times New Roman"/>
          <w:noProof/>
          <w:sz w:val="24"/>
          <w:szCs w:val="24"/>
        </w:rPr>
        <w:t>.</w:t>
      </w:r>
      <w:r w:rsidRPr="009670B7">
        <w:rPr>
          <w:rFonts w:ascii="Times New Roman" w:hAnsi="Times New Roman" w:cs="Times New Roman"/>
          <w:noProof/>
          <w:sz w:val="24"/>
          <w:szCs w:val="24"/>
        </w:rPr>
        <w:t xml:space="preserve"> [Internet]. 2017 [cited 2020 May 31]. </w:t>
      </w:r>
    </w:p>
    <w:p w14:paraId="6218D2F1" w14:textId="05EE8933" w:rsidR="0004794D" w:rsidRDefault="00FF2BD8">
      <w:pPr>
        <w:widowControl w:val="0"/>
        <w:autoSpaceDE w:val="0"/>
        <w:autoSpaceDN w:val="0"/>
        <w:adjustRightInd w:val="0"/>
        <w:spacing w:after="0" w:line="480" w:lineRule="auto"/>
        <w:ind w:left="640" w:hanging="640"/>
        <w:rPr>
          <w:rFonts w:ascii="Times New Roman" w:hAnsi="Times New Roman" w:cs="Times New Roman"/>
          <w:b/>
          <w:noProof/>
          <w:sz w:val="24"/>
          <w:szCs w:val="24"/>
        </w:rPr>
      </w:pPr>
      <w:r>
        <w:rPr>
          <w:rFonts w:ascii="Times New Roman" w:hAnsi="Times New Roman" w:cs="Times New Roman"/>
          <w:noProof/>
          <w:sz w:val="24"/>
          <w:szCs w:val="24"/>
        </w:rPr>
        <w:fldChar w:fldCharType="end"/>
      </w:r>
      <w:r w:rsidR="00615F08" w:rsidRPr="00615F08">
        <w:rPr>
          <w:rFonts w:ascii="Times New Roman" w:hAnsi="Times New Roman" w:cs="Times New Roman"/>
          <w:noProof/>
          <w:sz w:val="24"/>
          <w:szCs w:val="24"/>
        </w:rPr>
        <w:t xml:space="preserve"> </w:t>
      </w:r>
    </w:p>
    <w:p w14:paraId="7B6FE3FF" w14:textId="77777777" w:rsidR="00887AD8" w:rsidRPr="0071718C" w:rsidRDefault="00887AD8" w:rsidP="002A085A">
      <w:pPr>
        <w:spacing w:line="480" w:lineRule="auto"/>
        <w:jc w:val="both"/>
        <w:rPr>
          <w:rFonts w:ascii="Times New Roman" w:hAnsi="Times New Roman" w:cs="Times New Roman"/>
          <w:noProof/>
          <w:sz w:val="24"/>
          <w:szCs w:val="24"/>
        </w:rPr>
      </w:pPr>
    </w:p>
    <w:p w14:paraId="3035C04E" w14:textId="41CE24CA" w:rsidR="00C72B5B" w:rsidRDefault="00C72B5B" w:rsidP="00EE52D9">
      <w:pPr>
        <w:pStyle w:val="NoSpacing"/>
        <w:spacing w:line="480" w:lineRule="auto"/>
        <w:jc w:val="both"/>
        <w:rPr>
          <w:rFonts w:ascii="Times New Roman" w:hAnsi="Times New Roman" w:cs="Times New Roman"/>
          <w:b/>
          <w:noProof/>
          <w:sz w:val="24"/>
          <w:szCs w:val="24"/>
        </w:rPr>
        <w:sectPr w:rsidR="00C72B5B" w:rsidSect="002A6C71">
          <w:headerReference w:type="default" r:id="rId10"/>
          <w:pgSz w:w="11906" w:h="16838"/>
          <w:pgMar w:top="1440" w:right="1440" w:bottom="1440" w:left="1440" w:header="708" w:footer="708" w:gutter="0"/>
          <w:cols w:space="708"/>
          <w:docGrid w:linePitch="360"/>
        </w:sectPr>
      </w:pPr>
    </w:p>
    <w:p w14:paraId="7C84836A" w14:textId="172E228B" w:rsidR="002A6C71" w:rsidRDefault="002A6C71" w:rsidP="002A6C71">
      <w:pPr>
        <w:pStyle w:val="NoSpacing"/>
        <w:jc w:val="center"/>
        <w:rPr>
          <w:rFonts w:ascii="Times New Roman" w:hAnsi="Times New Roman" w:cs="Times New Roman"/>
          <w:b/>
          <w:noProof/>
          <w:sz w:val="24"/>
          <w:szCs w:val="24"/>
        </w:rPr>
      </w:pPr>
      <w:r w:rsidRPr="00DA020D">
        <w:rPr>
          <w:rFonts w:ascii="Times New Roman" w:hAnsi="Times New Roman" w:cs="Times New Roman"/>
          <w:b/>
          <w:noProof/>
          <w:sz w:val="24"/>
          <w:szCs w:val="24"/>
        </w:rPr>
        <w:lastRenderedPageBreak/>
        <w:t>Table 1. Patient Characteristics</w:t>
      </w:r>
      <w:r w:rsidR="0059267A">
        <w:rPr>
          <w:rFonts w:ascii="Times New Roman" w:hAnsi="Times New Roman" w:cs="Times New Roman"/>
          <w:b/>
          <w:noProof/>
          <w:sz w:val="24"/>
          <w:szCs w:val="24"/>
        </w:rPr>
        <w:t xml:space="preserve"> and PROM Scores by Pain Site</w:t>
      </w:r>
    </w:p>
    <w:tbl>
      <w:tblPr>
        <w:tblW w:w="13609" w:type="dxa"/>
        <w:jc w:val="center"/>
        <w:tblBorders>
          <w:top w:val="single" w:sz="4" w:space="0" w:color="auto"/>
          <w:bottom w:val="single" w:sz="4" w:space="0" w:color="auto"/>
        </w:tblBorders>
        <w:tblLayout w:type="fixed"/>
        <w:tblLook w:val="04A0" w:firstRow="1" w:lastRow="0" w:firstColumn="1" w:lastColumn="0" w:noHBand="0" w:noVBand="1"/>
      </w:tblPr>
      <w:tblGrid>
        <w:gridCol w:w="2274"/>
        <w:gridCol w:w="1276"/>
        <w:gridCol w:w="1417"/>
        <w:gridCol w:w="1701"/>
        <w:gridCol w:w="1701"/>
        <w:gridCol w:w="1701"/>
        <w:gridCol w:w="1701"/>
        <w:gridCol w:w="1838"/>
      </w:tblGrid>
      <w:tr w:rsidR="00594813" w:rsidRPr="0096355C" w14:paraId="0F1E2D9C" w14:textId="77777777" w:rsidTr="009639B5">
        <w:trPr>
          <w:trHeight w:val="296"/>
          <w:jc w:val="center"/>
        </w:trPr>
        <w:tc>
          <w:tcPr>
            <w:tcW w:w="2274" w:type="dxa"/>
            <w:tcBorders>
              <w:top w:val="single" w:sz="4" w:space="0" w:color="auto"/>
              <w:left w:val="single" w:sz="4" w:space="0" w:color="auto"/>
              <w:bottom w:val="single" w:sz="4" w:space="0" w:color="auto"/>
            </w:tcBorders>
            <w:shd w:val="clear" w:color="auto" w:fill="auto"/>
            <w:vAlign w:val="center"/>
            <w:hideMark/>
          </w:tcPr>
          <w:p w14:paraId="149DA550" w14:textId="77777777" w:rsidR="00594813" w:rsidRPr="0096355C" w:rsidRDefault="00594813" w:rsidP="00594813">
            <w:pPr>
              <w:pStyle w:val="NoSpacing"/>
              <w:jc w:val="center"/>
              <w:rPr>
                <w:rFonts w:ascii="Times New Roman" w:hAnsi="Times New Roman" w:cs="Times New Roman"/>
                <w:b/>
                <w:sz w:val="20"/>
                <w:szCs w:val="20"/>
              </w:rPr>
            </w:pPr>
            <w:bookmarkStart w:id="1" w:name="_Hlk8798861"/>
            <w:r w:rsidRPr="0096355C">
              <w:rPr>
                <w:rFonts w:ascii="Times New Roman" w:hAnsi="Times New Roman" w:cs="Times New Roman"/>
                <w:b/>
                <w:sz w:val="20"/>
                <w:szCs w:val="20"/>
              </w:rPr>
              <w:t>Characteristic</w:t>
            </w:r>
          </w:p>
        </w:tc>
        <w:tc>
          <w:tcPr>
            <w:tcW w:w="1276" w:type="dxa"/>
            <w:tcBorders>
              <w:top w:val="single" w:sz="4" w:space="0" w:color="auto"/>
              <w:bottom w:val="single" w:sz="4" w:space="0" w:color="auto"/>
              <w:right w:val="single" w:sz="4" w:space="0" w:color="auto"/>
            </w:tcBorders>
            <w:shd w:val="clear" w:color="auto" w:fill="auto"/>
            <w:vAlign w:val="center"/>
            <w:hideMark/>
          </w:tcPr>
          <w:p w14:paraId="7EDBA210" w14:textId="77777777" w:rsidR="00594813" w:rsidRPr="0096355C" w:rsidRDefault="00594813" w:rsidP="00594813">
            <w:pPr>
              <w:pStyle w:val="NoSpacing"/>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tcBorders>
            <w:shd w:val="clear" w:color="auto" w:fill="auto"/>
            <w:vAlign w:val="center"/>
            <w:hideMark/>
          </w:tcPr>
          <w:p w14:paraId="4AE532E7" w14:textId="77777777" w:rsidR="00594813" w:rsidRPr="0096355C" w:rsidRDefault="00594813" w:rsidP="00594813">
            <w:pPr>
              <w:pStyle w:val="NoSpacing"/>
              <w:jc w:val="right"/>
              <w:rPr>
                <w:rFonts w:ascii="Times New Roman" w:hAnsi="Times New Roman" w:cs="Times New Roman"/>
                <w:b/>
                <w:sz w:val="20"/>
                <w:szCs w:val="20"/>
              </w:rPr>
            </w:pPr>
            <w:r w:rsidRPr="0096355C">
              <w:rPr>
                <w:rFonts w:ascii="Times New Roman" w:hAnsi="Times New Roman" w:cs="Times New Roman"/>
                <w:b/>
                <w:sz w:val="20"/>
                <w:szCs w:val="20"/>
              </w:rPr>
              <w:t>All (n=524)</w:t>
            </w:r>
          </w:p>
        </w:tc>
        <w:tc>
          <w:tcPr>
            <w:tcW w:w="1701" w:type="dxa"/>
            <w:tcBorders>
              <w:top w:val="single" w:sz="4" w:space="0" w:color="auto"/>
              <w:bottom w:val="single" w:sz="4" w:space="0" w:color="auto"/>
            </w:tcBorders>
            <w:vAlign w:val="center"/>
          </w:tcPr>
          <w:p w14:paraId="5A6ED227" w14:textId="1EB312E5" w:rsidR="00594813" w:rsidRPr="0096355C" w:rsidRDefault="00594813" w:rsidP="00594813">
            <w:pPr>
              <w:pStyle w:val="NoSpacing"/>
              <w:jc w:val="right"/>
              <w:rPr>
                <w:rFonts w:ascii="Times New Roman" w:hAnsi="Times New Roman" w:cs="Times New Roman"/>
                <w:b/>
                <w:sz w:val="20"/>
                <w:szCs w:val="20"/>
              </w:rPr>
            </w:pPr>
            <w:r w:rsidRPr="0096355C">
              <w:rPr>
                <w:rFonts w:ascii="Times New Roman" w:hAnsi="Times New Roman" w:cs="Times New Roman"/>
                <w:b/>
                <w:sz w:val="20"/>
                <w:szCs w:val="20"/>
              </w:rPr>
              <w:t>Low Back (n=155)</w:t>
            </w:r>
          </w:p>
        </w:tc>
        <w:tc>
          <w:tcPr>
            <w:tcW w:w="1701" w:type="dxa"/>
            <w:tcBorders>
              <w:top w:val="single" w:sz="4" w:space="0" w:color="auto"/>
              <w:bottom w:val="single" w:sz="4" w:space="0" w:color="auto"/>
            </w:tcBorders>
            <w:vAlign w:val="center"/>
          </w:tcPr>
          <w:p w14:paraId="6C49039C" w14:textId="7A9F7F6C" w:rsidR="00594813" w:rsidRPr="0096355C" w:rsidRDefault="00594813" w:rsidP="00594813">
            <w:pPr>
              <w:pStyle w:val="NoSpacing"/>
              <w:jc w:val="right"/>
              <w:rPr>
                <w:rFonts w:ascii="Times New Roman" w:hAnsi="Times New Roman" w:cs="Times New Roman"/>
                <w:b/>
                <w:sz w:val="20"/>
                <w:szCs w:val="20"/>
              </w:rPr>
            </w:pPr>
            <w:r w:rsidRPr="0096355C">
              <w:rPr>
                <w:rFonts w:ascii="Times New Roman" w:hAnsi="Times New Roman" w:cs="Times New Roman"/>
                <w:b/>
                <w:sz w:val="20"/>
                <w:szCs w:val="20"/>
              </w:rPr>
              <w:t>Neck (n=59)</w:t>
            </w:r>
          </w:p>
        </w:tc>
        <w:tc>
          <w:tcPr>
            <w:tcW w:w="1701" w:type="dxa"/>
            <w:tcBorders>
              <w:top w:val="single" w:sz="4" w:space="0" w:color="auto"/>
              <w:bottom w:val="single" w:sz="4" w:space="0" w:color="auto"/>
            </w:tcBorders>
            <w:vAlign w:val="center"/>
          </w:tcPr>
          <w:p w14:paraId="6C593D87" w14:textId="6A60DB0B" w:rsidR="00594813" w:rsidRPr="0096355C" w:rsidRDefault="00594813" w:rsidP="00594813">
            <w:pPr>
              <w:pStyle w:val="NoSpacing"/>
              <w:jc w:val="right"/>
              <w:rPr>
                <w:rFonts w:ascii="Times New Roman" w:hAnsi="Times New Roman" w:cs="Times New Roman"/>
                <w:b/>
                <w:sz w:val="20"/>
                <w:szCs w:val="20"/>
              </w:rPr>
            </w:pPr>
            <w:r w:rsidRPr="0096355C">
              <w:rPr>
                <w:rFonts w:ascii="Times New Roman" w:hAnsi="Times New Roman" w:cs="Times New Roman"/>
                <w:b/>
                <w:sz w:val="20"/>
                <w:szCs w:val="20"/>
              </w:rPr>
              <w:t>Shoulder (n=124)</w:t>
            </w:r>
          </w:p>
        </w:tc>
        <w:tc>
          <w:tcPr>
            <w:tcW w:w="1701" w:type="dxa"/>
            <w:tcBorders>
              <w:top w:val="single" w:sz="4" w:space="0" w:color="auto"/>
              <w:bottom w:val="single" w:sz="4" w:space="0" w:color="auto"/>
            </w:tcBorders>
            <w:vAlign w:val="center"/>
          </w:tcPr>
          <w:p w14:paraId="55DEA1C2" w14:textId="12EA8AEF" w:rsidR="00594813" w:rsidRPr="0096355C" w:rsidRDefault="00594813" w:rsidP="00594813">
            <w:pPr>
              <w:pStyle w:val="NoSpacing"/>
              <w:jc w:val="right"/>
              <w:rPr>
                <w:rFonts w:ascii="Times New Roman" w:hAnsi="Times New Roman" w:cs="Times New Roman"/>
                <w:b/>
                <w:sz w:val="20"/>
                <w:szCs w:val="20"/>
              </w:rPr>
            </w:pPr>
            <w:r w:rsidRPr="0096355C">
              <w:rPr>
                <w:rFonts w:ascii="Times New Roman" w:hAnsi="Times New Roman" w:cs="Times New Roman"/>
                <w:b/>
                <w:sz w:val="20"/>
                <w:szCs w:val="20"/>
              </w:rPr>
              <w:t>Knee (n=144)</w:t>
            </w:r>
          </w:p>
        </w:tc>
        <w:tc>
          <w:tcPr>
            <w:tcW w:w="1838" w:type="dxa"/>
            <w:tcBorders>
              <w:top w:val="single" w:sz="4" w:space="0" w:color="auto"/>
              <w:bottom w:val="single" w:sz="4" w:space="0" w:color="auto"/>
              <w:right w:val="single" w:sz="4" w:space="0" w:color="auto"/>
            </w:tcBorders>
            <w:vAlign w:val="center"/>
          </w:tcPr>
          <w:p w14:paraId="176B6C15" w14:textId="6E970F5A" w:rsidR="00594813" w:rsidRPr="0096355C" w:rsidRDefault="00594813" w:rsidP="00594813">
            <w:pPr>
              <w:pStyle w:val="NoSpacing"/>
              <w:jc w:val="right"/>
              <w:rPr>
                <w:rFonts w:ascii="Times New Roman" w:hAnsi="Times New Roman" w:cs="Times New Roman"/>
                <w:b/>
                <w:sz w:val="20"/>
                <w:szCs w:val="20"/>
              </w:rPr>
            </w:pPr>
            <w:r w:rsidRPr="0096355C">
              <w:rPr>
                <w:rFonts w:ascii="Times New Roman" w:hAnsi="Times New Roman" w:cs="Times New Roman"/>
                <w:b/>
                <w:sz w:val="20"/>
                <w:szCs w:val="20"/>
              </w:rPr>
              <w:t>Multi-Site (n=42)</w:t>
            </w:r>
          </w:p>
        </w:tc>
      </w:tr>
      <w:tr w:rsidR="00594813" w:rsidRPr="000036D5" w14:paraId="6E060891" w14:textId="77777777" w:rsidTr="009639B5">
        <w:trPr>
          <w:trHeight w:val="283"/>
          <w:jc w:val="center"/>
        </w:trPr>
        <w:tc>
          <w:tcPr>
            <w:tcW w:w="2274" w:type="dxa"/>
            <w:tcBorders>
              <w:top w:val="single" w:sz="4" w:space="0" w:color="auto"/>
              <w:left w:val="single" w:sz="4" w:space="0" w:color="auto"/>
              <w:bottom w:val="single" w:sz="4" w:space="0" w:color="auto"/>
            </w:tcBorders>
            <w:shd w:val="clear" w:color="auto" w:fill="auto"/>
            <w:vAlign w:val="center"/>
            <w:hideMark/>
          </w:tcPr>
          <w:p w14:paraId="13C87432" w14:textId="77777777" w:rsidR="00594813" w:rsidRPr="000036D5" w:rsidRDefault="00594813" w:rsidP="00594813">
            <w:pPr>
              <w:pStyle w:val="NoSpacing"/>
              <w:jc w:val="center"/>
              <w:rPr>
                <w:rFonts w:ascii="Times New Roman" w:hAnsi="Times New Roman" w:cs="Times New Roman"/>
                <w:sz w:val="20"/>
                <w:szCs w:val="20"/>
              </w:rPr>
            </w:pPr>
            <w:r w:rsidRPr="000036D5">
              <w:rPr>
                <w:rFonts w:ascii="Times New Roman" w:hAnsi="Times New Roman" w:cs="Times New Roman"/>
                <w:sz w:val="20"/>
                <w:szCs w:val="20"/>
              </w:rPr>
              <w:t>Age (Years)</w:t>
            </w:r>
          </w:p>
        </w:tc>
        <w:tc>
          <w:tcPr>
            <w:tcW w:w="1276" w:type="dxa"/>
            <w:tcBorders>
              <w:top w:val="single" w:sz="4" w:space="0" w:color="auto"/>
              <w:bottom w:val="single" w:sz="4" w:space="0" w:color="auto"/>
              <w:right w:val="single" w:sz="4" w:space="0" w:color="auto"/>
            </w:tcBorders>
            <w:shd w:val="clear" w:color="auto" w:fill="auto"/>
            <w:vAlign w:val="center"/>
            <w:hideMark/>
          </w:tcPr>
          <w:p w14:paraId="0C1E5053" w14:textId="77777777" w:rsidR="00594813" w:rsidRPr="000036D5" w:rsidRDefault="00594813" w:rsidP="00594813">
            <w:pPr>
              <w:pStyle w:val="NoSpacing"/>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tcBorders>
            <w:shd w:val="clear" w:color="auto" w:fill="auto"/>
            <w:vAlign w:val="center"/>
            <w:hideMark/>
          </w:tcPr>
          <w:p w14:paraId="01FC2F70" w14:textId="77777777" w:rsidR="00594813" w:rsidRPr="000036D5" w:rsidRDefault="00594813" w:rsidP="00594813">
            <w:pPr>
              <w:pStyle w:val="NoSpacing"/>
              <w:jc w:val="right"/>
              <w:rPr>
                <w:rFonts w:ascii="Times New Roman" w:hAnsi="Times New Roman" w:cs="Times New Roman"/>
                <w:sz w:val="20"/>
                <w:szCs w:val="20"/>
              </w:rPr>
            </w:pPr>
            <w:r w:rsidRPr="000036D5">
              <w:rPr>
                <w:rStyle w:val="gd15mcfceub"/>
                <w:rFonts w:ascii="Times New Roman" w:hAnsi="Times New Roman" w:cs="Times New Roman"/>
                <w:color w:val="000000"/>
                <w:sz w:val="20"/>
                <w:szCs w:val="20"/>
                <w:bdr w:val="none" w:sz="0" w:space="0" w:color="auto" w:frame="1"/>
              </w:rPr>
              <w:t>61.14 (14.75)</w:t>
            </w:r>
          </w:p>
        </w:tc>
        <w:tc>
          <w:tcPr>
            <w:tcW w:w="1701" w:type="dxa"/>
            <w:tcBorders>
              <w:top w:val="single" w:sz="4" w:space="0" w:color="auto"/>
              <w:bottom w:val="single" w:sz="4" w:space="0" w:color="auto"/>
            </w:tcBorders>
          </w:tcPr>
          <w:p w14:paraId="38649DFC" w14:textId="56E89170" w:rsidR="00594813" w:rsidRPr="000036D5" w:rsidRDefault="00594813" w:rsidP="00594813">
            <w:pPr>
              <w:pStyle w:val="NoSpacing"/>
              <w:jc w:val="right"/>
              <w:rPr>
                <w:rStyle w:val="gd15mcfceub"/>
                <w:rFonts w:ascii="Times New Roman" w:hAnsi="Times New Roman" w:cs="Times New Roman"/>
                <w:color w:val="000000"/>
                <w:sz w:val="20"/>
                <w:szCs w:val="20"/>
                <w:bdr w:val="none" w:sz="0" w:space="0" w:color="auto" w:frame="1"/>
              </w:rPr>
            </w:pPr>
            <w:r w:rsidRPr="000036D5">
              <w:rPr>
                <w:rStyle w:val="gd15mcfceub"/>
                <w:rFonts w:ascii="Times New Roman" w:hAnsi="Times New Roman" w:cs="Times New Roman"/>
                <w:color w:val="000000"/>
                <w:sz w:val="20"/>
                <w:szCs w:val="20"/>
                <w:bdr w:val="none" w:sz="0" w:space="0" w:color="auto" w:frame="1"/>
              </w:rPr>
              <w:t>58.06 (15.57)</w:t>
            </w:r>
          </w:p>
        </w:tc>
        <w:tc>
          <w:tcPr>
            <w:tcW w:w="1701" w:type="dxa"/>
            <w:tcBorders>
              <w:top w:val="single" w:sz="4" w:space="0" w:color="auto"/>
              <w:bottom w:val="single" w:sz="4" w:space="0" w:color="auto"/>
            </w:tcBorders>
          </w:tcPr>
          <w:p w14:paraId="021F3860" w14:textId="53E84912" w:rsidR="00594813" w:rsidRPr="000036D5" w:rsidRDefault="00594813" w:rsidP="00594813">
            <w:pPr>
              <w:pStyle w:val="NoSpacing"/>
              <w:jc w:val="right"/>
              <w:rPr>
                <w:rStyle w:val="gd15mcfceub"/>
                <w:rFonts w:ascii="Times New Roman" w:hAnsi="Times New Roman" w:cs="Times New Roman"/>
                <w:color w:val="000000"/>
                <w:sz w:val="20"/>
                <w:szCs w:val="20"/>
                <w:bdr w:val="none" w:sz="0" w:space="0" w:color="auto" w:frame="1"/>
              </w:rPr>
            </w:pPr>
            <w:r w:rsidRPr="000036D5">
              <w:rPr>
                <w:rStyle w:val="gd15mcfceub"/>
                <w:rFonts w:ascii="Times New Roman" w:hAnsi="Times New Roman" w:cs="Times New Roman"/>
                <w:color w:val="000000"/>
                <w:sz w:val="20"/>
                <w:szCs w:val="20"/>
                <w:bdr w:val="none" w:sz="0" w:space="0" w:color="auto" w:frame="1"/>
              </w:rPr>
              <w:t>58.75 (16.91)</w:t>
            </w:r>
          </w:p>
        </w:tc>
        <w:tc>
          <w:tcPr>
            <w:tcW w:w="1701" w:type="dxa"/>
            <w:tcBorders>
              <w:top w:val="single" w:sz="4" w:space="0" w:color="auto"/>
              <w:bottom w:val="single" w:sz="4" w:space="0" w:color="auto"/>
            </w:tcBorders>
          </w:tcPr>
          <w:p w14:paraId="57502CBF" w14:textId="20C0368D" w:rsidR="00594813" w:rsidRPr="000036D5" w:rsidRDefault="00594813" w:rsidP="00594813">
            <w:pPr>
              <w:pStyle w:val="NoSpacing"/>
              <w:jc w:val="right"/>
              <w:rPr>
                <w:rStyle w:val="gd15mcfceub"/>
                <w:rFonts w:ascii="Times New Roman" w:hAnsi="Times New Roman" w:cs="Times New Roman"/>
                <w:color w:val="000000"/>
                <w:sz w:val="20"/>
                <w:szCs w:val="20"/>
                <w:bdr w:val="none" w:sz="0" w:space="0" w:color="auto" w:frame="1"/>
              </w:rPr>
            </w:pPr>
            <w:r w:rsidRPr="000036D5">
              <w:rPr>
                <w:rStyle w:val="gd15mcfceub"/>
                <w:rFonts w:ascii="Times New Roman" w:hAnsi="Times New Roman" w:cs="Times New Roman"/>
                <w:color w:val="000000"/>
                <w:sz w:val="20"/>
                <w:szCs w:val="20"/>
                <w:bdr w:val="none" w:sz="0" w:space="0" w:color="auto" w:frame="1"/>
              </w:rPr>
              <w:t>62.03 (13.86)</w:t>
            </w:r>
          </w:p>
        </w:tc>
        <w:tc>
          <w:tcPr>
            <w:tcW w:w="1701" w:type="dxa"/>
            <w:tcBorders>
              <w:top w:val="single" w:sz="4" w:space="0" w:color="auto"/>
              <w:bottom w:val="single" w:sz="4" w:space="0" w:color="auto"/>
            </w:tcBorders>
          </w:tcPr>
          <w:p w14:paraId="42B48067" w14:textId="27A64628" w:rsidR="00594813" w:rsidRPr="000036D5" w:rsidRDefault="00594813" w:rsidP="00594813">
            <w:pPr>
              <w:pStyle w:val="NoSpacing"/>
              <w:jc w:val="right"/>
              <w:rPr>
                <w:rFonts w:ascii="Times New Roman" w:hAnsi="Times New Roman" w:cs="Times New Roman"/>
                <w:sz w:val="20"/>
                <w:szCs w:val="20"/>
              </w:rPr>
            </w:pPr>
            <w:r w:rsidRPr="000036D5">
              <w:rPr>
                <w:rStyle w:val="gd15mcfceub"/>
                <w:rFonts w:ascii="Times New Roman" w:hAnsi="Times New Roman" w:cs="Times New Roman"/>
                <w:color w:val="000000"/>
                <w:sz w:val="20"/>
                <w:szCs w:val="20"/>
                <w:bdr w:val="none" w:sz="0" w:space="0" w:color="auto" w:frame="1"/>
              </w:rPr>
              <w:t>64.49 (13.33)</w:t>
            </w:r>
          </w:p>
        </w:tc>
        <w:tc>
          <w:tcPr>
            <w:tcW w:w="1838" w:type="dxa"/>
            <w:tcBorders>
              <w:top w:val="single" w:sz="4" w:space="0" w:color="auto"/>
              <w:bottom w:val="single" w:sz="4" w:space="0" w:color="auto"/>
              <w:right w:val="single" w:sz="4" w:space="0" w:color="auto"/>
            </w:tcBorders>
          </w:tcPr>
          <w:p w14:paraId="4A4256BA" w14:textId="77777777" w:rsidR="00594813" w:rsidRPr="000036D5" w:rsidRDefault="00594813" w:rsidP="00594813">
            <w:pPr>
              <w:pStyle w:val="NoSpacing"/>
              <w:jc w:val="right"/>
              <w:rPr>
                <w:rFonts w:ascii="Times New Roman" w:hAnsi="Times New Roman" w:cs="Times New Roman"/>
                <w:sz w:val="20"/>
                <w:szCs w:val="20"/>
              </w:rPr>
            </w:pPr>
            <w:r w:rsidRPr="000036D5">
              <w:rPr>
                <w:rStyle w:val="gd15mcfceub"/>
                <w:rFonts w:ascii="Times New Roman" w:hAnsi="Times New Roman" w:cs="Times New Roman"/>
                <w:color w:val="000000"/>
                <w:sz w:val="20"/>
                <w:szCs w:val="20"/>
                <w:bdr w:val="none" w:sz="0" w:space="0" w:color="auto" w:frame="1"/>
              </w:rPr>
              <w:t>61.74 (13.33)</w:t>
            </w:r>
          </w:p>
        </w:tc>
      </w:tr>
      <w:tr w:rsidR="00594813" w:rsidRPr="000036D5" w14:paraId="6A357FA1" w14:textId="77777777" w:rsidTr="009639B5">
        <w:trPr>
          <w:trHeight w:val="283"/>
          <w:jc w:val="center"/>
        </w:trPr>
        <w:tc>
          <w:tcPr>
            <w:tcW w:w="2274" w:type="dxa"/>
            <w:tcBorders>
              <w:top w:val="single" w:sz="4" w:space="0" w:color="auto"/>
              <w:left w:val="single" w:sz="4" w:space="0" w:color="auto"/>
              <w:bottom w:val="single" w:sz="4" w:space="0" w:color="auto"/>
            </w:tcBorders>
            <w:shd w:val="clear" w:color="auto" w:fill="auto"/>
            <w:vAlign w:val="center"/>
            <w:hideMark/>
          </w:tcPr>
          <w:p w14:paraId="78838B33" w14:textId="77777777" w:rsidR="00594813" w:rsidRPr="000036D5" w:rsidRDefault="00594813" w:rsidP="00594813">
            <w:pPr>
              <w:pStyle w:val="NoSpacing"/>
              <w:jc w:val="center"/>
              <w:rPr>
                <w:rFonts w:ascii="Times New Roman" w:hAnsi="Times New Roman" w:cs="Times New Roman"/>
                <w:sz w:val="20"/>
                <w:szCs w:val="20"/>
              </w:rPr>
            </w:pPr>
            <w:r w:rsidRPr="000036D5">
              <w:rPr>
                <w:rFonts w:ascii="Times New Roman" w:hAnsi="Times New Roman" w:cs="Times New Roman"/>
                <w:sz w:val="20"/>
                <w:szCs w:val="20"/>
              </w:rPr>
              <w:t>Male Gender, n (%)</w:t>
            </w:r>
          </w:p>
        </w:tc>
        <w:tc>
          <w:tcPr>
            <w:tcW w:w="1276" w:type="dxa"/>
            <w:tcBorders>
              <w:top w:val="single" w:sz="4" w:space="0" w:color="auto"/>
              <w:bottom w:val="single" w:sz="4" w:space="0" w:color="auto"/>
              <w:right w:val="single" w:sz="4" w:space="0" w:color="auto"/>
            </w:tcBorders>
            <w:shd w:val="clear" w:color="auto" w:fill="auto"/>
            <w:vAlign w:val="center"/>
            <w:hideMark/>
          </w:tcPr>
          <w:p w14:paraId="69800C5A" w14:textId="77777777" w:rsidR="00594813" w:rsidRPr="000036D5" w:rsidRDefault="00594813" w:rsidP="00594813">
            <w:pPr>
              <w:pStyle w:val="NoSpacing"/>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tcBorders>
            <w:shd w:val="clear" w:color="auto" w:fill="auto"/>
            <w:vAlign w:val="center"/>
            <w:hideMark/>
          </w:tcPr>
          <w:p w14:paraId="7066B707" w14:textId="77777777"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206 (39%)</w:t>
            </w:r>
          </w:p>
        </w:tc>
        <w:tc>
          <w:tcPr>
            <w:tcW w:w="1701" w:type="dxa"/>
            <w:tcBorders>
              <w:top w:val="single" w:sz="4" w:space="0" w:color="auto"/>
              <w:bottom w:val="single" w:sz="4" w:space="0" w:color="auto"/>
            </w:tcBorders>
          </w:tcPr>
          <w:p w14:paraId="2FD7CB1B" w14:textId="33206302"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63 (41%)</w:t>
            </w:r>
          </w:p>
        </w:tc>
        <w:tc>
          <w:tcPr>
            <w:tcW w:w="1701" w:type="dxa"/>
            <w:tcBorders>
              <w:top w:val="single" w:sz="4" w:space="0" w:color="auto"/>
              <w:bottom w:val="single" w:sz="4" w:space="0" w:color="auto"/>
            </w:tcBorders>
          </w:tcPr>
          <w:p w14:paraId="7A914787" w14:textId="114814AE"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17 (29%)</w:t>
            </w:r>
          </w:p>
        </w:tc>
        <w:tc>
          <w:tcPr>
            <w:tcW w:w="1701" w:type="dxa"/>
            <w:tcBorders>
              <w:top w:val="single" w:sz="4" w:space="0" w:color="auto"/>
              <w:bottom w:val="single" w:sz="4" w:space="0" w:color="auto"/>
            </w:tcBorders>
          </w:tcPr>
          <w:p w14:paraId="338823DF" w14:textId="08F974E0"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65 (45%)</w:t>
            </w:r>
          </w:p>
        </w:tc>
        <w:tc>
          <w:tcPr>
            <w:tcW w:w="1701" w:type="dxa"/>
            <w:tcBorders>
              <w:top w:val="single" w:sz="4" w:space="0" w:color="auto"/>
              <w:bottom w:val="single" w:sz="4" w:space="0" w:color="auto"/>
            </w:tcBorders>
          </w:tcPr>
          <w:p w14:paraId="2F887BAF" w14:textId="55001894"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61 (42%)</w:t>
            </w:r>
          </w:p>
        </w:tc>
        <w:tc>
          <w:tcPr>
            <w:tcW w:w="1838" w:type="dxa"/>
            <w:tcBorders>
              <w:top w:val="single" w:sz="4" w:space="0" w:color="auto"/>
              <w:bottom w:val="single" w:sz="4" w:space="0" w:color="auto"/>
              <w:right w:val="single" w:sz="4" w:space="0" w:color="auto"/>
            </w:tcBorders>
          </w:tcPr>
          <w:p w14:paraId="783A28A0" w14:textId="77777777"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9 (21%)</w:t>
            </w:r>
          </w:p>
        </w:tc>
      </w:tr>
      <w:tr w:rsidR="00594813" w:rsidRPr="000036D5" w14:paraId="69B0FC5F" w14:textId="77777777" w:rsidTr="009639B5">
        <w:trPr>
          <w:trHeight w:val="283"/>
          <w:jc w:val="center"/>
        </w:trPr>
        <w:tc>
          <w:tcPr>
            <w:tcW w:w="2274" w:type="dxa"/>
            <w:vMerge w:val="restart"/>
            <w:tcBorders>
              <w:top w:val="single" w:sz="4" w:space="0" w:color="auto"/>
              <w:left w:val="single" w:sz="4" w:space="0" w:color="auto"/>
              <w:bottom w:val="nil"/>
            </w:tcBorders>
            <w:shd w:val="clear" w:color="auto" w:fill="auto"/>
            <w:vAlign w:val="center"/>
            <w:hideMark/>
          </w:tcPr>
          <w:p w14:paraId="216E26EC" w14:textId="0535F212" w:rsidR="00594813" w:rsidRPr="000036D5" w:rsidRDefault="00594813" w:rsidP="00594813">
            <w:pPr>
              <w:pStyle w:val="NoSpacing"/>
              <w:jc w:val="center"/>
              <w:rPr>
                <w:rFonts w:ascii="Times New Roman" w:hAnsi="Times New Roman" w:cs="Times New Roman"/>
                <w:sz w:val="20"/>
                <w:szCs w:val="20"/>
              </w:rPr>
            </w:pPr>
            <w:r w:rsidRPr="000036D5">
              <w:rPr>
                <w:rFonts w:ascii="Times New Roman" w:hAnsi="Times New Roman" w:cs="Times New Roman"/>
                <w:sz w:val="20"/>
                <w:szCs w:val="20"/>
              </w:rPr>
              <w:t>Pain intensity</w:t>
            </w:r>
            <w:r>
              <w:rPr>
                <w:rFonts w:ascii="Times New Roman" w:hAnsi="Times New Roman" w:cs="Times New Roman"/>
                <w:sz w:val="20"/>
                <w:szCs w:val="20"/>
              </w:rPr>
              <w:t xml:space="preserve"> on 11-point NRS</w:t>
            </w:r>
          </w:p>
        </w:tc>
        <w:tc>
          <w:tcPr>
            <w:tcW w:w="1276" w:type="dxa"/>
            <w:tcBorders>
              <w:top w:val="single" w:sz="4" w:space="0" w:color="auto"/>
              <w:bottom w:val="nil"/>
              <w:right w:val="single" w:sz="4" w:space="0" w:color="auto"/>
            </w:tcBorders>
            <w:shd w:val="clear" w:color="auto" w:fill="auto"/>
            <w:vAlign w:val="center"/>
            <w:hideMark/>
          </w:tcPr>
          <w:p w14:paraId="19D7E0A3" w14:textId="77777777" w:rsidR="00594813" w:rsidRPr="000036D5" w:rsidRDefault="00594813" w:rsidP="00594813">
            <w:pPr>
              <w:pStyle w:val="NoSpacing"/>
              <w:jc w:val="center"/>
              <w:rPr>
                <w:rFonts w:ascii="Times New Roman" w:hAnsi="Times New Roman" w:cs="Times New Roman"/>
                <w:sz w:val="20"/>
                <w:szCs w:val="20"/>
              </w:rPr>
            </w:pPr>
            <w:r w:rsidRPr="000036D5">
              <w:rPr>
                <w:rFonts w:ascii="Times New Roman" w:hAnsi="Times New Roman" w:cs="Times New Roman"/>
                <w:sz w:val="20"/>
                <w:szCs w:val="20"/>
              </w:rPr>
              <w:t>0 months</w:t>
            </w:r>
          </w:p>
        </w:tc>
        <w:tc>
          <w:tcPr>
            <w:tcW w:w="1417" w:type="dxa"/>
            <w:tcBorders>
              <w:top w:val="single" w:sz="4" w:space="0" w:color="auto"/>
              <w:left w:val="single" w:sz="4" w:space="0" w:color="auto"/>
              <w:bottom w:val="nil"/>
            </w:tcBorders>
            <w:shd w:val="clear" w:color="auto" w:fill="auto"/>
            <w:hideMark/>
          </w:tcPr>
          <w:p w14:paraId="09D189D6" w14:textId="77777777" w:rsidR="00594813" w:rsidRPr="000036D5" w:rsidRDefault="00594813" w:rsidP="00594813">
            <w:pPr>
              <w:pStyle w:val="NoSpacing"/>
              <w:jc w:val="right"/>
              <w:rPr>
                <w:rFonts w:ascii="Times New Roman" w:hAnsi="Times New Roman" w:cs="Times New Roman"/>
                <w:sz w:val="20"/>
                <w:szCs w:val="20"/>
              </w:rPr>
            </w:pPr>
            <w:r w:rsidRPr="000036D5">
              <w:rPr>
                <w:rFonts w:ascii="Times New Roman" w:eastAsia="Times New Roman" w:hAnsi="Times New Roman" w:cs="Times New Roman"/>
                <w:color w:val="000000"/>
                <w:sz w:val="20"/>
                <w:szCs w:val="20"/>
                <w:bdr w:val="none" w:sz="0" w:space="0" w:color="auto" w:frame="1"/>
                <w:lang w:eastAsia="en-GB"/>
              </w:rPr>
              <w:t>6.21 (2.25)</w:t>
            </w:r>
          </w:p>
        </w:tc>
        <w:tc>
          <w:tcPr>
            <w:tcW w:w="1701" w:type="dxa"/>
            <w:tcBorders>
              <w:top w:val="single" w:sz="4" w:space="0" w:color="auto"/>
              <w:bottom w:val="nil"/>
            </w:tcBorders>
          </w:tcPr>
          <w:p w14:paraId="478BD1E0" w14:textId="7C831E16" w:rsidR="00594813" w:rsidRPr="000036D5" w:rsidRDefault="00594813" w:rsidP="00594813">
            <w:pPr>
              <w:pStyle w:val="NoSpacing"/>
              <w:jc w:val="right"/>
              <w:rPr>
                <w:rFonts w:ascii="Times New Roman" w:eastAsia="Times New Roman" w:hAnsi="Times New Roman" w:cs="Times New Roman"/>
                <w:color w:val="000000"/>
                <w:sz w:val="20"/>
                <w:szCs w:val="20"/>
                <w:bdr w:val="none" w:sz="0" w:space="0" w:color="auto" w:frame="1"/>
                <w:lang w:eastAsia="en-GB"/>
              </w:rPr>
            </w:pPr>
            <w:r w:rsidRPr="000036D5">
              <w:rPr>
                <w:rFonts w:ascii="Times New Roman" w:eastAsia="Times New Roman" w:hAnsi="Times New Roman" w:cs="Times New Roman"/>
                <w:color w:val="000000"/>
                <w:sz w:val="20"/>
                <w:szCs w:val="20"/>
                <w:bdr w:val="none" w:sz="0" w:space="0" w:color="auto" w:frame="1"/>
                <w:lang w:eastAsia="en-GB"/>
              </w:rPr>
              <w:t>6.43 (2.22)</w:t>
            </w:r>
          </w:p>
        </w:tc>
        <w:tc>
          <w:tcPr>
            <w:tcW w:w="1701" w:type="dxa"/>
            <w:tcBorders>
              <w:top w:val="single" w:sz="4" w:space="0" w:color="auto"/>
              <w:bottom w:val="nil"/>
            </w:tcBorders>
          </w:tcPr>
          <w:p w14:paraId="5949DAF1" w14:textId="154E0239" w:rsidR="00594813" w:rsidRPr="000036D5" w:rsidRDefault="00594813" w:rsidP="00594813">
            <w:pPr>
              <w:pStyle w:val="NoSpacing"/>
              <w:jc w:val="right"/>
              <w:rPr>
                <w:rFonts w:ascii="Times New Roman" w:eastAsia="Times New Roman" w:hAnsi="Times New Roman" w:cs="Times New Roman"/>
                <w:color w:val="000000"/>
                <w:sz w:val="20"/>
                <w:szCs w:val="20"/>
                <w:bdr w:val="none" w:sz="0" w:space="0" w:color="auto" w:frame="1"/>
                <w:lang w:eastAsia="en-GB"/>
              </w:rPr>
            </w:pPr>
            <w:r w:rsidRPr="000036D5">
              <w:rPr>
                <w:rFonts w:ascii="Times New Roman" w:eastAsia="Times New Roman" w:hAnsi="Times New Roman" w:cs="Times New Roman"/>
                <w:color w:val="000000"/>
                <w:sz w:val="20"/>
                <w:szCs w:val="20"/>
                <w:bdr w:val="none" w:sz="0" w:space="0" w:color="auto" w:frame="1"/>
                <w:lang w:eastAsia="en-GB"/>
              </w:rPr>
              <w:t>6.25 (2.23)</w:t>
            </w:r>
          </w:p>
        </w:tc>
        <w:tc>
          <w:tcPr>
            <w:tcW w:w="1701" w:type="dxa"/>
            <w:tcBorders>
              <w:top w:val="single" w:sz="4" w:space="0" w:color="auto"/>
              <w:bottom w:val="nil"/>
            </w:tcBorders>
          </w:tcPr>
          <w:p w14:paraId="6E5B8587" w14:textId="65056AF2" w:rsidR="00594813" w:rsidRPr="000036D5" w:rsidRDefault="00594813" w:rsidP="00594813">
            <w:pPr>
              <w:pStyle w:val="NoSpacing"/>
              <w:jc w:val="right"/>
              <w:rPr>
                <w:rFonts w:ascii="Times New Roman" w:eastAsia="Times New Roman" w:hAnsi="Times New Roman" w:cs="Times New Roman"/>
                <w:color w:val="000000"/>
                <w:sz w:val="20"/>
                <w:szCs w:val="20"/>
                <w:bdr w:val="none" w:sz="0" w:space="0" w:color="auto" w:frame="1"/>
                <w:lang w:eastAsia="en-GB"/>
              </w:rPr>
            </w:pPr>
            <w:r w:rsidRPr="000036D5">
              <w:rPr>
                <w:rFonts w:ascii="Times New Roman" w:eastAsia="Times New Roman" w:hAnsi="Times New Roman" w:cs="Times New Roman"/>
                <w:color w:val="000000"/>
                <w:sz w:val="20"/>
                <w:szCs w:val="20"/>
                <w:bdr w:val="none" w:sz="0" w:space="0" w:color="auto" w:frame="1"/>
                <w:lang w:eastAsia="en-GB"/>
              </w:rPr>
              <w:t>5.94 (2.24)</w:t>
            </w:r>
          </w:p>
        </w:tc>
        <w:tc>
          <w:tcPr>
            <w:tcW w:w="1701" w:type="dxa"/>
            <w:tcBorders>
              <w:top w:val="single" w:sz="4" w:space="0" w:color="auto"/>
              <w:bottom w:val="nil"/>
            </w:tcBorders>
          </w:tcPr>
          <w:p w14:paraId="46A18832" w14:textId="619584C3" w:rsidR="00594813" w:rsidRPr="000036D5" w:rsidRDefault="00594813" w:rsidP="00594813">
            <w:pPr>
              <w:pStyle w:val="NoSpacing"/>
              <w:jc w:val="right"/>
              <w:rPr>
                <w:rFonts w:ascii="Times New Roman" w:hAnsi="Times New Roman" w:cs="Times New Roman"/>
                <w:sz w:val="20"/>
                <w:szCs w:val="20"/>
              </w:rPr>
            </w:pPr>
            <w:r w:rsidRPr="000036D5">
              <w:rPr>
                <w:rFonts w:ascii="Times New Roman" w:eastAsia="Times New Roman" w:hAnsi="Times New Roman" w:cs="Times New Roman"/>
                <w:color w:val="000000"/>
                <w:sz w:val="20"/>
                <w:szCs w:val="20"/>
                <w:bdr w:val="none" w:sz="0" w:space="0" w:color="auto" w:frame="1"/>
                <w:lang w:eastAsia="en-GB"/>
              </w:rPr>
              <w:t>6.31 (2.33)</w:t>
            </w:r>
          </w:p>
        </w:tc>
        <w:tc>
          <w:tcPr>
            <w:tcW w:w="1838" w:type="dxa"/>
            <w:tcBorders>
              <w:top w:val="single" w:sz="4" w:space="0" w:color="auto"/>
              <w:bottom w:val="nil"/>
              <w:right w:val="single" w:sz="4" w:space="0" w:color="auto"/>
            </w:tcBorders>
          </w:tcPr>
          <w:p w14:paraId="38DBF774" w14:textId="77777777" w:rsidR="00594813" w:rsidRPr="000036D5" w:rsidRDefault="00594813" w:rsidP="00594813">
            <w:pPr>
              <w:pStyle w:val="NoSpacing"/>
              <w:jc w:val="right"/>
              <w:rPr>
                <w:rFonts w:ascii="Times New Roman" w:hAnsi="Times New Roman" w:cs="Times New Roman"/>
                <w:sz w:val="20"/>
                <w:szCs w:val="20"/>
              </w:rPr>
            </w:pPr>
            <w:r w:rsidRPr="000036D5">
              <w:rPr>
                <w:rFonts w:ascii="Times New Roman" w:eastAsia="Times New Roman" w:hAnsi="Times New Roman" w:cs="Times New Roman"/>
                <w:color w:val="000000"/>
                <w:sz w:val="20"/>
                <w:szCs w:val="20"/>
                <w:bdr w:val="none" w:sz="0" w:space="0" w:color="auto" w:frame="1"/>
                <w:lang w:eastAsia="en-GB"/>
              </w:rPr>
              <w:t>5.86 (2.16)</w:t>
            </w:r>
          </w:p>
        </w:tc>
      </w:tr>
      <w:tr w:rsidR="00594813" w:rsidRPr="000036D5" w14:paraId="2E06778A" w14:textId="77777777" w:rsidTr="009639B5">
        <w:trPr>
          <w:trHeight w:val="283"/>
          <w:jc w:val="center"/>
        </w:trPr>
        <w:tc>
          <w:tcPr>
            <w:tcW w:w="2274" w:type="dxa"/>
            <w:vMerge/>
            <w:tcBorders>
              <w:top w:val="nil"/>
              <w:left w:val="single" w:sz="4" w:space="0" w:color="auto"/>
              <w:bottom w:val="nil"/>
            </w:tcBorders>
            <w:shd w:val="clear" w:color="auto" w:fill="auto"/>
            <w:vAlign w:val="center"/>
          </w:tcPr>
          <w:p w14:paraId="45CEC38B" w14:textId="77777777" w:rsidR="00594813" w:rsidRPr="000036D5" w:rsidRDefault="00594813" w:rsidP="00594813">
            <w:pPr>
              <w:pStyle w:val="NoSpacing"/>
              <w:jc w:val="center"/>
              <w:rPr>
                <w:rFonts w:ascii="Times New Roman" w:hAnsi="Times New Roman" w:cs="Times New Roman"/>
                <w:sz w:val="20"/>
                <w:szCs w:val="20"/>
              </w:rPr>
            </w:pPr>
          </w:p>
        </w:tc>
        <w:tc>
          <w:tcPr>
            <w:tcW w:w="1276" w:type="dxa"/>
            <w:tcBorders>
              <w:top w:val="nil"/>
              <w:bottom w:val="nil"/>
              <w:right w:val="single" w:sz="4" w:space="0" w:color="auto"/>
            </w:tcBorders>
            <w:shd w:val="clear" w:color="auto" w:fill="auto"/>
            <w:vAlign w:val="center"/>
          </w:tcPr>
          <w:p w14:paraId="28308F14" w14:textId="77777777" w:rsidR="00594813" w:rsidRPr="000036D5" w:rsidRDefault="00594813" w:rsidP="00594813">
            <w:pPr>
              <w:pStyle w:val="NoSpacing"/>
              <w:jc w:val="center"/>
              <w:rPr>
                <w:rFonts w:ascii="Times New Roman" w:hAnsi="Times New Roman" w:cs="Times New Roman"/>
                <w:sz w:val="20"/>
                <w:szCs w:val="20"/>
              </w:rPr>
            </w:pPr>
            <w:r w:rsidRPr="000036D5">
              <w:rPr>
                <w:rFonts w:ascii="Times New Roman" w:hAnsi="Times New Roman" w:cs="Times New Roman"/>
                <w:sz w:val="20"/>
                <w:szCs w:val="20"/>
              </w:rPr>
              <w:t>6 months</w:t>
            </w:r>
          </w:p>
        </w:tc>
        <w:tc>
          <w:tcPr>
            <w:tcW w:w="1417" w:type="dxa"/>
            <w:tcBorders>
              <w:top w:val="nil"/>
              <w:left w:val="single" w:sz="4" w:space="0" w:color="auto"/>
              <w:bottom w:val="nil"/>
            </w:tcBorders>
            <w:shd w:val="clear" w:color="auto" w:fill="auto"/>
          </w:tcPr>
          <w:p w14:paraId="69EDB519" w14:textId="77777777" w:rsidR="00594813" w:rsidRPr="000036D5" w:rsidRDefault="00594813" w:rsidP="00594813">
            <w:pPr>
              <w:pStyle w:val="NoSpacing"/>
              <w:jc w:val="right"/>
              <w:rPr>
                <w:rFonts w:ascii="Times New Roman" w:hAnsi="Times New Roman" w:cs="Times New Roman"/>
                <w:sz w:val="20"/>
                <w:szCs w:val="20"/>
              </w:rPr>
            </w:pPr>
            <w:r w:rsidRPr="000036D5">
              <w:rPr>
                <w:rFonts w:ascii="Times New Roman" w:eastAsia="Times New Roman" w:hAnsi="Times New Roman" w:cs="Times New Roman"/>
                <w:color w:val="000000"/>
                <w:sz w:val="20"/>
                <w:szCs w:val="20"/>
                <w:bdr w:val="none" w:sz="0" w:space="0" w:color="auto" w:frame="1"/>
                <w:lang w:eastAsia="en-GB"/>
              </w:rPr>
              <w:t>4.07 (2.93)</w:t>
            </w:r>
          </w:p>
        </w:tc>
        <w:tc>
          <w:tcPr>
            <w:tcW w:w="1701" w:type="dxa"/>
            <w:tcBorders>
              <w:top w:val="nil"/>
              <w:bottom w:val="nil"/>
            </w:tcBorders>
          </w:tcPr>
          <w:p w14:paraId="332A5030" w14:textId="4D263471" w:rsidR="00594813" w:rsidRPr="000036D5" w:rsidRDefault="00594813" w:rsidP="00594813">
            <w:pPr>
              <w:pStyle w:val="NoSpacing"/>
              <w:jc w:val="right"/>
              <w:rPr>
                <w:rFonts w:ascii="Times New Roman" w:eastAsia="Times New Roman" w:hAnsi="Times New Roman" w:cs="Times New Roman"/>
                <w:color w:val="000000"/>
                <w:sz w:val="20"/>
                <w:szCs w:val="20"/>
                <w:bdr w:val="none" w:sz="0" w:space="0" w:color="auto" w:frame="1"/>
                <w:lang w:eastAsia="en-GB"/>
              </w:rPr>
            </w:pPr>
            <w:r w:rsidRPr="000036D5">
              <w:rPr>
                <w:rFonts w:ascii="Times New Roman" w:eastAsia="Times New Roman" w:hAnsi="Times New Roman" w:cs="Times New Roman"/>
                <w:color w:val="000000"/>
                <w:sz w:val="20"/>
                <w:szCs w:val="20"/>
                <w:bdr w:val="none" w:sz="0" w:space="0" w:color="auto" w:frame="1"/>
                <w:lang w:eastAsia="en-GB"/>
              </w:rPr>
              <w:t>4.06 (2.93)</w:t>
            </w:r>
          </w:p>
        </w:tc>
        <w:tc>
          <w:tcPr>
            <w:tcW w:w="1701" w:type="dxa"/>
            <w:tcBorders>
              <w:top w:val="nil"/>
              <w:bottom w:val="nil"/>
            </w:tcBorders>
          </w:tcPr>
          <w:p w14:paraId="068F1DBD" w14:textId="6CB80239" w:rsidR="00594813" w:rsidRPr="000036D5" w:rsidRDefault="00594813" w:rsidP="00594813">
            <w:pPr>
              <w:pStyle w:val="NoSpacing"/>
              <w:jc w:val="right"/>
              <w:rPr>
                <w:rFonts w:ascii="Times New Roman" w:eastAsia="Times New Roman" w:hAnsi="Times New Roman" w:cs="Times New Roman"/>
                <w:color w:val="000000"/>
                <w:sz w:val="20"/>
                <w:szCs w:val="20"/>
                <w:bdr w:val="none" w:sz="0" w:space="0" w:color="auto" w:frame="1"/>
                <w:lang w:eastAsia="en-GB"/>
              </w:rPr>
            </w:pPr>
            <w:r w:rsidRPr="000036D5">
              <w:rPr>
                <w:rFonts w:ascii="Times New Roman" w:eastAsia="Times New Roman" w:hAnsi="Times New Roman" w:cs="Times New Roman"/>
                <w:color w:val="000000"/>
                <w:sz w:val="20"/>
                <w:szCs w:val="20"/>
                <w:bdr w:val="none" w:sz="0" w:space="0" w:color="auto" w:frame="1"/>
                <w:lang w:eastAsia="en-GB"/>
              </w:rPr>
              <w:t>3.02 (2.59)</w:t>
            </w:r>
          </w:p>
        </w:tc>
        <w:tc>
          <w:tcPr>
            <w:tcW w:w="1701" w:type="dxa"/>
            <w:tcBorders>
              <w:top w:val="nil"/>
              <w:bottom w:val="nil"/>
            </w:tcBorders>
          </w:tcPr>
          <w:p w14:paraId="5561D0F1" w14:textId="1BE4C140" w:rsidR="00594813" w:rsidRPr="000036D5" w:rsidRDefault="00594813" w:rsidP="00594813">
            <w:pPr>
              <w:pStyle w:val="NoSpacing"/>
              <w:jc w:val="right"/>
              <w:rPr>
                <w:rFonts w:ascii="Times New Roman" w:eastAsia="Times New Roman" w:hAnsi="Times New Roman" w:cs="Times New Roman"/>
                <w:color w:val="000000"/>
                <w:sz w:val="20"/>
                <w:szCs w:val="20"/>
                <w:bdr w:val="none" w:sz="0" w:space="0" w:color="auto" w:frame="1"/>
                <w:lang w:eastAsia="en-GB"/>
              </w:rPr>
            </w:pPr>
            <w:r w:rsidRPr="000036D5">
              <w:rPr>
                <w:rFonts w:ascii="Times New Roman" w:eastAsia="Times New Roman" w:hAnsi="Times New Roman" w:cs="Times New Roman"/>
                <w:color w:val="000000"/>
                <w:sz w:val="20"/>
                <w:szCs w:val="20"/>
                <w:bdr w:val="none" w:sz="0" w:space="0" w:color="auto" w:frame="1"/>
                <w:lang w:eastAsia="en-GB"/>
              </w:rPr>
              <w:t>3.47 (2.93)</w:t>
            </w:r>
          </w:p>
        </w:tc>
        <w:tc>
          <w:tcPr>
            <w:tcW w:w="1701" w:type="dxa"/>
            <w:tcBorders>
              <w:top w:val="nil"/>
              <w:bottom w:val="nil"/>
            </w:tcBorders>
          </w:tcPr>
          <w:p w14:paraId="5F49812F" w14:textId="37D9B184" w:rsidR="00594813" w:rsidRPr="000036D5" w:rsidRDefault="00594813" w:rsidP="00594813">
            <w:pPr>
              <w:pStyle w:val="NoSpacing"/>
              <w:jc w:val="right"/>
              <w:rPr>
                <w:rFonts w:ascii="Times New Roman" w:hAnsi="Times New Roman" w:cs="Times New Roman"/>
                <w:sz w:val="20"/>
                <w:szCs w:val="20"/>
              </w:rPr>
            </w:pPr>
            <w:r w:rsidRPr="000036D5">
              <w:rPr>
                <w:rFonts w:ascii="Times New Roman" w:eastAsia="Times New Roman" w:hAnsi="Times New Roman" w:cs="Times New Roman"/>
                <w:color w:val="000000"/>
                <w:sz w:val="20"/>
                <w:szCs w:val="20"/>
                <w:bdr w:val="none" w:sz="0" w:space="0" w:color="auto" w:frame="1"/>
                <w:lang w:eastAsia="en-GB"/>
              </w:rPr>
              <w:t>4.83 (2.96)</w:t>
            </w:r>
          </w:p>
        </w:tc>
        <w:tc>
          <w:tcPr>
            <w:tcW w:w="1838" w:type="dxa"/>
            <w:tcBorders>
              <w:top w:val="nil"/>
              <w:bottom w:val="nil"/>
              <w:right w:val="single" w:sz="4" w:space="0" w:color="auto"/>
            </w:tcBorders>
          </w:tcPr>
          <w:p w14:paraId="531D81B9" w14:textId="77777777" w:rsidR="00594813" w:rsidRPr="000036D5" w:rsidRDefault="00594813" w:rsidP="00594813">
            <w:pPr>
              <w:pStyle w:val="NoSpacing"/>
              <w:jc w:val="right"/>
              <w:rPr>
                <w:rFonts w:ascii="Times New Roman" w:hAnsi="Times New Roman" w:cs="Times New Roman"/>
                <w:sz w:val="20"/>
                <w:szCs w:val="20"/>
              </w:rPr>
            </w:pPr>
            <w:r w:rsidRPr="000036D5">
              <w:rPr>
                <w:rFonts w:ascii="Times New Roman" w:eastAsia="Times New Roman" w:hAnsi="Times New Roman" w:cs="Times New Roman"/>
                <w:color w:val="000000"/>
                <w:sz w:val="20"/>
                <w:szCs w:val="20"/>
                <w:bdr w:val="none" w:sz="0" w:space="0" w:color="auto" w:frame="1"/>
                <w:lang w:eastAsia="en-GB"/>
              </w:rPr>
              <w:t>4.81 (2.42)</w:t>
            </w:r>
          </w:p>
        </w:tc>
      </w:tr>
      <w:tr w:rsidR="00594813" w:rsidRPr="000036D5" w14:paraId="07CAE173" w14:textId="77777777" w:rsidTr="009639B5">
        <w:trPr>
          <w:trHeight w:val="64"/>
          <w:jc w:val="center"/>
        </w:trPr>
        <w:tc>
          <w:tcPr>
            <w:tcW w:w="2274" w:type="dxa"/>
            <w:vMerge/>
            <w:tcBorders>
              <w:top w:val="nil"/>
              <w:left w:val="single" w:sz="4" w:space="0" w:color="auto"/>
              <w:bottom w:val="single" w:sz="4" w:space="0" w:color="auto"/>
            </w:tcBorders>
            <w:shd w:val="clear" w:color="auto" w:fill="auto"/>
            <w:vAlign w:val="center"/>
          </w:tcPr>
          <w:p w14:paraId="4924C119" w14:textId="77777777" w:rsidR="00594813" w:rsidRPr="000036D5" w:rsidRDefault="00594813" w:rsidP="00594813">
            <w:pPr>
              <w:pStyle w:val="NoSpacing"/>
              <w:jc w:val="center"/>
              <w:rPr>
                <w:rFonts w:ascii="Times New Roman" w:hAnsi="Times New Roman" w:cs="Times New Roman"/>
                <w:sz w:val="20"/>
                <w:szCs w:val="20"/>
              </w:rPr>
            </w:pPr>
          </w:p>
        </w:tc>
        <w:tc>
          <w:tcPr>
            <w:tcW w:w="1276" w:type="dxa"/>
            <w:tcBorders>
              <w:top w:val="nil"/>
              <w:bottom w:val="single" w:sz="4" w:space="0" w:color="auto"/>
              <w:right w:val="single" w:sz="4" w:space="0" w:color="auto"/>
            </w:tcBorders>
            <w:shd w:val="clear" w:color="auto" w:fill="auto"/>
            <w:vAlign w:val="center"/>
          </w:tcPr>
          <w:p w14:paraId="2210BF5D" w14:textId="77777777" w:rsidR="00594813" w:rsidRPr="000036D5" w:rsidRDefault="00594813" w:rsidP="00594813">
            <w:pPr>
              <w:pStyle w:val="NoSpacing"/>
              <w:jc w:val="center"/>
              <w:rPr>
                <w:rFonts w:ascii="Times New Roman" w:hAnsi="Times New Roman" w:cs="Times New Roman"/>
                <w:sz w:val="20"/>
                <w:szCs w:val="20"/>
              </w:rPr>
            </w:pPr>
            <w:r w:rsidRPr="000036D5">
              <w:rPr>
                <w:rFonts w:ascii="Times New Roman" w:hAnsi="Times New Roman" w:cs="Times New Roman"/>
                <w:sz w:val="20"/>
                <w:szCs w:val="20"/>
              </w:rPr>
              <w:t>Change</w:t>
            </w:r>
          </w:p>
        </w:tc>
        <w:tc>
          <w:tcPr>
            <w:tcW w:w="1417" w:type="dxa"/>
            <w:tcBorders>
              <w:top w:val="nil"/>
              <w:left w:val="single" w:sz="4" w:space="0" w:color="auto"/>
              <w:bottom w:val="single" w:sz="4" w:space="0" w:color="auto"/>
            </w:tcBorders>
            <w:shd w:val="clear" w:color="auto" w:fill="auto"/>
          </w:tcPr>
          <w:p w14:paraId="778A201C" w14:textId="77777777" w:rsidR="00594813" w:rsidRPr="000036D5" w:rsidRDefault="00594813" w:rsidP="00594813">
            <w:pPr>
              <w:pStyle w:val="NoSpacing"/>
              <w:jc w:val="right"/>
              <w:rPr>
                <w:rFonts w:ascii="Times New Roman" w:hAnsi="Times New Roman" w:cs="Times New Roman"/>
                <w:sz w:val="20"/>
                <w:szCs w:val="20"/>
              </w:rPr>
            </w:pPr>
            <w:r w:rsidRPr="000036D5">
              <w:rPr>
                <w:rFonts w:ascii="Times New Roman" w:eastAsia="Times New Roman" w:hAnsi="Times New Roman" w:cs="Times New Roman"/>
                <w:color w:val="000000"/>
                <w:sz w:val="20"/>
                <w:szCs w:val="20"/>
                <w:bdr w:val="none" w:sz="0" w:space="0" w:color="auto" w:frame="1"/>
                <w:lang w:eastAsia="en-GB"/>
              </w:rPr>
              <w:t>-2.12 (2.97)</w:t>
            </w:r>
          </w:p>
        </w:tc>
        <w:tc>
          <w:tcPr>
            <w:tcW w:w="1701" w:type="dxa"/>
            <w:tcBorders>
              <w:top w:val="nil"/>
              <w:bottom w:val="single" w:sz="4" w:space="0" w:color="auto"/>
            </w:tcBorders>
          </w:tcPr>
          <w:p w14:paraId="04BD3F4C" w14:textId="4DB6B608" w:rsidR="00594813" w:rsidRPr="000036D5" w:rsidRDefault="00594813" w:rsidP="00594813">
            <w:pPr>
              <w:pStyle w:val="NoSpacing"/>
              <w:jc w:val="right"/>
              <w:rPr>
                <w:rFonts w:ascii="Times New Roman" w:eastAsia="Times New Roman" w:hAnsi="Times New Roman" w:cs="Times New Roman"/>
                <w:color w:val="000000"/>
                <w:sz w:val="20"/>
                <w:szCs w:val="20"/>
                <w:bdr w:val="none" w:sz="0" w:space="0" w:color="auto" w:frame="1"/>
                <w:lang w:eastAsia="en-GB"/>
              </w:rPr>
            </w:pPr>
            <w:r w:rsidRPr="000036D5">
              <w:rPr>
                <w:rFonts w:ascii="Times New Roman" w:eastAsia="Times New Roman" w:hAnsi="Times New Roman" w:cs="Times New Roman"/>
                <w:color w:val="000000"/>
                <w:sz w:val="20"/>
                <w:szCs w:val="20"/>
                <w:bdr w:val="none" w:sz="0" w:space="0" w:color="auto" w:frame="1"/>
                <w:lang w:eastAsia="en-GB"/>
              </w:rPr>
              <w:t>-2.38 (2.98)</w:t>
            </w:r>
          </w:p>
        </w:tc>
        <w:tc>
          <w:tcPr>
            <w:tcW w:w="1701" w:type="dxa"/>
            <w:tcBorders>
              <w:top w:val="nil"/>
              <w:bottom w:val="single" w:sz="4" w:space="0" w:color="auto"/>
            </w:tcBorders>
          </w:tcPr>
          <w:p w14:paraId="0117353A" w14:textId="6A3A236A" w:rsidR="00594813" w:rsidRPr="000036D5" w:rsidRDefault="00594813" w:rsidP="00594813">
            <w:pPr>
              <w:pStyle w:val="NoSpacing"/>
              <w:jc w:val="right"/>
              <w:rPr>
                <w:rFonts w:ascii="Times New Roman" w:eastAsia="Times New Roman" w:hAnsi="Times New Roman" w:cs="Times New Roman"/>
                <w:color w:val="000000"/>
                <w:sz w:val="20"/>
                <w:szCs w:val="20"/>
                <w:bdr w:val="none" w:sz="0" w:space="0" w:color="auto" w:frame="1"/>
                <w:lang w:eastAsia="en-GB"/>
              </w:rPr>
            </w:pPr>
            <w:r w:rsidRPr="000036D5">
              <w:rPr>
                <w:rFonts w:ascii="Times New Roman" w:eastAsia="Times New Roman" w:hAnsi="Times New Roman" w:cs="Times New Roman"/>
                <w:color w:val="000000"/>
                <w:sz w:val="20"/>
                <w:szCs w:val="20"/>
                <w:bdr w:val="none" w:sz="0" w:space="0" w:color="auto" w:frame="1"/>
                <w:lang w:eastAsia="en-GB"/>
              </w:rPr>
              <w:t>-2.98 (2.79)</w:t>
            </w:r>
          </w:p>
        </w:tc>
        <w:tc>
          <w:tcPr>
            <w:tcW w:w="1701" w:type="dxa"/>
            <w:tcBorders>
              <w:top w:val="nil"/>
              <w:bottom w:val="single" w:sz="4" w:space="0" w:color="auto"/>
            </w:tcBorders>
          </w:tcPr>
          <w:p w14:paraId="33C8D806" w14:textId="31D666FA" w:rsidR="00594813" w:rsidRPr="000036D5" w:rsidRDefault="00594813" w:rsidP="00594813">
            <w:pPr>
              <w:pStyle w:val="NoSpacing"/>
              <w:jc w:val="right"/>
              <w:rPr>
                <w:rFonts w:ascii="Times New Roman" w:eastAsia="Times New Roman" w:hAnsi="Times New Roman" w:cs="Times New Roman"/>
                <w:color w:val="000000"/>
                <w:sz w:val="20"/>
                <w:szCs w:val="20"/>
                <w:bdr w:val="none" w:sz="0" w:space="0" w:color="auto" w:frame="1"/>
                <w:lang w:eastAsia="en-GB"/>
              </w:rPr>
            </w:pPr>
            <w:r w:rsidRPr="000036D5">
              <w:rPr>
                <w:rFonts w:ascii="Times New Roman" w:eastAsia="Times New Roman" w:hAnsi="Times New Roman" w:cs="Times New Roman"/>
                <w:color w:val="000000"/>
                <w:sz w:val="20"/>
                <w:szCs w:val="20"/>
                <w:bdr w:val="none" w:sz="0" w:space="0" w:color="auto" w:frame="1"/>
                <w:lang w:eastAsia="en-GB"/>
              </w:rPr>
              <w:t>-2.37 (3.09)</w:t>
            </w:r>
          </w:p>
        </w:tc>
        <w:tc>
          <w:tcPr>
            <w:tcW w:w="1701" w:type="dxa"/>
            <w:tcBorders>
              <w:top w:val="nil"/>
              <w:bottom w:val="single" w:sz="4" w:space="0" w:color="auto"/>
            </w:tcBorders>
          </w:tcPr>
          <w:p w14:paraId="08FEBD66" w14:textId="7017214F" w:rsidR="00594813" w:rsidRPr="000036D5" w:rsidRDefault="00594813" w:rsidP="00594813">
            <w:pPr>
              <w:pStyle w:val="NoSpacing"/>
              <w:jc w:val="right"/>
              <w:rPr>
                <w:rFonts w:ascii="Times New Roman" w:hAnsi="Times New Roman" w:cs="Times New Roman"/>
                <w:sz w:val="20"/>
                <w:szCs w:val="20"/>
              </w:rPr>
            </w:pPr>
            <w:r w:rsidRPr="000036D5">
              <w:rPr>
                <w:rFonts w:ascii="Times New Roman" w:eastAsia="Times New Roman" w:hAnsi="Times New Roman" w:cs="Times New Roman"/>
                <w:color w:val="000000"/>
                <w:sz w:val="20"/>
                <w:szCs w:val="20"/>
                <w:bdr w:val="none" w:sz="0" w:space="0" w:color="auto" w:frame="1"/>
                <w:lang w:eastAsia="en-GB"/>
              </w:rPr>
              <w:t>-1.53 (2.96)</w:t>
            </w:r>
          </w:p>
        </w:tc>
        <w:tc>
          <w:tcPr>
            <w:tcW w:w="1838" w:type="dxa"/>
            <w:tcBorders>
              <w:top w:val="nil"/>
              <w:bottom w:val="single" w:sz="4" w:space="0" w:color="auto"/>
              <w:right w:val="single" w:sz="4" w:space="0" w:color="auto"/>
            </w:tcBorders>
          </w:tcPr>
          <w:p w14:paraId="3E636FF5" w14:textId="77777777" w:rsidR="00594813" w:rsidRPr="000036D5" w:rsidRDefault="00594813" w:rsidP="00594813">
            <w:pPr>
              <w:pStyle w:val="NoSpacing"/>
              <w:jc w:val="right"/>
              <w:rPr>
                <w:rFonts w:ascii="Times New Roman" w:hAnsi="Times New Roman" w:cs="Times New Roman"/>
                <w:sz w:val="20"/>
                <w:szCs w:val="20"/>
              </w:rPr>
            </w:pPr>
            <w:r w:rsidRPr="000036D5">
              <w:rPr>
                <w:rFonts w:ascii="Times New Roman" w:eastAsia="Times New Roman" w:hAnsi="Times New Roman" w:cs="Times New Roman"/>
                <w:color w:val="000000"/>
                <w:sz w:val="20"/>
                <w:szCs w:val="20"/>
                <w:bdr w:val="none" w:sz="0" w:space="0" w:color="auto" w:frame="1"/>
                <w:lang w:eastAsia="en-GB"/>
              </w:rPr>
              <w:t>-1.14 (2.36)</w:t>
            </w:r>
          </w:p>
        </w:tc>
      </w:tr>
      <w:tr w:rsidR="00594813" w:rsidRPr="000036D5" w14:paraId="382E8529" w14:textId="77777777" w:rsidTr="009639B5">
        <w:trPr>
          <w:trHeight w:val="283"/>
          <w:jc w:val="center"/>
        </w:trPr>
        <w:tc>
          <w:tcPr>
            <w:tcW w:w="2274" w:type="dxa"/>
            <w:vMerge w:val="restart"/>
            <w:tcBorders>
              <w:top w:val="single" w:sz="4" w:space="0" w:color="auto"/>
              <w:left w:val="single" w:sz="4" w:space="0" w:color="auto"/>
            </w:tcBorders>
            <w:shd w:val="clear" w:color="auto" w:fill="auto"/>
            <w:vAlign w:val="center"/>
            <w:hideMark/>
          </w:tcPr>
          <w:p w14:paraId="0D37AB48" w14:textId="77777777" w:rsidR="00594813" w:rsidRPr="000036D5" w:rsidRDefault="00594813" w:rsidP="00594813">
            <w:pPr>
              <w:pStyle w:val="NoSpacing"/>
              <w:jc w:val="center"/>
              <w:rPr>
                <w:rFonts w:ascii="Times New Roman" w:hAnsi="Times New Roman" w:cs="Times New Roman"/>
                <w:sz w:val="20"/>
                <w:szCs w:val="20"/>
              </w:rPr>
            </w:pPr>
            <w:r w:rsidRPr="000036D5">
              <w:rPr>
                <w:rFonts w:ascii="Times New Roman" w:hAnsi="Times New Roman" w:cs="Times New Roman"/>
                <w:sz w:val="20"/>
                <w:szCs w:val="20"/>
              </w:rPr>
              <w:t>Pain duration, n (%)</w:t>
            </w:r>
          </w:p>
        </w:tc>
        <w:tc>
          <w:tcPr>
            <w:tcW w:w="1276" w:type="dxa"/>
            <w:tcBorders>
              <w:top w:val="single" w:sz="4" w:space="0" w:color="auto"/>
              <w:right w:val="single" w:sz="4" w:space="0" w:color="auto"/>
            </w:tcBorders>
            <w:shd w:val="clear" w:color="auto" w:fill="auto"/>
            <w:vAlign w:val="center"/>
            <w:hideMark/>
          </w:tcPr>
          <w:p w14:paraId="2BB2ACF8" w14:textId="77777777" w:rsidR="00594813" w:rsidRPr="000036D5" w:rsidRDefault="00594813" w:rsidP="00594813">
            <w:pPr>
              <w:pStyle w:val="NoSpacing"/>
              <w:jc w:val="center"/>
              <w:rPr>
                <w:rFonts w:ascii="Times New Roman" w:hAnsi="Times New Roman" w:cs="Times New Roman"/>
                <w:sz w:val="20"/>
                <w:szCs w:val="20"/>
              </w:rPr>
            </w:pPr>
            <w:r w:rsidRPr="000036D5">
              <w:rPr>
                <w:rFonts w:ascii="Times New Roman" w:hAnsi="Times New Roman" w:cs="Times New Roman"/>
                <w:sz w:val="20"/>
                <w:szCs w:val="20"/>
              </w:rPr>
              <w:t>&lt;3 months</w:t>
            </w:r>
          </w:p>
        </w:tc>
        <w:tc>
          <w:tcPr>
            <w:tcW w:w="1417" w:type="dxa"/>
            <w:tcBorders>
              <w:top w:val="single" w:sz="4" w:space="0" w:color="auto"/>
              <w:left w:val="single" w:sz="4" w:space="0" w:color="auto"/>
            </w:tcBorders>
            <w:shd w:val="clear" w:color="auto" w:fill="auto"/>
            <w:vAlign w:val="center"/>
            <w:hideMark/>
          </w:tcPr>
          <w:p w14:paraId="00A26856" w14:textId="77777777"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136 (26%)</w:t>
            </w:r>
          </w:p>
        </w:tc>
        <w:tc>
          <w:tcPr>
            <w:tcW w:w="1701" w:type="dxa"/>
            <w:tcBorders>
              <w:top w:val="single" w:sz="4" w:space="0" w:color="auto"/>
            </w:tcBorders>
          </w:tcPr>
          <w:p w14:paraId="759383D6" w14:textId="757228B8"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49 (30</w:t>
            </w:r>
            <w:r>
              <w:rPr>
                <w:rFonts w:ascii="Times New Roman" w:hAnsi="Times New Roman" w:cs="Times New Roman"/>
                <w:sz w:val="20"/>
                <w:szCs w:val="20"/>
              </w:rPr>
              <w:t>%</w:t>
            </w:r>
            <w:r w:rsidRPr="000036D5">
              <w:rPr>
                <w:rFonts w:ascii="Times New Roman" w:hAnsi="Times New Roman" w:cs="Times New Roman"/>
                <w:sz w:val="20"/>
                <w:szCs w:val="20"/>
              </w:rPr>
              <w:t>)</w:t>
            </w:r>
          </w:p>
        </w:tc>
        <w:tc>
          <w:tcPr>
            <w:tcW w:w="1701" w:type="dxa"/>
            <w:tcBorders>
              <w:top w:val="single" w:sz="4" w:space="0" w:color="auto"/>
            </w:tcBorders>
          </w:tcPr>
          <w:p w14:paraId="23DA02E9" w14:textId="536D8A20"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21 (36</w:t>
            </w:r>
            <w:r>
              <w:rPr>
                <w:rFonts w:ascii="Times New Roman" w:hAnsi="Times New Roman" w:cs="Times New Roman"/>
                <w:sz w:val="20"/>
                <w:szCs w:val="20"/>
              </w:rPr>
              <w:t>%</w:t>
            </w:r>
            <w:r w:rsidRPr="000036D5">
              <w:rPr>
                <w:rFonts w:ascii="Times New Roman" w:hAnsi="Times New Roman" w:cs="Times New Roman"/>
                <w:sz w:val="20"/>
                <w:szCs w:val="20"/>
              </w:rPr>
              <w:t>)</w:t>
            </w:r>
          </w:p>
        </w:tc>
        <w:tc>
          <w:tcPr>
            <w:tcW w:w="1701" w:type="dxa"/>
            <w:tcBorders>
              <w:top w:val="single" w:sz="4" w:space="0" w:color="auto"/>
            </w:tcBorders>
          </w:tcPr>
          <w:p w14:paraId="0F62E443" w14:textId="09395D8A"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30 (24</w:t>
            </w:r>
            <w:r>
              <w:rPr>
                <w:rFonts w:ascii="Times New Roman" w:hAnsi="Times New Roman" w:cs="Times New Roman"/>
                <w:sz w:val="20"/>
                <w:szCs w:val="20"/>
              </w:rPr>
              <w:t>%</w:t>
            </w:r>
            <w:r w:rsidRPr="000036D5">
              <w:rPr>
                <w:rFonts w:ascii="Times New Roman" w:hAnsi="Times New Roman" w:cs="Times New Roman"/>
                <w:sz w:val="20"/>
                <w:szCs w:val="20"/>
              </w:rPr>
              <w:t>)</w:t>
            </w:r>
          </w:p>
        </w:tc>
        <w:tc>
          <w:tcPr>
            <w:tcW w:w="1701" w:type="dxa"/>
            <w:tcBorders>
              <w:top w:val="single" w:sz="4" w:space="0" w:color="auto"/>
            </w:tcBorders>
          </w:tcPr>
          <w:p w14:paraId="71894E3B" w14:textId="57345A07"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34 (24%)</w:t>
            </w:r>
          </w:p>
        </w:tc>
        <w:tc>
          <w:tcPr>
            <w:tcW w:w="1838" w:type="dxa"/>
            <w:tcBorders>
              <w:top w:val="single" w:sz="4" w:space="0" w:color="auto"/>
              <w:right w:val="single" w:sz="4" w:space="0" w:color="auto"/>
            </w:tcBorders>
          </w:tcPr>
          <w:p w14:paraId="2DB948E7" w14:textId="77777777"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5 (12</w:t>
            </w:r>
            <w:r>
              <w:rPr>
                <w:rFonts w:ascii="Times New Roman" w:hAnsi="Times New Roman" w:cs="Times New Roman"/>
                <w:sz w:val="20"/>
                <w:szCs w:val="20"/>
              </w:rPr>
              <w:t>%</w:t>
            </w:r>
            <w:r w:rsidRPr="000036D5">
              <w:rPr>
                <w:rFonts w:ascii="Times New Roman" w:hAnsi="Times New Roman" w:cs="Times New Roman"/>
                <w:sz w:val="20"/>
                <w:szCs w:val="20"/>
              </w:rPr>
              <w:t>)</w:t>
            </w:r>
          </w:p>
        </w:tc>
      </w:tr>
      <w:tr w:rsidR="00594813" w:rsidRPr="000036D5" w14:paraId="1F9D26BD" w14:textId="77777777" w:rsidTr="009639B5">
        <w:trPr>
          <w:trHeight w:val="283"/>
          <w:jc w:val="center"/>
        </w:trPr>
        <w:tc>
          <w:tcPr>
            <w:tcW w:w="2274" w:type="dxa"/>
            <w:vMerge/>
            <w:tcBorders>
              <w:left w:val="single" w:sz="4" w:space="0" w:color="auto"/>
            </w:tcBorders>
            <w:shd w:val="clear" w:color="auto" w:fill="auto"/>
            <w:vAlign w:val="center"/>
            <w:hideMark/>
          </w:tcPr>
          <w:p w14:paraId="6BB7350F" w14:textId="77777777" w:rsidR="00594813" w:rsidRPr="000036D5" w:rsidRDefault="00594813" w:rsidP="00594813">
            <w:pPr>
              <w:pStyle w:val="NoSpacing"/>
              <w:jc w:val="center"/>
              <w:rPr>
                <w:rFonts w:ascii="Times New Roman" w:hAnsi="Times New Roman" w:cs="Times New Roman"/>
                <w:sz w:val="20"/>
                <w:szCs w:val="20"/>
              </w:rPr>
            </w:pPr>
          </w:p>
        </w:tc>
        <w:tc>
          <w:tcPr>
            <w:tcW w:w="1276" w:type="dxa"/>
            <w:tcBorders>
              <w:right w:val="single" w:sz="4" w:space="0" w:color="auto"/>
            </w:tcBorders>
            <w:shd w:val="clear" w:color="auto" w:fill="auto"/>
            <w:vAlign w:val="center"/>
            <w:hideMark/>
          </w:tcPr>
          <w:p w14:paraId="6E7B5F02" w14:textId="77777777" w:rsidR="00594813" w:rsidRPr="000036D5" w:rsidRDefault="00594813" w:rsidP="00594813">
            <w:pPr>
              <w:pStyle w:val="NoSpacing"/>
              <w:jc w:val="center"/>
              <w:rPr>
                <w:rFonts w:ascii="Times New Roman" w:hAnsi="Times New Roman" w:cs="Times New Roman"/>
                <w:sz w:val="20"/>
                <w:szCs w:val="20"/>
              </w:rPr>
            </w:pPr>
            <w:r w:rsidRPr="000036D5">
              <w:rPr>
                <w:rFonts w:ascii="Times New Roman" w:hAnsi="Times New Roman" w:cs="Times New Roman"/>
                <w:sz w:val="20"/>
                <w:szCs w:val="20"/>
              </w:rPr>
              <w:t>3-6 months</w:t>
            </w:r>
          </w:p>
        </w:tc>
        <w:tc>
          <w:tcPr>
            <w:tcW w:w="1417" w:type="dxa"/>
            <w:tcBorders>
              <w:left w:val="single" w:sz="4" w:space="0" w:color="auto"/>
            </w:tcBorders>
            <w:shd w:val="clear" w:color="auto" w:fill="auto"/>
            <w:vAlign w:val="center"/>
            <w:hideMark/>
          </w:tcPr>
          <w:p w14:paraId="0DF8B28F" w14:textId="77777777"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77 (15%)</w:t>
            </w:r>
          </w:p>
        </w:tc>
        <w:tc>
          <w:tcPr>
            <w:tcW w:w="1701" w:type="dxa"/>
          </w:tcPr>
          <w:p w14:paraId="1F2F2E38" w14:textId="3791168D"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19 (12</w:t>
            </w:r>
            <w:r>
              <w:rPr>
                <w:rFonts w:ascii="Times New Roman" w:hAnsi="Times New Roman" w:cs="Times New Roman"/>
                <w:sz w:val="20"/>
                <w:szCs w:val="20"/>
              </w:rPr>
              <w:t>%</w:t>
            </w:r>
            <w:r w:rsidRPr="000036D5">
              <w:rPr>
                <w:rFonts w:ascii="Times New Roman" w:hAnsi="Times New Roman" w:cs="Times New Roman"/>
                <w:sz w:val="20"/>
                <w:szCs w:val="20"/>
              </w:rPr>
              <w:t>)</w:t>
            </w:r>
          </w:p>
        </w:tc>
        <w:tc>
          <w:tcPr>
            <w:tcW w:w="1701" w:type="dxa"/>
          </w:tcPr>
          <w:p w14:paraId="2665D8B1" w14:textId="2C58C7B1"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14 (24</w:t>
            </w:r>
            <w:r>
              <w:rPr>
                <w:rFonts w:ascii="Times New Roman" w:hAnsi="Times New Roman" w:cs="Times New Roman"/>
                <w:sz w:val="20"/>
                <w:szCs w:val="20"/>
              </w:rPr>
              <w:t>%</w:t>
            </w:r>
            <w:r w:rsidRPr="000036D5">
              <w:rPr>
                <w:rFonts w:ascii="Times New Roman" w:hAnsi="Times New Roman" w:cs="Times New Roman"/>
                <w:sz w:val="20"/>
                <w:szCs w:val="20"/>
              </w:rPr>
              <w:t>)</w:t>
            </w:r>
          </w:p>
        </w:tc>
        <w:tc>
          <w:tcPr>
            <w:tcW w:w="1701" w:type="dxa"/>
          </w:tcPr>
          <w:p w14:paraId="06C061BB" w14:textId="78C62D01"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26 (21</w:t>
            </w:r>
            <w:r>
              <w:rPr>
                <w:rFonts w:ascii="Times New Roman" w:hAnsi="Times New Roman" w:cs="Times New Roman"/>
                <w:sz w:val="20"/>
                <w:szCs w:val="20"/>
              </w:rPr>
              <w:t>%</w:t>
            </w:r>
            <w:r w:rsidRPr="000036D5">
              <w:rPr>
                <w:rFonts w:ascii="Times New Roman" w:hAnsi="Times New Roman" w:cs="Times New Roman"/>
                <w:sz w:val="20"/>
                <w:szCs w:val="20"/>
              </w:rPr>
              <w:t>)</w:t>
            </w:r>
          </w:p>
        </w:tc>
        <w:tc>
          <w:tcPr>
            <w:tcW w:w="1701" w:type="dxa"/>
          </w:tcPr>
          <w:p w14:paraId="18E6E1E8" w14:textId="43A21BBB"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14 (10%)</w:t>
            </w:r>
          </w:p>
        </w:tc>
        <w:tc>
          <w:tcPr>
            <w:tcW w:w="1838" w:type="dxa"/>
            <w:tcBorders>
              <w:right w:val="single" w:sz="4" w:space="0" w:color="auto"/>
            </w:tcBorders>
          </w:tcPr>
          <w:p w14:paraId="71388041" w14:textId="77777777"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4 (10</w:t>
            </w:r>
            <w:r>
              <w:rPr>
                <w:rFonts w:ascii="Times New Roman" w:hAnsi="Times New Roman" w:cs="Times New Roman"/>
                <w:sz w:val="20"/>
                <w:szCs w:val="20"/>
              </w:rPr>
              <w:t>%</w:t>
            </w:r>
            <w:r w:rsidRPr="000036D5">
              <w:rPr>
                <w:rFonts w:ascii="Times New Roman" w:hAnsi="Times New Roman" w:cs="Times New Roman"/>
                <w:sz w:val="20"/>
                <w:szCs w:val="20"/>
              </w:rPr>
              <w:t>)</w:t>
            </w:r>
          </w:p>
        </w:tc>
      </w:tr>
      <w:tr w:rsidR="00594813" w:rsidRPr="000036D5" w14:paraId="5533978C" w14:textId="77777777" w:rsidTr="009639B5">
        <w:trPr>
          <w:trHeight w:val="283"/>
          <w:jc w:val="center"/>
        </w:trPr>
        <w:tc>
          <w:tcPr>
            <w:tcW w:w="2274" w:type="dxa"/>
            <w:vMerge/>
            <w:tcBorders>
              <w:left w:val="single" w:sz="4" w:space="0" w:color="auto"/>
            </w:tcBorders>
            <w:shd w:val="clear" w:color="auto" w:fill="auto"/>
            <w:vAlign w:val="center"/>
            <w:hideMark/>
          </w:tcPr>
          <w:p w14:paraId="6AE3F481" w14:textId="77777777" w:rsidR="00594813" w:rsidRPr="000036D5" w:rsidRDefault="00594813" w:rsidP="00594813">
            <w:pPr>
              <w:pStyle w:val="NoSpacing"/>
              <w:jc w:val="center"/>
              <w:rPr>
                <w:rFonts w:ascii="Times New Roman" w:hAnsi="Times New Roman" w:cs="Times New Roman"/>
                <w:sz w:val="20"/>
                <w:szCs w:val="20"/>
              </w:rPr>
            </w:pPr>
          </w:p>
        </w:tc>
        <w:tc>
          <w:tcPr>
            <w:tcW w:w="1276" w:type="dxa"/>
            <w:tcBorders>
              <w:right w:val="single" w:sz="4" w:space="0" w:color="auto"/>
            </w:tcBorders>
            <w:shd w:val="clear" w:color="auto" w:fill="auto"/>
            <w:vAlign w:val="center"/>
            <w:hideMark/>
          </w:tcPr>
          <w:p w14:paraId="4627DC85" w14:textId="77777777" w:rsidR="00594813" w:rsidRPr="000036D5" w:rsidRDefault="00594813" w:rsidP="00594813">
            <w:pPr>
              <w:pStyle w:val="NoSpacing"/>
              <w:jc w:val="center"/>
              <w:rPr>
                <w:rFonts w:ascii="Times New Roman" w:hAnsi="Times New Roman" w:cs="Times New Roman"/>
                <w:sz w:val="20"/>
                <w:szCs w:val="20"/>
              </w:rPr>
            </w:pPr>
            <w:r w:rsidRPr="000036D5">
              <w:rPr>
                <w:rFonts w:ascii="Times New Roman" w:hAnsi="Times New Roman" w:cs="Times New Roman"/>
                <w:sz w:val="20"/>
                <w:szCs w:val="20"/>
              </w:rPr>
              <w:t>7-12 months</w:t>
            </w:r>
          </w:p>
        </w:tc>
        <w:tc>
          <w:tcPr>
            <w:tcW w:w="1417" w:type="dxa"/>
            <w:tcBorders>
              <w:left w:val="single" w:sz="4" w:space="0" w:color="auto"/>
            </w:tcBorders>
            <w:shd w:val="clear" w:color="auto" w:fill="auto"/>
            <w:vAlign w:val="center"/>
            <w:hideMark/>
          </w:tcPr>
          <w:p w14:paraId="0243A446" w14:textId="77777777"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89 (17%)</w:t>
            </w:r>
          </w:p>
        </w:tc>
        <w:tc>
          <w:tcPr>
            <w:tcW w:w="1701" w:type="dxa"/>
          </w:tcPr>
          <w:p w14:paraId="35CAE844" w14:textId="541AF4DD"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23 (15</w:t>
            </w:r>
            <w:r>
              <w:rPr>
                <w:rFonts w:ascii="Times New Roman" w:hAnsi="Times New Roman" w:cs="Times New Roman"/>
                <w:sz w:val="20"/>
                <w:szCs w:val="20"/>
              </w:rPr>
              <w:t>%</w:t>
            </w:r>
            <w:r w:rsidRPr="000036D5">
              <w:rPr>
                <w:rFonts w:ascii="Times New Roman" w:hAnsi="Times New Roman" w:cs="Times New Roman"/>
                <w:sz w:val="20"/>
                <w:szCs w:val="20"/>
              </w:rPr>
              <w:t>)</w:t>
            </w:r>
          </w:p>
        </w:tc>
        <w:tc>
          <w:tcPr>
            <w:tcW w:w="1701" w:type="dxa"/>
          </w:tcPr>
          <w:p w14:paraId="4C45CED3" w14:textId="64F19183"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6 (10</w:t>
            </w:r>
            <w:r>
              <w:rPr>
                <w:rFonts w:ascii="Times New Roman" w:hAnsi="Times New Roman" w:cs="Times New Roman"/>
                <w:sz w:val="20"/>
                <w:szCs w:val="20"/>
              </w:rPr>
              <w:t>%</w:t>
            </w:r>
            <w:r w:rsidRPr="000036D5">
              <w:rPr>
                <w:rFonts w:ascii="Times New Roman" w:hAnsi="Times New Roman" w:cs="Times New Roman"/>
                <w:sz w:val="20"/>
                <w:szCs w:val="20"/>
              </w:rPr>
              <w:t>)</w:t>
            </w:r>
          </w:p>
        </w:tc>
        <w:tc>
          <w:tcPr>
            <w:tcW w:w="1701" w:type="dxa"/>
          </w:tcPr>
          <w:p w14:paraId="35ED6400" w14:textId="65B97034"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32 (26</w:t>
            </w:r>
            <w:r>
              <w:rPr>
                <w:rFonts w:ascii="Times New Roman" w:hAnsi="Times New Roman" w:cs="Times New Roman"/>
                <w:sz w:val="20"/>
                <w:szCs w:val="20"/>
              </w:rPr>
              <w:t>%</w:t>
            </w:r>
            <w:r w:rsidRPr="000036D5">
              <w:rPr>
                <w:rFonts w:ascii="Times New Roman" w:hAnsi="Times New Roman" w:cs="Times New Roman"/>
                <w:sz w:val="20"/>
                <w:szCs w:val="20"/>
              </w:rPr>
              <w:t>)</w:t>
            </w:r>
          </w:p>
        </w:tc>
        <w:tc>
          <w:tcPr>
            <w:tcW w:w="1701" w:type="dxa"/>
          </w:tcPr>
          <w:p w14:paraId="7801CF9E" w14:textId="777ED1A9"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24 (17%)</w:t>
            </w:r>
          </w:p>
        </w:tc>
        <w:tc>
          <w:tcPr>
            <w:tcW w:w="1838" w:type="dxa"/>
            <w:tcBorders>
              <w:right w:val="single" w:sz="4" w:space="0" w:color="auto"/>
            </w:tcBorders>
          </w:tcPr>
          <w:p w14:paraId="134B922E" w14:textId="77777777"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4 (10</w:t>
            </w:r>
            <w:r>
              <w:rPr>
                <w:rFonts w:ascii="Times New Roman" w:hAnsi="Times New Roman" w:cs="Times New Roman"/>
                <w:sz w:val="20"/>
                <w:szCs w:val="20"/>
              </w:rPr>
              <w:t>%</w:t>
            </w:r>
            <w:r w:rsidRPr="000036D5">
              <w:rPr>
                <w:rFonts w:ascii="Times New Roman" w:hAnsi="Times New Roman" w:cs="Times New Roman"/>
                <w:sz w:val="20"/>
                <w:szCs w:val="20"/>
              </w:rPr>
              <w:t>)</w:t>
            </w:r>
          </w:p>
        </w:tc>
      </w:tr>
      <w:tr w:rsidR="00594813" w:rsidRPr="000036D5" w14:paraId="5F6671F9" w14:textId="77777777" w:rsidTr="009639B5">
        <w:trPr>
          <w:trHeight w:val="283"/>
          <w:jc w:val="center"/>
        </w:trPr>
        <w:tc>
          <w:tcPr>
            <w:tcW w:w="2274" w:type="dxa"/>
            <w:vMerge/>
            <w:tcBorders>
              <w:left w:val="single" w:sz="4" w:space="0" w:color="auto"/>
            </w:tcBorders>
            <w:shd w:val="clear" w:color="auto" w:fill="auto"/>
            <w:vAlign w:val="center"/>
            <w:hideMark/>
          </w:tcPr>
          <w:p w14:paraId="3749AF79" w14:textId="77777777" w:rsidR="00594813" w:rsidRPr="000036D5" w:rsidRDefault="00594813" w:rsidP="00594813">
            <w:pPr>
              <w:pStyle w:val="NoSpacing"/>
              <w:jc w:val="center"/>
              <w:rPr>
                <w:rFonts w:ascii="Times New Roman" w:hAnsi="Times New Roman" w:cs="Times New Roman"/>
                <w:sz w:val="20"/>
                <w:szCs w:val="20"/>
              </w:rPr>
            </w:pPr>
          </w:p>
        </w:tc>
        <w:tc>
          <w:tcPr>
            <w:tcW w:w="1276" w:type="dxa"/>
            <w:tcBorders>
              <w:right w:val="single" w:sz="4" w:space="0" w:color="auto"/>
            </w:tcBorders>
            <w:shd w:val="clear" w:color="auto" w:fill="auto"/>
            <w:vAlign w:val="center"/>
            <w:hideMark/>
          </w:tcPr>
          <w:p w14:paraId="20DD9817" w14:textId="77777777" w:rsidR="00594813" w:rsidRPr="000036D5" w:rsidRDefault="00594813" w:rsidP="00594813">
            <w:pPr>
              <w:pStyle w:val="NoSpacing"/>
              <w:jc w:val="center"/>
              <w:rPr>
                <w:rFonts w:ascii="Times New Roman" w:hAnsi="Times New Roman" w:cs="Times New Roman"/>
                <w:sz w:val="20"/>
                <w:szCs w:val="20"/>
              </w:rPr>
            </w:pPr>
            <w:r w:rsidRPr="000036D5">
              <w:rPr>
                <w:rFonts w:ascii="Times New Roman" w:hAnsi="Times New Roman" w:cs="Times New Roman"/>
                <w:sz w:val="20"/>
                <w:szCs w:val="20"/>
              </w:rPr>
              <w:t>1-2 years</w:t>
            </w:r>
          </w:p>
        </w:tc>
        <w:tc>
          <w:tcPr>
            <w:tcW w:w="1417" w:type="dxa"/>
            <w:tcBorders>
              <w:left w:val="single" w:sz="4" w:space="0" w:color="auto"/>
            </w:tcBorders>
            <w:shd w:val="clear" w:color="auto" w:fill="auto"/>
            <w:vAlign w:val="center"/>
            <w:hideMark/>
          </w:tcPr>
          <w:p w14:paraId="702069BE" w14:textId="77777777"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75 (14%)</w:t>
            </w:r>
          </w:p>
        </w:tc>
        <w:tc>
          <w:tcPr>
            <w:tcW w:w="1701" w:type="dxa"/>
          </w:tcPr>
          <w:p w14:paraId="7C195841" w14:textId="2930B3BA"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16 (10</w:t>
            </w:r>
            <w:r>
              <w:rPr>
                <w:rFonts w:ascii="Times New Roman" w:hAnsi="Times New Roman" w:cs="Times New Roman"/>
                <w:sz w:val="20"/>
                <w:szCs w:val="20"/>
              </w:rPr>
              <w:t>%</w:t>
            </w:r>
            <w:r w:rsidRPr="000036D5">
              <w:rPr>
                <w:rFonts w:ascii="Times New Roman" w:hAnsi="Times New Roman" w:cs="Times New Roman"/>
                <w:sz w:val="20"/>
                <w:szCs w:val="20"/>
              </w:rPr>
              <w:t>)</w:t>
            </w:r>
          </w:p>
        </w:tc>
        <w:tc>
          <w:tcPr>
            <w:tcW w:w="1701" w:type="dxa"/>
          </w:tcPr>
          <w:p w14:paraId="2FD9E205" w14:textId="226841FB"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5 (8</w:t>
            </w:r>
            <w:r>
              <w:rPr>
                <w:rFonts w:ascii="Times New Roman" w:hAnsi="Times New Roman" w:cs="Times New Roman"/>
                <w:sz w:val="20"/>
                <w:szCs w:val="20"/>
              </w:rPr>
              <w:t>%</w:t>
            </w:r>
            <w:r w:rsidRPr="000036D5">
              <w:rPr>
                <w:rFonts w:ascii="Times New Roman" w:hAnsi="Times New Roman" w:cs="Times New Roman"/>
                <w:sz w:val="20"/>
                <w:szCs w:val="20"/>
              </w:rPr>
              <w:t>)</w:t>
            </w:r>
          </w:p>
        </w:tc>
        <w:tc>
          <w:tcPr>
            <w:tcW w:w="1701" w:type="dxa"/>
          </w:tcPr>
          <w:p w14:paraId="0DB57DBD" w14:textId="16126A03"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19 (15</w:t>
            </w:r>
            <w:r>
              <w:rPr>
                <w:rFonts w:ascii="Times New Roman" w:hAnsi="Times New Roman" w:cs="Times New Roman"/>
                <w:sz w:val="20"/>
                <w:szCs w:val="20"/>
              </w:rPr>
              <w:t>%</w:t>
            </w:r>
            <w:r w:rsidRPr="000036D5">
              <w:rPr>
                <w:rFonts w:ascii="Times New Roman" w:hAnsi="Times New Roman" w:cs="Times New Roman"/>
                <w:sz w:val="20"/>
                <w:szCs w:val="20"/>
              </w:rPr>
              <w:t>)</w:t>
            </w:r>
          </w:p>
        </w:tc>
        <w:tc>
          <w:tcPr>
            <w:tcW w:w="1701" w:type="dxa"/>
          </w:tcPr>
          <w:p w14:paraId="2685917D" w14:textId="06AC0883"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26 (18%)</w:t>
            </w:r>
          </w:p>
        </w:tc>
        <w:tc>
          <w:tcPr>
            <w:tcW w:w="1838" w:type="dxa"/>
            <w:tcBorders>
              <w:right w:val="single" w:sz="4" w:space="0" w:color="auto"/>
            </w:tcBorders>
          </w:tcPr>
          <w:p w14:paraId="46D11D86" w14:textId="77777777"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9 (21</w:t>
            </w:r>
            <w:r>
              <w:rPr>
                <w:rFonts w:ascii="Times New Roman" w:hAnsi="Times New Roman" w:cs="Times New Roman"/>
                <w:sz w:val="20"/>
                <w:szCs w:val="20"/>
              </w:rPr>
              <w:t>%</w:t>
            </w:r>
            <w:r w:rsidRPr="000036D5">
              <w:rPr>
                <w:rFonts w:ascii="Times New Roman" w:hAnsi="Times New Roman" w:cs="Times New Roman"/>
                <w:sz w:val="20"/>
                <w:szCs w:val="20"/>
              </w:rPr>
              <w:t>)</w:t>
            </w:r>
          </w:p>
        </w:tc>
      </w:tr>
      <w:tr w:rsidR="00594813" w:rsidRPr="000036D5" w14:paraId="0CB307B0" w14:textId="77777777" w:rsidTr="009639B5">
        <w:trPr>
          <w:trHeight w:val="283"/>
          <w:jc w:val="center"/>
        </w:trPr>
        <w:tc>
          <w:tcPr>
            <w:tcW w:w="2274" w:type="dxa"/>
            <w:vMerge/>
            <w:tcBorders>
              <w:left w:val="single" w:sz="4" w:space="0" w:color="auto"/>
            </w:tcBorders>
            <w:shd w:val="clear" w:color="auto" w:fill="auto"/>
            <w:vAlign w:val="center"/>
            <w:hideMark/>
          </w:tcPr>
          <w:p w14:paraId="782F448E" w14:textId="77777777" w:rsidR="00594813" w:rsidRPr="000036D5" w:rsidRDefault="00594813" w:rsidP="00594813">
            <w:pPr>
              <w:pStyle w:val="NoSpacing"/>
              <w:jc w:val="center"/>
              <w:rPr>
                <w:rFonts w:ascii="Times New Roman" w:hAnsi="Times New Roman" w:cs="Times New Roman"/>
                <w:sz w:val="20"/>
                <w:szCs w:val="20"/>
              </w:rPr>
            </w:pPr>
          </w:p>
        </w:tc>
        <w:tc>
          <w:tcPr>
            <w:tcW w:w="1276" w:type="dxa"/>
            <w:tcBorders>
              <w:right w:val="single" w:sz="4" w:space="0" w:color="auto"/>
            </w:tcBorders>
            <w:shd w:val="clear" w:color="auto" w:fill="auto"/>
            <w:vAlign w:val="center"/>
            <w:hideMark/>
          </w:tcPr>
          <w:p w14:paraId="4865F964" w14:textId="77777777" w:rsidR="00594813" w:rsidRPr="000036D5" w:rsidRDefault="00594813" w:rsidP="00594813">
            <w:pPr>
              <w:pStyle w:val="NoSpacing"/>
              <w:jc w:val="center"/>
              <w:rPr>
                <w:rFonts w:ascii="Times New Roman" w:hAnsi="Times New Roman" w:cs="Times New Roman"/>
                <w:sz w:val="20"/>
                <w:szCs w:val="20"/>
              </w:rPr>
            </w:pPr>
            <w:r w:rsidRPr="000036D5">
              <w:rPr>
                <w:rFonts w:ascii="Times New Roman" w:hAnsi="Times New Roman" w:cs="Times New Roman"/>
                <w:sz w:val="20"/>
                <w:szCs w:val="20"/>
              </w:rPr>
              <w:t>3-5 years</w:t>
            </w:r>
          </w:p>
        </w:tc>
        <w:tc>
          <w:tcPr>
            <w:tcW w:w="1417" w:type="dxa"/>
            <w:tcBorders>
              <w:left w:val="single" w:sz="4" w:space="0" w:color="auto"/>
            </w:tcBorders>
            <w:shd w:val="clear" w:color="auto" w:fill="auto"/>
            <w:vAlign w:val="center"/>
            <w:hideMark/>
          </w:tcPr>
          <w:p w14:paraId="0B1D4A46" w14:textId="77777777"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53 (10%)</w:t>
            </w:r>
          </w:p>
        </w:tc>
        <w:tc>
          <w:tcPr>
            <w:tcW w:w="1701" w:type="dxa"/>
          </w:tcPr>
          <w:p w14:paraId="22045189" w14:textId="4C6BC08F"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15 (10</w:t>
            </w:r>
            <w:r>
              <w:rPr>
                <w:rFonts w:ascii="Times New Roman" w:hAnsi="Times New Roman" w:cs="Times New Roman"/>
                <w:sz w:val="20"/>
                <w:szCs w:val="20"/>
              </w:rPr>
              <w:t>%</w:t>
            </w:r>
            <w:r w:rsidRPr="000036D5">
              <w:rPr>
                <w:rFonts w:ascii="Times New Roman" w:hAnsi="Times New Roman" w:cs="Times New Roman"/>
                <w:sz w:val="20"/>
                <w:szCs w:val="20"/>
              </w:rPr>
              <w:t>)</w:t>
            </w:r>
          </w:p>
        </w:tc>
        <w:tc>
          <w:tcPr>
            <w:tcW w:w="1701" w:type="dxa"/>
          </w:tcPr>
          <w:p w14:paraId="7C43AD88" w14:textId="14B80989"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5 (8</w:t>
            </w:r>
            <w:r>
              <w:rPr>
                <w:rFonts w:ascii="Times New Roman" w:hAnsi="Times New Roman" w:cs="Times New Roman"/>
                <w:sz w:val="20"/>
                <w:szCs w:val="20"/>
              </w:rPr>
              <w:t>%</w:t>
            </w:r>
            <w:r w:rsidRPr="000036D5">
              <w:rPr>
                <w:rFonts w:ascii="Times New Roman" w:hAnsi="Times New Roman" w:cs="Times New Roman"/>
                <w:sz w:val="20"/>
                <w:szCs w:val="20"/>
              </w:rPr>
              <w:t>)</w:t>
            </w:r>
          </w:p>
        </w:tc>
        <w:tc>
          <w:tcPr>
            <w:tcW w:w="1701" w:type="dxa"/>
          </w:tcPr>
          <w:p w14:paraId="12803095" w14:textId="5B79B6E0"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7 (6</w:t>
            </w:r>
            <w:r>
              <w:rPr>
                <w:rFonts w:ascii="Times New Roman" w:hAnsi="Times New Roman" w:cs="Times New Roman"/>
                <w:sz w:val="20"/>
                <w:szCs w:val="20"/>
              </w:rPr>
              <w:t>%</w:t>
            </w:r>
            <w:r w:rsidRPr="000036D5">
              <w:rPr>
                <w:rFonts w:ascii="Times New Roman" w:hAnsi="Times New Roman" w:cs="Times New Roman"/>
                <w:sz w:val="20"/>
                <w:szCs w:val="20"/>
              </w:rPr>
              <w:t>)</w:t>
            </w:r>
          </w:p>
        </w:tc>
        <w:tc>
          <w:tcPr>
            <w:tcW w:w="1701" w:type="dxa"/>
          </w:tcPr>
          <w:p w14:paraId="7DB703D7" w14:textId="7ADF15E7"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18 (12%)</w:t>
            </w:r>
          </w:p>
        </w:tc>
        <w:tc>
          <w:tcPr>
            <w:tcW w:w="1838" w:type="dxa"/>
            <w:tcBorders>
              <w:right w:val="single" w:sz="4" w:space="0" w:color="auto"/>
            </w:tcBorders>
          </w:tcPr>
          <w:p w14:paraId="366646B3" w14:textId="77777777"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8 (19</w:t>
            </w:r>
            <w:r>
              <w:rPr>
                <w:rFonts w:ascii="Times New Roman" w:hAnsi="Times New Roman" w:cs="Times New Roman"/>
                <w:sz w:val="20"/>
                <w:szCs w:val="20"/>
              </w:rPr>
              <w:t>%</w:t>
            </w:r>
            <w:r w:rsidRPr="000036D5">
              <w:rPr>
                <w:rFonts w:ascii="Times New Roman" w:hAnsi="Times New Roman" w:cs="Times New Roman"/>
                <w:sz w:val="20"/>
                <w:szCs w:val="20"/>
              </w:rPr>
              <w:t>)</w:t>
            </w:r>
          </w:p>
        </w:tc>
      </w:tr>
      <w:tr w:rsidR="00594813" w:rsidRPr="000036D5" w14:paraId="19C3C95F" w14:textId="77777777" w:rsidTr="009639B5">
        <w:trPr>
          <w:trHeight w:val="283"/>
          <w:jc w:val="center"/>
        </w:trPr>
        <w:tc>
          <w:tcPr>
            <w:tcW w:w="2274" w:type="dxa"/>
            <w:vMerge/>
            <w:tcBorders>
              <w:left w:val="single" w:sz="4" w:space="0" w:color="auto"/>
            </w:tcBorders>
            <w:shd w:val="clear" w:color="auto" w:fill="auto"/>
            <w:vAlign w:val="center"/>
            <w:hideMark/>
          </w:tcPr>
          <w:p w14:paraId="4B3AA96D" w14:textId="77777777" w:rsidR="00594813" w:rsidRPr="000036D5" w:rsidRDefault="00594813" w:rsidP="00594813">
            <w:pPr>
              <w:pStyle w:val="NoSpacing"/>
              <w:jc w:val="center"/>
              <w:rPr>
                <w:rFonts w:ascii="Times New Roman" w:hAnsi="Times New Roman" w:cs="Times New Roman"/>
                <w:sz w:val="20"/>
                <w:szCs w:val="20"/>
              </w:rPr>
            </w:pPr>
          </w:p>
        </w:tc>
        <w:tc>
          <w:tcPr>
            <w:tcW w:w="1276" w:type="dxa"/>
            <w:tcBorders>
              <w:right w:val="single" w:sz="4" w:space="0" w:color="auto"/>
            </w:tcBorders>
            <w:shd w:val="clear" w:color="auto" w:fill="auto"/>
            <w:vAlign w:val="center"/>
            <w:hideMark/>
          </w:tcPr>
          <w:p w14:paraId="2482A72C" w14:textId="77777777" w:rsidR="00594813" w:rsidRPr="000036D5" w:rsidRDefault="00594813" w:rsidP="00594813">
            <w:pPr>
              <w:pStyle w:val="NoSpacing"/>
              <w:jc w:val="center"/>
              <w:rPr>
                <w:rFonts w:ascii="Times New Roman" w:hAnsi="Times New Roman" w:cs="Times New Roman"/>
                <w:sz w:val="20"/>
                <w:szCs w:val="20"/>
              </w:rPr>
            </w:pPr>
            <w:r w:rsidRPr="000036D5">
              <w:rPr>
                <w:rFonts w:ascii="Times New Roman" w:hAnsi="Times New Roman" w:cs="Times New Roman"/>
                <w:sz w:val="20"/>
                <w:szCs w:val="20"/>
              </w:rPr>
              <w:t>6-10 years</w:t>
            </w:r>
          </w:p>
        </w:tc>
        <w:tc>
          <w:tcPr>
            <w:tcW w:w="1417" w:type="dxa"/>
            <w:tcBorders>
              <w:left w:val="single" w:sz="4" w:space="0" w:color="auto"/>
            </w:tcBorders>
            <w:shd w:val="clear" w:color="auto" w:fill="auto"/>
            <w:vAlign w:val="center"/>
            <w:hideMark/>
          </w:tcPr>
          <w:p w14:paraId="4353FE07" w14:textId="77777777"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48 (9%)</w:t>
            </w:r>
          </w:p>
        </w:tc>
        <w:tc>
          <w:tcPr>
            <w:tcW w:w="1701" w:type="dxa"/>
          </w:tcPr>
          <w:p w14:paraId="3AADB874" w14:textId="5CC70D8E"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15 (10</w:t>
            </w:r>
            <w:r>
              <w:rPr>
                <w:rFonts w:ascii="Times New Roman" w:hAnsi="Times New Roman" w:cs="Times New Roman"/>
                <w:sz w:val="20"/>
                <w:szCs w:val="20"/>
              </w:rPr>
              <w:t>%</w:t>
            </w:r>
            <w:r w:rsidRPr="000036D5">
              <w:rPr>
                <w:rFonts w:ascii="Times New Roman" w:hAnsi="Times New Roman" w:cs="Times New Roman"/>
                <w:sz w:val="20"/>
                <w:szCs w:val="20"/>
              </w:rPr>
              <w:t>)</w:t>
            </w:r>
          </w:p>
        </w:tc>
        <w:tc>
          <w:tcPr>
            <w:tcW w:w="1701" w:type="dxa"/>
          </w:tcPr>
          <w:p w14:paraId="05F37F82" w14:textId="73528DF4"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4 (7</w:t>
            </w:r>
            <w:r>
              <w:rPr>
                <w:rFonts w:ascii="Times New Roman" w:hAnsi="Times New Roman" w:cs="Times New Roman"/>
                <w:sz w:val="20"/>
                <w:szCs w:val="20"/>
              </w:rPr>
              <w:t>%</w:t>
            </w:r>
            <w:r w:rsidRPr="000036D5">
              <w:rPr>
                <w:rFonts w:ascii="Times New Roman" w:hAnsi="Times New Roman" w:cs="Times New Roman"/>
                <w:sz w:val="20"/>
                <w:szCs w:val="20"/>
              </w:rPr>
              <w:t>)</w:t>
            </w:r>
          </w:p>
        </w:tc>
        <w:tc>
          <w:tcPr>
            <w:tcW w:w="1701" w:type="dxa"/>
          </w:tcPr>
          <w:p w14:paraId="23ACCA9B" w14:textId="67699BA5"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6 (5</w:t>
            </w:r>
            <w:r>
              <w:rPr>
                <w:rFonts w:ascii="Times New Roman" w:hAnsi="Times New Roman" w:cs="Times New Roman"/>
                <w:sz w:val="20"/>
                <w:szCs w:val="20"/>
              </w:rPr>
              <w:t>%</w:t>
            </w:r>
            <w:r w:rsidRPr="000036D5">
              <w:rPr>
                <w:rFonts w:ascii="Times New Roman" w:hAnsi="Times New Roman" w:cs="Times New Roman"/>
                <w:sz w:val="20"/>
                <w:szCs w:val="20"/>
              </w:rPr>
              <w:t>)</w:t>
            </w:r>
          </w:p>
        </w:tc>
        <w:tc>
          <w:tcPr>
            <w:tcW w:w="1701" w:type="dxa"/>
          </w:tcPr>
          <w:p w14:paraId="0845317B" w14:textId="62FEBF7E"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19 (13%)</w:t>
            </w:r>
          </w:p>
        </w:tc>
        <w:tc>
          <w:tcPr>
            <w:tcW w:w="1838" w:type="dxa"/>
            <w:tcBorders>
              <w:right w:val="single" w:sz="4" w:space="0" w:color="auto"/>
            </w:tcBorders>
          </w:tcPr>
          <w:p w14:paraId="65A22DCC" w14:textId="77777777"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4 (10</w:t>
            </w:r>
            <w:r>
              <w:rPr>
                <w:rFonts w:ascii="Times New Roman" w:hAnsi="Times New Roman" w:cs="Times New Roman"/>
                <w:sz w:val="20"/>
                <w:szCs w:val="20"/>
              </w:rPr>
              <w:t>%</w:t>
            </w:r>
            <w:r w:rsidRPr="000036D5">
              <w:rPr>
                <w:rFonts w:ascii="Times New Roman" w:hAnsi="Times New Roman" w:cs="Times New Roman"/>
                <w:sz w:val="20"/>
                <w:szCs w:val="20"/>
              </w:rPr>
              <w:t>)</w:t>
            </w:r>
          </w:p>
        </w:tc>
      </w:tr>
      <w:tr w:rsidR="00594813" w:rsidRPr="000036D5" w14:paraId="0AFEE762" w14:textId="77777777" w:rsidTr="009639B5">
        <w:trPr>
          <w:trHeight w:val="283"/>
          <w:jc w:val="center"/>
        </w:trPr>
        <w:tc>
          <w:tcPr>
            <w:tcW w:w="2274" w:type="dxa"/>
            <w:vMerge/>
            <w:tcBorders>
              <w:left w:val="single" w:sz="4" w:space="0" w:color="auto"/>
              <w:bottom w:val="single" w:sz="4" w:space="0" w:color="auto"/>
            </w:tcBorders>
            <w:shd w:val="clear" w:color="auto" w:fill="auto"/>
            <w:vAlign w:val="center"/>
            <w:hideMark/>
          </w:tcPr>
          <w:p w14:paraId="07110853" w14:textId="77777777" w:rsidR="00594813" w:rsidRPr="000036D5" w:rsidRDefault="00594813" w:rsidP="00594813">
            <w:pPr>
              <w:pStyle w:val="NoSpacing"/>
              <w:jc w:val="center"/>
              <w:rPr>
                <w:rFonts w:ascii="Times New Roman" w:hAnsi="Times New Roman" w:cs="Times New Roman"/>
                <w:sz w:val="20"/>
                <w:szCs w:val="20"/>
              </w:rPr>
            </w:pPr>
          </w:p>
        </w:tc>
        <w:tc>
          <w:tcPr>
            <w:tcW w:w="1276" w:type="dxa"/>
            <w:tcBorders>
              <w:bottom w:val="single" w:sz="4" w:space="0" w:color="auto"/>
              <w:right w:val="single" w:sz="4" w:space="0" w:color="auto"/>
            </w:tcBorders>
            <w:shd w:val="clear" w:color="auto" w:fill="auto"/>
            <w:vAlign w:val="center"/>
            <w:hideMark/>
          </w:tcPr>
          <w:p w14:paraId="3378FE38" w14:textId="77777777" w:rsidR="00594813" w:rsidRPr="000036D5" w:rsidRDefault="00594813" w:rsidP="00594813">
            <w:pPr>
              <w:pStyle w:val="NoSpacing"/>
              <w:jc w:val="center"/>
              <w:rPr>
                <w:rFonts w:ascii="Times New Roman" w:hAnsi="Times New Roman" w:cs="Times New Roman"/>
                <w:sz w:val="20"/>
                <w:szCs w:val="20"/>
              </w:rPr>
            </w:pPr>
            <w:r w:rsidRPr="000036D5">
              <w:rPr>
                <w:rFonts w:ascii="Times New Roman" w:hAnsi="Times New Roman" w:cs="Times New Roman"/>
                <w:sz w:val="20"/>
                <w:szCs w:val="20"/>
              </w:rPr>
              <w:t>&gt;10 years</w:t>
            </w:r>
          </w:p>
        </w:tc>
        <w:tc>
          <w:tcPr>
            <w:tcW w:w="1417" w:type="dxa"/>
            <w:tcBorders>
              <w:left w:val="single" w:sz="4" w:space="0" w:color="auto"/>
              <w:bottom w:val="single" w:sz="4" w:space="0" w:color="auto"/>
            </w:tcBorders>
            <w:shd w:val="clear" w:color="auto" w:fill="auto"/>
            <w:vAlign w:val="center"/>
            <w:hideMark/>
          </w:tcPr>
          <w:p w14:paraId="43BD684F" w14:textId="77777777"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46 (9%)</w:t>
            </w:r>
          </w:p>
        </w:tc>
        <w:tc>
          <w:tcPr>
            <w:tcW w:w="1701" w:type="dxa"/>
            <w:tcBorders>
              <w:bottom w:val="single" w:sz="4" w:space="0" w:color="auto"/>
            </w:tcBorders>
          </w:tcPr>
          <w:p w14:paraId="0CE29939" w14:textId="5B5FF818"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21 (14</w:t>
            </w:r>
            <w:r>
              <w:rPr>
                <w:rFonts w:ascii="Times New Roman" w:hAnsi="Times New Roman" w:cs="Times New Roman"/>
                <w:sz w:val="20"/>
                <w:szCs w:val="20"/>
              </w:rPr>
              <w:t>%</w:t>
            </w:r>
            <w:r w:rsidRPr="000036D5">
              <w:rPr>
                <w:rFonts w:ascii="Times New Roman" w:hAnsi="Times New Roman" w:cs="Times New Roman"/>
                <w:sz w:val="20"/>
                <w:szCs w:val="20"/>
              </w:rPr>
              <w:t>)</w:t>
            </w:r>
          </w:p>
        </w:tc>
        <w:tc>
          <w:tcPr>
            <w:tcW w:w="1701" w:type="dxa"/>
            <w:tcBorders>
              <w:bottom w:val="single" w:sz="4" w:space="0" w:color="auto"/>
            </w:tcBorders>
          </w:tcPr>
          <w:p w14:paraId="6F1F923E" w14:textId="411CCAE4"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4 (7</w:t>
            </w:r>
            <w:r>
              <w:rPr>
                <w:rFonts w:ascii="Times New Roman" w:hAnsi="Times New Roman" w:cs="Times New Roman"/>
                <w:sz w:val="20"/>
                <w:szCs w:val="20"/>
              </w:rPr>
              <w:t>%</w:t>
            </w:r>
            <w:r w:rsidRPr="000036D5">
              <w:rPr>
                <w:rFonts w:ascii="Times New Roman" w:hAnsi="Times New Roman" w:cs="Times New Roman"/>
                <w:sz w:val="20"/>
                <w:szCs w:val="20"/>
              </w:rPr>
              <w:t>)</w:t>
            </w:r>
          </w:p>
        </w:tc>
        <w:tc>
          <w:tcPr>
            <w:tcW w:w="1701" w:type="dxa"/>
            <w:tcBorders>
              <w:bottom w:val="single" w:sz="4" w:space="0" w:color="auto"/>
            </w:tcBorders>
          </w:tcPr>
          <w:p w14:paraId="162CE3F4" w14:textId="5984F4D6"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4 (3</w:t>
            </w:r>
            <w:r>
              <w:rPr>
                <w:rFonts w:ascii="Times New Roman" w:hAnsi="Times New Roman" w:cs="Times New Roman"/>
                <w:sz w:val="20"/>
                <w:szCs w:val="20"/>
              </w:rPr>
              <w:t>%</w:t>
            </w:r>
            <w:r w:rsidRPr="000036D5">
              <w:rPr>
                <w:rFonts w:ascii="Times New Roman" w:hAnsi="Times New Roman" w:cs="Times New Roman"/>
                <w:sz w:val="20"/>
                <w:szCs w:val="20"/>
              </w:rPr>
              <w:t>)</w:t>
            </w:r>
          </w:p>
        </w:tc>
        <w:tc>
          <w:tcPr>
            <w:tcW w:w="1701" w:type="dxa"/>
            <w:tcBorders>
              <w:bottom w:val="single" w:sz="4" w:space="0" w:color="auto"/>
            </w:tcBorders>
          </w:tcPr>
          <w:p w14:paraId="545780DB" w14:textId="7CF2367C"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9 (6%)</w:t>
            </w:r>
          </w:p>
        </w:tc>
        <w:tc>
          <w:tcPr>
            <w:tcW w:w="1838" w:type="dxa"/>
            <w:tcBorders>
              <w:bottom w:val="single" w:sz="4" w:space="0" w:color="auto"/>
              <w:right w:val="single" w:sz="4" w:space="0" w:color="auto"/>
            </w:tcBorders>
          </w:tcPr>
          <w:p w14:paraId="533A9F52" w14:textId="77777777"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8 (19</w:t>
            </w:r>
            <w:r>
              <w:rPr>
                <w:rFonts w:ascii="Times New Roman" w:hAnsi="Times New Roman" w:cs="Times New Roman"/>
                <w:sz w:val="20"/>
                <w:szCs w:val="20"/>
              </w:rPr>
              <w:t>%</w:t>
            </w:r>
            <w:r w:rsidRPr="000036D5">
              <w:rPr>
                <w:rFonts w:ascii="Times New Roman" w:hAnsi="Times New Roman" w:cs="Times New Roman"/>
                <w:sz w:val="20"/>
                <w:szCs w:val="20"/>
              </w:rPr>
              <w:t>)</w:t>
            </w:r>
          </w:p>
        </w:tc>
      </w:tr>
      <w:tr w:rsidR="00594813" w:rsidRPr="000036D5" w14:paraId="0F1BF4F0" w14:textId="77777777" w:rsidTr="009639B5">
        <w:trPr>
          <w:trHeight w:val="283"/>
          <w:jc w:val="center"/>
        </w:trPr>
        <w:tc>
          <w:tcPr>
            <w:tcW w:w="2274" w:type="dxa"/>
            <w:vMerge w:val="restart"/>
            <w:tcBorders>
              <w:top w:val="single" w:sz="4" w:space="0" w:color="auto"/>
              <w:left w:val="single" w:sz="4" w:space="0" w:color="auto"/>
              <w:bottom w:val="nil"/>
            </w:tcBorders>
            <w:shd w:val="clear" w:color="auto" w:fill="auto"/>
            <w:vAlign w:val="center"/>
          </w:tcPr>
          <w:p w14:paraId="6FFF3EDD" w14:textId="7911F57D" w:rsidR="00594813" w:rsidRPr="000036D5" w:rsidRDefault="00594813" w:rsidP="009639B5">
            <w:pPr>
              <w:pStyle w:val="NoSpacing"/>
              <w:jc w:val="center"/>
              <w:rPr>
                <w:rFonts w:ascii="Times New Roman" w:hAnsi="Times New Roman" w:cs="Times New Roman"/>
                <w:sz w:val="20"/>
                <w:szCs w:val="20"/>
              </w:rPr>
            </w:pPr>
            <w:r w:rsidRPr="000036D5">
              <w:rPr>
                <w:rFonts w:ascii="Times New Roman" w:hAnsi="Times New Roman" w:cs="Times New Roman"/>
                <w:sz w:val="20"/>
                <w:szCs w:val="20"/>
              </w:rPr>
              <w:t xml:space="preserve">Patient global change in MSK </w:t>
            </w:r>
            <w:r w:rsidR="009639B5">
              <w:rPr>
                <w:rFonts w:ascii="Times New Roman" w:hAnsi="Times New Roman" w:cs="Times New Roman"/>
                <w:sz w:val="20"/>
                <w:szCs w:val="20"/>
              </w:rPr>
              <w:t>condition</w:t>
            </w:r>
            <w:r w:rsidRPr="000036D5">
              <w:rPr>
                <w:rFonts w:ascii="Times New Roman" w:hAnsi="Times New Roman" w:cs="Times New Roman"/>
                <w:sz w:val="20"/>
                <w:szCs w:val="20"/>
              </w:rPr>
              <w:t>, n (%)</w:t>
            </w:r>
          </w:p>
        </w:tc>
        <w:tc>
          <w:tcPr>
            <w:tcW w:w="1276" w:type="dxa"/>
            <w:tcBorders>
              <w:top w:val="single" w:sz="4" w:space="0" w:color="auto"/>
              <w:bottom w:val="nil"/>
              <w:right w:val="single" w:sz="4" w:space="0" w:color="auto"/>
            </w:tcBorders>
            <w:shd w:val="clear" w:color="auto" w:fill="auto"/>
            <w:vAlign w:val="center"/>
          </w:tcPr>
          <w:p w14:paraId="2E1BA131" w14:textId="77777777" w:rsidR="00594813" w:rsidRPr="000036D5" w:rsidRDefault="00594813" w:rsidP="00594813">
            <w:pPr>
              <w:pStyle w:val="NoSpacing"/>
              <w:jc w:val="center"/>
              <w:rPr>
                <w:rFonts w:ascii="Times New Roman" w:hAnsi="Times New Roman" w:cs="Times New Roman"/>
                <w:sz w:val="20"/>
                <w:szCs w:val="20"/>
              </w:rPr>
            </w:pPr>
            <w:r w:rsidRPr="000036D5">
              <w:rPr>
                <w:rFonts w:ascii="Times New Roman" w:hAnsi="Times New Roman" w:cs="Times New Roman"/>
                <w:sz w:val="20"/>
                <w:szCs w:val="20"/>
              </w:rPr>
              <w:t>Worse</w:t>
            </w:r>
          </w:p>
        </w:tc>
        <w:tc>
          <w:tcPr>
            <w:tcW w:w="1417" w:type="dxa"/>
            <w:tcBorders>
              <w:top w:val="single" w:sz="4" w:space="0" w:color="auto"/>
              <w:left w:val="single" w:sz="4" w:space="0" w:color="auto"/>
              <w:bottom w:val="nil"/>
            </w:tcBorders>
            <w:shd w:val="clear" w:color="auto" w:fill="auto"/>
            <w:vAlign w:val="center"/>
          </w:tcPr>
          <w:p w14:paraId="7503A6D8" w14:textId="77777777"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102 (22%)</w:t>
            </w:r>
          </w:p>
        </w:tc>
        <w:tc>
          <w:tcPr>
            <w:tcW w:w="1701" w:type="dxa"/>
            <w:tcBorders>
              <w:top w:val="single" w:sz="4" w:space="0" w:color="auto"/>
              <w:bottom w:val="nil"/>
            </w:tcBorders>
          </w:tcPr>
          <w:p w14:paraId="279C923B" w14:textId="0BBDA60F"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30 (22%)</w:t>
            </w:r>
          </w:p>
        </w:tc>
        <w:tc>
          <w:tcPr>
            <w:tcW w:w="1701" w:type="dxa"/>
            <w:tcBorders>
              <w:top w:val="single" w:sz="4" w:space="0" w:color="auto"/>
              <w:bottom w:val="nil"/>
            </w:tcBorders>
          </w:tcPr>
          <w:p w14:paraId="38F48D64" w14:textId="08A07369"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9 (18%)</w:t>
            </w:r>
          </w:p>
        </w:tc>
        <w:tc>
          <w:tcPr>
            <w:tcW w:w="1701" w:type="dxa"/>
            <w:tcBorders>
              <w:top w:val="single" w:sz="4" w:space="0" w:color="auto"/>
              <w:bottom w:val="nil"/>
            </w:tcBorders>
          </w:tcPr>
          <w:p w14:paraId="370F321F" w14:textId="5CB1A529"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18 (17%)</w:t>
            </w:r>
          </w:p>
        </w:tc>
        <w:tc>
          <w:tcPr>
            <w:tcW w:w="1701" w:type="dxa"/>
            <w:tcBorders>
              <w:top w:val="single" w:sz="4" w:space="0" w:color="auto"/>
              <w:bottom w:val="nil"/>
            </w:tcBorders>
          </w:tcPr>
          <w:p w14:paraId="2824A8B4" w14:textId="594DEBBA"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38 (30%)</w:t>
            </w:r>
          </w:p>
        </w:tc>
        <w:tc>
          <w:tcPr>
            <w:tcW w:w="1838" w:type="dxa"/>
            <w:tcBorders>
              <w:top w:val="single" w:sz="4" w:space="0" w:color="auto"/>
              <w:bottom w:val="nil"/>
              <w:right w:val="single" w:sz="4" w:space="0" w:color="auto"/>
            </w:tcBorders>
          </w:tcPr>
          <w:p w14:paraId="5A8A84F8" w14:textId="77777777"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7 (20%)</w:t>
            </w:r>
          </w:p>
        </w:tc>
      </w:tr>
      <w:tr w:rsidR="00594813" w:rsidRPr="000036D5" w14:paraId="6129595B" w14:textId="77777777" w:rsidTr="009639B5">
        <w:trPr>
          <w:trHeight w:val="283"/>
          <w:jc w:val="center"/>
        </w:trPr>
        <w:tc>
          <w:tcPr>
            <w:tcW w:w="2274" w:type="dxa"/>
            <w:vMerge/>
            <w:tcBorders>
              <w:top w:val="nil"/>
              <w:left w:val="single" w:sz="4" w:space="0" w:color="auto"/>
              <w:bottom w:val="nil"/>
            </w:tcBorders>
            <w:shd w:val="clear" w:color="auto" w:fill="auto"/>
            <w:vAlign w:val="center"/>
          </w:tcPr>
          <w:p w14:paraId="3E9062AB" w14:textId="77777777" w:rsidR="00594813" w:rsidRPr="000036D5" w:rsidRDefault="00594813" w:rsidP="00594813">
            <w:pPr>
              <w:pStyle w:val="NoSpacing"/>
              <w:jc w:val="center"/>
              <w:rPr>
                <w:rFonts w:ascii="Times New Roman" w:hAnsi="Times New Roman" w:cs="Times New Roman"/>
                <w:sz w:val="20"/>
                <w:szCs w:val="20"/>
              </w:rPr>
            </w:pPr>
          </w:p>
        </w:tc>
        <w:tc>
          <w:tcPr>
            <w:tcW w:w="1276" w:type="dxa"/>
            <w:tcBorders>
              <w:top w:val="nil"/>
              <w:bottom w:val="nil"/>
              <w:right w:val="single" w:sz="4" w:space="0" w:color="auto"/>
            </w:tcBorders>
            <w:shd w:val="clear" w:color="auto" w:fill="auto"/>
            <w:vAlign w:val="center"/>
          </w:tcPr>
          <w:p w14:paraId="44261EE6" w14:textId="77777777" w:rsidR="00594813" w:rsidRPr="000036D5" w:rsidDel="00CC30A9" w:rsidRDefault="00594813" w:rsidP="00594813">
            <w:pPr>
              <w:pStyle w:val="NoSpacing"/>
              <w:jc w:val="center"/>
              <w:rPr>
                <w:rFonts w:ascii="Times New Roman" w:hAnsi="Times New Roman" w:cs="Times New Roman"/>
                <w:sz w:val="20"/>
                <w:szCs w:val="20"/>
              </w:rPr>
            </w:pPr>
            <w:r w:rsidRPr="000036D5">
              <w:rPr>
                <w:rFonts w:ascii="Times New Roman" w:hAnsi="Times New Roman" w:cs="Times New Roman"/>
                <w:sz w:val="20"/>
                <w:szCs w:val="20"/>
              </w:rPr>
              <w:t>Same</w:t>
            </w:r>
          </w:p>
        </w:tc>
        <w:tc>
          <w:tcPr>
            <w:tcW w:w="1417" w:type="dxa"/>
            <w:tcBorders>
              <w:top w:val="nil"/>
              <w:left w:val="single" w:sz="4" w:space="0" w:color="auto"/>
              <w:bottom w:val="nil"/>
            </w:tcBorders>
            <w:shd w:val="clear" w:color="auto" w:fill="auto"/>
            <w:vAlign w:val="center"/>
          </w:tcPr>
          <w:p w14:paraId="057C4329" w14:textId="77777777"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81 (18%)</w:t>
            </w:r>
          </w:p>
        </w:tc>
        <w:tc>
          <w:tcPr>
            <w:tcW w:w="1701" w:type="dxa"/>
            <w:tcBorders>
              <w:top w:val="nil"/>
              <w:bottom w:val="nil"/>
            </w:tcBorders>
          </w:tcPr>
          <w:p w14:paraId="4A19BC8D" w14:textId="0598522A"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29 (20%)</w:t>
            </w:r>
          </w:p>
        </w:tc>
        <w:tc>
          <w:tcPr>
            <w:tcW w:w="1701" w:type="dxa"/>
            <w:tcBorders>
              <w:top w:val="nil"/>
              <w:bottom w:val="nil"/>
            </w:tcBorders>
          </w:tcPr>
          <w:p w14:paraId="0C495F38" w14:textId="0E7829D0"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6 (12%)</w:t>
            </w:r>
          </w:p>
        </w:tc>
        <w:tc>
          <w:tcPr>
            <w:tcW w:w="1701" w:type="dxa"/>
            <w:tcBorders>
              <w:top w:val="nil"/>
              <w:bottom w:val="nil"/>
            </w:tcBorders>
          </w:tcPr>
          <w:p w14:paraId="490FE846" w14:textId="2619F38F"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14 (13%)</w:t>
            </w:r>
          </w:p>
        </w:tc>
        <w:tc>
          <w:tcPr>
            <w:tcW w:w="1701" w:type="dxa"/>
            <w:tcBorders>
              <w:top w:val="nil"/>
              <w:bottom w:val="nil"/>
            </w:tcBorders>
          </w:tcPr>
          <w:p w14:paraId="0B293B10" w14:textId="7E88C01F"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25 (20%)</w:t>
            </w:r>
          </w:p>
        </w:tc>
        <w:tc>
          <w:tcPr>
            <w:tcW w:w="1838" w:type="dxa"/>
            <w:tcBorders>
              <w:top w:val="nil"/>
              <w:bottom w:val="nil"/>
              <w:right w:val="single" w:sz="4" w:space="0" w:color="auto"/>
            </w:tcBorders>
          </w:tcPr>
          <w:p w14:paraId="5C6671D1" w14:textId="77777777"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9 (26%)</w:t>
            </w:r>
          </w:p>
        </w:tc>
      </w:tr>
      <w:tr w:rsidR="00594813" w:rsidRPr="000036D5" w14:paraId="2EDEBF0E" w14:textId="77777777" w:rsidTr="009639B5">
        <w:trPr>
          <w:trHeight w:val="283"/>
          <w:jc w:val="center"/>
        </w:trPr>
        <w:tc>
          <w:tcPr>
            <w:tcW w:w="2274" w:type="dxa"/>
            <w:vMerge/>
            <w:tcBorders>
              <w:top w:val="nil"/>
              <w:left w:val="single" w:sz="4" w:space="0" w:color="auto"/>
              <w:bottom w:val="single" w:sz="4" w:space="0" w:color="auto"/>
            </w:tcBorders>
            <w:shd w:val="clear" w:color="auto" w:fill="auto"/>
            <w:vAlign w:val="center"/>
          </w:tcPr>
          <w:p w14:paraId="0A55F09F" w14:textId="77777777" w:rsidR="00594813" w:rsidRPr="000036D5" w:rsidRDefault="00594813" w:rsidP="00594813">
            <w:pPr>
              <w:pStyle w:val="NoSpacing"/>
              <w:jc w:val="center"/>
              <w:rPr>
                <w:rFonts w:ascii="Times New Roman" w:hAnsi="Times New Roman" w:cs="Times New Roman"/>
                <w:sz w:val="20"/>
                <w:szCs w:val="20"/>
              </w:rPr>
            </w:pPr>
          </w:p>
        </w:tc>
        <w:tc>
          <w:tcPr>
            <w:tcW w:w="1276" w:type="dxa"/>
            <w:tcBorders>
              <w:top w:val="nil"/>
              <w:bottom w:val="single" w:sz="4" w:space="0" w:color="auto"/>
              <w:right w:val="single" w:sz="4" w:space="0" w:color="auto"/>
            </w:tcBorders>
            <w:shd w:val="clear" w:color="auto" w:fill="auto"/>
            <w:vAlign w:val="center"/>
          </w:tcPr>
          <w:p w14:paraId="1DFCC135" w14:textId="77777777" w:rsidR="00594813" w:rsidRPr="000036D5" w:rsidDel="00CC30A9" w:rsidRDefault="00594813" w:rsidP="00594813">
            <w:pPr>
              <w:pStyle w:val="NoSpacing"/>
              <w:jc w:val="center"/>
              <w:rPr>
                <w:rFonts w:ascii="Times New Roman" w:hAnsi="Times New Roman" w:cs="Times New Roman"/>
                <w:sz w:val="20"/>
                <w:szCs w:val="20"/>
              </w:rPr>
            </w:pPr>
            <w:r w:rsidRPr="000036D5">
              <w:rPr>
                <w:rFonts w:ascii="Times New Roman" w:hAnsi="Times New Roman" w:cs="Times New Roman"/>
                <w:sz w:val="20"/>
                <w:szCs w:val="20"/>
              </w:rPr>
              <w:t>Better</w:t>
            </w:r>
          </w:p>
        </w:tc>
        <w:tc>
          <w:tcPr>
            <w:tcW w:w="1417" w:type="dxa"/>
            <w:tcBorders>
              <w:top w:val="nil"/>
              <w:left w:val="single" w:sz="4" w:space="0" w:color="auto"/>
              <w:bottom w:val="single" w:sz="4" w:space="0" w:color="auto"/>
            </w:tcBorders>
            <w:shd w:val="clear" w:color="auto" w:fill="auto"/>
            <w:vAlign w:val="center"/>
          </w:tcPr>
          <w:p w14:paraId="048CBFA3" w14:textId="77777777"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273 (60%)</w:t>
            </w:r>
          </w:p>
        </w:tc>
        <w:tc>
          <w:tcPr>
            <w:tcW w:w="1701" w:type="dxa"/>
            <w:tcBorders>
              <w:top w:val="nil"/>
              <w:bottom w:val="single" w:sz="4" w:space="0" w:color="auto"/>
            </w:tcBorders>
          </w:tcPr>
          <w:p w14:paraId="71EF5666" w14:textId="3F94B806"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79 (58%)</w:t>
            </w:r>
          </w:p>
        </w:tc>
        <w:tc>
          <w:tcPr>
            <w:tcW w:w="1701" w:type="dxa"/>
            <w:tcBorders>
              <w:top w:val="nil"/>
              <w:bottom w:val="single" w:sz="4" w:space="0" w:color="auto"/>
            </w:tcBorders>
          </w:tcPr>
          <w:p w14:paraId="474B8173" w14:textId="32E8B98D"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36 (71%)</w:t>
            </w:r>
          </w:p>
        </w:tc>
        <w:tc>
          <w:tcPr>
            <w:tcW w:w="1701" w:type="dxa"/>
            <w:tcBorders>
              <w:top w:val="nil"/>
              <w:bottom w:val="single" w:sz="4" w:space="0" w:color="auto"/>
            </w:tcBorders>
          </w:tcPr>
          <w:p w14:paraId="1DBF660D" w14:textId="4CA16A5F"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76 (70%)</w:t>
            </w:r>
          </w:p>
        </w:tc>
        <w:tc>
          <w:tcPr>
            <w:tcW w:w="1701" w:type="dxa"/>
            <w:tcBorders>
              <w:top w:val="nil"/>
              <w:bottom w:val="single" w:sz="4" w:space="0" w:color="auto"/>
            </w:tcBorders>
          </w:tcPr>
          <w:p w14:paraId="26A0783A" w14:textId="1FA586A6"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63 (50%)</w:t>
            </w:r>
          </w:p>
        </w:tc>
        <w:tc>
          <w:tcPr>
            <w:tcW w:w="1838" w:type="dxa"/>
            <w:tcBorders>
              <w:top w:val="nil"/>
              <w:bottom w:val="single" w:sz="4" w:space="0" w:color="auto"/>
              <w:right w:val="single" w:sz="4" w:space="0" w:color="auto"/>
            </w:tcBorders>
          </w:tcPr>
          <w:p w14:paraId="2EDB51D2" w14:textId="77777777"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19 (54%)</w:t>
            </w:r>
          </w:p>
        </w:tc>
      </w:tr>
      <w:tr w:rsidR="00594813" w:rsidRPr="000036D5" w14:paraId="16AC7377" w14:textId="77777777" w:rsidTr="009639B5">
        <w:trPr>
          <w:trHeight w:val="283"/>
          <w:jc w:val="center"/>
        </w:trPr>
        <w:tc>
          <w:tcPr>
            <w:tcW w:w="2274" w:type="dxa"/>
            <w:vMerge w:val="restart"/>
            <w:tcBorders>
              <w:top w:val="single" w:sz="4" w:space="0" w:color="auto"/>
              <w:left w:val="single" w:sz="4" w:space="0" w:color="auto"/>
              <w:bottom w:val="nil"/>
            </w:tcBorders>
            <w:shd w:val="clear" w:color="auto" w:fill="auto"/>
            <w:vAlign w:val="center"/>
          </w:tcPr>
          <w:p w14:paraId="325446CA" w14:textId="77777777" w:rsidR="00594813" w:rsidRPr="000036D5" w:rsidRDefault="00594813" w:rsidP="00594813">
            <w:pPr>
              <w:pStyle w:val="NoSpacing"/>
              <w:jc w:val="center"/>
              <w:rPr>
                <w:rFonts w:ascii="Times New Roman" w:hAnsi="Times New Roman" w:cs="Times New Roman"/>
                <w:sz w:val="20"/>
                <w:szCs w:val="20"/>
              </w:rPr>
            </w:pPr>
            <w:r w:rsidRPr="000036D5">
              <w:rPr>
                <w:rFonts w:ascii="Times New Roman" w:hAnsi="Times New Roman" w:cs="Times New Roman"/>
                <w:sz w:val="20"/>
                <w:szCs w:val="20"/>
              </w:rPr>
              <w:t>MSK-HQ</w:t>
            </w:r>
          </w:p>
        </w:tc>
        <w:tc>
          <w:tcPr>
            <w:tcW w:w="1276" w:type="dxa"/>
            <w:tcBorders>
              <w:top w:val="single" w:sz="4" w:space="0" w:color="auto"/>
              <w:bottom w:val="nil"/>
              <w:right w:val="single" w:sz="4" w:space="0" w:color="auto"/>
            </w:tcBorders>
            <w:shd w:val="clear" w:color="auto" w:fill="auto"/>
            <w:vAlign w:val="center"/>
          </w:tcPr>
          <w:p w14:paraId="662C90E4" w14:textId="77777777" w:rsidR="00594813" w:rsidRPr="000036D5" w:rsidRDefault="00594813" w:rsidP="00594813">
            <w:pPr>
              <w:pStyle w:val="NoSpacing"/>
              <w:jc w:val="center"/>
              <w:rPr>
                <w:rFonts w:ascii="Times New Roman" w:hAnsi="Times New Roman" w:cs="Times New Roman"/>
                <w:sz w:val="20"/>
                <w:szCs w:val="20"/>
              </w:rPr>
            </w:pPr>
            <w:r w:rsidRPr="000036D5">
              <w:rPr>
                <w:rFonts w:ascii="Times New Roman" w:hAnsi="Times New Roman" w:cs="Times New Roman"/>
                <w:sz w:val="20"/>
                <w:szCs w:val="20"/>
              </w:rPr>
              <w:t>0 months</w:t>
            </w:r>
          </w:p>
        </w:tc>
        <w:tc>
          <w:tcPr>
            <w:tcW w:w="1417" w:type="dxa"/>
            <w:tcBorders>
              <w:top w:val="single" w:sz="4" w:space="0" w:color="auto"/>
              <w:left w:val="single" w:sz="4" w:space="0" w:color="auto"/>
              <w:bottom w:val="nil"/>
            </w:tcBorders>
            <w:shd w:val="clear" w:color="auto" w:fill="auto"/>
          </w:tcPr>
          <w:p w14:paraId="56BF6F0A" w14:textId="77777777" w:rsidR="00594813" w:rsidRPr="000036D5" w:rsidRDefault="00594813" w:rsidP="00594813">
            <w:pPr>
              <w:pStyle w:val="NoSpacing"/>
              <w:jc w:val="right"/>
              <w:rPr>
                <w:rFonts w:ascii="Times New Roman" w:hAnsi="Times New Roman" w:cs="Times New Roman"/>
                <w:sz w:val="20"/>
                <w:szCs w:val="20"/>
              </w:rPr>
            </w:pPr>
            <w:r w:rsidRPr="000036D5">
              <w:rPr>
                <w:rStyle w:val="gd15mcfceub"/>
                <w:rFonts w:ascii="Times New Roman" w:hAnsi="Times New Roman" w:cs="Times New Roman"/>
                <w:color w:val="000000"/>
                <w:sz w:val="20"/>
                <w:szCs w:val="20"/>
                <w:bdr w:val="none" w:sz="0" w:space="0" w:color="auto" w:frame="1"/>
              </w:rPr>
              <w:t>29.36 (10.41)</w:t>
            </w:r>
          </w:p>
        </w:tc>
        <w:tc>
          <w:tcPr>
            <w:tcW w:w="1701" w:type="dxa"/>
            <w:tcBorders>
              <w:top w:val="single" w:sz="4" w:space="0" w:color="auto"/>
              <w:bottom w:val="nil"/>
            </w:tcBorders>
          </w:tcPr>
          <w:p w14:paraId="75E9DFC2" w14:textId="4764A2CF" w:rsidR="00594813" w:rsidRPr="000036D5" w:rsidRDefault="00594813" w:rsidP="00594813">
            <w:pPr>
              <w:pStyle w:val="NoSpacing"/>
              <w:jc w:val="right"/>
              <w:rPr>
                <w:rStyle w:val="gd15mcfceub"/>
                <w:rFonts w:ascii="Times New Roman" w:hAnsi="Times New Roman" w:cs="Times New Roman"/>
                <w:color w:val="000000"/>
                <w:sz w:val="20"/>
                <w:szCs w:val="20"/>
                <w:bdr w:val="none" w:sz="0" w:space="0" w:color="auto" w:frame="1"/>
              </w:rPr>
            </w:pPr>
            <w:r w:rsidRPr="000036D5">
              <w:rPr>
                <w:rStyle w:val="gd15mcfceub"/>
                <w:rFonts w:ascii="Times New Roman" w:hAnsi="Times New Roman" w:cs="Times New Roman"/>
                <w:color w:val="000000"/>
                <w:sz w:val="20"/>
                <w:szCs w:val="20"/>
                <w:bdr w:val="none" w:sz="0" w:space="0" w:color="auto" w:frame="1"/>
              </w:rPr>
              <w:t>28.14 (10.54)</w:t>
            </w:r>
          </w:p>
        </w:tc>
        <w:tc>
          <w:tcPr>
            <w:tcW w:w="1701" w:type="dxa"/>
            <w:tcBorders>
              <w:top w:val="single" w:sz="4" w:space="0" w:color="auto"/>
              <w:bottom w:val="nil"/>
            </w:tcBorders>
          </w:tcPr>
          <w:p w14:paraId="63876B23" w14:textId="2523176A" w:rsidR="00594813" w:rsidRPr="000036D5" w:rsidRDefault="00594813" w:rsidP="00594813">
            <w:pPr>
              <w:pStyle w:val="NoSpacing"/>
              <w:jc w:val="right"/>
              <w:rPr>
                <w:rStyle w:val="gd15mcfceub"/>
                <w:rFonts w:ascii="Times New Roman" w:hAnsi="Times New Roman" w:cs="Times New Roman"/>
                <w:color w:val="000000"/>
                <w:sz w:val="20"/>
                <w:szCs w:val="20"/>
                <w:bdr w:val="none" w:sz="0" w:space="0" w:color="auto" w:frame="1"/>
              </w:rPr>
            </w:pPr>
            <w:r w:rsidRPr="000036D5">
              <w:rPr>
                <w:rStyle w:val="gd15mcfceub"/>
                <w:rFonts w:ascii="Times New Roman" w:hAnsi="Times New Roman" w:cs="Times New Roman"/>
                <w:color w:val="000000"/>
                <w:sz w:val="20"/>
                <w:szCs w:val="20"/>
                <w:bdr w:val="none" w:sz="0" w:space="0" w:color="auto" w:frame="1"/>
              </w:rPr>
              <w:t>32.19 (10.19)</w:t>
            </w:r>
          </w:p>
        </w:tc>
        <w:tc>
          <w:tcPr>
            <w:tcW w:w="1701" w:type="dxa"/>
            <w:tcBorders>
              <w:top w:val="single" w:sz="4" w:space="0" w:color="auto"/>
              <w:bottom w:val="nil"/>
            </w:tcBorders>
          </w:tcPr>
          <w:p w14:paraId="61211FDF" w14:textId="677AABE8" w:rsidR="00594813" w:rsidRPr="000036D5" w:rsidRDefault="00594813" w:rsidP="00594813">
            <w:pPr>
              <w:pStyle w:val="NoSpacing"/>
              <w:jc w:val="right"/>
              <w:rPr>
                <w:rStyle w:val="gd15mcfceub"/>
                <w:rFonts w:ascii="Times New Roman" w:hAnsi="Times New Roman" w:cs="Times New Roman"/>
                <w:color w:val="000000"/>
                <w:sz w:val="20"/>
                <w:szCs w:val="20"/>
                <w:bdr w:val="none" w:sz="0" w:space="0" w:color="auto" w:frame="1"/>
              </w:rPr>
            </w:pPr>
            <w:r w:rsidRPr="000036D5">
              <w:rPr>
                <w:rStyle w:val="gd15mcfceub"/>
                <w:rFonts w:ascii="Times New Roman" w:hAnsi="Times New Roman" w:cs="Times New Roman"/>
                <w:color w:val="000000"/>
                <w:sz w:val="20"/>
                <w:szCs w:val="20"/>
                <w:bdr w:val="none" w:sz="0" w:space="0" w:color="auto" w:frame="1"/>
              </w:rPr>
              <w:t>31.24 (9.91)</w:t>
            </w:r>
          </w:p>
        </w:tc>
        <w:tc>
          <w:tcPr>
            <w:tcW w:w="1701" w:type="dxa"/>
            <w:tcBorders>
              <w:top w:val="single" w:sz="4" w:space="0" w:color="auto"/>
              <w:bottom w:val="nil"/>
            </w:tcBorders>
          </w:tcPr>
          <w:p w14:paraId="0913C846" w14:textId="16FC93FD" w:rsidR="00594813" w:rsidRPr="000036D5" w:rsidRDefault="00594813" w:rsidP="00594813">
            <w:pPr>
              <w:pStyle w:val="NoSpacing"/>
              <w:jc w:val="right"/>
              <w:rPr>
                <w:rFonts w:ascii="Times New Roman" w:hAnsi="Times New Roman" w:cs="Times New Roman"/>
                <w:sz w:val="20"/>
                <w:szCs w:val="20"/>
              </w:rPr>
            </w:pPr>
            <w:r w:rsidRPr="000036D5">
              <w:rPr>
                <w:rStyle w:val="gd15mcfceub"/>
                <w:rFonts w:ascii="Times New Roman" w:hAnsi="Times New Roman" w:cs="Times New Roman"/>
                <w:color w:val="000000"/>
                <w:sz w:val="20"/>
                <w:szCs w:val="20"/>
                <w:bdr w:val="none" w:sz="0" w:space="0" w:color="auto" w:frame="1"/>
              </w:rPr>
              <w:t>28.27 (10.73)</w:t>
            </w:r>
          </w:p>
        </w:tc>
        <w:tc>
          <w:tcPr>
            <w:tcW w:w="1838" w:type="dxa"/>
            <w:tcBorders>
              <w:top w:val="single" w:sz="4" w:space="0" w:color="auto"/>
              <w:bottom w:val="nil"/>
              <w:right w:val="single" w:sz="4" w:space="0" w:color="auto"/>
            </w:tcBorders>
          </w:tcPr>
          <w:p w14:paraId="3280EA62" w14:textId="77777777" w:rsidR="00594813" w:rsidRPr="000036D5" w:rsidRDefault="00594813" w:rsidP="00594813">
            <w:pPr>
              <w:pStyle w:val="NoSpacing"/>
              <w:jc w:val="right"/>
              <w:rPr>
                <w:rFonts w:ascii="Times New Roman" w:hAnsi="Times New Roman" w:cs="Times New Roman"/>
                <w:sz w:val="20"/>
                <w:szCs w:val="20"/>
              </w:rPr>
            </w:pPr>
            <w:r w:rsidRPr="000036D5">
              <w:rPr>
                <w:rStyle w:val="gd15mcfceub"/>
                <w:rFonts w:ascii="Times New Roman" w:hAnsi="Times New Roman" w:cs="Times New Roman"/>
                <w:color w:val="000000"/>
                <w:sz w:val="20"/>
                <w:szCs w:val="20"/>
                <w:bdr w:val="none" w:sz="0" w:space="0" w:color="auto" w:frame="1"/>
              </w:rPr>
              <w:t>28.12 (9.32)</w:t>
            </w:r>
          </w:p>
        </w:tc>
      </w:tr>
      <w:tr w:rsidR="00594813" w:rsidRPr="000036D5" w14:paraId="4DC657D2" w14:textId="77777777" w:rsidTr="009639B5">
        <w:trPr>
          <w:trHeight w:val="283"/>
          <w:jc w:val="center"/>
        </w:trPr>
        <w:tc>
          <w:tcPr>
            <w:tcW w:w="2274" w:type="dxa"/>
            <w:vMerge/>
            <w:tcBorders>
              <w:top w:val="nil"/>
              <w:left w:val="single" w:sz="4" w:space="0" w:color="auto"/>
              <w:bottom w:val="nil"/>
            </w:tcBorders>
            <w:shd w:val="clear" w:color="auto" w:fill="auto"/>
            <w:vAlign w:val="center"/>
          </w:tcPr>
          <w:p w14:paraId="70D6691B" w14:textId="77777777" w:rsidR="00594813" w:rsidRPr="000036D5" w:rsidRDefault="00594813" w:rsidP="00594813">
            <w:pPr>
              <w:pStyle w:val="NoSpacing"/>
              <w:jc w:val="center"/>
              <w:rPr>
                <w:rFonts w:ascii="Times New Roman" w:hAnsi="Times New Roman" w:cs="Times New Roman"/>
                <w:sz w:val="20"/>
                <w:szCs w:val="20"/>
              </w:rPr>
            </w:pPr>
          </w:p>
        </w:tc>
        <w:tc>
          <w:tcPr>
            <w:tcW w:w="1276" w:type="dxa"/>
            <w:tcBorders>
              <w:top w:val="nil"/>
              <w:bottom w:val="nil"/>
              <w:right w:val="single" w:sz="4" w:space="0" w:color="auto"/>
            </w:tcBorders>
            <w:shd w:val="clear" w:color="auto" w:fill="auto"/>
            <w:vAlign w:val="center"/>
          </w:tcPr>
          <w:p w14:paraId="6C8B1895" w14:textId="77777777" w:rsidR="00594813" w:rsidRPr="000036D5" w:rsidRDefault="00594813" w:rsidP="00594813">
            <w:pPr>
              <w:pStyle w:val="NoSpacing"/>
              <w:jc w:val="center"/>
              <w:rPr>
                <w:rFonts w:ascii="Times New Roman" w:hAnsi="Times New Roman" w:cs="Times New Roman"/>
                <w:sz w:val="20"/>
                <w:szCs w:val="20"/>
              </w:rPr>
            </w:pPr>
            <w:r w:rsidRPr="000036D5">
              <w:rPr>
                <w:rFonts w:ascii="Times New Roman" w:hAnsi="Times New Roman" w:cs="Times New Roman"/>
                <w:sz w:val="20"/>
                <w:szCs w:val="20"/>
              </w:rPr>
              <w:t>6 months</w:t>
            </w:r>
          </w:p>
        </w:tc>
        <w:tc>
          <w:tcPr>
            <w:tcW w:w="1417" w:type="dxa"/>
            <w:tcBorders>
              <w:top w:val="nil"/>
              <w:left w:val="single" w:sz="4" w:space="0" w:color="auto"/>
              <w:bottom w:val="nil"/>
            </w:tcBorders>
            <w:shd w:val="clear" w:color="auto" w:fill="auto"/>
          </w:tcPr>
          <w:p w14:paraId="2F3AFC00" w14:textId="77777777" w:rsidR="00594813" w:rsidRPr="000036D5" w:rsidRDefault="00594813" w:rsidP="00594813">
            <w:pPr>
              <w:pStyle w:val="NoSpacing"/>
              <w:jc w:val="right"/>
              <w:rPr>
                <w:rFonts w:ascii="Times New Roman" w:hAnsi="Times New Roman" w:cs="Times New Roman"/>
                <w:sz w:val="20"/>
                <w:szCs w:val="20"/>
              </w:rPr>
            </w:pPr>
            <w:r w:rsidRPr="000036D5">
              <w:rPr>
                <w:rStyle w:val="gd15mcfceub"/>
                <w:rFonts w:ascii="Times New Roman" w:hAnsi="Times New Roman" w:cs="Times New Roman"/>
                <w:color w:val="000000"/>
                <w:sz w:val="20"/>
                <w:szCs w:val="20"/>
                <w:bdr w:val="none" w:sz="0" w:space="0" w:color="auto" w:frame="1"/>
              </w:rPr>
              <w:t>37.35 (12.24)</w:t>
            </w:r>
          </w:p>
        </w:tc>
        <w:tc>
          <w:tcPr>
            <w:tcW w:w="1701" w:type="dxa"/>
            <w:tcBorders>
              <w:top w:val="nil"/>
              <w:bottom w:val="nil"/>
            </w:tcBorders>
          </w:tcPr>
          <w:p w14:paraId="5716A944" w14:textId="7AC6B6DD" w:rsidR="00594813" w:rsidRPr="000036D5" w:rsidRDefault="00594813" w:rsidP="00594813">
            <w:pPr>
              <w:pStyle w:val="NoSpacing"/>
              <w:jc w:val="right"/>
              <w:rPr>
                <w:rStyle w:val="gd15mcfceub"/>
                <w:rFonts w:ascii="Times New Roman" w:hAnsi="Times New Roman" w:cs="Times New Roman"/>
                <w:color w:val="000000"/>
                <w:sz w:val="20"/>
                <w:szCs w:val="20"/>
                <w:bdr w:val="none" w:sz="0" w:space="0" w:color="auto" w:frame="1"/>
              </w:rPr>
            </w:pPr>
            <w:r w:rsidRPr="000036D5">
              <w:rPr>
                <w:rStyle w:val="gd15mcfceub"/>
                <w:rFonts w:ascii="Times New Roman" w:hAnsi="Times New Roman" w:cs="Times New Roman"/>
                <w:color w:val="000000"/>
                <w:sz w:val="20"/>
                <w:szCs w:val="20"/>
                <w:bdr w:val="none" w:sz="0" w:space="0" w:color="auto" w:frame="1"/>
              </w:rPr>
              <w:t>37.52 (12.76)</w:t>
            </w:r>
          </w:p>
        </w:tc>
        <w:tc>
          <w:tcPr>
            <w:tcW w:w="1701" w:type="dxa"/>
            <w:tcBorders>
              <w:top w:val="nil"/>
              <w:bottom w:val="nil"/>
            </w:tcBorders>
          </w:tcPr>
          <w:p w14:paraId="18A76572" w14:textId="4E45F208" w:rsidR="00594813" w:rsidRPr="000036D5" w:rsidRDefault="00594813" w:rsidP="00594813">
            <w:pPr>
              <w:pStyle w:val="NoSpacing"/>
              <w:jc w:val="right"/>
              <w:rPr>
                <w:rStyle w:val="gd15mcfceub"/>
                <w:rFonts w:ascii="Times New Roman" w:hAnsi="Times New Roman" w:cs="Times New Roman"/>
                <w:color w:val="000000"/>
                <w:sz w:val="20"/>
                <w:szCs w:val="20"/>
                <w:bdr w:val="none" w:sz="0" w:space="0" w:color="auto" w:frame="1"/>
              </w:rPr>
            </w:pPr>
            <w:r w:rsidRPr="000036D5">
              <w:rPr>
                <w:rStyle w:val="gd15mcfceub"/>
                <w:rFonts w:ascii="Times New Roman" w:hAnsi="Times New Roman" w:cs="Times New Roman"/>
                <w:color w:val="000000"/>
                <w:sz w:val="20"/>
                <w:szCs w:val="20"/>
                <w:bdr w:val="none" w:sz="0" w:space="0" w:color="auto" w:frame="1"/>
              </w:rPr>
              <w:t>43.14 (10.09)</w:t>
            </w:r>
          </w:p>
        </w:tc>
        <w:tc>
          <w:tcPr>
            <w:tcW w:w="1701" w:type="dxa"/>
            <w:tcBorders>
              <w:top w:val="nil"/>
              <w:bottom w:val="nil"/>
            </w:tcBorders>
          </w:tcPr>
          <w:p w14:paraId="33069034" w14:textId="6821C49C" w:rsidR="00594813" w:rsidRPr="000036D5" w:rsidRDefault="00594813" w:rsidP="00594813">
            <w:pPr>
              <w:pStyle w:val="NoSpacing"/>
              <w:jc w:val="right"/>
              <w:rPr>
                <w:rStyle w:val="gd15mcfceub"/>
                <w:rFonts w:ascii="Times New Roman" w:hAnsi="Times New Roman" w:cs="Times New Roman"/>
                <w:color w:val="000000"/>
                <w:sz w:val="20"/>
                <w:szCs w:val="20"/>
                <w:bdr w:val="none" w:sz="0" w:space="0" w:color="auto" w:frame="1"/>
              </w:rPr>
            </w:pPr>
            <w:r w:rsidRPr="000036D5">
              <w:rPr>
                <w:rStyle w:val="gd15mcfceub"/>
                <w:rFonts w:ascii="Times New Roman" w:hAnsi="Times New Roman" w:cs="Times New Roman"/>
                <w:color w:val="000000"/>
                <w:sz w:val="20"/>
                <w:szCs w:val="20"/>
                <w:bdr w:val="none" w:sz="0" w:space="0" w:color="auto" w:frame="1"/>
              </w:rPr>
              <w:t>40</w:t>
            </w:r>
            <w:r>
              <w:rPr>
                <w:rStyle w:val="gd15mcfceub"/>
                <w:rFonts w:ascii="Times New Roman" w:hAnsi="Times New Roman" w:cs="Times New Roman"/>
                <w:color w:val="000000"/>
                <w:sz w:val="20"/>
                <w:szCs w:val="20"/>
                <w:bdr w:val="none" w:sz="0" w:space="0" w:color="auto" w:frame="1"/>
              </w:rPr>
              <w:t>.00</w:t>
            </w:r>
            <w:r w:rsidRPr="000036D5">
              <w:rPr>
                <w:rStyle w:val="gd15mcfceub"/>
                <w:rFonts w:ascii="Times New Roman" w:hAnsi="Times New Roman" w:cs="Times New Roman"/>
                <w:color w:val="000000"/>
                <w:sz w:val="20"/>
                <w:szCs w:val="20"/>
                <w:bdr w:val="none" w:sz="0" w:space="0" w:color="auto" w:frame="1"/>
              </w:rPr>
              <w:t xml:space="preserve"> (11.12)</w:t>
            </w:r>
          </w:p>
        </w:tc>
        <w:tc>
          <w:tcPr>
            <w:tcW w:w="1701" w:type="dxa"/>
            <w:tcBorders>
              <w:top w:val="nil"/>
              <w:bottom w:val="nil"/>
            </w:tcBorders>
          </w:tcPr>
          <w:p w14:paraId="04E246D3" w14:textId="339A2501" w:rsidR="00594813" w:rsidRPr="000036D5" w:rsidRDefault="00594813" w:rsidP="00594813">
            <w:pPr>
              <w:pStyle w:val="NoSpacing"/>
              <w:jc w:val="right"/>
              <w:rPr>
                <w:rFonts w:ascii="Times New Roman" w:hAnsi="Times New Roman" w:cs="Times New Roman"/>
                <w:sz w:val="20"/>
                <w:szCs w:val="20"/>
              </w:rPr>
            </w:pPr>
            <w:r w:rsidRPr="000036D5">
              <w:rPr>
                <w:rStyle w:val="gd15mcfceub"/>
                <w:rFonts w:ascii="Times New Roman" w:hAnsi="Times New Roman" w:cs="Times New Roman"/>
                <w:color w:val="000000"/>
                <w:sz w:val="20"/>
                <w:szCs w:val="20"/>
                <w:bdr w:val="none" w:sz="0" w:space="0" w:color="auto" w:frame="1"/>
              </w:rPr>
              <w:t>34.06 (12.51)</w:t>
            </w:r>
          </w:p>
        </w:tc>
        <w:tc>
          <w:tcPr>
            <w:tcW w:w="1838" w:type="dxa"/>
            <w:tcBorders>
              <w:top w:val="nil"/>
              <w:bottom w:val="nil"/>
              <w:right w:val="single" w:sz="4" w:space="0" w:color="auto"/>
            </w:tcBorders>
          </w:tcPr>
          <w:p w14:paraId="4A698955" w14:textId="77777777" w:rsidR="00594813" w:rsidRPr="000036D5" w:rsidRDefault="00594813" w:rsidP="00594813">
            <w:pPr>
              <w:pStyle w:val="NoSpacing"/>
              <w:jc w:val="right"/>
              <w:rPr>
                <w:rFonts w:ascii="Times New Roman" w:hAnsi="Times New Roman" w:cs="Times New Roman"/>
                <w:sz w:val="20"/>
                <w:szCs w:val="20"/>
              </w:rPr>
            </w:pPr>
            <w:r w:rsidRPr="000036D5">
              <w:rPr>
                <w:rStyle w:val="gd15mcfceub"/>
                <w:rFonts w:ascii="Times New Roman" w:hAnsi="Times New Roman" w:cs="Times New Roman"/>
                <w:color w:val="000000"/>
                <w:sz w:val="20"/>
                <w:szCs w:val="20"/>
                <w:bdr w:val="none" w:sz="0" w:space="0" w:color="auto" w:frame="1"/>
              </w:rPr>
              <w:t>32.26 (10.17)</w:t>
            </w:r>
          </w:p>
        </w:tc>
      </w:tr>
      <w:tr w:rsidR="00594813" w:rsidRPr="000036D5" w14:paraId="58B0D4CC" w14:textId="77777777" w:rsidTr="009639B5">
        <w:trPr>
          <w:trHeight w:val="283"/>
          <w:jc w:val="center"/>
        </w:trPr>
        <w:tc>
          <w:tcPr>
            <w:tcW w:w="2274" w:type="dxa"/>
            <w:vMerge/>
            <w:tcBorders>
              <w:top w:val="nil"/>
              <w:left w:val="single" w:sz="4" w:space="0" w:color="auto"/>
              <w:bottom w:val="single" w:sz="4" w:space="0" w:color="auto"/>
            </w:tcBorders>
            <w:shd w:val="clear" w:color="auto" w:fill="auto"/>
            <w:vAlign w:val="center"/>
          </w:tcPr>
          <w:p w14:paraId="4D23FA3D" w14:textId="77777777" w:rsidR="00594813" w:rsidRPr="000036D5" w:rsidRDefault="00594813" w:rsidP="00594813">
            <w:pPr>
              <w:pStyle w:val="NoSpacing"/>
              <w:jc w:val="center"/>
              <w:rPr>
                <w:rFonts w:ascii="Times New Roman" w:hAnsi="Times New Roman" w:cs="Times New Roman"/>
                <w:sz w:val="20"/>
                <w:szCs w:val="20"/>
              </w:rPr>
            </w:pPr>
          </w:p>
        </w:tc>
        <w:tc>
          <w:tcPr>
            <w:tcW w:w="1276" w:type="dxa"/>
            <w:tcBorders>
              <w:top w:val="nil"/>
              <w:bottom w:val="single" w:sz="4" w:space="0" w:color="auto"/>
              <w:right w:val="single" w:sz="4" w:space="0" w:color="auto"/>
            </w:tcBorders>
            <w:shd w:val="clear" w:color="auto" w:fill="auto"/>
            <w:vAlign w:val="center"/>
          </w:tcPr>
          <w:p w14:paraId="7843E606" w14:textId="77777777" w:rsidR="00594813" w:rsidRPr="000036D5" w:rsidRDefault="00594813" w:rsidP="00594813">
            <w:pPr>
              <w:pStyle w:val="NoSpacing"/>
              <w:jc w:val="center"/>
              <w:rPr>
                <w:rFonts w:ascii="Times New Roman" w:hAnsi="Times New Roman" w:cs="Times New Roman"/>
                <w:sz w:val="20"/>
                <w:szCs w:val="20"/>
              </w:rPr>
            </w:pPr>
            <w:r w:rsidRPr="000036D5">
              <w:rPr>
                <w:rFonts w:ascii="Times New Roman" w:hAnsi="Times New Roman" w:cs="Times New Roman"/>
                <w:sz w:val="20"/>
                <w:szCs w:val="20"/>
              </w:rPr>
              <w:t>Change</w:t>
            </w:r>
          </w:p>
        </w:tc>
        <w:tc>
          <w:tcPr>
            <w:tcW w:w="1417" w:type="dxa"/>
            <w:tcBorders>
              <w:top w:val="nil"/>
              <w:left w:val="single" w:sz="4" w:space="0" w:color="auto"/>
              <w:bottom w:val="single" w:sz="4" w:space="0" w:color="auto"/>
            </w:tcBorders>
            <w:shd w:val="clear" w:color="auto" w:fill="auto"/>
          </w:tcPr>
          <w:p w14:paraId="5FDC7BA6" w14:textId="77777777" w:rsidR="00594813" w:rsidRPr="000036D5" w:rsidRDefault="00594813" w:rsidP="00594813">
            <w:pPr>
              <w:pStyle w:val="NoSpacing"/>
              <w:jc w:val="right"/>
              <w:rPr>
                <w:rFonts w:ascii="Times New Roman" w:hAnsi="Times New Roman" w:cs="Times New Roman"/>
                <w:sz w:val="20"/>
                <w:szCs w:val="20"/>
              </w:rPr>
            </w:pPr>
            <w:r w:rsidRPr="000036D5">
              <w:rPr>
                <w:rStyle w:val="gd15mcfceub"/>
                <w:rFonts w:ascii="Times New Roman" w:hAnsi="Times New Roman" w:cs="Times New Roman"/>
                <w:color w:val="000000"/>
                <w:sz w:val="20"/>
                <w:szCs w:val="20"/>
                <w:bdr w:val="none" w:sz="0" w:space="0" w:color="auto" w:frame="1"/>
              </w:rPr>
              <w:t>7.46 (10.8)</w:t>
            </w:r>
          </w:p>
        </w:tc>
        <w:tc>
          <w:tcPr>
            <w:tcW w:w="1701" w:type="dxa"/>
            <w:tcBorders>
              <w:top w:val="nil"/>
              <w:bottom w:val="single" w:sz="4" w:space="0" w:color="auto"/>
            </w:tcBorders>
          </w:tcPr>
          <w:p w14:paraId="10C296B7" w14:textId="34622A0E" w:rsidR="00594813" w:rsidRPr="000036D5" w:rsidRDefault="00594813" w:rsidP="00594813">
            <w:pPr>
              <w:pStyle w:val="NoSpacing"/>
              <w:jc w:val="right"/>
              <w:rPr>
                <w:rStyle w:val="gd15mcfceub"/>
                <w:rFonts w:ascii="Times New Roman" w:hAnsi="Times New Roman" w:cs="Times New Roman"/>
                <w:color w:val="000000"/>
                <w:sz w:val="20"/>
                <w:szCs w:val="20"/>
                <w:bdr w:val="none" w:sz="0" w:space="0" w:color="auto" w:frame="1"/>
              </w:rPr>
            </w:pPr>
            <w:r w:rsidRPr="000036D5">
              <w:rPr>
                <w:rStyle w:val="gd15mcfceub"/>
                <w:rFonts w:ascii="Times New Roman" w:hAnsi="Times New Roman" w:cs="Times New Roman"/>
                <w:color w:val="000000"/>
                <w:sz w:val="20"/>
                <w:szCs w:val="20"/>
                <w:bdr w:val="none" w:sz="0" w:space="0" w:color="auto" w:frame="1"/>
              </w:rPr>
              <w:t>9.01 (11.67)</w:t>
            </w:r>
          </w:p>
        </w:tc>
        <w:tc>
          <w:tcPr>
            <w:tcW w:w="1701" w:type="dxa"/>
            <w:tcBorders>
              <w:top w:val="nil"/>
              <w:bottom w:val="single" w:sz="4" w:space="0" w:color="auto"/>
            </w:tcBorders>
          </w:tcPr>
          <w:p w14:paraId="2D456AC7" w14:textId="6C630368" w:rsidR="00594813" w:rsidRPr="000036D5" w:rsidRDefault="00594813" w:rsidP="00594813">
            <w:pPr>
              <w:pStyle w:val="NoSpacing"/>
              <w:jc w:val="right"/>
              <w:rPr>
                <w:rStyle w:val="gd15mcfceub"/>
                <w:rFonts w:ascii="Times New Roman" w:hAnsi="Times New Roman" w:cs="Times New Roman"/>
                <w:color w:val="000000"/>
                <w:sz w:val="20"/>
                <w:szCs w:val="20"/>
                <w:bdr w:val="none" w:sz="0" w:space="0" w:color="auto" w:frame="1"/>
              </w:rPr>
            </w:pPr>
            <w:r w:rsidRPr="000036D5">
              <w:rPr>
                <w:rStyle w:val="gd15mcfceub"/>
                <w:rFonts w:ascii="Times New Roman" w:hAnsi="Times New Roman" w:cs="Times New Roman"/>
                <w:color w:val="000000"/>
                <w:sz w:val="20"/>
                <w:szCs w:val="20"/>
                <w:bdr w:val="none" w:sz="0" w:space="0" w:color="auto" w:frame="1"/>
              </w:rPr>
              <w:t>9.41 (9.65)</w:t>
            </w:r>
          </w:p>
        </w:tc>
        <w:tc>
          <w:tcPr>
            <w:tcW w:w="1701" w:type="dxa"/>
            <w:tcBorders>
              <w:top w:val="nil"/>
              <w:bottom w:val="single" w:sz="4" w:space="0" w:color="auto"/>
            </w:tcBorders>
          </w:tcPr>
          <w:p w14:paraId="569D87F7" w14:textId="72809300" w:rsidR="00594813" w:rsidRPr="000036D5" w:rsidRDefault="00594813" w:rsidP="00594813">
            <w:pPr>
              <w:pStyle w:val="NoSpacing"/>
              <w:jc w:val="right"/>
              <w:rPr>
                <w:rStyle w:val="gd15mcfceub"/>
                <w:rFonts w:ascii="Times New Roman" w:hAnsi="Times New Roman" w:cs="Times New Roman"/>
                <w:color w:val="000000"/>
                <w:sz w:val="20"/>
                <w:szCs w:val="20"/>
                <w:bdr w:val="none" w:sz="0" w:space="0" w:color="auto" w:frame="1"/>
              </w:rPr>
            </w:pPr>
            <w:r w:rsidRPr="000036D5">
              <w:rPr>
                <w:rStyle w:val="gd15mcfceub"/>
                <w:rFonts w:ascii="Times New Roman" w:hAnsi="Times New Roman" w:cs="Times New Roman"/>
                <w:color w:val="000000"/>
                <w:sz w:val="20"/>
                <w:szCs w:val="20"/>
                <w:bdr w:val="none" w:sz="0" w:space="0" w:color="auto" w:frame="1"/>
              </w:rPr>
              <w:t>7.81 (10.71)</w:t>
            </w:r>
          </w:p>
        </w:tc>
        <w:tc>
          <w:tcPr>
            <w:tcW w:w="1701" w:type="dxa"/>
            <w:tcBorders>
              <w:top w:val="nil"/>
              <w:bottom w:val="single" w:sz="4" w:space="0" w:color="auto"/>
            </w:tcBorders>
          </w:tcPr>
          <w:p w14:paraId="288078BB" w14:textId="4A3F5CE3" w:rsidR="00594813" w:rsidRPr="000036D5" w:rsidRDefault="00594813" w:rsidP="00594813">
            <w:pPr>
              <w:pStyle w:val="NoSpacing"/>
              <w:jc w:val="right"/>
              <w:rPr>
                <w:rFonts w:ascii="Times New Roman" w:hAnsi="Times New Roman" w:cs="Times New Roman"/>
                <w:sz w:val="20"/>
                <w:szCs w:val="20"/>
              </w:rPr>
            </w:pPr>
            <w:r w:rsidRPr="000036D5">
              <w:rPr>
                <w:rStyle w:val="gd15mcfceub"/>
                <w:rFonts w:ascii="Times New Roman" w:hAnsi="Times New Roman" w:cs="Times New Roman"/>
                <w:color w:val="000000"/>
                <w:sz w:val="20"/>
                <w:szCs w:val="20"/>
                <w:bdr w:val="none" w:sz="0" w:space="0" w:color="auto" w:frame="1"/>
              </w:rPr>
              <w:t>5.58 (10.77)</w:t>
            </w:r>
          </w:p>
        </w:tc>
        <w:tc>
          <w:tcPr>
            <w:tcW w:w="1838" w:type="dxa"/>
            <w:tcBorders>
              <w:top w:val="nil"/>
              <w:bottom w:val="single" w:sz="4" w:space="0" w:color="auto"/>
              <w:right w:val="single" w:sz="4" w:space="0" w:color="auto"/>
            </w:tcBorders>
          </w:tcPr>
          <w:p w14:paraId="6D4705A7" w14:textId="77777777" w:rsidR="00594813" w:rsidRPr="000036D5" w:rsidRDefault="00594813" w:rsidP="00594813">
            <w:pPr>
              <w:pStyle w:val="NoSpacing"/>
              <w:jc w:val="right"/>
              <w:rPr>
                <w:rFonts w:ascii="Times New Roman" w:hAnsi="Times New Roman" w:cs="Times New Roman"/>
                <w:sz w:val="20"/>
                <w:szCs w:val="20"/>
              </w:rPr>
            </w:pPr>
            <w:r w:rsidRPr="000036D5">
              <w:rPr>
                <w:rStyle w:val="gd15mcfceub"/>
                <w:rFonts w:ascii="Times New Roman" w:hAnsi="Times New Roman" w:cs="Times New Roman"/>
                <w:color w:val="000000"/>
                <w:sz w:val="20"/>
                <w:szCs w:val="20"/>
                <w:bdr w:val="none" w:sz="0" w:space="0" w:color="auto" w:frame="1"/>
              </w:rPr>
              <w:t>4.38 (7.55)</w:t>
            </w:r>
          </w:p>
        </w:tc>
      </w:tr>
      <w:tr w:rsidR="00594813" w:rsidRPr="000036D5" w14:paraId="474B80DE" w14:textId="77777777" w:rsidTr="009639B5">
        <w:trPr>
          <w:trHeight w:val="283"/>
          <w:jc w:val="center"/>
        </w:trPr>
        <w:tc>
          <w:tcPr>
            <w:tcW w:w="2274" w:type="dxa"/>
            <w:vMerge w:val="restart"/>
            <w:tcBorders>
              <w:top w:val="single" w:sz="4" w:space="0" w:color="auto"/>
              <w:left w:val="single" w:sz="4" w:space="0" w:color="auto"/>
              <w:bottom w:val="nil"/>
            </w:tcBorders>
            <w:shd w:val="clear" w:color="auto" w:fill="auto"/>
            <w:vAlign w:val="center"/>
          </w:tcPr>
          <w:p w14:paraId="12E07D24" w14:textId="7DB94424" w:rsidR="00594813" w:rsidRPr="000036D5" w:rsidRDefault="00594813" w:rsidP="00594813">
            <w:pPr>
              <w:pStyle w:val="NoSpacing"/>
              <w:jc w:val="center"/>
              <w:rPr>
                <w:rFonts w:ascii="Times New Roman" w:hAnsi="Times New Roman" w:cs="Times New Roman"/>
                <w:sz w:val="20"/>
                <w:szCs w:val="20"/>
              </w:rPr>
            </w:pPr>
            <w:r w:rsidRPr="000036D5">
              <w:rPr>
                <w:rFonts w:ascii="Times New Roman" w:hAnsi="Times New Roman" w:cs="Times New Roman"/>
                <w:sz w:val="20"/>
                <w:szCs w:val="20"/>
              </w:rPr>
              <w:t>EQ-5D-</w:t>
            </w:r>
            <w:r>
              <w:rPr>
                <w:rFonts w:ascii="Times New Roman" w:hAnsi="Times New Roman" w:cs="Times New Roman"/>
                <w:sz w:val="20"/>
                <w:szCs w:val="20"/>
              </w:rPr>
              <w:t>5</w:t>
            </w:r>
            <w:r w:rsidRPr="000036D5">
              <w:rPr>
                <w:rFonts w:ascii="Times New Roman" w:hAnsi="Times New Roman" w:cs="Times New Roman"/>
                <w:sz w:val="20"/>
                <w:szCs w:val="20"/>
              </w:rPr>
              <w:t>L</w:t>
            </w:r>
          </w:p>
        </w:tc>
        <w:tc>
          <w:tcPr>
            <w:tcW w:w="1276" w:type="dxa"/>
            <w:tcBorders>
              <w:top w:val="single" w:sz="4" w:space="0" w:color="auto"/>
              <w:bottom w:val="nil"/>
              <w:right w:val="single" w:sz="4" w:space="0" w:color="auto"/>
            </w:tcBorders>
            <w:shd w:val="clear" w:color="auto" w:fill="auto"/>
            <w:vAlign w:val="center"/>
          </w:tcPr>
          <w:p w14:paraId="492D7830" w14:textId="77777777" w:rsidR="00594813" w:rsidRPr="000036D5" w:rsidRDefault="00594813" w:rsidP="00594813">
            <w:pPr>
              <w:pStyle w:val="NoSpacing"/>
              <w:jc w:val="center"/>
              <w:rPr>
                <w:rFonts w:ascii="Times New Roman" w:hAnsi="Times New Roman" w:cs="Times New Roman"/>
                <w:sz w:val="20"/>
                <w:szCs w:val="20"/>
              </w:rPr>
            </w:pPr>
            <w:r w:rsidRPr="000036D5">
              <w:rPr>
                <w:rFonts w:ascii="Times New Roman" w:hAnsi="Times New Roman" w:cs="Times New Roman"/>
                <w:sz w:val="20"/>
                <w:szCs w:val="20"/>
              </w:rPr>
              <w:t>0 months</w:t>
            </w:r>
          </w:p>
        </w:tc>
        <w:tc>
          <w:tcPr>
            <w:tcW w:w="1417" w:type="dxa"/>
            <w:tcBorders>
              <w:top w:val="single" w:sz="4" w:space="0" w:color="auto"/>
              <w:left w:val="single" w:sz="4" w:space="0" w:color="auto"/>
              <w:bottom w:val="nil"/>
            </w:tcBorders>
            <w:shd w:val="clear" w:color="auto" w:fill="auto"/>
          </w:tcPr>
          <w:p w14:paraId="7068A66C" w14:textId="77777777" w:rsidR="00594813" w:rsidRPr="000036D5" w:rsidRDefault="00594813" w:rsidP="00594813">
            <w:pPr>
              <w:pStyle w:val="NoSpacing"/>
              <w:jc w:val="right"/>
              <w:rPr>
                <w:rFonts w:ascii="Times New Roman" w:hAnsi="Times New Roman" w:cs="Times New Roman"/>
                <w:sz w:val="20"/>
                <w:szCs w:val="20"/>
              </w:rPr>
            </w:pPr>
            <w:r w:rsidRPr="000036D5">
              <w:rPr>
                <w:rStyle w:val="gd15mcfceub"/>
                <w:rFonts w:ascii="Times New Roman" w:hAnsi="Times New Roman" w:cs="Times New Roman"/>
                <w:color w:val="000000"/>
                <w:sz w:val="20"/>
                <w:szCs w:val="20"/>
                <w:bdr w:val="none" w:sz="0" w:space="0" w:color="auto" w:frame="1"/>
              </w:rPr>
              <w:t>0.56 (0.24)</w:t>
            </w:r>
          </w:p>
        </w:tc>
        <w:tc>
          <w:tcPr>
            <w:tcW w:w="1701" w:type="dxa"/>
            <w:tcBorders>
              <w:top w:val="single" w:sz="4" w:space="0" w:color="auto"/>
              <w:bottom w:val="nil"/>
            </w:tcBorders>
          </w:tcPr>
          <w:p w14:paraId="2896F52B" w14:textId="34F438F9" w:rsidR="00594813" w:rsidRPr="000036D5" w:rsidRDefault="00594813" w:rsidP="00594813">
            <w:pPr>
              <w:pStyle w:val="NoSpacing"/>
              <w:jc w:val="right"/>
              <w:rPr>
                <w:rStyle w:val="gd15mcfceub"/>
                <w:rFonts w:ascii="Times New Roman" w:hAnsi="Times New Roman" w:cs="Times New Roman"/>
                <w:color w:val="000000"/>
                <w:sz w:val="20"/>
                <w:szCs w:val="20"/>
                <w:bdr w:val="none" w:sz="0" w:space="0" w:color="auto" w:frame="1"/>
              </w:rPr>
            </w:pPr>
            <w:r w:rsidRPr="000036D5">
              <w:rPr>
                <w:rStyle w:val="gd15mcfceub"/>
                <w:rFonts w:ascii="Times New Roman" w:hAnsi="Times New Roman" w:cs="Times New Roman"/>
                <w:color w:val="000000"/>
                <w:sz w:val="20"/>
                <w:szCs w:val="20"/>
                <w:bdr w:val="none" w:sz="0" w:space="0" w:color="auto" w:frame="1"/>
              </w:rPr>
              <w:t>0.55 (0.24)</w:t>
            </w:r>
          </w:p>
        </w:tc>
        <w:tc>
          <w:tcPr>
            <w:tcW w:w="1701" w:type="dxa"/>
            <w:tcBorders>
              <w:top w:val="single" w:sz="4" w:space="0" w:color="auto"/>
              <w:bottom w:val="nil"/>
            </w:tcBorders>
          </w:tcPr>
          <w:p w14:paraId="2C6D0799" w14:textId="2D869934" w:rsidR="00594813" w:rsidRPr="000036D5" w:rsidRDefault="00594813" w:rsidP="00594813">
            <w:pPr>
              <w:pStyle w:val="NoSpacing"/>
              <w:jc w:val="right"/>
              <w:rPr>
                <w:rStyle w:val="gd15mcfceub"/>
                <w:rFonts w:ascii="Times New Roman" w:hAnsi="Times New Roman" w:cs="Times New Roman"/>
                <w:color w:val="000000"/>
                <w:sz w:val="20"/>
                <w:szCs w:val="20"/>
                <w:bdr w:val="none" w:sz="0" w:space="0" w:color="auto" w:frame="1"/>
              </w:rPr>
            </w:pPr>
            <w:r w:rsidRPr="000036D5">
              <w:rPr>
                <w:rStyle w:val="gd15mcfceub"/>
                <w:rFonts w:ascii="Times New Roman" w:hAnsi="Times New Roman" w:cs="Times New Roman"/>
                <w:color w:val="000000"/>
                <w:sz w:val="20"/>
                <w:szCs w:val="20"/>
                <w:bdr w:val="none" w:sz="0" w:space="0" w:color="auto" w:frame="1"/>
              </w:rPr>
              <w:t>0.64 (0.23)</w:t>
            </w:r>
          </w:p>
        </w:tc>
        <w:tc>
          <w:tcPr>
            <w:tcW w:w="1701" w:type="dxa"/>
            <w:tcBorders>
              <w:top w:val="single" w:sz="4" w:space="0" w:color="auto"/>
              <w:bottom w:val="nil"/>
            </w:tcBorders>
          </w:tcPr>
          <w:p w14:paraId="6973A5B4" w14:textId="49944A48" w:rsidR="00594813" w:rsidRPr="000036D5" w:rsidRDefault="00594813" w:rsidP="00594813">
            <w:pPr>
              <w:pStyle w:val="NoSpacing"/>
              <w:jc w:val="right"/>
              <w:rPr>
                <w:rStyle w:val="gd15mcfceub"/>
                <w:rFonts w:ascii="Times New Roman" w:hAnsi="Times New Roman" w:cs="Times New Roman"/>
                <w:color w:val="000000"/>
                <w:sz w:val="20"/>
                <w:szCs w:val="20"/>
                <w:bdr w:val="none" w:sz="0" w:space="0" w:color="auto" w:frame="1"/>
              </w:rPr>
            </w:pPr>
            <w:r w:rsidRPr="000036D5">
              <w:rPr>
                <w:rStyle w:val="gd15mcfceub"/>
                <w:rFonts w:ascii="Times New Roman" w:hAnsi="Times New Roman" w:cs="Times New Roman"/>
                <w:color w:val="000000"/>
                <w:sz w:val="20"/>
                <w:szCs w:val="20"/>
                <w:bdr w:val="none" w:sz="0" w:space="0" w:color="auto" w:frame="1"/>
              </w:rPr>
              <w:t>0.57 (0.23)</w:t>
            </w:r>
          </w:p>
        </w:tc>
        <w:tc>
          <w:tcPr>
            <w:tcW w:w="1701" w:type="dxa"/>
            <w:tcBorders>
              <w:top w:val="single" w:sz="4" w:space="0" w:color="auto"/>
              <w:bottom w:val="nil"/>
            </w:tcBorders>
          </w:tcPr>
          <w:p w14:paraId="79C56708" w14:textId="2964C57D" w:rsidR="00594813" w:rsidRPr="000036D5" w:rsidRDefault="00594813" w:rsidP="00594813">
            <w:pPr>
              <w:pStyle w:val="NoSpacing"/>
              <w:jc w:val="right"/>
              <w:rPr>
                <w:rFonts w:ascii="Times New Roman" w:hAnsi="Times New Roman" w:cs="Times New Roman"/>
                <w:sz w:val="20"/>
                <w:szCs w:val="20"/>
              </w:rPr>
            </w:pPr>
            <w:r w:rsidRPr="000036D5">
              <w:rPr>
                <w:rStyle w:val="gd15mcfceub"/>
                <w:rFonts w:ascii="Times New Roman" w:hAnsi="Times New Roman" w:cs="Times New Roman"/>
                <w:color w:val="000000"/>
                <w:sz w:val="20"/>
                <w:szCs w:val="20"/>
                <w:bdr w:val="none" w:sz="0" w:space="0" w:color="auto" w:frame="1"/>
              </w:rPr>
              <w:t>0.53 (0.24)</w:t>
            </w:r>
          </w:p>
        </w:tc>
        <w:tc>
          <w:tcPr>
            <w:tcW w:w="1838" w:type="dxa"/>
            <w:tcBorders>
              <w:top w:val="single" w:sz="4" w:space="0" w:color="auto"/>
              <w:bottom w:val="nil"/>
              <w:right w:val="single" w:sz="4" w:space="0" w:color="auto"/>
            </w:tcBorders>
          </w:tcPr>
          <w:p w14:paraId="1672A5B3" w14:textId="77777777" w:rsidR="00594813" w:rsidRPr="000036D5" w:rsidRDefault="00594813" w:rsidP="00594813">
            <w:pPr>
              <w:pStyle w:val="NoSpacing"/>
              <w:jc w:val="right"/>
              <w:rPr>
                <w:rFonts w:ascii="Times New Roman" w:hAnsi="Times New Roman" w:cs="Times New Roman"/>
                <w:sz w:val="20"/>
                <w:szCs w:val="20"/>
              </w:rPr>
            </w:pPr>
            <w:r w:rsidRPr="000036D5">
              <w:rPr>
                <w:rStyle w:val="gd15mcfceub"/>
                <w:rFonts w:ascii="Times New Roman" w:hAnsi="Times New Roman" w:cs="Times New Roman"/>
                <w:color w:val="000000"/>
                <w:sz w:val="20"/>
                <w:szCs w:val="20"/>
                <w:bdr w:val="none" w:sz="0" w:space="0" w:color="auto" w:frame="1"/>
              </w:rPr>
              <w:t>0.55 (0.23)</w:t>
            </w:r>
          </w:p>
        </w:tc>
      </w:tr>
      <w:tr w:rsidR="00594813" w:rsidRPr="000036D5" w14:paraId="4B8CFDF6" w14:textId="77777777" w:rsidTr="009639B5">
        <w:trPr>
          <w:trHeight w:val="283"/>
          <w:jc w:val="center"/>
        </w:trPr>
        <w:tc>
          <w:tcPr>
            <w:tcW w:w="2274" w:type="dxa"/>
            <w:vMerge/>
            <w:tcBorders>
              <w:top w:val="nil"/>
              <w:left w:val="single" w:sz="4" w:space="0" w:color="auto"/>
              <w:bottom w:val="nil"/>
            </w:tcBorders>
            <w:shd w:val="clear" w:color="auto" w:fill="auto"/>
            <w:vAlign w:val="center"/>
          </w:tcPr>
          <w:p w14:paraId="369BB15F" w14:textId="77777777" w:rsidR="00594813" w:rsidRPr="000036D5" w:rsidRDefault="00594813" w:rsidP="00594813">
            <w:pPr>
              <w:pStyle w:val="NoSpacing"/>
              <w:jc w:val="center"/>
              <w:rPr>
                <w:rFonts w:ascii="Times New Roman" w:hAnsi="Times New Roman" w:cs="Times New Roman"/>
                <w:sz w:val="20"/>
                <w:szCs w:val="20"/>
              </w:rPr>
            </w:pPr>
          </w:p>
        </w:tc>
        <w:tc>
          <w:tcPr>
            <w:tcW w:w="1276" w:type="dxa"/>
            <w:tcBorders>
              <w:top w:val="nil"/>
              <w:bottom w:val="nil"/>
              <w:right w:val="single" w:sz="4" w:space="0" w:color="auto"/>
            </w:tcBorders>
            <w:shd w:val="clear" w:color="auto" w:fill="auto"/>
            <w:vAlign w:val="center"/>
          </w:tcPr>
          <w:p w14:paraId="0DF0527F" w14:textId="77777777" w:rsidR="00594813" w:rsidRPr="000036D5" w:rsidRDefault="00594813" w:rsidP="00594813">
            <w:pPr>
              <w:pStyle w:val="NoSpacing"/>
              <w:jc w:val="center"/>
              <w:rPr>
                <w:rFonts w:ascii="Times New Roman" w:hAnsi="Times New Roman" w:cs="Times New Roman"/>
                <w:sz w:val="20"/>
                <w:szCs w:val="20"/>
              </w:rPr>
            </w:pPr>
            <w:r w:rsidRPr="000036D5">
              <w:rPr>
                <w:rFonts w:ascii="Times New Roman" w:hAnsi="Times New Roman" w:cs="Times New Roman"/>
                <w:sz w:val="20"/>
                <w:szCs w:val="20"/>
              </w:rPr>
              <w:t>6 months</w:t>
            </w:r>
          </w:p>
        </w:tc>
        <w:tc>
          <w:tcPr>
            <w:tcW w:w="1417" w:type="dxa"/>
            <w:tcBorders>
              <w:top w:val="nil"/>
              <w:left w:val="single" w:sz="4" w:space="0" w:color="auto"/>
              <w:bottom w:val="nil"/>
            </w:tcBorders>
            <w:shd w:val="clear" w:color="auto" w:fill="auto"/>
          </w:tcPr>
          <w:p w14:paraId="57998277" w14:textId="77777777" w:rsidR="00594813" w:rsidRPr="000036D5" w:rsidRDefault="00594813" w:rsidP="00594813">
            <w:pPr>
              <w:pStyle w:val="NoSpacing"/>
              <w:jc w:val="right"/>
              <w:rPr>
                <w:rFonts w:ascii="Times New Roman" w:hAnsi="Times New Roman" w:cs="Times New Roman"/>
                <w:sz w:val="20"/>
                <w:szCs w:val="20"/>
              </w:rPr>
            </w:pPr>
            <w:r w:rsidRPr="000036D5">
              <w:rPr>
                <w:rStyle w:val="gd15mcfceub"/>
                <w:rFonts w:ascii="Times New Roman" w:hAnsi="Times New Roman" w:cs="Times New Roman"/>
                <w:color w:val="000000"/>
                <w:sz w:val="20"/>
                <w:szCs w:val="20"/>
                <w:bdr w:val="none" w:sz="0" w:space="0" w:color="auto" w:frame="1"/>
              </w:rPr>
              <w:t>0.64 (0.26)</w:t>
            </w:r>
          </w:p>
        </w:tc>
        <w:tc>
          <w:tcPr>
            <w:tcW w:w="1701" w:type="dxa"/>
            <w:tcBorders>
              <w:top w:val="nil"/>
              <w:bottom w:val="nil"/>
            </w:tcBorders>
          </w:tcPr>
          <w:p w14:paraId="6A0643E9" w14:textId="183A72CA" w:rsidR="00594813" w:rsidRPr="000036D5" w:rsidRDefault="00594813" w:rsidP="00594813">
            <w:pPr>
              <w:pStyle w:val="NoSpacing"/>
              <w:jc w:val="right"/>
              <w:rPr>
                <w:rStyle w:val="gd15mcfceub"/>
                <w:rFonts w:ascii="Times New Roman" w:hAnsi="Times New Roman" w:cs="Times New Roman"/>
                <w:color w:val="000000"/>
                <w:sz w:val="20"/>
                <w:szCs w:val="20"/>
                <w:bdr w:val="none" w:sz="0" w:space="0" w:color="auto" w:frame="1"/>
              </w:rPr>
            </w:pPr>
            <w:r w:rsidRPr="000036D5">
              <w:rPr>
                <w:rStyle w:val="gd15mcfceub"/>
                <w:rFonts w:ascii="Times New Roman" w:hAnsi="Times New Roman" w:cs="Times New Roman"/>
                <w:color w:val="000000"/>
                <w:sz w:val="20"/>
                <w:szCs w:val="20"/>
                <w:bdr w:val="none" w:sz="0" w:space="0" w:color="auto" w:frame="1"/>
              </w:rPr>
              <w:t>0.66 (0.27)</w:t>
            </w:r>
          </w:p>
        </w:tc>
        <w:tc>
          <w:tcPr>
            <w:tcW w:w="1701" w:type="dxa"/>
            <w:tcBorders>
              <w:top w:val="nil"/>
              <w:bottom w:val="nil"/>
            </w:tcBorders>
          </w:tcPr>
          <w:p w14:paraId="5E9CD437" w14:textId="1FB03370" w:rsidR="00594813" w:rsidRPr="000036D5" w:rsidRDefault="00594813" w:rsidP="00594813">
            <w:pPr>
              <w:pStyle w:val="NoSpacing"/>
              <w:jc w:val="right"/>
              <w:rPr>
                <w:rStyle w:val="gd15mcfceub"/>
                <w:rFonts w:ascii="Times New Roman" w:hAnsi="Times New Roman" w:cs="Times New Roman"/>
                <w:color w:val="000000"/>
                <w:sz w:val="20"/>
                <w:szCs w:val="20"/>
                <w:bdr w:val="none" w:sz="0" w:space="0" w:color="auto" w:frame="1"/>
              </w:rPr>
            </w:pPr>
            <w:r w:rsidRPr="000036D5">
              <w:rPr>
                <w:rStyle w:val="gd15mcfceub"/>
                <w:rFonts w:ascii="Times New Roman" w:hAnsi="Times New Roman" w:cs="Times New Roman"/>
                <w:color w:val="000000"/>
                <w:sz w:val="20"/>
                <w:szCs w:val="20"/>
                <w:bdr w:val="none" w:sz="0" w:space="0" w:color="auto" w:frame="1"/>
              </w:rPr>
              <w:t>0.69 (0.21)</w:t>
            </w:r>
          </w:p>
        </w:tc>
        <w:tc>
          <w:tcPr>
            <w:tcW w:w="1701" w:type="dxa"/>
            <w:tcBorders>
              <w:top w:val="nil"/>
              <w:bottom w:val="nil"/>
            </w:tcBorders>
          </w:tcPr>
          <w:p w14:paraId="2A2F1517" w14:textId="58F2798E" w:rsidR="00594813" w:rsidRPr="000036D5" w:rsidRDefault="00594813" w:rsidP="00594813">
            <w:pPr>
              <w:pStyle w:val="NoSpacing"/>
              <w:jc w:val="right"/>
              <w:rPr>
                <w:rStyle w:val="gd15mcfceub"/>
                <w:rFonts w:ascii="Times New Roman" w:hAnsi="Times New Roman" w:cs="Times New Roman"/>
                <w:color w:val="000000"/>
                <w:sz w:val="20"/>
                <w:szCs w:val="20"/>
                <w:bdr w:val="none" w:sz="0" w:space="0" w:color="auto" w:frame="1"/>
              </w:rPr>
            </w:pPr>
            <w:r w:rsidRPr="000036D5">
              <w:rPr>
                <w:rStyle w:val="gd15mcfceub"/>
                <w:rFonts w:ascii="Times New Roman" w:hAnsi="Times New Roman" w:cs="Times New Roman"/>
                <w:color w:val="000000"/>
                <w:sz w:val="20"/>
                <w:szCs w:val="20"/>
                <w:bdr w:val="none" w:sz="0" w:space="0" w:color="auto" w:frame="1"/>
              </w:rPr>
              <w:t>0.66 (0.26)</w:t>
            </w:r>
          </w:p>
        </w:tc>
        <w:tc>
          <w:tcPr>
            <w:tcW w:w="1701" w:type="dxa"/>
            <w:tcBorders>
              <w:top w:val="nil"/>
              <w:bottom w:val="nil"/>
            </w:tcBorders>
          </w:tcPr>
          <w:p w14:paraId="372EEF24" w14:textId="042C4EB9" w:rsidR="00594813" w:rsidRPr="000036D5" w:rsidRDefault="00594813" w:rsidP="00594813">
            <w:pPr>
              <w:pStyle w:val="NoSpacing"/>
              <w:jc w:val="right"/>
              <w:rPr>
                <w:rFonts w:ascii="Times New Roman" w:hAnsi="Times New Roman" w:cs="Times New Roman"/>
                <w:sz w:val="20"/>
                <w:szCs w:val="20"/>
              </w:rPr>
            </w:pPr>
            <w:r w:rsidRPr="000036D5">
              <w:rPr>
                <w:rStyle w:val="gd15mcfceub"/>
                <w:rFonts w:ascii="Times New Roman" w:hAnsi="Times New Roman" w:cs="Times New Roman"/>
                <w:color w:val="000000"/>
                <w:sz w:val="20"/>
                <w:szCs w:val="20"/>
                <w:bdr w:val="none" w:sz="0" w:space="0" w:color="auto" w:frame="1"/>
              </w:rPr>
              <w:t>0.59 (0.25)</w:t>
            </w:r>
          </w:p>
        </w:tc>
        <w:tc>
          <w:tcPr>
            <w:tcW w:w="1838" w:type="dxa"/>
            <w:tcBorders>
              <w:top w:val="nil"/>
              <w:bottom w:val="nil"/>
              <w:right w:val="single" w:sz="4" w:space="0" w:color="auto"/>
            </w:tcBorders>
          </w:tcPr>
          <w:p w14:paraId="018AF95C" w14:textId="77777777" w:rsidR="00594813" w:rsidRPr="000036D5" w:rsidRDefault="00594813" w:rsidP="00594813">
            <w:pPr>
              <w:pStyle w:val="NoSpacing"/>
              <w:jc w:val="right"/>
              <w:rPr>
                <w:rFonts w:ascii="Times New Roman" w:hAnsi="Times New Roman" w:cs="Times New Roman"/>
                <w:sz w:val="20"/>
                <w:szCs w:val="20"/>
              </w:rPr>
            </w:pPr>
            <w:r w:rsidRPr="000036D5">
              <w:rPr>
                <w:rStyle w:val="gd15mcfceub"/>
                <w:rFonts w:ascii="Times New Roman" w:hAnsi="Times New Roman" w:cs="Times New Roman"/>
                <w:color w:val="000000"/>
                <w:sz w:val="20"/>
                <w:szCs w:val="20"/>
                <w:bdr w:val="none" w:sz="0" w:space="0" w:color="auto" w:frame="1"/>
              </w:rPr>
              <w:t>0.59 (0.25)</w:t>
            </w:r>
          </w:p>
        </w:tc>
      </w:tr>
      <w:tr w:rsidR="00594813" w:rsidRPr="000036D5" w14:paraId="2DA1B3EA" w14:textId="77777777" w:rsidTr="009639B5">
        <w:trPr>
          <w:trHeight w:val="283"/>
          <w:jc w:val="center"/>
        </w:trPr>
        <w:tc>
          <w:tcPr>
            <w:tcW w:w="2274" w:type="dxa"/>
            <w:vMerge/>
            <w:tcBorders>
              <w:top w:val="nil"/>
              <w:left w:val="single" w:sz="4" w:space="0" w:color="auto"/>
              <w:bottom w:val="single" w:sz="4" w:space="0" w:color="auto"/>
            </w:tcBorders>
            <w:shd w:val="clear" w:color="auto" w:fill="auto"/>
            <w:vAlign w:val="center"/>
          </w:tcPr>
          <w:p w14:paraId="7AF7A167" w14:textId="77777777" w:rsidR="00594813" w:rsidRPr="000036D5" w:rsidRDefault="00594813" w:rsidP="00594813">
            <w:pPr>
              <w:pStyle w:val="NoSpacing"/>
              <w:jc w:val="center"/>
              <w:rPr>
                <w:rFonts w:ascii="Times New Roman" w:hAnsi="Times New Roman" w:cs="Times New Roman"/>
                <w:sz w:val="20"/>
                <w:szCs w:val="20"/>
              </w:rPr>
            </w:pPr>
          </w:p>
        </w:tc>
        <w:tc>
          <w:tcPr>
            <w:tcW w:w="1276" w:type="dxa"/>
            <w:tcBorders>
              <w:top w:val="nil"/>
              <w:bottom w:val="single" w:sz="4" w:space="0" w:color="auto"/>
              <w:right w:val="single" w:sz="4" w:space="0" w:color="auto"/>
            </w:tcBorders>
            <w:shd w:val="clear" w:color="auto" w:fill="auto"/>
            <w:vAlign w:val="center"/>
          </w:tcPr>
          <w:p w14:paraId="08F7EC53" w14:textId="77777777" w:rsidR="00594813" w:rsidRPr="000036D5" w:rsidRDefault="00594813" w:rsidP="00594813">
            <w:pPr>
              <w:pStyle w:val="NoSpacing"/>
              <w:jc w:val="center"/>
              <w:rPr>
                <w:rFonts w:ascii="Times New Roman" w:hAnsi="Times New Roman" w:cs="Times New Roman"/>
                <w:sz w:val="20"/>
                <w:szCs w:val="20"/>
              </w:rPr>
            </w:pPr>
            <w:r w:rsidRPr="000036D5">
              <w:rPr>
                <w:rFonts w:ascii="Times New Roman" w:hAnsi="Times New Roman" w:cs="Times New Roman"/>
                <w:sz w:val="20"/>
                <w:szCs w:val="20"/>
              </w:rPr>
              <w:t>Change</w:t>
            </w:r>
          </w:p>
        </w:tc>
        <w:tc>
          <w:tcPr>
            <w:tcW w:w="1417" w:type="dxa"/>
            <w:tcBorders>
              <w:top w:val="nil"/>
              <w:left w:val="single" w:sz="4" w:space="0" w:color="auto"/>
              <w:bottom w:val="single" w:sz="4" w:space="0" w:color="auto"/>
            </w:tcBorders>
            <w:shd w:val="clear" w:color="auto" w:fill="auto"/>
          </w:tcPr>
          <w:p w14:paraId="2A31E207" w14:textId="5EAAB817" w:rsidR="00594813" w:rsidRPr="00575C2B" w:rsidRDefault="00575C2B" w:rsidP="00594813">
            <w:pPr>
              <w:pStyle w:val="NoSpacing"/>
              <w:jc w:val="right"/>
              <w:rPr>
                <w:rFonts w:ascii="Times New Roman" w:hAnsi="Times New Roman" w:cs="Times New Roman"/>
                <w:sz w:val="20"/>
                <w:szCs w:val="20"/>
              </w:rPr>
            </w:pPr>
            <w:r w:rsidRPr="00575C2B">
              <w:rPr>
                <w:rStyle w:val="gd15mcfceub"/>
                <w:rFonts w:ascii="Times New Roman" w:hAnsi="Times New Roman" w:cs="Times New Roman"/>
                <w:color w:val="000000"/>
                <w:sz w:val="20"/>
                <w:szCs w:val="20"/>
                <w:bdr w:val="none" w:sz="0" w:space="0" w:color="auto" w:frame="1"/>
              </w:rPr>
              <w:t>0.08</w:t>
            </w:r>
            <w:r w:rsidR="00594813" w:rsidRPr="00575C2B">
              <w:rPr>
                <w:rStyle w:val="gd15mcfceub"/>
                <w:rFonts w:ascii="Times New Roman" w:hAnsi="Times New Roman" w:cs="Times New Roman"/>
                <w:color w:val="000000"/>
                <w:sz w:val="20"/>
                <w:szCs w:val="20"/>
                <w:bdr w:val="none" w:sz="0" w:space="0" w:color="auto" w:frame="1"/>
              </w:rPr>
              <w:t xml:space="preserve"> </w:t>
            </w:r>
            <w:r w:rsidRPr="00575C2B">
              <w:rPr>
                <w:rStyle w:val="gd15mcfceub"/>
                <w:rFonts w:ascii="Times New Roman" w:hAnsi="Times New Roman" w:cs="Times New Roman"/>
                <w:color w:val="000000"/>
                <w:sz w:val="20"/>
                <w:szCs w:val="20"/>
                <w:bdr w:val="none" w:sz="0" w:space="0" w:color="auto" w:frame="1"/>
              </w:rPr>
              <w:t>(0.2</w:t>
            </w:r>
            <w:r w:rsidR="00594813" w:rsidRPr="00575C2B">
              <w:rPr>
                <w:rStyle w:val="gd15mcfceub"/>
                <w:rFonts w:ascii="Times New Roman" w:hAnsi="Times New Roman" w:cs="Times New Roman"/>
                <w:color w:val="000000"/>
                <w:sz w:val="20"/>
                <w:szCs w:val="20"/>
                <w:bdr w:val="none" w:sz="0" w:space="0" w:color="auto" w:frame="1"/>
              </w:rPr>
              <w:t>1)</w:t>
            </w:r>
          </w:p>
        </w:tc>
        <w:tc>
          <w:tcPr>
            <w:tcW w:w="1701" w:type="dxa"/>
            <w:tcBorders>
              <w:top w:val="nil"/>
              <w:bottom w:val="single" w:sz="4" w:space="0" w:color="auto"/>
            </w:tcBorders>
            <w:shd w:val="clear" w:color="auto" w:fill="auto"/>
          </w:tcPr>
          <w:p w14:paraId="6E970E58" w14:textId="39CBCA87" w:rsidR="00594813" w:rsidRPr="00575C2B" w:rsidRDefault="00575C2B" w:rsidP="00594813">
            <w:pPr>
              <w:pStyle w:val="NoSpacing"/>
              <w:jc w:val="right"/>
              <w:rPr>
                <w:rStyle w:val="gd15mcfceub"/>
                <w:rFonts w:ascii="Times New Roman" w:hAnsi="Times New Roman" w:cs="Times New Roman"/>
                <w:color w:val="000000"/>
                <w:sz w:val="20"/>
                <w:szCs w:val="20"/>
                <w:bdr w:val="none" w:sz="0" w:space="0" w:color="auto" w:frame="1"/>
              </w:rPr>
            </w:pPr>
            <w:r w:rsidRPr="00575C2B">
              <w:rPr>
                <w:rStyle w:val="gd15mcfceub"/>
                <w:rFonts w:ascii="Times New Roman" w:hAnsi="Times New Roman" w:cs="Times New Roman"/>
                <w:color w:val="000000"/>
                <w:sz w:val="20"/>
                <w:szCs w:val="20"/>
                <w:bdr w:val="none" w:sz="0" w:space="0" w:color="auto" w:frame="1"/>
              </w:rPr>
              <w:t>0.10 (0.23</w:t>
            </w:r>
            <w:r w:rsidR="00594813" w:rsidRPr="00575C2B">
              <w:rPr>
                <w:rStyle w:val="gd15mcfceub"/>
                <w:rFonts w:ascii="Times New Roman" w:hAnsi="Times New Roman" w:cs="Times New Roman"/>
                <w:color w:val="000000"/>
                <w:sz w:val="20"/>
                <w:szCs w:val="20"/>
                <w:bdr w:val="none" w:sz="0" w:space="0" w:color="auto" w:frame="1"/>
              </w:rPr>
              <w:t>)</w:t>
            </w:r>
          </w:p>
        </w:tc>
        <w:tc>
          <w:tcPr>
            <w:tcW w:w="1701" w:type="dxa"/>
            <w:tcBorders>
              <w:top w:val="nil"/>
              <w:bottom w:val="single" w:sz="4" w:space="0" w:color="auto"/>
            </w:tcBorders>
            <w:shd w:val="clear" w:color="auto" w:fill="auto"/>
          </w:tcPr>
          <w:p w14:paraId="551368DA" w14:textId="26EFBBD5" w:rsidR="00594813" w:rsidRPr="00575C2B" w:rsidRDefault="00575C2B" w:rsidP="00594813">
            <w:pPr>
              <w:pStyle w:val="NoSpacing"/>
              <w:jc w:val="right"/>
              <w:rPr>
                <w:rStyle w:val="gd15mcfceub"/>
                <w:rFonts w:ascii="Times New Roman" w:hAnsi="Times New Roman" w:cs="Times New Roman"/>
                <w:color w:val="000000"/>
                <w:sz w:val="20"/>
                <w:szCs w:val="20"/>
                <w:bdr w:val="none" w:sz="0" w:space="0" w:color="auto" w:frame="1"/>
              </w:rPr>
            </w:pPr>
            <w:r w:rsidRPr="00575C2B">
              <w:rPr>
                <w:rStyle w:val="gd15mcfceub"/>
                <w:rFonts w:ascii="Times New Roman" w:hAnsi="Times New Roman" w:cs="Times New Roman"/>
                <w:color w:val="000000"/>
                <w:sz w:val="20"/>
                <w:szCs w:val="20"/>
                <w:bdr w:val="none" w:sz="0" w:space="0" w:color="auto" w:frame="1"/>
              </w:rPr>
              <w:t>0.05 (0.14</w:t>
            </w:r>
            <w:r w:rsidR="00594813" w:rsidRPr="00575C2B">
              <w:rPr>
                <w:rStyle w:val="gd15mcfceub"/>
                <w:rFonts w:ascii="Times New Roman" w:hAnsi="Times New Roman" w:cs="Times New Roman"/>
                <w:color w:val="000000"/>
                <w:sz w:val="20"/>
                <w:szCs w:val="20"/>
                <w:bdr w:val="none" w:sz="0" w:space="0" w:color="auto" w:frame="1"/>
              </w:rPr>
              <w:t>)</w:t>
            </w:r>
          </w:p>
        </w:tc>
        <w:tc>
          <w:tcPr>
            <w:tcW w:w="1701" w:type="dxa"/>
            <w:tcBorders>
              <w:top w:val="nil"/>
              <w:bottom w:val="single" w:sz="4" w:space="0" w:color="auto"/>
            </w:tcBorders>
            <w:shd w:val="clear" w:color="auto" w:fill="auto"/>
          </w:tcPr>
          <w:p w14:paraId="63E39552" w14:textId="3FC46046" w:rsidR="00594813" w:rsidRPr="00575C2B" w:rsidRDefault="00575C2B" w:rsidP="00594813">
            <w:pPr>
              <w:pStyle w:val="NoSpacing"/>
              <w:jc w:val="right"/>
              <w:rPr>
                <w:rStyle w:val="gd15mcfceub"/>
                <w:rFonts w:ascii="Times New Roman" w:hAnsi="Times New Roman" w:cs="Times New Roman"/>
                <w:color w:val="000000"/>
                <w:sz w:val="20"/>
                <w:szCs w:val="20"/>
                <w:bdr w:val="none" w:sz="0" w:space="0" w:color="auto" w:frame="1"/>
              </w:rPr>
            </w:pPr>
            <w:r w:rsidRPr="00575C2B">
              <w:rPr>
                <w:rStyle w:val="gd15mcfceub"/>
                <w:rFonts w:ascii="Times New Roman" w:hAnsi="Times New Roman" w:cs="Times New Roman"/>
                <w:color w:val="000000"/>
                <w:sz w:val="20"/>
                <w:szCs w:val="20"/>
                <w:bdr w:val="none" w:sz="0" w:space="0" w:color="auto" w:frame="1"/>
              </w:rPr>
              <w:t>0.08 (0.21</w:t>
            </w:r>
            <w:r w:rsidR="00594813" w:rsidRPr="00575C2B">
              <w:rPr>
                <w:rStyle w:val="gd15mcfceub"/>
                <w:rFonts w:ascii="Times New Roman" w:hAnsi="Times New Roman" w:cs="Times New Roman"/>
                <w:color w:val="000000"/>
                <w:sz w:val="20"/>
                <w:szCs w:val="20"/>
                <w:bdr w:val="none" w:sz="0" w:space="0" w:color="auto" w:frame="1"/>
              </w:rPr>
              <w:t>)</w:t>
            </w:r>
          </w:p>
        </w:tc>
        <w:tc>
          <w:tcPr>
            <w:tcW w:w="1701" w:type="dxa"/>
            <w:tcBorders>
              <w:top w:val="nil"/>
              <w:bottom w:val="single" w:sz="4" w:space="0" w:color="auto"/>
            </w:tcBorders>
            <w:shd w:val="clear" w:color="auto" w:fill="auto"/>
          </w:tcPr>
          <w:p w14:paraId="56B8F105" w14:textId="4AC1A66A" w:rsidR="00594813" w:rsidRPr="00575C2B" w:rsidRDefault="00575C2B" w:rsidP="00594813">
            <w:pPr>
              <w:pStyle w:val="NoSpacing"/>
              <w:jc w:val="right"/>
              <w:rPr>
                <w:rFonts w:ascii="Times New Roman" w:hAnsi="Times New Roman" w:cs="Times New Roman"/>
                <w:sz w:val="20"/>
                <w:szCs w:val="20"/>
              </w:rPr>
            </w:pPr>
            <w:r w:rsidRPr="00575C2B">
              <w:rPr>
                <w:rStyle w:val="gd15mcfceub"/>
                <w:rFonts w:ascii="Times New Roman" w:hAnsi="Times New Roman" w:cs="Times New Roman"/>
                <w:color w:val="000000"/>
                <w:sz w:val="20"/>
                <w:szCs w:val="20"/>
                <w:bdr w:val="none" w:sz="0" w:space="0" w:color="auto" w:frame="1"/>
              </w:rPr>
              <w:t>0.07 (0.23</w:t>
            </w:r>
            <w:r w:rsidR="00594813" w:rsidRPr="00575C2B">
              <w:rPr>
                <w:rStyle w:val="gd15mcfceub"/>
                <w:rFonts w:ascii="Times New Roman" w:hAnsi="Times New Roman" w:cs="Times New Roman"/>
                <w:color w:val="000000"/>
                <w:sz w:val="20"/>
                <w:szCs w:val="20"/>
                <w:bdr w:val="none" w:sz="0" w:space="0" w:color="auto" w:frame="1"/>
              </w:rPr>
              <w:t>)</w:t>
            </w:r>
          </w:p>
        </w:tc>
        <w:tc>
          <w:tcPr>
            <w:tcW w:w="1838" w:type="dxa"/>
            <w:tcBorders>
              <w:top w:val="nil"/>
              <w:bottom w:val="single" w:sz="4" w:space="0" w:color="auto"/>
              <w:right w:val="single" w:sz="4" w:space="0" w:color="auto"/>
            </w:tcBorders>
            <w:shd w:val="clear" w:color="auto" w:fill="auto"/>
          </w:tcPr>
          <w:p w14:paraId="7AF8960F" w14:textId="77777777" w:rsidR="00594813" w:rsidRPr="00575C2B" w:rsidRDefault="00594813" w:rsidP="00594813">
            <w:pPr>
              <w:pStyle w:val="NoSpacing"/>
              <w:jc w:val="right"/>
              <w:rPr>
                <w:rFonts w:ascii="Times New Roman" w:hAnsi="Times New Roman" w:cs="Times New Roman"/>
                <w:sz w:val="20"/>
                <w:szCs w:val="20"/>
              </w:rPr>
            </w:pPr>
            <w:r w:rsidRPr="00575C2B">
              <w:rPr>
                <w:rStyle w:val="gd15mcfceub"/>
                <w:rFonts w:ascii="Times New Roman" w:hAnsi="Times New Roman" w:cs="Times New Roman"/>
                <w:color w:val="000000"/>
                <w:sz w:val="20"/>
                <w:szCs w:val="20"/>
                <w:bdr w:val="none" w:sz="0" w:space="0" w:color="auto" w:frame="1"/>
              </w:rPr>
              <w:t>0.05 (0.13)</w:t>
            </w:r>
          </w:p>
        </w:tc>
      </w:tr>
      <w:tr w:rsidR="00594813" w:rsidRPr="000036D5" w14:paraId="5DB0899A" w14:textId="77777777" w:rsidTr="009639B5">
        <w:trPr>
          <w:trHeight w:val="135"/>
          <w:jc w:val="center"/>
        </w:trPr>
        <w:tc>
          <w:tcPr>
            <w:tcW w:w="2274" w:type="dxa"/>
            <w:vMerge w:val="restart"/>
            <w:tcBorders>
              <w:top w:val="single" w:sz="4" w:space="0" w:color="auto"/>
              <w:left w:val="single" w:sz="4" w:space="0" w:color="auto"/>
              <w:bottom w:val="nil"/>
            </w:tcBorders>
            <w:shd w:val="clear" w:color="auto" w:fill="auto"/>
            <w:vAlign w:val="center"/>
          </w:tcPr>
          <w:p w14:paraId="2F7FD23A" w14:textId="433C7DEE" w:rsidR="00594813" w:rsidRPr="000036D5" w:rsidRDefault="00594813" w:rsidP="00594813">
            <w:pPr>
              <w:pStyle w:val="NoSpacing"/>
              <w:jc w:val="center"/>
              <w:rPr>
                <w:rFonts w:ascii="Times New Roman" w:hAnsi="Times New Roman" w:cs="Times New Roman"/>
                <w:sz w:val="20"/>
                <w:szCs w:val="20"/>
              </w:rPr>
            </w:pPr>
            <w:r>
              <w:rPr>
                <w:rFonts w:ascii="Times New Roman" w:hAnsi="Times New Roman" w:cs="Times New Roman"/>
                <w:sz w:val="20"/>
                <w:szCs w:val="20"/>
              </w:rPr>
              <w:t>Site-</w:t>
            </w:r>
            <w:r w:rsidRPr="000036D5">
              <w:rPr>
                <w:rFonts w:ascii="Times New Roman" w:hAnsi="Times New Roman" w:cs="Times New Roman"/>
                <w:sz w:val="20"/>
                <w:szCs w:val="20"/>
              </w:rPr>
              <w:t>Specific PROM</w:t>
            </w:r>
          </w:p>
        </w:tc>
        <w:tc>
          <w:tcPr>
            <w:tcW w:w="1276" w:type="dxa"/>
            <w:tcBorders>
              <w:top w:val="single" w:sz="4" w:space="0" w:color="auto"/>
              <w:bottom w:val="nil"/>
              <w:right w:val="single" w:sz="4" w:space="0" w:color="auto"/>
            </w:tcBorders>
            <w:shd w:val="clear" w:color="auto" w:fill="auto"/>
            <w:vAlign w:val="center"/>
          </w:tcPr>
          <w:p w14:paraId="55B0DA14" w14:textId="77777777" w:rsidR="00594813" w:rsidRPr="000036D5" w:rsidRDefault="00594813" w:rsidP="00594813">
            <w:pPr>
              <w:pStyle w:val="NoSpacing"/>
              <w:jc w:val="center"/>
              <w:rPr>
                <w:rFonts w:ascii="Times New Roman" w:hAnsi="Times New Roman" w:cs="Times New Roman"/>
                <w:sz w:val="20"/>
                <w:szCs w:val="20"/>
              </w:rPr>
            </w:pPr>
            <w:r w:rsidRPr="000036D5">
              <w:rPr>
                <w:rFonts w:ascii="Times New Roman" w:hAnsi="Times New Roman" w:cs="Times New Roman"/>
                <w:sz w:val="20"/>
                <w:szCs w:val="20"/>
              </w:rPr>
              <w:t>0 months</w:t>
            </w:r>
          </w:p>
        </w:tc>
        <w:tc>
          <w:tcPr>
            <w:tcW w:w="1417" w:type="dxa"/>
            <w:tcBorders>
              <w:top w:val="single" w:sz="4" w:space="0" w:color="auto"/>
              <w:left w:val="single" w:sz="4" w:space="0" w:color="auto"/>
              <w:bottom w:val="nil"/>
            </w:tcBorders>
            <w:shd w:val="clear" w:color="auto" w:fill="auto"/>
            <w:vAlign w:val="center"/>
          </w:tcPr>
          <w:p w14:paraId="7CAB1764" w14:textId="77777777"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w:t>
            </w:r>
          </w:p>
        </w:tc>
        <w:tc>
          <w:tcPr>
            <w:tcW w:w="1701" w:type="dxa"/>
            <w:tcBorders>
              <w:top w:val="single" w:sz="4" w:space="0" w:color="auto"/>
              <w:bottom w:val="nil"/>
            </w:tcBorders>
          </w:tcPr>
          <w:p w14:paraId="21E080BB" w14:textId="15BB572E" w:rsidR="00594813" w:rsidRPr="000036D5" w:rsidRDefault="00594813" w:rsidP="00594813">
            <w:pPr>
              <w:pStyle w:val="NoSpacing"/>
              <w:jc w:val="right"/>
              <w:rPr>
                <w:rStyle w:val="gd15mcfceub"/>
                <w:rFonts w:ascii="Times New Roman" w:hAnsi="Times New Roman" w:cs="Times New Roman"/>
                <w:color w:val="000000"/>
                <w:sz w:val="20"/>
                <w:szCs w:val="20"/>
                <w:bdr w:val="none" w:sz="0" w:space="0" w:color="auto" w:frame="1"/>
              </w:rPr>
            </w:pPr>
            <w:r w:rsidRPr="000036D5">
              <w:rPr>
                <w:rStyle w:val="gd15mcfceub"/>
                <w:rFonts w:ascii="Times New Roman" w:hAnsi="Times New Roman" w:cs="Times New Roman"/>
                <w:color w:val="000000"/>
                <w:sz w:val="20"/>
                <w:szCs w:val="20"/>
                <w:bdr w:val="none" w:sz="0" w:space="0" w:color="auto" w:frame="1"/>
              </w:rPr>
              <w:t>9.59 (5.5)</w:t>
            </w:r>
          </w:p>
        </w:tc>
        <w:tc>
          <w:tcPr>
            <w:tcW w:w="1701" w:type="dxa"/>
            <w:tcBorders>
              <w:top w:val="single" w:sz="4" w:space="0" w:color="auto"/>
              <w:bottom w:val="nil"/>
            </w:tcBorders>
          </w:tcPr>
          <w:p w14:paraId="74826221" w14:textId="5C3B30E2" w:rsidR="00594813" w:rsidRPr="000036D5" w:rsidRDefault="00594813" w:rsidP="00594813">
            <w:pPr>
              <w:pStyle w:val="NoSpacing"/>
              <w:jc w:val="right"/>
              <w:rPr>
                <w:rStyle w:val="gd15mcfceub"/>
                <w:rFonts w:ascii="Times New Roman" w:hAnsi="Times New Roman" w:cs="Times New Roman"/>
                <w:color w:val="000000"/>
                <w:sz w:val="20"/>
                <w:szCs w:val="20"/>
                <w:bdr w:val="none" w:sz="0" w:space="0" w:color="auto" w:frame="1"/>
              </w:rPr>
            </w:pPr>
            <w:r w:rsidRPr="000036D5">
              <w:rPr>
                <w:rStyle w:val="gd15mcfceub"/>
                <w:rFonts w:ascii="Times New Roman" w:hAnsi="Times New Roman" w:cs="Times New Roman"/>
                <w:color w:val="000000"/>
                <w:sz w:val="20"/>
                <w:szCs w:val="20"/>
                <w:bdr w:val="none" w:sz="0" w:space="0" w:color="auto" w:frame="1"/>
              </w:rPr>
              <w:t>16.08 (8.02)</w:t>
            </w:r>
          </w:p>
        </w:tc>
        <w:tc>
          <w:tcPr>
            <w:tcW w:w="1701" w:type="dxa"/>
            <w:tcBorders>
              <w:top w:val="single" w:sz="4" w:space="0" w:color="auto"/>
              <w:bottom w:val="nil"/>
            </w:tcBorders>
          </w:tcPr>
          <w:p w14:paraId="5198E791" w14:textId="2BC55B3D" w:rsidR="00594813" w:rsidRPr="000036D5" w:rsidRDefault="00594813" w:rsidP="00594813">
            <w:pPr>
              <w:pStyle w:val="NoSpacing"/>
              <w:jc w:val="right"/>
              <w:rPr>
                <w:rStyle w:val="gd15mcfceub"/>
                <w:rFonts w:ascii="Times New Roman" w:hAnsi="Times New Roman" w:cs="Times New Roman"/>
                <w:color w:val="000000"/>
                <w:sz w:val="20"/>
                <w:szCs w:val="20"/>
                <w:bdr w:val="none" w:sz="0" w:space="0" w:color="auto" w:frame="1"/>
              </w:rPr>
            </w:pPr>
            <w:r w:rsidRPr="000036D5">
              <w:rPr>
                <w:rStyle w:val="gd15mcfceub"/>
                <w:rFonts w:ascii="Times New Roman" w:hAnsi="Times New Roman" w:cs="Times New Roman"/>
                <w:color w:val="000000"/>
                <w:sz w:val="20"/>
                <w:szCs w:val="20"/>
                <w:bdr w:val="none" w:sz="0" w:space="0" w:color="auto" w:frame="1"/>
              </w:rPr>
              <w:t>53.57 (21.84)</w:t>
            </w:r>
          </w:p>
        </w:tc>
        <w:tc>
          <w:tcPr>
            <w:tcW w:w="1701" w:type="dxa"/>
            <w:tcBorders>
              <w:top w:val="single" w:sz="4" w:space="0" w:color="auto"/>
              <w:bottom w:val="nil"/>
            </w:tcBorders>
          </w:tcPr>
          <w:p w14:paraId="4AAD4745" w14:textId="171B4779" w:rsidR="00594813" w:rsidRPr="000036D5" w:rsidRDefault="00594813" w:rsidP="00594813">
            <w:pPr>
              <w:pStyle w:val="NoSpacing"/>
              <w:jc w:val="right"/>
              <w:rPr>
                <w:rFonts w:ascii="Times New Roman" w:hAnsi="Times New Roman" w:cs="Times New Roman"/>
                <w:sz w:val="20"/>
                <w:szCs w:val="20"/>
              </w:rPr>
            </w:pPr>
            <w:r w:rsidRPr="000036D5">
              <w:rPr>
                <w:rStyle w:val="gd15mcfceub"/>
                <w:rFonts w:ascii="Times New Roman" w:hAnsi="Times New Roman" w:cs="Times New Roman"/>
                <w:color w:val="000000"/>
                <w:sz w:val="20"/>
                <w:szCs w:val="20"/>
                <w:bdr w:val="none" w:sz="0" w:space="0" w:color="auto" w:frame="1"/>
              </w:rPr>
              <w:t>42.88 (21.17)</w:t>
            </w:r>
          </w:p>
        </w:tc>
        <w:tc>
          <w:tcPr>
            <w:tcW w:w="1838" w:type="dxa"/>
            <w:tcBorders>
              <w:top w:val="single" w:sz="4" w:space="0" w:color="auto"/>
              <w:bottom w:val="nil"/>
              <w:right w:val="single" w:sz="4" w:space="0" w:color="auto"/>
            </w:tcBorders>
          </w:tcPr>
          <w:p w14:paraId="33584DE1" w14:textId="20182E39" w:rsidR="00594813" w:rsidRPr="000036D5" w:rsidRDefault="00594813" w:rsidP="00594813">
            <w:pPr>
              <w:pStyle w:val="NoSpacing"/>
              <w:jc w:val="right"/>
              <w:rPr>
                <w:rFonts w:ascii="Times New Roman" w:hAnsi="Times New Roman" w:cs="Times New Roman"/>
                <w:sz w:val="20"/>
                <w:szCs w:val="20"/>
              </w:rPr>
            </w:pPr>
            <w:r w:rsidRPr="000036D5">
              <w:rPr>
                <w:rStyle w:val="gd15mcfceub"/>
                <w:rFonts w:ascii="Times New Roman" w:hAnsi="Times New Roman" w:cs="Times New Roman"/>
                <w:color w:val="000000"/>
                <w:sz w:val="20"/>
                <w:szCs w:val="20"/>
                <w:bdr w:val="none" w:sz="0" w:space="0" w:color="auto" w:frame="1"/>
              </w:rPr>
              <w:t>34.41 (9.52)</w:t>
            </w:r>
          </w:p>
        </w:tc>
      </w:tr>
      <w:tr w:rsidR="00594813" w:rsidRPr="000036D5" w14:paraId="44CF5CA2" w14:textId="77777777" w:rsidTr="009639B5">
        <w:trPr>
          <w:trHeight w:val="283"/>
          <w:jc w:val="center"/>
        </w:trPr>
        <w:tc>
          <w:tcPr>
            <w:tcW w:w="2274" w:type="dxa"/>
            <w:vMerge/>
            <w:tcBorders>
              <w:top w:val="nil"/>
              <w:left w:val="single" w:sz="4" w:space="0" w:color="auto"/>
              <w:bottom w:val="nil"/>
            </w:tcBorders>
            <w:shd w:val="clear" w:color="auto" w:fill="auto"/>
            <w:vAlign w:val="center"/>
          </w:tcPr>
          <w:p w14:paraId="589BC31E" w14:textId="77777777" w:rsidR="00594813" w:rsidRPr="000036D5" w:rsidRDefault="00594813" w:rsidP="00594813">
            <w:pPr>
              <w:pStyle w:val="NoSpacing"/>
              <w:jc w:val="center"/>
              <w:rPr>
                <w:rFonts w:ascii="Times New Roman" w:hAnsi="Times New Roman" w:cs="Times New Roman"/>
                <w:sz w:val="20"/>
                <w:szCs w:val="20"/>
              </w:rPr>
            </w:pPr>
          </w:p>
        </w:tc>
        <w:tc>
          <w:tcPr>
            <w:tcW w:w="1276" w:type="dxa"/>
            <w:tcBorders>
              <w:top w:val="nil"/>
              <w:bottom w:val="nil"/>
              <w:right w:val="single" w:sz="4" w:space="0" w:color="auto"/>
            </w:tcBorders>
            <w:shd w:val="clear" w:color="auto" w:fill="auto"/>
            <w:vAlign w:val="center"/>
          </w:tcPr>
          <w:p w14:paraId="6A993E7F" w14:textId="77777777" w:rsidR="00594813" w:rsidRPr="000036D5" w:rsidRDefault="00594813" w:rsidP="00594813">
            <w:pPr>
              <w:pStyle w:val="NoSpacing"/>
              <w:jc w:val="center"/>
              <w:rPr>
                <w:rFonts w:ascii="Times New Roman" w:hAnsi="Times New Roman" w:cs="Times New Roman"/>
                <w:sz w:val="20"/>
                <w:szCs w:val="20"/>
              </w:rPr>
            </w:pPr>
            <w:r w:rsidRPr="000036D5">
              <w:rPr>
                <w:rFonts w:ascii="Times New Roman" w:hAnsi="Times New Roman" w:cs="Times New Roman"/>
                <w:sz w:val="20"/>
                <w:szCs w:val="20"/>
              </w:rPr>
              <w:t>6 months</w:t>
            </w:r>
          </w:p>
        </w:tc>
        <w:tc>
          <w:tcPr>
            <w:tcW w:w="1417" w:type="dxa"/>
            <w:tcBorders>
              <w:top w:val="nil"/>
              <w:left w:val="single" w:sz="4" w:space="0" w:color="auto"/>
              <w:bottom w:val="nil"/>
            </w:tcBorders>
            <w:shd w:val="clear" w:color="auto" w:fill="auto"/>
            <w:vAlign w:val="center"/>
          </w:tcPr>
          <w:p w14:paraId="13FF7DDC" w14:textId="77777777"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w:t>
            </w:r>
          </w:p>
        </w:tc>
        <w:tc>
          <w:tcPr>
            <w:tcW w:w="1701" w:type="dxa"/>
            <w:tcBorders>
              <w:top w:val="nil"/>
              <w:bottom w:val="nil"/>
            </w:tcBorders>
          </w:tcPr>
          <w:p w14:paraId="60863040" w14:textId="4F0C4D1C" w:rsidR="00594813" w:rsidRPr="000036D5" w:rsidRDefault="00594813" w:rsidP="00594813">
            <w:pPr>
              <w:pStyle w:val="NoSpacing"/>
              <w:jc w:val="right"/>
              <w:rPr>
                <w:rStyle w:val="gd15mcfceub"/>
                <w:rFonts w:ascii="Times New Roman" w:hAnsi="Times New Roman" w:cs="Times New Roman"/>
                <w:color w:val="000000"/>
                <w:sz w:val="20"/>
                <w:szCs w:val="20"/>
                <w:bdr w:val="none" w:sz="0" w:space="0" w:color="auto" w:frame="1"/>
              </w:rPr>
            </w:pPr>
            <w:r w:rsidRPr="000036D5">
              <w:rPr>
                <w:rStyle w:val="gd15mcfceub"/>
                <w:rFonts w:ascii="Times New Roman" w:hAnsi="Times New Roman" w:cs="Times New Roman"/>
                <w:color w:val="000000"/>
                <w:sz w:val="20"/>
                <w:szCs w:val="20"/>
                <w:bdr w:val="none" w:sz="0" w:space="0" w:color="auto" w:frame="1"/>
              </w:rPr>
              <w:t>6.65 (6.11)</w:t>
            </w:r>
          </w:p>
        </w:tc>
        <w:tc>
          <w:tcPr>
            <w:tcW w:w="1701" w:type="dxa"/>
            <w:tcBorders>
              <w:top w:val="nil"/>
              <w:bottom w:val="nil"/>
            </w:tcBorders>
          </w:tcPr>
          <w:p w14:paraId="724727B0" w14:textId="65CF2338" w:rsidR="00594813" w:rsidRPr="000036D5" w:rsidRDefault="00594813" w:rsidP="00594813">
            <w:pPr>
              <w:pStyle w:val="NoSpacing"/>
              <w:jc w:val="right"/>
              <w:rPr>
                <w:rStyle w:val="gd15mcfceub"/>
                <w:rFonts w:ascii="Times New Roman" w:hAnsi="Times New Roman" w:cs="Times New Roman"/>
                <w:color w:val="000000"/>
                <w:sz w:val="20"/>
                <w:szCs w:val="20"/>
                <w:bdr w:val="none" w:sz="0" w:space="0" w:color="auto" w:frame="1"/>
              </w:rPr>
            </w:pPr>
            <w:r w:rsidRPr="000036D5">
              <w:rPr>
                <w:rStyle w:val="gd15mcfceub"/>
                <w:rFonts w:ascii="Times New Roman" w:hAnsi="Times New Roman" w:cs="Times New Roman"/>
                <w:color w:val="000000"/>
                <w:sz w:val="20"/>
                <w:szCs w:val="20"/>
                <w:bdr w:val="none" w:sz="0" w:space="0" w:color="auto" w:frame="1"/>
              </w:rPr>
              <w:t>9.73 (9.14)</w:t>
            </w:r>
          </w:p>
        </w:tc>
        <w:tc>
          <w:tcPr>
            <w:tcW w:w="1701" w:type="dxa"/>
            <w:tcBorders>
              <w:top w:val="nil"/>
              <w:bottom w:val="nil"/>
            </w:tcBorders>
          </w:tcPr>
          <w:p w14:paraId="653AFCE2" w14:textId="4D4A0FEC" w:rsidR="00594813" w:rsidRPr="000036D5" w:rsidRDefault="00594813" w:rsidP="00594813">
            <w:pPr>
              <w:pStyle w:val="NoSpacing"/>
              <w:jc w:val="right"/>
              <w:rPr>
                <w:rStyle w:val="gd15mcfceub"/>
                <w:rFonts w:ascii="Times New Roman" w:hAnsi="Times New Roman" w:cs="Times New Roman"/>
                <w:color w:val="000000"/>
                <w:sz w:val="20"/>
                <w:szCs w:val="20"/>
                <w:bdr w:val="none" w:sz="0" w:space="0" w:color="auto" w:frame="1"/>
              </w:rPr>
            </w:pPr>
            <w:r w:rsidRPr="000036D5">
              <w:rPr>
                <w:rStyle w:val="gd15mcfceub"/>
                <w:rFonts w:ascii="Times New Roman" w:hAnsi="Times New Roman" w:cs="Times New Roman"/>
                <w:color w:val="000000"/>
                <w:sz w:val="20"/>
                <w:szCs w:val="20"/>
                <w:bdr w:val="none" w:sz="0" w:space="0" w:color="auto" w:frame="1"/>
              </w:rPr>
              <w:t>37.88 (27.36)</w:t>
            </w:r>
          </w:p>
        </w:tc>
        <w:tc>
          <w:tcPr>
            <w:tcW w:w="1701" w:type="dxa"/>
            <w:tcBorders>
              <w:top w:val="nil"/>
              <w:bottom w:val="nil"/>
            </w:tcBorders>
          </w:tcPr>
          <w:p w14:paraId="4B8C0DBB" w14:textId="4AE9C6CE" w:rsidR="00594813" w:rsidRPr="000036D5" w:rsidRDefault="00594813" w:rsidP="00594813">
            <w:pPr>
              <w:pStyle w:val="NoSpacing"/>
              <w:jc w:val="right"/>
              <w:rPr>
                <w:rFonts w:ascii="Times New Roman" w:hAnsi="Times New Roman" w:cs="Times New Roman"/>
                <w:sz w:val="20"/>
                <w:szCs w:val="20"/>
              </w:rPr>
            </w:pPr>
            <w:r w:rsidRPr="000036D5">
              <w:rPr>
                <w:rStyle w:val="gd15mcfceub"/>
                <w:rFonts w:ascii="Times New Roman" w:hAnsi="Times New Roman" w:cs="Times New Roman"/>
                <w:color w:val="000000"/>
                <w:sz w:val="20"/>
                <w:szCs w:val="20"/>
                <w:bdr w:val="none" w:sz="0" w:space="0" w:color="auto" w:frame="1"/>
              </w:rPr>
              <w:t>52.79 (23.56)</w:t>
            </w:r>
          </w:p>
        </w:tc>
        <w:tc>
          <w:tcPr>
            <w:tcW w:w="1838" w:type="dxa"/>
            <w:tcBorders>
              <w:top w:val="nil"/>
              <w:bottom w:val="nil"/>
              <w:right w:val="single" w:sz="4" w:space="0" w:color="auto"/>
            </w:tcBorders>
          </w:tcPr>
          <w:p w14:paraId="2BBB2035" w14:textId="02A4B338" w:rsidR="00594813" w:rsidRPr="000036D5" w:rsidRDefault="00594813" w:rsidP="00594813">
            <w:pPr>
              <w:pStyle w:val="NoSpacing"/>
              <w:jc w:val="right"/>
              <w:rPr>
                <w:rFonts w:ascii="Times New Roman" w:hAnsi="Times New Roman" w:cs="Times New Roman"/>
                <w:sz w:val="20"/>
                <w:szCs w:val="20"/>
              </w:rPr>
            </w:pPr>
            <w:r w:rsidRPr="000036D5">
              <w:rPr>
                <w:rStyle w:val="gd15mcfceub"/>
                <w:rFonts w:ascii="Times New Roman" w:hAnsi="Times New Roman" w:cs="Times New Roman"/>
                <w:color w:val="000000"/>
                <w:sz w:val="20"/>
                <w:szCs w:val="20"/>
                <w:bdr w:val="none" w:sz="0" w:space="0" w:color="auto" w:frame="1"/>
              </w:rPr>
              <w:t>35.59 (12.21)</w:t>
            </w:r>
          </w:p>
        </w:tc>
      </w:tr>
      <w:tr w:rsidR="00594813" w:rsidRPr="000036D5" w14:paraId="2D9B07D8" w14:textId="77777777" w:rsidTr="009639B5">
        <w:trPr>
          <w:trHeight w:val="227"/>
          <w:jc w:val="center"/>
        </w:trPr>
        <w:tc>
          <w:tcPr>
            <w:tcW w:w="2274" w:type="dxa"/>
            <w:vMerge/>
            <w:tcBorders>
              <w:top w:val="nil"/>
              <w:left w:val="single" w:sz="4" w:space="0" w:color="auto"/>
              <w:bottom w:val="single" w:sz="4" w:space="0" w:color="auto"/>
            </w:tcBorders>
            <w:shd w:val="clear" w:color="auto" w:fill="auto"/>
            <w:vAlign w:val="center"/>
          </w:tcPr>
          <w:p w14:paraId="62218259" w14:textId="77777777" w:rsidR="00594813" w:rsidRPr="000036D5" w:rsidRDefault="00594813" w:rsidP="00594813">
            <w:pPr>
              <w:pStyle w:val="NoSpacing"/>
              <w:jc w:val="center"/>
              <w:rPr>
                <w:rFonts w:ascii="Times New Roman" w:hAnsi="Times New Roman" w:cs="Times New Roman"/>
                <w:sz w:val="20"/>
                <w:szCs w:val="20"/>
              </w:rPr>
            </w:pPr>
          </w:p>
        </w:tc>
        <w:tc>
          <w:tcPr>
            <w:tcW w:w="1276" w:type="dxa"/>
            <w:tcBorders>
              <w:top w:val="nil"/>
              <w:bottom w:val="single" w:sz="4" w:space="0" w:color="auto"/>
              <w:right w:val="single" w:sz="4" w:space="0" w:color="auto"/>
            </w:tcBorders>
            <w:shd w:val="clear" w:color="auto" w:fill="auto"/>
            <w:vAlign w:val="center"/>
          </w:tcPr>
          <w:p w14:paraId="3A9285D2" w14:textId="77777777" w:rsidR="00594813" w:rsidRPr="000036D5" w:rsidRDefault="00594813" w:rsidP="00594813">
            <w:pPr>
              <w:pStyle w:val="NoSpacing"/>
              <w:jc w:val="center"/>
              <w:rPr>
                <w:rFonts w:ascii="Times New Roman" w:hAnsi="Times New Roman" w:cs="Times New Roman"/>
                <w:sz w:val="20"/>
                <w:szCs w:val="20"/>
              </w:rPr>
            </w:pPr>
            <w:r w:rsidRPr="000036D5">
              <w:rPr>
                <w:rFonts w:ascii="Times New Roman" w:hAnsi="Times New Roman" w:cs="Times New Roman"/>
                <w:sz w:val="20"/>
                <w:szCs w:val="20"/>
              </w:rPr>
              <w:t>Change</w:t>
            </w:r>
          </w:p>
        </w:tc>
        <w:tc>
          <w:tcPr>
            <w:tcW w:w="1417" w:type="dxa"/>
            <w:tcBorders>
              <w:top w:val="nil"/>
              <w:left w:val="single" w:sz="4" w:space="0" w:color="auto"/>
              <w:bottom w:val="single" w:sz="4" w:space="0" w:color="auto"/>
            </w:tcBorders>
            <w:shd w:val="clear" w:color="auto" w:fill="auto"/>
            <w:vAlign w:val="center"/>
          </w:tcPr>
          <w:p w14:paraId="22249BF0" w14:textId="77777777" w:rsidR="00594813" w:rsidRPr="000036D5" w:rsidRDefault="00594813" w:rsidP="00594813">
            <w:pPr>
              <w:pStyle w:val="NoSpacing"/>
              <w:jc w:val="right"/>
              <w:rPr>
                <w:rFonts w:ascii="Times New Roman" w:hAnsi="Times New Roman" w:cs="Times New Roman"/>
                <w:sz w:val="20"/>
                <w:szCs w:val="20"/>
              </w:rPr>
            </w:pPr>
            <w:r w:rsidRPr="000036D5">
              <w:rPr>
                <w:rFonts w:ascii="Times New Roman" w:hAnsi="Times New Roman" w:cs="Times New Roman"/>
                <w:sz w:val="20"/>
                <w:szCs w:val="20"/>
              </w:rPr>
              <w:t>-</w:t>
            </w:r>
          </w:p>
        </w:tc>
        <w:tc>
          <w:tcPr>
            <w:tcW w:w="1701" w:type="dxa"/>
            <w:tcBorders>
              <w:top w:val="nil"/>
              <w:bottom w:val="single" w:sz="4" w:space="0" w:color="auto"/>
            </w:tcBorders>
          </w:tcPr>
          <w:p w14:paraId="71B4E1EE" w14:textId="25F71D5D" w:rsidR="00594813" w:rsidRPr="000036D5" w:rsidRDefault="00594813" w:rsidP="00594813">
            <w:pPr>
              <w:pStyle w:val="NoSpacing"/>
              <w:jc w:val="right"/>
              <w:rPr>
                <w:rStyle w:val="gd15mcfceub"/>
                <w:rFonts w:ascii="Times New Roman" w:hAnsi="Times New Roman" w:cs="Times New Roman"/>
                <w:color w:val="000000"/>
                <w:sz w:val="20"/>
                <w:szCs w:val="20"/>
                <w:bdr w:val="none" w:sz="0" w:space="0" w:color="auto" w:frame="1"/>
              </w:rPr>
            </w:pPr>
            <w:r w:rsidRPr="000036D5">
              <w:rPr>
                <w:rStyle w:val="gd15mcfceub"/>
                <w:rFonts w:ascii="Times New Roman" w:hAnsi="Times New Roman" w:cs="Times New Roman"/>
                <w:color w:val="000000"/>
                <w:sz w:val="20"/>
                <w:szCs w:val="20"/>
                <w:bdr w:val="none" w:sz="0" w:space="0" w:color="auto" w:frame="1"/>
              </w:rPr>
              <w:t>-2.76 (5.25)</w:t>
            </w:r>
          </w:p>
        </w:tc>
        <w:tc>
          <w:tcPr>
            <w:tcW w:w="1701" w:type="dxa"/>
            <w:tcBorders>
              <w:top w:val="nil"/>
              <w:bottom w:val="single" w:sz="4" w:space="0" w:color="auto"/>
            </w:tcBorders>
          </w:tcPr>
          <w:p w14:paraId="2893F512" w14:textId="5687025E" w:rsidR="00594813" w:rsidRPr="000036D5" w:rsidRDefault="00594813" w:rsidP="00594813">
            <w:pPr>
              <w:pStyle w:val="NoSpacing"/>
              <w:jc w:val="right"/>
              <w:rPr>
                <w:rStyle w:val="gd15mcfceub"/>
                <w:rFonts w:ascii="Times New Roman" w:hAnsi="Times New Roman" w:cs="Times New Roman"/>
                <w:color w:val="000000"/>
                <w:sz w:val="20"/>
                <w:szCs w:val="20"/>
                <w:bdr w:val="none" w:sz="0" w:space="0" w:color="auto" w:frame="1"/>
              </w:rPr>
            </w:pPr>
            <w:r w:rsidRPr="000036D5">
              <w:rPr>
                <w:rStyle w:val="gd15mcfceub"/>
                <w:rFonts w:ascii="Times New Roman" w:hAnsi="Times New Roman" w:cs="Times New Roman"/>
                <w:color w:val="000000"/>
                <w:sz w:val="20"/>
                <w:szCs w:val="20"/>
                <w:bdr w:val="none" w:sz="0" w:space="0" w:color="auto" w:frame="1"/>
              </w:rPr>
              <w:t>-6.29 (6.74)</w:t>
            </w:r>
          </w:p>
        </w:tc>
        <w:tc>
          <w:tcPr>
            <w:tcW w:w="1701" w:type="dxa"/>
            <w:tcBorders>
              <w:top w:val="nil"/>
              <w:bottom w:val="single" w:sz="4" w:space="0" w:color="auto"/>
            </w:tcBorders>
          </w:tcPr>
          <w:p w14:paraId="76DA38C5" w14:textId="2D51A5A1" w:rsidR="00594813" w:rsidRPr="000036D5" w:rsidRDefault="00594813" w:rsidP="00594813">
            <w:pPr>
              <w:pStyle w:val="NoSpacing"/>
              <w:jc w:val="right"/>
              <w:rPr>
                <w:rStyle w:val="gd15mcfceub"/>
                <w:rFonts w:ascii="Times New Roman" w:hAnsi="Times New Roman" w:cs="Times New Roman"/>
                <w:color w:val="000000"/>
                <w:sz w:val="20"/>
                <w:szCs w:val="20"/>
                <w:bdr w:val="none" w:sz="0" w:space="0" w:color="auto" w:frame="1"/>
              </w:rPr>
            </w:pPr>
            <w:r w:rsidRPr="000036D5">
              <w:rPr>
                <w:rStyle w:val="gd15mcfceub"/>
                <w:rFonts w:ascii="Times New Roman" w:hAnsi="Times New Roman" w:cs="Times New Roman"/>
                <w:color w:val="000000"/>
                <w:sz w:val="20"/>
                <w:szCs w:val="20"/>
                <w:bdr w:val="none" w:sz="0" w:space="0" w:color="auto" w:frame="1"/>
              </w:rPr>
              <w:t>-14.97 (27.74)</w:t>
            </w:r>
          </w:p>
        </w:tc>
        <w:tc>
          <w:tcPr>
            <w:tcW w:w="1701" w:type="dxa"/>
            <w:tcBorders>
              <w:top w:val="nil"/>
              <w:bottom w:val="single" w:sz="4" w:space="0" w:color="auto"/>
            </w:tcBorders>
          </w:tcPr>
          <w:p w14:paraId="717F0713" w14:textId="1A410A74" w:rsidR="00594813" w:rsidRPr="000036D5" w:rsidRDefault="00594813" w:rsidP="00594813">
            <w:pPr>
              <w:pStyle w:val="NoSpacing"/>
              <w:jc w:val="right"/>
              <w:rPr>
                <w:rFonts w:ascii="Times New Roman" w:hAnsi="Times New Roman" w:cs="Times New Roman"/>
                <w:sz w:val="20"/>
                <w:szCs w:val="20"/>
              </w:rPr>
            </w:pPr>
            <w:r w:rsidRPr="000036D5">
              <w:rPr>
                <w:rStyle w:val="gd15mcfceub"/>
                <w:rFonts w:ascii="Times New Roman" w:hAnsi="Times New Roman" w:cs="Times New Roman"/>
                <w:color w:val="000000"/>
                <w:sz w:val="20"/>
                <w:szCs w:val="20"/>
                <w:bdr w:val="none" w:sz="0" w:space="0" w:color="auto" w:frame="1"/>
              </w:rPr>
              <w:t>9.4</w:t>
            </w:r>
            <w:r>
              <w:rPr>
                <w:rStyle w:val="gd15mcfceub"/>
                <w:rFonts w:ascii="Times New Roman" w:hAnsi="Times New Roman" w:cs="Times New Roman"/>
                <w:color w:val="000000"/>
                <w:sz w:val="20"/>
                <w:szCs w:val="20"/>
                <w:bdr w:val="none" w:sz="0" w:space="0" w:color="auto" w:frame="1"/>
              </w:rPr>
              <w:t>0</w:t>
            </w:r>
            <w:r w:rsidRPr="000036D5">
              <w:rPr>
                <w:rStyle w:val="gd15mcfceub"/>
                <w:rFonts w:ascii="Times New Roman" w:hAnsi="Times New Roman" w:cs="Times New Roman"/>
                <w:color w:val="000000"/>
                <w:sz w:val="20"/>
                <w:szCs w:val="20"/>
                <w:bdr w:val="none" w:sz="0" w:space="0" w:color="auto" w:frame="1"/>
              </w:rPr>
              <w:t xml:space="preserve"> (19.21)</w:t>
            </w:r>
          </w:p>
        </w:tc>
        <w:tc>
          <w:tcPr>
            <w:tcW w:w="1838" w:type="dxa"/>
            <w:tcBorders>
              <w:top w:val="nil"/>
              <w:bottom w:val="single" w:sz="4" w:space="0" w:color="auto"/>
              <w:right w:val="single" w:sz="4" w:space="0" w:color="auto"/>
            </w:tcBorders>
          </w:tcPr>
          <w:p w14:paraId="6A6E896D" w14:textId="3DDDC45D" w:rsidR="00594813" w:rsidRPr="000036D5" w:rsidRDefault="00594813" w:rsidP="00594813">
            <w:pPr>
              <w:pStyle w:val="NoSpacing"/>
              <w:jc w:val="right"/>
              <w:rPr>
                <w:rFonts w:ascii="Times New Roman" w:hAnsi="Times New Roman" w:cs="Times New Roman"/>
                <w:sz w:val="20"/>
                <w:szCs w:val="20"/>
              </w:rPr>
            </w:pPr>
            <w:r w:rsidRPr="000036D5">
              <w:rPr>
                <w:rStyle w:val="gd15mcfceub"/>
                <w:rFonts w:ascii="Times New Roman" w:hAnsi="Times New Roman" w:cs="Times New Roman"/>
                <w:color w:val="000000"/>
                <w:sz w:val="20"/>
                <w:szCs w:val="20"/>
                <w:bdr w:val="none" w:sz="0" w:space="0" w:color="auto" w:frame="1"/>
              </w:rPr>
              <w:t>1.28 (8.33)</w:t>
            </w:r>
          </w:p>
        </w:tc>
      </w:tr>
    </w:tbl>
    <w:bookmarkEnd w:id="1"/>
    <w:p w14:paraId="75399906" w14:textId="30114001" w:rsidR="002A6C71" w:rsidRDefault="002A6C71" w:rsidP="002A6C71">
      <w:pPr>
        <w:pStyle w:val="NoSpacing"/>
        <w:jc w:val="center"/>
        <w:rPr>
          <w:rFonts w:ascii="Times New Roman" w:hAnsi="Times New Roman" w:cs="Times New Roman"/>
          <w:szCs w:val="24"/>
        </w:rPr>
      </w:pPr>
      <w:r w:rsidRPr="0096355C">
        <w:rPr>
          <w:rFonts w:ascii="Times New Roman" w:hAnsi="Times New Roman" w:cs="Times New Roman"/>
          <w:szCs w:val="24"/>
        </w:rPr>
        <w:t xml:space="preserve">All data are given as mean (SD) unless otherwise stated; </w:t>
      </w:r>
      <w:r>
        <w:rPr>
          <w:rFonts w:ascii="Times New Roman" w:hAnsi="Times New Roman" w:cs="Times New Roman"/>
          <w:szCs w:val="24"/>
        </w:rPr>
        <w:t xml:space="preserve">MSK=musculoskeletal; </w:t>
      </w:r>
      <w:r w:rsidR="004F4F90">
        <w:rPr>
          <w:rFonts w:ascii="Times New Roman" w:hAnsi="Times New Roman" w:cs="Times New Roman"/>
          <w:szCs w:val="24"/>
        </w:rPr>
        <w:t xml:space="preserve">NRS=numeric rating scale; </w:t>
      </w:r>
      <w:r w:rsidR="0059267A">
        <w:rPr>
          <w:rFonts w:ascii="Times New Roman" w:hAnsi="Times New Roman" w:cs="Times New Roman"/>
          <w:szCs w:val="24"/>
        </w:rPr>
        <w:t>site-specific PROMs are the Roland</w:t>
      </w:r>
      <w:r w:rsidR="006B277B">
        <w:rPr>
          <w:rFonts w:ascii="Times New Roman" w:hAnsi="Times New Roman" w:cs="Times New Roman"/>
          <w:szCs w:val="24"/>
        </w:rPr>
        <w:t xml:space="preserve"> and </w:t>
      </w:r>
      <w:r w:rsidR="0059267A">
        <w:rPr>
          <w:rFonts w:ascii="Times New Roman" w:hAnsi="Times New Roman" w:cs="Times New Roman"/>
          <w:szCs w:val="24"/>
        </w:rPr>
        <w:t xml:space="preserve">Morris Disability Questionnaire for low back pain, Neck Disability Index for neck pain, Shoulder Pain and Disability Index for shoulder pain, </w:t>
      </w:r>
      <w:r w:rsidR="0048316E">
        <w:rPr>
          <w:rFonts w:ascii="Times New Roman" w:hAnsi="Times New Roman" w:cs="Times New Roman"/>
          <w:szCs w:val="24"/>
        </w:rPr>
        <w:t xml:space="preserve">Knee Injury and Osteoarthritis Outcome Score for knee pain, and Short-Form-12 Physical Component </w:t>
      </w:r>
      <w:r w:rsidR="0076610B">
        <w:rPr>
          <w:rFonts w:ascii="Times New Roman" w:hAnsi="Times New Roman" w:cs="Times New Roman"/>
          <w:szCs w:val="24"/>
        </w:rPr>
        <w:t xml:space="preserve">Summary Score </w:t>
      </w:r>
      <w:r w:rsidR="0048316E">
        <w:rPr>
          <w:rFonts w:ascii="Times New Roman" w:hAnsi="Times New Roman" w:cs="Times New Roman"/>
          <w:szCs w:val="24"/>
        </w:rPr>
        <w:t>(PCS) for multi-site pain.</w:t>
      </w:r>
    </w:p>
    <w:p w14:paraId="3DB0670E" w14:textId="79384DEB" w:rsidR="002A6C71" w:rsidRDefault="002A6C71" w:rsidP="002A6C71">
      <w:pPr>
        <w:rPr>
          <w:rFonts w:ascii="Times New Roman" w:hAnsi="Times New Roman" w:cs="Times New Roman"/>
          <w:szCs w:val="24"/>
        </w:rPr>
        <w:sectPr w:rsidR="002A6C71" w:rsidSect="00044A3D">
          <w:pgSz w:w="16838" w:h="11906" w:orient="landscape"/>
          <w:pgMar w:top="1440" w:right="1440" w:bottom="1440" w:left="1440" w:header="708" w:footer="708" w:gutter="0"/>
          <w:cols w:space="708"/>
          <w:docGrid w:linePitch="360"/>
        </w:sectPr>
      </w:pPr>
    </w:p>
    <w:p w14:paraId="7C3AB5A5" w14:textId="6370075B" w:rsidR="005E06D3" w:rsidRPr="00DA020D" w:rsidRDefault="005E06D3" w:rsidP="005E06D3">
      <w:pPr>
        <w:jc w:val="center"/>
        <w:rPr>
          <w:rFonts w:ascii="Times New Roman" w:hAnsi="Times New Roman" w:cs="Times New Roman"/>
          <w:b/>
          <w:sz w:val="24"/>
          <w:szCs w:val="24"/>
        </w:rPr>
      </w:pPr>
      <w:r>
        <w:rPr>
          <w:rFonts w:ascii="Times New Roman" w:hAnsi="Times New Roman" w:cs="Times New Roman"/>
          <w:b/>
          <w:sz w:val="24"/>
          <w:szCs w:val="24"/>
        </w:rPr>
        <w:lastRenderedPageBreak/>
        <w:t>Table 2.</w:t>
      </w:r>
      <w:r w:rsidRPr="00DA020D">
        <w:rPr>
          <w:rFonts w:ascii="Times New Roman" w:hAnsi="Times New Roman" w:cs="Times New Roman"/>
          <w:b/>
          <w:sz w:val="24"/>
          <w:szCs w:val="24"/>
        </w:rPr>
        <w:t xml:space="preserve"> Minimal</w:t>
      </w:r>
      <w:r>
        <w:rPr>
          <w:rFonts w:ascii="Times New Roman" w:hAnsi="Times New Roman" w:cs="Times New Roman"/>
          <w:b/>
          <w:sz w:val="24"/>
          <w:szCs w:val="24"/>
        </w:rPr>
        <w:t xml:space="preserve"> Clinically</w:t>
      </w:r>
      <w:r w:rsidRPr="00DA020D">
        <w:rPr>
          <w:rFonts w:ascii="Times New Roman" w:hAnsi="Times New Roman" w:cs="Times New Roman"/>
          <w:b/>
          <w:sz w:val="24"/>
          <w:szCs w:val="24"/>
        </w:rPr>
        <w:t xml:space="preserve"> Important Differences for the MSK-HQ Compared with Other </w:t>
      </w:r>
      <w:r w:rsidR="001A5606">
        <w:rPr>
          <w:rFonts w:ascii="Times New Roman" w:hAnsi="Times New Roman" w:cs="Times New Roman"/>
          <w:b/>
          <w:sz w:val="24"/>
          <w:szCs w:val="24"/>
        </w:rPr>
        <w:t>Patient Reported Outcome Measures</w:t>
      </w:r>
    </w:p>
    <w:tbl>
      <w:tblPr>
        <w:tblW w:w="63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416"/>
        <w:gridCol w:w="1136"/>
        <w:gridCol w:w="849"/>
        <w:gridCol w:w="1134"/>
        <w:gridCol w:w="1134"/>
        <w:gridCol w:w="1134"/>
        <w:gridCol w:w="849"/>
        <w:gridCol w:w="1136"/>
        <w:gridCol w:w="1134"/>
      </w:tblGrid>
      <w:tr w:rsidR="00C77FF3" w:rsidRPr="008656BC" w14:paraId="21F95533" w14:textId="77777777" w:rsidTr="003C313C">
        <w:trPr>
          <w:trHeight w:val="300"/>
          <w:jc w:val="center"/>
        </w:trPr>
        <w:tc>
          <w:tcPr>
            <w:tcW w:w="677" w:type="pct"/>
            <w:vMerge w:val="restart"/>
            <w:shd w:val="clear" w:color="auto" w:fill="auto"/>
            <w:noWrap/>
          </w:tcPr>
          <w:p w14:paraId="735786FB" w14:textId="77777777" w:rsidR="007E68DB" w:rsidRPr="00671706" w:rsidRDefault="007E68DB" w:rsidP="00622715">
            <w:pPr>
              <w:pStyle w:val="NoSpacing"/>
              <w:rPr>
                <w:rFonts w:ascii="Times New Roman" w:hAnsi="Times New Roman" w:cs="Times New Roman"/>
                <w:b/>
                <w:sz w:val="18"/>
                <w:szCs w:val="18"/>
              </w:rPr>
            </w:pPr>
            <w:bookmarkStart w:id="2" w:name="_Hlk8819502"/>
          </w:p>
        </w:tc>
        <w:tc>
          <w:tcPr>
            <w:tcW w:w="617" w:type="pct"/>
            <w:tcBorders>
              <w:bottom w:val="nil"/>
            </w:tcBorders>
          </w:tcPr>
          <w:p w14:paraId="58CCFA94" w14:textId="77777777" w:rsidR="007E68DB" w:rsidRPr="00671706" w:rsidRDefault="007E68DB" w:rsidP="00622715">
            <w:pPr>
              <w:pStyle w:val="NoSpacing"/>
              <w:jc w:val="center"/>
              <w:rPr>
                <w:rFonts w:ascii="Times New Roman" w:hAnsi="Times New Roman" w:cs="Times New Roman"/>
                <w:b/>
                <w:sz w:val="18"/>
                <w:szCs w:val="18"/>
              </w:rPr>
            </w:pPr>
          </w:p>
        </w:tc>
        <w:tc>
          <w:tcPr>
            <w:tcW w:w="1853" w:type="pct"/>
            <w:gridSpan w:val="4"/>
            <w:shd w:val="clear" w:color="auto" w:fill="auto"/>
            <w:noWrap/>
          </w:tcPr>
          <w:p w14:paraId="7FE237C0" w14:textId="6E734FE5" w:rsidR="007E68DB" w:rsidRPr="00671706" w:rsidRDefault="007E68DB" w:rsidP="00622715">
            <w:pPr>
              <w:pStyle w:val="NoSpacing"/>
              <w:jc w:val="center"/>
              <w:rPr>
                <w:rFonts w:ascii="Times New Roman" w:hAnsi="Times New Roman" w:cs="Times New Roman"/>
                <w:b/>
                <w:sz w:val="18"/>
                <w:szCs w:val="18"/>
              </w:rPr>
            </w:pPr>
            <w:r w:rsidRPr="00671706">
              <w:rPr>
                <w:rFonts w:ascii="Times New Roman" w:hAnsi="Times New Roman" w:cs="Times New Roman"/>
                <w:b/>
                <w:sz w:val="18"/>
                <w:szCs w:val="18"/>
              </w:rPr>
              <w:t>Absolute 6-Month Change Scores</w:t>
            </w:r>
          </w:p>
        </w:tc>
        <w:tc>
          <w:tcPr>
            <w:tcW w:w="1853" w:type="pct"/>
            <w:gridSpan w:val="4"/>
            <w:tcBorders>
              <w:bottom w:val="single" w:sz="4" w:space="0" w:color="auto"/>
            </w:tcBorders>
          </w:tcPr>
          <w:p w14:paraId="2481C899" w14:textId="77777777" w:rsidR="007E68DB" w:rsidRPr="00671706" w:rsidRDefault="007E68DB" w:rsidP="00622715">
            <w:pPr>
              <w:pStyle w:val="NoSpacing"/>
              <w:jc w:val="center"/>
              <w:rPr>
                <w:rFonts w:ascii="Times New Roman" w:hAnsi="Times New Roman" w:cs="Times New Roman"/>
                <w:b/>
                <w:sz w:val="18"/>
                <w:szCs w:val="18"/>
              </w:rPr>
            </w:pPr>
            <w:r w:rsidRPr="00671706">
              <w:rPr>
                <w:rFonts w:ascii="Times New Roman" w:hAnsi="Times New Roman" w:cs="Times New Roman"/>
                <w:b/>
                <w:sz w:val="18"/>
                <w:szCs w:val="18"/>
              </w:rPr>
              <w:t>Relative 6-Month Change Scores</w:t>
            </w:r>
          </w:p>
        </w:tc>
      </w:tr>
      <w:tr w:rsidR="00C77FF3" w:rsidRPr="008656BC" w14:paraId="53D2537D" w14:textId="77777777" w:rsidTr="003C313C">
        <w:trPr>
          <w:trHeight w:val="300"/>
          <w:jc w:val="center"/>
        </w:trPr>
        <w:tc>
          <w:tcPr>
            <w:tcW w:w="677" w:type="pct"/>
            <w:vMerge/>
            <w:tcBorders>
              <w:bottom w:val="single" w:sz="4" w:space="0" w:color="auto"/>
            </w:tcBorders>
            <w:shd w:val="clear" w:color="auto" w:fill="auto"/>
            <w:noWrap/>
            <w:hideMark/>
          </w:tcPr>
          <w:p w14:paraId="7546412B" w14:textId="77777777" w:rsidR="007E68DB" w:rsidRPr="00671706" w:rsidRDefault="007E68DB" w:rsidP="00622715">
            <w:pPr>
              <w:pStyle w:val="NoSpacing"/>
              <w:rPr>
                <w:rFonts w:ascii="Times New Roman" w:hAnsi="Times New Roman" w:cs="Times New Roman"/>
                <w:b/>
                <w:sz w:val="18"/>
                <w:szCs w:val="18"/>
              </w:rPr>
            </w:pPr>
          </w:p>
        </w:tc>
        <w:tc>
          <w:tcPr>
            <w:tcW w:w="617" w:type="pct"/>
            <w:tcBorders>
              <w:top w:val="nil"/>
              <w:bottom w:val="single" w:sz="4" w:space="0" w:color="auto"/>
            </w:tcBorders>
          </w:tcPr>
          <w:p w14:paraId="3D5E6180" w14:textId="39B5A2AD" w:rsidR="007E68DB" w:rsidRPr="00671706" w:rsidRDefault="008656BC" w:rsidP="00B467FE">
            <w:pPr>
              <w:pStyle w:val="NoSpacing"/>
              <w:rPr>
                <w:rFonts w:ascii="Times New Roman" w:hAnsi="Times New Roman" w:cs="Times New Roman"/>
                <w:b/>
                <w:sz w:val="18"/>
                <w:szCs w:val="18"/>
              </w:rPr>
            </w:pPr>
            <w:r>
              <w:rPr>
                <w:rFonts w:ascii="Times New Roman" w:hAnsi="Times New Roman" w:cs="Times New Roman"/>
                <w:b/>
                <w:sz w:val="18"/>
                <w:szCs w:val="18"/>
              </w:rPr>
              <w:t>No.</w:t>
            </w:r>
            <w:r w:rsidRPr="00671706">
              <w:rPr>
                <w:rFonts w:ascii="Times New Roman" w:hAnsi="Times New Roman" w:cs="Times New Roman"/>
                <w:b/>
                <w:sz w:val="18"/>
                <w:szCs w:val="18"/>
              </w:rPr>
              <w:t xml:space="preserve"> Reporting Global</w:t>
            </w:r>
            <w:r w:rsidR="007E68DB" w:rsidRPr="00671706">
              <w:rPr>
                <w:rFonts w:ascii="Times New Roman" w:hAnsi="Times New Roman" w:cs="Times New Roman"/>
                <w:b/>
                <w:sz w:val="18"/>
                <w:szCs w:val="18"/>
              </w:rPr>
              <w:t xml:space="preserve"> </w:t>
            </w:r>
            <w:r w:rsidRPr="00671706">
              <w:rPr>
                <w:rFonts w:ascii="Times New Roman" w:hAnsi="Times New Roman" w:cs="Times New Roman"/>
                <w:b/>
                <w:sz w:val="18"/>
                <w:szCs w:val="18"/>
              </w:rPr>
              <w:t>Improvement</w:t>
            </w:r>
          </w:p>
        </w:tc>
        <w:tc>
          <w:tcPr>
            <w:tcW w:w="495" w:type="pct"/>
            <w:tcBorders>
              <w:bottom w:val="single" w:sz="4" w:space="0" w:color="auto"/>
              <w:right w:val="nil"/>
            </w:tcBorders>
            <w:shd w:val="clear" w:color="auto" w:fill="auto"/>
            <w:noWrap/>
            <w:hideMark/>
          </w:tcPr>
          <w:p w14:paraId="0A737E8C" w14:textId="77777777" w:rsidR="008656BC" w:rsidRDefault="007E68DB" w:rsidP="00622715">
            <w:pPr>
              <w:pStyle w:val="NoSpacing"/>
              <w:rPr>
                <w:rFonts w:ascii="Times New Roman" w:hAnsi="Times New Roman" w:cs="Times New Roman"/>
                <w:b/>
                <w:sz w:val="18"/>
                <w:szCs w:val="18"/>
              </w:rPr>
            </w:pPr>
            <w:r w:rsidRPr="00671706">
              <w:rPr>
                <w:rFonts w:ascii="Times New Roman" w:hAnsi="Times New Roman" w:cs="Times New Roman"/>
                <w:b/>
                <w:sz w:val="18"/>
                <w:szCs w:val="18"/>
              </w:rPr>
              <w:t>AUC</w:t>
            </w:r>
          </w:p>
          <w:p w14:paraId="233EFEF1" w14:textId="082E99A6" w:rsidR="007E68DB" w:rsidRPr="00671706" w:rsidRDefault="007E68DB" w:rsidP="00622715">
            <w:pPr>
              <w:pStyle w:val="NoSpacing"/>
              <w:rPr>
                <w:rFonts w:ascii="Times New Roman" w:hAnsi="Times New Roman" w:cs="Times New Roman"/>
                <w:b/>
                <w:sz w:val="18"/>
                <w:szCs w:val="18"/>
              </w:rPr>
            </w:pPr>
            <w:r w:rsidRPr="00671706">
              <w:rPr>
                <w:rFonts w:ascii="Times New Roman" w:hAnsi="Times New Roman" w:cs="Times New Roman"/>
                <w:b/>
                <w:sz w:val="18"/>
                <w:szCs w:val="18"/>
              </w:rPr>
              <w:t>(95% CI)</w:t>
            </w:r>
          </w:p>
        </w:tc>
        <w:tc>
          <w:tcPr>
            <w:tcW w:w="370" w:type="pct"/>
            <w:tcBorders>
              <w:left w:val="nil"/>
              <w:bottom w:val="single" w:sz="4" w:space="0" w:color="auto"/>
              <w:right w:val="nil"/>
            </w:tcBorders>
            <w:shd w:val="clear" w:color="auto" w:fill="auto"/>
            <w:noWrap/>
            <w:hideMark/>
          </w:tcPr>
          <w:p w14:paraId="42C721D1" w14:textId="77777777" w:rsidR="007E68DB" w:rsidRPr="00671706" w:rsidRDefault="007E68DB" w:rsidP="00622715">
            <w:pPr>
              <w:pStyle w:val="NoSpacing"/>
              <w:rPr>
                <w:rFonts w:ascii="Times New Roman" w:hAnsi="Times New Roman" w:cs="Times New Roman"/>
                <w:b/>
                <w:sz w:val="18"/>
                <w:szCs w:val="18"/>
              </w:rPr>
            </w:pPr>
            <w:r w:rsidRPr="00671706">
              <w:rPr>
                <w:rFonts w:ascii="Times New Roman" w:hAnsi="Times New Roman" w:cs="Times New Roman"/>
                <w:b/>
                <w:sz w:val="18"/>
                <w:szCs w:val="18"/>
              </w:rPr>
              <w:t>MCID</w:t>
            </w:r>
          </w:p>
        </w:tc>
        <w:tc>
          <w:tcPr>
            <w:tcW w:w="494" w:type="pct"/>
            <w:tcBorders>
              <w:left w:val="nil"/>
              <w:bottom w:val="single" w:sz="4" w:space="0" w:color="auto"/>
              <w:right w:val="nil"/>
            </w:tcBorders>
            <w:shd w:val="clear" w:color="auto" w:fill="auto"/>
            <w:noWrap/>
            <w:hideMark/>
          </w:tcPr>
          <w:p w14:paraId="6C692697" w14:textId="2F8404B5" w:rsidR="007E68DB" w:rsidRPr="00671706" w:rsidRDefault="007E68DB" w:rsidP="00622715">
            <w:pPr>
              <w:pStyle w:val="NoSpacing"/>
              <w:rPr>
                <w:rFonts w:ascii="Times New Roman" w:hAnsi="Times New Roman" w:cs="Times New Roman"/>
                <w:b/>
                <w:sz w:val="18"/>
                <w:szCs w:val="18"/>
              </w:rPr>
            </w:pPr>
            <w:r w:rsidRPr="00671706">
              <w:rPr>
                <w:rFonts w:ascii="Times New Roman" w:hAnsi="Times New Roman" w:cs="Times New Roman"/>
                <w:b/>
                <w:sz w:val="18"/>
                <w:szCs w:val="18"/>
              </w:rPr>
              <w:t>Sensitivity/</w:t>
            </w:r>
          </w:p>
          <w:p w14:paraId="18FA5CA1" w14:textId="50152FC5" w:rsidR="007E68DB" w:rsidRPr="00671706" w:rsidRDefault="007E68DB" w:rsidP="00622715">
            <w:pPr>
              <w:pStyle w:val="NoSpacing"/>
              <w:rPr>
                <w:rFonts w:ascii="Times New Roman" w:hAnsi="Times New Roman" w:cs="Times New Roman"/>
                <w:b/>
                <w:sz w:val="18"/>
                <w:szCs w:val="18"/>
              </w:rPr>
            </w:pPr>
            <w:r w:rsidRPr="00671706">
              <w:rPr>
                <w:rFonts w:ascii="Times New Roman" w:hAnsi="Times New Roman" w:cs="Times New Roman"/>
                <w:b/>
                <w:sz w:val="18"/>
                <w:szCs w:val="18"/>
              </w:rPr>
              <w:t>Specificity</w:t>
            </w:r>
          </w:p>
        </w:tc>
        <w:tc>
          <w:tcPr>
            <w:tcW w:w="494" w:type="pct"/>
            <w:tcBorders>
              <w:left w:val="nil"/>
              <w:bottom w:val="single" w:sz="4" w:space="0" w:color="auto"/>
            </w:tcBorders>
          </w:tcPr>
          <w:p w14:paraId="57C04402" w14:textId="3D518297" w:rsidR="007E68DB" w:rsidRPr="00671706" w:rsidRDefault="007E68DB" w:rsidP="008C57E6">
            <w:pPr>
              <w:pStyle w:val="NoSpacing"/>
              <w:rPr>
                <w:rFonts w:ascii="Times New Roman" w:hAnsi="Times New Roman" w:cs="Times New Roman"/>
                <w:b/>
                <w:sz w:val="18"/>
                <w:szCs w:val="18"/>
              </w:rPr>
            </w:pPr>
            <w:r w:rsidRPr="00671706">
              <w:rPr>
                <w:rFonts w:ascii="Times New Roman" w:hAnsi="Times New Roman" w:cs="Times New Roman"/>
                <w:b/>
                <w:sz w:val="18"/>
                <w:szCs w:val="18"/>
              </w:rPr>
              <w:t>% Attained</w:t>
            </w:r>
            <w:r w:rsidR="00251B3E" w:rsidRPr="00671706">
              <w:rPr>
                <w:rFonts w:ascii="Times New Roman" w:hAnsi="Times New Roman" w:cs="Times New Roman"/>
                <w:b/>
                <w:sz w:val="18"/>
                <w:szCs w:val="18"/>
              </w:rPr>
              <w:t xml:space="preserve"> </w:t>
            </w:r>
            <w:r w:rsidRPr="00671706">
              <w:rPr>
                <w:rFonts w:ascii="Times New Roman" w:hAnsi="Times New Roman" w:cs="Times New Roman"/>
                <w:b/>
                <w:sz w:val="18"/>
                <w:szCs w:val="18"/>
              </w:rPr>
              <w:t>MCID</w:t>
            </w:r>
          </w:p>
        </w:tc>
        <w:tc>
          <w:tcPr>
            <w:tcW w:w="494" w:type="pct"/>
            <w:tcBorders>
              <w:bottom w:val="single" w:sz="4" w:space="0" w:color="auto"/>
              <w:right w:val="nil"/>
            </w:tcBorders>
          </w:tcPr>
          <w:p w14:paraId="4E634C03" w14:textId="77777777" w:rsidR="00C77FF3" w:rsidRDefault="007E68DB" w:rsidP="00622715">
            <w:pPr>
              <w:pStyle w:val="NoSpacing"/>
              <w:rPr>
                <w:rFonts w:ascii="Times New Roman" w:hAnsi="Times New Roman" w:cs="Times New Roman"/>
                <w:b/>
                <w:sz w:val="18"/>
                <w:szCs w:val="18"/>
              </w:rPr>
            </w:pPr>
            <w:r w:rsidRPr="00671706">
              <w:rPr>
                <w:rFonts w:ascii="Times New Roman" w:hAnsi="Times New Roman" w:cs="Times New Roman"/>
                <w:b/>
                <w:sz w:val="18"/>
                <w:szCs w:val="18"/>
              </w:rPr>
              <w:t>AUC</w:t>
            </w:r>
          </w:p>
          <w:p w14:paraId="05FDF16C" w14:textId="7EC934C4" w:rsidR="007E68DB" w:rsidRPr="00671706" w:rsidRDefault="007E68DB" w:rsidP="00622715">
            <w:pPr>
              <w:pStyle w:val="NoSpacing"/>
              <w:rPr>
                <w:rFonts w:ascii="Times New Roman" w:hAnsi="Times New Roman" w:cs="Times New Roman"/>
                <w:b/>
                <w:sz w:val="18"/>
                <w:szCs w:val="18"/>
              </w:rPr>
            </w:pPr>
            <w:r w:rsidRPr="00671706">
              <w:rPr>
                <w:rFonts w:ascii="Times New Roman" w:hAnsi="Times New Roman" w:cs="Times New Roman"/>
                <w:b/>
                <w:sz w:val="18"/>
                <w:szCs w:val="18"/>
              </w:rPr>
              <w:t>(95% CI)</w:t>
            </w:r>
          </w:p>
        </w:tc>
        <w:tc>
          <w:tcPr>
            <w:tcW w:w="370" w:type="pct"/>
            <w:tcBorders>
              <w:left w:val="nil"/>
              <w:bottom w:val="single" w:sz="4" w:space="0" w:color="auto"/>
              <w:right w:val="nil"/>
            </w:tcBorders>
          </w:tcPr>
          <w:p w14:paraId="7A2376E6" w14:textId="77777777" w:rsidR="007E68DB" w:rsidRPr="00671706" w:rsidRDefault="007E68DB" w:rsidP="00622715">
            <w:pPr>
              <w:pStyle w:val="NoSpacing"/>
              <w:rPr>
                <w:rFonts w:ascii="Times New Roman" w:hAnsi="Times New Roman" w:cs="Times New Roman"/>
                <w:b/>
                <w:sz w:val="18"/>
                <w:szCs w:val="18"/>
              </w:rPr>
            </w:pPr>
            <w:r w:rsidRPr="00671706">
              <w:rPr>
                <w:rFonts w:ascii="Times New Roman" w:hAnsi="Times New Roman" w:cs="Times New Roman"/>
                <w:b/>
                <w:sz w:val="18"/>
                <w:szCs w:val="18"/>
              </w:rPr>
              <w:t>MCID</w:t>
            </w:r>
          </w:p>
        </w:tc>
        <w:tc>
          <w:tcPr>
            <w:tcW w:w="495" w:type="pct"/>
            <w:tcBorders>
              <w:left w:val="nil"/>
              <w:bottom w:val="single" w:sz="4" w:space="0" w:color="auto"/>
              <w:right w:val="nil"/>
            </w:tcBorders>
          </w:tcPr>
          <w:p w14:paraId="3D955E60" w14:textId="77777777" w:rsidR="007E68DB" w:rsidRPr="00671706" w:rsidRDefault="007E68DB" w:rsidP="00622715">
            <w:pPr>
              <w:pStyle w:val="NoSpacing"/>
              <w:rPr>
                <w:rFonts w:ascii="Times New Roman" w:hAnsi="Times New Roman" w:cs="Times New Roman"/>
                <w:b/>
                <w:sz w:val="18"/>
                <w:szCs w:val="18"/>
              </w:rPr>
            </w:pPr>
            <w:r w:rsidRPr="00671706">
              <w:rPr>
                <w:rFonts w:ascii="Times New Roman" w:hAnsi="Times New Roman" w:cs="Times New Roman"/>
                <w:b/>
                <w:sz w:val="18"/>
                <w:szCs w:val="18"/>
              </w:rPr>
              <w:t>Sensitivity/</w:t>
            </w:r>
          </w:p>
          <w:p w14:paraId="2652566D" w14:textId="77777777" w:rsidR="007E68DB" w:rsidRPr="00671706" w:rsidRDefault="007E68DB" w:rsidP="00622715">
            <w:pPr>
              <w:pStyle w:val="NoSpacing"/>
              <w:rPr>
                <w:rFonts w:ascii="Times New Roman" w:hAnsi="Times New Roman" w:cs="Times New Roman"/>
                <w:b/>
                <w:sz w:val="18"/>
                <w:szCs w:val="18"/>
              </w:rPr>
            </w:pPr>
            <w:r w:rsidRPr="00671706">
              <w:rPr>
                <w:rFonts w:ascii="Times New Roman" w:hAnsi="Times New Roman" w:cs="Times New Roman"/>
                <w:b/>
                <w:sz w:val="18"/>
                <w:szCs w:val="18"/>
              </w:rPr>
              <w:t>Specificity</w:t>
            </w:r>
          </w:p>
        </w:tc>
        <w:tc>
          <w:tcPr>
            <w:tcW w:w="494" w:type="pct"/>
            <w:tcBorders>
              <w:left w:val="nil"/>
              <w:bottom w:val="single" w:sz="4" w:space="0" w:color="auto"/>
            </w:tcBorders>
          </w:tcPr>
          <w:p w14:paraId="3FCA6D5D" w14:textId="01C469EC" w:rsidR="007E68DB" w:rsidRPr="00671706" w:rsidRDefault="007E68DB" w:rsidP="008C57E6">
            <w:pPr>
              <w:pStyle w:val="NoSpacing"/>
              <w:rPr>
                <w:rFonts w:ascii="Times New Roman" w:hAnsi="Times New Roman" w:cs="Times New Roman"/>
                <w:b/>
                <w:sz w:val="18"/>
                <w:szCs w:val="18"/>
              </w:rPr>
            </w:pPr>
            <w:r w:rsidRPr="00671706">
              <w:rPr>
                <w:rFonts w:ascii="Times New Roman" w:hAnsi="Times New Roman" w:cs="Times New Roman"/>
                <w:b/>
                <w:sz w:val="18"/>
                <w:szCs w:val="18"/>
              </w:rPr>
              <w:t>% Attained</w:t>
            </w:r>
            <w:r w:rsidR="008656BC">
              <w:rPr>
                <w:rFonts w:ascii="Times New Roman" w:hAnsi="Times New Roman" w:cs="Times New Roman"/>
                <w:b/>
                <w:sz w:val="18"/>
                <w:szCs w:val="18"/>
              </w:rPr>
              <w:t xml:space="preserve"> MCID</w:t>
            </w:r>
          </w:p>
        </w:tc>
      </w:tr>
      <w:tr w:rsidR="00C77FF3" w:rsidRPr="008656BC" w14:paraId="7553B36C" w14:textId="77777777" w:rsidTr="003C313C">
        <w:trPr>
          <w:trHeight w:val="300"/>
          <w:jc w:val="center"/>
        </w:trPr>
        <w:tc>
          <w:tcPr>
            <w:tcW w:w="677" w:type="pct"/>
            <w:tcBorders>
              <w:right w:val="nil"/>
            </w:tcBorders>
            <w:shd w:val="clear" w:color="auto" w:fill="auto"/>
            <w:noWrap/>
          </w:tcPr>
          <w:p w14:paraId="46D9BFEC" w14:textId="77777777" w:rsidR="007E68DB" w:rsidRPr="00671706" w:rsidRDefault="007E68DB" w:rsidP="00622715">
            <w:pPr>
              <w:pStyle w:val="NoSpacing"/>
              <w:rPr>
                <w:rFonts w:ascii="Times New Roman" w:hAnsi="Times New Roman" w:cs="Times New Roman"/>
                <w:b/>
                <w:sz w:val="18"/>
                <w:szCs w:val="18"/>
              </w:rPr>
            </w:pPr>
            <w:r w:rsidRPr="00671706">
              <w:rPr>
                <w:rFonts w:ascii="Times New Roman" w:hAnsi="Times New Roman" w:cs="Times New Roman"/>
                <w:b/>
                <w:sz w:val="18"/>
                <w:szCs w:val="18"/>
              </w:rPr>
              <w:t>All Patients</w:t>
            </w:r>
          </w:p>
        </w:tc>
        <w:tc>
          <w:tcPr>
            <w:tcW w:w="617" w:type="pct"/>
            <w:tcBorders>
              <w:left w:val="nil"/>
              <w:right w:val="nil"/>
            </w:tcBorders>
          </w:tcPr>
          <w:p w14:paraId="6F4B52D0" w14:textId="77777777" w:rsidR="007E68DB" w:rsidRPr="00671706" w:rsidRDefault="007E68DB" w:rsidP="00622715">
            <w:pPr>
              <w:pStyle w:val="NoSpacing"/>
              <w:rPr>
                <w:rFonts w:ascii="Times New Roman" w:hAnsi="Times New Roman" w:cs="Times New Roman"/>
                <w:sz w:val="18"/>
                <w:szCs w:val="18"/>
              </w:rPr>
            </w:pPr>
          </w:p>
        </w:tc>
        <w:tc>
          <w:tcPr>
            <w:tcW w:w="495" w:type="pct"/>
            <w:tcBorders>
              <w:left w:val="nil"/>
              <w:bottom w:val="single" w:sz="4" w:space="0" w:color="auto"/>
              <w:right w:val="nil"/>
            </w:tcBorders>
            <w:shd w:val="clear" w:color="auto" w:fill="auto"/>
            <w:noWrap/>
          </w:tcPr>
          <w:p w14:paraId="2AA48E96" w14:textId="68CF2F02" w:rsidR="007E68DB" w:rsidRPr="00671706" w:rsidRDefault="007E68DB" w:rsidP="00622715">
            <w:pPr>
              <w:pStyle w:val="NoSpacing"/>
              <w:rPr>
                <w:rFonts w:ascii="Times New Roman" w:hAnsi="Times New Roman" w:cs="Times New Roman"/>
                <w:sz w:val="18"/>
                <w:szCs w:val="18"/>
              </w:rPr>
            </w:pPr>
          </w:p>
        </w:tc>
        <w:tc>
          <w:tcPr>
            <w:tcW w:w="370" w:type="pct"/>
            <w:tcBorders>
              <w:left w:val="nil"/>
              <w:bottom w:val="single" w:sz="4" w:space="0" w:color="auto"/>
              <w:right w:val="nil"/>
            </w:tcBorders>
            <w:shd w:val="clear" w:color="auto" w:fill="auto"/>
            <w:noWrap/>
          </w:tcPr>
          <w:p w14:paraId="05FEDFC5" w14:textId="77777777" w:rsidR="007E68DB" w:rsidRPr="00671706" w:rsidRDefault="007E68DB" w:rsidP="00622715">
            <w:pPr>
              <w:pStyle w:val="NoSpacing"/>
              <w:rPr>
                <w:rFonts w:ascii="Times New Roman" w:hAnsi="Times New Roman" w:cs="Times New Roman"/>
                <w:sz w:val="18"/>
                <w:szCs w:val="18"/>
              </w:rPr>
            </w:pPr>
          </w:p>
        </w:tc>
        <w:tc>
          <w:tcPr>
            <w:tcW w:w="494" w:type="pct"/>
            <w:tcBorders>
              <w:left w:val="nil"/>
              <w:bottom w:val="single" w:sz="4" w:space="0" w:color="auto"/>
              <w:right w:val="nil"/>
            </w:tcBorders>
            <w:shd w:val="clear" w:color="auto" w:fill="auto"/>
            <w:noWrap/>
          </w:tcPr>
          <w:p w14:paraId="1DDB42CA" w14:textId="77777777" w:rsidR="007E68DB" w:rsidRPr="00671706" w:rsidRDefault="007E68DB" w:rsidP="00622715">
            <w:pPr>
              <w:pStyle w:val="NoSpacing"/>
              <w:rPr>
                <w:rFonts w:ascii="Times New Roman" w:hAnsi="Times New Roman" w:cs="Times New Roman"/>
                <w:sz w:val="18"/>
                <w:szCs w:val="18"/>
              </w:rPr>
            </w:pPr>
          </w:p>
        </w:tc>
        <w:tc>
          <w:tcPr>
            <w:tcW w:w="494" w:type="pct"/>
            <w:tcBorders>
              <w:left w:val="nil"/>
              <w:bottom w:val="single" w:sz="4" w:space="0" w:color="auto"/>
              <w:right w:val="nil"/>
            </w:tcBorders>
          </w:tcPr>
          <w:p w14:paraId="7F9DF806" w14:textId="77777777" w:rsidR="007E68DB" w:rsidRPr="00671706" w:rsidRDefault="007E68DB" w:rsidP="00622715">
            <w:pPr>
              <w:pStyle w:val="NoSpacing"/>
              <w:rPr>
                <w:rFonts w:ascii="Times New Roman" w:hAnsi="Times New Roman" w:cs="Times New Roman"/>
                <w:sz w:val="18"/>
                <w:szCs w:val="18"/>
              </w:rPr>
            </w:pPr>
          </w:p>
        </w:tc>
        <w:tc>
          <w:tcPr>
            <w:tcW w:w="494" w:type="pct"/>
            <w:tcBorders>
              <w:left w:val="nil"/>
              <w:bottom w:val="single" w:sz="4" w:space="0" w:color="auto"/>
              <w:right w:val="nil"/>
            </w:tcBorders>
          </w:tcPr>
          <w:p w14:paraId="6A410AAB" w14:textId="77777777" w:rsidR="007E68DB" w:rsidRPr="00671706" w:rsidRDefault="007E68DB" w:rsidP="00622715">
            <w:pPr>
              <w:pStyle w:val="NoSpacing"/>
              <w:rPr>
                <w:rFonts w:ascii="Times New Roman" w:hAnsi="Times New Roman" w:cs="Times New Roman"/>
                <w:sz w:val="18"/>
                <w:szCs w:val="18"/>
              </w:rPr>
            </w:pPr>
          </w:p>
        </w:tc>
        <w:tc>
          <w:tcPr>
            <w:tcW w:w="370" w:type="pct"/>
            <w:tcBorders>
              <w:left w:val="nil"/>
              <w:bottom w:val="single" w:sz="4" w:space="0" w:color="auto"/>
              <w:right w:val="nil"/>
            </w:tcBorders>
          </w:tcPr>
          <w:p w14:paraId="5C433223" w14:textId="77777777" w:rsidR="007E68DB" w:rsidRPr="00671706" w:rsidRDefault="007E68DB" w:rsidP="00622715">
            <w:pPr>
              <w:pStyle w:val="NoSpacing"/>
              <w:rPr>
                <w:rFonts w:ascii="Times New Roman" w:hAnsi="Times New Roman" w:cs="Times New Roman"/>
                <w:sz w:val="18"/>
                <w:szCs w:val="18"/>
              </w:rPr>
            </w:pPr>
          </w:p>
        </w:tc>
        <w:tc>
          <w:tcPr>
            <w:tcW w:w="495" w:type="pct"/>
            <w:tcBorders>
              <w:left w:val="nil"/>
              <w:bottom w:val="single" w:sz="4" w:space="0" w:color="auto"/>
              <w:right w:val="nil"/>
            </w:tcBorders>
          </w:tcPr>
          <w:p w14:paraId="18E757C3" w14:textId="77777777" w:rsidR="007E68DB" w:rsidRPr="00671706" w:rsidRDefault="007E68DB" w:rsidP="00622715">
            <w:pPr>
              <w:pStyle w:val="NoSpacing"/>
              <w:rPr>
                <w:rFonts w:ascii="Times New Roman" w:hAnsi="Times New Roman" w:cs="Times New Roman"/>
                <w:sz w:val="18"/>
                <w:szCs w:val="18"/>
              </w:rPr>
            </w:pPr>
          </w:p>
        </w:tc>
        <w:tc>
          <w:tcPr>
            <w:tcW w:w="494" w:type="pct"/>
            <w:tcBorders>
              <w:left w:val="nil"/>
              <w:bottom w:val="single" w:sz="4" w:space="0" w:color="auto"/>
            </w:tcBorders>
          </w:tcPr>
          <w:p w14:paraId="7E1E8EA8" w14:textId="77777777" w:rsidR="007E68DB" w:rsidRPr="00671706" w:rsidRDefault="007E68DB" w:rsidP="00622715">
            <w:pPr>
              <w:pStyle w:val="NoSpacing"/>
              <w:rPr>
                <w:rFonts w:ascii="Times New Roman" w:hAnsi="Times New Roman" w:cs="Times New Roman"/>
                <w:sz w:val="18"/>
                <w:szCs w:val="18"/>
              </w:rPr>
            </w:pPr>
          </w:p>
        </w:tc>
      </w:tr>
      <w:tr w:rsidR="00C77FF3" w:rsidRPr="008656BC" w14:paraId="1A6D5453" w14:textId="77777777" w:rsidTr="003C313C">
        <w:trPr>
          <w:trHeight w:val="300"/>
          <w:jc w:val="center"/>
        </w:trPr>
        <w:tc>
          <w:tcPr>
            <w:tcW w:w="677" w:type="pct"/>
            <w:shd w:val="clear" w:color="auto" w:fill="auto"/>
            <w:noWrap/>
            <w:hideMark/>
          </w:tcPr>
          <w:p w14:paraId="1D9E7983" w14:textId="07FA3DA4" w:rsidR="00B467FE" w:rsidRDefault="007E68DB" w:rsidP="00B467FE">
            <w:pPr>
              <w:pStyle w:val="NoSpacing"/>
              <w:rPr>
                <w:rFonts w:ascii="Times New Roman" w:hAnsi="Times New Roman" w:cs="Times New Roman"/>
                <w:sz w:val="18"/>
                <w:szCs w:val="18"/>
              </w:rPr>
            </w:pPr>
            <w:r w:rsidRPr="00671706">
              <w:rPr>
                <w:rFonts w:ascii="Times New Roman" w:hAnsi="Times New Roman" w:cs="Times New Roman"/>
                <w:sz w:val="18"/>
                <w:szCs w:val="18"/>
              </w:rPr>
              <w:t>MSK-HQ</w:t>
            </w:r>
          </w:p>
          <w:p w14:paraId="271721C2" w14:textId="2D11C425" w:rsidR="007E68DB" w:rsidRPr="00671706" w:rsidRDefault="007E68DB" w:rsidP="00B467FE">
            <w:pPr>
              <w:pStyle w:val="NoSpacing"/>
              <w:rPr>
                <w:rFonts w:ascii="Times New Roman" w:hAnsi="Times New Roman" w:cs="Times New Roman"/>
                <w:sz w:val="18"/>
                <w:szCs w:val="18"/>
              </w:rPr>
            </w:pPr>
            <w:r w:rsidRPr="00671706">
              <w:rPr>
                <w:rFonts w:ascii="Times New Roman" w:hAnsi="Times New Roman" w:cs="Times New Roman"/>
                <w:sz w:val="18"/>
                <w:szCs w:val="18"/>
              </w:rPr>
              <w:t>(n=453)</w:t>
            </w:r>
          </w:p>
        </w:tc>
        <w:tc>
          <w:tcPr>
            <w:tcW w:w="617" w:type="pct"/>
          </w:tcPr>
          <w:p w14:paraId="344531F3" w14:textId="4CBCA9C8"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27</w:t>
            </w:r>
            <w:r w:rsidR="0085423F" w:rsidRPr="00671706">
              <w:rPr>
                <w:rFonts w:ascii="Times New Roman" w:hAnsi="Times New Roman" w:cs="Times New Roman"/>
                <w:sz w:val="18"/>
                <w:szCs w:val="18"/>
              </w:rPr>
              <w:t>2</w:t>
            </w:r>
          </w:p>
        </w:tc>
        <w:tc>
          <w:tcPr>
            <w:tcW w:w="495" w:type="pct"/>
            <w:tcBorders>
              <w:right w:val="nil"/>
            </w:tcBorders>
            <w:shd w:val="clear" w:color="auto" w:fill="auto"/>
            <w:noWrap/>
          </w:tcPr>
          <w:p w14:paraId="0E1C669F" w14:textId="77777777" w:rsidR="008656BC"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0.81</w:t>
            </w:r>
          </w:p>
          <w:p w14:paraId="3D76DC21" w14:textId="261B6890"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(0.78, 0.85)</w:t>
            </w:r>
          </w:p>
        </w:tc>
        <w:tc>
          <w:tcPr>
            <w:tcW w:w="370" w:type="pct"/>
            <w:tcBorders>
              <w:left w:val="nil"/>
              <w:right w:val="nil"/>
            </w:tcBorders>
            <w:shd w:val="clear" w:color="auto" w:fill="auto"/>
            <w:noWrap/>
          </w:tcPr>
          <w:p w14:paraId="13E7B0DD" w14:textId="41690A9F"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5.50</w:t>
            </w:r>
          </w:p>
        </w:tc>
        <w:tc>
          <w:tcPr>
            <w:tcW w:w="494" w:type="pct"/>
            <w:tcBorders>
              <w:left w:val="nil"/>
              <w:right w:val="nil"/>
            </w:tcBorders>
            <w:shd w:val="clear" w:color="auto" w:fill="auto"/>
            <w:noWrap/>
          </w:tcPr>
          <w:p w14:paraId="3A78BDB7"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0.72/0.78</w:t>
            </w:r>
          </w:p>
        </w:tc>
        <w:tc>
          <w:tcPr>
            <w:tcW w:w="494" w:type="pct"/>
            <w:tcBorders>
              <w:left w:val="nil"/>
            </w:tcBorders>
          </w:tcPr>
          <w:p w14:paraId="4512EE7F" w14:textId="652B436B"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52%</w:t>
            </w:r>
          </w:p>
        </w:tc>
        <w:tc>
          <w:tcPr>
            <w:tcW w:w="494" w:type="pct"/>
            <w:tcBorders>
              <w:right w:val="nil"/>
            </w:tcBorders>
          </w:tcPr>
          <w:p w14:paraId="418719F3" w14:textId="77777777" w:rsidR="008656BC"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0.78</w:t>
            </w:r>
          </w:p>
          <w:p w14:paraId="02544FE3" w14:textId="048727B2"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(0.73, 0.82)</w:t>
            </w:r>
          </w:p>
        </w:tc>
        <w:tc>
          <w:tcPr>
            <w:tcW w:w="370" w:type="pct"/>
            <w:tcBorders>
              <w:left w:val="nil"/>
              <w:right w:val="nil"/>
            </w:tcBorders>
          </w:tcPr>
          <w:p w14:paraId="77897175"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15.71%</w:t>
            </w:r>
          </w:p>
        </w:tc>
        <w:tc>
          <w:tcPr>
            <w:tcW w:w="495" w:type="pct"/>
            <w:tcBorders>
              <w:left w:val="nil"/>
              <w:right w:val="nil"/>
            </w:tcBorders>
          </w:tcPr>
          <w:p w14:paraId="6ED285F9"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0.72/0.71</w:t>
            </w:r>
          </w:p>
        </w:tc>
        <w:tc>
          <w:tcPr>
            <w:tcW w:w="494" w:type="pct"/>
            <w:tcBorders>
              <w:left w:val="nil"/>
            </w:tcBorders>
          </w:tcPr>
          <w:p w14:paraId="1D6A8497"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55%</w:t>
            </w:r>
          </w:p>
        </w:tc>
      </w:tr>
      <w:tr w:rsidR="00C77FF3" w:rsidRPr="008656BC" w14:paraId="34CFC669" w14:textId="77777777" w:rsidTr="003C313C">
        <w:trPr>
          <w:trHeight w:val="300"/>
          <w:jc w:val="center"/>
        </w:trPr>
        <w:tc>
          <w:tcPr>
            <w:tcW w:w="677" w:type="pct"/>
            <w:tcBorders>
              <w:bottom w:val="single" w:sz="4" w:space="0" w:color="auto"/>
            </w:tcBorders>
            <w:shd w:val="clear" w:color="auto" w:fill="auto"/>
            <w:noWrap/>
            <w:hideMark/>
          </w:tcPr>
          <w:p w14:paraId="6F48A1DB" w14:textId="404FC9D5"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EQ-5D-5L (n=437)</w:t>
            </w:r>
          </w:p>
        </w:tc>
        <w:tc>
          <w:tcPr>
            <w:tcW w:w="617" w:type="pct"/>
            <w:tcBorders>
              <w:bottom w:val="single" w:sz="4" w:space="0" w:color="auto"/>
            </w:tcBorders>
          </w:tcPr>
          <w:p w14:paraId="7B899251" w14:textId="6EC9930E"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271</w:t>
            </w:r>
          </w:p>
        </w:tc>
        <w:tc>
          <w:tcPr>
            <w:tcW w:w="495" w:type="pct"/>
            <w:tcBorders>
              <w:bottom w:val="single" w:sz="4" w:space="0" w:color="auto"/>
              <w:right w:val="nil"/>
            </w:tcBorders>
            <w:shd w:val="clear" w:color="auto" w:fill="auto"/>
            <w:noWrap/>
          </w:tcPr>
          <w:p w14:paraId="2D29F39E" w14:textId="500A80CD" w:rsidR="008656BC" w:rsidRDefault="007E68DB" w:rsidP="00B467FE">
            <w:pPr>
              <w:pStyle w:val="NoSpacing"/>
              <w:rPr>
                <w:rFonts w:ascii="Times New Roman" w:hAnsi="Times New Roman" w:cs="Times New Roman"/>
                <w:sz w:val="18"/>
                <w:szCs w:val="18"/>
              </w:rPr>
            </w:pPr>
            <w:r w:rsidRPr="00671706">
              <w:rPr>
                <w:rFonts w:ascii="Times New Roman" w:hAnsi="Times New Roman" w:cs="Times New Roman"/>
                <w:sz w:val="18"/>
                <w:szCs w:val="18"/>
              </w:rPr>
              <w:t>0.68</w:t>
            </w:r>
          </w:p>
          <w:p w14:paraId="5076471E" w14:textId="0A2449A5" w:rsidR="007E68DB" w:rsidRPr="00671706" w:rsidRDefault="007E68DB" w:rsidP="00B467FE">
            <w:pPr>
              <w:pStyle w:val="NoSpacing"/>
              <w:rPr>
                <w:rFonts w:ascii="Times New Roman" w:hAnsi="Times New Roman" w:cs="Times New Roman"/>
                <w:sz w:val="18"/>
                <w:szCs w:val="18"/>
              </w:rPr>
            </w:pPr>
            <w:r w:rsidRPr="00671706">
              <w:rPr>
                <w:rFonts w:ascii="Times New Roman" w:hAnsi="Times New Roman" w:cs="Times New Roman"/>
                <w:sz w:val="18"/>
                <w:szCs w:val="18"/>
              </w:rPr>
              <w:t>(0.62, 0.73)</w:t>
            </w:r>
          </w:p>
        </w:tc>
        <w:tc>
          <w:tcPr>
            <w:tcW w:w="370" w:type="pct"/>
            <w:tcBorders>
              <w:left w:val="nil"/>
              <w:bottom w:val="single" w:sz="4" w:space="0" w:color="auto"/>
              <w:right w:val="nil"/>
            </w:tcBorders>
            <w:shd w:val="clear" w:color="auto" w:fill="auto"/>
            <w:noWrap/>
          </w:tcPr>
          <w:p w14:paraId="64932DC7"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0.03</w:t>
            </w:r>
          </w:p>
        </w:tc>
        <w:tc>
          <w:tcPr>
            <w:tcW w:w="494" w:type="pct"/>
            <w:tcBorders>
              <w:left w:val="nil"/>
              <w:bottom w:val="single" w:sz="4" w:space="0" w:color="auto"/>
              <w:right w:val="nil"/>
            </w:tcBorders>
            <w:shd w:val="clear" w:color="auto" w:fill="auto"/>
            <w:noWrap/>
          </w:tcPr>
          <w:p w14:paraId="7D500A00"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0.69/0.61</w:t>
            </w:r>
          </w:p>
        </w:tc>
        <w:tc>
          <w:tcPr>
            <w:tcW w:w="494" w:type="pct"/>
            <w:tcBorders>
              <w:left w:val="nil"/>
              <w:bottom w:val="single" w:sz="4" w:space="0" w:color="auto"/>
            </w:tcBorders>
          </w:tcPr>
          <w:p w14:paraId="029C929F" w14:textId="641B0601"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57%</w:t>
            </w:r>
          </w:p>
        </w:tc>
        <w:tc>
          <w:tcPr>
            <w:tcW w:w="494" w:type="pct"/>
            <w:tcBorders>
              <w:bottom w:val="single" w:sz="4" w:space="0" w:color="auto"/>
              <w:right w:val="nil"/>
            </w:tcBorders>
          </w:tcPr>
          <w:p w14:paraId="2DAFEA5C" w14:textId="3DFC0799" w:rsidR="00C77FF3" w:rsidRDefault="007E68DB" w:rsidP="00B467FE">
            <w:pPr>
              <w:pStyle w:val="NoSpacing"/>
              <w:rPr>
                <w:rFonts w:ascii="Times New Roman" w:hAnsi="Times New Roman" w:cs="Times New Roman"/>
                <w:sz w:val="18"/>
                <w:szCs w:val="18"/>
              </w:rPr>
            </w:pPr>
            <w:r w:rsidRPr="00671706">
              <w:rPr>
                <w:rFonts w:ascii="Times New Roman" w:hAnsi="Times New Roman" w:cs="Times New Roman"/>
                <w:sz w:val="18"/>
                <w:szCs w:val="18"/>
              </w:rPr>
              <w:t>0.66</w:t>
            </w:r>
          </w:p>
          <w:p w14:paraId="4BB19189" w14:textId="7928CF91" w:rsidR="007E68DB" w:rsidRPr="00671706" w:rsidRDefault="007E68DB" w:rsidP="00B467FE">
            <w:pPr>
              <w:pStyle w:val="NoSpacing"/>
              <w:rPr>
                <w:rFonts w:ascii="Times New Roman" w:hAnsi="Times New Roman" w:cs="Times New Roman"/>
                <w:sz w:val="18"/>
                <w:szCs w:val="18"/>
              </w:rPr>
            </w:pPr>
            <w:r w:rsidRPr="00671706">
              <w:rPr>
                <w:rFonts w:ascii="Times New Roman" w:hAnsi="Times New Roman" w:cs="Times New Roman"/>
                <w:sz w:val="18"/>
                <w:szCs w:val="18"/>
              </w:rPr>
              <w:t>(0.61, 0.71)</w:t>
            </w:r>
          </w:p>
        </w:tc>
        <w:tc>
          <w:tcPr>
            <w:tcW w:w="370" w:type="pct"/>
            <w:tcBorders>
              <w:left w:val="nil"/>
              <w:bottom w:val="single" w:sz="4" w:space="0" w:color="auto"/>
              <w:right w:val="nil"/>
            </w:tcBorders>
          </w:tcPr>
          <w:p w14:paraId="76292250"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3.18%</w:t>
            </w:r>
          </w:p>
        </w:tc>
        <w:tc>
          <w:tcPr>
            <w:tcW w:w="495" w:type="pct"/>
            <w:tcBorders>
              <w:left w:val="nil"/>
              <w:bottom w:val="single" w:sz="4" w:space="0" w:color="auto"/>
              <w:right w:val="nil"/>
            </w:tcBorders>
          </w:tcPr>
          <w:p w14:paraId="23165D56"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0.68/0.61</w:t>
            </w:r>
          </w:p>
        </w:tc>
        <w:tc>
          <w:tcPr>
            <w:tcW w:w="494" w:type="pct"/>
            <w:tcBorders>
              <w:left w:val="nil"/>
              <w:bottom w:val="single" w:sz="4" w:space="0" w:color="auto"/>
            </w:tcBorders>
          </w:tcPr>
          <w:p w14:paraId="2C0772E7"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57%</w:t>
            </w:r>
          </w:p>
        </w:tc>
      </w:tr>
      <w:tr w:rsidR="00255A60" w:rsidRPr="008656BC" w14:paraId="2E2C222B" w14:textId="77777777" w:rsidTr="003C313C">
        <w:trPr>
          <w:trHeight w:val="300"/>
          <w:jc w:val="center"/>
        </w:trPr>
        <w:tc>
          <w:tcPr>
            <w:tcW w:w="677" w:type="pct"/>
            <w:tcBorders>
              <w:right w:val="nil"/>
            </w:tcBorders>
            <w:shd w:val="clear" w:color="auto" w:fill="auto"/>
            <w:noWrap/>
            <w:hideMark/>
          </w:tcPr>
          <w:p w14:paraId="21FB705B" w14:textId="37EF0A97" w:rsidR="00255A60" w:rsidRPr="00671706" w:rsidRDefault="00255A60" w:rsidP="00255A60">
            <w:pPr>
              <w:pStyle w:val="NoSpacing"/>
              <w:rPr>
                <w:rFonts w:ascii="Times New Roman" w:hAnsi="Times New Roman" w:cs="Times New Roman"/>
                <w:b/>
                <w:sz w:val="18"/>
                <w:szCs w:val="18"/>
              </w:rPr>
            </w:pPr>
            <w:r w:rsidRPr="00671706">
              <w:rPr>
                <w:rFonts w:ascii="Times New Roman" w:hAnsi="Times New Roman" w:cs="Times New Roman"/>
                <w:b/>
                <w:sz w:val="18"/>
                <w:szCs w:val="18"/>
              </w:rPr>
              <w:t>Low Back</w:t>
            </w:r>
            <w:r>
              <w:rPr>
                <w:rFonts w:ascii="Times New Roman" w:hAnsi="Times New Roman" w:cs="Times New Roman"/>
                <w:b/>
                <w:sz w:val="18"/>
                <w:szCs w:val="18"/>
              </w:rPr>
              <w:t xml:space="preserve"> Pain</w:t>
            </w:r>
          </w:p>
        </w:tc>
        <w:tc>
          <w:tcPr>
            <w:tcW w:w="617" w:type="pct"/>
            <w:tcBorders>
              <w:left w:val="nil"/>
              <w:right w:val="nil"/>
            </w:tcBorders>
          </w:tcPr>
          <w:p w14:paraId="2A3842D4" w14:textId="77777777" w:rsidR="00255A60" w:rsidRPr="00671706" w:rsidRDefault="00255A60" w:rsidP="00255A60">
            <w:pPr>
              <w:pStyle w:val="NoSpacing"/>
              <w:rPr>
                <w:rFonts w:ascii="Times New Roman" w:hAnsi="Times New Roman" w:cs="Times New Roman"/>
                <w:sz w:val="18"/>
                <w:szCs w:val="18"/>
              </w:rPr>
            </w:pPr>
          </w:p>
        </w:tc>
        <w:tc>
          <w:tcPr>
            <w:tcW w:w="495" w:type="pct"/>
            <w:tcBorders>
              <w:left w:val="nil"/>
              <w:bottom w:val="single" w:sz="4" w:space="0" w:color="auto"/>
              <w:right w:val="nil"/>
            </w:tcBorders>
            <w:shd w:val="clear" w:color="auto" w:fill="auto"/>
            <w:noWrap/>
          </w:tcPr>
          <w:p w14:paraId="46120E1A" w14:textId="67BF1FEA" w:rsidR="00255A60" w:rsidRPr="00671706" w:rsidRDefault="00255A60" w:rsidP="00255A60">
            <w:pPr>
              <w:pStyle w:val="NoSpacing"/>
              <w:rPr>
                <w:rFonts w:ascii="Times New Roman" w:hAnsi="Times New Roman" w:cs="Times New Roman"/>
                <w:sz w:val="18"/>
                <w:szCs w:val="18"/>
              </w:rPr>
            </w:pPr>
          </w:p>
        </w:tc>
        <w:tc>
          <w:tcPr>
            <w:tcW w:w="370" w:type="pct"/>
            <w:tcBorders>
              <w:left w:val="nil"/>
              <w:bottom w:val="single" w:sz="4" w:space="0" w:color="auto"/>
              <w:right w:val="nil"/>
            </w:tcBorders>
            <w:shd w:val="clear" w:color="auto" w:fill="auto"/>
            <w:noWrap/>
          </w:tcPr>
          <w:p w14:paraId="3DB3DA61" w14:textId="77777777" w:rsidR="00255A60" w:rsidRPr="00671706" w:rsidRDefault="00255A60" w:rsidP="00255A60">
            <w:pPr>
              <w:pStyle w:val="NoSpacing"/>
              <w:rPr>
                <w:rFonts w:ascii="Times New Roman" w:hAnsi="Times New Roman" w:cs="Times New Roman"/>
                <w:sz w:val="18"/>
                <w:szCs w:val="18"/>
              </w:rPr>
            </w:pPr>
          </w:p>
        </w:tc>
        <w:tc>
          <w:tcPr>
            <w:tcW w:w="494" w:type="pct"/>
            <w:tcBorders>
              <w:left w:val="nil"/>
              <w:bottom w:val="single" w:sz="4" w:space="0" w:color="auto"/>
              <w:right w:val="nil"/>
            </w:tcBorders>
            <w:shd w:val="clear" w:color="auto" w:fill="auto"/>
            <w:noWrap/>
          </w:tcPr>
          <w:p w14:paraId="37CD9A66" w14:textId="77777777" w:rsidR="00255A60" w:rsidRPr="00671706" w:rsidRDefault="00255A60" w:rsidP="00255A60">
            <w:pPr>
              <w:pStyle w:val="NoSpacing"/>
              <w:rPr>
                <w:rFonts w:ascii="Times New Roman" w:hAnsi="Times New Roman" w:cs="Times New Roman"/>
                <w:sz w:val="18"/>
                <w:szCs w:val="18"/>
              </w:rPr>
            </w:pPr>
          </w:p>
        </w:tc>
        <w:tc>
          <w:tcPr>
            <w:tcW w:w="494" w:type="pct"/>
            <w:tcBorders>
              <w:left w:val="nil"/>
              <w:bottom w:val="single" w:sz="4" w:space="0" w:color="auto"/>
              <w:right w:val="nil"/>
            </w:tcBorders>
          </w:tcPr>
          <w:p w14:paraId="65A908C1" w14:textId="77777777" w:rsidR="00255A60" w:rsidRPr="00671706" w:rsidRDefault="00255A60" w:rsidP="00255A60">
            <w:pPr>
              <w:pStyle w:val="NoSpacing"/>
              <w:rPr>
                <w:rFonts w:ascii="Times New Roman" w:hAnsi="Times New Roman" w:cs="Times New Roman"/>
                <w:sz w:val="18"/>
                <w:szCs w:val="18"/>
              </w:rPr>
            </w:pPr>
          </w:p>
        </w:tc>
        <w:tc>
          <w:tcPr>
            <w:tcW w:w="494" w:type="pct"/>
            <w:tcBorders>
              <w:left w:val="nil"/>
              <w:bottom w:val="single" w:sz="4" w:space="0" w:color="auto"/>
              <w:right w:val="nil"/>
            </w:tcBorders>
          </w:tcPr>
          <w:p w14:paraId="20C1BBD1" w14:textId="77777777" w:rsidR="00255A60" w:rsidRPr="00671706" w:rsidRDefault="00255A60" w:rsidP="00255A60">
            <w:pPr>
              <w:pStyle w:val="NoSpacing"/>
              <w:rPr>
                <w:rFonts w:ascii="Times New Roman" w:hAnsi="Times New Roman" w:cs="Times New Roman"/>
                <w:sz w:val="18"/>
                <w:szCs w:val="18"/>
              </w:rPr>
            </w:pPr>
          </w:p>
        </w:tc>
        <w:tc>
          <w:tcPr>
            <w:tcW w:w="370" w:type="pct"/>
            <w:tcBorders>
              <w:left w:val="nil"/>
              <w:bottom w:val="single" w:sz="4" w:space="0" w:color="auto"/>
              <w:right w:val="nil"/>
            </w:tcBorders>
          </w:tcPr>
          <w:p w14:paraId="434F0363" w14:textId="77777777" w:rsidR="00255A60" w:rsidRPr="00671706" w:rsidRDefault="00255A60" w:rsidP="00255A60">
            <w:pPr>
              <w:pStyle w:val="NoSpacing"/>
              <w:rPr>
                <w:rFonts w:ascii="Times New Roman" w:hAnsi="Times New Roman" w:cs="Times New Roman"/>
                <w:sz w:val="18"/>
                <w:szCs w:val="18"/>
              </w:rPr>
            </w:pPr>
          </w:p>
        </w:tc>
        <w:tc>
          <w:tcPr>
            <w:tcW w:w="495" w:type="pct"/>
            <w:tcBorders>
              <w:left w:val="nil"/>
              <w:bottom w:val="single" w:sz="4" w:space="0" w:color="auto"/>
              <w:right w:val="nil"/>
            </w:tcBorders>
          </w:tcPr>
          <w:p w14:paraId="4941CB39" w14:textId="77777777" w:rsidR="00255A60" w:rsidRPr="00671706" w:rsidRDefault="00255A60" w:rsidP="00255A60">
            <w:pPr>
              <w:pStyle w:val="NoSpacing"/>
              <w:rPr>
                <w:rFonts w:ascii="Times New Roman" w:hAnsi="Times New Roman" w:cs="Times New Roman"/>
                <w:sz w:val="18"/>
                <w:szCs w:val="18"/>
              </w:rPr>
            </w:pPr>
          </w:p>
        </w:tc>
        <w:tc>
          <w:tcPr>
            <w:tcW w:w="494" w:type="pct"/>
            <w:tcBorders>
              <w:left w:val="nil"/>
              <w:bottom w:val="single" w:sz="4" w:space="0" w:color="auto"/>
            </w:tcBorders>
          </w:tcPr>
          <w:p w14:paraId="7C1E36E0" w14:textId="77777777" w:rsidR="00255A60" w:rsidRPr="00671706" w:rsidRDefault="00255A60" w:rsidP="00255A60">
            <w:pPr>
              <w:pStyle w:val="NoSpacing"/>
              <w:rPr>
                <w:rFonts w:ascii="Times New Roman" w:hAnsi="Times New Roman" w:cs="Times New Roman"/>
                <w:sz w:val="18"/>
                <w:szCs w:val="18"/>
              </w:rPr>
            </w:pPr>
          </w:p>
        </w:tc>
      </w:tr>
      <w:tr w:rsidR="00255A60" w:rsidRPr="008656BC" w14:paraId="72192870" w14:textId="77777777" w:rsidTr="003C313C">
        <w:trPr>
          <w:trHeight w:val="300"/>
          <w:jc w:val="center"/>
        </w:trPr>
        <w:tc>
          <w:tcPr>
            <w:tcW w:w="677" w:type="pct"/>
            <w:shd w:val="clear" w:color="auto" w:fill="auto"/>
            <w:noWrap/>
            <w:hideMark/>
          </w:tcPr>
          <w:p w14:paraId="167127C1" w14:textId="77777777" w:rsidR="00255A60"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MSK-HQ</w:t>
            </w:r>
          </w:p>
          <w:p w14:paraId="6E278996" w14:textId="0E0EC473"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(n=134)</w:t>
            </w:r>
          </w:p>
        </w:tc>
        <w:tc>
          <w:tcPr>
            <w:tcW w:w="617" w:type="pct"/>
          </w:tcPr>
          <w:p w14:paraId="04B492A4" w14:textId="121E2D67"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78</w:t>
            </w:r>
          </w:p>
        </w:tc>
        <w:tc>
          <w:tcPr>
            <w:tcW w:w="495" w:type="pct"/>
            <w:tcBorders>
              <w:right w:val="nil"/>
            </w:tcBorders>
            <w:shd w:val="clear" w:color="auto" w:fill="auto"/>
            <w:noWrap/>
          </w:tcPr>
          <w:p w14:paraId="34C578B8" w14:textId="77777777" w:rsidR="00255A60"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0.81</w:t>
            </w:r>
          </w:p>
          <w:p w14:paraId="7DD621A5" w14:textId="16B4F879"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(0.74, 0.88)</w:t>
            </w:r>
          </w:p>
        </w:tc>
        <w:tc>
          <w:tcPr>
            <w:tcW w:w="370" w:type="pct"/>
            <w:tcBorders>
              <w:left w:val="nil"/>
              <w:right w:val="nil"/>
            </w:tcBorders>
            <w:shd w:val="clear" w:color="auto" w:fill="auto"/>
            <w:noWrap/>
          </w:tcPr>
          <w:p w14:paraId="1AD5B559" w14:textId="0126011A"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6.50</w:t>
            </w:r>
          </w:p>
        </w:tc>
        <w:tc>
          <w:tcPr>
            <w:tcW w:w="494" w:type="pct"/>
            <w:tcBorders>
              <w:left w:val="nil"/>
              <w:right w:val="nil"/>
            </w:tcBorders>
            <w:shd w:val="clear" w:color="auto" w:fill="auto"/>
            <w:noWrap/>
          </w:tcPr>
          <w:p w14:paraId="139ADB4C" w14:textId="1BF6696D"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0.76/0.73</w:t>
            </w:r>
          </w:p>
        </w:tc>
        <w:tc>
          <w:tcPr>
            <w:tcW w:w="494" w:type="pct"/>
            <w:tcBorders>
              <w:left w:val="nil"/>
            </w:tcBorders>
          </w:tcPr>
          <w:p w14:paraId="36DB9C6C" w14:textId="7DBC904E"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55%</w:t>
            </w:r>
          </w:p>
        </w:tc>
        <w:tc>
          <w:tcPr>
            <w:tcW w:w="494" w:type="pct"/>
            <w:tcBorders>
              <w:right w:val="nil"/>
            </w:tcBorders>
          </w:tcPr>
          <w:p w14:paraId="7AC7B4C6" w14:textId="77777777" w:rsidR="00255A60"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0.75</w:t>
            </w:r>
          </w:p>
          <w:p w14:paraId="220C9C59" w14:textId="5A6F0292"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(0.67, 0.78)</w:t>
            </w:r>
          </w:p>
        </w:tc>
        <w:tc>
          <w:tcPr>
            <w:tcW w:w="370" w:type="pct"/>
            <w:tcBorders>
              <w:left w:val="nil"/>
              <w:right w:val="nil"/>
            </w:tcBorders>
          </w:tcPr>
          <w:p w14:paraId="58D6D640" w14:textId="118C331B"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15.76%</w:t>
            </w:r>
          </w:p>
        </w:tc>
        <w:tc>
          <w:tcPr>
            <w:tcW w:w="495" w:type="pct"/>
            <w:tcBorders>
              <w:left w:val="nil"/>
              <w:right w:val="nil"/>
            </w:tcBorders>
          </w:tcPr>
          <w:p w14:paraId="44E63FDF" w14:textId="40A442D1"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0.78/0.64</w:t>
            </w:r>
          </w:p>
        </w:tc>
        <w:tc>
          <w:tcPr>
            <w:tcW w:w="494" w:type="pct"/>
            <w:tcBorders>
              <w:left w:val="nil"/>
            </w:tcBorders>
          </w:tcPr>
          <w:p w14:paraId="502D3A0F" w14:textId="492A85D4"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60%</w:t>
            </w:r>
          </w:p>
        </w:tc>
      </w:tr>
      <w:tr w:rsidR="00255A60" w:rsidRPr="008656BC" w14:paraId="46F0CE0C" w14:textId="77777777" w:rsidTr="003C313C">
        <w:trPr>
          <w:trHeight w:val="300"/>
          <w:jc w:val="center"/>
        </w:trPr>
        <w:tc>
          <w:tcPr>
            <w:tcW w:w="677" w:type="pct"/>
            <w:shd w:val="clear" w:color="auto" w:fill="auto"/>
            <w:noWrap/>
            <w:hideMark/>
          </w:tcPr>
          <w:p w14:paraId="4A314C78" w14:textId="2A900010" w:rsidR="00255A60" w:rsidRPr="00671706" w:rsidRDefault="00255A60" w:rsidP="00255A60">
            <w:pPr>
              <w:pStyle w:val="NoSpacing"/>
              <w:tabs>
                <w:tab w:val="right" w:pos="3186"/>
              </w:tabs>
              <w:rPr>
                <w:rFonts w:ascii="Times New Roman" w:hAnsi="Times New Roman" w:cs="Times New Roman"/>
                <w:sz w:val="18"/>
                <w:szCs w:val="18"/>
              </w:rPr>
            </w:pPr>
            <w:r w:rsidRPr="00671706">
              <w:rPr>
                <w:rFonts w:ascii="Times New Roman" w:hAnsi="Times New Roman" w:cs="Times New Roman"/>
                <w:sz w:val="18"/>
                <w:szCs w:val="18"/>
              </w:rPr>
              <w:t>EQ-5D-5L (n=128)</w:t>
            </w:r>
          </w:p>
        </w:tc>
        <w:tc>
          <w:tcPr>
            <w:tcW w:w="617" w:type="pct"/>
          </w:tcPr>
          <w:p w14:paraId="722F9B2D" w14:textId="693FF335"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79</w:t>
            </w:r>
          </w:p>
        </w:tc>
        <w:tc>
          <w:tcPr>
            <w:tcW w:w="495" w:type="pct"/>
            <w:tcBorders>
              <w:right w:val="nil"/>
            </w:tcBorders>
            <w:shd w:val="clear" w:color="auto" w:fill="auto"/>
            <w:noWrap/>
          </w:tcPr>
          <w:p w14:paraId="30A75A02" w14:textId="77777777" w:rsidR="00255A60"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0.69</w:t>
            </w:r>
          </w:p>
          <w:p w14:paraId="604F7421" w14:textId="1F34DB6A"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(0.60, 0.79)</w:t>
            </w:r>
          </w:p>
        </w:tc>
        <w:tc>
          <w:tcPr>
            <w:tcW w:w="370" w:type="pct"/>
            <w:tcBorders>
              <w:left w:val="nil"/>
              <w:right w:val="nil"/>
            </w:tcBorders>
            <w:shd w:val="clear" w:color="auto" w:fill="auto"/>
            <w:noWrap/>
          </w:tcPr>
          <w:p w14:paraId="6326FC57" w14:textId="21D85B92"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0.03</w:t>
            </w:r>
          </w:p>
        </w:tc>
        <w:tc>
          <w:tcPr>
            <w:tcW w:w="494" w:type="pct"/>
            <w:tcBorders>
              <w:left w:val="nil"/>
              <w:right w:val="nil"/>
            </w:tcBorders>
            <w:shd w:val="clear" w:color="auto" w:fill="auto"/>
            <w:noWrap/>
          </w:tcPr>
          <w:p w14:paraId="69AB7416" w14:textId="4C1B6C19"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0.73/0.58</w:t>
            </w:r>
          </w:p>
        </w:tc>
        <w:tc>
          <w:tcPr>
            <w:tcW w:w="494" w:type="pct"/>
            <w:tcBorders>
              <w:left w:val="nil"/>
            </w:tcBorders>
          </w:tcPr>
          <w:p w14:paraId="71917211" w14:textId="7C5B8446"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61%</w:t>
            </w:r>
          </w:p>
        </w:tc>
        <w:tc>
          <w:tcPr>
            <w:tcW w:w="494" w:type="pct"/>
            <w:tcBorders>
              <w:right w:val="nil"/>
            </w:tcBorders>
          </w:tcPr>
          <w:p w14:paraId="1C346C16" w14:textId="77777777" w:rsidR="00255A60"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0.70</w:t>
            </w:r>
          </w:p>
          <w:p w14:paraId="73D1DC9A" w14:textId="22234549"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(0.60, 0.70)</w:t>
            </w:r>
          </w:p>
        </w:tc>
        <w:tc>
          <w:tcPr>
            <w:tcW w:w="370" w:type="pct"/>
            <w:tcBorders>
              <w:left w:val="nil"/>
              <w:right w:val="nil"/>
            </w:tcBorders>
          </w:tcPr>
          <w:p w14:paraId="5508E579" w14:textId="4AF605C5"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3.03%</w:t>
            </w:r>
          </w:p>
        </w:tc>
        <w:tc>
          <w:tcPr>
            <w:tcW w:w="495" w:type="pct"/>
            <w:tcBorders>
              <w:left w:val="nil"/>
              <w:right w:val="nil"/>
            </w:tcBorders>
          </w:tcPr>
          <w:p w14:paraId="51583197" w14:textId="7B535900"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0.74/0.64</w:t>
            </w:r>
          </w:p>
        </w:tc>
        <w:tc>
          <w:tcPr>
            <w:tcW w:w="494" w:type="pct"/>
            <w:tcBorders>
              <w:left w:val="nil"/>
            </w:tcBorders>
          </w:tcPr>
          <w:p w14:paraId="3F735781" w14:textId="228BAB46"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59%</w:t>
            </w:r>
          </w:p>
        </w:tc>
      </w:tr>
      <w:tr w:rsidR="00255A60" w:rsidRPr="008656BC" w14:paraId="555E0C05" w14:textId="77777777" w:rsidTr="003C313C">
        <w:trPr>
          <w:trHeight w:val="300"/>
          <w:jc w:val="center"/>
        </w:trPr>
        <w:tc>
          <w:tcPr>
            <w:tcW w:w="677" w:type="pct"/>
            <w:tcBorders>
              <w:bottom w:val="single" w:sz="4" w:space="0" w:color="auto"/>
            </w:tcBorders>
            <w:shd w:val="clear" w:color="auto" w:fill="auto"/>
            <w:noWrap/>
          </w:tcPr>
          <w:p w14:paraId="3AE86C4D" w14:textId="77777777" w:rsidR="00255A60"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RMDQ</w:t>
            </w:r>
          </w:p>
          <w:p w14:paraId="1F1D8890" w14:textId="018F90C1"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(n=136)</w:t>
            </w:r>
          </w:p>
        </w:tc>
        <w:tc>
          <w:tcPr>
            <w:tcW w:w="617" w:type="pct"/>
            <w:tcBorders>
              <w:bottom w:val="single" w:sz="4" w:space="0" w:color="auto"/>
            </w:tcBorders>
          </w:tcPr>
          <w:p w14:paraId="4CFEFDD6" w14:textId="4F7C732A"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79</w:t>
            </w:r>
          </w:p>
        </w:tc>
        <w:tc>
          <w:tcPr>
            <w:tcW w:w="495" w:type="pct"/>
            <w:tcBorders>
              <w:bottom w:val="single" w:sz="4" w:space="0" w:color="auto"/>
              <w:right w:val="nil"/>
            </w:tcBorders>
            <w:shd w:val="clear" w:color="auto" w:fill="auto"/>
            <w:noWrap/>
          </w:tcPr>
          <w:p w14:paraId="5F540A6D" w14:textId="77777777" w:rsidR="00255A60"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0.74</w:t>
            </w:r>
          </w:p>
          <w:p w14:paraId="4B0CCCDC" w14:textId="3620D389"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(0.65, 0.82)</w:t>
            </w:r>
          </w:p>
        </w:tc>
        <w:tc>
          <w:tcPr>
            <w:tcW w:w="370" w:type="pct"/>
            <w:tcBorders>
              <w:left w:val="nil"/>
              <w:bottom w:val="single" w:sz="4" w:space="0" w:color="auto"/>
              <w:right w:val="nil"/>
            </w:tcBorders>
            <w:shd w:val="clear" w:color="auto" w:fill="auto"/>
            <w:noWrap/>
          </w:tcPr>
          <w:p w14:paraId="451BF7E0" w14:textId="127C42C1"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-2.50</w:t>
            </w:r>
          </w:p>
        </w:tc>
        <w:tc>
          <w:tcPr>
            <w:tcW w:w="494" w:type="pct"/>
            <w:tcBorders>
              <w:left w:val="nil"/>
              <w:bottom w:val="single" w:sz="4" w:space="0" w:color="auto"/>
              <w:right w:val="nil"/>
            </w:tcBorders>
            <w:shd w:val="clear" w:color="auto" w:fill="auto"/>
            <w:noWrap/>
          </w:tcPr>
          <w:p w14:paraId="5D01320D" w14:textId="24FAE978"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0.63/0.74</w:t>
            </w:r>
          </w:p>
        </w:tc>
        <w:tc>
          <w:tcPr>
            <w:tcW w:w="494" w:type="pct"/>
            <w:tcBorders>
              <w:left w:val="nil"/>
              <w:bottom w:val="single" w:sz="4" w:space="0" w:color="auto"/>
            </w:tcBorders>
          </w:tcPr>
          <w:p w14:paraId="11EA0939" w14:textId="24A78083"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52%</w:t>
            </w:r>
          </w:p>
        </w:tc>
        <w:tc>
          <w:tcPr>
            <w:tcW w:w="494" w:type="pct"/>
            <w:tcBorders>
              <w:bottom w:val="single" w:sz="4" w:space="0" w:color="auto"/>
              <w:right w:val="nil"/>
            </w:tcBorders>
          </w:tcPr>
          <w:p w14:paraId="337E1E34" w14:textId="77777777" w:rsidR="00255A60"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0.79</w:t>
            </w:r>
          </w:p>
          <w:p w14:paraId="5A7083C8" w14:textId="085975AE"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(0.71, 0.87)</w:t>
            </w:r>
          </w:p>
        </w:tc>
        <w:tc>
          <w:tcPr>
            <w:tcW w:w="370" w:type="pct"/>
            <w:tcBorders>
              <w:left w:val="nil"/>
              <w:bottom w:val="single" w:sz="4" w:space="0" w:color="auto"/>
              <w:right w:val="nil"/>
            </w:tcBorders>
          </w:tcPr>
          <w:p w14:paraId="297C72B7" w14:textId="1CC94D6D"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-24.04%</w:t>
            </w:r>
          </w:p>
        </w:tc>
        <w:tc>
          <w:tcPr>
            <w:tcW w:w="495" w:type="pct"/>
            <w:tcBorders>
              <w:left w:val="nil"/>
              <w:bottom w:val="single" w:sz="4" w:space="0" w:color="auto"/>
              <w:right w:val="nil"/>
            </w:tcBorders>
          </w:tcPr>
          <w:p w14:paraId="26498EE7" w14:textId="6E9367AD"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0.79/0.75</w:t>
            </w:r>
          </w:p>
        </w:tc>
        <w:tc>
          <w:tcPr>
            <w:tcW w:w="494" w:type="pct"/>
            <w:tcBorders>
              <w:left w:val="nil"/>
              <w:bottom w:val="single" w:sz="4" w:space="0" w:color="auto"/>
            </w:tcBorders>
          </w:tcPr>
          <w:p w14:paraId="6EFC0523" w14:textId="3AAF58EC"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44%</w:t>
            </w:r>
          </w:p>
        </w:tc>
      </w:tr>
      <w:tr w:rsidR="00C77FF3" w:rsidRPr="008656BC" w14:paraId="47499B61" w14:textId="77777777" w:rsidTr="003C313C">
        <w:trPr>
          <w:trHeight w:val="300"/>
          <w:jc w:val="center"/>
        </w:trPr>
        <w:tc>
          <w:tcPr>
            <w:tcW w:w="677" w:type="pct"/>
            <w:tcBorders>
              <w:right w:val="nil"/>
            </w:tcBorders>
            <w:shd w:val="clear" w:color="auto" w:fill="auto"/>
            <w:noWrap/>
          </w:tcPr>
          <w:p w14:paraId="140002D9" w14:textId="77777777" w:rsidR="007E68DB" w:rsidRPr="00671706" w:rsidRDefault="007E68DB" w:rsidP="00622715">
            <w:pPr>
              <w:pStyle w:val="NoSpacing"/>
              <w:rPr>
                <w:rFonts w:ascii="Times New Roman" w:hAnsi="Times New Roman" w:cs="Times New Roman"/>
                <w:b/>
                <w:sz w:val="18"/>
                <w:szCs w:val="18"/>
              </w:rPr>
            </w:pPr>
            <w:r w:rsidRPr="00671706">
              <w:rPr>
                <w:rFonts w:ascii="Times New Roman" w:hAnsi="Times New Roman" w:cs="Times New Roman"/>
                <w:b/>
                <w:sz w:val="18"/>
                <w:szCs w:val="18"/>
              </w:rPr>
              <w:t>Neck Pain</w:t>
            </w:r>
          </w:p>
        </w:tc>
        <w:tc>
          <w:tcPr>
            <w:tcW w:w="617" w:type="pct"/>
            <w:tcBorders>
              <w:left w:val="nil"/>
              <w:right w:val="nil"/>
            </w:tcBorders>
          </w:tcPr>
          <w:p w14:paraId="1BA7DD13" w14:textId="77777777" w:rsidR="007E68DB" w:rsidRPr="00671706" w:rsidRDefault="007E68DB" w:rsidP="00622715">
            <w:pPr>
              <w:pStyle w:val="NoSpacing"/>
              <w:rPr>
                <w:rFonts w:ascii="Times New Roman" w:hAnsi="Times New Roman" w:cs="Times New Roman"/>
                <w:sz w:val="18"/>
                <w:szCs w:val="18"/>
              </w:rPr>
            </w:pPr>
          </w:p>
        </w:tc>
        <w:tc>
          <w:tcPr>
            <w:tcW w:w="495" w:type="pct"/>
            <w:tcBorders>
              <w:left w:val="nil"/>
              <w:bottom w:val="single" w:sz="4" w:space="0" w:color="auto"/>
              <w:right w:val="nil"/>
            </w:tcBorders>
            <w:shd w:val="clear" w:color="auto" w:fill="auto"/>
            <w:noWrap/>
          </w:tcPr>
          <w:p w14:paraId="5F79E8F1" w14:textId="6D5CC96A" w:rsidR="007E68DB" w:rsidRPr="00671706" w:rsidRDefault="007E68DB" w:rsidP="00622715">
            <w:pPr>
              <w:pStyle w:val="NoSpacing"/>
              <w:rPr>
                <w:rFonts w:ascii="Times New Roman" w:hAnsi="Times New Roman" w:cs="Times New Roman"/>
                <w:sz w:val="18"/>
                <w:szCs w:val="18"/>
              </w:rPr>
            </w:pPr>
          </w:p>
        </w:tc>
        <w:tc>
          <w:tcPr>
            <w:tcW w:w="370" w:type="pct"/>
            <w:tcBorders>
              <w:left w:val="nil"/>
              <w:bottom w:val="single" w:sz="4" w:space="0" w:color="auto"/>
              <w:right w:val="nil"/>
            </w:tcBorders>
            <w:shd w:val="clear" w:color="auto" w:fill="auto"/>
            <w:noWrap/>
          </w:tcPr>
          <w:p w14:paraId="62EA4289" w14:textId="77777777" w:rsidR="007E68DB" w:rsidRPr="00671706" w:rsidRDefault="007E68DB" w:rsidP="00622715">
            <w:pPr>
              <w:pStyle w:val="NoSpacing"/>
              <w:rPr>
                <w:rFonts w:ascii="Times New Roman" w:hAnsi="Times New Roman" w:cs="Times New Roman"/>
                <w:sz w:val="18"/>
                <w:szCs w:val="18"/>
              </w:rPr>
            </w:pPr>
          </w:p>
        </w:tc>
        <w:tc>
          <w:tcPr>
            <w:tcW w:w="494" w:type="pct"/>
            <w:tcBorders>
              <w:left w:val="nil"/>
              <w:bottom w:val="single" w:sz="4" w:space="0" w:color="auto"/>
              <w:right w:val="nil"/>
            </w:tcBorders>
            <w:shd w:val="clear" w:color="auto" w:fill="auto"/>
            <w:noWrap/>
          </w:tcPr>
          <w:p w14:paraId="50076B91" w14:textId="77777777" w:rsidR="007E68DB" w:rsidRPr="00671706" w:rsidRDefault="007E68DB" w:rsidP="00622715">
            <w:pPr>
              <w:pStyle w:val="NoSpacing"/>
              <w:rPr>
                <w:rFonts w:ascii="Times New Roman" w:hAnsi="Times New Roman" w:cs="Times New Roman"/>
                <w:sz w:val="18"/>
                <w:szCs w:val="18"/>
              </w:rPr>
            </w:pPr>
          </w:p>
        </w:tc>
        <w:tc>
          <w:tcPr>
            <w:tcW w:w="494" w:type="pct"/>
            <w:tcBorders>
              <w:left w:val="nil"/>
              <w:bottom w:val="single" w:sz="4" w:space="0" w:color="auto"/>
              <w:right w:val="nil"/>
            </w:tcBorders>
          </w:tcPr>
          <w:p w14:paraId="47B685CC" w14:textId="77777777" w:rsidR="007E68DB" w:rsidRPr="00671706" w:rsidRDefault="007E68DB" w:rsidP="00622715">
            <w:pPr>
              <w:pStyle w:val="NoSpacing"/>
              <w:rPr>
                <w:rFonts w:ascii="Times New Roman" w:hAnsi="Times New Roman" w:cs="Times New Roman"/>
                <w:sz w:val="18"/>
                <w:szCs w:val="18"/>
              </w:rPr>
            </w:pPr>
          </w:p>
        </w:tc>
        <w:tc>
          <w:tcPr>
            <w:tcW w:w="494" w:type="pct"/>
            <w:tcBorders>
              <w:left w:val="nil"/>
              <w:bottom w:val="single" w:sz="4" w:space="0" w:color="auto"/>
              <w:right w:val="nil"/>
            </w:tcBorders>
          </w:tcPr>
          <w:p w14:paraId="4037C112" w14:textId="77777777" w:rsidR="007E68DB" w:rsidRPr="00671706" w:rsidRDefault="007E68DB" w:rsidP="00622715">
            <w:pPr>
              <w:pStyle w:val="NoSpacing"/>
              <w:rPr>
                <w:rFonts w:ascii="Times New Roman" w:hAnsi="Times New Roman" w:cs="Times New Roman"/>
                <w:sz w:val="18"/>
                <w:szCs w:val="18"/>
              </w:rPr>
            </w:pPr>
          </w:p>
        </w:tc>
        <w:tc>
          <w:tcPr>
            <w:tcW w:w="370" w:type="pct"/>
            <w:tcBorders>
              <w:left w:val="nil"/>
              <w:bottom w:val="single" w:sz="4" w:space="0" w:color="auto"/>
              <w:right w:val="nil"/>
            </w:tcBorders>
          </w:tcPr>
          <w:p w14:paraId="35F6A0D6" w14:textId="77777777" w:rsidR="007E68DB" w:rsidRPr="00671706" w:rsidRDefault="007E68DB" w:rsidP="00622715">
            <w:pPr>
              <w:pStyle w:val="NoSpacing"/>
              <w:rPr>
                <w:rFonts w:ascii="Times New Roman" w:hAnsi="Times New Roman" w:cs="Times New Roman"/>
                <w:sz w:val="18"/>
                <w:szCs w:val="18"/>
              </w:rPr>
            </w:pPr>
          </w:p>
        </w:tc>
        <w:tc>
          <w:tcPr>
            <w:tcW w:w="495" w:type="pct"/>
            <w:tcBorders>
              <w:left w:val="nil"/>
              <w:bottom w:val="single" w:sz="4" w:space="0" w:color="auto"/>
              <w:right w:val="nil"/>
            </w:tcBorders>
          </w:tcPr>
          <w:p w14:paraId="51850EA7" w14:textId="77777777" w:rsidR="007E68DB" w:rsidRPr="00671706" w:rsidRDefault="007E68DB" w:rsidP="00622715">
            <w:pPr>
              <w:pStyle w:val="NoSpacing"/>
              <w:rPr>
                <w:rFonts w:ascii="Times New Roman" w:hAnsi="Times New Roman" w:cs="Times New Roman"/>
                <w:sz w:val="18"/>
                <w:szCs w:val="18"/>
              </w:rPr>
            </w:pPr>
          </w:p>
        </w:tc>
        <w:tc>
          <w:tcPr>
            <w:tcW w:w="494" w:type="pct"/>
            <w:tcBorders>
              <w:left w:val="nil"/>
              <w:bottom w:val="single" w:sz="4" w:space="0" w:color="auto"/>
            </w:tcBorders>
          </w:tcPr>
          <w:p w14:paraId="788FFF7F" w14:textId="77777777" w:rsidR="007E68DB" w:rsidRPr="00671706" w:rsidRDefault="007E68DB" w:rsidP="00622715">
            <w:pPr>
              <w:pStyle w:val="NoSpacing"/>
              <w:rPr>
                <w:rFonts w:ascii="Times New Roman" w:hAnsi="Times New Roman" w:cs="Times New Roman"/>
                <w:sz w:val="18"/>
                <w:szCs w:val="18"/>
              </w:rPr>
            </w:pPr>
          </w:p>
        </w:tc>
      </w:tr>
      <w:tr w:rsidR="00C77FF3" w:rsidRPr="008656BC" w14:paraId="2F58CB51" w14:textId="77777777" w:rsidTr="003C313C">
        <w:trPr>
          <w:trHeight w:val="300"/>
          <w:jc w:val="center"/>
        </w:trPr>
        <w:tc>
          <w:tcPr>
            <w:tcW w:w="677" w:type="pct"/>
            <w:shd w:val="clear" w:color="auto" w:fill="auto"/>
            <w:noWrap/>
            <w:hideMark/>
          </w:tcPr>
          <w:p w14:paraId="14E43ECA" w14:textId="77777777" w:rsidR="00B467FE"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MSK-HQ</w:t>
            </w:r>
          </w:p>
          <w:p w14:paraId="6DDAB5F9" w14:textId="383A05C6"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(n=51)</w:t>
            </w:r>
          </w:p>
        </w:tc>
        <w:tc>
          <w:tcPr>
            <w:tcW w:w="617" w:type="pct"/>
          </w:tcPr>
          <w:p w14:paraId="4678FC2B" w14:textId="4F4DDE1B" w:rsidR="007E68DB" w:rsidRPr="00671706" w:rsidRDefault="0085423F"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36</w:t>
            </w:r>
          </w:p>
        </w:tc>
        <w:tc>
          <w:tcPr>
            <w:tcW w:w="495" w:type="pct"/>
            <w:tcBorders>
              <w:right w:val="nil"/>
            </w:tcBorders>
            <w:shd w:val="clear" w:color="auto" w:fill="auto"/>
            <w:noWrap/>
          </w:tcPr>
          <w:p w14:paraId="33D6E727" w14:textId="24FC3C8C" w:rsidR="008656BC" w:rsidRDefault="007E68DB" w:rsidP="00B467FE">
            <w:pPr>
              <w:pStyle w:val="NoSpacing"/>
              <w:rPr>
                <w:rFonts w:ascii="Times New Roman" w:hAnsi="Times New Roman" w:cs="Times New Roman"/>
                <w:sz w:val="18"/>
                <w:szCs w:val="18"/>
              </w:rPr>
            </w:pPr>
            <w:r w:rsidRPr="00671706">
              <w:rPr>
                <w:rFonts w:ascii="Times New Roman" w:hAnsi="Times New Roman" w:cs="Times New Roman"/>
                <w:sz w:val="18"/>
                <w:szCs w:val="18"/>
              </w:rPr>
              <w:t>0.75</w:t>
            </w:r>
          </w:p>
          <w:p w14:paraId="7A83F436" w14:textId="0944EA23" w:rsidR="007E68DB" w:rsidRPr="00671706" w:rsidRDefault="007E68DB" w:rsidP="00B467FE">
            <w:pPr>
              <w:pStyle w:val="NoSpacing"/>
              <w:rPr>
                <w:rFonts w:ascii="Times New Roman" w:hAnsi="Times New Roman" w:cs="Times New Roman"/>
                <w:sz w:val="18"/>
                <w:szCs w:val="18"/>
              </w:rPr>
            </w:pPr>
            <w:r w:rsidRPr="00671706">
              <w:rPr>
                <w:rFonts w:ascii="Times New Roman" w:hAnsi="Times New Roman" w:cs="Times New Roman"/>
                <w:sz w:val="18"/>
                <w:szCs w:val="18"/>
              </w:rPr>
              <w:t>(0.59, 0.81)</w:t>
            </w:r>
          </w:p>
        </w:tc>
        <w:tc>
          <w:tcPr>
            <w:tcW w:w="370" w:type="pct"/>
            <w:tcBorders>
              <w:left w:val="nil"/>
              <w:right w:val="nil"/>
            </w:tcBorders>
            <w:shd w:val="clear" w:color="auto" w:fill="auto"/>
            <w:noWrap/>
          </w:tcPr>
          <w:p w14:paraId="333CA50B"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4.50</w:t>
            </w:r>
          </w:p>
        </w:tc>
        <w:tc>
          <w:tcPr>
            <w:tcW w:w="494" w:type="pct"/>
            <w:tcBorders>
              <w:left w:val="nil"/>
              <w:right w:val="nil"/>
            </w:tcBorders>
            <w:shd w:val="clear" w:color="auto" w:fill="auto"/>
            <w:noWrap/>
          </w:tcPr>
          <w:p w14:paraId="3894605A"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0.81/0.67</w:t>
            </w:r>
          </w:p>
        </w:tc>
        <w:tc>
          <w:tcPr>
            <w:tcW w:w="494" w:type="pct"/>
            <w:tcBorders>
              <w:left w:val="nil"/>
            </w:tcBorders>
          </w:tcPr>
          <w:p w14:paraId="2F412FDE"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67%</w:t>
            </w:r>
          </w:p>
        </w:tc>
        <w:tc>
          <w:tcPr>
            <w:tcW w:w="494" w:type="pct"/>
            <w:tcBorders>
              <w:right w:val="nil"/>
            </w:tcBorders>
          </w:tcPr>
          <w:p w14:paraId="339DBC07" w14:textId="77777777" w:rsidR="00B467FE"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0.70</w:t>
            </w:r>
          </w:p>
          <w:p w14:paraId="72D622F3" w14:textId="7BAB8280"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(0.52, 0.87)</w:t>
            </w:r>
          </w:p>
        </w:tc>
        <w:tc>
          <w:tcPr>
            <w:tcW w:w="370" w:type="pct"/>
            <w:tcBorders>
              <w:left w:val="nil"/>
              <w:right w:val="nil"/>
            </w:tcBorders>
          </w:tcPr>
          <w:p w14:paraId="1C07B32C"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14.91%</w:t>
            </w:r>
          </w:p>
        </w:tc>
        <w:tc>
          <w:tcPr>
            <w:tcW w:w="495" w:type="pct"/>
            <w:tcBorders>
              <w:left w:val="nil"/>
              <w:right w:val="nil"/>
            </w:tcBorders>
          </w:tcPr>
          <w:p w14:paraId="6E71723A"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0.75/0.67</w:t>
            </w:r>
          </w:p>
        </w:tc>
        <w:tc>
          <w:tcPr>
            <w:tcW w:w="494" w:type="pct"/>
            <w:tcBorders>
              <w:left w:val="nil"/>
            </w:tcBorders>
          </w:tcPr>
          <w:p w14:paraId="113813B5"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63%</w:t>
            </w:r>
          </w:p>
        </w:tc>
      </w:tr>
      <w:tr w:rsidR="00C77FF3" w:rsidRPr="008656BC" w14:paraId="75A0A06E" w14:textId="77777777" w:rsidTr="003C313C">
        <w:trPr>
          <w:trHeight w:val="300"/>
          <w:jc w:val="center"/>
        </w:trPr>
        <w:tc>
          <w:tcPr>
            <w:tcW w:w="677" w:type="pct"/>
            <w:shd w:val="clear" w:color="auto" w:fill="auto"/>
            <w:noWrap/>
            <w:hideMark/>
          </w:tcPr>
          <w:p w14:paraId="0849506E" w14:textId="77777777" w:rsidR="00B467FE"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EQ-5D-5L</w:t>
            </w:r>
          </w:p>
          <w:p w14:paraId="7C7C9D9E" w14:textId="7DBA58D0"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(n=50)</w:t>
            </w:r>
          </w:p>
        </w:tc>
        <w:tc>
          <w:tcPr>
            <w:tcW w:w="617" w:type="pct"/>
          </w:tcPr>
          <w:p w14:paraId="7A778E16" w14:textId="55BD6C10" w:rsidR="007E68DB" w:rsidRPr="00671706" w:rsidRDefault="0085423F"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36</w:t>
            </w:r>
          </w:p>
        </w:tc>
        <w:tc>
          <w:tcPr>
            <w:tcW w:w="495" w:type="pct"/>
            <w:tcBorders>
              <w:right w:val="nil"/>
            </w:tcBorders>
            <w:shd w:val="clear" w:color="auto" w:fill="auto"/>
            <w:noWrap/>
          </w:tcPr>
          <w:p w14:paraId="1AAAC547" w14:textId="70EE2E8D" w:rsidR="008656BC" w:rsidRDefault="007E68DB" w:rsidP="00B467FE">
            <w:pPr>
              <w:pStyle w:val="NoSpacing"/>
              <w:rPr>
                <w:rFonts w:ascii="Times New Roman" w:hAnsi="Times New Roman" w:cs="Times New Roman"/>
                <w:sz w:val="18"/>
                <w:szCs w:val="18"/>
              </w:rPr>
            </w:pPr>
            <w:r w:rsidRPr="00671706">
              <w:rPr>
                <w:rFonts w:ascii="Times New Roman" w:hAnsi="Times New Roman" w:cs="Times New Roman"/>
                <w:sz w:val="18"/>
                <w:szCs w:val="18"/>
              </w:rPr>
              <w:t>0.49</w:t>
            </w:r>
          </w:p>
          <w:p w14:paraId="53B7A345" w14:textId="6D957B5E" w:rsidR="007E68DB" w:rsidRPr="00671706" w:rsidRDefault="007E68DB" w:rsidP="00B467FE">
            <w:pPr>
              <w:pStyle w:val="NoSpacing"/>
              <w:rPr>
                <w:rFonts w:ascii="Times New Roman" w:hAnsi="Times New Roman" w:cs="Times New Roman"/>
                <w:sz w:val="18"/>
                <w:szCs w:val="18"/>
              </w:rPr>
            </w:pPr>
            <w:r w:rsidRPr="00671706">
              <w:rPr>
                <w:rFonts w:ascii="Times New Roman" w:hAnsi="Times New Roman" w:cs="Times New Roman"/>
                <w:sz w:val="18"/>
                <w:szCs w:val="18"/>
              </w:rPr>
              <w:t>(0.32, 0.66)</w:t>
            </w:r>
          </w:p>
        </w:tc>
        <w:tc>
          <w:tcPr>
            <w:tcW w:w="370" w:type="pct"/>
            <w:tcBorders>
              <w:left w:val="nil"/>
              <w:right w:val="nil"/>
            </w:tcBorders>
            <w:shd w:val="clear" w:color="auto" w:fill="auto"/>
            <w:noWrap/>
          </w:tcPr>
          <w:p w14:paraId="46FF650F"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0.04</w:t>
            </w:r>
          </w:p>
        </w:tc>
        <w:tc>
          <w:tcPr>
            <w:tcW w:w="494" w:type="pct"/>
            <w:tcBorders>
              <w:left w:val="nil"/>
              <w:right w:val="nil"/>
            </w:tcBorders>
            <w:shd w:val="clear" w:color="auto" w:fill="auto"/>
            <w:noWrap/>
          </w:tcPr>
          <w:p w14:paraId="4ED4C5DE"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0.54/0.53</w:t>
            </w:r>
          </w:p>
        </w:tc>
        <w:tc>
          <w:tcPr>
            <w:tcW w:w="494" w:type="pct"/>
            <w:tcBorders>
              <w:left w:val="nil"/>
            </w:tcBorders>
          </w:tcPr>
          <w:p w14:paraId="53B7B22F"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52%</w:t>
            </w:r>
          </w:p>
        </w:tc>
        <w:tc>
          <w:tcPr>
            <w:tcW w:w="494" w:type="pct"/>
            <w:tcBorders>
              <w:right w:val="nil"/>
            </w:tcBorders>
          </w:tcPr>
          <w:p w14:paraId="69238186" w14:textId="7C7CD553" w:rsidR="00B467FE" w:rsidRDefault="007E68DB" w:rsidP="00B467FE">
            <w:pPr>
              <w:pStyle w:val="NoSpacing"/>
              <w:rPr>
                <w:rFonts w:ascii="Times New Roman" w:hAnsi="Times New Roman" w:cs="Times New Roman"/>
                <w:sz w:val="18"/>
                <w:szCs w:val="18"/>
              </w:rPr>
            </w:pPr>
            <w:r w:rsidRPr="00671706">
              <w:rPr>
                <w:rFonts w:ascii="Times New Roman" w:hAnsi="Times New Roman" w:cs="Times New Roman"/>
                <w:sz w:val="18"/>
                <w:szCs w:val="18"/>
              </w:rPr>
              <w:t>0.50</w:t>
            </w:r>
          </w:p>
          <w:p w14:paraId="493B9B6D" w14:textId="3AAF10C7" w:rsidR="007E68DB" w:rsidRPr="00671706" w:rsidRDefault="007E68DB" w:rsidP="00B467FE">
            <w:pPr>
              <w:pStyle w:val="NoSpacing"/>
              <w:rPr>
                <w:rFonts w:ascii="Times New Roman" w:hAnsi="Times New Roman" w:cs="Times New Roman"/>
                <w:sz w:val="18"/>
                <w:szCs w:val="18"/>
              </w:rPr>
            </w:pPr>
            <w:r w:rsidRPr="00671706">
              <w:rPr>
                <w:rFonts w:ascii="Times New Roman" w:hAnsi="Times New Roman" w:cs="Times New Roman"/>
                <w:sz w:val="18"/>
                <w:szCs w:val="18"/>
              </w:rPr>
              <w:t>(0.31, 0.68)</w:t>
            </w:r>
          </w:p>
        </w:tc>
        <w:tc>
          <w:tcPr>
            <w:tcW w:w="370" w:type="pct"/>
            <w:tcBorders>
              <w:left w:val="nil"/>
              <w:right w:val="nil"/>
            </w:tcBorders>
          </w:tcPr>
          <w:p w14:paraId="0EC68316"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4.90%</w:t>
            </w:r>
          </w:p>
        </w:tc>
        <w:tc>
          <w:tcPr>
            <w:tcW w:w="495" w:type="pct"/>
            <w:tcBorders>
              <w:left w:val="nil"/>
              <w:right w:val="nil"/>
            </w:tcBorders>
          </w:tcPr>
          <w:p w14:paraId="709F9857"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0.54/0.60</w:t>
            </w:r>
          </w:p>
        </w:tc>
        <w:tc>
          <w:tcPr>
            <w:tcW w:w="494" w:type="pct"/>
            <w:tcBorders>
              <w:left w:val="nil"/>
            </w:tcBorders>
          </w:tcPr>
          <w:p w14:paraId="35A42809"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50%</w:t>
            </w:r>
          </w:p>
        </w:tc>
      </w:tr>
      <w:tr w:rsidR="00C77FF3" w:rsidRPr="008656BC" w14:paraId="7A69F2EE" w14:textId="77777777" w:rsidTr="003C313C">
        <w:trPr>
          <w:trHeight w:val="300"/>
          <w:jc w:val="center"/>
        </w:trPr>
        <w:tc>
          <w:tcPr>
            <w:tcW w:w="677" w:type="pct"/>
            <w:tcBorders>
              <w:bottom w:val="single" w:sz="4" w:space="0" w:color="auto"/>
            </w:tcBorders>
            <w:shd w:val="clear" w:color="auto" w:fill="auto"/>
            <w:noWrap/>
            <w:hideMark/>
          </w:tcPr>
          <w:p w14:paraId="184A2450" w14:textId="5C10C5F7" w:rsidR="00B467FE" w:rsidRDefault="007E68DB" w:rsidP="00B467FE">
            <w:pPr>
              <w:pStyle w:val="NoSpacing"/>
              <w:rPr>
                <w:rFonts w:ascii="Times New Roman" w:hAnsi="Times New Roman" w:cs="Times New Roman"/>
                <w:sz w:val="18"/>
                <w:szCs w:val="18"/>
              </w:rPr>
            </w:pPr>
            <w:r w:rsidRPr="00671706">
              <w:rPr>
                <w:rFonts w:ascii="Times New Roman" w:hAnsi="Times New Roman" w:cs="Times New Roman"/>
                <w:sz w:val="18"/>
                <w:szCs w:val="18"/>
              </w:rPr>
              <w:t>NDI</w:t>
            </w:r>
          </w:p>
          <w:p w14:paraId="2E37A0E3" w14:textId="1BE416C4" w:rsidR="007E68DB" w:rsidRPr="00671706" w:rsidRDefault="007E68DB" w:rsidP="00B467FE">
            <w:pPr>
              <w:pStyle w:val="NoSpacing"/>
              <w:rPr>
                <w:rFonts w:ascii="Times New Roman" w:hAnsi="Times New Roman" w:cs="Times New Roman"/>
                <w:sz w:val="18"/>
                <w:szCs w:val="18"/>
              </w:rPr>
            </w:pPr>
            <w:r w:rsidRPr="00671706">
              <w:rPr>
                <w:rFonts w:ascii="Times New Roman" w:hAnsi="Times New Roman" w:cs="Times New Roman"/>
                <w:sz w:val="18"/>
                <w:szCs w:val="18"/>
              </w:rPr>
              <w:t>(n=51)</w:t>
            </w:r>
          </w:p>
        </w:tc>
        <w:tc>
          <w:tcPr>
            <w:tcW w:w="617" w:type="pct"/>
            <w:tcBorders>
              <w:bottom w:val="single" w:sz="4" w:space="0" w:color="auto"/>
            </w:tcBorders>
          </w:tcPr>
          <w:p w14:paraId="37EE3611" w14:textId="70F58D8B" w:rsidR="007E68DB" w:rsidRPr="00671706" w:rsidRDefault="0085423F"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36</w:t>
            </w:r>
          </w:p>
        </w:tc>
        <w:tc>
          <w:tcPr>
            <w:tcW w:w="495" w:type="pct"/>
            <w:tcBorders>
              <w:bottom w:val="single" w:sz="4" w:space="0" w:color="auto"/>
              <w:right w:val="nil"/>
            </w:tcBorders>
            <w:shd w:val="clear" w:color="auto" w:fill="auto"/>
            <w:noWrap/>
          </w:tcPr>
          <w:p w14:paraId="001FE9F1" w14:textId="0A877577" w:rsidR="008656BC" w:rsidRDefault="007E68DB" w:rsidP="00B467FE">
            <w:pPr>
              <w:pStyle w:val="NoSpacing"/>
              <w:rPr>
                <w:rFonts w:ascii="Times New Roman" w:hAnsi="Times New Roman" w:cs="Times New Roman"/>
                <w:sz w:val="18"/>
                <w:szCs w:val="18"/>
              </w:rPr>
            </w:pPr>
            <w:r w:rsidRPr="00671706">
              <w:rPr>
                <w:rFonts w:ascii="Times New Roman" w:hAnsi="Times New Roman" w:cs="Times New Roman"/>
                <w:sz w:val="18"/>
                <w:szCs w:val="18"/>
              </w:rPr>
              <w:t>0.74</w:t>
            </w:r>
          </w:p>
          <w:p w14:paraId="2723E0EF" w14:textId="6B824863" w:rsidR="007E68DB" w:rsidRPr="00671706" w:rsidRDefault="007E68DB" w:rsidP="00B467FE">
            <w:pPr>
              <w:pStyle w:val="NoSpacing"/>
              <w:rPr>
                <w:rFonts w:ascii="Times New Roman" w:hAnsi="Times New Roman" w:cs="Times New Roman"/>
                <w:sz w:val="18"/>
                <w:szCs w:val="18"/>
              </w:rPr>
            </w:pPr>
            <w:r w:rsidRPr="00671706">
              <w:rPr>
                <w:rFonts w:ascii="Times New Roman" w:hAnsi="Times New Roman" w:cs="Times New Roman"/>
                <w:sz w:val="18"/>
                <w:szCs w:val="18"/>
              </w:rPr>
              <w:t>(0.59, 0.89)</w:t>
            </w:r>
          </w:p>
        </w:tc>
        <w:tc>
          <w:tcPr>
            <w:tcW w:w="370" w:type="pct"/>
            <w:tcBorders>
              <w:left w:val="nil"/>
              <w:bottom w:val="single" w:sz="4" w:space="0" w:color="auto"/>
              <w:right w:val="nil"/>
            </w:tcBorders>
            <w:shd w:val="clear" w:color="auto" w:fill="auto"/>
            <w:noWrap/>
          </w:tcPr>
          <w:p w14:paraId="2678FAB5"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-3.50</w:t>
            </w:r>
          </w:p>
        </w:tc>
        <w:tc>
          <w:tcPr>
            <w:tcW w:w="494" w:type="pct"/>
            <w:tcBorders>
              <w:left w:val="nil"/>
              <w:bottom w:val="single" w:sz="4" w:space="0" w:color="auto"/>
              <w:right w:val="nil"/>
            </w:tcBorders>
            <w:shd w:val="clear" w:color="auto" w:fill="auto"/>
            <w:noWrap/>
          </w:tcPr>
          <w:p w14:paraId="0A36A8FB"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0.69/0.67</w:t>
            </w:r>
          </w:p>
        </w:tc>
        <w:tc>
          <w:tcPr>
            <w:tcW w:w="494" w:type="pct"/>
            <w:tcBorders>
              <w:left w:val="nil"/>
              <w:bottom w:val="single" w:sz="4" w:space="0" w:color="auto"/>
            </w:tcBorders>
          </w:tcPr>
          <w:p w14:paraId="6DFD53A3"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41%</w:t>
            </w:r>
          </w:p>
        </w:tc>
        <w:tc>
          <w:tcPr>
            <w:tcW w:w="494" w:type="pct"/>
            <w:tcBorders>
              <w:bottom w:val="single" w:sz="4" w:space="0" w:color="auto"/>
              <w:right w:val="nil"/>
            </w:tcBorders>
          </w:tcPr>
          <w:p w14:paraId="7255C6DC" w14:textId="09B21CD1" w:rsidR="00B467FE" w:rsidRDefault="007E68DB" w:rsidP="00B467FE">
            <w:pPr>
              <w:pStyle w:val="NoSpacing"/>
              <w:rPr>
                <w:rFonts w:ascii="Times New Roman" w:hAnsi="Times New Roman" w:cs="Times New Roman"/>
                <w:sz w:val="18"/>
                <w:szCs w:val="18"/>
              </w:rPr>
            </w:pPr>
            <w:r w:rsidRPr="00671706">
              <w:rPr>
                <w:rFonts w:ascii="Times New Roman" w:hAnsi="Times New Roman" w:cs="Times New Roman"/>
                <w:sz w:val="18"/>
                <w:szCs w:val="18"/>
              </w:rPr>
              <w:t>0.80</w:t>
            </w:r>
          </w:p>
          <w:p w14:paraId="2A7E85BC" w14:textId="6081E5B2" w:rsidR="007E68DB" w:rsidRPr="00671706" w:rsidRDefault="007E68DB" w:rsidP="00B467FE">
            <w:pPr>
              <w:pStyle w:val="NoSpacing"/>
              <w:rPr>
                <w:rFonts w:ascii="Times New Roman" w:hAnsi="Times New Roman" w:cs="Times New Roman"/>
                <w:sz w:val="18"/>
                <w:szCs w:val="18"/>
              </w:rPr>
            </w:pPr>
            <w:r w:rsidRPr="00671706">
              <w:rPr>
                <w:rFonts w:ascii="Times New Roman" w:hAnsi="Times New Roman" w:cs="Times New Roman"/>
                <w:sz w:val="18"/>
                <w:szCs w:val="18"/>
              </w:rPr>
              <w:t>(0.68, 0.93)</w:t>
            </w:r>
          </w:p>
        </w:tc>
        <w:tc>
          <w:tcPr>
            <w:tcW w:w="370" w:type="pct"/>
            <w:tcBorders>
              <w:left w:val="nil"/>
              <w:bottom w:val="single" w:sz="4" w:space="0" w:color="auto"/>
              <w:right w:val="nil"/>
            </w:tcBorders>
          </w:tcPr>
          <w:p w14:paraId="52DD37F7"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-22.29%</w:t>
            </w:r>
          </w:p>
        </w:tc>
        <w:tc>
          <w:tcPr>
            <w:tcW w:w="495" w:type="pct"/>
            <w:tcBorders>
              <w:left w:val="nil"/>
              <w:bottom w:val="single" w:sz="4" w:space="0" w:color="auto"/>
              <w:right w:val="nil"/>
            </w:tcBorders>
          </w:tcPr>
          <w:p w14:paraId="0BB8E131"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0.80/0.80</w:t>
            </w:r>
          </w:p>
        </w:tc>
        <w:tc>
          <w:tcPr>
            <w:tcW w:w="494" w:type="pct"/>
            <w:tcBorders>
              <w:left w:val="nil"/>
              <w:bottom w:val="single" w:sz="4" w:space="0" w:color="auto"/>
            </w:tcBorders>
          </w:tcPr>
          <w:p w14:paraId="4EA3BBD6"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38%</w:t>
            </w:r>
          </w:p>
        </w:tc>
      </w:tr>
      <w:tr w:rsidR="00255A60" w:rsidRPr="008656BC" w14:paraId="348E45BF" w14:textId="77777777" w:rsidTr="003C313C">
        <w:trPr>
          <w:trHeight w:val="300"/>
          <w:jc w:val="center"/>
        </w:trPr>
        <w:tc>
          <w:tcPr>
            <w:tcW w:w="677" w:type="pct"/>
            <w:tcBorders>
              <w:right w:val="nil"/>
            </w:tcBorders>
            <w:shd w:val="clear" w:color="auto" w:fill="auto"/>
            <w:noWrap/>
          </w:tcPr>
          <w:p w14:paraId="4D998DC5" w14:textId="70F6AEBE" w:rsidR="00255A60" w:rsidRPr="00671706" w:rsidRDefault="00255A60" w:rsidP="00255A60">
            <w:pPr>
              <w:pStyle w:val="NoSpacing"/>
              <w:rPr>
                <w:rFonts w:ascii="Times New Roman" w:hAnsi="Times New Roman" w:cs="Times New Roman"/>
                <w:b/>
                <w:sz w:val="18"/>
                <w:szCs w:val="18"/>
              </w:rPr>
            </w:pPr>
            <w:r w:rsidRPr="00671706">
              <w:rPr>
                <w:rFonts w:ascii="Times New Roman" w:hAnsi="Times New Roman" w:cs="Times New Roman"/>
                <w:b/>
                <w:sz w:val="18"/>
                <w:szCs w:val="18"/>
              </w:rPr>
              <w:t>Shoulder Pain</w:t>
            </w:r>
          </w:p>
        </w:tc>
        <w:tc>
          <w:tcPr>
            <w:tcW w:w="617" w:type="pct"/>
            <w:tcBorders>
              <w:left w:val="nil"/>
              <w:right w:val="nil"/>
            </w:tcBorders>
          </w:tcPr>
          <w:p w14:paraId="4C39AD68" w14:textId="77777777" w:rsidR="00255A60" w:rsidRPr="00671706" w:rsidRDefault="00255A60" w:rsidP="00255A60">
            <w:pPr>
              <w:pStyle w:val="NoSpacing"/>
              <w:rPr>
                <w:rFonts w:ascii="Times New Roman" w:hAnsi="Times New Roman" w:cs="Times New Roman"/>
                <w:sz w:val="18"/>
                <w:szCs w:val="18"/>
              </w:rPr>
            </w:pPr>
          </w:p>
        </w:tc>
        <w:tc>
          <w:tcPr>
            <w:tcW w:w="495" w:type="pct"/>
            <w:tcBorders>
              <w:left w:val="nil"/>
              <w:bottom w:val="single" w:sz="4" w:space="0" w:color="auto"/>
              <w:right w:val="nil"/>
            </w:tcBorders>
            <w:shd w:val="clear" w:color="auto" w:fill="auto"/>
            <w:noWrap/>
          </w:tcPr>
          <w:p w14:paraId="16E09B68" w14:textId="489D0E48" w:rsidR="00255A60" w:rsidRPr="00671706" w:rsidRDefault="00255A60" w:rsidP="00255A60">
            <w:pPr>
              <w:pStyle w:val="NoSpacing"/>
              <w:rPr>
                <w:rFonts w:ascii="Times New Roman" w:hAnsi="Times New Roman" w:cs="Times New Roman"/>
                <w:sz w:val="18"/>
                <w:szCs w:val="18"/>
              </w:rPr>
            </w:pPr>
          </w:p>
        </w:tc>
        <w:tc>
          <w:tcPr>
            <w:tcW w:w="370" w:type="pct"/>
            <w:tcBorders>
              <w:left w:val="nil"/>
              <w:bottom w:val="single" w:sz="4" w:space="0" w:color="auto"/>
              <w:right w:val="nil"/>
            </w:tcBorders>
            <w:shd w:val="clear" w:color="auto" w:fill="auto"/>
            <w:noWrap/>
          </w:tcPr>
          <w:p w14:paraId="41B69A48" w14:textId="77777777" w:rsidR="00255A60" w:rsidRPr="00671706" w:rsidRDefault="00255A60" w:rsidP="00255A60">
            <w:pPr>
              <w:pStyle w:val="NoSpacing"/>
              <w:rPr>
                <w:rFonts w:ascii="Times New Roman" w:hAnsi="Times New Roman" w:cs="Times New Roman"/>
                <w:sz w:val="18"/>
                <w:szCs w:val="18"/>
              </w:rPr>
            </w:pPr>
          </w:p>
        </w:tc>
        <w:tc>
          <w:tcPr>
            <w:tcW w:w="494" w:type="pct"/>
            <w:tcBorders>
              <w:left w:val="nil"/>
              <w:bottom w:val="single" w:sz="4" w:space="0" w:color="auto"/>
              <w:right w:val="nil"/>
            </w:tcBorders>
            <w:shd w:val="clear" w:color="auto" w:fill="auto"/>
            <w:noWrap/>
          </w:tcPr>
          <w:p w14:paraId="15498A29" w14:textId="77777777" w:rsidR="00255A60" w:rsidRPr="00671706" w:rsidRDefault="00255A60" w:rsidP="00255A60">
            <w:pPr>
              <w:pStyle w:val="NoSpacing"/>
              <w:rPr>
                <w:rFonts w:ascii="Times New Roman" w:hAnsi="Times New Roman" w:cs="Times New Roman"/>
                <w:sz w:val="18"/>
                <w:szCs w:val="18"/>
              </w:rPr>
            </w:pPr>
          </w:p>
        </w:tc>
        <w:tc>
          <w:tcPr>
            <w:tcW w:w="494" w:type="pct"/>
            <w:tcBorders>
              <w:left w:val="nil"/>
              <w:bottom w:val="single" w:sz="4" w:space="0" w:color="auto"/>
              <w:right w:val="nil"/>
            </w:tcBorders>
          </w:tcPr>
          <w:p w14:paraId="4145FDBE" w14:textId="77777777" w:rsidR="00255A60" w:rsidRPr="00671706" w:rsidRDefault="00255A60" w:rsidP="00255A60">
            <w:pPr>
              <w:pStyle w:val="NoSpacing"/>
              <w:rPr>
                <w:rFonts w:ascii="Times New Roman" w:hAnsi="Times New Roman" w:cs="Times New Roman"/>
                <w:sz w:val="18"/>
                <w:szCs w:val="18"/>
              </w:rPr>
            </w:pPr>
          </w:p>
        </w:tc>
        <w:tc>
          <w:tcPr>
            <w:tcW w:w="494" w:type="pct"/>
            <w:tcBorders>
              <w:left w:val="nil"/>
              <w:bottom w:val="single" w:sz="4" w:space="0" w:color="auto"/>
              <w:right w:val="nil"/>
            </w:tcBorders>
          </w:tcPr>
          <w:p w14:paraId="35243A5D" w14:textId="77777777" w:rsidR="00255A60" w:rsidRPr="00671706" w:rsidRDefault="00255A60" w:rsidP="00255A60">
            <w:pPr>
              <w:pStyle w:val="NoSpacing"/>
              <w:rPr>
                <w:rFonts w:ascii="Times New Roman" w:hAnsi="Times New Roman" w:cs="Times New Roman"/>
                <w:sz w:val="18"/>
                <w:szCs w:val="18"/>
              </w:rPr>
            </w:pPr>
          </w:p>
        </w:tc>
        <w:tc>
          <w:tcPr>
            <w:tcW w:w="370" w:type="pct"/>
            <w:tcBorders>
              <w:left w:val="nil"/>
              <w:bottom w:val="single" w:sz="4" w:space="0" w:color="auto"/>
              <w:right w:val="nil"/>
            </w:tcBorders>
          </w:tcPr>
          <w:p w14:paraId="49DFE18B" w14:textId="77777777" w:rsidR="00255A60" w:rsidRPr="00671706" w:rsidRDefault="00255A60" w:rsidP="00255A60">
            <w:pPr>
              <w:pStyle w:val="NoSpacing"/>
              <w:rPr>
                <w:rFonts w:ascii="Times New Roman" w:hAnsi="Times New Roman" w:cs="Times New Roman"/>
                <w:sz w:val="18"/>
                <w:szCs w:val="18"/>
              </w:rPr>
            </w:pPr>
          </w:p>
        </w:tc>
        <w:tc>
          <w:tcPr>
            <w:tcW w:w="495" w:type="pct"/>
            <w:tcBorders>
              <w:left w:val="nil"/>
              <w:bottom w:val="single" w:sz="4" w:space="0" w:color="auto"/>
              <w:right w:val="nil"/>
            </w:tcBorders>
          </w:tcPr>
          <w:p w14:paraId="2CDC7095" w14:textId="77777777" w:rsidR="00255A60" w:rsidRPr="00671706" w:rsidRDefault="00255A60" w:rsidP="00255A60">
            <w:pPr>
              <w:pStyle w:val="NoSpacing"/>
              <w:rPr>
                <w:rFonts w:ascii="Times New Roman" w:hAnsi="Times New Roman" w:cs="Times New Roman"/>
                <w:sz w:val="18"/>
                <w:szCs w:val="18"/>
              </w:rPr>
            </w:pPr>
          </w:p>
        </w:tc>
        <w:tc>
          <w:tcPr>
            <w:tcW w:w="494" w:type="pct"/>
            <w:tcBorders>
              <w:left w:val="nil"/>
              <w:bottom w:val="single" w:sz="4" w:space="0" w:color="auto"/>
            </w:tcBorders>
          </w:tcPr>
          <w:p w14:paraId="1FD7CADD" w14:textId="77777777" w:rsidR="00255A60" w:rsidRPr="00671706" w:rsidRDefault="00255A60" w:rsidP="00255A60">
            <w:pPr>
              <w:pStyle w:val="NoSpacing"/>
              <w:rPr>
                <w:rFonts w:ascii="Times New Roman" w:hAnsi="Times New Roman" w:cs="Times New Roman"/>
                <w:sz w:val="18"/>
                <w:szCs w:val="18"/>
              </w:rPr>
            </w:pPr>
          </w:p>
        </w:tc>
      </w:tr>
      <w:tr w:rsidR="00255A60" w:rsidRPr="008656BC" w14:paraId="4704104A" w14:textId="77777777" w:rsidTr="003C313C">
        <w:trPr>
          <w:trHeight w:val="300"/>
          <w:jc w:val="center"/>
        </w:trPr>
        <w:tc>
          <w:tcPr>
            <w:tcW w:w="677" w:type="pct"/>
            <w:shd w:val="clear" w:color="auto" w:fill="auto"/>
            <w:noWrap/>
            <w:hideMark/>
          </w:tcPr>
          <w:p w14:paraId="3F78617A" w14:textId="77777777" w:rsidR="00255A60"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MSK-HQ</w:t>
            </w:r>
          </w:p>
          <w:p w14:paraId="51167279" w14:textId="08404E01"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(n=107)</w:t>
            </w:r>
          </w:p>
        </w:tc>
        <w:tc>
          <w:tcPr>
            <w:tcW w:w="617" w:type="pct"/>
          </w:tcPr>
          <w:p w14:paraId="2F845B75" w14:textId="7E3AD01A"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74</w:t>
            </w:r>
          </w:p>
        </w:tc>
        <w:tc>
          <w:tcPr>
            <w:tcW w:w="495" w:type="pct"/>
            <w:tcBorders>
              <w:right w:val="nil"/>
            </w:tcBorders>
            <w:shd w:val="clear" w:color="auto" w:fill="auto"/>
            <w:noWrap/>
          </w:tcPr>
          <w:p w14:paraId="26EAD6BF" w14:textId="77777777" w:rsidR="00255A60"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0.83</w:t>
            </w:r>
          </w:p>
          <w:p w14:paraId="65326DBD" w14:textId="1A3D3043"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(0.74, 0.91)</w:t>
            </w:r>
          </w:p>
        </w:tc>
        <w:tc>
          <w:tcPr>
            <w:tcW w:w="370" w:type="pct"/>
            <w:tcBorders>
              <w:left w:val="nil"/>
              <w:right w:val="nil"/>
            </w:tcBorders>
            <w:shd w:val="clear" w:color="auto" w:fill="auto"/>
            <w:noWrap/>
          </w:tcPr>
          <w:p w14:paraId="5AA8C712" w14:textId="685C4394"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3.50</w:t>
            </w:r>
          </w:p>
        </w:tc>
        <w:tc>
          <w:tcPr>
            <w:tcW w:w="494" w:type="pct"/>
            <w:tcBorders>
              <w:left w:val="nil"/>
              <w:right w:val="nil"/>
            </w:tcBorders>
            <w:shd w:val="clear" w:color="auto" w:fill="auto"/>
            <w:noWrap/>
          </w:tcPr>
          <w:p w14:paraId="17E9EE75" w14:textId="39587DBC"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0.79/0.81</w:t>
            </w:r>
          </w:p>
        </w:tc>
        <w:tc>
          <w:tcPr>
            <w:tcW w:w="494" w:type="pct"/>
            <w:tcBorders>
              <w:left w:val="nil"/>
            </w:tcBorders>
          </w:tcPr>
          <w:p w14:paraId="046DCE15" w14:textId="2B44BE8C"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62%</w:t>
            </w:r>
          </w:p>
        </w:tc>
        <w:tc>
          <w:tcPr>
            <w:tcW w:w="494" w:type="pct"/>
            <w:tcBorders>
              <w:right w:val="nil"/>
            </w:tcBorders>
          </w:tcPr>
          <w:p w14:paraId="748DF4B3" w14:textId="77777777" w:rsidR="00255A60"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0.82</w:t>
            </w:r>
          </w:p>
          <w:p w14:paraId="0387AB5D" w14:textId="04F173C9"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(0.73, 0.91)</w:t>
            </w:r>
          </w:p>
        </w:tc>
        <w:tc>
          <w:tcPr>
            <w:tcW w:w="370" w:type="pct"/>
            <w:tcBorders>
              <w:left w:val="nil"/>
              <w:right w:val="nil"/>
            </w:tcBorders>
          </w:tcPr>
          <w:p w14:paraId="06C5B6F3" w14:textId="47D29219"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9.74%</w:t>
            </w:r>
          </w:p>
        </w:tc>
        <w:tc>
          <w:tcPr>
            <w:tcW w:w="495" w:type="pct"/>
            <w:tcBorders>
              <w:left w:val="nil"/>
              <w:right w:val="nil"/>
            </w:tcBorders>
          </w:tcPr>
          <w:p w14:paraId="6A08498A" w14:textId="2FB50019"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0.79/0.77</w:t>
            </w:r>
          </w:p>
        </w:tc>
        <w:tc>
          <w:tcPr>
            <w:tcW w:w="494" w:type="pct"/>
            <w:tcBorders>
              <w:left w:val="nil"/>
            </w:tcBorders>
          </w:tcPr>
          <w:p w14:paraId="5AFA14FD" w14:textId="78A0188C"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63%</w:t>
            </w:r>
          </w:p>
        </w:tc>
      </w:tr>
      <w:tr w:rsidR="00255A60" w:rsidRPr="008656BC" w14:paraId="27AF1478" w14:textId="77777777" w:rsidTr="003C313C">
        <w:trPr>
          <w:trHeight w:val="300"/>
          <w:jc w:val="center"/>
        </w:trPr>
        <w:tc>
          <w:tcPr>
            <w:tcW w:w="677" w:type="pct"/>
            <w:shd w:val="clear" w:color="auto" w:fill="auto"/>
            <w:noWrap/>
            <w:hideMark/>
          </w:tcPr>
          <w:p w14:paraId="01F1D3AF" w14:textId="4FFA8B3C"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EQ-5D-5L (n=103)</w:t>
            </w:r>
          </w:p>
        </w:tc>
        <w:tc>
          <w:tcPr>
            <w:tcW w:w="617" w:type="pct"/>
          </w:tcPr>
          <w:p w14:paraId="631D6AE3" w14:textId="2796F0EF"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76</w:t>
            </w:r>
          </w:p>
        </w:tc>
        <w:tc>
          <w:tcPr>
            <w:tcW w:w="495" w:type="pct"/>
            <w:tcBorders>
              <w:right w:val="nil"/>
            </w:tcBorders>
            <w:shd w:val="clear" w:color="auto" w:fill="auto"/>
            <w:noWrap/>
          </w:tcPr>
          <w:p w14:paraId="47AEB55B" w14:textId="77777777" w:rsidR="00255A60"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0.72</w:t>
            </w:r>
          </w:p>
          <w:p w14:paraId="35528A29" w14:textId="14703895"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(0.60, 0.72)</w:t>
            </w:r>
          </w:p>
        </w:tc>
        <w:tc>
          <w:tcPr>
            <w:tcW w:w="370" w:type="pct"/>
            <w:tcBorders>
              <w:left w:val="nil"/>
              <w:right w:val="nil"/>
            </w:tcBorders>
            <w:shd w:val="clear" w:color="auto" w:fill="auto"/>
            <w:noWrap/>
          </w:tcPr>
          <w:p w14:paraId="3A8B1978" w14:textId="56BA9639"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0.02</w:t>
            </w:r>
          </w:p>
        </w:tc>
        <w:tc>
          <w:tcPr>
            <w:tcW w:w="494" w:type="pct"/>
            <w:tcBorders>
              <w:left w:val="nil"/>
              <w:right w:val="nil"/>
            </w:tcBorders>
            <w:shd w:val="clear" w:color="auto" w:fill="auto"/>
            <w:noWrap/>
          </w:tcPr>
          <w:p w14:paraId="055CE185" w14:textId="6202A645"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0.72/0.68</w:t>
            </w:r>
          </w:p>
        </w:tc>
        <w:tc>
          <w:tcPr>
            <w:tcW w:w="494" w:type="pct"/>
            <w:tcBorders>
              <w:left w:val="nil"/>
            </w:tcBorders>
          </w:tcPr>
          <w:p w14:paraId="57446562" w14:textId="2AD0A8BE"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62%</w:t>
            </w:r>
          </w:p>
        </w:tc>
        <w:tc>
          <w:tcPr>
            <w:tcW w:w="494" w:type="pct"/>
            <w:tcBorders>
              <w:right w:val="nil"/>
            </w:tcBorders>
          </w:tcPr>
          <w:p w14:paraId="1A0E066E" w14:textId="77777777" w:rsidR="00255A60"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0.69</w:t>
            </w:r>
          </w:p>
          <w:p w14:paraId="75F25809" w14:textId="2719683A"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(0.57, 0.81)</w:t>
            </w:r>
          </w:p>
        </w:tc>
        <w:tc>
          <w:tcPr>
            <w:tcW w:w="370" w:type="pct"/>
            <w:tcBorders>
              <w:left w:val="nil"/>
              <w:right w:val="nil"/>
            </w:tcBorders>
          </w:tcPr>
          <w:p w14:paraId="6D283FA3" w14:textId="30E62A11"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2.15%</w:t>
            </w:r>
          </w:p>
        </w:tc>
        <w:tc>
          <w:tcPr>
            <w:tcW w:w="495" w:type="pct"/>
            <w:tcBorders>
              <w:left w:val="nil"/>
              <w:right w:val="nil"/>
            </w:tcBorders>
          </w:tcPr>
          <w:p w14:paraId="3C1E3F7C" w14:textId="611ACC45"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0.71/0.61</w:t>
            </w:r>
          </w:p>
        </w:tc>
        <w:tc>
          <w:tcPr>
            <w:tcW w:w="494" w:type="pct"/>
            <w:tcBorders>
              <w:left w:val="nil"/>
            </w:tcBorders>
          </w:tcPr>
          <w:p w14:paraId="6F7647D8" w14:textId="20143E6D"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62%</w:t>
            </w:r>
          </w:p>
        </w:tc>
      </w:tr>
      <w:tr w:rsidR="00255A60" w:rsidRPr="008656BC" w14:paraId="5E48B110" w14:textId="77777777" w:rsidTr="003C313C">
        <w:trPr>
          <w:trHeight w:val="300"/>
          <w:jc w:val="center"/>
        </w:trPr>
        <w:tc>
          <w:tcPr>
            <w:tcW w:w="677" w:type="pct"/>
            <w:tcBorders>
              <w:bottom w:val="single" w:sz="4" w:space="0" w:color="auto"/>
            </w:tcBorders>
            <w:shd w:val="clear" w:color="auto" w:fill="auto"/>
            <w:noWrap/>
          </w:tcPr>
          <w:p w14:paraId="2C064AC0" w14:textId="77777777" w:rsidR="00255A60"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SPADI</w:t>
            </w:r>
          </w:p>
          <w:p w14:paraId="02B101C2" w14:textId="086E78D3"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(n=105)</w:t>
            </w:r>
          </w:p>
        </w:tc>
        <w:tc>
          <w:tcPr>
            <w:tcW w:w="617" w:type="pct"/>
            <w:tcBorders>
              <w:bottom w:val="single" w:sz="4" w:space="0" w:color="auto"/>
            </w:tcBorders>
          </w:tcPr>
          <w:p w14:paraId="14724834" w14:textId="46BF623A"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76</w:t>
            </w:r>
          </w:p>
        </w:tc>
        <w:tc>
          <w:tcPr>
            <w:tcW w:w="495" w:type="pct"/>
            <w:tcBorders>
              <w:bottom w:val="single" w:sz="4" w:space="0" w:color="auto"/>
              <w:right w:val="nil"/>
            </w:tcBorders>
            <w:shd w:val="clear" w:color="auto" w:fill="auto"/>
            <w:noWrap/>
          </w:tcPr>
          <w:p w14:paraId="178D6DCE" w14:textId="77777777" w:rsidR="00255A60"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0.74</w:t>
            </w:r>
          </w:p>
          <w:p w14:paraId="5B9D31DD" w14:textId="27BA3DBF"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(0.64, 0.84)</w:t>
            </w:r>
          </w:p>
        </w:tc>
        <w:tc>
          <w:tcPr>
            <w:tcW w:w="370" w:type="pct"/>
            <w:tcBorders>
              <w:left w:val="nil"/>
              <w:bottom w:val="single" w:sz="4" w:space="0" w:color="auto"/>
              <w:right w:val="nil"/>
            </w:tcBorders>
            <w:shd w:val="clear" w:color="auto" w:fill="auto"/>
            <w:noWrap/>
          </w:tcPr>
          <w:p w14:paraId="388EC294" w14:textId="51545FCA"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-11.16</w:t>
            </w:r>
          </w:p>
        </w:tc>
        <w:tc>
          <w:tcPr>
            <w:tcW w:w="494" w:type="pct"/>
            <w:tcBorders>
              <w:left w:val="nil"/>
              <w:bottom w:val="single" w:sz="4" w:space="0" w:color="auto"/>
              <w:right w:val="nil"/>
            </w:tcBorders>
            <w:shd w:val="clear" w:color="auto" w:fill="auto"/>
            <w:noWrap/>
          </w:tcPr>
          <w:p w14:paraId="57CB89B2" w14:textId="674DCFC8"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0.65/0.74</w:t>
            </w:r>
          </w:p>
        </w:tc>
        <w:tc>
          <w:tcPr>
            <w:tcW w:w="494" w:type="pct"/>
            <w:tcBorders>
              <w:left w:val="nil"/>
              <w:bottom w:val="single" w:sz="4" w:space="0" w:color="auto"/>
            </w:tcBorders>
          </w:tcPr>
          <w:p w14:paraId="366E5B04" w14:textId="56B2E90E"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47%</w:t>
            </w:r>
          </w:p>
        </w:tc>
        <w:tc>
          <w:tcPr>
            <w:tcW w:w="494" w:type="pct"/>
            <w:tcBorders>
              <w:bottom w:val="single" w:sz="4" w:space="0" w:color="auto"/>
              <w:right w:val="nil"/>
            </w:tcBorders>
          </w:tcPr>
          <w:p w14:paraId="26C05401" w14:textId="77777777" w:rsidR="00255A60"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0.74</w:t>
            </w:r>
          </w:p>
          <w:p w14:paraId="42A66AC4" w14:textId="3B6377B1"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(0.64, 0.84)</w:t>
            </w:r>
          </w:p>
        </w:tc>
        <w:tc>
          <w:tcPr>
            <w:tcW w:w="370" w:type="pct"/>
            <w:tcBorders>
              <w:left w:val="nil"/>
              <w:bottom w:val="single" w:sz="4" w:space="0" w:color="auto"/>
              <w:right w:val="nil"/>
            </w:tcBorders>
          </w:tcPr>
          <w:p w14:paraId="055AB188" w14:textId="266EA9F7"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-29.91%</w:t>
            </w:r>
          </w:p>
        </w:tc>
        <w:tc>
          <w:tcPr>
            <w:tcW w:w="495" w:type="pct"/>
            <w:tcBorders>
              <w:left w:val="nil"/>
              <w:bottom w:val="single" w:sz="4" w:space="0" w:color="auto"/>
              <w:right w:val="nil"/>
            </w:tcBorders>
          </w:tcPr>
          <w:p w14:paraId="03595719" w14:textId="545D6A45"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0.62/0.81</w:t>
            </w:r>
          </w:p>
        </w:tc>
        <w:tc>
          <w:tcPr>
            <w:tcW w:w="494" w:type="pct"/>
            <w:tcBorders>
              <w:left w:val="nil"/>
              <w:bottom w:val="single" w:sz="4" w:space="0" w:color="auto"/>
            </w:tcBorders>
          </w:tcPr>
          <w:p w14:paraId="156EFF66" w14:textId="2F0E37AD" w:rsidR="00255A60" w:rsidRPr="00671706" w:rsidRDefault="00255A60" w:rsidP="00255A60">
            <w:pPr>
              <w:pStyle w:val="NoSpacing"/>
              <w:rPr>
                <w:rFonts w:ascii="Times New Roman" w:hAnsi="Times New Roman" w:cs="Times New Roman"/>
                <w:sz w:val="18"/>
                <w:szCs w:val="18"/>
              </w:rPr>
            </w:pPr>
            <w:r w:rsidRPr="00671706">
              <w:rPr>
                <w:rFonts w:ascii="Times New Roman" w:hAnsi="Times New Roman" w:cs="Times New Roman"/>
                <w:sz w:val="18"/>
                <w:szCs w:val="18"/>
              </w:rPr>
              <w:t>50%</w:t>
            </w:r>
          </w:p>
        </w:tc>
      </w:tr>
      <w:tr w:rsidR="007A340B" w:rsidRPr="008656BC" w14:paraId="372625A9" w14:textId="77777777" w:rsidTr="003C313C">
        <w:trPr>
          <w:trHeight w:val="300"/>
          <w:jc w:val="center"/>
        </w:trPr>
        <w:tc>
          <w:tcPr>
            <w:tcW w:w="677" w:type="pct"/>
            <w:tcBorders>
              <w:right w:val="nil"/>
            </w:tcBorders>
            <w:shd w:val="clear" w:color="auto" w:fill="auto"/>
            <w:noWrap/>
          </w:tcPr>
          <w:p w14:paraId="25BD97D1" w14:textId="6D159C42" w:rsidR="007A340B" w:rsidRPr="00671706" w:rsidRDefault="007A340B" w:rsidP="007A340B">
            <w:pPr>
              <w:pStyle w:val="NoSpacing"/>
              <w:rPr>
                <w:rFonts w:ascii="Times New Roman" w:hAnsi="Times New Roman" w:cs="Times New Roman"/>
                <w:b/>
                <w:sz w:val="18"/>
                <w:szCs w:val="18"/>
              </w:rPr>
            </w:pPr>
            <w:r w:rsidRPr="00671706">
              <w:rPr>
                <w:rFonts w:ascii="Times New Roman" w:hAnsi="Times New Roman" w:cs="Times New Roman"/>
                <w:b/>
                <w:sz w:val="18"/>
                <w:szCs w:val="18"/>
              </w:rPr>
              <w:t>Knee Pain</w:t>
            </w:r>
          </w:p>
        </w:tc>
        <w:tc>
          <w:tcPr>
            <w:tcW w:w="617" w:type="pct"/>
            <w:tcBorders>
              <w:left w:val="nil"/>
              <w:right w:val="nil"/>
            </w:tcBorders>
          </w:tcPr>
          <w:p w14:paraId="20FAF7A2" w14:textId="77777777" w:rsidR="007A340B" w:rsidRPr="00671706" w:rsidRDefault="007A340B" w:rsidP="007A340B">
            <w:pPr>
              <w:pStyle w:val="NoSpacing"/>
              <w:rPr>
                <w:rFonts w:ascii="Times New Roman" w:hAnsi="Times New Roman" w:cs="Times New Roman"/>
                <w:sz w:val="18"/>
                <w:szCs w:val="18"/>
              </w:rPr>
            </w:pPr>
          </w:p>
        </w:tc>
        <w:tc>
          <w:tcPr>
            <w:tcW w:w="495" w:type="pct"/>
            <w:tcBorders>
              <w:left w:val="nil"/>
              <w:bottom w:val="single" w:sz="4" w:space="0" w:color="auto"/>
              <w:right w:val="nil"/>
            </w:tcBorders>
            <w:shd w:val="clear" w:color="auto" w:fill="auto"/>
            <w:noWrap/>
          </w:tcPr>
          <w:p w14:paraId="75760111" w14:textId="7F48A550" w:rsidR="007A340B" w:rsidRPr="00671706" w:rsidRDefault="007A340B" w:rsidP="007A340B">
            <w:pPr>
              <w:pStyle w:val="NoSpacing"/>
              <w:rPr>
                <w:rFonts w:ascii="Times New Roman" w:hAnsi="Times New Roman" w:cs="Times New Roman"/>
                <w:sz w:val="18"/>
                <w:szCs w:val="18"/>
              </w:rPr>
            </w:pPr>
          </w:p>
        </w:tc>
        <w:tc>
          <w:tcPr>
            <w:tcW w:w="370" w:type="pct"/>
            <w:tcBorders>
              <w:left w:val="nil"/>
              <w:bottom w:val="single" w:sz="4" w:space="0" w:color="auto"/>
              <w:right w:val="nil"/>
            </w:tcBorders>
            <w:shd w:val="clear" w:color="auto" w:fill="auto"/>
            <w:noWrap/>
          </w:tcPr>
          <w:p w14:paraId="4B13E8B4" w14:textId="77777777" w:rsidR="007A340B" w:rsidRPr="00671706" w:rsidRDefault="007A340B" w:rsidP="007A340B">
            <w:pPr>
              <w:pStyle w:val="NoSpacing"/>
              <w:rPr>
                <w:rFonts w:ascii="Times New Roman" w:hAnsi="Times New Roman" w:cs="Times New Roman"/>
                <w:sz w:val="18"/>
                <w:szCs w:val="18"/>
              </w:rPr>
            </w:pPr>
          </w:p>
        </w:tc>
        <w:tc>
          <w:tcPr>
            <w:tcW w:w="494" w:type="pct"/>
            <w:tcBorders>
              <w:left w:val="nil"/>
              <w:bottom w:val="single" w:sz="4" w:space="0" w:color="auto"/>
              <w:right w:val="nil"/>
            </w:tcBorders>
            <w:shd w:val="clear" w:color="auto" w:fill="auto"/>
            <w:noWrap/>
          </w:tcPr>
          <w:p w14:paraId="55D32139" w14:textId="77777777" w:rsidR="007A340B" w:rsidRPr="00671706" w:rsidRDefault="007A340B" w:rsidP="007A340B">
            <w:pPr>
              <w:pStyle w:val="NoSpacing"/>
              <w:rPr>
                <w:rFonts w:ascii="Times New Roman" w:hAnsi="Times New Roman" w:cs="Times New Roman"/>
                <w:sz w:val="18"/>
                <w:szCs w:val="18"/>
              </w:rPr>
            </w:pPr>
          </w:p>
        </w:tc>
        <w:tc>
          <w:tcPr>
            <w:tcW w:w="494" w:type="pct"/>
            <w:tcBorders>
              <w:left w:val="nil"/>
              <w:bottom w:val="single" w:sz="4" w:space="0" w:color="auto"/>
              <w:right w:val="nil"/>
            </w:tcBorders>
          </w:tcPr>
          <w:p w14:paraId="1FAE6DC3" w14:textId="77777777" w:rsidR="007A340B" w:rsidRPr="00671706" w:rsidRDefault="007A340B" w:rsidP="007A340B">
            <w:pPr>
              <w:pStyle w:val="NoSpacing"/>
              <w:rPr>
                <w:rFonts w:ascii="Times New Roman" w:hAnsi="Times New Roman" w:cs="Times New Roman"/>
                <w:sz w:val="18"/>
                <w:szCs w:val="18"/>
              </w:rPr>
            </w:pPr>
          </w:p>
        </w:tc>
        <w:tc>
          <w:tcPr>
            <w:tcW w:w="494" w:type="pct"/>
            <w:tcBorders>
              <w:left w:val="nil"/>
              <w:bottom w:val="single" w:sz="4" w:space="0" w:color="auto"/>
              <w:right w:val="nil"/>
            </w:tcBorders>
          </w:tcPr>
          <w:p w14:paraId="01B59475" w14:textId="77777777" w:rsidR="007A340B" w:rsidRPr="00671706" w:rsidRDefault="007A340B" w:rsidP="007A340B">
            <w:pPr>
              <w:pStyle w:val="NoSpacing"/>
              <w:rPr>
                <w:rFonts w:ascii="Times New Roman" w:hAnsi="Times New Roman" w:cs="Times New Roman"/>
                <w:sz w:val="18"/>
                <w:szCs w:val="18"/>
              </w:rPr>
            </w:pPr>
          </w:p>
        </w:tc>
        <w:tc>
          <w:tcPr>
            <w:tcW w:w="370" w:type="pct"/>
            <w:tcBorders>
              <w:left w:val="nil"/>
              <w:bottom w:val="single" w:sz="4" w:space="0" w:color="auto"/>
              <w:right w:val="nil"/>
            </w:tcBorders>
          </w:tcPr>
          <w:p w14:paraId="2E0CEBFA" w14:textId="77777777" w:rsidR="007A340B" w:rsidRPr="00671706" w:rsidRDefault="007A340B" w:rsidP="007A340B">
            <w:pPr>
              <w:pStyle w:val="NoSpacing"/>
              <w:rPr>
                <w:rFonts w:ascii="Times New Roman" w:hAnsi="Times New Roman" w:cs="Times New Roman"/>
                <w:sz w:val="18"/>
                <w:szCs w:val="18"/>
              </w:rPr>
            </w:pPr>
          </w:p>
        </w:tc>
        <w:tc>
          <w:tcPr>
            <w:tcW w:w="495" w:type="pct"/>
            <w:tcBorders>
              <w:left w:val="nil"/>
              <w:bottom w:val="single" w:sz="4" w:space="0" w:color="auto"/>
              <w:right w:val="nil"/>
            </w:tcBorders>
          </w:tcPr>
          <w:p w14:paraId="40C59463" w14:textId="77777777" w:rsidR="007A340B" w:rsidRPr="00671706" w:rsidRDefault="007A340B" w:rsidP="007A340B">
            <w:pPr>
              <w:pStyle w:val="NoSpacing"/>
              <w:rPr>
                <w:rFonts w:ascii="Times New Roman" w:hAnsi="Times New Roman" w:cs="Times New Roman"/>
                <w:sz w:val="18"/>
                <w:szCs w:val="18"/>
              </w:rPr>
            </w:pPr>
          </w:p>
        </w:tc>
        <w:tc>
          <w:tcPr>
            <w:tcW w:w="494" w:type="pct"/>
            <w:tcBorders>
              <w:left w:val="nil"/>
              <w:bottom w:val="single" w:sz="4" w:space="0" w:color="auto"/>
            </w:tcBorders>
          </w:tcPr>
          <w:p w14:paraId="76DA7E24" w14:textId="77777777" w:rsidR="007A340B" w:rsidRPr="00671706" w:rsidRDefault="007A340B" w:rsidP="007A340B">
            <w:pPr>
              <w:pStyle w:val="NoSpacing"/>
              <w:rPr>
                <w:rFonts w:ascii="Times New Roman" w:hAnsi="Times New Roman" w:cs="Times New Roman"/>
                <w:sz w:val="18"/>
                <w:szCs w:val="18"/>
              </w:rPr>
            </w:pPr>
          </w:p>
        </w:tc>
      </w:tr>
      <w:tr w:rsidR="007A340B" w:rsidRPr="008656BC" w14:paraId="6BADF063" w14:textId="77777777" w:rsidTr="003C313C">
        <w:trPr>
          <w:trHeight w:val="300"/>
          <w:jc w:val="center"/>
        </w:trPr>
        <w:tc>
          <w:tcPr>
            <w:tcW w:w="677" w:type="pct"/>
            <w:shd w:val="clear" w:color="auto" w:fill="auto"/>
            <w:noWrap/>
          </w:tcPr>
          <w:p w14:paraId="556E9152" w14:textId="77777777" w:rsidR="007A340B"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MSK-HQ</w:t>
            </w:r>
          </w:p>
          <w:p w14:paraId="4D7FA487" w14:textId="0DC9D820" w:rsidR="007A340B" w:rsidRPr="00671706"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(n=126)</w:t>
            </w:r>
          </w:p>
        </w:tc>
        <w:tc>
          <w:tcPr>
            <w:tcW w:w="617" w:type="pct"/>
          </w:tcPr>
          <w:p w14:paraId="6DDF8898" w14:textId="08F0955B" w:rsidR="007A340B" w:rsidRPr="00671706"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63</w:t>
            </w:r>
          </w:p>
        </w:tc>
        <w:tc>
          <w:tcPr>
            <w:tcW w:w="495" w:type="pct"/>
            <w:tcBorders>
              <w:right w:val="nil"/>
            </w:tcBorders>
            <w:shd w:val="clear" w:color="auto" w:fill="auto"/>
            <w:noWrap/>
          </w:tcPr>
          <w:p w14:paraId="287C8A0A" w14:textId="77777777" w:rsidR="007A340B"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0.80</w:t>
            </w:r>
          </w:p>
          <w:p w14:paraId="34D7AA9B" w14:textId="4CC878B3" w:rsidR="007A340B" w:rsidRPr="00671706"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(0.72, 0.87)</w:t>
            </w:r>
          </w:p>
        </w:tc>
        <w:tc>
          <w:tcPr>
            <w:tcW w:w="370" w:type="pct"/>
            <w:tcBorders>
              <w:left w:val="nil"/>
              <w:right w:val="nil"/>
            </w:tcBorders>
            <w:shd w:val="clear" w:color="auto" w:fill="auto"/>
            <w:noWrap/>
          </w:tcPr>
          <w:p w14:paraId="50B8D4CC" w14:textId="2E7F85ED" w:rsidR="007A340B" w:rsidRPr="00671706"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5.50</w:t>
            </w:r>
          </w:p>
        </w:tc>
        <w:tc>
          <w:tcPr>
            <w:tcW w:w="494" w:type="pct"/>
            <w:tcBorders>
              <w:left w:val="nil"/>
              <w:right w:val="nil"/>
            </w:tcBorders>
            <w:shd w:val="clear" w:color="auto" w:fill="auto"/>
            <w:noWrap/>
          </w:tcPr>
          <w:p w14:paraId="5DC883CE" w14:textId="080FAAD5" w:rsidR="007A340B" w:rsidRPr="00671706"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0.62/0.81</w:t>
            </w:r>
          </w:p>
        </w:tc>
        <w:tc>
          <w:tcPr>
            <w:tcW w:w="494" w:type="pct"/>
            <w:tcBorders>
              <w:left w:val="nil"/>
            </w:tcBorders>
          </w:tcPr>
          <w:p w14:paraId="70754CAD" w14:textId="579C6116" w:rsidR="007A340B" w:rsidRPr="00671706"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40%</w:t>
            </w:r>
          </w:p>
        </w:tc>
        <w:tc>
          <w:tcPr>
            <w:tcW w:w="494" w:type="pct"/>
            <w:tcBorders>
              <w:right w:val="nil"/>
            </w:tcBorders>
          </w:tcPr>
          <w:p w14:paraId="758AED68" w14:textId="77777777" w:rsidR="007A340B"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0.76</w:t>
            </w:r>
          </w:p>
          <w:p w14:paraId="5F0B76B1" w14:textId="6DC297E7" w:rsidR="007A340B" w:rsidRPr="00671706"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(0.68, 0.84)</w:t>
            </w:r>
          </w:p>
        </w:tc>
        <w:tc>
          <w:tcPr>
            <w:tcW w:w="370" w:type="pct"/>
            <w:tcBorders>
              <w:left w:val="nil"/>
              <w:right w:val="nil"/>
            </w:tcBorders>
          </w:tcPr>
          <w:p w14:paraId="55D5493A" w14:textId="0C2F765C" w:rsidR="007A340B" w:rsidRPr="00671706"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20.61%</w:t>
            </w:r>
          </w:p>
        </w:tc>
        <w:tc>
          <w:tcPr>
            <w:tcW w:w="495" w:type="pct"/>
            <w:tcBorders>
              <w:left w:val="nil"/>
              <w:right w:val="nil"/>
            </w:tcBorders>
          </w:tcPr>
          <w:p w14:paraId="7267299B" w14:textId="063C2AE1" w:rsidR="007A340B" w:rsidRPr="00671706"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0.62/0.76</w:t>
            </w:r>
          </w:p>
        </w:tc>
        <w:tc>
          <w:tcPr>
            <w:tcW w:w="494" w:type="pct"/>
            <w:tcBorders>
              <w:left w:val="nil"/>
            </w:tcBorders>
          </w:tcPr>
          <w:p w14:paraId="7AB422F4" w14:textId="04FEC990" w:rsidR="007A340B" w:rsidRPr="00671706"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43%</w:t>
            </w:r>
          </w:p>
        </w:tc>
      </w:tr>
      <w:tr w:rsidR="007A340B" w:rsidRPr="008656BC" w14:paraId="0634122A" w14:textId="77777777" w:rsidTr="003C313C">
        <w:trPr>
          <w:trHeight w:val="300"/>
          <w:jc w:val="center"/>
        </w:trPr>
        <w:tc>
          <w:tcPr>
            <w:tcW w:w="677" w:type="pct"/>
            <w:shd w:val="clear" w:color="auto" w:fill="auto"/>
            <w:noWrap/>
          </w:tcPr>
          <w:p w14:paraId="0AEBE8A6" w14:textId="091B6442" w:rsidR="007A340B" w:rsidRPr="00671706"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EQ-5D-5L (n=122)</w:t>
            </w:r>
            <w:r w:rsidRPr="00671706">
              <w:rPr>
                <w:rFonts w:ascii="Times New Roman" w:hAnsi="Times New Roman" w:cs="Times New Roman"/>
                <w:sz w:val="18"/>
                <w:szCs w:val="18"/>
              </w:rPr>
              <w:tab/>
            </w:r>
          </w:p>
        </w:tc>
        <w:tc>
          <w:tcPr>
            <w:tcW w:w="617" w:type="pct"/>
          </w:tcPr>
          <w:p w14:paraId="0A17596B" w14:textId="49A7E094" w:rsidR="007A340B" w:rsidRPr="00671706"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62</w:t>
            </w:r>
          </w:p>
        </w:tc>
        <w:tc>
          <w:tcPr>
            <w:tcW w:w="495" w:type="pct"/>
            <w:tcBorders>
              <w:right w:val="nil"/>
            </w:tcBorders>
            <w:shd w:val="clear" w:color="auto" w:fill="auto"/>
            <w:noWrap/>
          </w:tcPr>
          <w:p w14:paraId="0E308154" w14:textId="77777777" w:rsidR="007A340B"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0.71</w:t>
            </w:r>
          </w:p>
          <w:p w14:paraId="1748E453" w14:textId="75DE3D51" w:rsidR="007A340B" w:rsidRPr="00671706"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(0.62, 0.80)</w:t>
            </w:r>
          </w:p>
        </w:tc>
        <w:tc>
          <w:tcPr>
            <w:tcW w:w="370" w:type="pct"/>
            <w:tcBorders>
              <w:left w:val="nil"/>
              <w:right w:val="nil"/>
            </w:tcBorders>
            <w:shd w:val="clear" w:color="auto" w:fill="auto"/>
            <w:noWrap/>
          </w:tcPr>
          <w:p w14:paraId="626C0A95" w14:textId="4F83F3B8" w:rsidR="007A340B" w:rsidRPr="00671706"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0.03</w:t>
            </w:r>
          </w:p>
        </w:tc>
        <w:tc>
          <w:tcPr>
            <w:tcW w:w="494" w:type="pct"/>
            <w:tcBorders>
              <w:left w:val="nil"/>
              <w:right w:val="nil"/>
            </w:tcBorders>
            <w:shd w:val="clear" w:color="auto" w:fill="auto"/>
            <w:noWrap/>
          </w:tcPr>
          <w:p w14:paraId="65DEEC70" w14:textId="225D0A07" w:rsidR="007A340B" w:rsidRPr="00671706"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0.66/0.67</w:t>
            </w:r>
          </w:p>
        </w:tc>
        <w:tc>
          <w:tcPr>
            <w:tcW w:w="494" w:type="pct"/>
            <w:tcBorders>
              <w:left w:val="nil"/>
            </w:tcBorders>
          </w:tcPr>
          <w:p w14:paraId="34217D9F" w14:textId="1E50E515" w:rsidR="007A340B" w:rsidRPr="00671706"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50%</w:t>
            </w:r>
          </w:p>
        </w:tc>
        <w:tc>
          <w:tcPr>
            <w:tcW w:w="494" w:type="pct"/>
            <w:tcBorders>
              <w:right w:val="nil"/>
            </w:tcBorders>
          </w:tcPr>
          <w:p w14:paraId="2C1919EC" w14:textId="77777777" w:rsidR="007A340B"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0.65</w:t>
            </w:r>
          </w:p>
          <w:p w14:paraId="03DD1D0C" w14:textId="5A04345F" w:rsidR="007A340B" w:rsidRPr="00671706"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(0.56, 0.75)</w:t>
            </w:r>
          </w:p>
        </w:tc>
        <w:tc>
          <w:tcPr>
            <w:tcW w:w="370" w:type="pct"/>
            <w:tcBorders>
              <w:left w:val="nil"/>
              <w:right w:val="nil"/>
            </w:tcBorders>
          </w:tcPr>
          <w:p w14:paraId="54B0187F" w14:textId="0D92989C" w:rsidR="007A340B" w:rsidRPr="00671706"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4.15%</w:t>
            </w:r>
          </w:p>
        </w:tc>
        <w:tc>
          <w:tcPr>
            <w:tcW w:w="495" w:type="pct"/>
            <w:tcBorders>
              <w:left w:val="nil"/>
              <w:right w:val="nil"/>
            </w:tcBorders>
          </w:tcPr>
          <w:p w14:paraId="02A89064" w14:textId="1F9BFB45" w:rsidR="007A340B" w:rsidRPr="00671706"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0.62/0.64</w:t>
            </w:r>
          </w:p>
        </w:tc>
        <w:tc>
          <w:tcPr>
            <w:tcW w:w="494" w:type="pct"/>
            <w:tcBorders>
              <w:left w:val="nil"/>
            </w:tcBorders>
          </w:tcPr>
          <w:p w14:paraId="17B7EE0C" w14:textId="1C3F211F" w:rsidR="007A340B" w:rsidRPr="00671706"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50%</w:t>
            </w:r>
          </w:p>
        </w:tc>
      </w:tr>
      <w:tr w:rsidR="007A340B" w:rsidRPr="008656BC" w14:paraId="52E5C071" w14:textId="77777777" w:rsidTr="003C313C">
        <w:trPr>
          <w:trHeight w:val="300"/>
          <w:jc w:val="center"/>
        </w:trPr>
        <w:tc>
          <w:tcPr>
            <w:tcW w:w="677" w:type="pct"/>
            <w:tcBorders>
              <w:bottom w:val="single" w:sz="4" w:space="0" w:color="auto"/>
            </w:tcBorders>
            <w:shd w:val="clear" w:color="auto" w:fill="auto"/>
            <w:noWrap/>
            <w:hideMark/>
          </w:tcPr>
          <w:p w14:paraId="6B0C89FC" w14:textId="77777777" w:rsidR="007A340B"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KOOS</w:t>
            </w:r>
          </w:p>
          <w:p w14:paraId="16A98A89" w14:textId="5B168334" w:rsidR="007A340B" w:rsidRPr="00671706"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(n=123)</w:t>
            </w:r>
          </w:p>
        </w:tc>
        <w:tc>
          <w:tcPr>
            <w:tcW w:w="617" w:type="pct"/>
            <w:tcBorders>
              <w:bottom w:val="single" w:sz="4" w:space="0" w:color="auto"/>
            </w:tcBorders>
          </w:tcPr>
          <w:p w14:paraId="46A7CA15" w14:textId="6463EF95" w:rsidR="007A340B" w:rsidRPr="00671706"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60</w:t>
            </w:r>
          </w:p>
        </w:tc>
        <w:tc>
          <w:tcPr>
            <w:tcW w:w="495" w:type="pct"/>
            <w:tcBorders>
              <w:bottom w:val="single" w:sz="4" w:space="0" w:color="auto"/>
              <w:right w:val="nil"/>
            </w:tcBorders>
            <w:shd w:val="clear" w:color="auto" w:fill="auto"/>
            <w:noWrap/>
          </w:tcPr>
          <w:p w14:paraId="1F8D4259" w14:textId="77777777" w:rsidR="007A340B"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0.80</w:t>
            </w:r>
          </w:p>
          <w:p w14:paraId="013462DE" w14:textId="09370F0D" w:rsidR="007A340B" w:rsidRPr="00671706"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(0.72, 0.88)</w:t>
            </w:r>
          </w:p>
        </w:tc>
        <w:tc>
          <w:tcPr>
            <w:tcW w:w="370" w:type="pct"/>
            <w:tcBorders>
              <w:left w:val="nil"/>
              <w:bottom w:val="single" w:sz="4" w:space="0" w:color="auto"/>
              <w:right w:val="nil"/>
            </w:tcBorders>
            <w:shd w:val="clear" w:color="auto" w:fill="auto"/>
            <w:noWrap/>
          </w:tcPr>
          <w:p w14:paraId="51C1A1DC" w14:textId="2F896901" w:rsidR="007A340B" w:rsidRPr="00671706"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10.72</w:t>
            </w:r>
          </w:p>
        </w:tc>
        <w:tc>
          <w:tcPr>
            <w:tcW w:w="494" w:type="pct"/>
            <w:tcBorders>
              <w:left w:val="nil"/>
              <w:bottom w:val="single" w:sz="4" w:space="0" w:color="auto"/>
              <w:right w:val="nil"/>
            </w:tcBorders>
            <w:shd w:val="clear" w:color="auto" w:fill="auto"/>
            <w:noWrap/>
          </w:tcPr>
          <w:p w14:paraId="0C6B4C25" w14:textId="7464E50A" w:rsidR="007A340B" w:rsidRPr="00671706"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0.63/0.90</w:t>
            </w:r>
          </w:p>
        </w:tc>
        <w:tc>
          <w:tcPr>
            <w:tcW w:w="494" w:type="pct"/>
            <w:tcBorders>
              <w:left w:val="nil"/>
              <w:bottom w:val="single" w:sz="4" w:space="0" w:color="auto"/>
            </w:tcBorders>
          </w:tcPr>
          <w:p w14:paraId="0B54D081" w14:textId="51FE2EA1" w:rsidR="007A340B" w:rsidRPr="00671706"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36%</w:t>
            </w:r>
          </w:p>
        </w:tc>
        <w:tc>
          <w:tcPr>
            <w:tcW w:w="494" w:type="pct"/>
            <w:tcBorders>
              <w:bottom w:val="single" w:sz="4" w:space="0" w:color="auto"/>
              <w:right w:val="nil"/>
            </w:tcBorders>
          </w:tcPr>
          <w:p w14:paraId="4F407748" w14:textId="77777777" w:rsidR="007A340B"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0.74</w:t>
            </w:r>
          </w:p>
          <w:p w14:paraId="4FCFAD05" w14:textId="772CE80F" w:rsidR="007A340B" w:rsidRPr="00671706"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(0.66, 0.83)</w:t>
            </w:r>
          </w:p>
        </w:tc>
        <w:tc>
          <w:tcPr>
            <w:tcW w:w="370" w:type="pct"/>
            <w:tcBorders>
              <w:left w:val="nil"/>
              <w:bottom w:val="single" w:sz="4" w:space="0" w:color="auto"/>
              <w:right w:val="nil"/>
            </w:tcBorders>
          </w:tcPr>
          <w:p w14:paraId="6D2D6F95" w14:textId="033AF2F0" w:rsidR="007A340B" w:rsidRPr="00671706"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31.68%</w:t>
            </w:r>
          </w:p>
        </w:tc>
        <w:tc>
          <w:tcPr>
            <w:tcW w:w="495" w:type="pct"/>
            <w:tcBorders>
              <w:left w:val="nil"/>
              <w:bottom w:val="single" w:sz="4" w:space="0" w:color="auto"/>
              <w:right w:val="nil"/>
            </w:tcBorders>
          </w:tcPr>
          <w:p w14:paraId="031E8E02" w14:textId="515B2B6C" w:rsidR="007A340B" w:rsidRPr="00671706"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0.58/0.84</w:t>
            </w:r>
          </w:p>
        </w:tc>
        <w:tc>
          <w:tcPr>
            <w:tcW w:w="494" w:type="pct"/>
            <w:tcBorders>
              <w:left w:val="nil"/>
              <w:bottom w:val="single" w:sz="4" w:space="0" w:color="auto"/>
            </w:tcBorders>
          </w:tcPr>
          <w:p w14:paraId="463AA556" w14:textId="09C0C57F" w:rsidR="007A340B" w:rsidRPr="00671706" w:rsidRDefault="007A340B" w:rsidP="007A340B">
            <w:pPr>
              <w:pStyle w:val="NoSpacing"/>
              <w:rPr>
                <w:rFonts w:ascii="Times New Roman" w:hAnsi="Times New Roman" w:cs="Times New Roman"/>
                <w:sz w:val="18"/>
                <w:szCs w:val="18"/>
              </w:rPr>
            </w:pPr>
            <w:r w:rsidRPr="00671706">
              <w:rPr>
                <w:rFonts w:ascii="Times New Roman" w:hAnsi="Times New Roman" w:cs="Times New Roman"/>
                <w:sz w:val="18"/>
                <w:szCs w:val="18"/>
              </w:rPr>
              <w:t>37%</w:t>
            </w:r>
          </w:p>
        </w:tc>
      </w:tr>
      <w:tr w:rsidR="00C77FF3" w:rsidRPr="008656BC" w14:paraId="0E595D3E" w14:textId="77777777" w:rsidTr="003C313C">
        <w:trPr>
          <w:trHeight w:val="300"/>
          <w:jc w:val="center"/>
        </w:trPr>
        <w:tc>
          <w:tcPr>
            <w:tcW w:w="677" w:type="pct"/>
            <w:tcBorders>
              <w:right w:val="nil"/>
            </w:tcBorders>
            <w:shd w:val="clear" w:color="auto" w:fill="auto"/>
            <w:noWrap/>
          </w:tcPr>
          <w:p w14:paraId="7170E4A2" w14:textId="77777777" w:rsidR="007E68DB" w:rsidRPr="00671706" w:rsidRDefault="007E68DB" w:rsidP="00622715">
            <w:pPr>
              <w:pStyle w:val="NoSpacing"/>
              <w:rPr>
                <w:rFonts w:ascii="Times New Roman" w:hAnsi="Times New Roman" w:cs="Times New Roman"/>
                <w:b/>
                <w:sz w:val="18"/>
                <w:szCs w:val="18"/>
              </w:rPr>
            </w:pPr>
            <w:r w:rsidRPr="00671706">
              <w:rPr>
                <w:rFonts w:ascii="Times New Roman" w:hAnsi="Times New Roman" w:cs="Times New Roman"/>
                <w:b/>
                <w:sz w:val="18"/>
                <w:szCs w:val="18"/>
              </w:rPr>
              <w:t>Multi-Site Pain</w:t>
            </w:r>
          </w:p>
        </w:tc>
        <w:tc>
          <w:tcPr>
            <w:tcW w:w="617" w:type="pct"/>
            <w:tcBorders>
              <w:left w:val="nil"/>
              <w:right w:val="nil"/>
            </w:tcBorders>
          </w:tcPr>
          <w:p w14:paraId="62850949" w14:textId="77777777" w:rsidR="007E68DB" w:rsidRPr="00671706" w:rsidRDefault="007E68DB" w:rsidP="00622715">
            <w:pPr>
              <w:pStyle w:val="NoSpacing"/>
              <w:rPr>
                <w:rFonts w:ascii="Times New Roman" w:hAnsi="Times New Roman" w:cs="Times New Roman"/>
                <w:b/>
                <w:sz w:val="18"/>
                <w:szCs w:val="18"/>
              </w:rPr>
            </w:pPr>
          </w:p>
        </w:tc>
        <w:tc>
          <w:tcPr>
            <w:tcW w:w="495" w:type="pct"/>
            <w:tcBorders>
              <w:left w:val="nil"/>
              <w:bottom w:val="single" w:sz="4" w:space="0" w:color="auto"/>
              <w:right w:val="nil"/>
            </w:tcBorders>
            <w:shd w:val="clear" w:color="auto" w:fill="auto"/>
            <w:noWrap/>
          </w:tcPr>
          <w:p w14:paraId="1300180F" w14:textId="2E007493" w:rsidR="007E68DB" w:rsidRPr="00671706" w:rsidRDefault="007E68DB" w:rsidP="00622715">
            <w:pPr>
              <w:pStyle w:val="NoSpacing"/>
              <w:rPr>
                <w:rFonts w:ascii="Times New Roman" w:hAnsi="Times New Roman" w:cs="Times New Roman"/>
                <w:b/>
                <w:sz w:val="18"/>
                <w:szCs w:val="18"/>
              </w:rPr>
            </w:pPr>
          </w:p>
        </w:tc>
        <w:tc>
          <w:tcPr>
            <w:tcW w:w="370" w:type="pct"/>
            <w:tcBorders>
              <w:left w:val="nil"/>
              <w:bottom w:val="single" w:sz="4" w:space="0" w:color="auto"/>
              <w:right w:val="nil"/>
            </w:tcBorders>
            <w:shd w:val="clear" w:color="auto" w:fill="auto"/>
            <w:noWrap/>
          </w:tcPr>
          <w:p w14:paraId="05A7BF02" w14:textId="77777777" w:rsidR="007E68DB" w:rsidRPr="00671706" w:rsidRDefault="007E68DB" w:rsidP="00622715">
            <w:pPr>
              <w:pStyle w:val="NoSpacing"/>
              <w:rPr>
                <w:rFonts w:ascii="Times New Roman" w:hAnsi="Times New Roman" w:cs="Times New Roman"/>
                <w:b/>
                <w:sz w:val="18"/>
                <w:szCs w:val="18"/>
              </w:rPr>
            </w:pPr>
          </w:p>
        </w:tc>
        <w:tc>
          <w:tcPr>
            <w:tcW w:w="494" w:type="pct"/>
            <w:tcBorders>
              <w:left w:val="nil"/>
              <w:bottom w:val="single" w:sz="4" w:space="0" w:color="auto"/>
              <w:right w:val="nil"/>
            </w:tcBorders>
            <w:shd w:val="clear" w:color="auto" w:fill="auto"/>
            <w:noWrap/>
          </w:tcPr>
          <w:p w14:paraId="0F57751D" w14:textId="77777777" w:rsidR="007E68DB" w:rsidRPr="00671706" w:rsidRDefault="007E68DB" w:rsidP="00622715">
            <w:pPr>
              <w:pStyle w:val="NoSpacing"/>
              <w:rPr>
                <w:rFonts w:ascii="Times New Roman" w:hAnsi="Times New Roman" w:cs="Times New Roman"/>
                <w:b/>
                <w:sz w:val="18"/>
                <w:szCs w:val="18"/>
              </w:rPr>
            </w:pPr>
          </w:p>
        </w:tc>
        <w:tc>
          <w:tcPr>
            <w:tcW w:w="494" w:type="pct"/>
            <w:tcBorders>
              <w:left w:val="nil"/>
              <w:bottom w:val="single" w:sz="4" w:space="0" w:color="auto"/>
              <w:right w:val="nil"/>
            </w:tcBorders>
          </w:tcPr>
          <w:p w14:paraId="293494A8" w14:textId="77777777" w:rsidR="007E68DB" w:rsidRPr="00671706" w:rsidRDefault="007E68DB" w:rsidP="00622715">
            <w:pPr>
              <w:pStyle w:val="NoSpacing"/>
              <w:rPr>
                <w:rFonts w:ascii="Times New Roman" w:hAnsi="Times New Roman" w:cs="Times New Roman"/>
                <w:b/>
                <w:sz w:val="18"/>
                <w:szCs w:val="18"/>
              </w:rPr>
            </w:pPr>
          </w:p>
        </w:tc>
        <w:tc>
          <w:tcPr>
            <w:tcW w:w="494" w:type="pct"/>
            <w:tcBorders>
              <w:left w:val="nil"/>
              <w:bottom w:val="single" w:sz="4" w:space="0" w:color="auto"/>
              <w:right w:val="nil"/>
            </w:tcBorders>
          </w:tcPr>
          <w:p w14:paraId="6137B092" w14:textId="77777777" w:rsidR="007E68DB" w:rsidRPr="00671706" w:rsidRDefault="007E68DB" w:rsidP="00622715">
            <w:pPr>
              <w:pStyle w:val="NoSpacing"/>
              <w:rPr>
                <w:rFonts w:ascii="Times New Roman" w:hAnsi="Times New Roman" w:cs="Times New Roman"/>
                <w:b/>
                <w:sz w:val="18"/>
                <w:szCs w:val="18"/>
              </w:rPr>
            </w:pPr>
          </w:p>
        </w:tc>
        <w:tc>
          <w:tcPr>
            <w:tcW w:w="370" w:type="pct"/>
            <w:tcBorders>
              <w:left w:val="nil"/>
              <w:bottom w:val="single" w:sz="4" w:space="0" w:color="auto"/>
              <w:right w:val="nil"/>
            </w:tcBorders>
          </w:tcPr>
          <w:p w14:paraId="307DAC14" w14:textId="77777777" w:rsidR="007E68DB" w:rsidRPr="00671706" w:rsidRDefault="007E68DB" w:rsidP="00622715">
            <w:pPr>
              <w:pStyle w:val="NoSpacing"/>
              <w:rPr>
                <w:rFonts w:ascii="Times New Roman" w:hAnsi="Times New Roman" w:cs="Times New Roman"/>
                <w:b/>
                <w:sz w:val="18"/>
                <w:szCs w:val="18"/>
              </w:rPr>
            </w:pPr>
          </w:p>
        </w:tc>
        <w:tc>
          <w:tcPr>
            <w:tcW w:w="495" w:type="pct"/>
            <w:tcBorders>
              <w:left w:val="nil"/>
              <w:bottom w:val="single" w:sz="4" w:space="0" w:color="auto"/>
              <w:right w:val="nil"/>
            </w:tcBorders>
          </w:tcPr>
          <w:p w14:paraId="603F4957" w14:textId="77777777" w:rsidR="007E68DB" w:rsidRPr="00671706" w:rsidRDefault="007E68DB" w:rsidP="00622715">
            <w:pPr>
              <w:pStyle w:val="NoSpacing"/>
              <w:rPr>
                <w:rFonts w:ascii="Times New Roman" w:hAnsi="Times New Roman" w:cs="Times New Roman"/>
                <w:b/>
                <w:sz w:val="18"/>
                <w:szCs w:val="18"/>
              </w:rPr>
            </w:pPr>
          </w:p>
        </w:tc>
        <w:tc>
          <w:tcPr>
            <w:tcW w:w="494" w:type="pct"/>
            <w:tcBorders>
              <w:left w:val="nil"/>
              <w:bottom w:val="single" w:sz="4" w:space="0" w:color="auto"/>
            </w:tcBorders>
          </w:tcPr>
          <w:p w14:paraId="76ED72C8" w14:textId="77777777" w:rsidR="007E68DB" w:rsidRPr="00671706" w:rsidRDefault="007E68DB" w:rsidP="00622715">
            <w:pPr>
              <w:pStyle w:val="NoSpacing"/>
              <w:rPr>
                <w:rFonts w:ascii="Times New Roman" w:hAnsi="Times New Roman" w:cs="Times New Roman"/>
                <w:b/>
                <w:sz w:val="18"/>
                <w:szCs w:val="18"/>
              </w:rPr>
            </w:pPr>
          </w:p>
        </w:tc>
      </w:tr>
      <w:tr w:rsidR="00C77FF3" w:rsidRPr="008656BC" w14:paraId="12B8979D" w14:textId="77777777" w:rsidTr="003C313C">
        <w:trPr>
          <w:trHeight w:val="300"/>
          <w:jc w:val="center"/>
        </w:trPr>
        <w:tc>
          <w:tcPr>
            <w:tcW w:w="677" w:type="pct"/>
            <w:shd w:val="clear" w:color="auto" w:fill="auto"/>
            <w:noWrap/>
          </w:tcPr>
          <w:p w14:paraId="66A665BA" w14:textId="77777777" w:rsidR="00B467FE"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MSK-HQ</w:t>
            </w:r>
          </w:p>
          <w:p w14:paraId="155ACD4C" w14:textId="1E382EE0"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(n=35)</w:t>
            </w:r>
          </w:p>
        </w:tc>
        <w:tc>
          <w:tcPr>
            <w:tcW w:w="617" w:type="pct"/>
          </w:tcPr>
          <w:p w14:paraId="4740C6A6" w14:textId="36D05E2C" w:rsidR="007E68DB" w:rsidRPr="00671706" w:rsidRDefault="0085423F"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19</w:t>
            </w:r>
          </w:p>
        </w:tc>
        <w:tc>
          <w:tcPr>
            <w:tcW w:w="495" w:type="pct"/>
            <w:tcBorders>
              <w:right w:val="nil"/>
            </w:tcBorders>
            <w:shd w:val="clear" w:color="auto" w:fill="auto"/>
            <w:noWrap/>
          </w:tcPr>
          <w:p w14:paraId="0C0E0990" w14:textId="6C6B0A5C" w:rsidR="008656BC" w:rsidRDefault="007E68DB" w:rsidP="00B467FE">
            <w:pPr>
              <w:pStyle w:val="NoSpacing"/>
              <w:rPr>
                <w:rFonts w:ascii="Times New Roman" w:hAnsi="Times New Roman" w:cs="Times New Roman"/>
                <w:sz w:val="18"/>
                <w:szCs w:val="18"/>
              </w:rPr>
            </w:pPr>
            <w:r w:rsidRPr="00671706">
              <w:rPr>
                <w:rFonts w:ascii="Times New Roman" w:hAnsi="Times New Roman" w:cs="Times New Roman"/>
                <w:sz w:val="18"/>
                <w:szCs w:val="18"/>
              </w:rPr>
              <w:t>0.92</w:t>
            </w:r>
          </w:p>
          <w:p w14:paraId="578291CF" w14:textId="3B1ABE94" w:rsidR="007E68DB" w:rsidRPr="00671706" w:rsidRDefault="007E68DB" w:rsidP="00B467FE">
            <w:pPr>
              <w:pStyle w:val="NoSpacing"/>
              <w:rPr>
                <w:rFonts w:ascii="Times New Roman" w:hAnsi="Times New Roman" w:cs="Times New Roman"/>
                <w:sz w:val="18"/>
                <w:szCs w:val="18"/>
              </w:rPr>
            </w:pPr>
            <w:r w:rsidRPr="00671706">
              <w:rPr>
                <w:rFonts w:ascii="Times New Roman" w:hAnsi="Times New Roman" w:cs="Times New Roman"/>
                <w:sz w:val="18"/>
                <w:szCs w:val="18"/>
              </w:rPr>
              <w:t>(0.82, 1.00)</w:t>
            </w:r>
          </w:p>
        </w:tc>
        <w:tc>
          <w:tcPr>
            <w:tcW w:w="370" w:type="pct"/>
            <w:tcBorders>
              <w:left w:val="nil"/>
              <w:right w:val="nil"/>
            </w:tcBorders>
            <w:shd w:val="clear" w:color="auto" w:fill="auto"/>
            <w:noWrap/>
          </w:tcPr>
          <w:p w14:paraId="47208AB0"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0.50</w:t>
            </w:r>
          </w:p>
        </w:tc>
        <w:tc>
          <w:tcPr>
            <w:tcW w:w="494" w:type="pct"/>
            <w:tcBorders>
              <w:left w:val="nil"/>
              <w:right w:val="nil"/>
            </w:tcBorders>
            <w:shd w:val="clear" w:color="auto" w:fill="auto"/>
            <w:noWrap/>
          </w:tcPr>
          <w:p w14:paraId="46756FA2"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0.81/0.95</w:t>
            </w:r>
          </w:p>
        </w:tc>
        <w:tc>
          <w:tcPr>
            <w:tcW w:w="494" w:type="pct"/>
            <w:tcBorders>
              <w:left w:val="nil"/>
            </w:tcBorders>
          </w:tcPr>
          <w:p w14:paraId="224870B2"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60%</w:t>
            </w:r>
          </w:p>
        </w:tc>
        <w:tc>
          <w:tcPr>
            <w:tcW w:w="494" w:type="pct"/>
            <w:tcBorders>
              <w:right w:val="nil"/>
            </w:tcBorders>
          </w:tcPr>
          <w:p w14:paraId="4FCFA965" w14:textId="61795418" w:rsidR="00B467FE" w:rsidRDefault="007E68DB" w:rsidP="00B467FE">
            <w:pPr>
              <w:pStyle w:val="NoSpacing"/>
              <w:rPr>
                <w:rFonts w:ascii="Times New Roman" w:hAnsi="Times New Roman" w:cs="Times New Roman"/>
                <w:sz w:val="18"/>
                <w:szCs w:val="18"/>
              </w:rPr>
            </w:pPr>
            <w:r w:rsidRPr="00671706">
              <w:rPr>
                <w:rFonts w:ascii="Times New Roman" w:hAnsi="Times New Roman" w:cs="Times New Roman"/>
                <w:sz w:val="18"/>
                <w:szCs w:val="18"/>
              </w:rPr>
              <w:t>0.9</w:t>
            </w:r>
          </w:p>
          <w:p w14:paraId="50182425" w14:textId="567B35E6" w:rsidR="007E68DB" w:rsidRPr="00671706" w:rsidRDefault="007E68DB" w:rsidP="00B467FE">
            <w:pPr>
              <w:pStyle w:val="NoSpacing"/>
              <w:rPr>
                <w:rFonts w:ascii="Times New Roman" w:hAnsi="Times New Roman" w:cs="Times New Roman"/>
                <w:sz w:val="18"/>
                <w:szCs w:val="18"/>
              </w:rPr>
            </w:pPr>
            <w:r w:rsidRPr="00671706">
              <w:rPr>
                <w:rFonts w:ascii="Times New Roman" w:hAnsi="Times New Roman" w:cs="Times New Roman"/>
                <w:sz w:val="18"/>
                <w:szCs w:val="18"/>
              </w:rPr>
              <w:t>(0.79, 1.00)</w:t>
            </w:r>
          </w:p>
        </w:tc>
        <w:tc>
          <w:tcPr>
            <w:tcW w:w="370" w:type="pct"/>
            <w:tcBorders>
              <w:left w:val="nil"/>
              <w:right w:val="nil"/>
            </w:tcBorders>
          </w:tcPr>
          <w:p w14:paraId="492F8438"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2.00%</w:t>
            </w:r>
          </w:p>
        </w:tc>
        <w:tc>
          <w:tcPr>
            <w:tcW w:w="495" w:type="pct"/>
            <w:tcBorders>
              <w:left w:val="nil"/>
              <w:right w:val="nil"/>
            </w:tcBorders>
          </w:tcPr>
          <w:p w14:paraId="3EF03DF2"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0.95/0.81</w:t>
            </w:r>
          </w:p>
        </w:tc>
        <w:tc>
          <w:tcPr>
            <w:tcW w:w="494" w:type="pct"/>
            <w:tcBorders>
              <w:left w:val="nil"/>
            </w:tcBorders>
          </w:tcPr>
          <w:p w14:paraId="21855272"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60%</w:t>
            </w:r>
          </w:p>
        </w:tc>
      </w:tr>
      <w:tr w:rsidR="00C77FF3" w:rsidRPr="008656BC" w14:paraId="60E4B82B" w14:textId="77777777" w:rsidTr="003C313C">
        <w:trPr>
          <w:trHeight w:val="300"/>
          <w:jc w:val="center"/>
        </w:trPr>
        <w:tc>
          <w:tcPr>
            <w:tcW w:w="677" w:type="pct"/>
            <w:shd w:val="clear" w:color="auto" w:fill="auto"/>
            <w:noWrap/>
          </w:tcPr>
          <w:p w14:paraId="55E3B2A5" w14:textId="77777777" w:rsidR="00B467FE"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EQ-5D-5L</w:t>
            </w:r>
          </w:p>
          <w:p w14:paraId="4E9D1E5A" w14:textId="069C137C"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(n=34)</w:t>
            </w:r>
          </w:p>
        </w:tc>
        <w:tc>
          <w:tcPr>
            <w:tcW w:w="617" w:type="pct"/>
          </w:tcPr>
          <w:p w14:paraId="10B6F63E" w14:textId="53531EB9" w:rsidR="007E68DB" w:rsidRPr="00671706" w:rsidRDefault="0085423F"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19</w:t>
            </w:r>
          </w:p>
        </w:tc>
        <w:tc>
          <w:tcPr>
            <w:tcW w:w="495" w:type="pct"/>
            <w:tcBorders>
              <w:right w:val="nil"/>
            </w:tcBorders>
            <w:shd w:val="clear" w:color="auto" w:fill="auto"/>
            <w:noWrap/>
          </w:tcPr>
          <w:p w14:paraId="55BCACAD" w14:textId="2CA42BB4" w:rsidR="008656BC" w:rsidRDefault="007E68DB" w:rsidP="00B467FE">
            <w:pPr>
              <w:pStyle w:val="NoSpacing"/>
              <w:rPr>
                <w:rFonts w:ascii="Times New Roman" w:hAnsi="Times New Roman" w:cs="Times New Roman"/>
                <w:sz w:val="18"/>
                <w:szCs w:val="18"/>
              </w:rPr>
            </w:pPr>
            <w:r w:rsidRPr="00671706">
              <w:rPr>
                <w:rFonts w:ascii="Times New Roman" w:hAnsi="Times New Roman" w:cs="Times New Roman"/>
                <w:sz w:val="18"/>
                <w:szCs w:val="18"/>
              </w:rPr>
              <w:t>0.61</w:t>
            </w:r>
          </w:p>
          <w:p w14:paraId="7CA244FF" w14:textId="17B3547B" w:rsidR="007E68DB" w:rsidRPr="00671706" w:rsidRDefault="007E68DB" w:rsidP="00B467FE">
            <w:pPr>
              <w:pStyle w:val="NoSpacing"/>
              <w:rPr>
                <w:rFonts w:ascii="Times New Roman" w:hAnsi="Times New Roman" w:cs="Times New Roman"/>
                <w:sz w:val="18"/>
                <w:szCs w:val="18"/>
              </w:rPr>
            </w:pPr>
            <w:r w:rsidRPr="00671706">
              <w:rPr>
                <w:rFonts w:ascii="Times New Roman" w:hAnsi="Times New Roman" w:cs="Times New Roman"/>
                <w:sz w:val="18"/>
                <w:szCs w:val="18"/>
              </w:rPr>
              <w:t>(0.61, 0.81)</w:t>
            </w:r>
          </w:p>
        </w:tc>
        <w:tc>
          <w:tcPr>
            <w:tcW w:w="370" w:type="pct"/>
            <w:tcBorders>
              <w:left w:val="nil"/>
              <w:right w:val="nil"/>
            </w:tcBorders>
            <w:shd w:val="clear" w:color="auto" w:fill="auto"/>
            <w:noWrap/>
          </w:tcPr>
          <w:p w14:paraId="783DF6D3"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0.05</w:t>
            </w:r>
          </w:p>
        </w:tc>
        <w:tc>
          <w:tcPr>
            <w:tcW w:w="494" w:type="pct"/>
            <w:tcBorders>
              <w:left w:val="nil"/>
              <w:right w:val="nil"/>
            </w:tcBorders>
            <w:shd w:val="clear" w:color="auto" w:fill="auto"/>
            <w:noWrap/>
          </w:tcPr>
          <w:p w14:paraId="7C32F728"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0.61/0.69</w:t>
            </w:r>
          </w:p>
        </w:tc>
        <w:tc>
          <w:tcPr>
            <w:tcW w:w="494" w:type="pct"/>
            <w:tcBorders>
              <w:left w:val="nil"/>
            </w:tcBorders>
          </w:tcPr>
          <w:p w14:paraId="4A40B922"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47%</w:t>
            </w:r>
          </w:p>
        </w:tc>
        <w:tc>
          <w:tcPr>
            <w:tcW w:w="494" w:type="pct"/>
            <w:tcBorders>
              <w:right w:val="nil"/>
            </w:tcBorders>
          </w:tcPr>
          <w:p w14:paraId="2FAF0B9C" w14:textId="77777777" w:rsidR="00B467FE"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0.66</w:t>
            </w:r>
          </w:p>
          <w:p w14:paraId="300B3414" w14:textId="312D5FF3"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(0.47, 0.86)</w:t>
            </w:r>
          </w:p>
        </w:tc>
        <w:tc>
          <w:tcPr>
            <w:tcW w:w="370" w:type="pct"/>
            <w:tcBorders>
              <w:left w:val="nil"/>
              <w:right w:val="nil"/>
            </w:tcBorders>
          </w:tcPr>
          <w:p w14:paraId="38D9BE3B"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6.44%</w:t>
            </w:r>
          </w:p>
        </w:tc>
        <w:tc>
          <w:tcPr>
            <w:tcW w:w="495" w:type="pct"/>
            <w:tcBorders>
              <w:left w:val="nil"/>
              <w:right w:val="nil"/>
            </w:tcBorders>
          </w:tcPr>
          <w:p w14:paraId="1463A48B"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0.67/0.69</w:t>
            </w:r>
          </w:p>
        </w:tc>
        <w:tc>
          <w:tcPr>
            <w:tcW w:w="494" w:type="pct"/>
            <w:tcBorders>
              <w:left w:val="nil"/>
            </w:tcBorders>
          </w:tcPr>
          <w:p w14:paraId="4DAC2A6F"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53%</w:t>
            </w:r>
          </w:p>
        </w:tc>
      </w:tr>
      <w:tr w:rsidR="00C77FF3" w:rsidRPr="008656BC" w14:paraId="771D064F" w14:textId="77777777" w:rsidTr="003C313C">
        <w:trPr>
          <w:trHeight w:val="300"/>
          <w:jc w:val="center"/>
        </w:trPr>
        <w:tc>
          <w:tcPr>
            <w:tcW w:w="677" w:type="pct"/>
            <w:shd w:val="clear" w:color="auto" w:fill="auto"/>
            <w:noWrap/>
            <w:hideMark/>
          </w:tcPr>
          <w:p w14:paraId="417A2D47"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SF-12 PCS (n=35)</w:t>
            </w:r>
          </w:p>
        </w:tc>
        <w:tc>
          <w:tcPr>
            <w:tcW w:w="617" w:type="pct"/>
          </w:tcPr>
          <w:p w14:paraId="76A973A3" w14:textId="2A9C0C4F" w:rsidR="007E68DB" w:rsidRPr="00671706" w:rsidRDefault="0085423F"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19</w:t>
            </w:r>
          </w:p>
        </w:tc>
        <w:tc>
          <w:tcPr>
            <w:tcW w:w="495" w:type="pct"/>
            <w:tcBorders>
              <w:right w:val="nil"/>
            </w:tcBorders>
            <w:shd w:val="clear" w:color="auto" w:fill="auto"/>
            <w:noWrap/>
          </w:tcPr>
          <w:p w14:paraId="2D24448E" w14:textId="77777777" w:rsidR="008656BC"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0.57</w:t>
            </w:r>
          </w:p>
          <w:p w14:paraId="0727C69A" w14:textId="34C6B2A9"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(0.37, 0.68)</w:t>
            </w:r>
          </w:p>
        </w:tc>
        <w:tc>
          <w:tcPr>
            <w:tcW w:w="370" w:type="pct"/>
            <w:tcBorders>
              <w:left w:val="nil"/>
              <w:right w:val="nil"/>
            </w:tcBorders>
            <w:shd w:val="clear" w:color="auto" w:fill="auto"/>
            <w:noWrap/>
          </w:tcPr>
          <w:p w14:paraId="1BFAB234"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0.35</w:t>
            </w:r>
          </w:p>
        </w:tc>
        <w:tc>
          <w:tcPr>
            <w:tcW w:w="494" w:type="pct"/>
            <w:tcBorders>
              <w:left w:val="nil"/>
              <w:right w:val="nil"/>
            </w:tcBorders>
            <w:shd w:val="clear" w:color="auto" w:fill="auto"/>
            <w:noWrap/>
          </w:tcPr>
          <w:p w14:paraId="7B932777"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0.68/0.50</w:t>
            </w:r>
          </w:p>
        </w:tc>
        <w:tc>
          <w:tcPr>
            <w:tcW w:w="494" w:type="pct"/>
            <w:tcBorders>
              <w:left w:val="nil"/>
            </w:tcBorders>
          </w:tcPr>
          <w:p w14:paraId="575DF15F"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60%</w:t>
            </w:r>
          </w:p>
        </w:tc>
        <w:tc>
          <w:tcPr>
            <w:tcW w:w="494" w:type="pct"/>
            <w:tcBorders>
              <w:right w:val="nil"/>
            </w:tcBorders>
          </w:tcPr>
          <w:p w14:paraId="2850E4CA" w14:textId="45C0DEE0" w:rsidR="00B467FE" w:rsidRDefault="007E68DB" w:rsidP="00B467FE">
            <w:pPr>
              <w:pStyle w:val="NoSpacing"/>
              <w:rPr>
                <w:rFonts w:ascii="Times New Roman" w:hAnsi="Times New Roman" w:cs="Times New Roman"/>
                <w:sz w:val="18"/>
                <w:szCs w:val="18"/>
              </w:rPr>
            </w:pPr>
            <w:r w:rsidRPr="00671706">
              <w:rPr>
                <w:rFonts w:ascii="Times New Roman" w:hAnsi="Times New Roman" w:cs="Times New Roman"/>
                <w:sz w:val="18"/>
                <w:szCs w:val="18"/>
              </w:rPr>
              <w:t>0.59</w:t>
            </w:r>
          </w:p>
          <w:p w14:paraId="4A01AE24" w14:textId="36B3BC70" w:rsidR="007E68DB" w:rsidRPr="00671706" w:rsidRDefault="007E68DB" w:rsidP="00B467FE">
            <w:pPr>
              <w:pStyle w:val="NoSpacing"/>
              <w:rPr>
                <w:rFonts w:ascii="Times New Roman" w:hAnsi="Times New Roman" w:cs="Times New Roman"/>
                <w:sz w:val="18"/>
                <w:szCs w:val="18"/>
              </w:rPr>
            </w:pPr>
            <w:r w:rsidRPr="00671706">
              <w:rPr>
                <w:rFonts w:ascii="Times New Roman" w:hAnsi="Times New Roman" w:cs="Times New Roman"/>
                <w:sz w:val="18"/>
                <w:szCs w:val="18"/>
              </w:rPr>
              <w:t>(0.39, 0.78)</w:t>
            </w:r>
          </w:p>
        </w:tc>
        <w:tc>
          <w:tcPr>
            <w:tcW w:w="370" w:type="pct"/>
            <w:tcBorders>
              <w:left w:val="nil"/>
              <w:right w:val="nil"/>
            </w:tcBorders>
          </w:tcPr>
          <w:p w14:paraId="3D8272BF"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0.97%</w:t>
            </w:r>
          </w:p>
        </w:tc>
        <w:tc>
          <w:tcPr>
            <w:tcW w:w="495" w:type="pct"/>
            <w:tcBorders>
              <w:left w:val="nil"/>
              <w:right w:val="nil"/>
            </w:tcBorders>
          </w:tcPr>
          <w:p w14:paraId="5078D0CB"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0.68/0.50</w:t>
            </w:r>
          </w:p>
        </w:tc>
        <w:tc>
          <w:tcPr>
            <w:tcW w:w="494" w:type="pct"/>
            <w:tcBorders>
              <w:left w:val="nil"/>
            </w:tcBorders>
          </w:tcPr>
          <w:p w14:paraId="45EED98E" w14:textId="77777777" w:rsidR="007E68DB" w:rsidRPr="00671706" w:rsidRDefault="007E68DB" w:rsidP="00622715">
            <w:pPr>
              <w:pStyle w:val="NoSpacing"/>
              <w:rPr>
                <w:rFonts w:ascii="Times New Roman" w:hAnsi="Times New Roman" w:cs="Times New Roman"/>
                <w:sz w:val="18"/>
                <w:szCs w:val="18"/>
              </w:rPr>
            </w:pPr>
            <w:r w:rsidRPr="00671706">
              <w:rPr>
                <w:rFonts w:ascii="Times New Roman" w:hAnsi="Times New Roman" w:cs="Times New Roman"/>
                <w:sz w:val="18"/>
                <w:szCs w:val="18"/>
              </w:rPr>
              <w:t>60%</w:t>
            </w:r>
          </w:p>
        </w:tc>
      </w:tr>
    </w:tbl>
    <w:bookmarkEnd w:id="2"/>
    <w:p w14:paraId="70D21234" w14:textId="376C3F8F" w:rsidR="005E06D3" w:rsidRPr="004E02F0" w:rsidRDefault="00B467FE" w:rsidP="005E06D3">
      <w:pPr>
        <w:pStyle w:val="NoSpacing"/>
        <w:jc w:val="center"/>
      </w:pPr>
      <w:r>
        <w:rPr>
          <w:rFonts w:ascii="Times New Roman" w:hAnsi="Times New Roman" w:cs="Times New Roman"/>
        </w:rPr>
        <w:t>No./n=number;</w:t>
      </w:r>
      <w:r w:rsidR="00197EE3">
        <w:rPr>
          <w:rFonts w:ascii="Times New Roman" w:hAnsi="Times New Roman" w:cs="Times New Roman"/>
        </w:rPr>
        <w:t xml:space="preserve"> No. reporting global improvement = number of patients with available data reporting improvement in their patient global score at 6 months;</w:t>
      </w:r>
      <w:r>
        <w:rPr>
          <w:rFonts w:ascii="Times New Roman" w:hAnsi="Times New Roman" w:cs="Times New Roman"/>
        </w:rPr>
        <w:t xml:space="preserve"> </w:t>
      </w:r>
      <w:r w:rsidR="005E06D3" w:rsidRPr="004E02F0">
        <w:rPr>
          <w:rFonts w:ascii="Times New Roman" w:hAnsi="Times New Roman" w:cs="Times New Roman"/>
        </w:rPr>
        <w:t>M</w:t>
      </w:r>
      <w:r w:rsidR="0033745D">
        <w:rPr>
          <w:rFonts w:ascii="Times New Roman" w:hAnsi="Times New Roman" w:cs="Times New Roman"/>
        </w:rPr>
        <w:t>C</w:t>
      </w:r>
      <w:r w:rsidR="005E06D3" w:rsidRPr="004E02F0">
        <w:rPr>
          <w:rFonts w:ascii="Times New Roman" w:hAnsi="Times New Roman" w:cs="Times New Roman"/>
        </w:rPr>
        <w:t xml:space="preserve">ID = Minimal </w:t>
      </w:r>
      <w:r w:rsidR="0033745D">
        <w:rPr>
          <w:rFonts w:ascii="Times New Roman" w:hAnsi="Times New Roman" w:cs="Times New Roman"/>
        </w:rPr>
        <w:t xml:space="preserve">Clinically </w:t>
      </w:r>
      <w:r w:rsidR="005E06D3" w:rsidRPr="004E02F0">
        <w:rPr>
          <w:rFonts w:ascii="Times New Roman" w:hAnsi="Times New Roman" w:cs="Times New Roman"/>
        </w:rPr>
        <w:t xml:space="preserve">Important Difference; </w:t>
      </w:r>
      <w:r w:rsidR="0033745D">
        <w:rPr>
          <w:rFonts w:ascii="Times New Roman" w:hAnsi="Times New Roman" w:cs="Times New Roman"/>
        </w:rPr>
        <w:t xml:space="preserve">MCID </w:t>
      </w:r>
      <w:r w:rsidR="001A5606">
        <w:rPr>
          <w:rFonts w:ascii="Times New Roman" w:hAnsi="Times New Roman" w:cs="Times New Roman"/>
        </w:rPr>
        <w:t>calculated using anchor-</w:t>
      </w:r>
      <w:r w:rsidR="005E06D3" w:rsidRPr="004E02F0">
        <w:rPr>
          <w:rFonts w:ascii="Times New Roman" w:hAnsi="Times New Roman" w:cs="Times New Roman"/>
        </w:rPr>
        <w:t>based method; sensitivity and specificity given for M</w:t>
      </w:r>
      <w:r w:rsidR="0033745D">
        <w:rPr>
          <w:rFonts w:ascii="Times New Roman" w:hAnsi="Times New Roman" w:cs="Times New Roman"/>
        </w:rPr>
        <w:t>C</w:t>
      </w:r>
      <w:r w:rsidR="005E06D3" w:rsidRPr="004E02F0">
        <w:rPr>
          <w:rFonts w:ascii="Times New Roman" w:hAnsi="Times New Roman" w:cs="Times New Roman"/>
        </w:rPr>
        <w:t>ID at differentiating between patients with and without an improvement in their patient global score at 6 months (health transition anchor)</w:t>
      </w:r>
      <w:r w:rsidR="0033745D">
        <w:rPr>
          <w:rFonts w:ascii="Times New Roman" w:hAnsi="Times New Roman" w:cs="Times New Roman"/>
        </w:rPr>
        <w:t xml:space="preserve">; relative 6-month change score is the change in the PROM score as a proportion of the baseline score; % </w:t>
      </w:r>
      <w:r w:rsidR="008C57E6">
        <w:rPr>
          <w:rFonts w:ascii="Times New Roman" w:hAnsi="Times New Roman" w:cs="Times New Roman"/>
        </w:rPr>
        <w:t>attained</w:t>
      </w:r>
      <w:r w:rsidR="00197EE3">
        <w:rPr>
          <w:rFonts w:ascii="Times New Roman" w:hAnsi="Times New Roman" w:cs="Times New Roman"/>
        </w:rPr>
        <w:t xml:space="preserve"> MCID =</w:t>
      </w:r>
      <w:r w:rsidR="008C57E6">
        <w:rPr>
          <w:rFonts w:ascii="Times New Roman" w:hAnsi="Times New Roman" w:cs="Times New Roman"/>
        </w:rPr>
        <w:t xml:space="preserve"> </w:t>
      </w:r>
      <w:r w:rsidR="0033745D">
        <w:rPr>
          <w:rFonts w:ascii="Times New Roman" w:hAnsi="Times New Roman" w:cs="Times New Roman"/>
        </w:rPr>
        <w:t>the proportion of patients attaining the MCID</w:t>
      </w:r>
      <w:r w:rsidR="005E06D3" w:rsidRPr="004E02F0">
        <w:rPr>
          <w:rFonts w:ascii="Times New Roman" w:hAnsi="Times New Roman" w:cs="Times New Roman"/>
        </w:rPr>
        <w:t>.</w:t>
      </w:r>
    </w:p>
    <w:p w14:paraId="6F28686B" w14:textId="77777777" w:rsidR="005E06D3" w:rsidRDefault="005E06D3">
      <w:pPr>
        <w:rPr>
          <w:rFonts w:ascii="Times New Roman" w:hAnsi="Times New Roman" w:cs="Times New Roman"/>
          <w:b/>
          <w:sz w:val="24"/>
          <w:szCs w:val="24"/>
        </w:rPr>
      </w:pPr>
    </w:p>
    <w:p w14:paraId="07A87D61" w14:textId="77777777" w:rsidR="005E06D3" w:rsidRDefault="005E06D3">
      <w:pPr>
        <w:rPr>
          <w:rFonts w:ascii="Times New Roman" w:hAnsi="Times New Roman" w:cs="Times New Roman"/>
          <w:b/>
          <w:sz w:val="24"/>
          <w:szCs w:val="24"/>
        </w:rPr>
      </w:pPr>
      <w:r>
        <w:rPr>
          <w:rFonts w:ascii="Times New Roman" w:hAnsi="Times New Roman" w:cs="Times New Roman"/>
          <w:b/>
          <w:sz w:val="24"/>
          <w:szCs w:val="24"/>
        </w:rPr>
        <w:br w:type="page"/>
      </w:r>
    </w:p>
    <w:p w14:paraId="00EF9F90" w14:textId="5AFCDBB7" w:rsidR="00A55F7E" w:rsidRPr="0046406A" w:rsidRDefault="00A55F7E" w:rsidP="00A55F7E">
      <w:pPr>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Table 3.</w:t>
      </w:r>
      <w:r w:rsidRPr="0046406A">
        <w:rPr>
          <w:rFonts w:ascii="Times New Roman" w:hAnsi="Times New Roman" w:cs="Times New Roman"/>
          <w:b/>
          <w:noProof/>
          <w:sz w:val="24"/>
          <w:szCs w:val="24"/>
        </w:rPr>
        <w:t xml:space="preserve"> Correlation</w:t>
      </w:r>
      <w:r>
        <w:rPr>
          <w:rFonts w:ascii="Times New Roman" w:hAnsi="Times New Roman" w:cs="Times New Roman"/>
          <w:b/>
          <w:noProof/>
          <w:sz w:val="24"/>
          <w:szCs w:val="24"/>
        </w:rPr>
        <w:t>s</w:t>
      </w:r>
      <w:r w:rsidRPr="0046406A">
        <w:rPr>
          <w:rFonts w:ascii="Times New Roman" w:hAnsi="Times New Roman" w:cs="Times New Roman"/>
          <w:b/>
          <w:noProof/>
          <w:sz w:val="24"/>
          <w:szCs w:val="24"/>
        </w:rPr>
        <w:t xml:space="preserve"> between 6-</w:t>
      </w:r>
      <w:r w:rsidR="00C373B8">
        <w:rPr>
          <w:rFonts w:ascii="Times New Roman" w:hAnsi="Times New Roman" w:cs="Times New Roman"/>
          <w:b/>
          <w:noProof/>
          <w:sz w:val="24"/>
          <w:szCs w:val="24"/>
        </w:rPr>
        <w:t>Month Changes in MSK-HQ, EQ-5D-5</w:t>
      </w:r>
      <w:r w:rsidRPr="0046406A">
        <w:rPr>
          <w:rFonts w:ascii="Times New Roman" w:hAnsi="Times New Roman" w:cs="Times New Roman"/>
          <w:b/>
          <w:noProof/>
          <w:sz w:val="24"/>
          <w:szCs w:val="24"/>
        </w:rPr>
        <w:t xml:space="preserve">L and Site-Specific PROM scores, and Patient Global Assessment of Change in MSK </w:t>
      </w:r>
      <w:r w:rsidR="009639B5">
        <w:rPr>
          <w:rFonts w:ascii="Times New Roman" w:hAnsi="Times New Roman" w:cs="Times New Roman"/>
          <w:b/>
          <w:noProof/>
          <w:sz w:val="24"/>
          <w:szCs w:val="24"/>
        </w:rPr>
        <w:t xml:space="preserve">Condition </w:t>
      </w:r>
      <w:r>
        <w:rPr>
          <w:rFonts w:ascii="Times New Roman" w:hAnsi="Times New Roman" w:cs="Times New Roman"/>
          <w:b/>
          <w:noProof/>
          <w:sz w:val="24"/>
          <w:szCs w:val="24"/>
        </w:rPr>
        <w:t>Scores</w:t>
      </w:r>
    </w:p>
    <w:tbl>
      <w:tblPr>
        <w:tblStyle w:val="TableGrid"/>
        <w:tblW w:w="0" w:type="auto"/>
        <w:jc w:val="center"/>
        <w:tblLook w:val="04A0" w:firstRow="1" w:lastRow="0" w:firstColumn="1" w:lastColumn="0" w:noHBand="0" w:noVBand="1"/>
      </w:tblPr>
      <w:tblGrid>
        <w:gridCol w:w="1555"/>
        <w:gridCol w:w="1701"/>
        <w:gridCol w:w="2268"/>
      </w:tblGrid>
      <w:tr w:rsidR="004B2E46" w:rsidRPr="00DD0E35" w14:paraId="5D573FE5" w14:textId="77777777" w:rsidTr="0008354B">
        <w:trPr>
          <w:jc w:val="center"/>
        </w:trPr>
        <w:tc>
          <w:tcPr>
            <w:tcW w:w="1555" w:type="dxa"/>
            <w:tcBorders>
              <w:top w:val="single" w:sz="4" w:space="0" w:color="auto"/>
              <w:left w:val="single" w:sz="4" w:space="0" w:color="auto"/>
              <w:bottom w:val="single" w:sz="4" w:space="0" w:color="auto"/>
              <w:right w:val="nil"/>
            </w:tcBorders>
            <w:hideMark/>
          </w:tcPr>
          <w:p w14:paraId="7E888361" w14:textId="77777777" w:rsidR="004B2E46" w:rsidRPr="00DD0E35" w:rsidRDefault="004B2E46" w:rsidP="0008354B">
            <w:pPr>
              <w:pStyle w:val="NoSpacing"/>
              <w:jc w:val="both"/>
              <w:rPr>
                <w:rFonts w:ascii="Times New Roman" w:hAnsi="Times New Roman" w:cs="Times New Roman"/>
                <w:b/>
                <w:noProof/>
                <w:sz w:val="24"/>
                <w:szCs w:val="24"/>
              </w:rPr>
            </w:pPr>
            <w:r w:rsidRPr="00DD0E35">
              <w:rPr>
                <w:rFonts w:ascii="Times New Roman" w:hAnsi="Times New Roman" w:cs="Times New Roman"/>
                <w:b/>
                <w:noProof/>
                <w:sz w:val="24"/>
                <w:szCs w:val="24"/>
              </w:rPr>
              <w:t>PROM</w:t>
            </w:r>
          </w:p>
        </w:tc>
        <w:tc>
          <w:tcPr>
            <w:tcW w:w="3969" w:type="dxa"/>
            <w:gridSpan w:val="2"/>
            <w:tcBorders>
              <w:top w:val="single" w:sz="4" w:space="0" w:color="auto"/>
              <w:left w:val="nil"/>
              <w:bottom w:val="single" w:sz="4" w:space="0" w:color="auto"/>
              <w:right w:val="single" w:sz="4" w:space="0" w:color="auto"/>
            </w:tcBorders>
            <w:hideMark/>
          </w:tcPr>
          <w:p w14:paraId="562511C1" w14:textId="77777777" w:rsidR="004B2E46" w:rsidRPr="00DD0E35" w:rsidRDefault="004B2E46" w:rsidP="0008354B">
            <w:pPr>
              <w:pStyle w:val="NoSpacing"/>
              <w:jc w:val="both"/>
              <w:rPr>
                <w:rFonts w:ascii="Times New Roman" w:hAnsi="Times New Roman" w:cs="Times New Roman"/>
                <w:b/>
                <w:noProof/>
                <w:sz w:val="24"/>
                <w:szCs w:val="24"/>
              </w:rPr>
            </w:pPr>
            <w:r w:rsidRPr="00DD0E35">
              <w:rPr>
                <w:rFonts w:ascii="Times New Roman" w:hAnsi="Times New Roman" w:cs="Times New Roman"/>
                <w:b/>
                <w:noProof/>
                <w:sz w:val="24"/>
                <w:szCs w:val="24"/>
              </w:rPr>
              <w:t>Correlation Co-efficient</w:t>
            </w:r>
          </w:p>
          <w:p w14:paraId="6726FA25" w14:textId="77777777" w:rsidR="004B2E46" w:rsidRPr="00DD0E35" w:rsidRDefault="004B2E46" w:rsidP="0008354B">
            <w:pPr>
              <w:pStyle w:val="NoSpacing"/>
              <w:jc w:val="both"/>
              <w:rPr>
                <w:rFonts w:ascii="Times New Roman" w:hAnsi="Times New Roman" w:cs="Times New Roman"/>
                <w:b/>
                <w:noProof/>
                <w:sz w:val="24"/>
                <w:szCs w:val="24"/>
              </w:rPr>
            </w:pPr>
            <w:r w:rsidRPr="00DD0E35">
              <w:rPr>
                <w:rFonts w:ascii="Times New Roman" w:hAnsi="Times New Roman" w:cs="Times New Roman"/>
                <w:b/>
                <w:noProof/>
                <w:sz w:val="24"/>
                <w:szCs w:val="24"/>
              </w:rPr>
              <w:t>(95% Confidence Interval)</w:t>
            </w:r>
          </w:p>
        </w:tc>
      </w:tr>
      <w:tr w:rsidR="004B2E46" w:rsidRPr="00DD0E35" w14:paraId="330727EA" w14:textId="77777777" w:rsidTr="0008354B">
        <w:trPr>
          <w:jc w:val="center"/>
        </w:trPr>
        <w:tc>
          <w:tcPr>
            <w:tcW w:w="1555" w:type="dxa"/>
            <w:tcBorders>
              <w:top w:val="single" w:sz="4" w:space="0" w:color="auto"/>
              <w:left w:val="single" w:sz="4" w:space="0" w:color="auto"/>
              <w:bottom w:val="nil"/>
              <w:right w:val="nil"/>
            </w:tcBorders>
            <w:hideMark/>
          </w:tcPr>
          <w:p w14:paraId="773B27F4" w14:textId="77777777" w:rsidR="004B2E46" w:rsidRPr="00DD0E35" w:rsidRDefault="004B2E46" w:rsidP="0008354B">
            <w:pPr>
              <w:pStyle w:val="NoSpacing"/>
              <w:jc w:val="both"/>
              <w:rPr>
                <w:rFonts w:ascii="Times New Roman" w:hAnsi="Times New Roman" w:cs="Times New Roman"/>
                <w:b/>
                <w:noProof/>
                <w:sz w:val="24"/>
                <w:szCs w:val="24"/>
              </w:rPr>
            </w:pPr>
            <w:r w:rsidRPr="00DD0E35">
              <w:rPr>
                <w:rFonts w:ascii="Times New Roman" w:hAnsi="Times New Roman" w:cs="Times New Roman"/>
                <w:sz w:val="24"/>
                <w:szCs w:val="24"/>
              </w:rPr>
              <w:t>MSK-HQ</w:t>
            </w:r>
          </w:p>
        </w:tc>
        <w:tc>
          <w:tcPr>
            <w:tcW w:w="1701" w:type="dxa"/>
            <w:tcBorders>
              <w:top w:val="single" w:sz="4" w:space="0" w:color="auto"/>
              <w:left w:val="nil"/>
              <w:bottom w:val="nil"/>
              <w:right w:val="nil"/>
            </w:tcBorders>
            <w:hideMark/>
          </w:tcPr>
          <w:p w14:paraId="3378ADD5" w14:textId="77777777" w:rsidR="004B2E46" w:rsidRPr="00DD0E35" w:rsidRDefault="004B2E46" w:rsidP="0008354B">
            <w:pPr>
              <w:pStyle w:val="NoSpacing"/>
              <w:jc w:val="both"/>
              <w:rPr>
                <w:rFonts w:ascii="Times New Roman" w:hAnsi="Times New Roman" w:cs="Times New Roman"/>
                <w:noProof/>
                <w:sz w:val="24"/>
                <w:szCs w:val="24"/>
              </w:rPr>
            </w:pPr>
            <w:r w:rsidRPr="00DD0E35">
              <w:rPr>
                <w:rFonts w:ascii="Times New Roman" w:hAnsi="Times New Roman" w:cs="Times New Roman"/>
                <w:noProof/>
                <w:sz w:val="24"/>
                <w:szCs w:val="24"/>
              </w:rPr>
              <w:t xml:space="preserve">0.60 </w:t>
            </w:r>
          </w:p>
        </w:tc>
        <w:tc>
          <w:tcPr>
            <w:tcW w:w="2268" w:type="dxa"/>
            <w:tcBorders>
              <w:top w:val="single" w:sz="4" w:space="0" w:color="auto"/>
              <w:left w:val="nil"/>
              <w:bottom w:val="nil"/>
              <w:right w:val="single" w:sz="4" w:space="0" w:color="auto"/>
            </w:tcBorders>
            <w:hideMark/>
          </w:tcPr>
          <w:p w14:paraId="37B19753" w14:textId="77777777" w:rsidR="004B2E46" w:rsidRPr="00DD0E35" w:rsidRDefault="004B2E46" w:rsidP="0008354B">
            <w:pPr>
              <w:pStyle w:val="NoSpacing"/>
              <w:jc w:val="both"/>
              <w:rPr>
                <w:rFonts w:ascii="Times New Roman" w:hAnsi="Times New Roman" w:cs="Times New Roman"/>
                <w:noProof/>
                <w:sz w:val="24"/>
                <w:szCs w:val="24"/>
              </w:rPr>
            </w:pPr>
            <w:r w:rsidRPr="00DD0E35">
              <w:rPr>
                <w:rFonts w:ascii="Times New Roman" w:hAnsi="Times New Roman" w:cs="Times New Roman"/>
                <w:noProof/>
                <w:sz w:val="24"/>
                <w:szCs w:val="24"/>
              </w:rPr>
              <w:t>(0.53, 0.65)</w:t>
            </w:r>
          </w:p>
        </w:tc>
      </w:tr>
      <w:tr w:rsidR="004B2E46" w:rsidRPr="00DD0E35" w14:paraId="1A4C8375" w14:textId="77777777" w:rsidTr="0008354B">
        <w:trPr>
          <w:jc w:val="center"/>
        </w:trPr>
        <w:tc>
          <w:tcPr>
            <w:tcW w:w="1555" w:type="dxa"/>
            <w:tcBorders>
              <w:top w:val="nil"/>
              <w:left w:val="single" w:sz="4" w:space="0" w:color="auto"/>
              <w:bottom w:val="nil"/>
              <w:right w:val="nil"/>
            </w:tcBorders>
            <w:hideMark/>
          </w:tcPr>
          <w:p w14:paraId="349310E7" w14:textId="77777777" w:rsidR="004B2E46" w:rsidRPr="00DD0E35" w:rsidRDefault="004B2E46" w:rsidP="0008354B">
            <w:pPr>
              <w:pStyle w:val="NoSpacing"/>
              <w:jc w:val="both"/>
              <w:rPr>
                <w:rFonts w:ascii="Times New Roman" w:hAnsi="Times New Roman" w:cs="Times New Roman"/>
                <w:b/>
                <w:noProof/>
                <w:sz w:val="24"/>
                <w:szCs w:val="24"/>
              </w:rPr>
            </w:pPr>
            <w:r w:rsidRPr="00DD0E35">
              <w:rPr>
                <w:rFonts w:ascii="Times New Roman" w:hAnsi="Times New Roman" w:cs="Times New Roman"/>
                <w:sz w:val="24"/>
                <w:szCs w:val="24"/>
              </w:rPr>
              <w:t>EQ-5D-5L</w:t>
            </w:r>
          </w:p>
        </w:tc>
        <w:tc>
          <w:tcPr>
            <w:tcW w:w="1701" w:type="dxa"/>
            <w:tcBorders>
              <w:top w:val="nil"/>
              <w:left w:val="nil"/>
              <w:bottom w:val="nil"/>
              <w:right w:val="nil"/>
            </w:tcBorders>
            <w:hideMark/>
          </w:tcPr>
          <w:p w14:paraId="08FC400B" w14:textId="77777777" w:rsidR="004B2E46" w:rsidRPr="00DD0E35" w:rsidRDefault="004B2E46" w:rsidP="0008354B">
            <w:pPr>
              <w:pStyle w:val="NoSpacing"/>
              <w:jc w:val="both"/>
              <w:rPr>
                <w:rFonts w:ascii="Times New Roman" w:hAnsi="Times New Roman" w:cs="Times New Roman"/>
                <w:noProof/>
                <w:sz w:val="24"/>
                <w:szCs w:val="24"/>
              </w:rPr>
            </w:pPr>
            <w:r w:rsidRPr="00DD0E35">
              <w:rPr>
                <w:rFonts w:ascii="Times New Roman" w:hAnsi="Times New Roman" w:cs="Times New Roman"/>
                <w:noProof/>
                <w:sz w:val="24"/>
                <w:szCs w:val="24"/>
              </w:rPr>
              <w:t xml:space="preserve">0.37 </w:t>
            </w:r>
          </w:p>
        </w:tc>
        <w:tc>
          <w:tcPr>
            <w:tcW w:w="2268" w:type="dxa"/>
            <w:tcBorders>
              <w:top w:val="nil"/>
              <w:left w:val="nil"/>
              <w:bottom w:val="nil"/>
              <w:right w:val="single" w:sz="4" w:space="0" w:color="auto"/>
            </w:tcBorders>
            <w:hideMark/>
          </w:tcPr>
          <w:p w14:paraId="50319C78" w14:textId="77777777" w:rsidR="004B2E46" w:rsidRPr="00DD0E35" w:rsidRDefault="004B2E46" w:rsidP="0008354B">
            <w:pPr>
              <w:pStyle w:val="NoSpacing"/>
              <w:jc w:val="both"/>
              <w:rPr>
                <w:rFonts w:ascii="Times New Roman" w:hAnsi="Times New Roman" w:cs="Times New Roman"/>
                <w:noProof/>
                <w:sz w:val="24"/>
                <w:szCs w:val="24"/>
              </w:rPr>
            </w:pPr>
            <w:r w:rsidRPr="00DD0E35">
              <w:rPr>
                <w:rFonts w:ascii="Times New Roman" w:hAnsi="Times New Roman" w:cs="Times New Roman"/>
                <w:noProof/>
                <w:sz w:val="24"/>
                <w:szCs w:val="24"/>
              </w:rPr>
              <w:t>(0.28, 0.45)</w:t>
            </w:r>
          </w:p>
        </w:tc>
      </w:tr>
      <w:tr w:rsidR="004B2E46" w:rsidRPr="00DD0E35" w14:paraId="61345A48" w14:textId="77777777" w:rsidTr="0008354B">
        <w:trPr>
          <w:jc w:val="center"/>
        </w:trPr>
        <w:tc>
          <w:tcPr>
            <w:tcW w:w="1555" w:type="dxa"/>
            <w:tcBorders>
              <w:top w:val="nil"/>
              <w:left w:val="single" w:sz="4" w:space="0" w:color="auto"/>
              <w:bottom w:val="nil"/>
              <w:right w:val="nil"/>
            </w:tcBorders>
            <w:hideMark/>
          </w:tcPr>
          <w:p w14:paraId="045BED82" w14:textId="77777777" w:rsidR="004B2E46" w:rsidRPr="00DD0E35" w:rsidRDefault="004B2E46" w:rsidP="0008354B">
            <w:pPr>
              <w:pStyle w:val="NoSpacing"/>
              <w:jc w:val="both"/>
              <w:rPr>
                <w:rFonts w:ascii="Times New Roman" w:hAnsi="Times New Roman" w:cs="Times New Roman"/>
                <w:b/>
                <w:noProof/>
                <w:sz w:val="24"/>
                <w:szCs w:val="24"/>
              </w:rPr>
            </w:pPr>
            <w:r w:rsidRPr="00DD0E35">
              <w:rPr>
                <w:rFonts w:ascii="Times New Roman" w:hAnsi="Times New Roman" w:cs="Times New Roman"/>
                <w:sz w:val="24"/>
                <w:szCs w:val="24"/>
              </w:rPr>
              <w:t>KOOS</w:t>
            </w:r>
          </w:p>
        </w:tc>
        <w:tc>
          <w:tcPr>
            <w:tcW w:w="1701" w:type="dxa"/>
            <w:tcBorders>
              <w:top w:val="nil"/>
              <w:left w:val="nil"/>
              <w:bottom w:val="nil"/>
              <w:right w:val="nil"/>
            </w:tcBorders>
            <w:hideMark/>
          </w:tcPr>
          <w:p w14:paraId="55B34B13" w14:textId="77777777" w:rsidR="004B2E46" w:rsidRPr="00DD0E35" w:rsidRDefault="004B2E46" w:rsidP="0008354B">
            <w:pPr>
              <w:pStyle w:val="NoSpacing"/>
              <w:jc w:val="both"/>
              <w:rPr>
                <w:rFonts w:ascii="Times New Roman" w:hAnsi="Times New Roman" w:cs="Times New Roman"/>
                <w:noProof/>
                <w:sz w:val="24"/>
                <w:szCs w:val="24"/>
              </w:rPr>
            </w:pPr>
            <w:r w:rsidRPr="00DD0E35">
              <w:rPr>
                <w:rFonts w:ascii="Times New Roman" w:hAnsi="Times New Roman" w:cs="Times New Roman"/>
                <w:noProof/>
                <w:sz w:val="24"/>
                <w:szCs w:val="24"/>
              </w:rPr>
              <w:t xml:space="preserve">0.59 </w:t>
            </w:r>
          </w:p>
        </w:tc>
        <w:tc>
          <w:tcPr>
            <w:tcW w:w="2268" w:type="dxa"/>
            <w:tcBorders>
              <w:top w:val="nil"/>
              <w:left w:val="nil"/>
              <w:bottom w:val="nil"/>
              <w:right w:val="single" w:sz="4" w:space="0" w:color="auto"/>
            </w:tcBorders>
            <w:hideMark/>
          </w:tcPr>
          <w:p w14:paraId="5A53F03E" w14:textId="77777777" w:rsidR="004B2E46" w:rsidRPr="00DD0E35" w:rsidRDefault="004B2E46" w:rsidP="0008354B">
            <w:pPr>
              <w:pStyle w:val="NoSpacing"/>
              <w:jc w:val="both"/>
              <w:rPr>
                <w:rFonts w:ascii="Times New Roman" w:hAnsi="Times New Roman" w:cs="Times New Roman"/>
                <w:noProof/>
                <w:sz w:val="24"/>
                <w:szCs w:val="24"/>
              </w:rPr>
            </w:pPr>
            <w:r w:rsidRPr="00DD0E35">
              <w:rPr>
                <w:rFonts w:ascii="Times New Roman" w:hAnsi="Times New Roman" w:cs="Times New Roman"/>
                <w:noProof/>
                <w:sz w:val="24"/>
                <w:szCs w:val="24"/>
              </w:rPr>
              <w:t>(0.46, 0.69)</w:t>
            </w:r>
          </w:p>
        </w:tc>
      </w:tr>
      <w:tr w:rsidR="004B2E46" w:rsidRPr="00DD0E35" w14:paraId="07C10FC7" w14:textId="77777777" w:rsidTr="0008354B">
        <w:trPr>
          <w:jc w:val="center"/>
        </w:trPr>
        <w:tc>
          <w:tcPr>
            <w:tcW w:w="1555" w:type="dxa"/>
            <w:tcBorders>
              <w:top w:val="nil"/>
              <w:left w:val="single" w:sz="4" w:space="0" w:color="auto"/>
              <w:bottom w:val="nil"/>
              <w:right w:val="nil"/>
            </w:tcBorders>
            <w:hideMark/>
          </w:tcPr>
          <w:p w14:paraId="30785B3E" w14:textId="77777777" w:rsidR="004B2E46" w:rsidRPr="00DD0E35" w:rsidRDefault="004B2E46" w:rsidP="0008354B">
            <w:pPr>
              <w:pStyle w:val="NoSpacing"/>
              <w:jc w:val="both"/>
              <w:rPr>
                <w:rFonts w:ascii="Times New Roman" w:hAnsi="Times New Roman" w:cs="Times New Roman"/>
                <w:b/>
                <w:noProof/>
                <w:sz w:val="24"/>
                <w:szCs w:val="24"/>
              </w:rPr>
            </w:pPr>
            <w:r w:rsidRPr="00DD0E35">
              <w:rPr>
                <w:rFonts w:ascii="Times New Roman" w:hAnsi="Times New Roman" w:cs="Times New Roman"/>
                <w:sz w:val="24"/>
                <w:szCs w:val="24"/>
              </w:rPr>
              <w:t>NDI</w:t>
            </w:r>
          </w:p>
        </w:tc>
        <w:tc>
          <w:tcPr>
            <w:tcW w:w="1701" w:type="dxa"/>
            <w:tcBorders>
              <w:top w:val="nil"/>
              <w:left w:val="nil"/>
              <w:bottom w:val="nil"/>
              <w:right w:val="nil"/>
            </w:tcBorders>
            <w:hideMark/>
          </w:tcPr>
          <w:p w14:paraId="14512042" w14:textId="77777777" w:rsidR="004B2E46" w:rsidRPr="00DD0E35" w:rsidRDefault="004B2E46" w:rsidP="0008354B">
            <w:pPr>
              <w:pStyle w:val="NoSpacing"/>
              <w:jc w:val="both"/>
              <w:rPr>
                <w:rFonts w:ascii="Times New Roman" w:hAnsi="Times New Roman" w:cs="Times New Roman"/>
                <w:noProof/>
                <w:sz w:val="24"/>
                <w:szCs w:val="24"/>
              </w:rPr>
            </w:pPr>
            <w:r w:rsidRPr="00DD0E35">
              <w:rPr>
                <w:rFonts w:ascii="Times New Roman" w:hAnsi="Times New Roman" w:cs="Times New Roman"/>
                <w:noProof/>
                <w:sz w:val="24"/>
                <w:szCs w:val="24"/>
              </w:rPr>
              <w:t xml:space="preserve">-0.53 </w:t>
            </w:r>
          </w:p>
        </w:tc>
        <w:tc>
          <w:tcPr>
            <w:tcW w:w="2268" w:type="dxa"/>
            <w:tcBorders>
              <w:top w:val="nil"/>
              <w:left w:val="nil"/>
              <w:bottom w:val="nil"/>
              <w:right w:val="single" w:sz="4" w:space="0" w:color="auto"/>
            </w:tcBorders>
            <w:hideMark/>
          </w:tcPr>
          <w:p w14:paraId="074F4970" w14:textId="77777777" w:rsidR="004B2E46" w:rsidRPr="00DD0E35" w:rsidRDefault="004B2E46" w:rsidP="0008354B">
            <w:pPr>
              <w:pStyle w:val="NoSpacing"/>
              <w:jc w:val="both"/>
              <w:rPr>
                <w:rFonts w:ascii="Times New Roman" w:hAnsi="Times New Roman" w:cs="Times New Roman"/>
                <w:noProof/>
                <w:sz w:val="24"/>
                <w:szCs w:val="24"/>
              </w:rPr>
            </w:pPr>
            <w:r w:rsidRPr="00DD0E35">
              <w:rPr>
                <w:rFonts w:ascii="Times New Roman" w:hAnsi="Times New Roman" w:cs="Times New Roman"/>
                <w:noProof/>
                <w:sz w:val="24"/>
                <w:szCs w:val="24"/>
              </w:rPr>
              <w:t>(-0.70, -0.30)</w:t>
            </w:r>
          </w:p>
        </w:tc>
      </w:tr>
      <w:tr w:rsidR="004B2E46" w:rsidRPr="00DD0E35" w14:paraId="532234F1" w14:textId="77777777" w:rsidTr="0008354B">
        <w:trPr>
          <w:jc w:val="center"/>
        </w:trPr>
        <w:tc>
          <w:tcPr>
            <w:tcW w:w="1555" w:type="dxa"/>
            <w:tcBorders>
              <w:top w:val="nil"/>
              <w:left w:val="single" w:sz="4" w:space="0" w:color="auto"/>
              <w:bottom w:val="nil"/>
              <w:right w:val="nil"/>
            </w:tcBorders>
            <w:hideMark/>
          </w:tcPr>
          <w:p w14:paraId="148700B7" w14:textId="77777777" w:rsidR="004B2E46" w:rsidRPr="00DD0E35" w:rsidRDefault="004B2E46" w:rsidP="0008354B">
            <w:pPr>
              <w:pStyle w:val="NoSpacing"/>
              <w:jc w:val="both"/>
              <w:rPr>
                <w:rFonts w:ascii="Times New Roman" w:hAnsi="Times New Roman" w:cs="Times New Roman"/>
                <w:b/>
                <w:noProof/>
                <w:sz w:val="24"/>
                <w:szCs w:val="24"/>
              </w:rPr>
            </w:pPr>
            <w:r w:rsidRPr="00DD0E35">
              <w:rPr>
                <w:rFonts w:ascii="Times New Roman" w:hAnsi="Times New Roman" w:cs="Times New Roman"/>
                <w:sz w:val="24"/>
                <w:szCs w:val="24"/>
              </w:rPr>
              <w:t>RMDQ</w:t>
            </w:r>
          </w:p>
        </w:tc>
        <w:tc>
          <w:tcPr>
            <w:tcW w:w="1701" w:type="dxa"/>
            <w:tcBorders>
              <w:top w:val="nil"/>
              <w:left w:val="nil"/>
              <w:bottom w:val="nil"/>
              <w:right w:val="nil"/>
            </w:tcBorders>
            <w:hideMark/>
          </w:tcPr>
          <w:p w14:paraId="1A332188" w14:textId="77777777" w:rsidR="004B2E46" w:rsidRPr="00DD0E35" w:rsidRDefault="004B2E46" w:rsidP="0008354B">
            <w:pPr>
              <w:pStyle w:val="NoSpacing"/>
              <w:jc w:val="both"/>
              <w:rPr>
                <w:rFonts w:ascii="Times New Roman" w:hAnsi="Times New Roman" w:cs="Times New Roman"/>
                <w:noProof/>
                <w:sz w:val="24"/>
                <w:szCs w:val="24"/>
              </w:rPr>
            </w:pPr>
            <w:r w:rsidRPr="00DD0E35">
              <w:rPr>
                <w:rFonts w:ascii="Times New Roman" w:hAnsi="Times New Roman" w:cs="Times New Roman"/>
                <w:noProof/>
                <w:sz w:val="24"/>
                <w:szCs w:val="24"/>
              </w:rPr>
              <w:t xml:space="preserve">-0.43 </w:t>
            </w:r>
          </w:p>
        </w:tc>
        <w:tc>
          <w:tcPr>
            <w:tcW w:w="2268" w:type="dxa"/>
            <w:tcBorders>
              <w:top w:val="nil"/>
              <w:left w:val="nil"/>
              <w:bottom w:val="nil"/>
              <w:right w:val="single" w:sz="4" w:space="0" w:color="auto"/>
            </w:tcBorders>
            <w:hideMark/>
          </w:tcPr>
          <w:p w14:paraId="369A28F6" w14:textId="77777777" w:rsidR="004B2E46" w:rsidRPr="00DD0E35" w:rsidRDefault="004B2E46" w:rsidP="0008354B">
            <w:pPr>
              <w:pStyle w:val="NoSpacing"/>
              <w:jc w:val="both"/>
              <w:rPr>
                <w:rFonts w:ascii="Times New Roman" w:hAnsi="Times New Roman" w:cs="Times New Roman"/>
                <w:noProof/>
                <w:sz w:val="24"/>
                <w:szCs w:val="24"/>
              </w:rPr>
            </w:pPr>
            <w:r w:rsidRPr="00DD0E35">
              <w:rPr>
                <w:rFonts w:ascii="Times New Roman" w:hAnsi="Times New Roman" w:cs="Times New Roman"/>
                <w:noProof/>
                <w:sz w:val="24"/>
                <w:szCs w:val="24"/>
              </w:rPr>
              <w:t>(-0.56, -0.28)</w:t>
            </w:r>
          </w:p>
        </w:tc>
      </w:tr>
      <w:tr w:rsidR="004B2E46" w:rsidRPr="00DD0E35" w14:paraId="33C4FA6A" w14:textId="77777777" w:rsidTr="0008354B">
        <w:trPr>
          <w:jc w:val="center"/>
        </w:trPr>
        <w:tc>
          <w:tcPr>
            <w:tcW w:w="1555" w:type="dxa"/>
            <w:tcBorders>
              <w:top w:val="nil"/>
              <w:left w:val="single" w:sz="4" w:space="0" w:color="auto"/>
              <w:bottom w:val="nil"/>
              <w:right w:val="nil"/>
            </w:tcBorders>
            <w:hideMark/>
          </w:tcPr>
          <w:p w14:paraId="6255D7A4" w14:textId="77777777" w:rsidR="004B2E46" w:rsidRPr="00DD0E35" w:rsidRDefault="004B2E46" w:rsidP="0008354B">
            <w:pPr>
              <w:pStyle w:val="NoSpacing"/>
              <w:jc w:val="both"/>
              <w:rPr>
                <w:rFonts w:ascii="Times New Roman" w:hAnsi="Times New Roman" w:cs="Times New Roman"/>
                <w:b/>
                <w:noProof/>
                <w:sz w:val="24"/>
                <w:szCs w:val="24"/>
              </w:rPr>
            </w:pPr>
            <w:r w:rsidRPr="00DD0E35">
              <w:rPr>
                <w:rFonts w:ascii="Times New Roman" w:hAnsi="Times New Roman" w:cs="Times New Roman"/>
                <w:sz w:val="24"/>
                <w:szCs w:val="24"/>
              </w:rPr>
              <w:t>SPADI</w:t>
            </w:r>
          </w:p>
        </w:tc>
        <w:tc>
          <w:tcPr>
            <w:tcW w:w="1701" w:type="dxa"/>
            <w:tcBorders>
              <w:top w:val="nil"/>
              <w:left w:val="nil"/>
              <w:bottom w:val="nil"/>
              <w:right w:val="nil"/>
            </w:tcBorders>
            <w:hideMark/>
          </w:tcPr>
          <w:p w14:paraId="123EA378" w14:textId="77777777" w:rsidR="004B2E46" w:rsidRPr="00DD0E35" w:rsidRDefault="004B2E46" w:rsidP="0008354B">
            <w:pPr>
              <w:pStyle w:val="NoSpacing"/>
              <w:jc w:val="both"/>
              <w:rPr>
                <w:rFonts w:ascii="Times New Roman" w:hAnsi="Times New Roman" w:cs="Times New Roman"/>
                <w:noProof/>
                <w:sz w:val="24"/>
                <w:szCs w:val="24"/>
              </w:rPr>
            </w:pPr>
            <w:r w:rsidRPr="00DD0E35">
              <w:rPr>
                <w:rFonts w:ascii="Times New Roman" w:hAnsi="Times New Roman" w:cs="Times New Roman"/>
                <w:noProof/>
                <w:sz w:val="24"/>
                <w:szCs w:val="24"/>
              </w:rPr>
              <w:t xml:space="preserve">-0.44 </w:t>
            </w:r>
          </w:p>
        </w:tc>
        <w:tc>
          <w:tcPr>
            <w:tcW w:w="2268" w:type="dxa"/>
            <w:tcBorders>
              <w:top w:val="nil"/>
              <w:left w:val="nil"/>
              <w:bottom w:val="nil"/>
              <w:right w:val="single" w:sz="4" w:space="0" w:color="auto"/>
            </w:tcBorders>
            <w:hideMark/>
          </w:tcPr>
          <w:p w14:paraId="0811F3DC" w14:textId="77777777" w:rsidR="004B2E46" w:rsidRPr="00DD0E35" w:rsidRDefault="004B2E46" w:rsidP="0008354B">
            <w:pPr>
              <w:pStyle w:val="NoSpacing"/>
              <w:jc w:val="both"/>
              <w:rPr>
                <w:rFonts w:ascii="Times New Roman" w:hAnsi="Times New Roman" w:cs="Times New Roman"/>
                <w:noProof/>
                <w:sz w:val="24"/>
                <w:szCs w:val="24"/>
              </w:rPr>
            </w:pPr>
            <w:r w:rsidRPr="00DD0E35">
              <w:rPr>
                <w:rFonts w:ascii="Times New Roman" w:hAnsi="Times New Roman" w:cs="Times New Roman"/>
                <w:noProof/>
                <w:sz w:val="24"/>
                <w:szCs w:val="24"/>
              </w:rPr>
              <w:t>(-0.59, -0.28)</w:t>
            </w:r>
          </w:p>
        </w:tc>
      </w:tr>
      <w:tr w:rsidR="004B2E46" w:rsidRPr="00DD0E35" w14:paraId="769F4273" w14:textId="77777777" w:rsidTr="0008354B">
        <w:trPr>
          <w:jc w:val="center"/>
        </w:trPr>
        <w:tc>
          <w:tcPr>
            <w:tcW w:w="1555" w:type="dxa"/>
            <w:tcBorders>
              <w:top w:val="nil"/>
              <w:left w:val="single" w:sz="4" w:space="0" w:color="auto"/>
              <w:bottom w:val="single" w:sz="4" w:space="0" w:color="auto"/>
              <w:right w:val="nil"/>
            </w:tcBorders>
            <w:hideMark/>
          </w:tcPr>
          <w:p w14:paraId="26C796E4" w14:textId="77777777" w:rsidR="004B2E46" w:rsidRPr="00DD0E35" w:rsidRDefault="004B2E46" w:rsidP="0008354B">
            <w:pPr>
              <w:pStyle w:val="NoSpacing"/>
              <w:jc w:val="both"/>
              <w:rPr>
                <w:rFonts w:ascii="Times New Roman" w:hAnsi="Times New Roman" w:cs="Times New Roman"/>
                <w:b/>
                <w:noProof/>
                <w:sz w:val="24"/>
                <w:szCs w:val="24"/>
              </w:rPr>
            </w:pPr>
            <w:r w:rsidRPr="00DD0E35">
              <w:rPr>
                <w:rFonts w:ascii="Times New Roman" w:hAnsi="Times New Roman" w:cs="Times New Roman"/>
                <w:sz w:val="24"/>
                <w:szCs w:val="24"/>
              </w:rPr>
              <w:t>SF-36 PCS</w:t>
            </w:r>
          </w:p>
        </w:tc>
        <w:tc>
          <w:tcPr>
            <w:tcW w:w="1701" w:type="dxa"/>
            <w:tcBorders>
              <w:top w:val="nil"/>
              <w:left w:val="nil"/>
              <w:bottom w:val="single" w:sz="4" w:space="0" w:color="auto"/>
              <w:right w:val="nil"/>
            </w:tcBorders>
            <w:hideMark/>
          </w:tcPr>
          <w:p w14:paraId="51F46F43" w14:textId="77777777" w:rsidR="004B2E46" w:rsidRPr="00DD0E35" w:rsidRDefault="004B2E46" w:rsidP="0008354B">
            <w:pPr>
              <w:pStyle w:val="NoSpacing"/>
              <w:jc w:val="both"/>
              <w:rPr>
                <w:rFonts w:ascii="Times New Roman" w:hAnsi="Times New Roman" w:cs="Times New Roman"/>
                <w:noProof/>
                <w:sz w:val="24"/>
                <w:szCs w:val="24"/>
              </w:rPr>
            </w:pPr>
            <w:r w:rsidRPr="00DD0E35">
              <w:rPr>
                <w:rFonts w:ascii="Times New Roman" w:hAnsi="Times New Roman" w:cs="Times New Roman"/>
                <w:noProof/>
                <w:sz w:val="24"/>
                <w:szCs w:val="24"/>
              </w:rPr>
              <w:t xml:space="preserve">0.15 </w:t>
            </w:r>
          </w:p>
        </w:tc>
        <w:tc>
          <w:tcPr>
            <w:tcW w:w="2268" w:type="dxa"/>
            <w:tcBorders>
              <w:top w:val="nil"/>
              <w:left w:val="nil"/>
              <w:bottom w:val="single" w:sz="4" w:space="0" w:color="auto"/>
              <w:right w:val="single" w:sz="4" w:space="0" w:color="auto"/>
            </w:tcBorders>
            <w:hideMark/>
          </w:tcPr>
          <w:p w14:paraId="295D2D4A" w14:textId="77777777" w:rsidR="004B2E46" w:rsidRPr="00DD0E35" w:rsidRDefault="004B2E46" w:rsidP="0008354B">
            <w:pPr>
              <w:pStyle w:val="NoSpacing"/>
              <w:jc w:val="both"/>
              <w:rPr>
                <w:rFonts w:ascii="Times New Roman" w:hAnsi="Times New Roman" w:cs="Times New Roman"/>
                <w:noProof/>
                <w:sz w:val="24"/>
                <w:szCs w:val="24"/>
              </w:rPr>
            </w:pPr>
            <w:r w:rsidRPr="00DD0E35">
              <w:rPr>
                <w:rFonts w:ascii="Times New Roman" w:hAnsi="Times New Roman" w:cs="Times New Roman"/>
                <w:noProof/>
                <w:sz w:val="24"/>
                <w:szCs w:val="24"/>
              </w:rPr>
              <w:t>(-0.20, 0.46)</w:t>
            </w:r>
          </w:p>
        </w:tc>
      </w:tr>
    </w:tbl>
    <w:p w14:paraId="56C53C6C" w14:textId="77777777" w:rsidR="004B2E46" w:rsidRPr="00DD0E35" w:rsidRDefault="004B2E46" w:rsidP="004B2E46">
      <w:pPr>
        <w:pStyle w:val="NoSpacing"/>
        <w:jc w:val="both"/>
        <w:rPr>
          <w:rFonts w:ascii="Times New Roman" w:hAnsi="Times New Roman" w:cs="Times New Roman"/>
          <w:b/>
          <w:noProof/>
        </w:rPr>
      </w:pPr>
    </w:p>
    <w:p w14:paraId="0787B03B" w14:textId="77777777" w:rsidR="00A55F7E" w:rsidRDefault="00A55F7E" w:rsidP="00A55F7E">
      <w:pPr>
        <w:pStyle w:val="NoSpacing"/>
        <w:spacing w:line="480" w:lineRule="auto"/>
        <w:jc w:val="both"/>
        <w:rPr>
          <w:rFonts w:ascii="Times New Roman" w:hAnsi="Times New Roman" w:cs="Times New Roman"/>
          <w:b/>
          <w:noProof/>
          <w:sz w:val="24"/>
          <w:szCs w:val="24"/>
        </w:rPr>
      </w:pPr>
    </w:p>
    <w:p w14:paraId="7B808CD0" w14:textId="4F9AE6B9" w:rsidR="00A55F7E" w:rsidRPr="00357D1D" w:rsidRDefault="00A55F7E" w:rsidP="00A55F7E">
      <w:pPr>
        <w:pStyle w:val="NoSpacing"/>
        <w:jc w:val="center"/>
        <w:rPr>
          <w:rFonts w:ascii="Times New Roman" w:hAnsi="Times New Roman" w:cs="Times New Roman"/>
          <w:sz w:val="24"/>
          <w:szCs w:val="24"/>
        </w:rPr>
      </w:pPr>
      <w:r w:rsidRPr="00357D1D">
        <w:rPr>
          <w:rFonts w:ascii="Times New Roman" w:hAnsi="Times New Roman" w:cs="Times New Roman"/>
          <w:sz w:val="24"/>
          <w:szCs w:val="24"/>
        </w:rPr>
        <w:t>MSK-HQ=musculoskeletal health questionnaire; KOOS=, Knee Injury and Osteoarthritis Outcome Score;</w:t>
      </w:r>
      <w:r w:rsidR="00C373B8">
        <w:rPr>
          <w:rFonts w:ascii="Times New Roman" w:hAnsi="Times New Roman" w:cs="Times New Roman"/>
          <w:sz w:val="24"/>
          <w:szCs w:val="24"/>
        </w:rPr>
        <w:t xml:space="preserve"> NDI=Neck Disability Index; RMDQ</w:t>
      </w:r>
      <w:r w:rsidRPr="00357D1D">
        <w:rPr>
          <w:rFonts w:ascii="Times New Roman" w:hAnsi="Times New Roman" w:cs="Times New Roman"/>
          <w:sz w:val="24"/>
          <w:szCs w:val="24"/>
        </w:rPr>
        <w:t>=Roland</w:t>
      </w:r>
      <w:r w:rsidR="006B277B">
        <w:rPr>
          <w:rFonts w:ascii="Times New Roman" w:hAnsi="Times New Roman" w:cs="Times New Roman"/>
          <w:sz w:val="24"/>
          <w:szCs w:val="24"/>
        </w:rPr>
        <w:t xml:space="preserve"> and </w:t>
      </w:r>
      <w:r w:rsidRPr="00357D1D">
        <w:rPr>
          <w:rFonts w:ascii="Times New Roman" w:hAnsi="Times New Roman" w:cs="Times New Roman"/>
          <w:sz w:val="24"/>
          <w:szCs w:val="24"/>
        </w:rPr>
        <w:t>Morris Disability Questionnaire</w:t>
      </w:r>
      <w:r>
        <w:rPr>
          <w:rFonts w:ascii="Times New Roman" w:hAnsi="Times New Roman" w:cs="Times New Roman"/>
          <w:sz w:val="24"/>
          <w:szCs w:val="24"/>
        </w:rPr>
        <w:t>;</w:t>
      </w:r>
      <w:r w:rsidRPr="00357D1D">
        <w:rPr>
          <w:rFonts w:ascii="Times New Roman" w:hAnsi="Times New Roman" w:cs="Times New Roman"/>
          <w:sz w:val="24"/>
          <w:szCs w:val="24"/>
        </w:rPr>
        <w:t xml:space="preserve"> SPADI=Shoulder Pain and Disability Index</w:t>
      </w:r>
      <w:r>
        <w:rPr>
          <w:rFonts w:ascii="Times New Roman" w:hAnsi="Times New Roman" w:cs="Times New Roman"/>
          <w:sz w:val="24"/>
          <w:szCs w:val="24"/>
        </w:rPr>
        <w:t>;</w:t>
      </w:r>
      <w:r w:rsidRPr="00357D1D">
        <w:rPr>
          <w:rFonts w:ascii="Times New Roman" w:hAnsi="Times New Roman" w:cs="Times New Roman"/>
          <w:sz w:val="24"/>
          <w:szCs w:val="24"/>
        </w:rPr>
        <w:t xml:space="preserve"> SF-36 PCS=Short-Form-12 Physical Component Summary Score</w:t>
      </w:r>
      <w:r>
        <w:rPr>
          <w:rFonts w:ascii="Times New Roman" w:hAnsi="Times New Roman" w:cs="Times New Roman"/>
          <w:sz w:val="24"/>
          <w:szCs w:val="24"/>
        </w:rPr>
        <w:t>.</w:t>
      </w:r>
    </w:p>
    <w:p w14:paraId="59AF71B6" w14:textId="77777777" w:rsidR="00A55F7E" w:rsidRDefault="00A55F7E">
      <w:pPr>
        <w:rPr>
          <w:rFonts w:ascii="Times New Roman" w:hAnsi="Times New Roman" w:cs="Times New Roman"/>
          <w:b/>
          <w:sz w:val="24"/>
          <w:szCs w:val="24"/>
        </w:rPr>
      </w:pPr>
    </w:p>
    <w:p w14:paraId="7A8509A4" w14:textId="77777777" w:rsidR="00A55F7E" w:rsidRDefault="00A55F7E">
      <w:pPr>
        <w:rPr>
          <w:rFonts w:ascii="Times New Roman" w:hAnsi="Times New Roman" w:cs="Times New Roman"/>
          <w:b/>
          <w:sz w:val="24"/>
          <w:szCs w:val="24"/>
        </w:rPr>
      </w:pPr>
      <w:r>
        <w:rPr>
          <w:rFonts w:ascii="Times New Roman" w:hAnsi="Times New Roman" w:cs="Times New Roman"/>
          <w:b/>
          <w:sz w:val="24"/>
          <w:szCs w:val="24"/>
        </w:rPr>
        <w:br w:type="page"/>
      </w:r>
    </w:p>
    <w:p w14:paraId="2B3337D5" w14:textId="4686293E" w:rsidR="002A6C71" w:rsidRDefault="00A55F7E" w:rsidP="002A6C71">
      <w:pPr>
        <w:pStyle w:val="NoSpacing"/>
        <w:rPr>
          <w:rFonts w:ascii="Times New Roman" w:hAnsi="Times New Roman" w:cs="Times New Roman"/>
          <w:sz w:val="24"/>
          <w:szCs w:val="24"/>
        </w:rPr>
      </w:pPr>
      <w:r>
        <w:rPr>
          <w:rFonts w:ascii="Times New Roman" w:hAnsi="Times New Roman" w:cs="Times New Roman"/>
          <w:b/>
          <w:sz w:val="24"/>
          <w:szCs w:val="24"/>
        </w:rPr>
        <w:lastRenderedPageBreak/>
        <w:t>Table 4</w:t>
      </w:r>
      <w:r w:rsidR="002A6C71" w:rsidRPr="0046406A">
        <w:rPr>
          <w:rFonts w:ascii="Times New Roman" w:hAnsi="Times New Roman" w:cs="Times New Roman"/>
          <w:b/>
          <w:sz w:val="24"/>
          <w:szCs w:val="24"/>
        </w:rPr>
        <w:t>. Correlations Between 6-Month Changes in the MSK-HQ</w:t>
      </w:r>
      <w:r>
        <w:rPr>
          <w:rFonts w:ascii="Times New Roman" w:hAnsi="Times New Roman" w:cs="Times New Roman"/>
          <w:b/>
          <w:sz w:val="24"/>
          <w:szCs w:val="24"/>
        </w:rPr>
        <w:t>, EQ-5D-5</w:t>
      </w:r>
      <w:r w:rsidR="0046406A">
        <w:rPr>
          <w:rFonts w:ascii="Times New Roman" w:hAnsi="Times New Roman" w:cs="Times New Roman"/>
          <w:b/>
          <w:sz w:val="24"/>
          <w:szCs w:val="24"/>
        </w:rPr>
        <w:t xml:space="preserve">L, </w:t>
      </w:r>
      <w:r w:rsidR="002A6C71" w:rsidRPr="0046406A">
        <w:rPr>
          <w:rFonts w:ascii="Times New Roman" w:hAnsi="Times New Roman" w:cs="Times New Roman"/>
          <w:b/>
          <w:sz w:val="24"/>
          <w:szCs w:val="24"/>
        </w:rPr>
        <w:t>and Reference Standard PROMs</w:t>
      </w:r>
    </w:p>
    <w:tbl>
      <w:tblPr>
        <w:tblW w:w="5109" w:type="pct"/>
        <w:tblInd w:w="13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01"/>
        <w:gridCol w:w="991"/>
        <w:gridCol w:w="1703"/>
        <w:gridCol w:w="1563"/>
        <w:gridCol w:w="1555"/>
      </w:tblGrid>
      <w:tr w:rsidR="004C4598" w:rsidRPr="00DD0E35" w14:paraId="02155844" w14:textId="77777777" w:rsidTr="0008354B">
        <w:trPr>
          <w:cantSplit/>
          <w:trHeight w:val="405"/>
        </w:trPr>
        <w:tc>
          <w:tcPr>
            <w:tcW w:w="1846" w:type="pct"/>
            <w:tcBorders>
              <w:top w:val="single" w:sz="4" w:space="0" w:color="auto"/>
              <w:left w:val="single" w:sz="4" w:space="0" w:color="auto"/>
              <w:bottom w:val="single" w:sz="4" w:space="0" w:color="auto"/>
              <w:right w:val="nil"/>
            </w:tcBorders>
            <w:vAlign w:val="center"/>
            <w:hideMark/>
          </w:tcPr>
          <w:p w14:paraId="4B627255" w14:textId="77777777" w:rsidR="004C4598" w:rsidRPr="00DD0E35" w:rsidRDefault="004C4598" w:rsidP="0008354B">
            <w:pPr>
              <w:pStyle w:val="NoSpacing"/>
              <w:jc w:val="both"/>
              <w:rPr>
                <w:rFonts w:ascii="Times New Roman" w:hAnsi="Times New Roman" w:cs="Times New Roman"/>
                <w:b/>
              </w:rPr>
            </w:pPr>
          </w:p>
        </w:tc>
        <w:tc>
          <w:tcPr>
            <w:tcW w:w="1462" w:type="pct"/>
            <w:gridSpan w:val="2"/>
            <w:tcBorders>
              <w:top w:val="single" w:sz="4" w:space="0" w:color="auto"/>
              <w:left w:val="nil"/>
              <w:bottom w:val="single" w:sz="4" w:space="0" w:color="auto"/>
              <w:right w:val="nil"/>
            </w:tcBorders>
            <w:vAlign w:val="center"/>
            <w:hideMark/>
          </w:tcPr>
          <w:p w14:paraId="1AC8FD59" w14:textId="77777777" w:rsidR="004C4598" w:rsidRPr="00DD0E35" w:rsidRDefault="004C4598" w:rsidP="0008354B">
            <w:pPr>
              <w:pStyle w:val="NoSpacing"/>
              <w:jc w:val="both"/>
              <w:rPr>
                <w:rFonts w:ascii="Times New Roman" w:hAnsi="Times New Roman" w:cs="Times New Roman"/>
                <w:b/>
                <w:lang w:eastAsia="en-GB"/>
              </w:rPr>
            </w:pPr>
            <w:r w:rsidRPr="00DD0E35">
              <w:rPr>
                <w:rFonts w:ascii="Times New Roman" w:hAnsi="Times New Roman" w:cs="Times New Roman"/>
                <w:b/>
                <w:lang w:eastAsia="en-GB"/>
              </w:rPr>
              <w:t>MSK-HQ</w:t>
            </w:r>
          </w:p>
        </w:tc>
        <w:tc>
          <w:tcPr>
            <w:tcW w:w="1692" w:type="pct"/>
            <w:gridSpan w:val="2"/>
            <w:tcBorders>
              <w:top w:val="single" w:sz="4" w:space="0" w:color="auto"/>
              <w:left w:val="nil"/>
              <w:bottom w:val="single" w:sz="4" w:space="0" w:color="auto"/>
              <w:right w:val="single" w:sz="4" w:space="0" w:color="auto"/>
            </w:tcBorders>
            <w:vAlign w:val="center"/>
            <w:hideMark/>
          </w:tcPr>
          <w:p w14:paraId="2BAC0A56" w14:textId="77777777" w:rsidR="004C4598" w:rsidRPr="00DD0E35" w:rsidRDefault="004C4598" w:rsidP="0008354B">
            <w:pPr>
              <w:pStyle w:val="NoSpacing"/>
              <w:jc w:val="both"/>
              <w:rPr>
                <w:rFonts w:ascii="Times New Roman" w:hAnsi="Times New Roman" w:cs="Times New Roman"/>
                <w:b/>
                <w:lang w:eastAsia="en-GB"/>
              </w:rPr>
            </w:pPr>
            <w:r w:rsidRPr="00DD0E35">
              <w:rPr>
                <w:rFonts w:ascii="Times New Roman" w:hAnsi="Times New Roman" w:cs="Times New Roman"/>
                <w:b/>
                <w:lang w:eastAsia="en-GB"/>
              </w:rPr>
              <w:t>EQ-5D-5L</w:t>
            </w:r>
          </w:p>
        </w:tc>
      </w:tr>
      <w:tr w:rsidR="004C4598" w:rsidRPr="00DD0E35" w14:paraId="19734FE9" w14:textId="77777777" w:rsidTr="0008354B">
        <w:trPr>
          <w:cantSplit/>
          <w:trHeight w:val="283"/>
        </w:trPr>
        <w:tc>
          <w:tcPr>
            <w:tcW w:w="1846" w:type="pct"/>
            <w:tcBorders>
              <w:top w:val="single" w:sz="4" w:space="0" w:color="auto"/>
              <w:left w:val="single" w:sz="4" w:space="0" w:color="auto"/>
              <w:bottom w:val="nil"/>
              <w:right w:val="nil"/>
            </w:tcBorders>
            <w:vAlign w:val="center"/>
            <w:hideMark/>
          </w:tcPr>
          <w:p w14:paraId="07E7E613" w14:textId="77777777" w:rsidR="004C4598" w:rsidRPr="00DD0E35" w:rsidRDefault="004C4598" w:rsidP="0008354B">
            <w:pPr>
              <w:pStyle w:val="NoSpacing"/>
              <w:jc w:val="both"/>
              <w:rPr>
                <w:rFonts w:ascii="Times New Roman" w:hAnsi="Times New Roman" w:cs="Times New Roman"/>
                <w:b/>
                <w:lang w:eastAsia="en-GB"/>
              </w:rPr>
            </w:pPr>
            <w:r w:rsidRPr="00DD0E35">
              <w:rPr>
                <w:rFonts w:ascii="Times New Roman" w:hAnsi="Times New Roman" w:cs="Times New Roman"/>
                <w:b/>
                <w:lang w:eastAsia="en-GB"/>
              </w:rPr>
              <w:t>MSK-HQ</w:t>
            </w:r>
          </w:p>
        </w:tc>
        <w:tc>
          <w:tcPr>
            <w:tcW w:w="538" w:type="pct"/>
            <w:tcBorders>
              <w:top w:val="single" w:sz="4" w:space="0" w:color="auto"/>
              <w:left w:val="nil"/>
              <w:bottom w:val="nil"/>
              <w:right w:val="nil"/>
            </w:tcBorders>
            <w:vAlign w:val="center"/>
            <w:hideMark/>
          </w:tcPr>
          <w:p w14:paraId="66721150" w14:textId="77777777" w:rsidR="004C4598" w:rsidRPr="00DD0E35" w:rsidRDefault="004C4598" w:rsidP="0008354B">
            <w:pPr>
              <w:pStyle w:val="NoSpacing"/>
              <w:jc w:val="both"/>
              <w:rPr>
                <w:rFonts w:ascii="Times New Roman" w:hAnsi="Times New Roman" w:cs="Times New Roman"/>
                <w:lang w:eastAsia="en-GB"/>
              </w:rPr>
            </w:pPr>
            <w:r w:rsidRPr="00DD0E35">
              <w:rPr>
                <w:rFonts w:ascii="Times New Roman" w:hAnsi="Times New Roman" w:cs="Times New Roman"/>
                <w:lang w:eastAsia="en-GB"/>
              </w:rPr>
              <w:t>-</w:t>
            </w:r>
          </w:p>
        </w:tc>
        <w:tc>
          <w:tcPr>
            <w:tcW w:w="923" w:type="pct"/>
            <w:tcBorders>
              <w:top w:val="single" w:sz="4" w:space="0" w:color="auto"/>
              <w:left w:val="nil"/>
              <w:bottom w:val="nil"/>
              <w:right w:val="nil"/>
            </w:tcBorders>
          </w:tcPr>
          <w:p w14:paraId="410F138D" w14:textId="77777777" w:rsidR="004C4598" w:rsidRPr="00DD0E35" w:rsidRDefault="004C4598" w:rsidP="0008354B">
            <w:pPr>
              <w:pStyle w:val="NoSpacing"/>
              <w:jc w:val="both"/>
              <w:rPr>
                <w:rFonts w:ascii="Times New Roman" w:hAnsi="Times New Roman" w:cs="Times New Roman"/>
                <w:lang w:eastAsia="en-GB"/>
              </w:rPr>
            </w:pPr>
          </w:p>
        </w:tc>
        <w:tc>
          <w:tcPr>
            <w:tcW w:w="848" w:type="pct"/>
            <w:tcBorders>
              <w:top w:val="single" w:sz="4" w:space="0" w:color="auto"/>
              <w:left w:val="nil"/>
              <w:bottom w:val="nil"/>
              <w:right w:val="nil"/>
            </w:tcBorders>
            <w:vAlign w:val="center"/>
            <w:hideMark/>
          </w:tcPr>
          <w:p w14:paraId="7A6DEF8C" w14:textId="77777777" w:rsidR="004C4598" w:rsidRPr="00DD0E35" w:rsidRDefault="004C4598" w:rsidP="0008354B">
            <w:pPr>
              <w:pStyle w:val="NoSpacing"/>
              <w:jc w:val="both"/>
              <w:rPr>
                <w:rFonts w:ascii="Times New Roman" w:hAnsi="Times New Roman" w:cs="Times New Roman"/>
                <w:lang w:eastAsia="en-GB"/>
              </w:rPr>
            </w:pPr>
            <w:r w:rsidRPr="00DD0E35">
              <w:rPr>
                <w:rFonts w:ascii="Times New Roman" w:hAnsi="Times New Roman" w:cs="Times New Roman"/>
                <w:lang w:eastAsia="en-GB"/>
              </w:rPr>
              <w:t> -</w:t>
            </w:r>
          </w:p>
        </w:tc>
        <w:tc>
          <w:tcPr>
            <w:tcW w:w="844" w:type="pct"/>
            <w:tcBorders>
              <w:top w:val="single" w:sz="4" w:space="0" w:color="auto"/>
              <w:left w:val="nil"/>
              <w:bottom w:val="nil"/>
              <w:right w:val="single" w:sz="4" w:space="0" w:color="auto"/>
            </w:tcBorders>
          </w:tcPr>
          <w:p w14:paraId="668BBA34" w14:textId="77777777" w:rsidR="004C4598" w:rsidRPr="00DD0E35" w:rsidRDefault="004C4598" w:rsidP="0008354B">
            <w:pPr>
              <w:pStyle w:val="NoSpacing"/>
              <w:jc w:val="both"/>
              <w:rPr>
                <w:rFonts w:ascii="Times New Roman" w:hAnsi="Times New Roman" w:cs="Times New Roman"/>
                <w:lang w:eastAsia="en-GB"/>
              </w:rPr>
            </w:pPr>
          </w:p>
        </w:tc>
      </w:tr>
      <w:tr w:rsidR="004C4598" w:rsidRPr="00DD0E35" w14:paraId="463AD49C" w14:textId="77777777" w:rsidTr="0008354B">
        <w:trPr>
          <w:cantSplit/>
          <w:trHeight w:val="70"/>
        </w:trPr>
        <w:tc>
          <w:tcPr>
            <w:tcW w:w="1846" w:type="pct"/>
            <w:tcBorders>
              <w:top w:val="nil"/>
              <w:left w:val="single" w:sz="4" w:space="0" w:color="auto"/>
              <w:bottom w:val="nil"/>
              <w:right w:val="nil"/>
            </w:tcBorders>
            <w:vAlign w:val="center"/>
            <w:hideMark/>
          </w:tcPr>
          <w:p w14:paraId="77CD4A26" w14:textId="77777777" w:rsidR="004C4598" w:rsidRPr="00DD0E35" w:rsidRDefault="004C4598" w:rsidP="0008354B">
            <w:pPr>
              <w:pStyle w:val="NoSpacing"/>
              <w:jc w:val="both"/>
              <w:rPr>
                <w:rFonts w:ascii="Times New Roman" w:hAnsi="Times New Roman" w:cs="Times New Roman"/>
                <w:b/>
                <w:lang w:eastAsia="en-GB"/>
              </w:rPr>
            </w:pPr>
            <w:r w:rsidRPr="00DD0E35">
              <w:rPr>
                <w:rFonts w:ascii="Times New Roman" w:hAnsi="Times New Roman" w:cs="Times New Roman"/>
                <w:b/>
                <w:lang w:eastAsia="en-GB"/>
              </w:rPr>
              <w:t>EQ-5D-5L</w:t>
            </w:r>
          </w:p>
        </w:tc>
        <w:tc>
          <w:tcPr>
            <w:tcW w:w="538" w:type="pct"/>
            <w:tcBorders>
              <w:top w:val="nil"/>
              <w:left w:val="nil"/>
              <w:bottom w:val="nil"/>
              <w:right w:val="nil"/>
            </w:tcBorders>
            <w:vAlign w:val="center"/>
            <w:hideMark/>
          </w:tcPr>
          <w:p w14:paraId="19A28FF7" w14:textId="77777777" w:rsidR="004C4598" w:rsidRPr="00DD0E35" w:rsidRDefault="004C4598" w:rsidP="0008354B">
            <w:pPr>
              <w:pStyle w:val="NoSpacing"/>
              <w:jc w:val="both"/>
              <w:rPr>
                <w:rFonts w:ascii="Times New Roman" w:hAnsi="Times New Roman" w:cs="Times New Roman"/>
                <w:lang w:eastAsia="en-GB"/>
              </w:rPr>
            </w:pPr>
            <w:r w:rsidRPr="00DD0E35">
              <w:rPr>
                <w:rFonts w:ascii="Times New Roman" w:hAnsi="Times New Roman" w:cs="Times New Roman"/>
                <w:lang w:eastAsia="en-GB"/>
              </w:rPr>
              <w:t xml:space="preserve">0.59 </w:t>
            </w:r>
          </w:p>
        </w:tc>
        <w:tc>
          <w:tcPr>
            <w:tcW w:w="923" w:type="pct"/>
            <w:tcBorders>
              <w:top w:val="nil"/>
              <w:left w:val="nil"/>
              <w:bottom w:val="nil"/>
              <w:right w:val="nil"/>
            </w:tcBorders>
            <w:hideMark/>
          </w:tcPr>
          <w:p w14:paraId="0C79A976" w14:textId="77777777" w:rsidR="004C4598" w:rsidRPr="00DD0E35" w:rsidRDefault="004C4598" w:rsidP="0008354B">
            <w:pPr>
              <w:pStyle w:val="NoSpacing"/>
              <w:jc w:val="both"/>
              <w:rPr>
                <w:rFonts w:ascii="Times New Roman" w:hAnsi="Times New Roman" w:cs="Times New Roman"/>
                <w:lang w:eastAsia="en-GB"/>
              </w:rPr>
            </w:pPr>
            <w:r w:rsidRPr="00DD0E35">
              <w:rPr>
                <w:rFonts w:ascii="Times New Roman" w:hAnsi="Times New Roman" w:cs="Times New Roman"/>
                <w:lang w:eastAsia="en-GB"/>
              </w:rPr>
              <w:t>(0.53, 0.65)</w:t>
            </w:r>
          </w:p>
        </w:tc>
        <w:tc>
          <w:tcPr>
            <w:tcW w:w="848" w:type="pct"/>
            <w:tcBorders>
              <w:top w:val="nil"/>
              <w:left w:val="nil"/>
              <w:bottom w:val="nil"/>
              <w:right w:val="nil"/>
            </w:tcBorders>
            <w:vAlign w:val="center"/>
            <w:hideMark/>
          </w:tcPr>
          <w:p w14:paraId="3266C638" w14:textId="77777777" w:rsidR="004C4598" w:rsidRPr="00DD0E35" w:rsidRDefault="004C4598" w:rsidP="0008354B">
            <w:pPr>
              <w:pStyle w:val="NoSpacing"/>
              <w:jc w:val="both"/>
              <w:rPr>
                <w:rFonts w:ascii="Times New Roman" w:hAnsi="Times New Roman" w:cs="Times New Roman"/>
                <w:lang w:eastAsia="en-GB"/>
              </w:rPr>
            </w:pPr>
            <w:r w:rsidRPr="00DD0E35">
              <w:rPr>
                <w:rFonts w:ascii="Times New Roman" w:hAnsi="Times New Roman" w:cs="Times New Roman"/>
                <w:lang w:eastAsia="en-GB"/>
              </w:rPr>
              <w:t> -</w:t>
            </w:r>
          </w:p>
        </w:tc>
        <w:tc>
          <w:tcPr>
            <w:tcW w:w="844" w:type="pct"/>
            <w:tcBorders>
              <w:top w:val="nil"/>
              <w:left w:val="nil"/>
              <w:bottom w:val="nil"/>
              <w:right w:val="single" w:sz="4" w:space="0" w:color="auto"/>
            </w:tcBorders>
          </w:tcPr>
          <w:p w14:paraId="2BCF2E95" w14:textId="77777777" w:rsidR="004C4598" w:rsidRPr="00DD0E35" w:rsidRDefault="004C4598" w:rsidP="0008354B">
            <w:pPr>
              <w:pStyle w:val="NoSpacing"/>
              <w:jc w:val="both"/>
              <w:rPr>
                <w:rFonts w:ascii="Times New Roman" w:hAnsi="Times New Roman" w:cs="Times New Roman"/>
                <w:lang w:eastAsia="en-GB"/>
              </w:rPr>
            </w:pPr>
          </w:p>
        </w:tc>
      </w:tr>
      <w:tr w:rsidR="004C4598" w:rsidRPr="00DD0E35" w14:paraId="6106EBCD" w14:textId="77777777" w:rsidTr="0008354B">
        <w:trPr>
          <w:cantSplit/>
          <w:trHeight w:val="70"/>
        </w:trPr>
        <w:tc>
          <w:tcPr>
            <w:tcW w:w="1846" w:type="pct"/>
            <w:tcBorders>
              <w:top w:val="nil"/>
              <w:left w:val="single" w:sz="4" w:space="0" w:color="auto"/>
              <w:bottom w:val="nil"/>
              <w:right w:val="nil"/>
            </w:tcBorders>
            <w:vAlign w:val="center"/>
            <w:hideMark/>
          </w:tcPr>
          <w:p w14:paraId="59FB2D47" w14:textId="77777777" w:rsidR="004C4598" w:rsidRPr="00DD0E35" w:rsidRDefault="004C4598" w:rsidP="0008354B">
            <w:pPr>
              <w:pStyle w:val="NoSpacing"/>
              <w:jc w:val="both"/>
              <w:rPr>
                <w:rFonts w:ascii="Times New Roman" w:hAnsi="Times New Roman" w:cs="Times New Roman"/>
                <w:b/>
                <w:lang w:eastAsia="en-GB"/>
              </w:rPr>
            </w:pPr>
            <w:r w:rsidRPr="00DD0E35">
              <w:rPr>
                <w:rFonts w:ascii="Times New Roman" w:hAnsi="Times New Roman" w:cs="Times New Roman"/>
                <w:b/>
                <w:lang w:eastAsia="en-GB"/>
              </w:rPr>
              <w:t>KOOS (Knee Pain)</w:t>
            </w:r>
          </w:p>
        </w:tc>
        <w:tc>
          <w:tcPr>
            <w:tcW w:w="538" w:type="pct"/>
            <w:tcBorders>
              <w:top w:val="nil"/>
              <w:left w:val="nil"/>
              <w:bottom w:val="nil"/>
              <w:right w:val="nil"/>
            </w:tcBorders>
            <w:vAlign w:val="center"/>
            <w:hideMark/>
          </w:tcPr>
          <w:p w14:paraId="1404D702" w14:textId="77777777" w:rsidR="004C4598" w:rsidRPr="00DD0E35" w:rsidRDefault="004C4598" w:rsidP="0008354B">
            <w:pPr>
              <w:pStyle w:val="NoSpacing"/>
              <w:jc w:val="both"/>
              <w:rPr>
                <w:rFonts w:ascii="Times New Roman" w:hAnsi="Times New Roman" w:cs="Times New Roman"/>
                <w:lang w:eastAsia="en-GB"/>
              </w:rPr>
            </w:pPr>
            <w:r w:rsidRPr="00DD0E35">
              <w:rPr>
                <w:rFonts w:ascii="Times New Roman" w:hAnsi="Times New Roman" w:cs="Times New Roman"/>
                <w:lang w:eastAsia="en-GB"/>
              </w:rPr>
              <w:t xml:space="preserve">0.61 </w:t>
            </w:r>
          </w:p>
        </w:tc>
        <w:tc>
          <w:tcPr>
            <w:tcW w:w="923" w:type="pct"/>
            <w:tcBorders>
              <w:top w:val="nil"/>
              <w:left w:val="nil"/>
              <w:bottom w:val="nil"/>
              <w:right w:val="nil"/>
            </w:tcBorders>
            <w:hideMark/>
          </w:tcPr>
          <w:p w14:paraId="18B935E1" w14:textId="77777777" w:rsidR="004C4598" w:rsidRPr="00DD0E35" w:rsidRDefault="004C4598" w:rsidP="0008354B">
            <w:pPr>
              <w:pStyle w:val="NoSpacing"/>
              <w:jc w:val="both"/>
              <w:rPr>
                <w:rFonts w:ascii="Times New Roman" w:hAnsi="Times New Roman" w:cs="Times New Roman"/>
                <w:lang w:eastAsia="en-GB"/>
              </w:rPr>
            </w:pPr>
            <w:r w:rsidRPr="00DD0E35">
              <w:rPr>
                <w:rFonts w:ascii="Times New Roman" w:hAnsi="Times New Roman" w:cs="Times New Roman"/>
                <w:lang w:eastAsia="en-GB"/>
              </w:rPr>
              <w:t>(0.49, 0.71)</w:t>
            </w:r>
          </w:p>
        </w:tc>
        <w:tc>
          <w:tcPr>
            <w:tcW w:w="848" w:type="pct"/>
            <w:tcBorders>
              <w:top w:val="nil"/>
              <w:left w:val="nil"/>
              <w:bottom w:val="nil"/>
              <w:right w:val="nil"/>
            </w:tcBorders>
            <w:vAlign w:val="center"/>
            <w:hideMark/>
          </w:tcPr>
          <w:p w14:paraId="1454BD87" w14:textId="77777777" w:rsidR="004C4598" w:rsidRPr="00DD0E35" w:rsidRDefault="004C4598" w:rsidP="0008354B">
            <w:pPr>
              <w:pStyle w:val="NoSpacing"/>
              <w:jc w:val="both"/>
              <w:rPr>
                <w:rFonts w:ascii="Times New Roman" w:hAnsi="Times New Roman" w:cs="Times New Roman"/>
                <w:lang w:eastAsia="en-GB"/>
              </w:rPr>
            </w:pPr>
            <w:r w:rsidRPr="00DD0E35">
              <w:rPr>
                <w:rFonts w:ascii="Times New Roman" w:hAnsi="Times New Roman" w:cs="Times New Roman"/>
                <w:lang w:eastAsia="en-GB"/>
              </w:rPr>
              <w:t>0.45</w:t>
            </w:r>
          </w:p>
        </w:tc>
        <w:tc>
          <w:tcPr>
            <w:tcW w:w="844" w:type="pct"/>
            <w:tcBorders>
              <w:top w:val="nil"/>
              <w:left w:val="nil"/>
              <w:bottom w:val="nil"/>
              <w:right w:val="single" w:sz="4" w:space="0" w:color="auto"/>
            </w:tcBorders>
            <w:hideMark/>
          </w:tcPr>
          <w:p w14:paraId="11F78DC8" w14:textId="77777777" w:rsidR="004C4598" w:rsidRPr="00DD0E35" w:rsidRDefault="004C4598" w:rsidP="0008354B">
            <w:pPr>
              <w:pStyle w:val="NoSpacing"/>
              <w:jc w:val="both"/>
              <w:rPr>
                <w:rFonts w:ascii="Times New Roman" w:hAnsi="Times New Roman" w:cs="Times New Roman"/>
                <w:lang w:eastAsia="en-GB"/>
              </w:rPr>
            </w:pPr>
            <w:r w:rsidRPr="00DD0E35">
              <w:rPr>
                <w:rFonts w:ascii="Times New Roman" w:hAnsi="Times New Roman" w:cs="Times New Roman"/>
                <w:lang w:eastAsia="en-GB"/>
              </w:rPr>
              <w:t>(0.30, 0.58)</w:t>
            </w:r>
          </w:p>
        </w:tc>
      </w:tr>
      <w:tr w:rsidR="004C4598" w:rsidRPr="00DD0E35" w14:paraId="2C8BD650" w14:textId="77777777" w:rsidTr="0008354B">
        <w:trPr>
          <w:cantSplit/>
          <w:trHeight w:val="70"/>
        </w:trPr>
        <w:tc>
          <w:tcPr>
            <w:tcW w:w="1846" w:type="pct"/>
            <w:tcBorders>
              <w:top w:val="nil"/>
              <w:left w:val="single" w:sz="4" w:space="0" w:color="auto"/>
              <w:bottom w:val="nil"/>
              <w:right w:val="nil"/>
            </w:tcBorders>
            <w:vAlign w:val="center"/>
            <w:hideMark/>
          </w:tcPr>
          <w:p w14:paraId="6190EF83" w14:textId="77777777" w:rsidR="004C4598" w:rsidRPr="00DD0E35" w:rsidRDefault="004C4598" w:rsidP="0008354B">
            <w:pPr>
              <w:pStyle w:val="NoSpacing"/>
              <w:jc w:val="both"/>
              <w:rPr>
                <w:rFonts w:ascii="Times New Roman" w:hAnsi="Times New Roman" w:cs="Times New Roman"/>
                <w:b/>
                <w:lang w:eastAsia="en-GB"/>
              </w:rPr>
            </w:pPr>
            <w:r w:rsidRPr="00DD0E35">
              <w:rPr>
                <w:rFonts w:ascii="Times New Roman" w:hAnsi="Times New Roman" w:cs="Times New Roman"/>
                <w:b/>
                <w:lang w:eastAsia="en-GB"/>
              </w:rPr>
              <w:t>NDI (Neck Pain)</w:t>
            </w:r>
          </w:p>
        </w:tc>
        <w:tc>
          <w:tcPr>
            <w:tcW w:w="538" w:type="pct"/>
            <w:tcBorders>
              <w:top w:val="nil"/>
              <w:left w:val="nil"/>
              <w:bottom w:val="nil"/>
              <w:right w:val="nil"/>
            </w:tcBorders>
            <w:vAlign w:val="center"/>
            <w:hideMark/>
          </w:tcPr>
          <w:p w14:paraId="10415ED7" w14:textId="77777777" w:rsidR="004C4598" w:rsidRPr="00DD0E35" w:rsidRDefault="004C4598" w:rsidP="0008354B">
            <w:pPr>
              <w:pStyle w:val="NoSpacing"/>
              <w:jc w:val="both"/>
              <w:rPr>
                <w:rFonts w:ascii="Times New Roman" w:hAnsi="Times New Roman" w:cs="Times New Roman"/>
                <w:lang w:eastAsia="en-GB"/>
              </w:rPr>
            </w:pPr>
            <w:r w:rsidRPr="00DD0E35">
              <w:rPr>
                <w:rFonts w:ascii="Times New Roman" w:hAnsi="Times New Roman" w:cs="Times New Roman"/>
                <w:lang w:eastAsia="en-GB"/>
              </w:rPr>
              <w:t xml:space="preserve">-0.77 </w:t>
            </w:r>
          </w:p>
        </w:tc>
        <w:tc>
          <w:tcPr>
            <w:tcW w:w="923" w:type="pct"/>
            <w:tcBorders>
              <w:top w:val="nil"/>
              <w:left w:val="nil"/>
              <w:bottom w:val="nil"/>
              <w:right w:val="nil"/>
            </w:tcBorders>
            <w:hideMark/>
          </w:tcPr>
          <w:p w14:paraId="36E02750" w14:textId="77777777" w:rsidR="004C4598" w:rsidRPr="00DD0E35" w:rsidRDefault="004C4598" w:rsidP="0008354B">
            <w:pPr>
              <w:pStyle w:val="NoSpacing"/>
              <w:jc w:val="both"/>
              <w:rPr>
                <w:rFonts w:ascii="Times New Roman" w:hAnsi="Times New Roman" w:cs="Times New Roman"/>
                <w:lang w:eastAsia="en-GB"/>
              </w:rPr>
            </w:pPr>
            <w:r w:rsidRPr="00DD0E35">
              <w:rPr>
                <w:rFonts w:ascii="Times New Roman" w:hAnsi="Times New Roman" w:cs="Times New Roman"/>
                <w:lang w:eastAsia="en-GB"/>
              </w:rPr>
              <w:t>(-0.86, -0.63)</w:t>
            </w:r>
          </w:p>
        </w:tc>
        <w:tc>
          <w:tcPr>
            <w:tcW w:w="848" w:type="pct"/>
            <w:tcBorders>
              <w:top w:val="nil"/>
              <w:left w:val="nil"/>
              <w:bottom w:val="nil"/>
              <w:right w:val="nil"/>
            </w:tcBorders>
            <w:vAlign w:val="center"/>
            <w:hideMark/>
          </w:tcPr>
          <w:p w14:paraId="5050ED4C" w14:textId="77777777" w:rsidR="004C4598" w:rsidRPr="00DD0E35" w:rsidRDefault="004C4598" w:rsidP="0008354B">
            <w:pPr>
              <w:pStyle w:val="NoSpacing"/>
              <w:jc w:val="both"/>
              <w:rPr>
                <w:rFonts w:ascii="Times New Roman" w:hAnsi="Times New Roman" w:cs="Times New Roman"/>
                <w:lang w:eastAsia="en-GB"/>
              </w:rPr>
            </w:pPr>
            <w:r w:rsidRPr="00DD0E35">
              <w:rPr>
                <w:rFonts w:ascii="Times New Roman" w:hAnsi="Times New Roman" w:cs="Times New Roman"/>
                <w:lang w:eastAsia="en-GB"/>
              </w:rPr>
              <w:t>-0.39</w:t>
            </w:r>
          </w:p>
        </w:tc>
        <w:tc>
          <w:tcPr>
            <w:tcW w:w="844" w:type="pct"/>
            <w:tcBorders>
              <w:top w:val="nil"/>
              <w:left w:val="nil"/>
              <w:bottom w:val="nil"/>
              <w:right w:val="single" w:sz="4" w:space="0" w:color="auto"/>
            </w:tcBorders>
            <w:hideMark/>
          </w:tcPr>
          <w:p w14:paraId="4BAC5027" w14:textId="77777777" w:rsidR="004C4598" w:rsidRPr="00DD0E35" w:rsidRDefault="004C4598" w:rsidP="0008354B">
            <w:pPr>
              <w:pStyle w:val="NoSpacing"/>
              <w:jc w:val="both"/>
              <w:rPr>
                <w:rFonts w:ascii="Times New Roman" w:hAnsi="Times New Roman" w:cs="Times New Roman"/>
                <w:lang w:eastAsia="en-GB"/>
              </w:rPr>
            </w:pPr>
            <w:r w:rsidRPr="00DD0E35">
              <w:rPr>
                <w:rFonts w:ascii="Times New Roman" w:hAnsi="Times New Roman" w:cs="Times New Roman"/>
                <w:lang w:eastAsia="en-GB"/>
              </w:rPr>
              <w:t>(-0.61, -0.13)</w:t>
            </w:r>
          </w:p>
        </w:tc>
      </w:tr>
      <w:tr w:rsidR="004C4598" w:rsidRPr="00DD0E35" w14:paraId="411C044D" w14:textId="77777777" w:rsidTr="0008354B">
        <w:trPr>
          <w:cantSplit/>
          <w:trHeight w:val="70"/>
        </w:trPr>
        <w:tc>
          <w:tcPr>
            <w:tcW w:w="1846" w:type="pct"/>
            <w:tcBorders>
              <w:top w:val="nil"/>
              <w:left w:val="single" w:sz="4" w:space="0" w:color="auto"/>
              <w:bottom w:val="nil"/>
              <w:right w:val="nil"/>
            </w:tcBorders>
            <w:vAlign w:val="center"/>
            <w:hideMark/>
          </w:tcPr>
          <w:p w14:paraId="0BA9955B" w14:textId="77777777" w:rsidR="004C4598" w:rsidRPr="00DD0E35" w:rsidRDefault="004C4598" w:rsidP="0008354B">
            <w:pPr>
              <w:pStyle w:val="NoSpacing"/>
              <w:jc w:val="both"/>
              <w:rPr>
                <w:rFonts w:ascii="Times New Roman" w:hAnsi="Times New Roman" w:cs="Times New Roman"/>
                <w:b/>
                <w:lang w:eastAsia="en-GB"/>
              </w:rPr>
            </w:pPr>
            <w:r w:rsidRPr="00DD0E35">
              <w:rPr>
                <w:rFonts w:ascii="Times New Roman" w:hAnsi="Times New Roman" w:cs="Times New Roman"/>
                <w:b/>
                <w:lang w:eastAsia="en-GB"/>
              </w:rPr>
              <w:t>RMDQ (Back Pain)</w:t>
            </w:r>
          </w:p>
        </w:tc>
        <w:tc>
          <w:tcPr>
            <w:tcW w:w="538" w:type="pct"/>
            <w:tcBorders>
              <w:top w:val="nil"/>
              <w:left w:val="nil"/>
              <w:bottom w:val="nil"/>
              <w:right w:val="nil"/>
            </w:tcBorders>
            <w:vAlign w:val="center"/>
            <w:hideMark/>
          </w:tcPr>
          <w:p w14:paraId="03D372D1" w14:textId="77777777" w:rsidR="004C4598" w:rsidRPr="00DD0E35" w:rsidRDefault="004C4598" w:rsidP="0008354B">
            <w:pPr>
              <w:pStyle w:val="NoSpacing"/>
              <w:jc w:val="both"/>
              <w:rPr>
                <w:rFonts w:ascii="Times New Roman" w:hAnsi="Times New Roman" w:cs="Times New Roman"/>
                <w:lang w:eastAsia="en-GB"/>
              </w:rPr>
            </w:pPr>
            <w:r w:rsidRPr="00DD0E35">
              <w:rPr>
                <w:rFonts w:ascii="Times New Roman" w:hAnsi="Times New Roman" w:cs="Times New Roman"/>
                <w:lang w:eastAsia="en-GB"/>
              </w:rPr>
              <w:t xml:space="preserve">-0.69 </w:t>
            </w:r>
          </w:p>
        </w:tc>
        <w:tc>
          <w:tcPr>
            <w:tcW w:w="923" w:type="pct"/>
            <w:tcBorders>
              <w:top w:val="nil"/>
              <w:left w:val="nil"/>
              <w:bottom w:val="nil"/>
              <w:right w:val="nil"/>
            </w:tcBorders>
            <w:hideMark/>
          </w:tcPr>
          <w:p w14:paraId="61E87C96" w14:textId="77777777" w:rsidR="004C4598" w:rsidRPr="00DD0E35" w:rsidRDefault="004C4598" w:rsidP="0008354B">
            <w:pPr>
              <w:pStyle w:val="NoSpacing"/>
              <w:jc w:val="both"/>
              <w:rPr>
                <w:rFonts w:ascii="Times New Roman" w:hAnsi="Times New Roman" w:cs="Times New Roman"/>
                <w:lang w:eastAsia="en-GB"/>
              </w:rPr>
            </w:pPr>
            <w:r w:rsidRPr="00DD0E35">
              <w:rPr>
                <w:rFonts w:ascii="Times New Roman" w:hAnsi="Times New Roman" w:cs="Times New Roman"/>
                <w:lang w:eastAsia="en-GB"/>
              </w:rPr>
              <w:t>(-0.77, -0.59)</w:t>
            </w:r>
          </w:p>
        </w:tc>
        <w:tc>
          <w:tcPr>
            <w:tcW w:w="848" w:type="pct"/>
            <w:tcBorders>
              <w:top w:val="nil"/>
              <w:left w:val="nil"/>
              <w:bottom w:val="nil"/>
              <w:right w:val="nil"/>
            </w:tcBorders>
            <w:vAlign w:val="center"/>
            <w:hideMark/>
          </w:tcPr>
          <w:p w14:paraId="2F007D54" w14:textId="77777777" w:rsidR="004C4598" w:rsidRPr="00DD0E35" w:rsidRDefault="004C4598" w:rsidP="0008354B">
            <w:pPr>
              <w:pStyle w:val="NoSpacing"/>
              <w:jc w:val="both"/>
              <w:rPr>
                <w:rFonts w:ascii="Times New Roman" w:hAnsi="Times New Roman" w:cs="Times New Roman"/>
                <w:lang w:eastAsia="en-GB"/>
              </w:rPr>
            </w:pPr>
            <w:r w:rsidRPr="00DD0E35">
              <w:rPr>
                <w:rFonts w:ascii="Times New Roman" w:hAnsi="Times New Roman" w:cs="Times New Roman"/>
                <w:lang w:eastAsia="en-GB"/>
              </w:rPr>
              <w:t>-0.67</w:t>
            </w:r>
          </w:p>
        </w:tc>
        <w:tc>
          <w:tcPr>
            <w:tcW w:w="844" w:type="pct"/>
            <w:tcBorders>
              <w:top w:val="nil"/>
              <w:left w:val="nil"/>
              <w:bottom w:val="nil"/>
              <w:right w:val="single" w:sz="4" w:space="0" w:color="auto"/>
            </w:tcBorders>
            <w:hideMark/>
          </w:tcPr>
          <w:p w14:paraId="40D4DC80" w14:textId="77777777" w:rsidR="004C4598" w:rsidRPr="00DD0E35" w:rsidRDefault="004C4598" w:rsidP="0008354B">
            <w:pPr>
              <w:pStyle w:val="NoSpacing"/>
              <w:jc w:val="both"/>
              <w:rPr>
                <w:rFonts w:ascii="Times New Roman" w:hAnsi="Times New Roman" w:cs="Times New Roman"/>
                <w:lang w:eastAsia="en-GB"/>
              </w:rPr>
            </w:pPr>
            <w:r w:rsidRPr="00DD0E35">
              <w:rPr>
                <w:rFonts w:ascii="Times New Roman" w:hAnsi="Times New Roman" w:cs="Times New Roman"/>
                <w:lang w:eastAsia="en-GB"/>
              </w:rPr>
              <w:t>(-0.75, -0.56)</w:t>
            </w:r>
          </w:p>
        </w:tc>
      </w:tr>
      <w:tr w:rsidR="004C4598" w:rsidRPr="00DD0E35" w14:paraId="7224160B" w14:textId="77777777" w:rsidTr="0008354B">
        <w:trPr>
          <w:cantSplit/>
          <w:trHeight w:val="70"/>
        </w:trPr>
        <w:tc>
          <w:tcPr>
            <w:tcW w:w="1846" w:type="pct"/>
            <w:tcBorders>
              <w:top w:val="nil"/>
              <w:left w:val="single" w:sz="4" w:space="0" w:color="auto"/>
              <w:bottom w:val="nil"/>
              <w:right w:val="nil"/>
            </w:tcBorders>
            <w:vAlign w:val="center"/>
            <w:hideMark/>
          </w:tcPr>
          <w:p w14:paraId="6ADDC3BB" w14:textId="77777777" w:rsidR="004C4598" w:rsidRPr="00DD0E35" w:rsidRDefault="004C4598" w:rsidP="0008354B">
            <w:pPr>
              <w:pStyle w:val="NoSpacing"/>
              <w:jc w:val="both"/>
              <w:rPr>
                <w:rFonts w:ascii="Times New Roman" w:hAnsi="Times New Roman" w:cs="Times New Roman"/>
                <w:b/>
                <w:lang w:eastAsia="en-GB"/>
              </w:rPr>
            </w:pPr>
            <w:r w:rsidRPr="00DD0E35">
              <w:rPr>
                <w:rFonts w:ascii="Times New Roman" w:hAnsi="Times New Roman" w:cs="Times New Roman"/>
                <w:b/>
                <w:lang w:eastAsia="en-GB"/>
              </w:rPr>
              <w:t>SPADI (Shoulder Pain)</w:t>
            </w:r>
          </w:p>
        </w:tc>
        <w:tc>
          <w:tcPr>
            <w:tcW w:w="538" w:type="pct"/>
            <w:tcBorders>
              <w:top w:val="nil"/>
              <w:left w:val="nil"/>
              <w:bottom w:val="nil"/>
              <w:right w:val="nil"/>
            </w:tcBorders>
            <w:vAlign w:val="center"/>
            <w:hideMark/>
          </w:tcPr>
          <w:p w14:paraId="58AABAE4" w14:textId="77777777" w:rsidR="004C4598" w:rsidRPr="00DD0E35" w:rsidRDefault="004C4598" w:rsidP="0008354B">
            <w:pPr>
              <w:pStyle w:val="NoSpacing"/>
              <w:jc w:val="both"/>
              <w:rPr>
                <w:rFonts w:ascii="Times New Roman" w:hAnsi="Times New Roman" w:cs="Times New Roman"/>
                <w:lang w:eastAsia="en-GB"/>
              </w:rPr>
            </w:pPr>
            <w:r w:rsidRPr="00DD0E35">
              <w:rPr>
                <w:rFonts w:ascii="Times New Roman" w:hAnsi="Times New Roman" w:cs="Times New Roman"/>
                <w:lang w:eastAsia="en-GB"/>
              </w:rPr>
              <w:t xml:space="preserve">-0.70 </w:t>
            </w:r>
          </w:p>
        </w:tc>
        <w:tc>
          <w:tcPr>
            <w:tcW w:w="923" w:type="pct"/>
            <w:tcBorders>
              <w:top w:val="nil"/>
              <w:left w:val="nil"/>
              <w:bottom w:val="nil"/>
              <w:right w:val="nil"/>
            </w:tcBorders>
            <w:hideMark/>
          </w:tcPr>
          <w:p w14:paraId="28D0B4A4" w14:textId="77777777" w:rsidR="004C4598" w:rsidRPr="00DD0E35" w:rsidRDefault="004C4598" w:rsidP="0008354B">
            <w:pPr>
              <w:pStyle w:val="NoSpacing"/>
              <w:jc w:val="both"/>
              <w:rPr>
                <w:rFonts w:ascii="Times New Roman" w:hAnsi="Times New Roman" w:cs="Times New Roman"/>
                <w:lang w:eastAsia="en-GB"/>
              </w:rPr>
            </w:pPr>
            <w:r w:rsidRPr="00DD0E35">
              <w:rPr>
                <w:rFonts w:ascii="Times New Roman" w:hAnsi="Times New Roman" w:cs="Times New Roman"/>
                <w:lang w:eastAsia="en-GB"/>
              </w:rPr>
              <w:t>(-0.79, -0.59)</w:t>
            </w:r>
          </w:p>
        </w:tc>
        <w:tc>
          <w:tcPr>
            <w:tcW w:w="848" w:type="pct"/>
            <w:tcBorders>
              <w:top w:val="nil"/>
              <w:left w:val="nil"/>
              <w:bottom w:val="nil"/>
              <w:right w:val="nil"/>
            </w:tcBorders>
            <w:vAlign w:val="center"/>
            <w:hideMark/>
          </w:tcPr>
          <w:p w14:paraId="69AEBC0F" w14:textId="77777777" w:rsidR="004C4598" w:rsidRPr="00DD0E35" w:rsidRDefault="004C4598" w:rsidP="0008354B">
            <w:pPr>
              <w:pStyle w:val="NoSpacing"/>
              <w:jc w:val="both"/>
              <w:rPr>
                <w:rFonts w:ascii="Times New Roman" w:hAnsi="Times New Roman" w:cs="Times New Roman"/>
                <w:lang w:eastAsia="en-GB"/>
              </w:rPr>
            </w:pPr>
            <w:r w:rsidRPr="00DD0E35">
              <w:rPr>
                <w:rFonts w:ascii="Times New Roman" w:hAnsi="Times New Roman" w:cs="Times New Roman"/>
                <w:lang w:eastAsia="en-GB"/>
              </w:rPr>
              <w:t>-0.38</w:t>
            </w:r>
          </w:p>
        </w:tc>
        <w:tc>
          <w:tcPr>
            <w:tcW w:w="844" w:type="pct"/>
            <w:tcBorders>
              <w:top w:val="nil"/>
              <w:left w:val="nil"/>
              <w:bottom w:val="nil"/>
              <w:right w:val="single" w:sz="4" w:space="0" w:color="auto"/>
            </w:tcBorders>
            <w:hideMark/>
          </w:tcPr>
          <w:p w14:paraId="6F718C66" w14:textId="77777777" w:rsidR="004C4598" w:rsidRPr="00DD0E35" w:rsidRDefault="004C4598" w:rsidP="0008354B">
            <w:pPr>
              <w:pStyle w:val="NoSpacing"/>
              <w:jc w:val="both"/>
              <w:rPr>
                <w:rFonts w:ascii="Times New Roman" w:hAnsi="Times New Roman" w:cs="Times New Roman"/>
                <w:lang w:eastAsia="en-GB"/>
              </w:rPr>
            </w:pPr>
            <w:r w:rsidRPr="00DD0E35">
              <w:rPr>
                <w:rFonts w:ascii="Times New Roman" w:hAnsi="Times New Roman" w:cs="Times New Roman"/>
                <w:lang w:eastAsia="en-GB"/>
              </w:rPr>
              <w:t>(-0.54, -0.20)</w:t>
            </w:r>
          </w:p>
        </w:tc>
      </w:tr>
      <w:tr w:rsidR="004C4598" w:rsidRPr="00DD0E35" w14:paraId="1368D3A7" w14:textId="77777777" w:rsidTr="0008354B">
        <w:trPr>
          <w:cantSplit/>
          <w:trHeight w:val="70"/>
        </w:trPr>
        <w:tc>
          <w:tcPr>
            <w:tcW w:w="1846" w:type="pct"/>
            <w:tcBorders>
              <w:top w:val="nil"/>
              <w:left w:val="single" w:sz="4" w:space="0" w:color="auto"/>
              <w:bottom w:val="single" w:sz="4" w:space="0" w:color="auto"/>
              <w:right w:val="nil"/>
            </w:tcBorders>
            <w:vAlign w:val="center"/>
            <w:hideMark/>
          </w:tcPr>
          <w:p w14:paraId="6D6EA0E6" w14:textId="77777777" w:rsidR="004C4598" w:rsidRPr="00DD0E35" w:rsidRDefault="004C4598" w:rsidP="0008354B">
            <w:pPr>
              <w:pStyle w:val="NoSpacing"/>
              <w:jc w:val="both"/>
              <w:rPr>
                <w:rFonts w:ascii="Times New Roman" w:hAnsi="Times New Roman" w:cs="Times New Roman"/>
                <w:b/>
                <w:lang w:eastAsia="en-GB"/>
              </w:rPr>
            </w:pPr>
            <w:r w:rsidRPr="00DD0E35">
              <w:rPr>
                <w:rFonts w:ascii="Times New Roman" w:hAnsi="Times New Roman" w:cs="Times New Roman"/>
                <w:b/>
                <w:lang w:eastAsia="en-GB"/>
              </w:rPr>
              <w:t>SF-36 PCS (Multi-site Pain)</w:t>
            </w:r>
          </w:p>
        </w:tc>
        <w:tc>
          <w:tcPr>
            <w:tcW w:w="538" w:type="pct"/>
            <w:tcBorders>
              <w:top w:val="nil"/>
              <w:left w:val="nil"/>
              <w:bottom w:val="single" w:sz="4" w:space="0" w:color="auto"/>
              <w:right w:val="nil"/>
            </w:tcBorders>
            <w:vAlign w:val="center"/>
            <w:hideMark/>
          </w:tcPr>
          <w:p w14:paraId="481F8FF7" w14:textId="77777777" w:rsidR="004C4598" w:rsidRPr="00DD0E35" w:rsidRDefault="004C4598" w:rsidP="0008354B">
            <w:pPr>
              <w:pStyle w:val="NoSpacing"/>
              <w:jc w:val="both"/>
              <w:rPr>
                <w:rFonts w:ascii="Times New Roman" w:hAnsi="Times New Roman" w:cs="Times New Roman"/>
                <w:lang w:eastAsia="en-GB"/>
              </w:rPr>
            </w:pPr>
            <w:r w:rsidRPr="00DD0E35">
              <w:rPr>
                <w:rFonts w:ascii="Times New Roman" w:hAnsi="Times New Roman" w:cs="Times New Roman"/>
                <w:lang w:eastAsia="en-GB"/>
              </w:rPr>
              <w:t xml:space="preserve">0.17 </w:t>
            </w:r>
          </w:p>
        </w:tc>
        <w:tc>
          <w:tcPr>
            <w:tcW w:w="923" w:type="pct"/>
            <w:tcBorders>
              <w:top w:val="nil"/>
              <w:left w:val="nil"/>
              <w:bottom w:val="single" w:sz="4" w:space="0" w:color="auto"/>
              <w:right w:val="nil"/>
            </w:tcBorders>
            <w:hideMark/>
          </w:tcPr>
          <w:p w14:paraId="7DE2CCAB" w14:textId="77777777" w:rsidR="004C4598" w:rsidRPr="00DD0E35" w:rsidRDefault="004C4598" w:rsidP="0008354B">
            <w:pPr>
              <w:pStyle w:val="NoSpacing"/>
              <w:jc w:val="both"/>
              <w:rPr>
                <w:rFonts w:ascii="Times New Roman" w:hAnsi="Times New Roman" w:cs="Times New Roman"/>
                <w:lang w:eastAsia="en-GB"/>
              </w:rPr>
            </w:pPr>
            <w:r w:rsidRPr="00DD0E35">
              <w:rPr>
                <w:rFonts w:ascii="Times New Roman" w:hAnsi="Times New Roman" w:cs="Times New Roman"/>
                <w:lang w:eastAsia="en-GB"/>
              </w:rPr>
              <w:t>(-0.17, 0.48)</w:t>
            </w:r>
          </w:p>
        </w:tc>
        <w:tc>
          <w:tcPr>
            <w:tcW w:w="848" w:type="pct"/>
            <w:tcBorders>
              <w:top w:val="nil"/>
              <w:left w:val="nil"/>
              <w:bottom w:val="single" w:sz="4" w:space="0" w:color="auto"/>
              <w:right w:val="nil"/>
            </w:tcBorders>
            <w:vAlign w:val="center"/>
            <w:hideMark/>
          </w:tcPr>
          <w:p w14:paraId="00D2C971" w14:textId="77777777" w:rsidR="004C4598" w:rsidRPr="00DD0E35" w:rsidRDefault="004C4598" w:rsidP="0008354B">
            <w:pPr>
              <w:pStyle w:val="NoSpacing"/>
              <w:jc w:val="both"/>
              <w:rPr>
                <w:rFonts w:ascii="Times New Roman" w:hAnsi="Times New Roman" w:cs="Times New Roman"/>
                <w:lang w:eastAsia="en-GB"/>
              </w:rPr>
            </w:pPr>
            <w:r w:rsidRPr="00DD0E35">
              <w:rPr>
                <w:rFonts w:ascii="Times New Roman" w:hAnsi="Times New Roman" w:cs="Times New Roman"/>
                <w:lang w:eastAsia="en-GB"/>
              </w:rPr>
              <w:t>0.26</w:t>
            </w:r>
          </w:p>
        </w:tc>
        <w:tc>
          <w:tcPr>
            <w:tcW w:w="844" w:type="pct"/>
            <w:tcBorders>
              <w:top w:val="nil"/>
              <w:left w:val="nil"/>
              <w:bottom w:val="single" w:sz="4" w:space="0" w:color="auto"/>
              <w:right w:val="single" w:sz="4" w:space="0" w:color="auto"/>
            </w:tcBorders>
            <w:hideMark/>
          </w:tcPr>
          <w:p w14:paraId="31869758" w14:textId="77777777" w:rsidR="004C4598" w:rsidRPr="00DD0E35" w:rsidRDefault="004C4598" w:rsidP="0008354B">
            <w:pPr>
              <w:pStyle w:val="NoSpacing"/>
              <w:jc w:val="both"/>
              <w:rPr>
                <w:rFonts w:ascii="Times New Roman" w:hAnsi="Times New Roman" w:cs="Times New Roman"/>
                <w:lang w:eastAsia="en-GB"/>
              </w:rPr>
            </w:pPr>
            <w:r w:rsidRPr="00DD0E35">
              <w:rPr>
                <w:rFonts w:ascii="Times New Roman" w:hAnsi="Times New Roman" w:cs="Times New Roman"/>
                <w:lang w:eastAsia="en-GB"/>
              </w:rPr>
              <w:t>(-0.09, 0.55)</w:t>
            </w:r>
          </w:p>
        </w:tc>
      </w:tr>
    </w:tbl>
    <w:p w14:paraId="10FF1AEA" w14:textId="0FDF96BA" w:rsidR="004C4598" w:rsidRDefault="004C4598" w:rsidP="002A6C71">
      <w:pPr>
        <w:pStyle w:val="NoSpacing"/>
        <w:rPr>
          <w:rFonts w:ascii="Times New Roman" w:hAnsi="Times New Roman" w:cs="Times New Roman"/>
          <w:sz w:val="24"/>
          <w:szCs w:val="24"/>
        </w:rPr>
      </w:pPr>
    </w:p>
    <w:p w14:paraId="0FA60A75" w14:textId="77777777" w:rsidR="004C4598" w:rsidRPr="001573EF" w:rsidRDefault="004C4598" w:rsidP="002A6C71">
      <w:pPr>
        <w:pStyle w:val="NoSpacing"/>
        <w:rPr>
          <w:rFonts w:ascii="Times New Roman" w:hAnsi="Times New Roman" w:cs="Times New Roman"/>
          <w:sz w:val="24"/>
          <w:szCs w:val="24"/>
        </w:rPr>
      </w:pPr>
    </w:p>
    <w:p w14:paraId="722552A8" w14:textId="5655E94C" w:rsidR="0033745D" w:rsidRPr="00357D1D" w:rsidRDefault="008A4857" w:rsidP="0033745D">
      <w:pPr>
        <w:pStyle w:val="NoSpacing"/>
        <w:jc w:val="center"/>
        <w:rPr>
          <w:rFonts w:ascii="Times New Roman" w:hAnsi="Times New Roman" w:cs="Times New Roman"/>
          <w:sz w:val="24"/>
          <w:szCs w:val="24"/>
        </w:rPr>
      </w:pPr>
      <w:r>
        <w:rPr>
          <w:rFonts w:ascii="Times New Roman" w:hAnsi="Times New Roman" w:cs="Times New Roman"/>
          <w:sz w:val="24"/>
          <w:szCs w:val="24"/>
        </w:rPr>
        <w:t>Correlations (95% confidence intervals) reported; a</w:t>
      </w:r>
      <w:r w:rsidR="002A6C71" w:rsidRPr="00357D1D">
        <w:rPr>
          <w:rFonts w:ascii="Times New Roman" w:hAnsi="Times New Roman" w:cs="Times New Roman"/>
          <w:sz w:val="24"/>
          <w:szCs w:val="24"/>
        </w:rPr>
        <w:t xml:space="preserve">ll correlations are significant at </w:t>
      </w:r>
      <w:r w:rsidR="002A6C71" w:rsidRPr="00671706">
        <w:rPr>
          <w:rFonts w:ascii="Times New Roman" w:hAnsi="Times New Roman" w:cs="Times New Roman"/>
          <w:i/>
          <w:sz w:val="24"/>
          <w:szCs w:val="24"/>
        </w:rPr>
        <w:t>P</w:t>
      </w:r>
      <w:r w:rsidR="002A6C71" w:rsidRPr="00357D1D">
        <w:rPr>
          <w:rFonts w:ascii="Times New Roman" w:hAnsi="Times New Roman" w:cs="Times New Roman"/>
          <w:sz w:val="24"/>
          <w:szCs w:val="24"/>
        </w:rPr>
        <w:t>&lt;0.001, except correlation</w:t>
      </w:r>
      <w:r w:rsidR="003031BB">
        <w:rPr>
          <w:rFonts w:ascii="Times New Roman" w:hAnsi="Times New Roman" w:cs="Times New Roman"/>
          <w:sz w:val="24"/>
          <w:szCs w:val="24"/>
        </w:rPr>
        <w:t>s between the MSK-HQ and EQ-5D-5</w:t>
      </w:r>
      <w:r w:rsidR="002A6C71" w:rsidRPr="00357D1D">
        <w:rPr>
          <w:rFonts w:ascii="Times New Roman" w:hAnsi="Times New Roman" w:cs="Times New Roman"/>
          <w:sz w:val="24"/>
          <w:szCs w:val="24"/>
        </w:rPr>
        <w:t xml:space="preserve">L and SF-36 </w:t>
      </w:r>
      <w:r w:rsidR="003759B0">
        <w:rPr>
          <w:rFonts w:ascii="Times New Roman" w:hAnsi="Times New Roman" w:cs="Times New Roman"/>
          <w:sz w:val="24"/>
          <w:szCs w:val="24"/>
        </w:rPr>
        <w:t>PCS</w:t>
      </w:r>
      <w:r w:rsidR="002A6C71" w:rsidRPr="00357D1D">
        <w:rPr>
          <w:rFonts w:ascii="Times New Roman" w:hAnsi="Times New Roman" w:cs="Times New Roman"/>
          <w:sz w:val="24"/>
          <w:szCs w:val="24"/>
        </w:rPr>
        <w:t>.</w:t>
      </w:r>
      <w:r w:rsidR="0033745D" w:rsidRPr="00357D1D">
        <w:rPr>
          <w:rFonts w:ascii="Times New Roman" w:hAnsi="Times New Roman" w:cs="Times New Roman"/>
          <w:sz w:val="24"/>
          <w:szCs w:val="24"/>
        </w:rPr>
        <w:t xml:space="preserve"> MSK-HQ=musculoskele</w:t>
      </w:r>
      <w:r w:rsidR="003759B0">
        <w:rPr>
          <w:rFonts w:ascii="Times New Roman" w:hAnsi="Times New Roman" w:cs="Times New Roman"/>
          <w:sz w:val="24"/>
          <w:szCs w:val="24"/>
        </w:rPr>
        <w:t>tal health questionnaire; KOOS=</w:t>
      </w:r>
      <w:r w:rsidR="0033745D" w:rsidRPr="00357D1D">
        <w:rPr>
          <w:rFonts w:ascii="Times New Roman" w:hAnsi="Times New Roman" w:cs="Times New Roman"/>
          <w:sz w:val="24"/>
          <w:szCs w:val="24"/>
        </w:rPr>
        <w:t>Knee Injury and Osteoarthritis Outcome Score</w:t>
      </w:r>
      <w:r w:rsidR="003031BB">
        <w:rPr>
          <w:rFonts w:ascii="Times New Roman" w:hAnsi="Times New Roman" w:cs="Times New Roman"/>
          <w:sz w:val="24"/>
          <w:szCs w:val="24"/>
        </w:rPr>
        <w:t>; NDI=Neck Disability Index; RM</w:t>
      </w:r>
      <w:r w:rsidR="0033745D" w:rsidRPr="00357D1D">
        <w:rPr>
          <w:rFonts w:ascii="Times New Roman" w:hAnsi="Times New Roman" w:cs="Times New Roman"/>
          <w:sz w:val="24"/>
          <w:szCs w:val="24"/>
        </w:rPr>
        <w:t>D</w:t>
      </w:r>
      <w:r w:rsidR="003031BB">
        <w:rPr>
          <w:rFonts w:ascii="Times New Roman" w:hAnsi="Times New Roman" w:cs="Times New Roman"/>
          <w:sz w:val="24"/>
          <w:szCs w:val="24"/>
        </w:rPr>
        <w:t>Q</w:t>
      </w:r>
      <w:r w:rsidR="0033745D" w:rsidRPr="00357D1D">
        <w:rPr>
          <w:rFonts w:ascii="Times New Roman" w:hAnsi="Times New Roman" w:cs="Times New Roman"/>
          <w:sz w:val="24"/>
          <w:szCs w:val="24"/>
        </w:rPr>
        <w:t>=Roland-Morris Disability Questionnaire</w:t>
      </w:r>
      <w:r w:rsidR="00357D1D">
        <w:rPr>
          <w:rFonts w:ascii="Times New Roman" w:hAnsi="Times New Roman" w:cs="Times New Roman"/>
          <w:sz w:val="24"/>
          <w:szCs w:val="24"/>
        </w:rPr>
        <w:t>;</w:t>
      </w:r>
      <w:r w:rsidR="0033745D" w:rsidRPr="00357D1D">
        <w:rPr>
          <w:rFonts w:ascii="Times New Roman" w:hAnsi="Times New Roman" w:cs="Times New Roman"/>
          <w:sz w:val="24"/>
          <w:szCs w:val="24"/>
        </w:rPr>
        <w:t xml:space="preserve"> SPADI=Shoulder Pain and Disability Index</w:t>
      </w:r>
      <w:r w:rsidR="00357D1D">
        <w:rPr>
          <w:rFonts w:ascii="Times New Roman" w:hAnsi="Times New Roman" w:cs="Times New Roman"/>
          <w:sz w:val="24"/>
          <w:szCs w:val="24"/>
        </w:rPr>
        <w:t>;</w:t>
      </w:r>
      <w:r w:rsidR="0033745D" w:rsidRPr="00357D1D">
        <w:rPr>
          <w:rFonts w:ascii="Times New Roman" w:hAnsi="Times New Roman" w:cs="Times New Roman"/>
          <w:sz w:val="24"/>
          <w:szCs w:val="24"/>
        </w:rPr>
        <w:t xml:space="preserve"> SF-36 PCS=Short-Form-12 Physical Component Summary Score</w:t>
      </w:r>
      <w:r w:rsidR="00357D1D">
        <w:rPr>
          <w:rFonts w:ascii="Times New Roman" w:hAnsi="Times New Roman" w:cs="Times New Roman"/>
          <w:sz w:val="24"/>
          <w:szCs w:val="24"/>
        </w:rPr>
        <w:t>.</w:t>
      </w:r>
    </w:p>
    <w:p w14:paraId="66F1BD85" w14:textId="6E26F2EC" w:rsidR="002A6C71" w:rsidRPr="001573EF" w:rsidRDefault="002A6C71" w:rsidP="002A6C71">
      <w:pPr>
        <w:pStyle w:val="NoSpacing"/>
        <w:jc w:val="center"/>
        <w:rPr>
          <w:rFonts w:ascii="Times New Roman" w:hAnsi="Times New Roman" w:cs="Times New Roman"/>
          <w:sz w:val="24"/>
          <w:szCs w:val="24"/>
        </w:rPr>
      </w:pPr>
    </w:p>
    <w:p w14:paraId="4540780F" w14:textId="77777777" w:rsidR="00DB18CB" w:rsidRDefault="00DB18CB">
      <w:pPr>
        <w:rPr>
          <w:rFonts w:ascii="Times New Roman" w:hAnsi="Times New Roman" w:cs="Times New Roman"/>
          <w:b/>
          <w:sz w:val="24"/>
          <w:szCs w:val="24"/>
        </w:rPr>
      </w:pPr>
      <w:r>
        <w:rPr>
          <w:rFonts w:ascii="Times New Roman" w:hAnsi="Times New Roman" w:cs="Times New Roman"/>
          <w:b/>
          <w:sz w:val="24"/>
          <w:szCs w:val="24"/>
        </w:rPr>
        <w:br w:type="page"/>
      </w:r>
    </w:p>
    <w:p w14:paraId="1F33BC37" w14:textId="583CB88C" w:rsidR="00E47B92" w:rsidRDefault="00E47B92" w:rsidP="00E47B92">
      <w:pPr>
        <w:pStyle w:val="NoSpacing"/>
        <w:jc w:val="center"/>
        <w:rPr>
          <w:rFonts w:ascii="Times New Roman" w:hAnsi="Times New Roman" w:cs="Times New Roman"/>
          <w:b/>
          <w:sz w:val="24"/>
          <w:szCs w:val="24"/>
        </w:rPr>
      </w:pPr>
      <w:r w:rsidRPr="00DA020D">
        <w:rPr>
          <w:rFonts w:ascii="Times New Roman" w:hAnsi="Times New Roman" w:cs="Times New Roman"/>
          <w:b/>
          <w:sz w:val="24"/>
          <w:szCs w:val="24"/>
        </w:rPr>
        <w:lastRenderedPageBreak/>
        <w:t xml:space="preserve">Figure </w:t>
      </w:r>
      <w:r w:rsidR="00126B88">
        <w:rPr>
          <w:rFonts w:ascii="Times New Roman" w:hAnsi="Times New Roman" w:cs="Times New Roman"/>
          <w:b/>
          <w:sz w:val="24"/>
          <w:szCs w:val="24"/>
        </w:rPr>
        <w:t>1</w:t>
      </w:r>
      <w:r w:rsidRPr="00DA020D">
        <w:rPr>
          <w:rFonts w:ascii="Times New Roman" w:hAnsi="Times New Roman" w:cs="Times New Roman"/>
          <w:b/>
          <w:sz w:val="24"/>
          <w:szCs w:val="24"/>
        </w:rPr>
        <w:t xml:space="preserve">. Receiver Operating Characteristic Curves for the MSK-HQ and Other </w:t>
      </w:r>
      <w:r w:rsidR="00A06983">
        <w:rPr>
          <w:rFonts w:ascii="Times New Roman" w:hAnsi="Times New Roman" w:cs="Times New Roman"/>
          <w:b/>
          <w:sz w:val="24"/>
          <w:szCs w:val="24"/>
        </w:rPr>
        <w:t xml:space="preserve">Patient Reported Outcome Measures </w:t>
      </w:r>
      <w:r w:rsidRPr="00DA020D">
        <w:rPr>
          <w:rFonts w:ascii="Times New Roman" w:hAnsi="Times New Roman" w:cs="Times New Roman"/>
          <w:b/>
          <w:sz w:val="24"/>
          <w:szCs w:val="24"/>
        </w:rPr>
        <w:t xml:space="preserve">at Discriminating Between Patients Improving and Not Improving on their </w:t>
      </w:r>
      <w:r w:rsidR="00180C4F">
        <w:rPr>
          <w:rFonts w:ascii="Times New Roman" w:hAnsi="Times New Roman" w:cs="Times New Roman"/>
          <w:b/>
          <w:sz w:val="24"/>
          <w:szCs w:val="24"/>
        </w:rPr>
        <w:t>Patient</w:t>
      </w:r>
      <w:r w:rsidRPr="00DA020D">
        <w:rPr>
          <w:rFonts w:ascii="Times New Roman" w:hAnsi="Times New Roman" w:cs="Times New Roman"/>
          <w:b/>
          <w:sz w:val="24"/>
          <w:szCs w:val="24"/>
        </w:rPr>
        <w:t xml:space="preserve"> Global</w:t>
      </w:r>
      <w:r w:rsidR="0046406A">
        <w:rPr>
          <w:rFonts w:ascii="Times New Roman" w:hAnsi="Times New Roman" w:cs="Times New Roman"/>
          <w:b/>
          <w:sz w:val="24"/>
          <w:szCs w:val="24"/>
        </w:rPr>
        <w:t xml:space="preserve"> </w:t>
      </w:r>
      <w:r w:rsidR="00180C4F">
        <w:rPr>
          <w:rFonts w:ascii="Times New Roman" w:hAnsi="Times New Roman" w:cs="Times New Roman"/>
          <w:b/>
          <w:sz w:val="24"/>
          <w:szCs w:val="24"/>
        </w:rPr>
        <w:t xml:space="preserve">Assessment </w:t>
      </w:r>
      <w:r w:rsidR="0046406A">
        <w:rPr>
          <w:rFonts w:ascii="Times New Roman" w:hAnsi="Times New Roman" w:cs="Times New Roman"/>
          <w:b/>
          <w:sz w:val="24"/>
          <w:szCs w:val="24"/>
        </w:rPr>
        <w:t>Score.</w:t>
      </w:r>
    </w:p>
    <w:p w14:paraId="2C80B5C4" w14:textId="77777777" w:rsidR="00671706" w:rsidRDefault="00671706" w:rsidP="00E47B92">
      <w:pPr>
        <w:pStyle w:val="NoSpacing"/>
        <w:jc w:val="center"/>
        <w:rPr>
          <w:rFonts w:ascii="Times New Roman" w:hAnsi="Times New Roman" w:cs="Times New Roman"/>
          <w:b/>
          <w:sz w:val="24"/>
          <w:szCs w:val="24"/>
        </w:rPr>
      </w:pPr>
    </w:p>
    <w:p w14:paraId="52FC5CF3" w14:textId="3686BA3C" w:rsidR="007230AE" w:rsidRDefault="007230AE" w:rsidP="00E47B92">
      <w:pPr>
        <w:pStyle w:val="NoSpacing"/>
        <w:jc w:val="center"/>
        <w:rPr>
          <w:rFonts w:ascii="Times New Roman" w:hAnsi="Times New Roman" w:cs="Times New Roman"/>
          <w:b/>
          <w:sz w:val="24"/>
          <w:szCs w:val="24"/>
        </w:rPr>
      </w:pPr>
    </w:p>
    <w:p w14:paraId="06BC65A8" w14:textId="420A93D6" w:rsidR="00880E6E" w:rsidRPr="00DA020D" w:rsidRDefault="007230AE" w:rsidP="00671706">
      <w:pPr>
        <w:pStyle w:val="NoSpacing"/>
        <w:jc w:val="center"/>
        <w:rPr>
          <w:rFonts w:ascii="Times New Roman" w:hAnsi="Times New Roman" w:cs="Times New Roman"/>
          <w:sz w:val="24"/>
          <w:szCs w:val="24"/>
        </w:rPr>
      </w:pPr>
      <w:r w:rsidRPr="007230AE">
        <w:rPr>
          <w:rFonts w:ascii="Times New Roman" w:hAnsi="Times New Roman" w:cs="Times New Roman"/>
          <w:sz w:val="24"/>
          <w:szCs w:val="24"/>
        </w:rPr>
        <w:t>Panel A:</w:t>
      </w:r>
      <w:r w:rsidRPr="00671706">
        <w:rPr>
          <w:rFonts w:ascii="Times New Roman" w:hAnsi="Times New Roman" w:cs="Times New Roman"/>
          <w:sz w:val="24"/>
          <w:szCs w:val="24"/>
        </w:rPr>
        <w:t xml:space="preserve"> </w:t>
      </w:r>
      <w:r>
        <w:rPr>
          <w:rFonts w:ascii="Times New Roman" w:hAnsi="Times New Roman" w:cs="Times New Roman"/>
          <w:sz w:val="24"/>
          <w:szCs w:val="24"/>
        </w:rPr>
        <w:t xml:space="preserve">all patients; Panel B: patients with </w:t>
      </w:r>
      <w:r w:rsidR="00FA7B03">
        <w:rPr>
          <w:rFonts w:ascii="Times New Roman" w:hAnsi="Times New Roman" w:cs="Times New Roman"/>
          <w:sz w:val="24"/>
          <w:szCs w:val="24"/>
        </w:rPr>
        <w:t xml:space="preserve">low back </w:t>
      </w:r>
      <w:r>
        <w:rPr>
          <w:rFonts w:ascii="Times New Roman" w:hAnsi="Times New Roman" w:cs="Times New Roman"/>
          <w:sz w:val="24"/>
          <w:szCs w:val="24"/>
        </w:rPr>
        <w:t>p</w:t>
      </w:r>
      <w:r w:rsidRPr="00671706">
        <w:rPr>
          <w:rFonts w:ascii="Times New Roman" w:hAnsi="Times New Roman" w:cs="Times New Roman"/>
          <w:sz w:val="24"/>
          <w:szCs w:val="24"/>
        </w:rPr>
        <w:t xml:space="preserve">ain; panel C = </w:t>
      </w:r>
      <w:r>
        <w:rPr>
          <w:rFonts w:ascii="Times New Roman" w:hAnsi="Times New Roman" w:cs="Times New Roman"/>
          <w:sz w:val="24"/>
          <w:szCs w:val="24"/>
        </w:rPr>
        <w:t xml:space="preserve">patients with neck pain; </w:t>
      </w:r>
      <w:r w:rsidRPr="00671706">
        <w:rPr>
          <w:rFonts w:ascii="Times New Roman" w:hAnsi="Times New Roman" w:cs="Times New Roman"/>
          <w:sz w:val="24"/>
          <w:szCs w:val="24"/>
        </w:rPr>
        <w:t xml:space="preserve">panel D = </w:t>
      </w:r>
      <w:r>
        <w:rPr>
          <w:rFonts w:ascii="Times New Roman" w:hAnsi="Times New Roman" w:cs="Times New Roman"/>
          <w:sz w:val="24"/>
          <w:szCs w:val="24"/>
        </w:rPr>
        <w:t xml:space="preserve">patients with </w:t>
      </w:r>
      <w:r w:rsidR="00FA7B03">
        <w:rPr>
          <w:rFonts w:ascii="Times New Roman" w:hAnsi="Times New Roman" w:cs="Times New Roman"/>
          <w:sz w:val="24"/>
          <w:szCs w:val="24"/>
        </w:rPr>
        <w:t xml:space="preserve">shoulder </w:t>
      </w:r>
      <w:r>
        <w:rPr>
          <w:rFonts w:ascii="Times New Roman" w:hAnsi="Times New Roman" w:cs="Times New Roman"/>
          <w:sz w:val="24"/>
          <w:szCs w:val="24"/>
        </w:rPr>
        <w:t>pain</w:t>
      </w:r>
      <w:r w:rsidRPr="00671706">
        <w:rPr>
          <w:rFonts w:ascii="Times New Roman" w:hAnsi="Times New Roman" w:cs="Times New Roman"/>
          <w:sz w:val="24"/>
          <w:szCs w:val="24"/>
        </w:rPr>
        <w:t xml:space="preserve">; panel E = </w:t>
      </w:r>
      <w:r>
        <w:rPr>
          <w:rFonts w:ascii="Times New Roman" w:hAnsi="Times New Roman" w:cs="Times New Roman"/>
          <w:sz w:val="24"/>
          <w:szCs w:val="24"/>
        </w:rPr>
        <w:t xml:space="preserve">patients with </w:t>
      </w:r>
      <w:r w:rsidR="00FA7B03">
        <w:rPr>
          <w:rFonts w:ascii="Times New Roman" w:hAnsi="Times New Roman" w:cs="Times New Roman"/>
          <w:sz w:val="24"/>
          <w:szCs w:val="24"/>
        </w:rPr>
        <w:t xml:space="preserve">knee </w:t>
      </w:r>
      <w:r>
        <w:rPr>
          <w:rFonts w:ascii="Times New Roman" w:hAnsi="Times New Roman" w:cs="Times New Roman"/>
          <w:sz w:val="24"/>
          <w:szCs w:val="24"/>
        </w:rPr>
        <w:t>p</w:t>
      </w:r>
      <w:r w:rsidRPr="00671706">
        <w:rPr>
          <w:rFonts w:ascii="Times New Roman" w:hAnsi="Times New Roman" w:cs="Times New Roman"/>
          <w:sz w:val="24"/>
          <w:szCs w:val="24"/>
        </w:rPr>
        <w:t xml:space="preserve">ain; panel F = </w:t>
      </w:r>
      <w:r>
        <w:rPr>
          <w:rFonts w:ascii="Times New Roman" w:hAnsi="Times New Roman" w:cs="Times New Roman"/>
          <w:sz w:val="24"/>
          <w:szCs w:val="24"/>
        </w:rPr>
        <w:t>patients with m</w:t>
      </w:r>
      <w:r w:rsidRPr="00671706">
        <w:rPr>
          <w:rFonts w:ascii="Times New Roman" w:hAnsi="Times New Roman" w:cs="Times New Roman"/>
          <w:sz w:val="24"/>
          <w:szCs w:val="24"/>
        </w:rPr>
        <w:t>ulti-</w:t>
      </w:r>
      <w:r>
        <w:rPr>
          <w:rFonts w:ascii="Times New Roman" w:hAnsi="Times New Roman" w:cs="Times New Roman"/>
          <w:sz w:val="24"/>
          <w:szCs w:val="24"/>
        </w:rPr>
        <w:t>s</w:t>
      </w:r>
      <w:r w:rsidRPr="00671706">
        <w:rPr>
          <w:rFonts w:ascii="Times New Roman" w:hAnsi="Times New Roman" w:cs="Times New Roman"/>
          <w:sz w:val="24"/>
          <w:szCs w:val="24"/>
        </w:rPr>
        <w:t xml:space="preserve">ite </w:t>
      </w:r>
      <w:r>
        <w:rPr>
          <w:rFonts w:ascii="Times New Roman" w:hAnsi="Times New Roman" w:cs="Times New Roman"/>
          <w:sz w:val="24"/>
          <w:szCs w:val="24"/>
        </w:rPr>
        <w:t>p</w:t>
      </w:r>
      <w:r w:rsidRPr="00671706">
        <w:rPr>
          <w:rFonts w:ascii="Times New Roman" w:hAnsi="Times New Roman" w:cs="Times New Roman"/>
          <w:sz w:val="24"/>
          <w:szCs w:val="24"/>
        </w:rPr>
        <w:t>ain</w:t>
      </w:r>
      <w:r>
        <w:rPr>
          <w:rFonts w:ascii="Times New Roman" w:hAnsi="Times New Roman" w:cs="Times New Roman"/>
          <w:sz w:val="24"/>
          <w:szCs w:val="24"/>
        </w:rPr>
        <w:t xml:space="preserve">. </w:t>
      </w:r>
      <w:r w:rsidR="001536FE" w:rsidRPr="00357D1D">
        <w:rPr>
          <w:rFonts w:ascii="Times New Roman" w:hAnsi="Times New Roman" w:cs="Times New Roman"/>
          <w:sz w:val="24"/>
          <w:szCs w:val="24"/>
        </w:rPr>
        <w:t>MSK-HQ=musculoskele</w:t>
      </w:r>
      <w:r w:rsidR="003759B0">
        <w:rPr>
          <w:rFonts w:ascii="Times New Roman" w:hAnsi="Times New Roman" w:cs="Times New Roman"/>
          <w:sz w:val="24"/>
          <w:szCs w:val="24"/>
        </w:rPr>
        <w:t>tal health questionnaire; KOOS=</w:t>
      </w:r>
      <w:r w:rsidR="001536FE" w:rsidRPr="00357D1D">
        <w:rPr>
          <w:rFonts w:ascii="Times New Roman" w:hAnsi="Times New Roman" w:cs="Times New Roman"/>
          <w:sz w:val="24"/>
          <w:szCs w:val="24"/>
        </w:rPr>
        <w:t>Knee Injury and Osteoarthritis Outcome Score</w:t>
      </w:r>
      <w:r w:rsidR="001536FE">
        <w:rPr>
          <w:rFonts w:ascii="Times New Roman" w:hAnsi="Times New Roman" w:cs="Times New Roman"/>
          <w:sz w:val="24"/>
          <w:szCs w:val="24"/>
        </w:rPr>
        <w:t>; NDI=Neck Disability Index; RM</w:t>
      </w:r>
      <w:r w:rsidR="001536FE" w:rsidRPr="00357D1D">
        <w:rPr>
          <w:rFonts w:ascii="Times New Roman" w:hAnsi="Times New Roman" w:cs="Times New Roman"/>
          <w:sz w:val="24"/>
          <w:szCs w:val="24"/>
        </w:rPr>
        <w:t>D</w:t>
      </w:r>
      <w:r w:rsidR="001536FE">
        <w:rPr>
          <w:rFonts w:ascii="Times New Roman" w:hAnsi="Times New Roman" w:cs="Times New Roman"/>
          <w:sz w:val="24"/>
          <w:szCs w:val="24"/>
        </w:rPr>
        <w:t>Q</w:t>
      </w:r>
      <w:r w:rsidR="001536FE" w:rsidRPr="00357D1D">
        <w:rPr>
          <w:rFonts w:ascii="Times New Roman" w:hAnsi="Times New Roman" w:cs="Times New Roman"/>
          <w:sz w:val="24"/>
          <w:szCs w:val="24"/>
        </w:rPr>
        <w:t>=Roland-Morris Disability Questionnaire</w:t>
      </w:r>
      <w:r w:rsidR="001536FE">
        <w:rPr>
          <w:rFonts w:ascii="Times New Roman" w:hAnsi="Times New Roman" w:cs="Times New Roman"/>
          <w:sz w:val="24"/>
          <w:szCs w:val="24"/>
        </w:rPr>
        <w:t>;</w:t>
      </w:r>
      <w:r w:rsidR="001536FE" w:rsidRPr="00357D1D">
        <w:rPr>
          <w:rFonts w:ascii="Times New Roman" w:hAnsi="Times New Roman" w:cs="Times New Roman"/>
          <w:sz w:val="24"/>
          <w:szCs w:val="24"/>
        </w:rPr>
        <w:t xml:space="preserve"> SPADI=Shoulder Pain and Disability Index</w:t>
      </w:r>
      <w:r w:rsidR="001536FE">
        <w:rPr>
          <w:rFonts w:ascii="Times New Roman" w:hAnsi="Times New Roman" w:cs="Times New Roman"/>
          <w:sz w:val="24"/>
          <w:szCs w:val="24"/>
        </w:rPr>
        <w:t>;</w:t>
      </w:r>
      <w:r w:rsidR="001536FE" w:rsidRPr="00357D1D">
        <w:rPr>
          <w:rFonts w:ascii="Times New Roman" w:hAnsi="Times New Roman" w:cs="Times New Roman"/>
          <w:sz w:val="24"/>
          <w:szCs w:val="24"/>
        </w:rPr>
        <w:t xml:space="preserve"> SF-36 PCS=Short-Form-12 Physical Component Summary Score</w:t>
      </w:r>
      <w:r w:rsidR="00671706">
        <w:rPr>
          <w:rFonts w:ascii="Times New Roman" w:hAnsi="Times New Roman" w:cs="Times New Roman"/>
          <w:sz w:val="24"/>
          <w:szCs w:val="24"/>
        </w:rPr>
        <w:t>.</w:t>
      </w:r>
    </w:p>
    <w:sectPr w:rsidR="00880E6E" w:rsidRPr="00DA020D" w:rsidSect="00BC4848">
      <w:footerReference w:type="default" r:id="rId11"/>
      <w:type w:val="continuous"/>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B199A1" w16cid:durableId="21A73A9E"/>
  <w16cid:commentId w16cid:paraId="4A2268EF" w16cid:durableId="21A73B2D"/>
  <w16cid:commentId w16cid:paraId="2D9AA429" w16cid:durableId="21BDAC01"/>
  <w16cid:commentId w16cid:paraId="53EBC48D" w16cid:durableId="21A73F44"/>
  <w16cid:commentId w16cid:paraId="29B46AB7" w16cid:durableId="21A74300"/>
  <w16cid:commentId w16cid:paraId="451E9C94" w16cid:durableId="21A744A7"/>
  <w16cid:commentId w16cid:paraId="3EA11A7D" w16cid:durableId="21A7456E"/>
  <w16cid:commentId w16cid:paraId="5A2DFB89" w16cid:durableId="21BDAB46"/>
  <w16cid:commentId w16cid:paraId="57509DA3" w16cid:durableId="21A74601"/>
  <w16cid:commentId w16cid:paraId="6396181C" w16cid:durableId="21A73AA0"/>
  <w16cid:commentId w16cid:paraId="7BC24D4B" w16cid:durableId="21BDB0EB"/>
  <w16cid:commentId w16cid:paraId="75C945A2" w16cid:durableId="212B5B8B"/>
  <w16cid:commentId w16cid:paraId="689CA2D8" w16cid:durableId="21BDA9CD"/>
  <w16cid:commentId w16cid:paraId="6446B894" w16cid:durableId="212B5B8D"/>
  <w16cid:commentId w16cid:paraId="110517B3" w16cid:durableId="21BDC79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0C3A8" w14:textId="77777777" w:rsidR="0024667B" w:rsidRDefault="0024667B" w:rsidP="003065D2">
      <w:pPr>
        <w:spacing w:after="0" w:line="240" w:lineRule="auto"/>
      </w:pPr>
      <w:r>
        <w:separator/>
      </w:r>
    </w:p>
  </w:endnote>
  <w:endnote w:type="continuationSeparator" w:id="0">
    <w:p w14:paraId="481CB123" w14:textId="77777777" w:rsidR="0024667B" w:rsidRDefault="0024667B" w:rsidP="00306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903EE" w14:textId="228B9C2E" w:rsidR="0008354B" w:rsidRDefault="0008354B">
    <w:pPr>
      <w:pStyle w:val="Footer"/>
    </w:pPr>
    <w: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66D73" w14:textId="77777777" w:rsidR="0024667B" w:rsidRDefault="0024667B" w:rsidP="003065D2">
      <w:pPr>
        <w:spacing w:after="0" w:line="240" w:lineRule="auto"/>
      </w:pPr>
      <w:r>
        <w:separator/>
      </w:r>
    </w:p>
  </w:footnote>
  <w:footnote w:type="continuationSeparator" w:id="0">
    <w:p w14:paraId="51C33FEF" w14:textId="77777777" w:rsidR="0024667B" w:rsidRDefault="0024667B" w:rsidP="00306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590201"/>
      <w:docPartObj>
        <w:docPartGallery w:val="Page Numbers (Top of Page)"/>
        <w:docPartUnique/>
      </w:docPartObj>
    </w:sdtPr>
    <w:sdtEndPr>
      <w:rPr>
        <w:rFonts w:ascii="Times New Roman" w:hAnsi="Times New Roman" w:cs="Times New Roman"/>
        <w:noProof/>
        <w:sz w:val="24"/>
        <w:szCs w:val="24"/>
      </w:rPr>
    </w:sdtEndPr>
    <w:sdtContent>
      <w:p w14:paraId="5A0E2A60" w14:textId="621B772B" w:rsidR="0008354B" w:rsidRPr="00DB3E9E" w:rsidRDefault="0008354B">
        <w:pPr>
          <w:pStyle w:val="Header"/>
          <w:rPr>
            <w:rFonts w:ascii="Times New Roman" w:hAnsi="Times New Roman" w:cs="Times New Roman"/>
            <w:sz w:val="24"/>
            <w:szCs w:val="24"/>
          </w:rPr>
        </w:pPr>
        <w:r w:rsidRPr="00DB3E9E">
          <w:rPr>
            <w:rFonts w:ascii="Times New Roman" w:hAnsi="Times New Roman" w:cs="Times New Roman"/>
            <w:sz w:val="24"/>
            <w:szCs w:val="24"/>
          </w:rPr>
          <w:fldChar w:fldCharType="begin"/>
        </w:r>
        <w:r w:rsidRPr="00DB3E9E">
          <w:rPr>
            <w:rFonts w:ascii="Times New Roman" w:hAnsi="Times New Roman" w:cs="Times New Roman"/>
            <w:sz w:val="24"/>
            <w:szCs w:val="24"/>
          </w:rPr>
          <w:instrText xml:space="preserve"> PAGE   \* MERGEFORMAT </w:instrText>
        </w:r>
        <w:r w:rsidRPr="00DB3E9E">
          <w:rPr>
            <w:rFonts w:ascii="Times New Roman" w:hAnsi="Times New Roman" w:cs="Times New Roman"/>
            <w:sz w:val="24"/>
            <w:szCs w:val="24"/>
          </w:rPr>
          <w:fldChar w:fldCharType="separate"/>
        </w:r>
        <w:r w:rsidR="007A0E61">
          <w:rPr>
            <w:rFonts w:ascii="Times New Roman" w:hAnsi="Times New Roman" w:cs="Times New Roman"/>
            <w:noProof/>
            <w:sz w:val="24"/>
            <w:szCs w:val="24"/>
          </w:rPr>
          <w:t>1</w:t>
        </w:r>
        <w:r w:rsidRPr="00DB3E9E">
          <w:rPr>
            <w:rFonts w:ascii="Times New Roman" w:hAnsi="Times New Roman" w:cs="Times New Roman"/>
            <w:noProof/>
            <w:sz w:val="24"/>
            <w:szCs w:val="24"/>
          </w:rPr>
          <w:fldChar w:fldCharType="end"/>
        </w:r>
      </w:p>
    </w:sdtContent>
  </w:sdt>
  <w:p w14:paraId="09319F89" w14:textId="77777777" w:rsidR="0008354B" w:rsidRDefault="000835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76F1"/>
    <w:multiLevelType w:val="hybridMultilevel"/>
    <w:tmpl w:val="80C82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72F426F"/>
    <w:multiLevelType w:val="multilevel"/>
    <w:tmpl w:val="D8EEE48C"/>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1505B90"/>
    <w:multiLevelType w:val="hybridMultilevel"/>
    <w:tmpl w:val="9A345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F025C6"/>
    <w:multiLevelType w:val="hybridMultilevel"/>
    <w:tmpl w:val="B5AC2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CF2EBA"/>
    <w:multiLevelType w:val="multilevel"/>
    <w:tmpl w:val="6A083D00"/>
    <w:lvl w:ilvl="0">
      <w:start w:val="1"/>
      <w:numFmt w:val="decimal"/>
      <w:lvlText w:val="%1."/>
      <w:lvlJc w:val="left"/>
      <w:pPr>
        <w:ind w:left="360" w:hanging="360"/>
      </w:pPr>
      <w:rPr>
        <w:rFonts w:ascii="Times New Roman" w:hAnsi="Times New Roman" w:cs="Times New Roman" w:hint="default"/>
        <w:color w:val="000000"/>
        <w:sz w:val="24"/>
        <w:szCs w:val="24"/>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5AB2A17"/>
    <w:multiLevelType w:val="hybridMultilevel"/>
    <w:tmpl w:val="C2024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ztjQyMTMwMDOzNDFV0lEKTi0uzszPAykwrgUA1yOwziwAAAA="/>
  </w:docVars>
  <w:rsids>
    <w:rsidRoot w:val="001D0BE3"/>
    <w:rsid w:val="00004BD0"/>
    <w:rsid w:val="00006CB4"/>
    <w:rsid w:val="00006F5A"/>
    <w:rsid w:val="00007E50"/>
    <w:rsid w:val="000104D3"/>
    <w:rsid w:val="00017679"/>
    <w:rsid w:val="00027BDA"/>
    <w:rsid w:val="00044A3D"/>
    <w:rsid w:val="00046B2F"/>
    <w:rsid w:val="0004794D"/>
    <w:rsid w:val="00047F0E"/>
    <w:rsid w:val="00054218"/>
    <w:rsid w:val="0006018E"/>
    <w:rsid w:val="00061B3E"/>
    <w:rsid w:val="00061FF3"/>
    <w:rsid w:val="00070B6B"/>
    <w:rsid w:val="0008354B"/>
    <w:rsid w:val="00091FCD"/>
    <w:rsid w:val="0009516D"/>
    <w:rsid w:val="00096521"/>
    <w:rsid w:val="000975B9"/>
    <w:rsid w:val="000A7D00"/>
    <w:rsid w:val="000B549C"/>
    <w:rsid w:val="000C0765"/>
    <w:rsid w:val="000C409B"/>
    <w:rsid w:val="000C7F57"/>
    <w:rsid w:val="000D2DCA"/>
    <w:rsid w:val="000D4233"/>
    <w:rsid w:val="000D429C"/>
    <w:rsid w:val="000E30B7"/>
    <w:rsid w:val="000F2010"/>
    <w:rsid w:val="000F23FF"/>
    <w:rsid w:val="000F263A"/>
    <w:rsid w:val="000F3830"/>
    <w:rsid w:val="000F61B6"/>
    <w:rsid w:val="00100A33"/>
    <w:rsid w:val="0010760A"/>
    <w:rsid w:val="001217DD"/>
    <w:rsid w:val="0012269E"/>
    <w:rsid w:val="00125FAB"/>
    <w:rsid w:val="00126B88"/>
    <w:rsid w:val="00134C14"/>
    <w:rsid w:val="00136B91"/>
    <w:rsid w:val="00140E5E"/>
    <w:rsid w:val="0014410D"/>
    <w:rsid w:val="001448CA"/>
    <w:rsid w:val="00147CF9"/>
    <w:rsid w:val="001535C3"/>
    <w:rsid w:val="001536FE"/>
    <w:rsid w:val="00160EFB"/>
    <w:rsid w:val="00161069"/>
    <w:rsid w:val="001664F6"/>
    <w:rsid w:val="00167967"/>
    <w:rsid w:val="001710E5"/>
    <w:rsid w:val="00171301"/>
    <w:rsid w:val="001726CC"/>
    <w:rsid w:val="00172BD8"/>
    <w:rsid w:val="00176B03"/>
    <w:rsid w:val="00176BB5"/>
    <w:rsid w:val="001776ED"/>
    <w:rsid w:val="001804EC"/>
    <w:rsid w:val="00180C4F"/>
    <w:rsid w:val="00183A86"/>
    <w:rsid w:val="00193694"/>
    <w:rsid w:val="00194E80"/>
    <w:rsid w:val="00197EE3"/>
    <w:rsid w:val="001A155F"/>
    <w:rsid w:val="001A5606"/>
    <w:rsid w:val="001A68EE"/>
    <w:rsid w:val="001C1285"/>
    <w:rsid w:val="001C4236"/>
    <w:rsid w:val="001C448B"/>
    <w:rsid w:val="001C6280"/>
    <w:rsid w:val="001D0BE3"/>
    <w:rsid w:val="001D0DBD"/>
    <w:rsid w:val="001D66C6"/>
    <w:rsid w:val="001E028B"/>
    <w:rsid w:val="001E6235"/>
    <w:rsid w:val="001E7FE8"/>
    <w:rsid w:val="001F1E49"/>
    <w:rsid w:val="001F7AB8"/>
    <w:rsid w:val="002004C1"/>
    <w:rsid w:val="00201791"/>
    <w:rsid w:val="002035EC"/>
    <w:rsid w:val="0020389F"/>
    <w:rsid w:val="0020507B"/>
    <w:rsid w:val="0020623B"/>
    <w:rsid w:val="002102B4"/>
    <w:rsid w:val="00215F60"/>
    <w:rsid w:val="00226E98"/>
    <w:rsid w:val="002313F7"/>
    <w:rsid w:val="00236A78"/>
    <w:rsid w:val="00243DD5"/>
    <w:rsid w:val="002448A1"/>
    <w:rsid w:val="0024667B"/>
    <w:rsid w:val="00246F8D"/>
    <w:rsid w:val="0024764F"/>
    <w:rsid w:val="00251B3E"/>
    <w:rsid w:val="00251E09"/>
    <w:rsid w:val="0025328F"/>
    <w:rsid w:val="0025435B"/>
    <w:rsid w:val="002554FB"/>
    <w:rsid w:val="00255A60"/>
    <w:rsid w:val="00261630"/>
    <w:rsid w:val="002715B9"/>
    <w:rsid w:val="00273C8F"/>
    <w:rsid w:val="002845F0"/>
    <w:rsid w:val="00287A09"/>
    <w:rsid w:val="00292D02"/>
    <w:rsid w:val="002A085A"/>
    <w:rsid w:val="002A6C71"/>
    <w:rsid w:val="002B29E7"/>
    <w:rsid w:val="002B5BEC"/>
    <w:rsid w:val="002C06EB"/>
    <w:rsid w:val="002C125A"/>
    <w:rsid w:val="002C745E"/>
    <w:rsid w:val="002D2886"/>
    <w:rsid w:val="002D6FC4"/>
    <w:rsid w:val="00301916"/>
    <w:rsid w:val="00301DCE"/>
    <w:rsid w:val="003031BB"/>
    <w:rsid w:val="003065D2"/>
    <w:rsid w:val="0031243F"/>
    <w:rsid w:val="00312FDD"/>
    <w:rsid w:val="0031575E"/>
    <w:rsid w:val="00332760"/>
    <w:rsid w:val="00336B09"/>
    <w:rsid w:val="0033745D"/>
    <w:rsid w:val="00342909"/>
    <w:rsid w:val="00351A9F"/>
    <w:rsid w:val="00351E97"/>
    <w:rsid w:val="003522DF"/>
    <w:rsid w:val="00353A65"/>
    <w:rsid w:val="003542E5"/>
    <w:rsid w:val="0035768C"/>
    <w:rsid w:val="00357D1D"/>
    <w:rsid w:val="003737A9"/>
    <w:rsid w:val="00375201"/>
    <w:rsid w:val="003759B0"/>
    <w:rsid w:val="00377CC7"/>
    <w:rsid w:val="00381CB5"/>
    <w:rsid w:val="0039083E"/>
    <w:rsid w:val="00392519"/>
    <w:rsid w:val="0039266B"/>
    <w:rsid w:val="00394146"/>
    <w:rsid w:val="00396A82"/>
    <w:rsid w:val="00397AE1"/>
    <w:rsid w:val="003A6095"/>
    <w:rsid w:val="003A71FC"/>
    <w:rsid w:val="003B1F58"/>
    <w:rsid w:val="003C313C"/>
    <w:rsid w:val="003C42BE"/>
    <w:rsid w:val="003D03CB"/>
    <w:rsid w:val="003D1510"/>
    <w:rsid w:val="003E2DDF"/>
    <w:rsid w:val="003F197E"/>
    <w:rsid w:val="003F68AD"/>
    <w:rsid w:val="00400586"/>
    <w:rsid w:val="00403F18"/>
    <w:rsid w:val="00410A59"/>
    <w:rsid w:val="00410A9C"/>
    <w:rsid w:val="00410FCA"/>
    <w:rsid w:val="00413887"/>
    <w:rsid w:val="00416A40"/>
    <w:rsid w:val="00417182"/>
    <w:rsid w:val="004171E9"/>
    <w:rsid w:val="00421B03"/>
    <w:rsid w:val="00422ED6"/>
    <w:rsid w:val="00427C45"/>
    <w:rsid w:val="004315C3"/>
    <w:rsid w:val="004339C0"/>
    <w:rsid w:val="00437EF8"/>
    <w:rsid w:val="004502D3"/>
    <w:rsid w:val="0046279A"/>
    <w:rsid w:val="0046366C"/>
    <w:rsid w:val="00463CE2"/>
    <w:rsid w:val="0046406A"/>
    <w:rsid w:val="00470D62"/>
    <w:rsid w:val="0048316E"/>
    <w:rsid w:val="00484386"/>
    <w:rsid w:val="004860DB"/>
    <w:rsid w:val="0048720D"/>
    <w:rsid w:val="0049557C"/>
    <w:rsid w:val="00497190"/>
    <w:rsid w:val="004A0C34"/>
    <w:rsid w:val="004B2E46"/>
    <w:rsid w:val="004B3A18"/>
    <w:rsid w:val="004B5E29"/>
    <w:rsid w:val="004C2D3E"/>
    <w:rsid w:val="004C3D15"/>
    <w:rsid w:val="004C4598"/>
    <w:rsid w:val="004C6297"/>
    <w:rsid w:val="004C68DD"/>
    <w:rsid w:val="004D28C9"/>
    <w:rsid w:val="004D6CDA"/>
    <w:rsid w:val="004D6D74"/>
    <w:rsid w:val="004E269B"/>
    <w:rsid w:val="004E3A5B"/>
    <w:rsid w:val="004F4F90"/>
    <w:rsid w:val="00505E88"/>
    <w:rsid w:val="00510D88"/>
    <w:rsid w:val="0051129B"/>
    <w:rsid w:val="00516500"/>
    <w:rsid w:val="00520B59"/>
    <w:rsid w:val="0052161C"/>
    <w:rsid w:val="00522538"/>
    <w:rsid w:val="0052481B"/>
    <w:rsid w:val="00524D06"/>
    <w:rsid w:val="0052612A"/>
    <w:rsid w:val="00527D96"/>
    <w:rsid w:val="005312A8"/>
    <w:rsid w:val="00531458"/>
    <w:rsid w:val="00532ADF"/>
    <w:rsid w:val="00543CBA"/>
    <w:rsid w:val="00546E36"/>
    <w:rsid w:val="0055305C"/>
    <w:rsid w:val="005545E6"/>
    <w:rsid w:val="005553B2"/>
    <w:rsid w:val="00562919"/>
    <w:rsid w:val="00571060"/>
    <w:rsid w:val="00575C2B"/>
    <w:rsid w:val="00575CE3"/>
    <w:rsid w:val="00580711"/>
    <w:rsid w:val="00585981"/>
    <w:rsid w:val="005912BA"/>
    <w:rsid w:val="0059267A"/>
    <w:rsid w:val="00594813"/>
    <w:rsid w:val="005A4E20"/>
    <w:rsid w:val="005A5ABA"/>
    <w:rsid w:val="005C1F53"/>
    <w:rsid w:val="005C1F95"/>
    <w:rsid w:val="005C37AE"/>
    <w:rsid w:val="005C65C0"/>
    <w:rsid w:val="005D3220"/>
    <w:rsid w:val="005D7E2B"/>
    <w:rsid w:val="005E06D3"/>
    <w:rsid w:val="005E311D"/>
    <w:rsid w:val="005E4DFA"/>
    <w:rsid w:val="005F7902"/>
    <w:rsid w:val="00600637"/>
    <w:rsid w:val="00601685"/>
    <w:rsid w:val="006036DF"/>
    <w:rsid w:val="00604BF1"/>
    <w:rsid w:val="00612BAA"/>
    <w:rsid w:val="0061458E"/>
    <w:rsid w:val="00615F08"/>
    <w:rsid w:val="006174BD"/>
    <w:rsid w:val="00622715"/>
    <w:rsid w:val="00622BDB"/>
    <w:rsid w:val="0063279A"/>
    <w:rsid w:val="0064403F"/>
    <w:rsid w:val="00645011"/>
    <w:rsid w:val="00657EAD"/>
    <w:rsid w:val="00661CAF"/>
    <w:rsid w:val="006658D5"/>
    <w:rsid w:val="00671706"/>
    <w:rsid w:val="006805CE"/>
    <w:rsid w:val="0068213C"/>
    <w:rsid w:val="00683612"/>
    <w:rsid w:val="0069777E"/>
    <w:rsid w:val="00697A9A"/>
    <w:rsid w:val="006A6366"/>
    <w:rsid w:val="006B0978"/>
    <w:rsid w:val="006B277B"/>
    <w:rsid w:val="006B2B95"/>
    <w:rsid w:val="006B2EB8"/>
    <w:rsid w:val="006B4DCD"/>
    <w:rsid w:val="006B7111"/>
    <w:rsid w:val="006D2BCB"/>
    <w:rsid w:val="006D62DE"/>
    <w:rsid w:val="006E106D"/>
    <w:rsid w:val="006E133D"/>
    <w:rsid w:val="006E17B3"/>
    <w:rsid w:val="006E1C6C"/>
    <w:rsid w:val="006E215E"/>
    <w:rsid w:val="006E31C8"/>
    <w:rsid w:val="006F6B99"/>
    <w:rsid w:val="007000C3"/>
    <w:rsid w:val="0070389F"/>
    <w:rsid w:val="00707801"/>
    <w:rsid w:val="007150F2"/>
    <w:rsid w:val="0071718C"/>
    <w:rsid w:val="007172CB"/>
    <w:rsid w:val="007200AF"/>
    <w:rsid w:val="00721AAA"/>
    <w:rsid w:val="007230AE"/>
    <w:rsid w:val="0072493B"/>
    <w:rsid w:val="0073365E"/>
    <w:rsid w:val="007408CB"/>
    <w:rsid w:val="00742E0F"/>
    <w:rsid w:val="007436CC"/>
    <w:rsid w:val="007653FF"/>
    <w:rsid w:val="0076610B"/>
    <w:rsid w:val="00774E32"/>
    <w:rsid w:val="00776201"/>
    <w:rsid w:val="00782D1E"/>
    <w:rsid w:val="00783794"/>
    <w:rsid w:val="0079072F"/>
    <w:rsid w:val="007948B4"/>
    <w:rsid w:val="00796830"/>
    <w:rsid w:val="007A0E61"/>
    <w:rsid w:val="007A17E7"/>
    <w:rsid w:val="007A340B"/>
    <w:rsid w:val="007A4B88"/>
    <w:rsid w:val="007A599C"/>
    <w:rsid w:val="007A684C"/>
    <w:rsid w:val="007B0D26"/>
    <w:rsid w:val="007B1C79"/>
    <w:rsid w:val="007C0F50"/>
    <w:rsid w:val="007C1D53"/>
    <w:rsid w:val="007C567F"/>
    <w:rsid w:val="007C698E"/>
    <w:rsid w:val="007E47A3"/>
    <w:rsid w:val="007E5997"/>
    <w:rsid w:val="007E5C0A"/>
    <w:rsid w:val="007E68DB"/>
    <w:rsid w:val="007F0CF6"/>
    <w:rsid w:val="0080462E"/>
    <w:rsid w:val="00806FBD"/>
    <w:rsid w:val="008141A4"/>
    <w:rsid w:val="00822CEE"/>
    <w:rsid w:val="00827503"/>
    <w:rsid w:val="00843108"/>
    <w:rsid w:val="00845E0E"/>
    <w:rsid w:val="0085423F"/>
    <w:rsid w:val="00857DB5"/>
    <w:rsid w:val="008620D2"/>
    <w:rsid w:val="0086399E"/>
    <w:rsid w:val="008656BC"/>
    <w:rsid w:val="00866FD4"/>
    <w:rsid w:val="00870910"/>
    <w:rsid w:val="00871BFB"/>
    <w:rsid w:val="008735B8"/>
    <w:rsid w:val="00874736"/>
    <w:rsid w:val="0087487A"/>
    <w:rsid w:val="00880E6E"/>
    <w:rsid w:val="00881D82"/>
    <w:rsid w:val="00887AD8"/>
    <w:rsid w:val="00887F84"/>
    <w:rsid w:val="00892BD1"/>
    <w:rsid w:val="00893C71"/>
    <w:rsid w:val="00896EAD"/>
    <w:rsid w:val="008A4857"/>
    <w:rsid w:val="008A5FCD"/>
    <w:rsid w:val="008B07A0"/>
    <w:rsid w:val="008B1962"/>
    <w:rsid w:val="008B4BFF"/>
    <w:rsid w:val="008B5EC3"/>
    <w:rsid w:val="008C3630"/>
    <w:rsid w:val="008C57E6"/>
    <w:rsid w:val="008C5A4B"/>
    <w:rsid w:val="008C5FEF"/>
    <w:rsid w:val="008C7B94"/>
    <w:rsid w:val="008D3D96"/>
    <w:rsid w:val="008E168E"/>
    <w:rsid w:val="008E2BF4"/>
    <w:rsid w:val="008E317E"/>
    <w:rsid w:val="008E6E45"/>
    <w:rsid w:val="008E797E"/>
    <w:rsid w:val="008F1F78"/>
    <w:rsid w:val="00902F1D"/>
    <w:rsid w:val="00905A36"/>
    <w:rsid w:val="00910676"/>
    <w:rsid w:val="00910F84"/>
    <w:rsid w:val="00911658"/>
    <w:rsid w:val="00917C1D"/>
    <w:rsid w:val="00923386"/>
    <w:rsid w:val="009265D3"/>
    <w:rsid w:val="00931C09"/>
    <w:rsid w:val="00941279"/>
    <w:rsid w:val="009430C1"/>
    <w:rsid w:val="0094588F"/>
    <w:rsid w:val="00946A08"/>
    <w:rsid w:val="00950671"/>
    <w:rsid w:val="00952E75"/>
    <w:rsid w:val="009546BB"/>
    <w:rsid w:val="00954AB8"/>
    <w:rsid w:val="009552BA"/>
    <w:rsid w:val="00955555"/>
    <w:rsid w:val="0096032C"/>
    <w:rsid w:val="009639B5"/>
    <w:rsid w:val="009648A1"/>
    <w:rsid w:val="009670B7"/>
    <w:rsid w:val="0097561A"/>
    <w:rsid w:val="0098177F"/>
    <w:rsid w:val="00984C9F"/>
    <w:rsid w:val="009855EE"/>
    <w:rsid w:val="0099025F"/>
    <w:rsid w:val="0099607D"/>
    <w:rsid w:val="00996A8A"/>
    <w:rsid w:val="00997CC2"/>
    <w:rsid w:val="009A001B"/>
    <w:rsid w:val="009A0DC6"/>
    <w:rsid w:val="009A4080"/>
    <w:rsid w:val="009A71F3"/>
    <w:rsid w:val="009B11B6"/>
    <w:rsid w:val="009B293E"/>
    <w:rsid w:val="009B5EFE"/>
    <w:rsid w:val="009C3141"/>
    <w:rsid w:val="009C4B54"/>
    <w:rsid w:val="009C7729"/>
    <w:rsid w:val="009D4391"/>
    <w:rsid w:val="009D4457"/>
    <w:rsid w:val="009D4B65"/>
    <w:rsid w:val="009E07C9"/>
    <w:rsid w:val="009F0090"/>
    <w:rsid w:val="00A036C7"/>
    <w:rsid w:val="00A06983"/>
    <w:rsid w:val="00A06BFE"/>
    <w:rsid w:val="00A07894"/>
    <w:rsid w:val="00A146E5"/>
    <w:rsid w:val="00A148BE"/>
    <w:rsid w:val="00A157B3"/>
    <w:rsid w:val="00A1791D"/>
    <w:rsid w:val="00A20B63"/>
    <w:rsid w:val="00A22F03"/>
    <w:rsid w:val="00A30705"/>
    <w:rsid w:val="00A329E0"/>
    <w:rsid w:val="00A37826"/>
    <w:rsid w:val="00A40244"/>
    <w:rsid w:val="00A43B03"/>
    <w:rsid w:val="00A51D18"/>
    <w:rsid w:val="00A55F7E"/>
    <w:rsid w:val="00A62EE8"/>
    <w:rsid w:val="00A663B2"/>
    <w:rsid w:val="00A744E4"/>
    <w:rsid w:val="00A75F75"/>
    <w:rsid w:val="00A80276"/>
    <w:rsid w:val="00A835A4"/>
    <w:rsid w:val="00A869F9"/>
    <w:rsid w:val="00A86E0D"/>
    <w:rsid w:val="00A87B53"/>
    <w:rsid w:val="00A92A35"/>
    <w:rsid w:val="00A952B7"/>
    <w:rsid w:val="00A953BE"/>
    <w:rsid w:val="00A95C46"/>
    <w:rsid w:val="00AA04E7"/>
    <w:rsid w:val="00AA56FA"/>
    <w:rsid w:val="00AA67D3"/>
    <w:rsid w:val="00AA7861"/>
    <w:rsid w:val="00AB5E44"/>
    <w:rsid w:val="00AC2F91"/>
    <w:rsid w:val="00AC3A91"/>
    <w:rsid w:val="00AD4DA9"/>
    <w:rsid w:val="00AD7F4A"/>
    <w:rsid w:val="00AE0B39"/>
    <w:rsid w:val="00AF31CF"/>
    <w:rsid w:val="00AF6A7F"/>
    <w:rsid w:val="00B04D31"/>
    <w:rsid w:val="00B05BBB"/>
    <w:rsid w:val="00B06EAB"/>
    <w:rsid w:val="00B079CA"/>
    <w:rsid w:val="00B23A53"/>
    <w:rsid w:val="00B25A49"/>
    <w:rsid w:val="00B2603D"/>
    <w:rsid w:val="00B277C6"/>
    <w:rsid w:val="00B301EA"/>
    <w:rsid w:val="00B37D94"/>
    <w:rsid w:val="00B407CE"/>
    <w:rsid w:val="00B41407"/>
    <w:rsid w:val="00B4267A"/>
    <w:rsid w:val="00B467FE"/>
    <w:rsid w:val="00B47872"/>
    <w:rsid w:val="00B52CFA"/>
    <w:rsid w:val="00B6398C"/>
    <w:rsid w:val="00B743B8"/>
    <w:rsid w:val="00B76F72"/>
    <w:rsid w:val="00B87997"/>
    <w:rsid w:val="00B936C4"/>
    <w:rsid w:val="00BA0D43"/>
    <w:rsid w:val="00BA4E22"/>
    <w:rsid w:val="00BA561C"/>
    <w:rsid w:val="00BC39C6"/>
    <w:rsid w:val="00BC4848"/>
    <w:rsid w:val="00BC6553"/>
    <w:rsid w:val="00BC7692"/>
    <w:rsid w:val="00BC7AF3"/>
    <w:rsid w:val="00BE226D"/>
    <w:rsid w:val="00BE557F"/>
    <w:rsid w:val="00BF4597"/>
    <w:rsid w:val="00BF4F6E"/>
    <w:rsid w:val="00C103F9"/>
    <w:rsid w:val="00C10E71"/>
    <w:rsid w:val="00C11621"/>
    <w:rsid w:val="00C166F9"/>
    <w:rsid w:val="00C312D2"/>
    <w:rsid w:val="00C373B8"/>
    <w:rsid w:val="00C40656"/>
    <w:rsid w:val="00C41F09"/>
    <w:rsid w:val="00C43216"/>
    <w:rsid w:val="00C43650"/>
    <w:rsid w:val="00C4645D"/>
    <w:rsid w:val="00C54581"/>
    <w:rsid w:val="00C66E13"/>
    <w:rsid w:val="00C7116D"/>
    <w:rsid w:val="00C72B5B"/>
    <w:rsid w:val="00C731DF"/>
    <w:rsid w:val="00C756FE"/>
    <w:rsid w:val="00C77FF3"/>
    <w:rsid w:val="00C806A6"/>
    <w:rsid w:val="00C82C3B"/>
    <w:rsid w:val="00C8529A"/>
    <w:rsid w:val="00C900C4"/>
    <w:rsid w:val="00C92C69"/>
    <w:rsid w:val="00CA0BDB"/>
    <w:rsid w:val="00CA3B91"/>
    <w:rsid w:val="00CA5341"/>
    <w:rsid w:val="00CA602B"/>
    <w:rsid w:val="00CB4DD7"/>
    <w:rsid w:val="00CB6F41"/>
    <w:rsid w:val="00CC03D9"/>
    <w:rsid w:val="00CC0B1B"/>
    <w:rsid w:val="00CC18E9"/>
    <w:rsid w:val="00CC30A9"/>
    <w:rsid w:val="00CC6C59"/>
    <w:rsid w:val="00CE0B1A"/>
    <w:rsid w:val="00CE4060"/>
    <w:rsid w:val="00CF018F"/>
    <w:rsid w:val="00CF13F2"/>
    <w:rsid w:val="00CF300C"/>
    <w:rsid w:val="00CF6BE8"/>
    <w:rsid w:val="00D0378A"/>
    <w:rsid w:val="00D0657B"/>
    <w:rsid w:val="00D12F09"/>
    <w:rsid w:val="00D16551"/>
    <w:rsid w:val="00D22C11"/>
    <w:rsid w:val="00D24345"/>
    <w:rsid w:val="00D252A4"/>
    <w:rsid w:val="00D27A29"/>
    <w:rsid w:val="00D37691"/>
    <w:rsid w:val="00D52355"/>
    <w:rsid w:val="00D52D0E"/>
    <w:rsid w:val="00D55468"/>
    <w:rsid w:val="00D6201E"/>
    <w:rsid w:val="00D62C5B"/>
    <w:rsid w:val="00D65210"/>
    <w:rsid w:val="00D65C5A"/>
    <w:rsid w:val="00D66FE6"/>
    <w:rsid w:val="00D748BA"/>
    <w:rsid w:val="00D76DB2"/>
    <w:rsid w:val="00D77D1F"/>
    <w:rsid w:val="00D94D56"/>
    <w:rsid w:val="00DA020D"/>
    <w:rsid w:val="00DA4892"/>
    <w:rsid w:val="00DB18CB"/>
    <w:rsid w:val="00DB3E9E"/>
    <w:rsid w:val="00DB6C09"/>
    <w:rsid w:val="00DD1B4A"/>
    <w:rsid w:val="00DE1FCB"/>
    <w:rsid w:val="00DE58F3"/>
    <w:rsid w:val="00DF3005"/>
    <w:rsid w:val="00DF330C"/>
    <w:rsid w:val="00DF67B3"/>
    <w:rsid w:val="00E056C3"/>
    <w:rsid w:val="00E07B2C"/>
    <w:rsid w:val="00E10DB4"/>
    <w:rsid w:val="00E11774"/>
    <w:rsid w:val="00E15084"/>
    <w:rsid w:val="00E17870"/>
    <w:rsid w:val="00E21172"/>
    <w:rsid w:val="00E27FC5"/>
    <w:rsid w:val="00E43B5A"/>
    <w:rsid w:val="00E47A84"/>
    <w:rsid w:val="00E47B92"/>
    <w:rsid w:val="00E55041"/>
    <w:rsid w:val="00E6297B"/>
    <w:rsid w:val="00E63364"/>
    <w:rsid w:val="00EA7173"/>
    <w:rsid w:val="00EA7792"/>
    <w:rsid w:val="00EB0499"/>
    <w:rsid w:val="00EB256D"/>
    <w:rsid w:val="00EB2CC9"/>
    <w:rsid w:val="00EC01A4"/>
    <w:rsid w:val="00EC2CF0"/>
    <w:rsid w:val="00EC4A90"/>
    <w:rsid w:val="00ED6DB7"/>
    <w:rsid w:val="00ED7778"/>
    <w:rsid w:val="00EE0AF3"/>
    <w:rsid w:val="00EE2B60"/>
    <w:rsid w:val="00EE52D9"/>
    <w:rsid w:val="00F042BA"/>
    <w:rsid w:val="00F053A3"/>
    <w:rsid w:val="00F05DC3"/>
    <w:rsid w:val="00F17679"/>
    <w:rsid w:val="00F22F9B"/>
    <w:rsid w:val="00F5163C"/>
    <w:rsid w:val="00F56EA2"/>
    <w:rsid w:val="00F5767A"/>
    <w:rsid w:val="00F57BAA"/>
    <w:rsid w:val="00F61252"/>
    <w:rsid w:val="00F61F67"/>
    <w:rsid w:val="00F64779"/>
    <w:rsid w:val="00F6768D"/>
    <w:rsid w:val="00F7070A"/>
    <w:rsid w:val="00F717DF"/>
    <w:rsid w:val="00F74A27"/>
    <w:rsid w:val="00F77789"/>
    <w:rsid w:val="00F77F6B"/>
    <w:rsid w:val="00F83AC0"/>
    <w:rsid w:val="00F84B36"/>
    <w:rsid w:val="00F94303"/>
    <w:rsid w:val="00F95A78"/>
    <w:rsid w:val="00FA0552"/>
    <w:rsid w:val="00FA2AD2"/>
    <w:rsid w:val="00FA35F3"/>
    <w:rsid w:val="00FA3FBA"/>
    <w:rsid w:val="00FA42C7"/>
    <w:rsid w:val="00FA571E"/>
    <w:rsid w:val="00FA5CD8"/>
    <w:rsid w:val="00FA7B03"/>
    <w:rsid w:val="00FB390C"/>
    <w:rsid w:val="00FC59FC"/>
    <w:rsid w:val="00FC6E19"/>
    <w:rsid w:val="00FC74DD"/>
    <w:rsid w:val="00FD1E3F"/>
    <w:rsid w:val="00FD2BC4"/>
    <w:rsid w:val="00FE3A39"/>
    <w:rsid w:val="00FE5EA6"/>
    <w:rsid w:val="00FF159B"/>
    <w:rsid w:val="00FF1C10"/>
    <w:rsid w:val="00FF2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79542"/>
  <w15:chartTrackingRefBased/>
  <w15:docId w15:val="{FAEEB604-2090-420C-B111-10AA1CDF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D0BE3"/>
    <w:pPr>
      <w:spacing w:after="0" w:line="240" w:lineRule="auto"/>
    </w:pPr>
  </w:style>
  <w:style w:type="paragraph" w:styleId="ListParagraph">
    <w:name w:val="List Paragraph"/>
    <w:basedOn w:val="Normal"/>
    <w:uiPriority w:val="34"/>
    <w:qFormat/>
    <w:rsid w:val="001D0BE3"/>
    <w:pPr>
      <w:spacing w:after="200" w:line="276" w:lineRule="auto"/>
      <w:ind w:left="720"/>
      <w:contextualSpacing/>
    </w:pPr>
    <w:rPr>
      <w:rFonts w:eastAsiaTheme="minorEastAsia"/>
      <w:lang w:eastAsia="en-GB"/>
    </w:rPr>
  </w:style>
  <w:style w:type="character" w:customStyle="1" w:styleId="NoSpacingChar">
    <w:name w:val="No Spacing Char"/>
    <w:basedOn w:val="DefaultParagraphFont"/>
    <w:link w:val="NoSpacing"/>
    <w:uiPriority w:val="1"/>
    <w:rsid w:val="0020507B"/>
  </w:style>
  <w:style w:type="character" w:styleId="Emphasis">
    <w:name w:val="Emphasis"/>
    <w:basedOn w:val="DefaultParagraphFont"/>
    <w:uiPriority w:val="20"/>
    <w:qFormat/>
    <w:rsid w:val="00F57BAA"/>
    <w:rPr>
      <w:i/>
      <w:iCs/>
    </w:rPr>
  </w:style>
  <w:style w:type="character" w:styleId="CommentReference">
    <w:name w:val="annotation reference"/>
    <w:basedOn w:val="DefaultParagraphFont"/>
    <w:uiPriority w:val="99"/>
    <w:semiHidden/>
    <w:unhideWhenUsed/>
    <w:rsid w:val="00A95C46"/>
    <w:rPr>
      <w:sz w:val="16"/>
      <w:szCs w:val="16"/>
    </w:rPr>
  </w:style>
  <w:style w:type="paragraph" w:styleId="CommentText">
    <w:name w:val="annotation text"/>
    <w:basedOn w:val="Normal"/>
    <w:link w:val="CommentTextChar"/>
    <w:uiPriority w:val="99"/>
    <w:semiHidden/>
    <w:unhideWhenUsed/>
    <w:rsid w:val="00A95C46"/>
    <w:pPr>
      <w:spacing w:line="240" w:lineRule="auto"/>
    </w:pPr>
    <w:rPr>
      <w:sz w:val="20"/>
      <w:szCs w:val="20"/>
    </w:rPr>
  </w:style>
  <w:style w:type="character" w:customStyle="1" w:styleId="CommentTextChar">
    <w:name w:val="Comment Text Char"/>
    <w:basedOn w:val="DefaultParagraphFont"/>
    <w:link w:val="CommentText"/>
    <w:uiPriority w:val="99"/>
    <w:semiHidden/>
    <w:rsid w:val="00A95C46"/>
    <w:rPr>
      <w:sz w:val="20"/>
      <w:szCs w:val="20"/>
    </w:rPr>
  </w:style>
  <w:style w:type="paragraph" w:styleId="CommentSubject">
    <w:name w:val="annotation subject"/>
    <w:basedOn w:val="CommentText"/>
    <w:next w:val="CommentText"/>
    <w:link w:val="CommentSubjectChar"/>
    <w:uiPriority w:val="99"/>
    <w:semiHidden/>
    <w:unhideWhenUsed/>
    <w:rsid w:val="00A95C46"/>
    <w:rPr>
      <w:b/>
      <w:bCs/>
    </w:rPr>
  </w:style>
  <w:style w:type="character" w:customStyle="1" w:styleId="CommentSubjectChar">
    <w:name w:val="Comment Subject Char"/>
    <w:basedOn w:val="CommentTextChar"/>
    <w:link w:val="CommentSubject"/>
    <w:uiPriority w:val="99"/>
    <w:semiHidden/>
    <w:rsid w:val="00A95C46"/>
    <w:rPr>
      <w:b/>
      <w:bCs/>
      <w:sz w:val="20"/>
      <w:szCs w:val="20"/>
    </w:rPr>
  </w:style>
  <w:style w:type="paragraph" w:styleId="BalloonText">
    <w:name w:val="Balloon Text"/>
    <w:basedOn w:val="Normal"/>
    <w:link w:val="BalloonTextChar"/>
    <w:uiPriority w:val="99"/>
    <w:semiHidden/>
    <w:unhideWhenUsed/>
    <w:rsid w:val="00A95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C46"/>
    <w:rPr>
      <w:rFonts w:ascii="Segoe UI" w:hAnsi="Segoe UI" w:cs="Segoe UI"/>
      <w:sz w:val="18"/>
      <w:szCs w:val="18"/>
    </w:rPr>
  </w:style>
  <w:style w:type="paragraph" w:styleId="BodyText">
    <w:name w:val="Body Text"/>
    <w:basedOn w:val="Normal"/>
    <w:link w:val="BodyTextChar"/>
    <w:uiPriority w:val="99"/>
    <w:unhideWhenUsed/>
    <w:rsid w:val="00AD4DA9"/>
    <w:pPr>
      <w:spacing w:after="210" w:line="48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AD4DA9"/>
    <w:rPr>
      <w:rFonts w:ascii="Times New Roman" w:hAnsi="Times New Roman" w:cs="Times New Roman"/>
      <w:sz w:val="24"/>
      <w:szCs w:val="24"/>
    </w:rPr>
  </w:style>
  <w:style w:type="character" w:styleId="Hyperlink">
    <w:name w:val="Hyperlink"/>
    <w:uiPriority w:val="99"/>
    <w:unhideWhenUsed/>
    <w:rsid w:val="00EE52D9"/>
    <w:rPr>
      <w:color w:val="0000FF"/>
      <w:u w:val="single"/>
    </w:rPr>
  </w:style>
  <w:style w:type="paragraph" w:styleId="HTMLPreformatted">
    <w:name w:val="HTML Preformatted"/>
    <w:basedOn w:val="Normal"/>
    <w:link w:val="HTMLPreformattedChar"/>
    <w:uiPriority w:val="99"/>
    <w:unhideWhenUsed/>
    <w:rsid w:val="009A4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A4080"/>
    <w:rPr>
      <w:rFonts w:ascii="Courier New" w:eastAsia="Times New Roman" w:hAnsi="Courier New" w:cs="Courier New"/>
      <w:sz w:val="20"/>
      <w:szCs w:val="20"/>
      <w:lang w:eastAsia="en-GB"/>
    </w:rPr>
  </w:style>
  <w:style w:type="paragraph" w:styleId="Header">
    <w:name w:val="header"/>
    <w:basedOn w:val="Normal"/>
    <w:link w:val="HeaderChar"/>
    <w:uiPriority w:val="99"/>
    <w:unhideWhenUsed/>
    <w:rsid w:val="00306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5D2"/>
  </w:style>
  <w:style w:type="paragraph" w:styleId="Footer">
    <w:name w:val="footer"/>
    <w:basedOn w:val="Normal"/>
    <w:link w:val="FooterChar"/>
    <w:uiPriority w:val="99"/>
    <w:unhideWhenUsed/>
    <w:rsid w:val="00306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5D2"/>
  </w:style>
  <w:style w:type="table" w:styleId="TableGrid">
    <w:name w:val="Table Grid"/>
    <w:basedOn w:val="TableNormal"/>
    <w:uiPriority w:val="39"/>
    <w:rsid w:val="009F0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15mcfceub">
    <w:name w:val="gd15mcfceub"/>
    <w:basedOn w:val="DefaultParagraphFont"/>
    <w:rsid w:val="007E47A3"/>
  </w:style>
  <w:style w:type="character" w:customStyle="1" w:styleId="il">
    <w:name w:val="il"/>
    <w:basedOn w:val="DefaultParagraphFont"/>
    <w:rsid w:val="006B4DCD"/>
  </w:style>
  <w:style w:type="character" w:customStyle="1" w:styleId="UnresolvedMention">
    <w:name w:val="Unresolved Mention"/>
    <w:basedOn w:val="DefaultParagraphFont"/>
    <w:uiPriority w:val="99"/>
    <w:semiHidden/>
    <w:unhideWhenUsed/>
    <w:rsid w:val="00CE0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761145">
      <w:bodyDiv w:val="1"/>
      <w:marLeft w:val="0"/>
      <w:marRight w:val="0"/>
      <w:marTop w:val="0"/>
      <w:marBottom w:val="0"/>
      <w:divBdr>
        <w:top w:val="none" w:sz="0" w:space="0" w:color="auto"/>
        <w:left w:val="none" w:sz="0" w:space="0" w:color="auto"/>
        <w:bottom w:val="none" w:sz="0" w:space="0" w:color="auto"/>
        <w:right w:val="none" w:sz="0" w:space="0" w:color="auto"/>
      </w:divBdr>
    </w:div>
    <w:div w:id="1242368831">
      <w:bodyDiv w:val="1"/>
      <w:marLeft w:val="0"/>
      <w:marRight w:val="0"/>
      <w:marTop w:val="0"/>
      <w:marBottom w:val="0"/>
      <w:divBdr>
        <w:top w:val="none" w:sz="0" w:space="0" w:color="auto"/>
        <w:left w:val="none" w:sz="0" w:space="0" w:color="auto"/>
        <w:bottom w:val="none" w:sz="0" w:space="0" w:color="auto"/>
        <w:right w:val="none" w:sz="0" w:space="0" w:color="auto"/>
      </w:divBdr>
    </w:div>
    <w:div w:id="1341809685">
      <w:bodyDiv w:val="1"/>
      <w:marLeft w:val="0"/>
      <w:marRight w:val="0"/>
      <w:marTop w:val="0"/>
      <w:marBottom w:val="0"/>
      <w:divBdr>
        <w:top w:val="none" w:sz="0" w:space="0" w:color="auto"/>
        <w:left w:val="none" w:sz="0" w:space="0" w:color="auto"/>
        <w:bottom w:val="none" w:sz="0" w:space="0" w:color="auto"/>
        <w:right w:val="none" w:sz="0" w:space="0" w:color="auto"/>
      </w:divBdr>
    </w:div>
    <w:div w:id="1385983550">
      <w:bodyDiv w:val="1"/>
      <w:marLeft w:val="0"/>
      <w:marRight w:val="0"/>
      <w:marTop w:val="0"/>
      <w:marBottom w:val="0"/>
      <w:divBdr>
        <w:top w:val="none" w:sz="0" w:space="0" w:color="auto"/>
        <w:left w:val="none" w:sz="0" w:space="0" w:color="auto"/>
        <w:bottom w:val="none" w:sz="0" w:space="0" w:color="auto"/>
        <w:right w:val="none" w:sz="0" w:space="0" w:color="auto"/>
      </w:divBdr>
    </w:div>
    <w:div w:id="1561087968">
      <w:bodyDiv w:val="1"/>
      <w:marLeft w:val="0"/>
      <w:marRight w:val="0"/>
      <w:marTop w:val="0"/>
      <w:marBottom w:val="0"/>
      <w:divBdr>
        <w:top w:val="none" w:sz="0" w:space="0" w:color="auto"/>
        <w:left w:val="none" w:sz="0" w:space="0" w:color="auto"/>
        <w:bottom w:val="none" w:sz="0" w:space="0" w:color="auto"/>
        <w:right w:val="none" w:sz="0" w:space="0" w:color="auto"/>
      </w:divBdr>
    </w:div>
    <w:div w:id="1788618832">
      <w:bodyDiv w:val="1"/>
      <w:marLeft w:val="0"/>
      <w:marRight w:val="0"/>
      <w:marTop w:val="0"/>
      <w:marBottom w:val="0"/>
      <w:divBdr>
        <w:top w:val="none" w:sz="0" w:space="0" w:color="auto"/>
        <w:left w:val="none" w:sz="0" w:space="0" w:color="auto"/>
        <w:bottom w:val="none" w:sz="0" w:space="0" w:color="auto"/>
        <w:right w:val="none" w:sz="0" w:space="0" w:color="auto"/>
      </w:divBdr>
    </w:div>
    <w:div w:id="1900433008">
      <w:bodyDiv w:val="1"/>
      <w:marLeft w:val="0"/>
      <w:marRight w:val="0"/>
      <w:marTop w:val="0"/>
      <w:marBottom w:val="0"/>
      <w:divBdr>
        <w:top w:val="none" w:sz="0" w:space="0" w:color="auto"/>
        <w:left w:val="none" w:sz="0" w:space="0" w:color="auto"/>
        <w:bottom w:val="none" w:sz="0" w:space="0" w:color="auto"/>
        <w:right w:val="none" w:sz="0" w:space="0" w:color="auto"/>
      </w:divBdr>
    </w:div>
    <w:div w:id="212114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eele.ac.uk/startm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15728-7E8F-45DA-A3CC-FA39BF57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34847</Words>
  <Characters>198629</Characters>
  <Application>Microsoft Office Word</Application>
  <DocSecurity>0</DocSecurity>
  <Lines>1655</Lines>
  <Paragraphs>466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Scott</dc:creator>
  <cp:keywords/>
  <dc:description/>
  <cp:lastModifiedBy>Ian Scott</cp:lastModifiedBy>
  <cp:revision>3</cp:revision>
  <cp:lastPrinted>2019-06-10T09:46:00Z</cp:lastPrinted>
  <dcterms:created xsi:type="dcterms:W3CDTF">2020-06-03T20:57:00Z</dcterms:created>
  <dcterms:modified xsi:type="dcterms:W3CDTF">2020-06-03T20:57:00Z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http://www.zotero.org/styles/ieee</vt:lpwstr>
  </property>
  <property fmtid="{D5CDD505-2E9C-101B-9397-08002B2CF9AE}" pid="7" name="Mendeley Recent Style Name 2_1">
    <vt:lpwstr>IEEE</vt:lpwstr>
  </property>
  <property fmtid="{D5CDD505-2E9C-101B-9397-08002B2CF9AE}" pid="8" name="Mendeley Recent Style Id 3_1">
    <vt:lpwstr>http://www.zotero.org/styles/modern-humanities-research-association</vt:lpwstr>
  </property>
  <property fmtid="{D5CDD505-2E9C-101B-9397-08002B2CF9AE}" pid="9" name="Mendeley Recent Style Name 3_1">
    <vt:lpwstr>Modern Humanities Research Association 3rd edition (note with bibliography)</vt:lpwstr>
  </property>
  <property fmtid="{D5CDD505-2E9C-101B-9397-08002B2CF9AE}" pid="10" name="Mendeley Recent Style Id 4_1">
    <vt:lpwstr>http://www.zotero.org/styles/modern-language-association</vt:lpwstr>
  </property>
  <property fmtid="{D5CDD505-2E9C-101B-9397-08002B2CF9AE}" pid="11" name="Mendeley Recent Style Name 4_1">
    <vt:lpwstr>Modern Language Association 8th edition</vt:lpwstr>
  </property>
  <property fmtid="{D5CDD505-2E9C-101B-9397-08002B2CF9AE}" pid="12" name="Mendeley Recent Style Id 5_1">
    <vt:lpwstr>http://www.zotero.org/styles/plos-one</vt:lpwstr>
  </property>
  <property fmtid="{D5CDD505-2E9C-101B-9397-08002B2CF9AE}" pid="13" name="Mendeley Recent Style Name 5_1">
    <vt:lpwstr>PLOS ONE</vt:lpwstr>
  </property>
  <property fmtid="{D5CDD505-2E9C-101B-9397-08002B2CF9AE}" pid="14" name="Mendeley Recent Style Id 6_1">
    <vt:lpwstr>http://csl.mendeley.com/styles/504342531/vancouver-scott</vt:lpwstr>
  </property>
  <property fmtid="{D5CDD505-2E9C-101B-9397-08002B2CF9AE}" pid="15" name="Mendeley Recent Style Name 6_1">
    <vt:lpwstr>Vancouver - Ian Scott</vt:lpwstr>
  </property>
  <property fmtid="{D5CDD505-2E9C-101B-9397-08002B2CF9AE}" pid="16" name="Mendeley Recent Style Id 7_1">
    <vt:lpwstr>http://csl.mendeley.com/styles/504342531/NIHR-fellowship-2</vt:lpwstr>
  </property>
  <property fmtid="{D5CDD505-2E9C-101B-9397-08002B2CF9AE}" pid="17" name="Mendeley Recent Style Name 7_1">
    <vt:lpwstr>Vancouver - Ian Scott</vt:lpwstr>
  </property>
  <property fmtid="{D5CDD505-2E9C-101B-9397-08002B2CF9AE}" pid="18" name="Mendeley Recent Style Id 8_1">
    <vt:lpwstr>https://csl.mendeley.com/styles/504342531/vancouver-scott</vt:lpwstr>
  </property>
  <property fmtid="{D5CDD505-2E9C-101B-9397-08002B2CF9AE}" pid="19" name="Mendeley Recent Style Name 8_1">
    <vt:lpwstr>Vancouver - Ian Scott</vt:lpwstr>
  </property>
  <property fmtid="{D5CDD505-2E9C-101B-9397-08002B2CF9AE}" pid="20" name="Mendeley Recent Style Id 9_1">
    <vt:lpwstr>http://csl.mendeley.com/styles/504342531/NIHR-fellowship</vt:lpwstr>
  </property>
  <property fmtid="{D5CDD505-2E9C-101B-9397-08002B2CF9AE}" pid="21" name="Mendeley Recent Style Name 9_1">
    <vt:lpwstr>Vancouver - Ian Scott</vt:lpwstr>
  </property>
  <property fmtid="{D5CDD505-2E9C-101B-9397-08002B2CF9AE}" pid="22" name="Mendeley Document_1">
    <vt:lpwstr>True</vt:lpwstr>
  </property>
  <property fmtid="{D5CDD505-2E9C-101B-9397-08002B2CF9AE}" pid="23" name="Mendeley Unique User Id_1">
    <vt:lpwstr>8283b634-bc88-314c-9b29-cb343d6d9725</vt:lpwstr>
  </property>
  <property fmtid="{D5CDD505-2E9C-101B-9397-08002B2CF9AE}" pid="24" name="Mendeley Citation Style_1">
    <vt:lpwstr>http://csl.mendeley.com/styles/504342531/vancouver-scott</vt:lpwstr>
  </property>
</Properties>
</file>