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tag w:val="goog_rdk_0"/>
        <w:id w:val="510030174"/>
      </w:sdtPr>
      <w:sdtContent>
        <w:p w14:paraId="00000001" w14:textId="77777777" w:rsidR="00985107" w:rsidRPr="007F1CAA" w:rsidRDefault="00411C03" w:rsidP="00080569">
          <w:pPr>
            <w:pStyle w:val="Title"/>
            <w:jc w:val="center"/>
            <w:rPr>
              <w:rFonts w:ascii="Times New Roman" w:eastAsia="Times New Roman" w:hAnsi="Times New Roman" w:cs="Times New Roman"/>
              <w:sz w:val="24"/>
              <w:szCs w:val="24"/>
            </w:rPr>
          </w:pPr>
          <w:r w:rsidRPr="007F1CAA">
            <w:rPr>
              <w:rFonts w:ascii="Times New Roman" w:eastAsia="Times New Roman" w:hAnsi="Times New Roman" w:cs="Times New Roman"/>
              <w:sz w:val="24"/>
              <w:szCs w:val="24"/>
            </w:rPr>
            <w:t>Vulnerable and Threatening: varieties of exclusion for incarcerated Queer prisoners</w:t>
          </w:r>
        </w:p>
      </w:sdtContent>
    </w:sdt>
    <w:sdt>
      <w:sdtPr>
        <w:rPr>
          <w:b/>
        </w:rPr>
        <w:tag w:val="goog_rdk_1"/>
        <w:id w:val="2042627592"/>
        <w:showingPlcHdr/>
      </w:sdtPr>
      <w:sdtContent>
        <w:p w14:paraId="00000002" w14:textId="04756ADA" w:rsidR="00985107" w:rsidRPr="007F1CAA" w:rsidRDefault="00080569" w:rsidP="00080569">
          <w:pPr>
            <w:pBdr>
              <w:top w:val="nil"/>
              <w:left w:val="nil"/>
              <w:bottom w:val="nil"/>
              <w:right w:val="nil"/>
              <w:between w:val="nil"/>
            </w:pBdr>
            <w:spacing w:after="0" w:line="240" w:lineRule="auto"/>
            <w:jc w:val="center"/>
            <w:rPr>
              <w:b/>
              <w:color w:val="000000"/>
            </w:rPr>
          </w:pPr>
          <w:r w:rsidRPr="007F1CAA">
            <w:rPr>
              <w:b/>
            </w:rPr>
            <w:t xml:space="preserve">     </w:t>
          </w:r>
        </w:p>
      </w:sdtContent>
    </w:sdt>
    <w:sdt>
      <w:sdtPr>
        <w:rPr>
          <w:b/>
        </w:rPr>
        <w:tag w:val="goog_rdk_2"/>
        <w:id w:val="-1444994036"/>
      </w:sdtPr>
      <w:sdtContent>
        <w:p w14:paraId="1C785ECF" w14:textId="77777777" w:rsidR="00080569" w:rsidRPr="007F1CAA" w:rsidRDefault="00080569" w:rsidP="00080569">
          <w:pPr>
            <w:pBdr>
              <w:top w:val="nil"/>
              <w:left w:val="nil"/>
              <w:bottom w:val="nil"/>
              <w:right w:val="nil"/>
              <w:between w:val="nil"/>
            </w:pBdr>
            <w:spacing w:after="0" w:line="240" w:lineRule="auto"/>
            <w:jc w:val="center"/>
            <w:rPr>
              <w:b/>
            </w:rPr>
          </w:pPr>
        </w:p>
        <w:p w14:paraId="00000003" w14:textId="4CB37ABC" w:rsidR="00985107" w:rsidRPr="007F1CAA" w:rsidRDefault="00411C03" w:rsidP="00080569">
          <w:pPr>
            <w:pBdr>
              <w:top w:val="nil"/>
              <w:left w:val="nil"/>
              <w:bottom w:val="nil"/>
              <w:right w:val="nil"/>
              <w:between w:val="nil"/>
            </w:pBdr>
            <w:spacing w:after="0" w:line="240" w:lineRule="auto"/>
            <w:jc w:val="center"/>
            <w:rPr>
              <w:b/>
              <w:color w:val="000000"/>
            </w:rPr>
          </w:pPr>
          <w:r w:rsidRPr="007F1CAA">
            <w:rPr>
              <w:b/>
              <w:color w:val="000000"/>
            </w:rPr>
            <w:t>Felicity Adams</w:t>
          </w:r>
        </w:p>
      </w:sdtContent>
    </w:sdt>
    <w:sdt>
      <w:sdtPr>
        <w:rPr>
          <w:b/>
        </w:rPr>
        <w:tag w:val="goog_rdk_3"/>
        <w:id w:val="1051036407"/>
      </w:sdtPr>
      <w:sdtContent>
        <w:p w14:paraId="26CF6AA6" w14:textId="77777777" w:rsidR="00080569" w:rsidRPr="007F1CAA" w:rsidRDefault="00411C03" w:rsidP="00080569">
          <w:pPr>
            <w:pBdr>
              <w:top w:val="nil"/>
              <w:left w:val="nil"/>
              <w:bottom w:val="nil"/>
              <w:right w:val="nil"/>
              <w:between w:val="nil"/>
            </w:pBdr>
            <w:spacing w:after="0" w:line="240" w:lineRule="auto"/>
            <w:jc w:val="center"/>
            <w:rPr>
              <w:b/>
              <w:color w:val="000000"/>
            </w:rPr>
          </w:pPr>
          <w:r w:rsidRPr="007F1CAA">
            <w:rPr>
              <w:b/>
              <w:color w:val="000000"/>
            </w:rPr>
            <w:t>Fabienne Emmerich</w:t>
          </w:r>
        </w:p>
        <w:p w14:paraId="00000004" w14:textId="55187864" w:rsidR="00985107" w:rsidRPr="007F1CAA" w:rsidRDefault="00A1537F" w:rsidP="00080569">
          <w:pPr>
            <w:pBdr>
              <w:top w:val="nil"/>
              <w:left w:val="nil"/>
              <w:bottom w:val="nil"/>
              <w:right w:val="nil"/>
              <w:between w:val="nil"/>
            </w:pBdr>
            <w:spacing w:after="0" w:line="240" w:lineRule="auto"/>
            <w:jc w:val="center"/>
            <w:rPr>
              <w:b/>
              <w:color w:val="000000"/>
            </w:rPr>
          </w:pPr>
        </w:p>
      </w:sdtContent>
    </w:sdt>
    <w:sdt>
      <w:sdtPr>
        <w:rPr>
          <w:rFonts w:ascii="Times New Roman" w:hAnsi="Times New Roman" w:cs="Times New Roman"/>
          <w:b w:val="0"/>
          <w:bCs/>
          <w:sz w:val="24"/>
          <w:szCs w:val="24"/>
        </w:rPr>
        <w:tag w:val="goog_rdk_10"/>
        <w:id w:val="-831220536"/>
        <w:showingPlcHdr/>
      </w:sdtPr>
      <w:sdtContent>
        <w:p w14:paraId="2DFF9971" w14:textId="06E69D28" w:rsidR="00080569" w:rsidRPr="007F1CAA" w:rsidRDefault="00080569" w:rsidP="00080569">
          <w:pPr>
            <w:pStyle w:val="Heading2"/>
            <w:rPr>
              <w:rFonts w:ascii="Times New Roman" w:eastAsia="Times New Roman" w:hAnsi="Times New Roman" w:cs="Times New Roman"/>
              <w:b w:val="0"/>
              <w:bCs/>
              <w:sz w:val="24"/>
              <w:szCs w:val="24"/>
            </w:rPr>
          </w:pPr>
          <w:r w:rsidRPr="007F1CAA">
            <w:rPr>
              <w:rFonts w:ascii="Times New Roman" w:hAnsi="Times New Roman" w:cs="Times New Roman"/>
              <w:b w:val="0"/>
              <w:bCs/>
              <w:sz w:val="24"/>
              <w:szCs w:val="24"/>
            </w:rPr>
            <w:t xml:space="preserve">     </w:t>
          </w:r>
        </w:p>
      </w:sdtContent>
    </w:sdt>
    <w:sdt>
      <w:sdtPr>
        <w:rPr>
          <w:rFonts w:ascii="Times New Roman" w:hAnsi="Times New Roman" w:cs="Times New Roman"/>
          <w:b/>
          <w:sz w:val="24"/>
          <w:szCs w:val="24"/>
        </w:rPr>
        <w:tag w:val="goog_rdk_14"/>
        <w:id w:val="-1559630486"/>
      </w:sdtPr>
      <w:sdtContent>
        <w:p w14:paraId="0000000F" w14:textId="77777777" w:rsidR="00985107" w:rsidRPr="007F1CAA" w:rsidRDefault="00411C03" w:rsidP="00080569">
          <w:pPr>
            <w:pStyle w:val="Heading3"/>
            <w:pBdr>
              <w:top w:val="nil"/>
            </w:pBdr>
            <w:spacing w:before="0" w:after="0" w:line="240" w:lineRule="auto"/>
            <w:jc w:val="center"/>
            <w:rPr>
              <w:rFonts w:ascii="Times New Roman" w:eastAsia="Times New Roman" w:hAnsi="Times New Roman" w:cs="Times New Roman"/>
              <w:b/>
              <w:sz w:val="24"/>
              <w:szCs w:val="24"/>
            </w:rPr>
          </w:pPr>
          <w:r w:rsidRPr="007F1CAA">
            <w:rPr>
              <w:rFonts w:ascii="Times New Roman" w:eastAsia="Times New Roman" w:hAnsi="Times New Roman" w:cs="Times New Roman"/>
              <w:b/>
              <w:sz w:val="24"/>
              <w:szCs w:val="24"/>
            </w:rPr>
            <w:t xml:space="preserve">Introduction </w:t>
          </w:r>
        </w:p>
      </w:sdtContent>
    </w:sdt>
    <w:sdt>
      <w:sdtPr>
        <w:rPr>
          <w:bCs/>
        </w:rPr>
        <w:tag w:val="goog_rdk_15"/>
        <w:id w:val="-1668632117"/>
      </w:sdtPr>
      <w:sdtContent>
        <w:p w14:paraId="3D2F5AC6" w14:textId="77777777" w:rsidR="00080569" w:rsidRPr="007F1CAA" w:rsidRDefault="00080569" w:rsidP="00080569">
          <w:pPr>
            <w:pBdr>
              <w:top w:val="nil"/>
              <w:left w:val="nil"/>
              <w:bottom w:val="nil"/>
              <w:right w:val="nil"/>
              <w:between w:val="nil"/>
            </w:pBdr>
            <w:spacing w:after="0" w:line="480" w:lineRule="auto"/>
            <w:jc w:val="both"/>
            <w:rPr>
              <w:bCs/>
            </w:rPr>
          </w:pPr>
        </w:p>
        <w:p w14:paraId="3F5FBC47" w14:textId="00833166" w:rsidR="00080569" w:rsidRPr="007F1CAA" w:rsidRDefault="00411C03" w:rsidP="00080569">
          <w:pPr>
            <w:pBdr>
              <w:top w:val="nil"/>
              <w:left w:val="nil"/>
              <w:bottom w:val="nil"/>
              <w:right w:val="nil"/>
              <w:between w:val="nil"/>
            </w:pBdr>
            <w:spacing w:after="0" w:line="480" w:lineRule="auto"/>
            <w:jc w:val="both"/>
            <w:rPr>
              <w:bCs/>
            </w:rPr>
          </w:pPr>
          <w:r w:rsidRPr="007F1CAA">
            <w:rPr>
              <w:bCs/>
              <w:color w:val="000000"/>
            </w:rPr>
            <w:t>Prisons are sites of coercion, harm, pain, and violence.</w:t>
          </w:r>
          <w:r w:rsidRPr="007F1CAA">
            <w:rPr>
              <w:bCs/>
              <w:color w:val="000000"/>
              <w:vertAlign w:val="superscript"/>
            </w:rPr>
            <w:footnoteReference w:id="1"/>
          </w:r>
          <w:r w:rsidRPr="007F1CAA">
            <w:rPr>
              <w:bCs/>
              <w:color w:val="000000"/>
            </w:rPr>
            <w:t xml:space="preserve"> </w:t>
          </w:r>
          <w:r w:rsidRPr="007F1CAA">
            <w:rPr>
              <w:bCs/>
            </w:rPr>
            <w:t>They function to sustain and strengthen the capitalist system through their failure to rehabilitate and reintegrate prisoners into society.</w:t>
          </w:r>
          <w:r w:rsidRPr="007F1CAA">
            <w:rPr>
              <w:bCs/>
              <w:vertAlign w:val="superscript"/>
            </w:rPr>
            <w:footnoteReference w:id="2"/>
          </w:r>
          <w:r w:rsidRPr="007F1CAA">
            <w:rPr>
              <w:bCs/>
            </w:rPr>
            <w:t xml:space="preserve"> Prisons are </w:t>
          </w:r>
          <w:r w:rsidRPr="007F1CAA">
            <w:rPr>
              <w:bCs/>
              <w:color w:val="000000"/>
            </w:rPr>
            <w:t xml:space="preserve">central to </w:t>
          </w:r>
          <w:r w:rsidRPr="007F1CAA">
            <w:rPr>
              <w:bCs/>
            </w:rPr>
            <w:t>promoting</w:t>
          </w:r>
          <w:r w:rsidRPr="007F1CAA">
            <w:rPr>
              <w:bCs/>
              <w:color w:val="000000"/>
            </w:rPr>
            <w:t xml:space="preserve"> </w:t>
          </w:r>
          <w:r w:rsidRPr="007F1CAA">
            <w:rPr>
              <w:bCs/>
            </w:rPr>
            <w:t>neoliberal rationalities</w:t>
          </w:r>
          <w:r w:rsidRPr="007F1CAA">
            <w:rPr>
              <w:bCs/>
              <w:color w:val="000000"/>
            </w:rPr>
            <w:t xml:space="preserve"> that exclude those who are deemed </w:t>
          </w:r>
          <w:proofErr w:type="spellStart"/>
          <w:r w:rsidRPr="007F1CAA">
            <w:rPr>
              <w:bCs/>
              <w:color w:val="000000"/>
            </w:rPr>
            <w:t>unempowerable</w:t>
          </w:r>
          <w:proofErr w:type="spellEnd"/>
          <w:r w:rsidRPr="007F1CAA">
            <w:rPr>
              <w:bCs/>
              <w:color w:val="000000"/>
            </w:rPr>
            <w:t xml:space="preserve"> and unenterprising; such as people of colour, the working class, and other vulnerable groups. In</w:t>
          </w:r>
          <w:r w:rsidRPr="007F1CAA">
            <w:rPr>
              <w:bCs/>
            </w:rPr>
            <w:t xml:space="preserve"> effect </w:t>
          </w:r>
          <w:r w:rsidRPr="007F1CAA">
            <w:rPr>
              <w:bCs/>
              <w:color w:val="000000"/>
            </w:rPr>
            <w:t xml:space="preserve">the prison </w:t>
          </w:r>
          <w:r w:rsidRPr="007F1CAA">
            <w:rPr>
              <w:bCs/>
            </w:rPr>
            <w:t>functions</w:t>
          </w:r>
          <w:r w:rsidRPr="007F1CAA">
            <w:rPr>
              <w:bCs/>
              <w:color w:val="000000"/>
            </w:rPr>
            <w:t xml:space="preserve"> to safeguard those who profit from the ne</w:t>
          </w:r>
          <w:r w:rsidR="00080569" w:rsidRPr="007F1CAA">
            <w:rPr>
              <w:bCs/>
              <w:color w:val="000000"/>
            </w:rPr>
            <w:t xml:space="preserve">oliberal </w:t>
          </w:r>
          <w:r w:rsidRPr="007F1CAA">
            <w:rPr>
              <w:bCs/>
              <w:color w:val="000000"/>
            </w:rPr>
            <w:t>order</w:t>
          </w:r>
          <w:r w:rsidR="0008324B" w:rsidRPr="007F1CAA">
            <w:rPr>
              <w:bCs/>
              <w:color w:val="000000"/>
            </w:rPr>
            <w:t>,</w:t>
          </w:r>
          <w:r w:rsidRPr="007F1CAA">
            <w:rPr>
              <w:bCs/>
              <w:color w:val="000000"/>
            </w:rPr>
            <w:t xml:space="preserve"> from </w:t>
          </w:r>
          <w:r w:rsidRPr="007F1CAA">
            <w:rPr>
              <w:bCs/>
            </w:rPr>
            <w:t xml:space="preserve">the Other(s) </w:t>
          </w:r>
          <w:r w:rsidRPr="007F1CAA">
            <w:rPr>
              <w:bCs/>
              <w:color w:val="000000"/>
            </w:rPr>
            <w:t>who are perceived to endanger the continuation of these capitalist systems.</w:t>
          </w:r>
          <w:r w:rsidRPr="007F1CAA">
            <w:rPr>
              <w:bCs/>
              <w:color w:val="000000"/>
              <w:vertAlign w:val="superscript"/>
            </w:rPr>
            <w:footnoteReference w:id="3"/>
          </w:r>
          <w:r w:rsidRPr="007F1CAA">
            <w:rPr>
              <w:bCs/>
            </w:rPr>
            <w:t xml:space="preserve"> </w:t>
          </w:r>
        </w:p>
        <w:p w14:paraId="00000010" w14:textId="2554C03D"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16"/>
        <w:id w:val="2049405847"/>
      </w:sdtPr>
      <w:sdtContent>
        <w:p w14:paraId="5AC0500F" w14:textId="77777777" w:rsidR="006C304D" w:rsidRPr="007F1CAA" w:rsidRDefault="00411C03" w:rsidP="00080569">
          <w:pPr>
            <w:spacing w:after="0" w:line="480" w:lineRule="auto"/>
            <w:ind w:firstLine="720"/>
            <w:jc w:val="both"/>
            <w:rPr>
              <w:bCs/>
              <w:color w:val="000000"/>
            </w:rPr>
          </w:pPr>
          <w:r w:rsidRPr="007F1CAA">
            <w:rPr>
              <w:bCs/>
            </w:rPr>
            <w:t>Prisons are deeply gendered institutions that enforce a gender binary and perpetuate heteronormative gender performativity.</w:t>
          </w:r>
          <w:r w:rsidRPr="007F1CAA">
            <w:rPr>
              <w:bCs/>
              <w:vertAlign w:val="superscript"/>
            </w:rPr>
            <w:footnoteReference w:id="4"/>
          </w:r>
          <w:r w:rsidRPr="007F1CAA">
            <w:rPr>
              <w:bCs/>
            </w:rPr>
            <w:t xml:space="preserve"> Queer people challenge gender-normative and heteronormative power relations that the prison’s binary structure produces. They</w:t>
          </w:r>
          <w:r w:rsidRPr="007F1CAA">
            <w:rPr>
              <w:bCs/>
              <w:color w:val="000000"/>
            </w:rPr>
            <w:t xml:space="preserve"> experience </w:t>
          </w:r>
          <w:r w:rsidRPr="007F1CAA">
            <w:rPr>
              <w:bCs/>
              <w:color w:val="000000"/>
            </w:rPr>
            <w:lastRenderedPageBreak/>
            <w:t>magnified forms of violence within the prison including physical and sexual violence, verbal abuse, isolation and the denial of healthcare.</w:t>
          </w:r>
          <w:r w:rsidRPr="007F1CAA">
            <w:rPr>
              <w:bCs/>
              <w:color w:val="000000"/>
              <w:vertAlign w:val="superscript"/>
            </w:rPr>
            <w:footnoteReference w:id="5"/>
          </w:r>
          <w:r w:rsidRPr="007F1CAA">
            <w:rPr>
              <w:bCs/>
              <w:color w:val="000000"/>
            </w:rPr>
            <w:t xml:space="preserve"> T</w:t>
          </w:r>
          <w:r w:rsidRPr="007F1CAA">
            <w:rPr>
              <w:bCs/>
            </w:rPr>
            <w:t>here have been attempts at</w:t>
          </w:r>
          <w:r w:rsidRPr="007F1CAA">
            <w:rPr>
              <w:bCs/>
              <w:color w:val="000000"/>
            </w:rPr>
            <w:t xml:space="preserve"> providing tailored, inclusive responses to imprisonment. These efforts are various; ranging from policies aimed at </w:t>
          </w:r>
          <w:r w:rsidRPr="007F1CAA">
            <w:rPr>
              <w:bCs/>
            </w:rPr>
            <w:t>“</w:t>
          </w:r>
          <w:r w:rsidRPr="007F1CAA">
            <w:rPr>
              <w:bCs/>
              <w:color w:val="000000"/>
            </w:rPr>
            <w:t>managing</w:t>
          </w:r>
          <w:r w:rsidRPr="007F1CAA">
            <w:rPr>
              <w:bCs/>
            </w:rPr>
            <w:t>”</w:t>
          </w:r>
          <w:r w:rsidRPr="007F1CAA">
            <w:rPr>
              <w:bCs/>
              <w:color w:val="000000"/>
            </w:rPr>
            <w:t xml:space="preserve"> the specific needs of transgender prisoners within existing prison sites to expanding the prison system through the creation of prisons for non-binary people.</w:t>
          </w:r>
          <w:r w:rsidRPr="007F1CAA">
            <w:rPr>
              <w:bCs/>
              <w:color w:val="000000"/>
              <w:vertAlign w:val="superscript"/>
            </w:rPr>
            <w:footnoteReference w:id="6"/>
          </w:r>
          <w:r w:rsidRPr="007F1CAA">
            <w:rPr>
              <w:bCs/>
              <w:color w:val="000000"/>
            </w:rPr>
            <w:t xml:space="preserve"> </w:t>
          </w:r>
          <w:r w:rsidRPr="007F1CAA">
            <w:rPr>
              <w:bCs/>
            </w:rPr>
            <w:t xml:space="preserve">This is intended </w:t>
          </w:r>
          <w:r w:rsidRPr="007F1CAA">
            <w:rPr>
              <w:bCs/>
              <w:color w:val="000000"/>
            </w:rPr>
            <w:t>as part of a broader initiative to best accommodate Queer prisoners within the prison environment and on the outside following the completion of their sentence.</w:t>
          </w:r>
          <w:r w:rsidRPr="007F1CAA">
            <w:rPr>
              <w:bCs/>
              <w:color w:val="000000"/>
              <w:vertAlign w:val="superscript"/>
            </w:rPr>
            <w:footnoteReference w:id="7"/>
          </w:r>
          <w:r w:rsidRPr="007F1CAA">
            <w:rPr>
              <w:bCs/>
              <w:color w:val="000000"/>
            </w:rPr>
            <w:t xml:space="preserve"> </w:t>
          </w:r>
        </w:p>
        <w:p w14:paraId="00000011" w14:textId="29591D28" w:rsidR="00985107" w:rsidRPr="007F1CAA" w:rsidRDefault="00A1537F" w:rsidP="00080569">
          <w:pPr>
            <w:spacing w:after="0" w:line="480" w:lineRule="auto"/>
            <w:ind w:firstLine="720"/>
            <w:jc w:val="both"/>
            <w:rPr>
              <w:bCs/>
              <w:color w:val="000000"/>
            </w:rPr>
          </w:pPr>
        </w:p>
      </w:sdtContent>
    </w:sdt>
    <w:sdt>
      <w:sdtPr>
        <w:rPr>
          <w:bCs/>
        </w:rPr>
        <w:tag w:val="goog_rdk_17"/>
        <w:id w:val="2089890727"/>
      </w:sdtPr>
      <w:sdtContent>
        <w:p w14:paraId="00000012" w14:textId="1E1B96B9" w:rsidR="00985107" w:rsidRPr="007F1CAA" w:rsidRDefault="00411C03" w:rsidP="00080569">
          <w:pPr>
            <w:pBdr>
              <w:top w:val="nil"/>
              <w:left w:val="nil"/>
              <w:bottom w:val="nil"/>
              <w:right w:val="nil"/>
              <w:between w:val="nil"/>
            </w:pBdr>
            <w:spacing w:after="0" w:line="480" w:lineRule="auto"/>
            <w:jc w:val="both"/>
            <w:rPr>
              <w:bCs/>
            </w:rPr>
          </w:pPr>
          <w:r w:rsidRPr="007F1CAA">
            <w:rPr>
              <w:bCs/>
              <w:color w:val="000000"/>
            </w:rPr>
            <w:tab/>
            <w:t xml:space="preserve"> While many commend the various attempts to assuage the exclusion of Queer prisoners, these reformist approaches fail to address the structural violence generated by the regimented and binary nature of the prison system. As Dean Spade reinforces, they merely </w:t>
          </w:r>
          <w:r w:rsidRPr="007F1CAA">
            <w:rPr>
              <w:bCs/>
            </w:rPr>
            <w:t>“</w:t>
          </w:r>
          <w:r w:rsidRPr="007F1CAA">
            <w:rPr>
              <w:bCs/>
              <w:color w:val="000000"/>
            </w:rPr>
            <w:t>reify the racialized-gendered control of prisons</w:t>
          </w:r>
          <w:r w:rsidRPr="007F1CAA">
            <w:rPr>
              <w:bCs/>
            </w:rPr>
            <w:t>”</w:t>
          </w:r>
          <w:r w:rsidRPr="007F1CAA">
            <w:rPr>
              <w:bCs/>
              <w:color w:val="000000"/>
            </w:rPr>
            <w:t>.</w:t>
          </w:r>
          <w:r w:rsidRPr="007F1CAA">
            <w:rPr>
              <w:bCs/>
              <w:color w:val="000000"/>
              <w:vertAlign w:val="superscript"/>
            </w:rPr>
            <w:footnoteReference w:id="8"/>
          </w:r>
          <w:r w:rsidRPr="007F1CAA">
            <w:rPr>
              <w:bCs/>
              <w:color w:val="000000"/>
            </w:rPr>
            <w:t xml:space="preserve"> This is because they overlook the prison as a site that forces Queer prisoners to </w:t>
          </w:r>
          <w:r w:rsidRPr="007F1CAA">
            <w:rPr>
              <w:bCs/>
            </w:rPr>
            <w:t>“</w:t>
          </w:r>
          <w:r w:rsidRPr="007F1CAA">
            <w:rPr>
              <w:bCs/>
              <w:color w:val="000000"/>
            </w:rPr>
            <w:t>inhabit identities that [they] had rejected as part of their sense of selfhood</w:t>
          </w:r>
          <w:r w:rsidR="006C304D" w:rsidRPr="007F1CAA">
            <w:rPr>
              <w:bCs/>
              <w:color w:val="000000"/>
            </w:rPr>
            <w:t>.</w:t>
          </w:r>
          <w:r w:rsidRPr="007F1CAA">
            <w:rPr>
              <w:bCs/>
            </w:rPr>
            <w:t>”</w:t>
          </w:r>
          <w:r w:rsidRPr="007F1CAA">
            <w:rPr>
              <w:bCs/>
              <w:color w:val="000000"/>
              <w:vertAlign w:val="superscript"/>
            </w:rPr>
            <w:footnoteReference w:id="9"/>
          </w:r>
          <w:r w:rsidRPr="007F1CAA">
            <w:rPr>
              <w:bCs/>
              <w:color w:val="000000"/>
            </w:rPr>
            <w:t xml:space="preserve"> Simultaneously, they neglect that homophobia and transphobia are intrinsic to the existence and functioning of the criminal justice system.</w:t>
          </w:r>
          <w:r w:rsidRPr="007F1CAA">
            <w:rPr>
              <w:bCs/>
              <w:color w:val="000000"/>
              <w:vertAlign w:val="superscript"/>
            </w:rPr>
            <w:footnoteReference w:id="10"/>
          </w:r>
        </w:p>
      </w:sdtContent>
    </w:sdt>
    <w:sdt>
      <w:sdtPr>
        <w:rPr>
          <w:bCs/>
        </w:rPr>
        <w:tag w:val="goog_rdk_18"/>
        <w:id w:val="-2143648236"/>
      </w:sdtPr>
      <w:sdtContent>
        <w:p w14:paraId="66CEB004" w14:textId="77777777" w:rsidR="006C304D" w:rsidRPr="007F1CAA" w:rsidRDefault="006C304D" w:rsidP="00080569">
          <w:pPr>
            <w:pBdr>
              <w:top w:val="nil"/>
              <w:left w:val="nil"/>
              <w:bottom w:val="nil"/>
              <w:right w:val="nil"/>
              <w:between w:val="nil"/>
            </w:pBdr>
            <w:spacing w:after="0" w:line="480" w:lineRule="auto"/>
            <w:ind w:firstLine="720"/>
            <w:jc w:val="both"/>
            <w:rPr>
              <w:bCs/>
            </w:rPr>
          </w:pPr>
        </w:p>
        <w:p w14:paraId="125B56D9" w14:textId="77777777" w:rsidR="006C304D"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rPr>
            <w:t>We argue that t</w:t>
          </w:r>
          <w:r w:rsidRPr="007F1CAA">
            <w:rPr>
              <w:bCs/>
              <w:color w:val="000000"/>
            </w:rPr>
            <w:t>hese confinement spaces produce varieties of exclusion for queer people in prison who challenge the gendered binaries in</w:t>
          </w:r>
          <w:r w:rsidRPr="007F1CAA">
            <w:rPr>
              <w:bCs/>
            </w:rPr>
            <w:t xml:space="preserve">herent in the material construction of </w:t>
          </w:r>
          <w:r w:rsidRPr="007F1CAA">
            <w:rPr>
              <w:bCs/>
            </w:rPr>
            <w:lastRenderedPageBreak/>
            <w:t>imprisonment</w:t>
          </w:r>
          <w:r w:rsidRPr="007F1CAA">
            <w:rPr>
              <w:bCs/>
              <w:color w:val="000000"/>
            </w:rPr>
            <w:t>. They are deemed both vulnerable and threatening.</w:t>
          </w:r>
          <w:r w:rsidRPr="007F1CAA">
            <w:rPr>
              <w:bCs/>
              <w:color w:val="000000"/>
              <w:vertAlign w:val="superscript"/>
            </w:rPr>
            <w:footnoteReference w:id="11"/>
          </w:r>
          <w:r w:rsidRPr="007F1CAA">
            <w:rPr>
              <w:bCs/>
              <w:color w:val="000000"/>
            </w:rPr>
            <w:t xml:space="preserve"> In short, they are considered difficult prisoners</w:t>
          </w:r>
          <w:r w:rsidRPr="007F1CAA">
            <w:rPr>
              <w:bCs/>
            </w:rPr>
            <w:t>.</w:t>
          </w:r>
          <w:r w:rsidRPr="007F1CAA">
            <w:rPr>
              <w:bCs/>
              <w:color w:val="000000"/>
              <w:vertAlign w:val="superscript"/>
            </w:rPr>
            <w:footnoteReference w:id="12"/>
          </w:r>
          <w:r w:rsidRPr="007F1CAA">
            <w:rPr>
              <w:bCs/>
              <w:color w:val="000000"/>
            </w:rPr>
            <w:t xml:space="preserve"> As a consequence they face multiple manifestations of exclusion. </w:t>
          </w:r>
        </w:p>
        <w:p w14:paraId="00000013" w14:textId="22437E91" w:rsidR="00985107" w:rsidRPr="007F1CAA" w:rsidRDefault="00A1537F" w:rsidP="00080569">
          <w:pPr>
            <w:pBdr>
              <w:top w:val="nil"/>
              <w:left w:val="nil"/>
              <w:bottom w:val="nil"/>
              <w:right w:val="nil"/>
              <w:between w:val="nil"/>
            </w:pBdr>
            <w:spacing w:after="0" w:line="480" w:lineRule="auto"/>
            <w:ind w:firstLine="720"/>
            <w:jc w:val="both"/>
            <w:rPr>
              <w:bCs/>
            </w:rPr>
          </w:pPr>
        </w:p>
      </w:sdtContent>
    </w:sdt>
    <w:sdt>
      <w:sdtPr>
        <w:rPr>
          <w:bCs/>
        </w:rPr>
        <w:tag w:val="goog_rdk_19"/>
        <w:id w:val="240995782"/>
      </w:sdtPr>
      <w:sdtContent>
        <w:p w14:paraId="00000014" w14:textId="05937821" w:rsidR="00985107"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 xml:space="preserve">The purpose of this </w:t>
          </w:r>
          <w:r w:rsidR="00A3662B" w:rsidRPr="007F1CAA">
            <w:rPr>
              <w:bCs/>
              <w:color w:val="000000"/>
            </w:rPr>
            <w:t>chapter</w:t>
          </w:r>
          <w:r w:rsidRPr="007F1CAA">
            <w:rPr>
              <w:bCs/>
              <w:color w:val="000000"/>
            </w:rPr>
            <w:t xml:space="preserve"> is to explore how the law on prisoners’ rights </w:t>
          </w:r>
          <w:r w:rsidRPr="007F1CAA">
            <w:rPr>
              <w:bCs/>
            </w:rPr>
            <w:t>legitimize</w:t>
          </w:r>
          <w:r w:rsidRPr="007F1CAA">
            <w:rPr>
              <w:bCs/>
              <w:color w:val="000000"/>
            </w:rPr>
            <w:t xml:space="preserve">s and reinforces these normative relations of power with a focus on three areas: </w:t>
          </w:r>
          <w:r w:rsidR="006C304D" w:rsidRPr="007F1CAA">
            <w:rPr>
              <w:bCs/>
              <w:color w:val="000000"/>
            </w:rPr>
            <w:t xml:space="preserve">(a) </w:t>
          </w:r>
          <w:r w:rsidRPr="007F1CAA">
            <w:rPr>
              <w:bCs/>
              <w:color w:val="000000"/>
            </w:rPr>
            <w:t xml:space="preserve">gender recognition: the systemic exclusions of transgender identities; </w:t>
          </w:r>
          <w:r w:rsidR="006C304D" w:rsidRPr="007F1CAA">
            <w:rPr>
              <w:bCs/>
              <w:color w:val="000000"/>
            </w:rPr>
            <w:t xml:space="preserve">(b) </w:t>
          </w:r>
          <w:r w:rsidRPr="007F1CAA">
            <w:rPr>
              <w:bCs/>
              <w:color w:val="000000"/>
            </w:rPr>
            <w:t xml:space="preserve">isolation of visible and vulnerable queer prisoners; and </w:t>
          </w:r>
          <w:r w:rsidR="006C304D" w:rsidRPr="007F1CAA">
            <w:rPr>
              <w:bCs/>
              <w:color w:val="000000"/>
            </w:rPr>
            <w:t xml:space="preserve">(c) </w:t>
          </w:r>
          <w:r w:rsidRPr="007F1CAA">
            <w:rPr>
              <w:bCs/>
              <w:color w:val="000000"/>
            </w:rPr>
            <w:t>the heightened surveillance of long term relationships. Before we move on to the analysis of multiple exclusion of queer prisoners that is reproduced in particular prisoners’ rights cases, the subsequent section sets out the theoretical framework. This is centred on heteronormative and gender-normative power relations in prison that produce queer prisoners in an irreconcilable paradox as both vulnerable and threatening.</w:t>
          </w:r>
        </w:p>
      </w:sdtContent>
    </w:sdt>
    <w:sdt>
      <w:sdtPr>
        <w:rPr>
          <w:bCs/>
        </w:rPr>
        <w:tag w:val="goog_rdk_20"/>
        <w:id w:val="-47154438"/>
      </w:sdtPr>
      <w:sdtContent>
        <w:p w14:paraId="00000015" w14:textId="77777777"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 </w:t>
          </w:r>
        </w:p>
      </w:sdtContent>
    </w:sdt>
    <w:sdt>
      <w:sdtPr>
        <w:rPr>
          <w:rFonts w:ascii="Times New Roman" w:hAnsi="Times New Roman" w:cs="Times New Roman"/>
          <w:bCs/>
          <w:sz w:val="24"/>
          <w:szCs w:val="24"/>
        </w:rPr>
        <w:tag w:val="goog_rdk_23"/>
        <w:id w:val="-713507418"/>
      </w:sdtPr>
      <w:sdtEndPr>
        <w:rPr>
          <w:b/>
          <w:bCs w:val="0"/>
        </w:rPr>
      </w:sdtEndPr>
      <w:sdtContent>
        <w:p w14:paraId="00000016" w14:textId="0F4666B0" w:rsidR="00985107" w:rsidRPr="007F1CAA" w:rsidRDefault="006C304D" w:rsidP="006C304D">
          <w:pPr>
            <w:pStyle w:val="Heading3"/>
            <w:pBdr>
              <w:top w:val="nil"/>
            </w:pBdr>
            <w:spacing w:before="0" w:after="0" w:line="480" w:lineRule="auto"/>
            <w:jc w:val="center"/>
            <w:rPr>
              <w:rFonts w:ascii="Times New Roman" w:eastAsia="Times New Roman" w:hAnsi="Times New Roman" w:cs="Times New Roman"/>
              <w:b/>
              <w:sz w:val="24"/>
              <w:szCs w:val="24"/>
            </w:rPr>
          </w:pPr>
          <w:r w:rsidRPr="007F1CAA">
            <w:rPr>
              <w:rFonts w:ascii="Times New Roman" w:hAnsi="Times New Roman" w:cs="Times New Roman"/>
              <w:b/>
              <w:sz w:val="24"/>
              <w:szCs w:val="24"/>
            </w:rPr>
            <w:t xml:space="preserve">I. </w:t>
          </w:r>
          <w:r w:rsidR="00411C03" w:rsidRPr="007F1CAA">
            <w:rPr>
              <w:rFonts w:ascii="Times New Roman" w:eastAsia="Times New Roman" w:hAnsi="Times New Roman" w:cs="Times New Roman"/>
              <w:b/>
              <w:sz w:val="24"/>
              <w:szCs w:val="24"/>
            </w:rPr>
            <w:t xml:space="preserve">Queer prisoners: vulnerable and threatening </w:t>
          </w:r>
          <w:sdt>
            <w:sdtPr>
              <w:rPr>
                <w:rFonts w:ascii="Times New Roman" w:hAnsi="Times New Roman" w:cs="Times New Roman"/>
                <w:b/>
                <w:sz w:val="24"/>
                <w:szCs w:val="24"/>
              </w:rPr>
              <w:tag w:val="goog_rdk_21"/>
              <w:id w:val="762735320"/>
            </w:sdtPr>
            <w:sdtContent/>
          </w:sdt>
          <w:sdt>
            <w:sdtPr>
              <w:rPr>
                <w:rFonts w:ascii="Times New Roman" w:hAnsi="Times New Roman" w:cs="Times New Roman"/>
                <w:b/>
                <w:sz w:val="24"/>
                <w:szCs w:val="24"/>
              </w:rPr>
              <w:tag w:val="goog_rdk_22"/>
              <w:id w:val="828185249"/>
              <w:showingPlcHdr/>
            </w:sdtPr>
            <w:sdtContent>
              <w:r w:rsidRPr="007F1CAA">
                <w:rPr>
                  <w:rFonts w:ascii="Times New Roman" w:hAnsi="Times New Roman" w:cs="Times New Roman"/>
                  <w:b/>
                  <w:sz w:val="24"/>
                  <w:szCs w:val="24"/>
                </w:rPr>
                <w:t xml:space="preserve">     </w:t>
              </w:r>
            </w:sdtContent>
          </w:sdt>
        </w:p>
      </w:sdtContent>
    </w:sdt>
    <w:sdt>
      <w:sdtPr>
        <w:rPr>
          <w:bCs/>
        </w:rPr>
        <w:tag w:val="goog_rdk_24"/>
        <w:id w:val="98537129"/>
      </w:sdtPr>
      <w:sdtContent>
        <w:p w14:paraId="16FDDCD9" w14:textId="77777777" w:rsidR="006C304D" w:rsidRPr="007F1CAA" w:rsidRDefault="006C304D" w:rsidP="00080569">
          <w:pPr>
            <w:pBdr>
              <w:top w:val="nil"/>
              <w:left w:val="nil"/>
              <w:bottom w:val="nil"/>
              <w:right w:val="nil"/>
              <w:between w:val="nil"/>
            </w:pBdr>
            <w:spacing w:after="0" w:line="480" w:lineRule="auto"/>
            <w:jc w:val="both"/>
            <w:rPr>
              <w:bCs/>
            </w:rPr>
          </w:pPr>
        </w:p>
        <w:p w14:paraId="1353D600" w14:textId="77777777" w:rsidR="006C304D" w:rsidRPr="007F1CAA" w:rsidRDefault="00411C03" w:rsidP="00080569">
          <w:pPr>
            <w:pBdr>
              <w:top w:val="nil"/>
              <w:left w:val="nil"/>
              <w:bottom w:val="nil"/>
              <w:right w:val="nil"/>
              <w:between w:val="nil"/>
            </w:pBdr>
            <w:spacing w:after="0" w:line="480" w:lineRule="auto"/>
            <w:jc w:val="both"/>
            <w:rPr>
              <w:bCs/>
            </w:rPr>
          </w:pPr>
          <w:r w:rsidRPr="007F1CAA">
            <w:rPr>
              <w:bCs/>
              <w:color w:val="000000"/>
            </w:rPr>
            <w:t>We take a Foucauldian perspective of power. Michel Fouc</w:t>
          </w:r>
          <w:r w:rsidRPr="007F1CAA">
            <w:rPr>
              <w:bCs/>
            </w:rPr>
            <w:t>ault</w:t>
          </w:r>
          <w:r w:rsidR="006C304D" w:rsidRPr="007F1CAA">
            <w:rPr>
              <w:bCs/>
            </w:rPr>
            <w:t>,</w:t>
          </w:r>
          <w:r w:rsidRPr="007F1CAA">
            <w:rPr>
              <w:bCs/>
            </w:rPr>
            <w:t xml:space="preserve"> in his seminal work </w:t>
          </w:r>
          <w:r w:rsidR="006C304D" w:rsidRPr="007F1CAA">
            <w:rPr>
              <w:bCs/>
            </w:rPr>
            <w:t>“</w:t>
          </w:r>
          <w:r w:rsidRPr="007F1CAA">
            <w:rPr>
              <w:bCs/>
            </w:rPr>
            <w:t>Discipline and Punish</w:t>
          </w:r>
          <w:r w:rsidR="006C304D" w:rsidRPr="007F1CAA">
            <w:rPr>
              <w:bCs/>
            </w:rPr>
            <w:t>”,</w:t>
          </w:r>
          <w:r w:rsidRPr="007F1CAA">
            <w:rPr>
              <w:bCs/>
            </w:rPr>
            <w:t xml:space="preserve"> questioned the centrality of the prison in contemporary punitive regimes, as well as the broader question how power functions.</w:t>
          </w:r>
          <w:r w:rsidRPr="007F1CAA">
            <w:rPr>
              <w:bCs/>
              <w:vertAlign w:val="superscript"/>
            </w:rPr>
            <w:footnoteReference w:id="13"/>
          </w:r>
          <w:r w:rsidRPr="007F1CAA">
            <w:rPr>
              <w:bCs/>
            </w:rPr>
            <w:t xml:space="preserve"> For Foucault, the prison functions in many ways similar to other institutions in industrialized societies, such as the factory and the school, to produce docile bodies through disciplinary power.</w:t>
          </w:r>
          <w:r w:rsidRPr="007F1CAA">
            <w:rPr>
              <w:bCs/>
              <w:vertAlign w:val="superscript"/>
            </w:rPr>
            <w:footnoteReference w:id="14"/>
          </w:r>
          <w:r w:rsidRPr="007F1CAA">
            <w:rPr>
              <w:bCs/>
            </w:rPr>
            <w:t xml:space="preserve"> In his later work</w:t>
          </w:r>
          <w:r w:rsidR="006C304D" w:rsidRPr="007F1CAA">
            <w:rPr>
              <w:bCs/>
            </w:rPr>
            <w:t>,</w:t>
          </w:r>
          <w:r w:rsidRPr="007F1CAA">
            <w:rPr>
              <w:bCs/>
            </w:rPr>
            <w:t xml:space="preserve"> on governmentality and biopower, he found that liberalism/neoliberalism produced a particular form of power, </w:t>
          </w:r>
          <w:r w:rsidRPr="007F1CAA">
            <w:rPr>
              <w:bCs/>
            </w:rPr>
            <w:lastRenderedPageBreak/>
            <w:t>power as government.</w:t>
          </w:r>
          <w:r w:rsidRPr="007F1CAA">
            <w:rPr>
              <w:bCs/>
              <w:vertAlign w:val="superscript"/>
            </w:rPr>
            <w:footnoteReference w:id="15"/>
          </w:r>
          <w:r w:rsidRPr="007F1CAA">
            <w:rPr>
              <w:bCs/>
            </w:rPr>
            <w:t xml:space="preserve"> Liberalism/neoliberalism as rationalities of power in combination with technologies of power aims at creatively and reflexively shaping people’s conduct to enhance the wellbeing of the population as a whole (biopower).</w:t>
          </w:r>
          <w:r w:rsidRPr="007F1CAA">
            <w:rPr>
              <w:bCs/>
              <w:vertAlign w:val="superscript"/>
            </w:rPr>
            <w:footnoteReference w:id="16"/>
          </w:r>
          <w:r w:rsidRPr="007F1CAA">
            <w:rPr>
              <w:bCs/>
            </w:rPr>
            <w:t xml:space="preserve"> Through governance and self-governance</w:t>
          </w:r>
          <w:r w:rsidR="006C304D" w:rsidRPr="007F1CAA">
            <w:rPr>
              <w:bCs/>
            </w:rPr>
            <w:t>,</w:t>
          </w:r>
          <w:r w:rsidRPr="007F1CAA">
            <w:rPr>
              <w:bCs/>
            </w:rPr>
            <w:t xml:space="preserve"> the aim is to secure the wellbeing of the population </w:t>
          </w:r>
          <w:r w:rsidR="006C304D" w:rsidRPr="007F1CAA">
            <w:rPr>
              <w:bCs/>
            </w:rPr>
            <w:t>–</w:t>
          </w:r>
          <w:r w:rsidRPr="007F1CAA">
            <w:rPr>
              <w:bCs/>
            </w:rPr>
            <w:t xml:space="preserve"> through e.g. sanitation, health and safety regulations, public health insurance </w:t>
          </w:r>
          <w:r w:rsidR="006C304D" w:rsidRPr="007F1CAA">
            <w:rPr>
              <w:bCs/>
            </w:rPr>
            <w:t>–</w:t>
          </w:r>
          <w:r w:rsidRPr="007F1CAA">
            <w:rPr>
              <w:bCs/>
            </w:rPr>
            <w:t xml:space="preserve"> to support the capitalist economy through enterprising labour.</w:t>
          </w:r>
          <w:r w:rsidRPr="007F1CAA">
            <w:rPr>
              <w:bCs/>
              <w:vertAlign w:val="superscript"/>
            </w:rPr>
            <w:footnoteReference w:id="17"/>
          </w:r>
          <w:r w:rsidRPr="007F1CAA">
            <w:rPr>
              <w:bCs/>
            </w:rPr>
            <w:t xml:space="preserve"> Crucially,</w:t>
          </w:r>
          <w:r w:rsidR="006C304D" w:rsidRPr="007F1CAA">
            <w:rPr>
              <w:bCs/>
            </w:rPr>
            <w:t xml:space="preserve"> Foucault</w:t>
          </w:r>
          <w:r w:rsidRPr="007F1CAA">
            <w:rPr>
              <w:bCs/>
            </w:rPr>
            <w:t xml:space="preserve"> argued that governmentality reconfigured and co-opted other forms of power</w:t>
          </w:r>
          <w:r w:rsidR="006C304D" w:rsidRPr="007F1CAA">
            <w:rPr>
              <w:bCs/>
            </w:rPr>
            <w:t>,</w:t>
          </w:r>
          <w:r w:rsidRPr="007F1CAA">
            <w:rPr>
              <w:bCs/>
            </w:rPr>
            <w:t xml:space="preserve"> such as disciplinary power and sovereignty.</w:t>
          </w:r>
          <w:r w:rsidRPr="007F1CAA">
            <w:rPr>
              <w:bCs/>
              <w:vertAlign w:val="superscript"/>
            </w:rPr>
            <w:footnoteReference w:id="18"/>
          </w:r>
          <w:r w:rsidRPr="007F1CAA">
            <w:rPr>
              <w:bCs/>
            </w:rPr>
            <w:t xml:space="preserve"> Under liberalism/neoliberalism sovereignty is democratized and is</w:t>
          </w:r>
          <w:r w:rsidR="006C304D" w:rsidRPr="007F1CAA">
            <w:rPr>
              <w:bCs/>
            </w:rPr>
            <w:t>,</w:t>
          </w:r>
          <w:r w:rsidRPr="007F1CAA">
            <w:rPr>
              <w:bCs/>
            </w:rPr>
            <w:t xml:space="preserve"> therefore</w:t>
          </w:r>
          <w:r w:rsidR="006C304D" w:rsidRPr="007F1CAA">
            <w:rPr>
              <w:bCs/>
            </w:rPr>
            <w:t>,</w:t>
          </w:r>
          <w:r w:rsidRPr="007F1CAA">
            <w:rPr>
              <w:bCs/>
            </w:rPr>
            <w:t xml:space="preserve"> understood through a human rights discourse; the utility produced through disciplinary power shifts towards a general utility through regulation; and power as government becomes processes directed at the well-being and labour of the population in which “the subject is revealed in its social, biological and economic form</w:t>
          </w:r>
          <w:r w:rsidR="006C304D" w:rsidRPr="007F1CAA">
            <w:rPr>
              <w:bCs/>
            </w:rPr>
            <w:t>.</w:t>
          </w:r>
          <w:r w:rsidRPr="007F1CAA">
            <w:rPr>
              <w:bCs/>
            </w:rPr>
            <w:t>”</w:t>
          </w:r>
          <w:r w:rsidRPr="007F1CAA">
            <w:rPr>
              <w:bCs/>
              <w:vertAlign w:val="superscript"/>
            </w:rPr>
            <w:footnoteReference w:id="19"/>
          </w:r>
          <w:r w:rsidRPr="007F1CAA">
            <w:rPr>
              <w:bCs/>
            </w:rPr>
            <w:t xml:space="preserve"> For Foucault then, power is relational; it requires a subject who can resist;</w:t>
          </w:r>
          <w:r w:rsidRPr="007F1CAA">
            <w:rPr>
              <w:bCs/>
              <w:vertAlign w:val="superscript"/>
            </w:rPr>
            <w:footnoteReference w:id="20"/>
          </w:r>
          <w:r w:rsidRPr="007F1CAA">
            <w:rPr>
              <w:bCs/>
            </w:rPr>
            <w:t xml:space="preserve"> and power is productive or persuasive as well as coercive.</w:t>
          </w:r>
          <w:r w:rsidRPr="007F1CAA">
            <w:rPr>
              <w:bCs/>
              <w:vertAlign w:val="superscript"/>
            </w:rPr>
            <w:footnoteReference w:id="21"/>
          </w:r>
        </w:p>
        <w:p w14:paraId="00000017" w14:textId="766ECA4D"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27"/>
        <w:id w:val="2089409684"/>
      </w:sdtPr>
      <w:sdtContent>
        <w:p w14:paraId="3BC5F272" w14:textId="77777777" w:rsidR="00AD510E"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rPr>
            <w:t xml:space="preserve">Applying this approach to incarceration, </w:t>
          </w:r>
          <w:r w:rsidRPr="007F1CAA">
            <w:rPr>
              <w:bCs/>
              <w:color w:val="000000"/>
            </w:rPr>
            <w:t>gendered power relations produce homogenized conceptions of men and women prisoners and reinforce hierarchical gender relations.</w:t>
          </w:r>
          <w:r w:rsidRPr="007F1CAA">
            <w:rPr>
              <w:bCs/>
              <w:vertAlign w:val="superscript"/>
            </w:rPr>
            <w:t xml:space="preserve"> </w:t>
          </w:r>
          <w:r w:rsidRPr="007F1CAA">
            <w:rPr>
              <w:bCs/>
              <w:color w:val="000000"/>
            </w:rPr>
            <w:t>Both the works of Kelly Hannah-</w:t>
          </w:r>
          <w:proofErr w:type="spellStart"/>
          <w:r w:rsidRPr="007F1CAA">
            <w:rPr>
              <w:bCs/>
              <w:color w:val="000000"/>
            </w:rPr>
            <w:t>Moffat</w:t>
          </w:r>
          <w:proofErr w:type="spellEnd"/>
          <w:r w:rsidRPr="007F1CAA">
            <w:rPr>
              <w:bCs/>
              <w:color w:val="000000"/>
            </w:rPr>
            <w:t xml:space="preserve"> and </w:t>
          </w:r>
          <w:r w:rsidRPr="007F1CAA">
            <w:rPr>
              <w:bCs/>
            </w:rPr>
            <w:t>Eamonn</w:t>
          </w:r>
          <w:r w:rsidRPr="007F1CAA">
            <w:rPr>
              <w:bCs/>
              <w:color w:val="000000"/>
            </w:rPr>
            <w:t xml:space="preserve"> </w:t>
          </w:r>
          <w:proofErr w:type="spellStart"/>
          <w:r w:rsidRPr="007F1CAA">
            <w:rPr>
              <w:bCs/>
              <w:color w:val="000000"/>
            </w:rPr>
            <w:t>Carrabine</w:t>
          </w:r>
          <w:proofErr w:type="spellEnd"/>
          <w:r w:rsidRPr="007F1CAA">
            <w:rPr>
              <w:bCs/>
              <w:color w:val="000000"/>
            </w:rPr>
            <w:t xml:space="preserve"> separately have shown that power in prison is diffused through mundane practices, routines, and local decision-</w:t>
          </w:r>
          <w:r w:rsidRPr="007F1CAA">
            <w:rPr>
              <w:bCs/>
              <w:color w:val="000000"/>
            </w:rPr>
            <w:lastRenderedPageBreak/>
            <w:t>making.</w:t>
          </w:r>
          <w:r w:rsidRPr="007F1CAA">
            <w:rPr>
              <w:bCs/>
              <w:vertAlign w:val="superscript"/>
            </w:rPr>
            <w:footnoteReference w:id="22"/>
          </w:r>
          <w:r w:rsidRPr="007F1CAA">
            <w:rPr>
              <w:bCs/>
            </w:rPr>
            <w:t xml:space="preserve"> </w:t>
          </w:r>
          <w:r w:rsidRPr="007F1CAA">
            <w:rPr>
              <w:bCs/>
              <w:color w:val="000000"/>
            </w:rPr>
            <w:t xml:space="preserve"> </w:t>
          </w:r>
          <w:r w:rsidRPr="007F1CAA">
            <w:rPr>
              <w:bCs/>
            </w:rPr>
            <w:t xml:space="preserve">Power in prison functions in a way to creatively and reflexively shape prisoners’ conduct through productive and repressive forms of power. </w:t>
          </w:r>
          <w:r w:rsidRPr="007F1CAA">
            <w:rPr>
              <w:bCs/>
              <w:vertAlign w:val="superscript"/>
            </w:rPr>
            <w:t xml:space="preserve"> </w:t>
          </w:r>
          <w:r w:rsidRPr="007F1CAA">
            <w:rPr>
              <w:bCs/>
              <w:color w:val="000000"/>
            </w:rPr>
            <w:t xml:space="preserve">The neoliberal strategies, empowerment and </w:t>
          </w:r>
          <w:proofErr w:type="spellStart"/>
          <w:r w:rsidRPr="007F1CAA">
            <w:rPr>
              <w:bCs/>
              <w:color w:val="000000"/>
            </w:rPr>
            <w:t>responsibilization</w:t>
          </w:r>
          <w:proofErr w:type="spellEnd"/>
          <w:r w:rsidRPr="007F1CAA">
            <w:rPr>
              <w:bCs/>
              <w:color w:val="000000"/>
            </w:rPr>
            <w:t xml:space="preserve">, to shape prisoners’ conduct so that they can be integrated into society, are aimed at governance at a distance through self-regulation and self-monitoring. They nevertheless depend on coercive, disciplinary governing strategies directed at those who are perceived as resistant or are deemed </w:t>
          </w:r>
          <w:sdt>
            <w:sdtPr>
              <w:rPr>
                <w:bCs/>
              </w:rPr>
              <w:tag w:val="goog_rdk_25"/>
              <w:id w:val="-287511861"/>
            </w:sdtPr>
            <w:sdtContent/>
          </w:sdt>
          <w:sdt>
            <w:sdtPr>
              <w:rPr>
                <w:bCs/>
              </w:rPr>
              <w:tag w:val="goog_rdk_26"/>
              <w:id w:val="-645507185"/>
            </w:sdtPr>
            <w:sdtContent/>
          </w:sdt>
          <w:proofErr w:type="spellStart"/>
          <w:r w:rsidRPr="007F1CAA">
            <w:rPr>
              <w:bCs/>
              <w:color w:val="000000"/>
            </w:rPr>
            <w:t>unempowerable</w:t>
          </w:r>
          <w:proofErr w:type="spellEnd"/>
          <w:r w:rsidRPr="007F1CAA">
            <w:rPr>
              <w:bCs/>
              <w:color w:val="000000"/>
            </w:rPr>
            <w:t>, namely those who are not capable nor willing to self-govern pursuant to neoliberal</w:t>
          </w:r>
          <w:r w:rsidRPr="007F1CAA">
            <w:rPr>
              <w:bCs/>
            </w:rPr>
            <w:t xml:space="preserve"> strategies</w:t>
          </w:r>
          <w:r w:rsidRPr="007F1CAA">
            <w:rPr>
              <w:bCs/>
              <w:color w:val="000000"/>
            </w:rPr>
            <w:t>.</w:t>
          </w:r>
          <w:r w:rsidRPr="007F1CAA">
            <w:rPr>
              <w:bCs/>
              <w:color w:val="000000"/>
              <w:vertAlign w:val="superscript"/>
            </w:rPr>
            <w:footnoteReference w:id="23"/>
          </w:r>
          <w:r w:rsidRPr="007F1CAA">
            <w:rPr>
              <w:bCs/>
              <w:color w:val="000000"/>
            </w:rPr>
            <w:t xml:space="preserve"> These governing strategies can be understood as </w:t>
          </w:r>
          <w:r w:rsidRPr="007F1CAA">
            <w:rPr>
              <w:bCs/>
            </w:rPr>
            <w:t>producing</w:t>
          </w:r>
          <w:r w:rsidRPr="007F1CAA">
            <w:rPr>
              <w:bCs/>
              <w:color w:val="000000"/>
            </w:rPr>
            <w:t xml:space="preserve"> prisoners as governable subjects.</w:t>
          </w:r>
          <w:r w:rsidRPr="007F1CAA">
            <w:rPr>
              <w:bCs/>
              <w:color w:val="000000"/>
              <w:vertAlign w:val="superscript"/>
            </w:rPr>
            <w:footnoteReference w:id="24"/>
          </w:r>
          <w:r w:rsidRPr="007F1CAA">
            <w:rPr>
              <w:bCs/>
              <w:color w:val="000000"/>
            </w:rPr>
            <w:t xml:space="preserve"> </w:t>
          </w:r>
        </w:p>
        <w:p w14:paraId="00000018" w14:textId="59736A68" w:rsidR="00985107" w:rsidRPr="007F1CAA" w:rsidRDefault="00A1537F" w:rsidP="00080569">
          <w:pPr>
            <w:pBdr>
              <w:top w:val="nil"/>
              <w:left w:val="nil"/>
              <w:bottom w:val="nil"/>
              <w:right w:val="nil"/>
              <w:between w:val="nil"/>
            </w:pBdr>
            <w:spacing w:after="0" w:line="480" w:lineRule="auto"/>
            <w:ind w:firstLine="720"/>
            <w:jc w:val="both"/>
            <w:rPr>
              <w:bCs/>
              <w:color w:val="000000"/>
            </w:rPr>
          </w:pPr>
        </w:p>
      </w:sdtContent>
    </w:sdt>
    <w:sdt>
      <w:sdtPr>
        <w:rPr>
          <w:bCs/>
        </w:rPr>
        <w:tag w:val="goog_rdk_30"/>
        <w:id w:val="1051814758"/>
      </w:sdtPr>
      <w:sdtContent>
        <w:p w14:paraId="7276EE63" w14:textId="77777777" w:rsidR="004C36D4"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Prisons, then, are deeply gendered institutions that enforce a gender binary and perpetuate heteronormative </w:t>
          </w:r>
          <w:sdt>
            <w:sdtPr>
              <w:rPr>
                <w:bCs/>
              </w:rPr>
              <w:tag w:val="goog_rdk_28"/>
              <w:id w:val="-1956621882"/>
            </w:sdtPr>
            <w:sdtContent/>
          </w:sdt>
          <w:sdt>
            <w:sdtPr>
              <w:rPr>
                <w:bCs/>
              </w:rPr>
              <w:tag w:val="goog_rdk_29"/>
              <w:id w:val="1849295707"/>
            </w:sdtPr>
            <w:sdtContent/>
          </w:sdt>
          <w:r w:rsidRPr="007F1CAA">
            <w:rPr>
              <w:bCs/>
              <w:color w:val="000000"/>
            </w:rPr>
            <w:t>gender performativity.</w:t>
          </w:r>
          <w:r w:rsidRPr="007F1CAA">
            <w:rPr>
              <w:bCs/>
              <w:color w:val="000000"/>
              <w:vertAlign w:val="superscript"/>
            </w:rPr>
            <w:footnoteReference w:id="25"/>
          </w:r>
          <w:r w:rsidRPr="007F1CAA">
            <w:rPr>
              <w:bCs/>
              <w:color w:val="000000"/>
            </w:rPr>
            <w:t xml:space="preserve"> Judith Butler highlights that gender is a performative rather than an expressive act.</w:t>
          </w:r>
          <w:r w:rsidRPr="007F1CAA">
            <w:rPr>
              <w:bCs/>
              <w:color w:val="000000"/>
              <w:vertAlign w:val="superscript"/>
            </w:rPr>
            <w:footnoteReference w:id="26"/>
          </w:r>
          <w:r w:rsidRPr="007F1CAA">
            <w:rPr>
              <w:bCs/>
              <w:color w:val="000000"/>
            </w:rPr>
            <w:t xml:space="preserve"> It is continuously produced through repetition/variation of the gendered self within the constraints of discursive practices that produce binary dominant gender ideals and</w:t>
          </w:r>
          <w:r w:rsidR="004C36D4" w:rsidRPr="007F1CAA">
            <w:rPr>
              <w:bCs/>
              <w:color w:val="000000"/>
            </w:rPr>
            <w:t>,</w:t>
          </w:r>
          <w:r w:rsidRPr="007F1CAA">
            <w:rPr>
              <w:bCs/>
              <w:color w:val="000000"/>
            </w:rPr>
            <w:t xml:space="preserve"> at the same time</w:t>
          </w:r>
          <w:r w:rsidR="004C36D4" w:rsidRPr="007F1CAA">
            <w:rPr>
              <w:bCs/>
              <w:color w:val="000000"/>
            </w:rPr>
            <w:t>,</w:t>
          </w:r>
          <w:r w:rsidRPr="007F1CAA">
            <w:rPr>
              <w:bCs/>
              <w:color w:val="000000"/>
            </w:rPr>
            <w:t xml:space="preserve"> obscure their derivative origin.</w:t>
          </w:r>
          <w:r w:rsidRPr="007F1CAA">
            <w:rPr>
              <w:bCs/>
              <w:color w:val="000000"/>
              <w:vertAlign w:val="superscript"/>
            </w:rPr>
            <w:footnoteReference w:id="27"/>
          </w:r>
          <w:r w:rsidRPr="007F1CAA">
            <w:rPr>
              <w:bCs/>
              <w:color w:val="000000"/>
            </w:rPr>
            <w:t xml:space="preserve"> Prisons reflect </w:t>
          </w:r>
          <w:r w:rsidR="004C36D4" w:rsidRPr="007F1CAA">
            <w:rPr>
              <w:bCs/>
              <w:color w:val="000000"/>
            </w:rPr>
            <w:t>“</w:t>
          </w:r>
          <w:r w:rsidRPr="007F1CAA">
            <w:rPr>
              <w:bCs/>
              <w:color w:val="000000"/>
            </w:rPr>
            <w:t>a hyper expression of traditional gender roles</w:t>
          </w:r>
          <w:r w:rsidR="004C36D4" w:rsidRPr="007F1CAA">
            <w:rPr>
              <w:bCs/>
              <w:color w:val="000000"/>
            </w:rPr>
            <w:t>.”</w:t>
          </w:r>
          <w:r w:rsidRPr="007F1CAA">
            <w:rPr>
              <w:bCs/>
              <w:color w:val="000000"/>
              <w:vertAlign w:val="superscript"/>
            </w:rPr>
            <w:footnoteReference w:id="28"/>
          </w:r>
          <w:r w:rsidRPr="007F1CAA">
            <w:rPr>
              <w:bCs/>
              <w:color w:val="000000"/>
            </w:rPr>
            <w:t xml:space="preserve"> Men</w:t>
          </w:r>
          <w:r w:rsidR="004C36D4" w:rsidRPr="007F1CAA">
            <w:rPr>
              <w:bCs/>
              <w:color w:val="000000"/>
            </w:rPr>
            <w:t>’</w:t>
          </w:r>
          <w:r w:rsidRPr="007F1CAA">
            <w:rPr>
              <w:bCs/>
              <w:color w:val="000000"/>
            </w:rPr>
            <w:t>s prisons are characterized by a hypermasculine environment in which a degree of violence and aggression is deemed acceptable or an unavoidable part of prison culture for men.</w:t>
          </w:r>
          <w:r w:rsidRPr="007F1CAA">
            <w:rPr>
              <w:bCs/>
              <w:color w:val="000000"/>
              <w:vertAlign w:val="superscript"/>
            </w:rPr>
            <w:footnoteReference w:id="29"/>
          </w:r>
          <w:r w:rsidRPr="007F1CAA">
            <w:rPr>
              <w:bCs/>
              <w:color w:val="000000"/>
            </w:rPr>
            <w:t xml:space="preserve"> This in turn facilitates violence against prisoners by officers </w:t>
          </w:r>
          <w:r w:rsidR="004C36D4" w:rsidRPr="007F1CAA">
            <w:rPr>
              <w:bCs/>
              <w:color w:val="000000"/>
            </w:rPr>
            <w:t>–</w:t>
          </w:r>
          <w:r w:rsidRPr="007F1CAA">
            <w:rPr>
              <w:bCs/>
              <w:color w:val="000000"/>
            </w:rPr>
            <w:t xml:space="preserve"> and also violence between prisoners for transgressions </w:t>
          </w:r>
          <w:r w:rsidRPr="007F1CAA">
            <w:rPr>
              <w:bCs/>
              <w:color w:val="000000"/>
            </w:rPr>
            <w:lastRenderedPageBreak/>
            <w:t>from the hypermasculine performance.</w:t>
          </w:r>
          <w:r w:rsidRPr="007F1CAA">
            <w:rPr>
              <w:bCs/>
              <w:color w:val="000000"/>
              <w:vertAlign w:val="superscript"/>
            </w:rPr>
            <w:footnoteReference w:id="30"/>
          </w:r>
          <w:r w:rsidRPr="007F1CAA">
            <w:rPr>
              <w:bCs/>
              <w:color w:val="000000"/>
            </w:rPr>
            <w:t xml:space="preserve"> Gender normative masculinity in prison perpetuates a heterosexist environment in which homophobia, transphobia and misogyny are amplified.</w:t>
          </w:r>
        </w:p>
        <w:p w14:paraId="00000019" w14:textId="6F6435F5"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 </w:t>
          </w:r>
        </w:p>
      </w:sdtContent>
    </w:sdt>
    <w:sdt>
      <w:sdtPr>
        <w:rPr>
          <w:bCs/>
        </w:rPr>
        <w:tag w:val="goog_rdk_35"/>
        <w:id w:val="1702816006"/>
      </w:sdtPr>
      <w:sdtContent>
        <w:p w14:paraId="57C1052F" w14:textId="77777777" w:rsidR="004C36D4"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 Women's imprisonment, in contrast, is characterised by numerous contradictory discourses that require women to be both </w:t>
          </w:r>
          <w:r w:rsidR="004C36D4" w:rsidRPr="007F1CAA">
            <w:rPr>
              <w:bCs/>
              <w:color w:val="000000"/>
            </w:rPr>
            <w:t>“</w:t>
          </w:r>
          <w:r w:rsidRPr="007F1CAA">
            <w:rPr>
              <w:bCs/>
              <w:color w:val="000000"/>
            </w:rPr>
            <w:t>in control</w:t>
          </w:r>
          <w:r w:rsidR="004C36D4" w:rsidRPr="007F1CAA">
            <w:rPr>
              <w:bCs/>
              <w:color w:val="000000"/>
            </w:rPr>
            <w:t>”</w:t>
          </w:r>
          <w:r w:rsidRPr="007F1CAA">
            <w:rPr>
              <w:bCs/>
              <w:color w:val="000000"/>
            </w:rPr>
            <w:t xml:space="preserve"> (e.g. coping and caring) and </w:t>
          </w:r>
          <w:r w:rsidR="004C36D4" w:rsidRPr="007F1CAA">
            <w:rPr>
              <w:bCs/>
              <w:color w:val="000000"/>
            </w:rPr>
            <w:t>“</w:t>
          </w:r>
          <w:r w:rsidRPr="007F1CAA">
            <w:rPr>
              <w:bCs/>
              <w:color w:val="000000"/>
            </w:rPr>
            <w:t>out of control</w:t>
          </w:r>
          <w:r w:rsidR="004C36D4" w:rsidRPr="007F1CAA">
            <w:rPr>
              <w:bCs/>
              <w:color w:val="000000"/>
            </w:rPr>
            <w:t>”</w:t>
          </w:r>
          <w:r w:rsidRPr="007F1CAA">
            <w:rPr>
              <w:bCs/>
              <w:color w:val="000000"/>
            </w:rPr>
            <w:t xml:space="preserve"> (e.g. in need of protection).</w:t>
          </w:r>
          <w:r w:rsidRPr="007F1CAA">
            <w:rPr>
              <w:bCs/>
              <w:color w:val="000000"/>
              <w:vertAlign w:val="superscript"/>
            </w:rPr>
            <w:footnoteReference w:id="31"/>
          </w:r>
          <w:r w:rsidRPr="007F1CAA">
            <w:rPr>
              <w:bCs/>
              <w:color w:val="000000"/>
            </w:rPr>
            <w:t xml:space="preserve"> Women</w:t>
          </w:r>
          <w:r w:rsidR="004C36D4" w:rsidRPr="007F1CAA">
            <w:rPr>
              <w:bCs/>
              <w:color w:val="000000"/>
            </w:rPr>
            <w:t>’</w:t>
          </w:r>
          <w:r w:rsidRPr="007F1CAA">
            <w:rPr>
              <w:bCs/>
              <w:color w:val="000000"/>
            </w:rPr>
            <w:t>s prisons are constructed as spaces of “feminine” passivity, dependence and emotion, with gender-nonconformity amongst women seen as evidence of their delinquency.</w:t>
          </w:r>
          <w:r w:rsidRPr="007F1CAA">
            <w:rPr>
              <w:bCs/>
              <w:color w:val="000000"/>
              <w:vertAlign w:val="superscript"/>
            </w:rPr>
            <w:footnoteReference w:id="32"/>
          </w:r>
          <w:r w:rsidRPr="007F1CAA">
            <w:rPr>
              <w:bCs/>
              <w:color w:val="000000"/>
            </w:rPr>
            <w:t xml:space="preserve">  Consequently, women and /or gender non-</w:t>
          </w:r>
          <w:sdt>
            <w:sdtPr>
              <w:rPr>
                <w:bCs/>
              </w:rPr>
              <w:tag w:val="goog_rdk_31"/>
              <w:id w:val="1817458442"/>
            </w:sdtPr>
            <w:sdtContent/>
          </w:sdt>
          <w:sdt>
            <w:sdtPr>
              <w:rPr>
                <w:bCs/>
              </w:rPr>
              <w:tag w:val="goog_rdk_32"/>
              <w:id w:val="-751813513"/>
            </w:sdtPr>
            <w:sdtContent/>
          </w:sdt>
          <w:r w:rsidRPr="007F1CAA">
            <w:rPr>
              <w:bCs/>
              <w:color w:val="000000"/>
            </w:rPr>
            <w:t>conforming prisoners are</w:t>
          </w:r>
          <w:r w:rsidRPr="007F1CAA">
            <w:rPr>
              <w:bCs/>
            </w:rPr>
            <w:t xml:space="preserve"> considered to violate normative femininity</w:t>
          </w:r>
          <w:r w:rsidRPr="007F1CAA">
            <w:rPr>
              <w:bCs/>
              <w:color w:val="000000"/>
            </w:rPr>
            <w:t xml:space="preserve"> and</w:t>
          </w:r>
          <w:r w:rsidR="004C36D4" w:rsidRPr="007F1CAA">
            <w:rPr>
              <w:bCs/>
              <w:color w:val="000000"/>
            </w:rPr>
            <w:t>,</w:t>
          </w:r>
          <w:r w:rsidRPr="007F1CAA">
            <w:rPr>
              <w:bCs/>
              <w:color w:val="000000"/>
            </w:rPr>
            <w:t xml:space="preserve"> therefore</w:t>
          </w:r>
          <w:r w:rsidR="004C36D4" w:rsidRPr="007F1CAA">
            <w:rPr>
              <w:bCs/>
              <w:color w:val="000000"/>
            </w:rPr>
            <w:t>,</w:t>
          </w:r>
          <w:r w:rsidRPr="007F1CAA">
            <w:rPr>
              <w:bCs/>
              <w:color w:val="000000"/>
            </w:rPr>
            <w:t xml:space="preserve"> </w:t>
          </w:r>
          <w:r w:rsidRPr="007F1CAA">
            <w:rPr>
              <w:bCs/>
            </w:rPr>
            <w:t xml:space="preserve">prisons function to “Discipline, </w:t>
          </w:r>
          <w:proofErr w:type="spellStart"/>
          <w:r w:rsidRPr="007F1CAA">
            <w:rPr>
              <w:bCs/>
            </w:rPr>
            <w:t>Infantalize</w:t>
          </w:r>
          <w:proofErr w:type="spellEnd"/>
          <w:r w:rsidRPr="007F1CAA">
            <w:rPr>
              <w:bCs/>
            </w:rPr>
            <w:t>, Feminize, Medicalize and Domesticize</w:t>
          </w:r>
          <w:r w:rsidR="004C36D4" w:rsidRPr="007F1CAA">
            <w:rPr>
              <w:bCs/>
            </w:rPr>
            <w:t>.</w:t>
          </w:r>
          <w:r w:rsidRPr="007F1CAA">
            <w:rPr>
              <w:bCs/>
            </w:rPr>
            <w:t>”</w:t>
          </w:r>
          <w:r w:rsidRPr="007F1CAA">
            <w:rPr>
              <w:bCs/>
              <w:color w:val="000000"/>
              <w:vertAlign w:val="superscript"/>
            </w:rPr>
            <w:footnoteReference w:id="33"/>
          </w:r>
          <w:r w:rsidRPr="007F1CAA">
            <w:rPr>
              <w:bCs/>
              <w:color w:val="000000"/>
            </w:rPr>
            <w:t xml:space="preserve"> Whereas governance strategies </w:t>
          </w:r>
          <w:r w:rsidR="004C36D4" w:rsidRPr="007F1CAA">
            <w:rPr>
              <w:bCs/>
            </w:rPr>
            <w:t>–</w:t>
          </w:r>
          <w:r w:rsidRPr="007F1CAA">
            <w:rPr>
              <w:bCs/>
            </w:rPr>
            <w:t xml:space="preserve"> namely control, rehabilitation or normalisation -</w:t>
          </w:r>
          <w:r w:rsidRPr="007F1CAA">
            <w:rPr>
              <w:bCs/>
              <w:color w:val="000000"/>
            </w:rPr>
            <w:t xml:space="preserve"> for men who conform to the dominant ideals of masculinity are centred on their offending behaviour, the risk that they pose to society and the institution.</w:t>
          </w:r>
          <w:r w:rsidRPr="007F1CAA">
            <w:rPr>
              <w:bCs/>
            </w:rPr>
            <w:t xml:space="preserve"> </w:t>
          </w:r>
          <w:r w:rsidRPr="007F1CAA">
            <w:rPr>
              <w:bCs/>
              <w:color w:val="000000"/>
            </w:rPr>
            <w:t xml:space="preserve">These gendered governing strategies produce binary prisoner identities: the normal man versus the dangerous, disruptive, violent and </w:t>
          </w:r>
          <w:sdt>
            <w:sdtPr>
              <w:rPr>
                <w:bCs/>
              </w:rPr>
              <w:tag w:val="goog_rdk_33"/>
              <w:id w:val="-585150670"/>
            </w:sdtPr>
            <w:sdtContent/>
          </w:sdt>
          <w:sdt>
            <w:sdtPr>
              <w:rPr>
                <w:bCs/>
              </w:rPr>
              <w:tag w:val="goog_rdk_34"/>
              <w:id w:val="-1749723257"/>
            </w:sdtPr>
            <w:sdtContent/>
          </w:sdt>
          <w:r w:rsidRPr="007F1CAA">
            <w:rPr>
              <w:bCs/>
              <w:color w:val="000000"/>
            </w:rPr>
            <w:t>foreign man.</w:t>
          </w:r>
          <w:r w:rsidRPr="007F1CAA">
            <w:rPr>
              <w:bCs/>
              <w:color w:val="000000"/>
              <w:vertAlign w:val="superscript"/>
            </w:rPr>
            <w:footnoteReference w:id="34"/>
          </w:r>
          <w:r w:rsidRPr="007F1CAA">
            <w:rPr>
              <w:bCs/>
              <w:color w:val="000000"/>
            </w:rPr>
            <w:t xml:space="preserve"> These are still within the scope of possible identities within the hypermasculine imaginary of gender performance. More significantly for our analysis is the binary normal man versus the “difficult” Other, who is considered dangerous/risky as well as vulnerable.</w:t>
          </w:r>
          <w:r w:rsidRPr="007F1CAA">
            <w:rPr>
              <w:bCs/>
              <w:color w:val="000000"/>
              <w:vertAlign w:val="superscript"/>
            </w:rPr>
            <w:footnoteReference w:id="35"/>
          </w:r>
          <w:r w:rsidRPr="007F1CAA">
            <w:rPr>
              <w:bCs/>
              <w:color w:val="000000"/>
            </w:rPr>
            <w:t xml:space="preserve"> </w:t>
          </w:r>
        </w:p>
        <w:p w14:paraId="09B5EA35" w14:textId="77777777" w:rsidR="004C36D4" w:rsidRPr="007F1CAA" w:rsidRDefault="004C36D4" w:rsidP="00080569">
          <w:pPr>
            <w:pBdr>
              <w:top w:val="nil"/>
              <w:left w:val="nil"/>
              <w:bottom w:val="nil"/>
              <w:right w:val="nil"/>
              <w:between w:val="nil"/>
            </w:pBdr>
            <w:spacing w:after="0" w:line="480" w:lineRule="auto"/>
            <w:jc w:val="both"/>
            <w:rPr>
              <w:bCs/>
              <w:color w:val="000000"/>
            </w:rPr>
          </w:pPr>
        </w:p>
        <w:p w14:paraId="0000001A" w14:textId="22F0C4AD"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36"/>
        <w:id w:val="1280990291"/>
      </w:sdtPr>
      <w:sdtContent>
        <w:p w14:paraId="0000001B" w14:textId="62D22B87"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r>
          <w:r w:rsidRPr="007F1CAA">
            <w:rPr>
              <w:bCs/>
            </w:rPr>
            <w:t>LGBTIQ+</w:t>
          </w:r>
          <w:r w:rsidRPr="007F1CAA">
            <w:rPr>
              <w:bCs/>
              <w:color w:val="000000"/>
            </w:rPr>
            <w:t xml:space="preserve"> people in prison are othered to a degree through homogenization in two groups, sexual orientation and gender identity.</w:t>
          </w:r>
          <w:r w:rsidRPr="007F1CAA">
            <w:rPr>
              <w:bCs/>
              <w:color w:val="000000"/>
              <w:vertAlign w:val="superscript"/>
            </w:rPr>
            <w:footnoteReference w:id="36"/>
          </w:r>
          <w:r w:rsidRPr="007F1CAA">
            <w:rPr>
              <w:bCs/>
              <w:color w:val="000000"/>
            </w:rPr>
            <w:t xml:space="preserve"> Moreover the process involves the stripping away of intersected identities, such as race, class, age, disability.</w:t>
          </w:r>
          <w:r w:rsidRPr="007F1CAA">
            <w:rPr>
              <w:bCs/>
              <w:color w:val="000000"/>
              <w:vertAlign w:val="superscript"/>
            </w:rPr>
            <w:footnoteReference w:id="37"/>
          </w:r>
          <w:r w:rsidRPr="007F1CAA">
            <w:rPr>
              <w:bCs/>
              <w:color w:val="000000"/>
            </w:rPr>
            <w:t xml:space="preserve"> Trans</w:t>
          </w:r>
          <w:r w:rsidR="005774B6" w:rsidRPr="007F1CAA">
            <w:rPr>
              <w:bCs/>
              <w:color w:val="000000"/>
            </w:rPr>
            <w:t xml:space="preserve"> </w:t>
          </w:r>
          <w:r w:rsidRPr="007F1CAA">
            <w:rPr>
              <w:bCs/>
              <w:color w:val="000000"/>
            </w:rPr>
            <w:t>women/men who present in their chosen gender and genderfluid/non-binary people are extremely visible and subject to transphobia as well as enhanced governing strategies</w:t>
          </w:r>
          <w:r w:rsidR="000F4189" w:rsidRPr="007F1CAA">
            <w:rPr>
              <w:bCs/>
              <w:color w:val="000000"/>
            </w:rPr>
            <w:t>,</w:t>
          </w:r>
          <w:r w:rsidRPr="007F1CAA">
            <w:rPr>
              <w:bCs/>
              <w:color w:val="000000"/>
              <w:vertAlign w:val="superscript"/>
            </w:rPr>
            <w:footnoteReference w:id="38"/>
          </w:r>
          <w:r w:rsidRPr="007F1CAA">
            <w:rPr>
              <w:bCs/>
              <w:color w:val="000000"/>
            </w:rPr>
            <w:t xml:space="preserve"> </w:t>
          </w:r>
          <w:r w:rsidR="000F4189" w:rsidRPr="007F1CAA">
            <w:rPr>
              <w:bCs/>
              <w:color w:val="000000"/>
            </w:rPr>
            <w:t>w</w:t>
          </w:r>
          <w:r w:rsidRPr="007F1CAA">
            <w:rPr>
              <w:bCs/>
              <w:color w:val="000000"/>
            </w:rPr>
            <w:t>hereas queer people may feel unsafe to be open about their sexuality. In all cases</w:t>
          </w:r>
          <w:r w:rsidR="000F4189" w:rsidRPr="007F1CAA">
            <w:rPr>
              <w:bCs/>
              <w:color w:val="000000"/>
            </w:rPr>
            <w:t>,</w:t>
          </w:r>
          <w:r w:rsidRPr="007F1CAA">
            <w:rPr>
              <w:bCs/>
              <w:color w:val="000000"/>
            </w:rPr>
            <w:t xml:space="preserve"> the prison</w:t>
          </w:r>
          <w:r w:rsidR="000F4189" w:rsidRPr="007F1CAA">
            <w:rPr>
              <w:bCs/>
              <w:color w:val="000000"/>
            </w:rPr>
            <w:t>’</w:t>
          </w:r>
          <w:r w:rsidRPr="007F1CAA">
            <w:rPr>
              <w:bCs/>
              <w:color w:val="000000"/>
            </w:rPr>
            <w:t>s protective regimes operate on a spectrum of isolation from solitary confinement to Vulnerable Prisoner Units.</w:t>
          </w:r>
          <w:r w:rsidRPr="007F1CAA">
            <w:rPr>
              <w:bCs/>
              <w:color w:val="000000"/>
              <w:vertAlign w:val="superscript"/>
            </w:rPr>
            <w:footnoteReference w:id="39"/>
          </w:r>
          <w:r w:rsidRPr="007F1CAA">
            <w:rPr>
              <w:bCs/>
              <w:color w:val="000000"/>
            </w:rPr>
            <w:t xml:space="preserve"> All of these involve restrictions of access to exercise, association, work and education. Julia </w:t>
          </w:r>
          <w:proofErr w:type="spellStart"/>
          <w:r w:rsidRPr="007F1CAA">
            <w:rPr>
              <w:bCs/>
              <w:color w:val="000000"/>
            </w:rPr>
            <w:t>Oparah</w:t>
          </w:r>
          <w:proofErr w:type="spellEnd"/>
          <w:r w:rsidRPr="007F1CAA">
            <w:rPr>
              <w:bCs/>
              <w:color w:val="000000"/>
            </w:rPr>
            <w:t xml:space="preserve"> in her analysis that disrupts the fixed category of woman through a</w:t>
          </w:r>
          <w:r w:rsidR="005774B6" w:rsidRPr="007F1CAA">
            <w:rPr>
              <w:bCs/>
              <w:color w:val="000000"/>
            </w:rPr>
            <w:t>n</w:t>
          </w:r>
          <w:r w:rsidRPr="007F1CAA">
            <w:rPr>
              <w:bCs/>
              <w:color w:val="000000"/>
            </w:rPr>
            <w:t xml:space="preserve"> “anti-racist” gender queer framework, writes that the prison’s rigid gender binary forces trans/gender non-conforming people to </w:t>
          </w:r>
          <w:r w:rsidR="000F4189" w:rsidRPr="007F1CAA">
            <w:rPr>
              <w:bCs/>
              <w:color w:val="000000"/>
            </w:rPr>
            <w:t>“</w:t>
          </w:r>
          <w:r w:rsidRPr="007F1CAA">
            <w:rPr>
              <w:bCs/>
              <w:color w:val="000000"/>
            </w:rPr>
            <w:t>inhabit a gender identity that [they] had rejected as a fundamental part of their sense of selfhood</w:t>
          </w:r>
          <w:r w:rsidR="000F4189" w:rsidRPr="007F1CAA">
            <w:rPr>
              <w:bCs/>
              <w:color w:val="000000"/>
            </w:rPr>
            <w:t>.”</w:t>
          </w:r>
          <w:r w:rsidRPr="007F1CAA">
            <w:rPr>
              <w:bCs/>
              <w:color w:val="000000"/>
              <w:vertAlign w:val="superscript"/>
            </w:rPr>
            <w:footnoteReference w:id="40"/>
          </w:r>
          <w:r w:rsidRPr="007F1CAA">
            <w:rPr>
              <w:bCs/>
              <w:color w:val="000000"/>
            </w:rPr>
            <w:t xml:space="preserve"> Through her nuanced framework she draws out the intersectional experiences of race, class and gender non-conformity of incarceration in a rigid binary system.</w:t>
          </w:r>
          <w:r w:rsidRPr="007F1CAA">
            <w:rPr>
              <w:bCs/>
              <w:color w:val="000000"/>
              <w:vertAlign w:val="superscript"/>
            </w:rPr>
            <w:footnoteReference w:id="41"/>
          </w:r>
        </w:p>
      </w:sdtContent>
    </w:sdt>
    <w:sdt>
      <w:sdtPr>
        <w:rPr>
          <w:bCs/>
        </w:rPr>
        <w:tag w:val="goog_rdk_39"/>
        <w:id w:val="-176342418"/>
      </w:sdtPr>
      <w:sdtContent>
        <w:p w14:paraId="38C4CA8B" w14:textId="77777777" w:rsidR="000F4189"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r>
        </w:p>
        <w:p w14:paraId="32C7AC7D" w14:textId="77777777" w:rsidR="006F7CD5" w:rsidRPr="007F1CAA" w:rsidRDefault="00411C03" w:rsidP="000F4189">
          <w:pPr>
            <w:pBdr>
              <w:top w:val="nil"/>
              <w:left w:val="nil"/>
              <w:bottom w:val="nil"/>
              <w:right w:val="nil"/>
              <w:between w:val="nil"/>
            </w:pBdr>
            <w:spacing w:after="0" w:line="480" w:lineRule="auto"/>
            <w:ind w:firstLine="720"/>
            <w:jc w:val="both"/>
            <w:rPr>
              <w:bCs/>
              <w:color w:val="000000"/>
            </w:rPr>
          </w:pPr>
          <w:r w:rsidRPr="007F1CAA">
            <w:rPr>
              <w:bCs/>
              <w:color w:val="000000"/>
            </w:rPr>
            <w:t xml:space="preserve">The prison represents a site of coercion in particular for people with fluid gender identities and sexualities, who experience </w:t>
          </w:r>
          <w:sdt>
            <w:sdtPr>
              <w:rPr>
                <w:bCs/>
              </w:rPr>
              <w:tag w:val="goog_rdk_37"/>
              <w:id w:val="1024438008"/>
            </w:sdtPr>
            <w:sdtContent/>
          </w:sdt>
          <w:sdt>
            <w:sdtPr>
              <w:rPr>
                <w:bCs/>
              </w:rPr>
              <w:tag w:val="goog_rdk_38"/>
              <w:id w:val="-790283073"/>
            </w:sdtPr>
            <w:sdtContent/>
          </w:sdt>
          <w:r w:rsidRPr="007F1CAA">
            <w:rPr>
              <w:bCs/>
              <w:color w:val="000000"/>
            </w:rPr>
            <w:t>violent and coercive hostility. Gail Mason</w:t>
          </w:r>
          <w:r w:rsidR="006F7CD5" w:rsidRPr="007F1CAA">
            <w:rPr>
              <w:bCs/>
              <w:color w:val="000000"/>
            </w:rPr>
            <w:t>,</w:t>
          </w:r>
          <w:r w:rsidRPr="007F1CAA">
            <w:rPr>
              <w:bCs/>
              <w:color w:val="000000"/>
            </w:rPr>
            <w:t xml:space="preserve"> in her study on homophobic violence writes that homophobic-related violence is distinct from </w:t>
          </w:r>
          <w:r w:rsidRPr="007F1CAA">
            <w:rPr>
              <w:bCs/>
              <w:color w:val="000000"/>
            </w:rPr>
            <w:lastRenderedPageBreak/>
            <w:t>gendered violence.</w:t>
          </w:r>
          <w:r w:rsidRPr="007F1CAA">
            <w:rPr>
              <w:bCs/>
              <w:color w:val="000000"/>
              <w:vertAlign w:val="superscript"/>
            </w:rPr>
            <w:footnoteReference w:id="42"/>
          </w:r>
          <w:r w:rsidRPr="007F1CAA">
            <w:rPr>
              <w:bCs/>
              <w:color w:val="000000"/>
            </w:rPr>
            <w:t xml:space="preserve"> It can be understood as </w:t>
          </w:r>
          <w:r w:rsidRPr="007F1CAA">
            <w:rPr>
              <w:bCs/>
            </w:rPr>
            <w:t>violence that not only affects queer people’s everyday practices for avoiding harm, but also “knowledge systems through which we construct and recognise sexual identities</w:t>
          </w:r>
          <w:r w:rsidR="006F7CD5" w:rsidRPr="007F1CAA">
            <w:rPr>
              <w:bCs/>
            </w:rPr>
            <w:t>.</w:t>
          </w:r>
          <w:r w:rsidRPr="007F1CAA">
            <w:rPr>
              <w:bCs/>
            </w:rPr>
            <w:t>”</w:t>
          </w:r>
          <w:r w:rsidRPr="007F1CAA">
            <w:rPr>
              <w:bCs/>
              <w:color w:val="000000"/>
              <w:vertAlign w:val="superscript"/>
            </w:rPr>
            <w:footnoteReference w:id="43"/>
          </w:r>
          <w:r w:rsidRPr="007F1CAA">
            <w:rPr>
              <w:bCs/>
              <w:color w:val="000000"/>
              <w:vertAlign w:val="superscript"/>
            </w:rPr>
            <w:t xml:space="preserve"> </w:t>
          </w:r>
          <w:r w:rsidRPr="007F1CAA">
            <w:rPr>
              <w:bCs/>
            </w:rPr>
            <w:t xml:space="preserve"> In her analysis of the interrelationship of power and violence, she finds that power relations that produce exclusionary regimes centred on gender, sexuality, race (and gender identity) are constitutive of violence.</w:t>
          </w:r>
          <w:r w:rsidRPr="007F1CAA">
            <w:rPr>
              <w:bCs/>
              <w:vertAlign w:val="superscript"/>
            </w:rPr>
            <w:footnoteReference w:id="44"/>
          </w:r>
          <w:r w:rsidRPr="007F1CAA">
            <w:rPr>
              <w:bCs/>
            </w:rPr>
            <w:t xml:space="preserve"> Q</w:t>
          </w:r>
          <w:r w:rsidRPr="007F1CAA">
            <w:rPr>
              <w:bCs/>
              <w:color w:val="000000"/>
            </w:rPr>
            <w:t xml:space="preserve">ueer and gender fluid people challenge these binary gendered governing strategies and the biological determinism implicit in the structure of imprisonment. </w:t>
          </w:r>
        </w:p>
        <w:p w14:paraId="0000001C" w14:textId="7EC04FF0" w:rsidR="00985107" w:rsidRPr="007F1CAA" w:rsidRDefault="00A1537F" w:rsidP="000F4189">
          <w:pPr>
            <w:pBdr>
              <w:top w:val="nil"/>
              <w:left w:val="nil"/>
              <w:bottom w:val="nil"/>
              <w:right w:val="nil"/>
              <w:between w:val="nil"/>
            </w:pBdr>
            <w:spacing w:after="0" w:line="480" w:lineRule="auto"/>
            <w:ind w:firstLine="720"/>
            <w:jc w:val="both"/>
            <w:rPr>
              <w:bCs/>
              <w:color w:val="000000"/>
            </w:rPr>
          </w:pPr>
        </w:p>
      </w:sdtContent>
    </w:sdt>
    <w:sdt>
      <w:sdtPr>
        <w:rPr>
          <w:bCs/>
        </w:rPr>
        <w:tag w:val="goog_rdk_42"/>
        <w:id w:val="-64888407"/>
      </w:sdtPr>
      <w:sdtContent>
        <w:p w14:paraId="0000001D" w14:textId="3C3CDF1F" w:rsidR="00985107" w:rsidRPr="007F1CAA" w:rsidRDefault="00411C03" w:rsidP="006F7CD5">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 xml:space="preserve">It is important to note that prisoners’ </w:t>
          </w:r>
          <w:sdt>
            <w:sdtPr>
              <w:rPr>
                <w:bCs/>
              </w:rPr>
              <w:tag w:val="goog_rdk_40"/>
              <w:id w:val="-503741529"/>
            </w:sdtPr>
            <w:sdtContent/>
          </w:sdt>
          <w:sdt>
            <w:sdtPr>
              <w:rPr>
                <w:bCs/>
              </w:rPr>
              <w:tag w:val="goog_rdk_41"/>
              <w:id w:val="-165487038"/>
            </w:sdtPr>
            <w:sdtContent/>
          </w:sdt>
          <w:r w:rsidRPr="007F1CAA">
            <w:rPr>
              <w:bCs/>
              <w:color w:val="000000"/>
            </w:rPr>
            <w:t xml:space="preserve">subjectivity is contested in prison. </w:t>
          </w:r>
          <w:r w:rsidRPr="007F1CAA">
            <w:rPr>
              <w:bCs/>
            </w:rPr>
            <w:t>People in prison</w:t>
          </w:r>
          <w:r w:rsidRPr="007F1CAA">
            <w:rPr>
              <w:bCs/>
              <w:color w:val="000000"/>
            </w:rPr>
            <w:t xml:space="preserve"> negotiate power relations within the institution through a sense of self that is formed outside and reflects wider social constructions of gender, race, class, sexuality, gender identity, disability and age.</w:t>
          </w:r>
          <w:r w:rsidRPr="007F1CAA">
            <w:rPr>
              <w:bCs/>
              <w:color w:val="000000"/>
              <w:vertAlign w:val="superscript"/>
            </w:rPr>
            <w:footnoteReference w:id="45"/>
          </w:r>
          <w:r w:rsidRPr="007F1CAA">
            <w:rPr>
              <w:bCs/>
              <w:color w:val="000000"/>
            </w:rPr>
            <w:t xml:space="preserve"> Exposed to asymmetric power relations, they nevertheless engage in everyday struggles with other prisoners and staff over food, exercise, visits, and association to retain a degree of choice and autonomy.</w:t>
          </w:r>
          <w:r w:rsidRPr="007F1CAA">
            <w:rPr>
              <w:bCs/>
              <w:color w:val="000000"/>
              <w:vertAlign w:val="superscript"/>
            </w:rPr>
            <w:footnoteReference w:id="46"/>
          </w:r>
          <w:r w:rsidRPr="007F1CAA">
            <w:rPr>
              <w:bCs/>
              <w:color w:val="000000"/>
            </w:rPr>
            <w:t xml:space="preserve"> Queer prisoners engage in hidden resistance practices that challenge the heteronormative subject prisoner to create better alternative subject positions.</w:t>
          </w:r>
          <w:r w:rsidRPr="007F1CAA">
            <w:rPr>
              <w:bCs/>
              <w:color w:val="000000"/>
              <w:vertAlign w:val="superscript"/>
            </w:rPr>
            <w:footnoteReference w:id="47"/>
          </w:r>
          <w:r w:rsidRPr="007F1CAA">
            <w:rPr>
              <w:bCs/>
              <w:color w:val="000000"/>
            </w:rPr>
            <w:t xml:space="preserve"> Within the context of penal governing strategies</w:t>
          </w:r>
          <w:r w:rsidR="006F7CD5" w:rsidRPr="007F1CAA">
            <w:rPr>
              <w:bCs/>
              <w:color w:val="000000"/>
            </w:rPr>
            <w:t>,</w:t>
          </w:r>
          <w:r w:rsidRPr="007F1CAA">
            <w:rPr>
              <w:bCs/>
              <w:color w:val="000000"/>
            </w:rPr>
            <w:t xml:space="preserve"> this resistant subjectivity is conceived as a paradox, both vulnerable and threatening. This paradox in turn produces varieties of exclusion for queer prisoners that will be explored in the following section. </w:t>
          </w:r>
        </w:p>
      </w:sdtContent>
    </w:sdt>
    <w:sdt>
      <w:sdtPr>
        <w:rPr>
          <w:bCs/>
        </w:rPr>
        <w:tag w:val="goog_rdk_43"/>
        <w:id w:val="2077083746"/>
      </w:sdtPr>
      <w:sdtContent>
        <w:p w14:paraId="0000001E" w14:textId="77777777"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rFonts w:ascii="Times New Roman" w:hAnsi="Times New Roman" w:cs="Times New Roman"/>
          <w:bCs/>
          <w:sz w:val="24"/>
          <w:szCs w:val="24"/>
        </w:rPr>
        <w:tag w:val="goog_rdk_44"/>
        <w:id w:val="-1037118124"/>
      </w:sdtPr>
      <w:sdtContent>
        <w:p w14:paraId="0000001F" w14:textId="08B1AD9D" w:rsidR="00985107" w:rsidRPr="007F1CAA" w:rsidRDefault="006F7CD5" w:rsidP="006F7CD5">
          <w:pPr>
            <w:pStyle w:val="Heading3"/>
            <w:pBdr>
              <w:top w:val="nil"/>
            </w:pBdr>
            <w:spacing w:before="0" w:after="0" w:line="480" w:lineRule="auto"/>
            <w:jc w:val="center"/>
            <w:rPr>
              <w:rFonts w:ascii="Times New Roman" w:eastAsia="Times New Roman" w:hAnsi="Times New Roman" w:cs="Times New Roman"/>
              <w:bCs/>
              <w:sz w:val="24"/>
              <w:szCs w:val="24"/>
            </w:rPr>
          </w:pPr>
          <w:r w:rsidRPr="007F1CAA">
            <w:rPr>
              <w:rFonts w:ascii="Times New Roman" w:hAnsi="Times New Roman" w:cs="Times New Roman"/>
              <w:b/>
              <w:sz w:val="24"/>
              <w:szCs w:val="24"/>
            </w:rPr>
            <w:t xml:space="preserve">II. </w:t>
          </w:r>
          <w:r w:rsidR="00411C03" w:rsidRPr="007F1CAA">
            <w:rPr>
              <w:rFonts w:ascii="Times New Roman" w:eastAsia="Times New Roman" w:hAnsi="Times New Roman" w:cs="Times New Roman"/>
              <w:b/>
              <w:sz w:val="24"/>
              <w:szCs w:val="24"/>
            </w:rPr>
            <w:t>Varieties of exclusion</w:t>
          </w:r>
        </w:p>
      </w:sdtContent>
    </w:sdt>
    <w:sdt>
      <w:sdtPr>
        <w:rPr>
          <w:bCs/>
        </w:rPr>
        <w:tag w:val="goog_rdk_45"/>
        <w:id w:val="43952144"/>
      </w:sdtPr>
      <w:sdtContent>
        <w:p w14:paraId="6C7B2A9C" w14:textId="77777777" w:rsidR="006F7CD5" w:rsidRPr="007F1CAA" w:rsidRDefault="006F7CD5" w:rsidP="00080569">
          <w:pPr>
            <w:pBdr>
              <w:top w:val="nil"/>
              <w:left w:val="nil"/>
              <w:bottom w:val="nil"/>
              <w:right w:val="nil"/>
              <w:between w:val="nil"/>
            </w:pBdr>
            <w:tabs>
              <w:tab w:val="left" w:pos="1408"/>
            </w:tabs>
            <w:spacing w:after="0" w:line="480" w:lineRule="auto"/>
            <w:jc w:val="both"/>
            <w:rPr>
              <w:bCs/>
            </w:rPr>
          </w:pPr>
        </w:p>
        <w:p w14:paraId="0CDA7E76" w14:textId="77777777" w:rsidR="006F7CD5" w:rsidRPr="007F1CAA" w:rsidRDefault="00411C03" w:rsidP="00080569">
          <w:pPr>
            <w:pBdr>
              <w:top w:val="nil"/>
              <w:left w:val="nil"/>
              <w:bottom w:val="nil"/>
              <w:right w:val="nil"/>
              <w:between w:val="nil"/>
            </w:pBdr>
            <w:tabs>
              <w:tab w:val="left" w:pos="1408"/>
            </w:tabs>
            <w:spacing w:after="0" w:line="480" w:lineRule="auto"/>
            <w:jc w:val="both"/>
            <w:rPr>
              <w:bCs/>
              <w:color w:val="000000"/>
            </w:rPr>
          </w:pPr>
          <w:r w:rsidRPr="007F1CAA">
            <w:rPr>
              <w:bCs/>
              <w:color w:val="000000"/>
            </w:rPr>
            <w:t>Queer prisoners are doubly excluded in prison. Due to the forced gender binary together with high prevalence of homophobia and transphobia predominantly in men</w:t>
          </w:r>
          <w:r w:rsidR="006F7CD5" w:rsidRPr="007F1CAA">
            <w:rPr>
              <w:bCs/>
              <w:color w:val="000000"/>
            </w:rPr>
            <w:t>’</w:t>
          </w:r>
          <w:r w:rsidRPr="007F1CAA">
            <w:rPr>
              <w:bCs/>
              <w:color w:val="000000"/>
            </w:rPr>
            <w:t>s prisons but not exclusively, many queer prisoners are faced with either keeping their identities hidden or being exposed to ridicule, bullying and harassment.</w:t>
          </w:r>
          <w:r w:rsidRPr="007F1CAA">
            <w:rPr>
              <w:bCs/>
              <w:color w:val="000000"/>
              <w:vertAlign w:val="superscript"/>
            </w:rPr>
            <w:footnoteReference w:id="48"/>
          </w:r>
          <w:r w:rsidRPr="007F1CAA">
            <w:rPr>
              <w:bCs/>
              <w:color w:val="000000"/>
            </w:rPr>
            <w:t xml:space="preserve"> This has been highlighted as a </w:t>
          </w:r>
          <w:r w:rsidRPr="007F1CAA">
            <w:rPr>
              <w:bCs/>
            </w:rPr>
            <w:t>“</w:t>
          </w:r>
          <w:r w:rsidRPr="007F1CAA">
            <w:rPr>
              <w:bCs/>
              <w:color w:val="000000"/>
            </w:rPr>
            <w:t>cycle of invisibility</w:t>
          </w:r>
          <w:r w:rsidRPr="007F1CAA">
            <w:rPr>
              <w:bCs/>
            </w:rPr>
            <w:t>”</w:t>
          </w:r>
          <w:r w:rsidRPr="007F1CAA">
            <w:rPr>
              <w:bCs/>
              <w:color w:val="000000"/>
            </w:rPr>
            <w:t xml:space="preserve"> that exposes them to further risks and harms.</w:t>
          </w:r>
          <w:r w:rsidRPr="007F1CAA">
            <w:rPr>
              <w:bCs/>
              <w:color w:val="000000"/>
              <w:vertAlign w:val="superscript"/>
            </w:rPr>
            <w:footnoteReference w:id="49"/>
          </w:r>
        </w:p>
        <w:p w14:paraId="00000020" w14:textId="4A53D335" w:rsidR="00985107" w:rsidRPr="007F1CAA" w:rsidRDefault="00A1537F" w:rsidP="00080569">
          <w:pPr>
            <w:pBdr>
              <w:top w:val="nil"/>
              <w:left w:val="nil"/>
              <w:bottom w:val="nil"/>
              <w:right w:val="nil"/>
              <w:between w:val="nil"/>
            </w:pBdr>
            <w:tabs>
              <w:tab w:val="left" w:pos="1408"/>
            </w:tabs>
            <w:spacing w:after="0" w:line="480" w:lineRule="auto"/>
            <w:jc w:val="both"/>
            <w:rPr>
              <w:bCs/>
              <w:color w:val="000000"/>
            </w:rPr>
          </w:pPr>
        </w:p>
      </w:sdtContent>
    </w:sdt>
    <w:sdt>
      <w:sdtPr>
        <w:rPr>
          <w:bCs/>
        </w:rPr>
        <w:tag w:val="goog_rdk_46"/>
        <w:id w:val="-712731428"/>
      </w:sdtPr>
      <w:sdtContent>
        <w:p w14:paraId="00000021" w14:textId="77777777"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In this part of the chapter we explore how the law on prisoners’ rights reinforces gender-normative and heteronormative conceptions through the multiple manifestations of exclusion of queer prisoners: gender recognition: the systemic exclusions of transgender identities; isolation of visible and vulnerable queer prisoners; heightened surveillance of long</w:t>
          </w:r>
          <w:r w:rsidRPr="007F1CAA">
            <w:rPr>
              <w:bCs/>
            </w:rPr>
            <w:t xml:space="preserve"> </w:t>
          </w:r>
          <w:r w:rsidRPr="007F1CAA">
            <w:rPr>
              <w:bCs/>
              <w:color w:val="000000"/>
            </w:rPr>
            <w:t>term relationships.</w:t>
          </w:r>
        </w:p>
      </w:sdtContent>
    </w:sdt>
    <w:sdt>
      <w:sdtPr>
        <w:rPr>
          <w:bCs/>
        </w:rPr>
        <w:tag w:val="goog_rdk_47"/>
        <w:id w:val="380826278"/>
        <w:showingPlcHdr/>
      </w:sdtPr>
      <w:sdtContent>
        <w:p w14:paraId="00000022" w14:textId="65B1ED52" w:rsidR="00985107" w:rsidRPr="007F1CAA" w:rsidRDefault="00490AF1" w:rsidP="00080569">
          <w:pPr>
            <w:keepNext/>
            <w:pBdr>
              <w:top w:val="nil"/>
              <w:left w:val="nil"/>
              <w:bottom w:val="nil"/>
              <w:right w:val="nil"/>
              <w:between w:val="nil"/>
            </w:pBdr>
            <w:tabs>
              <w:tab w:val="left" w:pos="1408"/>
            </w:tabs>
            <w:spacing w:after="0" w:line="480" w:lineRule="auto"/>
            <w:jc w:val="both"/>
            <w:rPr>
              <w:bCs/>
              <w:color w:val="000000"/>
            </w:rPr>
          </w:pPr>
          <w:r>
            <w:rPr>
              <w:bCs/>
            </w:rPr>
            <w:t xml:space="preserve">     </w:t>
          </w:r>
        </w:p>
      </w:sdtContent>
    </w:sdt>
    <w:bookmarkStart w:id="0" w:name="_heading=h.30j0zll" w:colFirst="0" w:colLast="0" w:displacedByCustomXml="next"/>
    <w:bookmarkEnd w:id="0" w:displacedByCustomXml="next"/>
    <w:sdt>
      <w:sdtPr>
        <w:rPr>
          <w:rFonts w:ascii="Times New Roman" w:eastAsia="Times New Roman" w:hAnsi="Times New Roman" w:cs="Times New Roman"/>
          <w:b w:val="0"/>
          <w:bCs/>
          <w:color w:val="auto"/>
          <w:sz w:val="24"/>
          <w:szCs w:val="24"/>
        </w:rPr>
        <w:tag w:val="goog_rdk_48"/>
        <w:id w:val="1150478826"/>
      </w:sdtPr>
      <w:sdtEndPr>
        <w:rPr>
          <w:b/>
        </w:rPr>
      </w:sdtEndPr>
      <w:sdtContent>
        <w:p w14:paraId="0671ABF4" w14:textId="77777777" w:rsidR="006F7CD5" w:rsidRPr="007F1CAA" w:rsidRDefault="006F7CD5" w:rsidP="006F7CD5">
          <w:pPr>
            <w:pStyle w:val="Heading2"/>
            <w:spacing w:line="480" w:lineRule="auto"/>
            <w:jc w:val="both"/>
            <w:rPr>
              <w:rFonts w:ascii="Times New Roman" w:eastAsia="Times New Roman" w:hAnsi="Times New Roman" w:cs="Times New Roman"/>
              <w:b w:val="0"/>
              <w:bCs/>
              <w:sz w:val="24"/>
              <w:szCs w:val="24"/>
            </w:rPr>
          </w:pPr>
          <w:r w:rsidRPr="007F1CAA">
            <w:rPr>
              <w:rFonts w:ascii="Times New Roman" w:hAnsi="Times New Roman" w:cs="Times New Roman"/>
              <w:b w:val="0"/>
              <w:bCs/>
              <w:sz w:val="24"/>
              <w:szCs w:val="24"/>
            </w:rPr>
            <w:t xml:space="preserve">A. </w:t>
          </w:r>
          <w:r w:rsidR="00411C03" w:rsidRPr="007F1CAA">
            <w:rPr>
              <w:rFonts w:ascii="Times New Roman" w:eastAsia="Times New Roman" w:hAnsi="Times New Roman" w:cs="Times New Roman"/>
              <w:b w:val="0"/>
              <w:bCs/>
              <w:sz w:val="24"/>
              <w:szCs w:val="24"/>
            </w:rPr>
            <w:t>Gender recognition: the systemic exclusions of transgender identities</w:t>
          </w:r>
        </w:p>
        <w:p w14:paraId="00000023" w14:textId="61048BBD" w:rsidR="00985107" w:rsidRPr="007F1CAA" w:rsidRDefault="00A1537F" w:rsidP="006F7CD5"/>
      </w:sdtContent>
    </w:sdt>
    <w:sdt>
      <w:sdtPr>
        <w:rPr>
          <w:bCs/>
        </w:rPr>
        <w:tag w:val="goog_rdk_49"/>
        <w:id w:val="-1540654793"/>
      </w:sdtPr>
      <w:sdtContent>
        <w:p w14:paraId="32AB7651" w14:textId="77777777" w:rsidR="006F7CD5" w:rsidRPr="007F1CAA" w:rsidRDefault="00411C03" w:rsidP="006F7CD5">
          <w:pPr>
            <w:pBdr>
              <w:top w:val="nil"/>
              <w:left w:val="nil"/>
              <w:bottom w:val="nil"/>
              <w:right w:val="nil"/>
              <w:between w:val="nil"/>
            </w:pBdr>
            <w:spacing w:after="0" w:line="480" w:lineRule="auto"/>
            <w:ind w:firstLine="720"/>
            <w:jc w:val="both"/>
            <w:rPr>
              <w:bCs/>
            </w:rPr>
          </w:pPr>
          <w:r w:rsidRPr="007F1CAA">
            <w:rPr>
              <w:bCs/>
            </w:rPr>
            <w:t>Concerted efforts have been made to advance the inclusion of transgender and more fluid identities within society. However, existing legal approaches continue to ostracize these identities in various ways. For example, transgender and gender non-conforming identities are consistently excluded from entering into some conventional societal practices that are freely undertaken by their cis counterparts</w:t>
          </w:r>
          <w:r w:rsidR="006F7CD5" w:rsidRPr="007F1CAA">
            <w:rPr>
              <w:bCs/>
            </w:rPr>
            <w:t>,</w:t>
          </w:r>
          <w:r w:rsidRPr="007F1CAA">
            <w:rPr>
              <w:bCs/>
            </w:rPr>
            <w:t xml:space="preserve"> such as sexual based intimacy and family life.</w:t>
          </w:r>
          <w:r w:rsidRPr="007F1CAA">
            <w:rPr>
              <w:bCs/>
              <w:vertAlign w:val="superscript"/>
            </w:rPr>
            <w:footnoteReference w:id="50"/>
          </w:r>
          <w:r w:rsidRPr="007F1CAA">
            <w:rPr>
              <w:bCs/>
            </w:rPr>
            <w:t xml:space="preserve"> This is </w:t>
          </w:r>
          <w:r w:rsidRPr="007F1CAA">
            <w:rPr>
              <w:bCs/>
            </w:rPr>
            <w:lastRenderedPageBreak/>
            <w:t>driven by the common law appropriation of biology and anatomy as the standard by which to privilege those identities it deems worthy of inclusion; simultaneously eschewing those identities deemed less worth of inclusion to the periphery of the legal conscience.</w:t>
          </w:r>
          <w:r w:rsidRPr="007F1CAA">
            <w:rPr>
              <w:bCs/>
              <w:vertAlign w:val="superscript"/>
            </w:rPr>
            <w:footnoteReference w:id="51"/>
          </w:r>
          <w:r w:rsidRPr="007F1CAA">
            <w:rPr>
              <w:bCs/>
            </w:rPr>
            <w:t xml:space="preserve"> </w:t>
          </w:r>
        </w:p>
        <w:p w14:paraId="00000024" w14:textId="5AD82FB7" w:rsidR="00985107" w:rsidRPr="007F1CAA" w:rsidRDefault="00A1537F" w:rsidP="006F7CD5">
          <w:pPr>
            <w:pBdr>
              <w:top w:val="nil"/>
              <w:left w:val="nil"/>
              <w:bottom w:val="nil"/>
              <w:right w:val="nil"/>
              <w:between w:val="nil"/>
            </w:pBdr>
            <w:spacing w:after="0" w:line="480" w:lineRule="auto"/>
            <w:ind w:firstLine="720"/>
            <w:jc w:val="both"/>
            <w:rPr>
              <w:bCs/>
            </w:rPr>
          </w:pPr>
        </w:p>
      </w:sdtContent>
    </w:sdt>
    <w:sdt>
      <w:sdtPr>
        <w:rPr>
          <w:bCs/>
        </w:rPr>
        <w:tag w:val="goog_rdk_50"/>
        <w:id w:val="1203752968"/>
      </w:sdtPr>
      <w:sdtContent>
        <w:p w14:paraId="00000025" w14:textId="660E8D22" w:rsidR="00985107" w:rsidRPr="007F1CAA" w:rsidRDefault="00411C03" w:rsidP="00B55343">
          <w:pPr>
            <w:pBdr>
              <w:top w:val="nil"/>
              <w:left w:val="nil"/>
              <w:bottom w:val="nil"/>
              <w:right w:val="nil"/>
              <w:between w:val="nil"/>
            </w:pBdr>
            <w:spacing w:after="0" w:line="480" w:lineRule="auto"/>
            <w:ind w:firstLine="720"/>
            <w:jc w:val="both"/>
            <w:rPr>
              <w:bCs/>
            </w:rPr>
          </w:pPr>
          <w:r w:rsidRPr="007F1CAA">
            <w:rPr>
              <w:bCs/>
            </w:rPr>
            <w:t>The law’s failure to accommodate the needs of transgender people within wider society is amplified in the context of the prison</w:t>
          </w:r>
          <w:r w:rsidR="006F7CD5" w:rsidRPr="007F1CAA">
            <w:rPr>
              <w:bCs/>
            </w:rPr>
            <w:t>,</w:t>
          </w:r>
          <w:r w:rsidRPr="007F1CAA">
            <w:rPr>
              <w:bCs/>
            </w:rPr>
            <w:t xml:space="preserve"> due to the hypervisibility of transgender prisoners and</w:t>
          </w:r>
          <w:r w:rsidR="006F7CD5" w:rsidRPr="007F1CAA">
            <w:rPr>
              <w:bCs/>
            </w:rPr>
            <w:t xml:space="preserve">, </w:t>
          </w:r>
          <w:r w:rsidRPr="007F1CAA">
            <w:rPr>
              <w:bCs/>
            </w:rPr>
            <w:t>consequently</w:t>
          </w:r>
          <w:r w:rsidR="006F7CD5" w:rsidRPr="007F1CAA">
            <w:rPr>
              <w:bCs/>
            </w:rPr>
            <w:t>,</w:t>
          </w:r>
          <w:r w:rsidRPr="007F1CAA">
            <w:rPr>
              <w:bCs/>
            </w:rPr>
            <w:t xml:space="preserve"> their heightened vulnerability within the prison environment.</w:t>
          </w:r>
          <w:r w:rsidRPr="007F1CAA">
            <w:rPr>
              <w:bCs/>
              <w:vertAlign w:val="superscript"/>
            </w:rPr>
            <w:footnoteReference w:id="52"/>
          </w:r>
          <w:r w:rsidR="006F7CD5" w:rsidRPr="007F1CAA">
            <w:rPr>
              <w:bCs/>
            </w:rPr>
            <w:t xml:space="preserve"> </w:t>
          </w:r>
          <w:r w:rsidRPr="007F1CAA">
            <w:rPr>
              <w:bCs/>
            </w:rPr>
            <w:t>Transgender prisoners are exposed to heightened levels of vulnerability within the prison because their gender expression digresses from the heteronormative prison environment.</w:t>
          </w:r>
          <w:r w:rsidRPr="007F1CAA">
            <w:rPr>
              <w:bCs/>
              <w:vertAlign w:val="superscript"/>
            </w:rPr>
            <w:footnoteReference w:id="53"/>
          </w:r>
          <w:r w:rsidRPr="007F1CAA">
            <w:rPr>
              <w:bCs/>
            </w:rPr>
            <w:t xml:space="preserve"> As a site, the prison has legitimized the exposure of transgender prisoners to an increased hybrid visibility-vulnerability because it places restrictions upon such items supporting inmates’ gender expression as this section will discuss.</w:t>
          </w:r>
          <w:r w:rsidRPr="007F1CAA">
            <w:rPr>
              <w:bCs/>
              <w:vertAlign w:val="superscript"/>
            </w:rPr>
            <w:footnoteReference w:id="54"/>
          </w:r>
          <w:r w:rsidRPr="007F1CAA">
            <w:rPr>
              <w:bCs/>
            </w:rPr>
            <w:t xml:space="preserve"> Although</w:t>
          </w:r>
          <w:r w:rsidR="009C7CF7" w:rsidRPr="007F1CAA">
            <w:rPr>
              <w:bCs/>
            </w:rPr>
            <w:t xml:space="preserve"> p</w:t>
          </w:r>
          <w:r w:rsidRPr="007F1CAA">
            <w:rPr>
              <w:bCs/>
            </w:rPr>
            <w:t>rison guidelines state</w:t>
          </w:r>
          <w:r w:rsidR="009C7CF7" w:rsidRPr="007F1CAA">
            <w:rPr>
              <w:bCs/>
            </w:rPr>
            <w:t xml:space="preserve"> that “</w:t>
          </w:r>
          <w:r w:rsidR="009C7CF7" w:rsidRPr="007F1CAA">
            <w:t>[a]</w:t>
          </w:r>
          <w:proofErr w:type="spellStart"/>
          <w:r w:rsidR="009C7CF7" w:rsidRPr="007F1CAA">
            <w:t>ll</w:t>
          </w:r>
          <w:proofErr w:type="spellEnd"/>
          <w:r w:rsidR="009C7CF7" w:rsidRPr="007F1CAA">
            <w:t xml:space="preserve"> individuals in our care must be supported to express the gender with which they identify”, </w:t>
          </w:r>
          <w:r w:rsidRPr="007F1CAA">
            <w:rPr>
              <w:bCs/>
            </w:rPr>
            <w:t>Emerton identifies the significant barriers hindering access to specific healthcare for transgender prisoners.</w:t>
          </w:r>
          <w:r w:rsidRPr="007F1CAA">
            <w:rPr>
              <w:bCs/>
              <w:vertAlign w:val="superscript"/>
            </w:rPr>
            <w:footnoteReference w:id="55"/>
          </w:r>
          <w:r w:rsidRPr="007F1CAA">
            <w:rPr>
              <w:bCs/>
            </w:rPr>
            <w:t xml:space="preserve"> Thus, in providing only formal access to these essential services, prisons can be said to increase the visibility of transgender prisoners and</w:t>
          </w:r>
          <w:r w:rsidR="005B50D5" w:rsidRPr="007F1CAA">
            <w:rPr>
              <w:bCs/>
            </w:rPr>
            <w:t>,</w:t>
          </w:r>
          <w:r w:rsidRPr="007F1CAA">
            <w:rPr>
              <w:bCs/>
            </w:rPr>
            <w:t xml:space="preserve"> thus</w:t>
          </w:r>
          <w:r w:rsidR="005B50D5" w:rsidRPr="007F1CAA">
            <w:rPr>
              <w:bCs/>
            </w:rPr>
            <w:t>,</w:t>
          </w:r>
          <w:r w:rsidRPr="007F1CAA">
            <w:rPr>
              <w:bCs/>
            </w:rPr>
            <w:t xml:space="preserve"> exacerbate their pre-existing vulnerabilities because “they do not conform to the dictates of an extremely heteronormative and masculinist environment</w:t>
          </w:r>
          <w:r w:rsidR="005B50D5" w:rsidRPr="007F1CAA">
            <w:rPr>
              <w:bCs/>
            </w:rPr>
            <w:t>.”</w:t>
          </w:r>
          <w:r w:rsidRPr="007F1CAA">
            <w:rPr>
              <w:bCs/>
              <w:vertAlign w:val="superscript"/>
            </w:rPr>
            <w:footnoteReference w:id="56"/>
          </w:r>
          <w:r w:rsidRPr="007F1CAA">
            <w:rPr>
              <w:bCs/>
            </w:rPr>
            <w:t xml:space="preserve"> </w:t>
          </w:r>
        </w:p>
      </w:sdtContent>
    </w:sdt>
    <w:sdt>
      <w:sdtPr>
        <w:rPr>
          <w:bCs/>
        </w:rPr>
        <w:tag w:val="goog_rdk_51"/>
        <w:id w:val="-1939667001"/>
      </w:sdtPr>
      <w:sdtContent>
        <w:p w14:paraId="31EA5059" w14:textId="051927E6" w:rsidR="00B55343" w:rsidRPr="007F1CAA" w:rsidRDefault="00411C03" w:rsidP="00B55343">
          <w:pPr>
            <w:pBdr>
              <w:top w:val="nil"/>
              <w:left w:val="nil"/>
              <w:bottom w:val="nil"/>
              <w:right w:val="nil"/>
              <w:between w:val="nil"/>
            </w:pBdr>
            <w:spacing w:after="0" w:line="480" w:lineRule="auto"/>
            <w:ind w:firstLine="720"/>
            <w:jc w:val="both"/>
            <w:rPr>
              <w:bCs/>
            </w:rPr>
          </w:pPr>
          <w:r w:rsidRPr="007F1CAA">
            <w:rPr>
              <w:bCs/>
            </w:rPr>
            <w:t>The exclusionary jurisprudential approach towards criminalised transgender people and those with more fluid gender identities can be traced back to the common law prior to the enforcement of the Human Rights Act 1998.</w:t>
          </w:r>
          <w:r w:rsidRPr="007F1CAA">
            <w:rPr>
              <w:bCs/>
              <w:vertAlign w:val="superscript"/>
            </w:rPr>
            <w:footnoteReference w:id="57"/>
          </w:r>
          <w:r w:rsidRPr="007F1CAA">
            <w:rPr>
              <w:bCs/>
            </w:rPr>
            <w:t xml:space="preserve"> The Court of Appeal decision in </w:t>
          </w:r>
          <w:r w:rsidRPr="007F1CAA">
            <w:rPr>
              <w:bCs/>
              <w:i/>
              <w:iCs/>
            </w:rPr>
            <w:t xml:space="preserve">Regina </w:t>
          </w:r>
          <w:r w:rsidR="00F1413A" w:rsidRPr="007F1CAA">
            <w:rPr>
              <w:bCs/>
              <w:i/>
              <w:iCs/>
            </w:rPr>
            <w:t>v</w:t>
          </w:r>
          <w:r w:rsidRPr="007F1CAA">
            <w:rPr>
              <w:bCs/>
              <w:i/>
              <w:iCs/>
            </w:rPr>
            <w:t xml:space="preserve"> Frederick William Harris</w:t>
          </w:r>
          <w:r w:rsidRPr="007F1CAA">
            <w:rPr>
              <w:bCs/>
            </w:rPr>
            <w:t xml:space="preserve"> illustrates the judiciary’s historically </w:t>
          </w:r>
          <w:proofErr w:type="spellStart"/>
          <w:r w:rsidRPr="007F1CAA">
            <w:rPr>
              <w:bCs/>
            </w:rPr>
            <w:t>cisnormative</w:t>
          </w:r>
          <w:proofErr w:type="spellEnd"/>
          <w:r w:rsidRPr="007F1CAA">
            <w:rPr>
              <w:bCs/>
            </w:rPr>
            <w:t>, and exclusionary approach towards imprisonment.</w:t>
          </w:r>
          <w:r w:rsidRPr="007F1CAA">
            <w:rPr>
              <w:bCs/>
              <w:vertAlign w:val="superscript"/>
            </w:rPr>
            <w:footnoteReference w:id="58"/>
          </w:r>
          <w:r w:rsidRPr="007F1CAA">
            <w:rPr>
              <w:bCs/>
            </w:rPr>
            <w:t xml:space="preserve"> Harris concerned a transgender appellant who appealed their sentence for various fraudulent related offences.</w:t>
          </w:r>
          <w:r w:rsidRPr="007F1CAA">
            <w:rPr>
              <w:bCs/>
              <w:vertAlign w:val="superscript"/>
            </w:rPr>
            <w:footnoteReference w:id="59"/>
          </w:r>
          <w:r w:rsidRPr="007F1CAA">
            <w:rPr>
              <w:bCs/>
            </w:rPr>
            <w:t xml:space="preserve"> Initially, Justice Goddard accorded weight to the appellant’s distress and fear of potential attack should their gender history become known by their fellow inmates within the prison.</w:t>
          </w:r>
          <w:r w:rsidRPr="007F1CAA">
            <w:rPr>
              <w:bCs/>
              <w:vertAlign w:val="superscript"/>
            </w:rPr>
            <w:footnoteReference w:id="60"/>
          </w:r>
          <w:r w:rsidRPr="007F1CAA">
            <w:rPr>
              <w:bCs/>
            </w:rPr>
            <w:t xml:space="preserve"> In considering this, Justice Goddard allowed the defendant’s appeal and proposed that all prison sentences should run concurrently.</w:t>
          </w:r>
          <w:r w:rsidRPr="007F1CAA">
            <w:rPr>
              <w:bCs/>
              <w:vertAlign w:val="superscript"/>
            </w:rPr>
            <w:footnoteReference w:id="61"/>
          </w:r>
          <w:r w:rsidRPr="007F1CAA">
            <w:rPr>
              <w:bCs/>
            </w:rPr>
            <w:t xml:space="preserve"> </w:t>
          </w:r>
        </w:p>
        <w:p w14:paraId="00000026" w14:textId="57494BB5" w:rsidR="00985107" w:rsidRPr="007F1CAA" w:rsidRDefault="00A1537F" w:rsidP="00B55343">
          <w:pPr>
            <w:pBdr>
              <w:top w:val="nil"/>
              <w:left w:val="nil"/>
              <w:bottom w:val="nil"/>
              <w:right w:val="nil"/>
              <w:between w:val="nil"/>
            </w:pBdr>
            <w:spacing w:after="0" w:line="480" w:lineRule="auto"/>
            <w:ind w:firstLine="720"/>
            <w:jc w:val="both"/>
            <w:rPr>
              <w:bCs/>
            </w:rPr>
          </w:pPr>
        </w:p>
      </w:sdtContent>
    </w:sdt>
    <w:sdt>
      <w:sdtPr>
        <w:rPr>
          <w:bCs/>
        </w:rPr>
        <w:tag w:val="goog_rdk_52"/>
        <w:id w:val="1101065543"/>
      </w:sdtPr>
      <w:sdtContent>
        <w:p w14:paraId="00000027" w14:textId="44B155E3" w:rsidR="00985107" w:rsidRPr="007F1CAA" w:rsidRDefault="00411C03" w:rsidP="00080569">
          <w:pPr>
            <w:pBdr>
              <w:top w:val="nil"/>
              <w:left w:val="nil"/>
              <w:bottom w:val="nil"/>
              <w:right w:val="nil"/>
              <w:between w:val="nil"/>
            </w:pBdr>
            <w:spacing w:after="0" w:line="480" w:lineRule="auto"/>
            <w:ind w:firstLine="720"/>
            <w:jc w:val="both"/>
            <w:rPr>
              <w:bCs/>
            </w:rPr>
          </w:pPr>
          <w:r w:rsidRPr="007F1CAA">
            <w:rPr>
              <w:bCs/>
            </w:rPr>
            <w:t xml:space="preserve">While the judgment in </w:t>
          </w:r>
          <w:r w:rsidRPr="007F1CAA">
            <w:rPr>
              <w:bCs/>
              <w:i/>
              <w:iCs/>
            </w:rPr>
            <w:t>Harris</w:t>
          </w:r>
          <w:r w:rsidRPr="007F1CAA">
            <w:rPr>
              <w:bCs/>
            </w:rPr>
            <w:t xml:space="preserve"> may appear to reflect an enlightened and progressive perspective, in merely providing a concurrent sentence</w:t>
          </w:r>
          <w:r w:rsidR="0033717A" w:rsidRPr="007F1CAA">
            <w:rPr>
              <w:bCs/>
            </w:rPr>
            <w:t>,</w:t>
          </w:r>
          <w:r w:rsidRPr="007F1CAA">
            <w:rPr>
              <w:bCs/>
            </w:rPr>
            <w:t xml:space="preserve"> Justice Goddard failed to give full consideration to the prison as enforcing the “hyper expression of traditional gender roles</w:t>
          </w:r>
          <w:r w:rsidR="0033717A" w:rsidRPr="007F1CAA">
            <w:rPr>
              <w:bCs/>
            </w:rPr>
            <w:t>.</w:t>
          </w:r>
          <w:r w:rsidRPr="007F1CAA">
            <w:rPr>
              <w:bCs/>
            </w:rPr>
            <w:t>”</w:t>
          </w:r>
          <w:r w:rsidRPr="007F1CAA">
            <w:rPr>
              <w:bCs/>
              <w:vertAlign w:val="superscript"/>
            </w:rPr>
            <w:footnoteReference w:id="62"/>
          </w:r>
          <w:r w:rsidRPr="007F1CAA">
            <w:rPr>
              <w:bCs/>
            </w:rPr>
            <w:t xml:space="preserve"> Accordingly, the judge failed to reflect properly on the well-documented nature of the prison as a site endorsing violence and exclusion specifically for transgender people. In failing to critically reflect upon the suitability of the prison for the appellant in terms of their gender identity, the judgment simply privileged the “niceties of [law’s] internal structure and the beauty of its logical processes</w:t>
          </w:r>
          <w:r w:rsidR="0033717A" w:rsidRPr="007F1CAA">
            <w:rPr>
              <w:bCs/>
            </w:rPr>
            <w:t>.</w:t>
          </w:r>
          <w:r w:rsidRPr="007F1CAA">
            <w:rPr>
              <w:bCs/>
            </w:rPr>
            <w:t>”</w:t>
          </w:r>
          <w:r w:rsidRPr="007F1CAA">
            <w:rPr>
              <w:bCs/>
              <w:vertAlign w:val="superscript"/>
            </w:rPr>
            <w:footnoteReference w:id="63"/>
          </w:r>
          <w:r w:rsidRPr="007F1CAA">
            <w:rPr>
              <w:bCs/>
              <w:vertAlign w:val="superscript"/>
            </w:rPr>
            <w:t xml:space="preserve"> </w:t>
          </w:r>
          <w:r w:rsidRPr="007F1CAA">
            <w:rPr>
              <w:bCs/>
            </w:rPr>
            <w:t xml:space="preserve"> Thus, the judicial approach adopted in </w:t>
          </w:r>
          <w:r w:rsidRPr="007F1CAA">
            <w:rPr>
              <w:bCs/>
              <w:i/>
              <w:iCs/>
            </w:rPr>
            <w:t>Harris</w:t>
          </w:r>
          <w:r w:rsidRPr="007F1CAA">
            <w:rPr>
              <w:bCs/>
            </w:rPr>
            <w:t xml:space="preserve"> suggests that the law prioritises the prison system’s regulation of gender in the binary sense above supporting </w:t>
          </w:r>
          <w:r w:rsidRPr="007F1CAA">
            <w:rPr>
              <w:bCs/>
            </w:rPr>
            <w:lastRenderedPageBreak/>
            <w:t>the autonomy and welfare of transgender prisoners.</w:t>
          </w:r>
          <w:r w:rsidRPr="007F1CAA">
            <w:rPr>
              <w:bCs/>
              <w:vertAlign w:val="superscript"/>
            </w:rPr>
            <w:footnoteReference w:id="64"/>
          </w:r>
          <w:r w:rsidRPr="007F1CAA">
            <w:rPr>
              <w:bCs/>
            </w:rPr>
            <w:t xml:space="preserve"> In short, the judge gives precedence to the legal status quo above ensuring that the prison system can suitably accommodate the appellant.</w:t>
          </w:r>
        </w:p>
      </w:sdtContent>
    </w:sdt>
    <w:sdt>
      <w:sdtPr>
        <w:rPr>
          <w:bCs/>
        </w:rPr>
        <w:tag w:val="goog_rdk_53"/>
        <w:id w:val="-1496722557"/>
      </w:sdtPr>
      <w:sdtContent>
        <w:p w14:paraId="373AD78F" w14:textId="77777777" w:rsidR="0033717A" w:rsidRPr="007F1CAA" w:rsidRDefault="0033717A" w:rsidP="00080569">
          <w:pPr>
            <w:pBdr>
              <w:top w:val="nil"/>
              <w:left w:val="nil"/>
              <w:bottom w:val="nil"/>
              <w:right w:val="nil"/>
              <w:between w:val="nil"/>
            </w:pBdr>
            <w:spacing w:after="0" w:line="480" w:lineRule="auto"/>
            <w:ind w:firstLine="720"/>
            <w:jc w:val="both"/>
            <w:rPr>
              <w:bCs/>
            </w:rPr>
          </w:pPr>
        </w:p>
        <w:p w14:paraId="43087D36" w14:textId="37B85DC1" w:rsidR="0033717A" w:rsidRPr="007F1CAA" w:rsidRDefault="00411C03" w:rsidP="00080569">
          <w:pPr>
            <w:pBdr>
              <w:top w:val="nil"/>
              <w:left w:val="nil"/>
              <w:bottom w:val="nil"/>
              <w:right w:val="nil"/>
              <w:between w:val="nil"/>
            </w:pBdr>
            <w:spacing w:after="0" w:line="480" w:lineRule="auto"/>
            <w:ind w:firstLine="720"/>
            <w:jc w:val="both"/>
            <w:rPr>
              <w:bCs/>
            </w:rPr>
          </w:pPr>
          <w:r w:rsidRPr="007F1CAA">
            <w:rPr>
              <w:bCs/>
            </w:rPr>
            <w:t xml:space="preserve"> Further, the court </w:t>
          </w:r>
          <w:r w:rsidR="00F1413A" w:rsidRPr="007F1CAA">
            <w:rPr>
              <w:bCs/>
            </w:rPr>
            <w:t>diminishes</w:t>
          </w:r>
          <w:r w:rsidRPr="007F1CAA">
            <w:rPr>
              <w:bCs/>
            </w:rPr>
            <w:t xml:space="preserve"> the autonomy and welfare of transgender prisoners by emphasising the appellant’s gender identity as hindering the decision-making process.</w:t>
          </w:r>
          <w:r w:rsidRPr="007F1CAA">
            <w:rPr>
              <w:bCs/>
              <w:vertAlign w:val="superscript"/>
            </w:rPr>
            <w:footnoteReference w:id="65"/>
          </w:r>
          <w:r w:rsidRPr="007F1CAA">
            <w:rPr>
              <w:bCs/>
            </w:rPr>
            <w:t xml:space="preserve"> The judge problematized the gender identity of the appellant above</w:t>
          </w:r>
          <w:r w:rsidR="00F1413A" w:rsidRPr="007F1CAA">
            <w:rPr>
              <w:bCs/>
            </w:rPr>
            <w:t>,</w:t>
          </w:r>
          <w:r w:rsidRPr="007F1CAA">
            <w:rPr>
              <w:bCs/>
            </w:rPr>
            <w:t xml:space="preserve"> troubling the innate transphobia and homophobia of the prison environment.</w:t>
          </w:r>
          <w:r w:rsidRPr="007F1CAA">
            <w:rPr>
              <w:bCs/>
              <w:vertAlign w:val="superscript"/>
            </w:rPr>
            <w:footnoteReference w:id="66"/>
          </w:r>
          <w:r w:rsidRPr="007F1CAA">
            <w:rPr>
              <w:bCs/>
            </w:rPr>
            <w:t xml:space="preserve"> In preserving the use of imprisonment in this instance, the judge consciously exposed the appellant to multiple forms of exclusion and oppression within the prison</w:t>
          </w:r>
          <w:r w:rsidR="0033717A" w:rsidRPr="007F1CAA">
            <w:rPr>
              <w:bCs/>
            </w:rPr>
            <w:t>,</w:t>
          </w:r>
          <w:r w:rsidRPr="007F1CAA">
            <w:rPr>
              <w:bCs/>
            </w:rPr>
            <w:t xml:space="preserve"> such as; prejudice, discrimination, and violence.</w:t>
          </w:r>
          <w:r w:rsidRPr="007F1CAA">
            <w:rPr>
              <w:bCs/>
              <w:vertAlign w:val="superscript"/>
            </w:rPr>
            <w:footnoteReference w:id="67"/>
          </w:r>
          <w:r w:rsidRPr="007F1CAA">
            <w:rPr>
              <w:bCs/>
            </w:rPr>
            <w:t xml:space="preserve">  </w:t>
          </w:r>
        </w:p>
        <w:p w14:paraId="00000028" w14:textId="676C5BBE" w:rsidR="00985107" w:rsidRPr="007F1CAA" w:rsidRDefault="00A1537F" w:rsidP="00080569">
          <w:pPr>
            <w:pBdr>
              <w:top w:val="nil"/>
              <w:left w:val="nil"/>
              <w:bottom w:val="nil"/>
              <w:right w:val="nil"/>
              <w:between w:val="nil"/>
            </w:pBdr>
            <w:spacing w:after="0" w:line="480" w:lineRule="auto"/>
            <w:ind w:firstLine="720"/>
            <w:jc w:val="both"/>
            <w:rPr>
              <w:bCs/>
            </w:rPr>
          </w:pPr>
        </w:p>
      </w:sdtContent>
    </w:sdt>
    <w:sdt>
      <w:sdtPr>
        <w:rPr>
          <w:bCs/>
        </w:rPr>
        <w:tag w:val="goog_rdk_54"/>
        <w:id w:val="164762767"/>
      </w:sdtPr>
      <w:sdtContent>
        <w:p w14:paraId="6AC126ED" w14:textId="77777777" w:rsidR="0033717A" w:rsidRPr="007F1CAA" w:rsidRDefault="00411C03" w:rsidP="00080569">
          <w:pPr>
            <w:pBdr>
              <w:top w:val="nil"/>
              <w:left w:val="nil"/>
              <w:bottom w:val="nil"/>
              <w:right w:val="nil"/>
              <w:between w:val="nil"/>
            </w:pBdr>
            <w:spacing w:after="0" w:line="480" w:lineRule="auto"/>
            <w:jc w:val="both"/>
            <w:rPr>
              <w:bCs/>
            </w:rPr>
          </w:pPr>
          <w:r w:rsidRPr="007F1CAA">
            <w:rPr>
              <w:bCs/>
            </w:rPr>
            <w:tab/>
            <w:t>Although the judge was made aware of the defendant’s legitimate fears regarding the possibility of attack within the prison, she refrained from imposing a suspended prison sentence. The reluctance to provide the defendant with a suspended sentence arose despite the judge’s ability to access the doctrine of judicial notice.</w:t>
          </w:r>
          <w:r w:rsidRPr="007F1CAA">
            <w:rPr>
              <w:bCs/>
              <w:vertAlign w:val="superscript"/>
            </w:rPr>
            <w:footnoteReference w:id="68"/>
          </w:r>
          <w:r w:rsidRPr="007F1CAA">
            <w:rPr>
              <w:bCs/>
            </w:rPr>
            <w:t xml:space="preserve"> Although the ambit of judicial notice is unclear, Alex Sharpe argues that this rule would allow for judges to refer to the “well-documented pattern of discrimination and violence experienced by transgender and other gender non-conforming people” within their judgment.</w:t>
          </w:r>
          <w:r w:rsidRPr="007F1CAA">
            <w:rPr>
              <w:bCs/>
              <w:vertAlign w:val="superscript"/>
            </w:rPr>
            <w:footnoteReference w:id="69"/>
          </w:r>
          <w:r w:rsidRPr="007F1CAA">
            <w:rPr>
              <w:bCs/>
            </w:rPr>
            <w:t xml:space="preserve"> Such an approach could ensure that </w:t>
          </w:r>
          <w:r w:rsidRPr="007F1CAA">
            <w:rPr>
              <w:bCs/>
            </w:rPr>
            <w:lastRenderedPageBreak/>
            <w:t xml:space="preserve">the law protects people with more fluid gender identities from the well-evidenced violence of imprisonment by addressing their transgression of the law from within society rather than from within the confines of the prison. </w:t>
          </w:r>
        </w:p>
        <w:p w14:paraId="00000029" w14:textId="36F1867C"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55"/>
        <w:id w:val="1871267111"/>
      </w:sdtPr>
      <w:sdtContent>
        <w:p w14:paraId="09E87112" w14:textId="28271114" w:rsidR="0033717A" w:rsidRPr="007F1CAA" w:rsidRDefault="00411C03" w:rsidP="00080569">
          <w:pPr>
            <w:pBdr>
              <w:top w:val="nil"/>
              <w:left w:val="nil"/>
              <w:bottom w:val="nil"/>
              <w:right w:val="nil"/>
              <w:between w:val="nil"/>
            </w:pBdr>
            <w:spacing w:after="0" w:line="480" w:lineRule="auto"/>
            <w:jc w:val="both"/>
            <w:rPr>
              <w:bCs/>
            </w:rPr>
          </w:pPr>
          <w:r w:rsidRPr="007F1CAA">
            <w:rPr>
              <w:bCs/>
            </w:rPr>
            <w:tab/>
            <w:t xml:space="preserve">Instead, the judge in </w:t>
          </w:r>
          <w:r w:rsidRPr="007F1CAA">
            <w:rPr>
              <w:bCs/>
              <w:i/>
              <w:iCs/>
            </w:rPr>
            <w:t>Harris</w:t>
          </w:r>
          <w:r w:rsidRPr="007F1CAA">
            <w:rPr>
              <w:bCs/>
            </w:rPr>
            <w:t xml:space="preserve"> reified existing </w:t>
          </w:r>
          <w:proofErr w:type="spellStart"/>
          <w:r w:rsidRPr="007F1CAA">
            <w:rPr>
              <w:bCs/>
            </w:rPr>
            <w:t>cisnormative</w:t>
          </w:r>
          <w:proofErr w:type="spellEnd"/>
          <w:r w:rsidRPr="007F1CAA">
            <w:rPr>
              <w:bCs/>
            </w:rPr>
            <w:t xml:space="preserve"> approaches towards criminal justice. This is because the judge “bar[red] open inquiry [to] the normative desirability of alternative judicial decisions, and thus </w:t>
          </w:r>
          <w:proofErr w:type="spellStart"/>
          <w:r w:rsidRPr="007F1CAA">
            <w:rPr>
              <w:bCs/>
            </w:rPr>
            <w:t>naturaliz</w:t>
          </w:r>
          <w:proofErr w:type="spellEnd"/>
          <w:r w:rsidRPr="007F1CAA">
            <w:rPr>
              <w:bCs/>
            </w:rPr>
            <w:t>[e</w:t>
          </w:r>
          <w:r w:rsidR="00F1413A" w:rsidRPr="007F1CAA">
            <w:rPr>
              <w:bCs/>
            </w:rPr>
            <w:t>d</w:t>
          </w:r>
          <w:r w:rsidRPr="007F1CAA">
            <w:rPr>
              <w:bCs/>
            </w:rPr>
            <w:t>] contingent doctrinal choices</w:t>
          </w:r>
          <w:r w:rsidR="0033717A" w:rsidRPr="007F1CAA">
            <w:rPr>
              <w:bCs/>
            </w:rPr>
            <w:t>.</w:t>
          </w:r>
          <w:r w:rsidRPr="007F1CAA">
            <w:rPr>
              <w:bCs/>
            </w:rPr>
            <w:t>”</w:t>
          </w:r>
          <w:r w:rsidRPr="007F1CAA">
            <w:rPr>
              <w:bCs/>
              <w:vertAlign w:val="superscript"/>
            </w:rPr>
            <w:footnoteReference w:id="70"/>
          </w:r>
          <w:r w:rsidRPr="007F1CAA">
            <w:rPr>
              <w:bCs/>
            </w:rPr>
            <w:t xml:space="preserve"> Therefore, the failure to challenge the use of custodial sentences for queer prisoners resulted in the double-exclusion of the appellant from mainstream society and within the prison. Fundamentally, the decision in </w:t>
          </w:r>
          <w:r w:rsidRPr="007F1CAA">
            <w:rPr>
              <w:bCs/>
              <w:i/>
              <w:iCs/>
            </w:rPr>
            <w:t>Harris</w:t>
          </w:r>
          <w:r w:rsidRPr="007F1CAA">
            <w:rPr>
              <w:bCs/>
            </w:rPr>
            <w:t xml:space="preserve"> represents a missed opportunity to </w:t>
          </w:r>
          <w:r w:rsidR="00F1413A" w:rsidRPr="007F1CAA">
            <w:rPr>
              <w:bCs/>
            </w:rPr>
            <w:t xml:space="preserve">contest </w:t>
          </w:r>
          <w:r w:rsidRPr="007F1CAA">
            <w:rPr>
              <w:bCs/>
            </w:rPr>
            <w:t>gender-normative approaches to incarceration</w:t>
          </w:r>
          <w:r w:rsidR="0033717A" w:rsidRPr="007F1CAA">
            <w:rPr>
              <w:bCs/>
            </w:rPr>
            <w:t xml:space="preserve"> and criminal justice.</w:t>
          </w:r>
          <w:r w:rsidR="0033717A" w:rsidRPr="007F1CAA">
            <w:rPr>
              <w:bCs/>
              <w:vertAlign w:val="superscript"/>
            </w:rPr>
            <w:footnoteReference w:id="71"/>
          </w:r>
          <w:r w:rsidR="0033717A" w:rsidRPr="007F1CAA">
            <w:rPr>
              <w:bCs/>
            </w:rPr>
            <w:t xml:space="preserve"> </w:t>
          </w:r>
        </w:p>
        <w:p w14:paraId="0000002A" w14:textId="32F83BED"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56"/>
        <w:id w:val="-1359430324"/>
      </w:sdtPr>
      <w:sdtContent>
        <w:p w14:paraId="0000002B" w14:textId="59513CC0" w:rsidR="00985107" w:rsidRPr="007F1CAA" w:rsidRDefault="0033717A" w:rsidP="00080569">
          <w:pPr>
            <w:pBdr>
              <w:top w:val="nil"/>
              <w:left w:val="nil"/>
              <w:bottom w:val="nil"/>
              <w:right w:val="nil"/>
              <w:between w:val="nil"/>
            </w:pBdr>
            <w:spacing w:after="0" w:line="480" w:lineRule="auto"/>
            <w:jc w:val="both"/>
            <w:rPr>
              <w:bCs/>
            </w:rPr>
          </w:pPr>
          <w:r w:rsidRPr="007F1CAA">
            <w:rPr>
              <w:bCs/>
              <w:i/>
              <w:iCs/>
            </w:rPr>
            <w:t>(</w:t>
          </w:r>
          <w:proofErr w:type="spellStart"/>
          <w:r w:rsidRPr="007F1CAA">
            <w:rPr>
              <w:bCs/>
              <w:i/>
              <w:iCs/>
            </w:rPr>
            <w:t>i</w:t>
          </w:r>
          <w:proofErr w:type="spellEnd"/>
          <w:r w:rsidRPr="007F1CAA">
            <w:rPr>
              <w:bCs/>
              <w:i/>
              <w:iCs/>
            </w:rPr>
            <w:t xml:space="preserve">) </w:t>
          </w:r>
          <w:r w:rsidR="00411C03" w:rsidRPr="007F1CAA">
            <w:rPr>
              <w:bCs/>
              <w:i/>
              <w:iCs/>
            </w:rPr>
            <w:t>Permitting Prison Transfer: Lighting the Touch Paper for Inclusive Reform?</w:t>
          </w:r>
          <w:r w:rsidR="00411C03" w:rsidRPr="007F1CAA">
            <w:rPr>
              <w:bCs/>
            </w:rPr>
            <w:br/>
          </w:r>
          <w:r w:rsidR="00411C03" w:rsidRPr="007F1CAA">
            <w:rPr>
              <w:bCs/>
            </w:rPr>
            <w:br/>
            <w:t xml:space="preserve">More recent jurisprudence indicates the desire to promote the accommodation of transgender prisoners within the prison estate. In  </w:t>
          </w:r>
          <w:r w:rsidR="00411C03" w:rsidRPr="007F1CAA">
            <w:rPr>
              <w:bCs/>
              <w:i/>
              <w:iCs/>
            </w:rPr>
            <w:t>R (on the application of B) v Secretary of State for Justice (AB)</w:t>
          </w:r>
          <w:r w:rsidRPr="007F1CAA">
            <w:rPr>
              <w:bCs/>
            </w:rPr>
            <w:t xml:space="preserve">, </w:t>
          </w:r>
          <w:r w:rsidR="00411C03" w:rsidRPr="007F1CAA">
            <w:rPr>
              <w:bCs/>
            </w:rPr>
            <w:t>the High Court heard an application to challenge the decision denying the transfer of a transgender woman to the women’s prison estate.</w:t>
          </w:r>
          <w:r w:rsidR="00411C03" w:rsidRPr="007F1CAA">
            <w:rPr>
              <w:bCs/>
              <w:vertAlign w:val="superscript"/>
            </w:rPr>
            <w:footnoteReference w:id="72"/>
          </w:r>
          <w:r w:rsidR="00411C03" w:rsidRPr="007F1CAA">
            <w:rPr>
              <w:bCs/>
            </w:rPr>
            <w:t xml:space="preserve"> The applicant was a pre-operative transgender woman who was granted a Gender Recognition Certificate (GRC) in 2006 in line with the Gender Recognition Act (GRA) 2004.</w:t>
          </w:r>
          <w:r w:rsidR="00411C03" w:rsidRPr="007F1CAA">
            <w:rPr>
              <w:bCs/>
              <w:vertAlign w:val="superscript"/>
            </w:rPr>
            <w:footnoteReference w:id="73"/>
          </w:r>
          <w:r w:rsidR="00411C03" w:rsidRPr="007F1CAA">
            <w:rPr>
              <w:bCs/>
            </w:rPr>
            <w:t xml:space="preserve"> Despite legal recognition of her gender status, </w:t>
          </w:r>
          <w:r w:rsidR="00411C03" w:rsidRPr="007F1CAA">
            <w:rPr>
              <w:bCs/>
            </w:rPr>
            <w:lastRenderedPageBreak/>
            <w:t>her requests to be placed within a prison correlating with her gender status were denied.</w:t>
          </w:r>
          <w:r w:rsidR="00411C03" w:rsidRPr="007F1CAA">
            <w:rPr>
              <w:bCs/>
              <w:vertAlign w:val="superscript"/>
            </w:rPr>
            <w:t xml:space="preserve"> </w:t>
          </w:r>
          <w:r w:rsidR="00411C03" w:rsidRPr="007F1CAA">
            <w:rPr>
              <w:bCs/>
            </w:rPr>
            <w:t>The applicant’s transfer to the women’s prison estate was crucial in accessing a physical gender reassignment to support her gender transition. The Gender Identity Clinic would not approve gender reassignment surgery until the claimant could demonstrate that she had lived as a woman in a woman’s prison for 2 years.</w:t>
          </w:r>
          <w:r w:rsidR="00411C03" w:rsidRPr="007F1CAA">
            <w:rPr>
              <w:bCs/>
              <w:vertAlign w:val="superscript"/>
            </w:rPr>
            <w:footnoteReference w:id="74"/>
          </w:r>
          <w:r w:rsidR="00411C03" w:rsidRPr="007F1CAA">
            <w:rPr>
              <w:bCs/>
            </w:rPr>
            <w:t xml:space="preserve"> However, the prison authorities deemed it inappropriate to transfer the claimant to a women's prison and they continued to hold her within the Vulnerable Prisoners Unit.</w:t>
          </w:r>
          <w:r w:rsidR="00411C03" w:rsidRPr="007F1CAA">
            <w:rPr>
              <w:bCs/>
              <w:vertAlign w:val="superscript"/>
            </w:rPr>
            <w:footnoteReference w:id="75"/>
          </w:r>
          <w:r w:rsidR="00411C03" w:rsidRPr="007F1CAA">
            <w:rPr>
              <w:bCs/>
            </w:rPr>
            <w:t xml:space="preserve"> As part of the judgment, the court recognised that this denied the claimant even the prospect of physical gender reassignment surgery.</w:t>
          </w:r>
          <w:r w:rsidR="00411C03" w:rsidRPr="007F1CAA">
            <w:rPr>
              <w:bCs/>
              <w:vertAlign w:val="superscript"/>
            </w:rPr>
            <w:footnoteReference w:id="76"/>
          </w:r>
          <w:r w:rsidR="00411C03" w:rsidRPr="007F1CAA">
            <w:rPr>
              <w:bCs/>
            </w:rPr>
            <w:t xml:space="preserve"> </w:t>
          </w:r>
        </w:p>
      </w:sdtContent>
    </w:sdt>
    <w:sdt>
      <w:sdtPr>
        <w:rPr>
          <w:bCs/>
        </w:rPr>
        <w:tag w:val="goog_rdk_57"/>
        <w:id w:val="527306861"/>
      </w:sdtPr>
      <w:sdtContent>
        <w:p w14:paraId="07436DC3" w14:textId="77777777" w:rsidR="0033717A" w:rsidRPr="007F1CAA" w:rsidRDefault="0033717A" w:rsidP="00080569">
          <w:pPr>
            <w:pBdr>
              <w:top w:val="nil"/>
              <w:left w:val="nil"/>
              <w:bottom w:val="nil"/>
              <w:right w:val="nil"/>
              <w:between w:val="nil"/>
            </w:pBdr>
            <w:spacing w:after="0" w:line="480" w:lineRule="auto"/>
            <w:ind w:firstLine="720"/>
            <w:jc w:val="both"/>
            <w:rPr>
              <w:bCs/>
            </w:rPr>
          </w:pPr>
        </w:p>
        <w:p w14:paraId="34430BA3" w14:textId="77777777" w:rsidR="00742748"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rPr>
            <w:t>Encouragingly, t</w:t>
          </w:r>
          <w:r w:rsidRPr="007F1CAA">
            <w:rPr>
              <w:bCs/>
              <w:color w:val="000000"/>
            </w:rPr>
            <w:t>he judge held that the refusal to transfer the claimant was unjustified and</w:t>
          </w:r>
          <w:r w:rsidR="00F1413A" w:rsidRPr="007F1CAA">
            <w:rPr>
              <w:bCs/>
              <w:color w:val="000000"/>
            </w:rPr>
            <w:t>,</w:t>
          </w:r>
          <w:r w:rsidRPr="007F1CAA">
            <w:rPr>
              <w:bCs/>
            </w:rPr>
            <w:t xml:space="preserve"> </w:t>
          </w:r>
          <w:r w:rsidRPr="007F1CAA">
            <w:rPr>
              <w:bCs/>
              <w:color w:val="000000"/>
            </w:rPr>
            <w:t>in doing so, the</w:t>
          </w:r>
          <w:r w:rsidRPr="007F1CAA">
            <w:rPr>
              <w:bCs/>
            </w:rPr>
            <w:t xml:space="preserve"> p</w:t>
          </w:r>
          <w:r w:rsidRPr="007F1CAA">
            <w:rPr>
              <w:bCs/>
              <w:color w:val="000000"/>
            </w:rPr>
            <w:t xml:space="preserve">rison </w:t>
          </w:r>
          <w:r w:rsidRPr="007F1CAA">
            <w:rPr>
              <w:bCs/>
            </w:rPr>
            <w:t>s</w:t>
          </w:r>
          <w:r w:rsidRPr="007F1CAA">
            <w:rPr>
              <w:bCs/>
              <w:color w:val="000000"/>
            </w:rPr>
            <w:t xml:space="preserve">ervice had disproportionately interfered with the claimant’s personal autonomy in violation of </w:t>
          </w:r>
          <w:r w:rsidR="001B5E26" w:rsidRPr="007F1CAA">
            <w:rPr>
              <w:bCs/>
              <w:color w:val="000000"/>
            </w:rPr>
            <w:t xml:space="preserve">art. </w:t>
          </w:r>
          <w:r w:rsidRPr="007F1CAA">
            <w:rPr>
              <w:bCs/>
              <w:color w:val="000000"/>
            </w:rPr>
            <w:t xml:space="preserve">8 </w:t>
          </w:r>
          <w:r w:rsidR="001B5E26" w:rsidRPr="007F1CAA">
            <w:rPr>
              <w:bCs/>
              <w:color w:val="000000"/>
            </w:rPr>
            <w:t>of the European Convention on Human Rights (</w:t>
          </w:r>
          <w:r w:rsidRPr="007F1CAA">
            <w:rPr>
              <w:bCs/>
              <w:color w:val="000000"/>
            </w:rPr>
            <w:t>ECHR</w:t>
          </w:r>
          <w:r w:rsidR="001B5E26" w:rsidRPr="007F1CAA">
            <w:rPr>
              <w:bCs/>
              <w:color w:val="000000"/>
            </w:rPr>
            <w:t>)</w:t>
          </w:r>
          <w:r w:rsidRPr="007F1CAA">
            <w:rPr>
              <w:bCs/>
              <w:color w:val="000000"/>
            </w:rPr>
            <w:t>.</w:t>
          </w:r>
          <w:r w:rsidRPr="007F1CAA">
            <w:rPr>
              <w:bCs/>
              <w:color w:val="000000"/>
              <w:vertAlign w:val="superscript"/>
            </w:rPr>
            <w:footnoteReference w:id="77"/>
          </w:r>
          <w:r w:rsidRPr="007F1CAA">
            <w:rPr>
              <w:bCs/>
              <w:color w:val="000000"/>
            </w:rPr>
            <w:t xml:space="preserve"> Although the judge recognised imprisonment as involving the restriction of personal autonomy to some extent, he characterised the failure to transfer the claimant to the women’s prison estate as </w:t>
          </w:r>
          <w:r w:rsidRPr="007F1CAA">
            <w:rPr>
              <w:bCs/>
            </w:rPr>
            <w:t>“</w:t>
          </w:r>
          <w:r w:rsidRPr="007F1CAA">
            <w:rPr>
              <w:bCs/>
              <w:color w:val="000000"/>
            </w:rPr>
            <w:t>going beyond that which imprisonment is intended to do</w:t>
          </w:r>
          <w:r w:rsidR="00742748" w:rsidRPr="007F1CAA">
            <w:rPr>
              <w:bCs/>
              <w:color w:val="000000"/>
            </w:rPr>
            <w:t>.</w:t>
          </w:r>
          <w:r w:rsidRPr="007F1CAA">
            <w:rPr>
              <w:bCs/>
            </w:rPr>
            <w:t>”</w:t>
          </w:r>
          <w:r w:rsidRPr="007F1CAA">
            <w:rPr>
              <w:bCs/>
              <w:color w:val="000000"/>
              <w:vertAlign w:val="superscript"/>
            </w:rPr>
            <w:footnoteReference w:id="78"/>
          </w:r>
          <w:r w:rsidRPr="007F1CAA">
            <w:rPr>
              <w:bCs/>
              <w:color w:val="000000"/>
            </w:rPr>
            <w:t xml:space="preserve"> In summary</w:t>
          </w:r>
          <w:r w:rsidR="00742748" w:rsidRPr="007F1CAA">
            <w:rPr>
              <w:bCs/>
              <w:color w:val="000000"/>
            </w:rPr>
            <w:t>,</w:t>
          </w:r>
        </w:p>
        <w:p w14:paraId="0000002C" w14:textId="2EE57840" w:rsidR="00985107" w:rsidRPr="007F1CAA" w:rsidRDefault="00411C03" w:rsidP="00742748">
          <w:pPr>
            <w:pBdr>
              <w:top w:val="nil"/>
              <w:left w:val="nil"/>
              <w:bottom w:val="nil"/>
              <w:right w:val="nil"/>
              <w:between w:val="nil"/>
            </w:pBdr>
            <w:spacing w:after="0" w:line="480" w:lineRule="auto"/>
            <w:jc w:val="both"/>
            <w:rPr>
              <w:bCs/>
              <w:color w:val="000000"/>
            </w:rPr>
          </w:pPr>
          <w:r w:rsidRPr="007F1CAA">
            <w:rPr>
              <w:bCs/>
              <w:color w:val="000000"/>
            </w:rPr>
            <w:t xml:space="preserve"> the judge declared: </w:t>
          </w:r>
        </w:p>
      </w:sdtContent>
    </w:sdt>
    <w:sdt>
      <w:sdtPr>
        <w:rPr>
          <w:bCs/>
        </w:rPr>
        <w:tag w:val="goog_rdk_58"/>
        <w:id w:val="-1928185111"/>
      </w:sdtPr>
      <w:sdtContent>
        <w:p w14:paraId="0A346905" w14:textId="77777777" w:rsidR="00742748" w:rsidRPr="007F1CAA" w:rsidRDefault="00742748" w:rsidP="00742748">
          <w:pPr>
            <w:pBdr>
              <w:top w:val="nil"/>
              <w:left w:val="nil"/>
              <w:bottom w:val="nil"/>
              <w:right w:val="nil"/>
              <w:between w:val="nil"/>
            </w:pBdr>
            <w:spacing w:after="0" w:line="480" w:lineRule="auto"/>
            <w:ind w:left="567" w:right="567"/>
            <w:jc w:val="both"/>
            <w:rPr>
              <w:bCs/>
            </w:rPr>
          </w:pPr>
        </w:p>
        <w:p w14:paraId="0000002D" w14:textId="37056150" w:rsidR="00985107" w:rsidRPr="007F1CAA" w:rsidRDefault="00411C03" w:rsidP="00742748">
          <w:pPr>
            <w:pBdr>
              <w:top w:val="nil"/>
              <w:left w:val="nil"/>
              <w:bottom w:val="nil"/>
              <w:right w:val="nil"/>
              <w:between w:val="nil"/>
            </w:pBdr>
            <w:spacing w:after="0" w:line="480" w:lineRule="auto"/>
            <w:ind w:left="567" w:right="567"/>
            <w:jc w:val="both"/>
            <w:rPr>
              <w:bCs/>
              <w:color w:val="000000"/>
              <w:vertAlign w:val="superscript"/>
            </w:rPr>
          </w:pPr>
          <w:r w:rsidRPr="007F1CAA">
            <w:rPr>
              <w:bCs/>
            </w:rPr>
            <w:t>“</w:t>
          </w:r>
          <w:r w:rsidRPr="007F1CAA">
            <w:rPr>
              <w:bCs/>
              <w:color w:val="000000"/>
            </w:rPr>
            <w:t>When issues so close to the identity of a prisoner as here, so intimately concerned with her personal autonomy, the deployment of resources as a justification for the infringement of rights must be clear and weighty in order to be proportionate. Here they are neither</w:t>
          </w:r>
          <w:r w:rsidR="00742748" w:rsidRPr="007F1CAA">
            <w:rPr>
              <w:bCs/>
              <w:color w:val="000000"/>
            </w:rPr>
            <w:t>.</w:t>
          </w:r>
          <w:r w:rsidRPr="007F1CAA">
            <w:rPr>
              <w:bCs/>
            </w:rPr>
            <w:t>”</w:t>
          </w:r>
          <w:r w:rsidRPr="007F1CAA">
            <w:rPr>
              <w:bCs/>
              <w:color w:val="000000"/>
              <w:vertAlign w:val="superscript"/>
            </w:rPr>
            <w:footnoteReference w:id="79"/>
          </w:r>
        </w:p>
      </w:sdtContent>
    </w:sdt>
    <w:sdt>
      <w:sdtPr>
        <w:rPr>
          <w:bCs/>
        </w:rPr>
        <w:tag w:val="goog_rdk_62"/>
        <w:id w:val="1471008414"/>
      </w:sdtPr>
      <w:sdtContent>
        <w:p w14:paraId="0000002F" w14:textId="77777777" w:rsidR="00985107" w:rsidRPr="007F1CAA" w:rsidRDefault="00411C03" w:rsidP="00A64C56">
          <w:pPr>
            <w:pBdr>
              <w:top w:val="nil"/>
              <w:left w:val="nil"/>
              <w:bottom w:val="nil"/>
              <w:right w:val="nil"/>
              <w:between w:val="nil"/>
            </w:pBdr>
            <w:spacing w:after="0" w:line="480" w:lineRule="auto"/>
            <w:ind w:firstLine="567"/>
            <w:jc w:val="both"/>
            <w:rPr>
              <w:bCs/>
              <w:color w:val="000000"/>
            </w:rPr>
          </w:pPr>
          <w:r w:rsidRPr="007F1CAA">
            <w:rPr>
              <w:bCs/>
            </w:rPr>
            <w:t>In outlining the high standard required to justify an infringement on the personal autonomy and identity, the judgment underlines the law’s commitment to safeguarding the fundamental needs of those with more fluid gender identities. In doing so, the passage also highlights the tension between the legal recognition of transgender prisoners’ gender identity and the punitive institutional norms that seek to deny this recognition. Ultimately, in</w:t>
          </w:r>
          <w:r w:rsidRPr="007F1CAA">
            <w:rPr>
              <w:bCs/>
              <w:color w:val="000000"/>
            </w:rPr>
            <w:t xml:space="preserve"> safeguarding the claimant’s right to</w:t>
          </w:r>
          <w:r w:rsidRPr="007F1CAA">
            <w:rPr>
              <w:bCs/>
            </w:rPr>
            <w:t xml:space="preserve"> </w:t>
          </w:r>
          <w:r w:rsidRPr="007F1CAA">
            <w:rPr>
              <w:bCs/>
              <w:color w:val="000000"/>
            </w:rPr>
            <w:t>autonomy and priv</w:t>
          </w:r>
          <w:r w:rsidRPr="007F1CAA">
            <w:rPr>
              <w:bCs/>
            </w:rPr>
            <w:t xml:space="preserve">acy, </w:t>
          </w:r>
          <w:r w:rsidRPr="007F1CAA">
            <w:rPr>
              <w:bCs/>
              <w:color w:val="000000"/>
            </w:rPr>
            <w:t xml:space="preserve">the </w:t>
          </w:r>
          <w:r w:rsidRPr="007F1CAA">
            <w:rPr>
              <w:bCs/>
            </w:rPr>
            <w:t>law indicates its</w:t>
          </w:r>
          <w:r w:rsidRPr="007F1CAA">
            <w:rPr>
              <w:bCs/>
              <w:color w:val="000000"/>
            </w:rPr>
            <w:t xml:space="preserve"> increased commitment to </w:t>
          </w:r>
          <w:r w:rsidRPr="007F1CAA">
            <w:rPr>
              <w:bCs/>
            </w:rPr>
            <w:t>including</w:t>
          </w:r>
          <w:r w:rsidRPr="007F1CAA">
            <w:rPr>
              <w:bCs/>
              <w:color w:val="000000"/>
            </w:rPr>
            <w:t xml:space="preserve"> transgender prisoners more effectively </w:t>
          </w:r>
          <w:r w:rsidRPr="007F1CAA">
            <w:rPr>
              <w:bCs/>
            </w:rPr>
            <w:t>into</w:t>
          </w:r>
          <w:r w:rsidRPr="007F1CAA">
            <w:rPr>
              <w:bCs/>
              <w:color w:val="000000"/>
            </w:rPr>
            <w:t xml:space="preserve"> the prison </w:t>
          </w:r>
          <w:sdt>
            <w:sdtPr>
              <w:rPr>
                <w:bCs/>
              </w:rPr>
              <w:tag w:val="goog_rdk_60"/>
              <w:id w:val="236068661"/>
            </w:sdtPr>
            <w:sdtContent/>
          </w:sdt>
          <w:sdt>
            <w:sdtPr>
              <w:rPr>
                <w:bCs/>
              </w:rPr>
              <w:tag w:val="goog_rdk_61"/>
              <w:id w:val="-1836215560"/>
            </w:sdtPr>
            <w:sdtContent/>
          </w:sdt>
          <w:r w:rsidRPr="007F1CAA">
            <w:rPr>
              <w:bCs/>
              <w:color w:val="000000"/>
            </w:rPr>
            <w:t xml:space="preserve">estate. </w:t>
          </w:r>
          <w:r w:rsidRPr="007F1CAA">
            <w:rPr>
              <w:bCs/>
              <w:color w:val="000000"/>
            </w:rPr>
            <w:br/>
          </w:r>
        </w:p>
      </w:sdtContent>
    </w:sdt>
    <w:sdt>
      <w:sdtPr>
        <w:rPr>
          <w:bCs/>
          <w:i w:val="0"/>
        </w:rPr>
        <w:tag w:val="goog_rdk_63"/>
        <w:id w:val="-124235430"/>
      </w:sdtPr>
      <w:sdtEndPr>
        <w:rPr>
          <w:i/>
          <w:iCs/>
        </w:rPr>
      </w:sdtEndPr>
      <w:sdtContent>
        <w:p w14:paraId="00000030" w14:textId="69430FD1" w:rsidR="00985107" w:rsidRPr="007F1CAA" w:rsidRDefault="00A64C56" w:rsidP="00080569">
          <w:pPr>
            <w:pStyle w:val="Heading4"/>
            <w:spacing w:before="0" w:after="0" w:line="480" w:lineRule="auto"/>
            <w:jc w:val="both"/>
            <w:rPr>
              <w:bCs/>
              <w:iCs/>
            </w:rPr>
          </w:pPr>
          <w:r w:rsidRPr="007F1CAA">
            <w:rPr>
              <w:bCs/>
              <w:iCs/>
            </w:rPr>
            <w:t xml:space="preserve">(ii) </w:t>
          </w:r>
          <w:r w:rsidR="00411C03" w:rsidRPr="007F1CAA">
            <w:rPr>
              <w:bCs/>
              <w:iCs/>
              <w:color w:val="000000"/>
            </w:rPr>
            <w:t>The Former and Revised Prison Service Policy: A Transformative Approach to Transgender Prisoners?</w:t>
          </w:r>
        </w:p>
      </w:sdtContent>
    </w:sdt>
    <w:sdt>
      <w:sdtPr>
        <w:rPr>
          <w:bCs/>
        </w:rPr>
        <w:tag w:val="goog_rdk_64"/>
        <w:id w:val="854308097"/>
      </w:sdtPr>
      <w:sdtContent>
        <w:p w14:paraId="00000031" w14:textId="77777777" w:rsidR="00985107" w:rsidRPr="007F1CAA" w:rsidRDefault="00A1537F" w:rsidP="00080569">
          <w:pPr>
            <w:spacing w:after="0" w:line="480" w:lineRule="auto"/>
            <w:jc w:val="both"/>
            <w:rPr>
              <w:bCs/>
            </w:rPr>
          </w:pPr>
        </w:p>
      </w:sdtContent>
    </w:sdt>
    <w:sdt>
      <w:sdtPr>
        <w:rPr>
          <w:bCs/>
        </w:rPr>
        <w:tag w:val="goog_rdk_65"/>
        <w:id w:val="672304309"/>
      </w:sdtPr>
      <w:sdtContent>
        <w:p w14:paraId="124BE6E8" w14:textId="77777777" w:rsidR="00A64C56" w:rsidRPr="007F1CAA" w:rsidRDefault="00411C03" w:rsidP="00A64C56">
          <w:pPr>
            <w:pBdr>
              <w:top w:val="nil"/>
              <w:left w:val="nil"/>
              <w:bottom w:val="nil"/>
              <w:right w:val="nil"/>
              <w:between w:val="nil"/>
            </w:pBdr>
            <w:spacing w:after="0" w:line="480" w:lineRule="auto"/>
            <w:ind w:firstLine="720"/>
            <w:jc w:val="both"/>
            <w:rPr>
              <w:bCs/>
              <w:color w:val="000000"/>
            </w:rPr>
          </w:pPr>
          <w:r w:rsidRPr="007F1CAA">
            <w:rPr>
              <w:bCs/>
              <w:color w:val="000000"/>
            </w:rPr>
            <w:t xml:space="preserve">In the past, official guidelines have </w:t>
          </w:r>
          <w:r w:rsidRPr="007F1CAA">
            <w:rPr>
              <w:bCs/>
            </w:rPr>
            <w:t>legitimize</w:t>
          </w:r>
          <w:r w:rsidRPr="007F1CAA">
            <w:rPr>
              <w:bCs/>
              <w:color w:val="000000"/>
            </w:rPr>
            <w:t>d the partial inclusion of transgender prisoners and the absolute exclusion of prisoners with more fluid gender identities.</w:t>
          </w:r>
          <w:r w:rsidRPr="007F1CAA">
            <w:rPr>
              <w:bCs/>
              <w:color w:val="000000"/>
              <w:vertAlign w:val="superscript"/>
            </w:rPr>
            <w:footnoteReference w:id="80"/>
          </w:r>
          <w:r w:rsidRPr="007F1CAA">
            <w:rPr>
              <w:bCs/>
              <w:color w:val="000000"/>
            </w:rPr>
            <w:t xml:space="preserve"> The former National Offenders Management Service </w:t>
          </w:r>
          <w:r w:rsidRPr="007F1CAA">
            <w:rPr>
              <w:bCs/>
            </w:rPr>
            <w:t>(N</w:t>
          </w:r>
          <w:r w:rsidRPr="007F1CAA">
            <w:rPr>
              <w:bCs/>
              <w:color w:val="000000"/>
            </w:rPr>
            <w:t>OMS) Instructions on managing transgender prisoners (PSI</w:t>
          </w:r>
          <w:r w:rsidRPr="007F1CAA">
            <w:rPr>
              <w:bCs/>
            </w:rPr>
            <w:t>-</w:t>
          </w:r>
          <w:r w:rsidRPr="007F1CAA">
            <w:rPr>
              <w:bCs/>
              <w:color w:val="000000"/>
            </w:rPr>
            <w:t>07/2011)</w:t>
          </w:r>
          <w:r w:rsidRPr="007F1CAA">
            <w:rPr>
              <w:bCs/>
            </w:rPr>
            <w:t xml:space="preserve"> was </w:t>
          </w:r>
          <w:r w:rsidRPr="007F1CAA">
            <w:rPr>
              <w:bCs/>
              <w:color w:val="000000"/>
            </w:rPr>
            <w:t xml:space="preserve">enacted in response to the shortcomings identified in the </w:t>
          </w:r>
          <w:r w:rsidRPr="007F1CAA">
            <w:rPr>
              <w:bCs/>
              <w:i/>
              <w:iCs/>
              <w:color w:val="000000"/>
            </w:rPr>
            <w:t>AB</w:t>
          </w:r>
          <w:r w:rsidRPr="007F1CAA">
            <w:rPr>
              <w:bCs/>
              <w:color w:val="000000"/>
            </w:rPr>
            <w:t xml:space="preserve"> case. The purpose of</w:t>
          </w:r>
          <w:r w:rsidRPr="007F1CAA">
            <w:rPr>
              <w:bCs/>
            </w:rPr>
            <w:t xml:space="preserve"> PSI-07/2011 was</w:t>
          </w:r>
          <w:r w:rsidRPr="007F1CAA">
            <w:rPr>
              <w:bCs/>
              <w:color w:val="000000"/>
            </w:rPr>
            <w:t xml:space="preserve"> to outline the duties of prison service professionals in managing the rights and specific needs of transgender prisoners.</w:t>
          </w:r>
          <w:r w:rsidRPr="007F1CAA">
            <w:rPr>
              <w:bCs/>
              <w:color w:val="000000"/>
              <w:vertAlign w:val="superscript"/>
            </w:rPr>
            <w:footnoteReference w:id="81"/>
          </w:r>
          <w:r w:rsidRPr="007F1CAA">
            <w:rPr>
              <w:bCs/>
              <w:color w:val="000000"/>
            </w:rPr>
            <w:t xml:space="preserve"> These duties included ensuring the fair treatment of transgender prisoners, providing an equivalent quality of care to transgender prisoners who have been diagnosed with gender dysphoria as they would expect to receive from the NHS, and allowing prisoners to wear clothes</w:t>
          </w:r>
          <w:r w:rsidRPr="007F1CAA">
            <w:rPr>
              <w:bCs/>
            </w:rPr>
            <w:t xml:space="preserve"> that support their </w:t>
          </w:r>
          <w:r w:rsidRPr="007F1CAA">
            <w:rPr>
              <w:bCs/>
              <w:color w:val="000000"/>
            </w:rPr>
            <w:t>gender identity.</w:t>
          </w:r>
          <w:r w:rsidRPr="007F1CAA">
            <w:rPr>
              <w:bCs/>
              <w:color w:val="000000"/>
              <w:vertAlign w:val="superscript"/>
            </w:rPr>
            <w:footnoteReference w:id="82"/>
          </w:r>
          <w:r w:rsidRPr="007F1CAA">
            <w:rPr>
              <w:bCs/>
              <w:color w:val="000000"/>
            </w:rPr>
            <w:t xml:space="preserve"> </w:t>
          </w:r>
        </w:p>
        <w:p w14:paraId="00000032" w14:textId="2D32D616" w:rsidR="00985107" w:rsidRPr="007F1CAA" w:rsidRDefault="00A1537F" w:rsidP="00A64C56">
          <w:pPr>
            <w:pBdr>
              <w:top w:val="nil"/>
              <w:left w:val="nil"/>
              <w:bottom w:val="nil"/>
              <w:right w:val="nil"/>
              <w:between w:val="nil"/>
            </w:pBdr>
            <w:spacing w:after="0" w:line="480" w:lineRule="auto"/>
            <w:ind w:firstLine="720"/>
            <w:jc w:val="both"/>
            <w:rPr>
              <w:bCs/>
              <w:color w:val="000000"/>
            </w:rPr>
          </w:pPr>
        </w:p>
      </w:sdtContent>
    </w:sdt>
    <w:sdt>
      <w:sdtPr>
        <w:rPr>
          <w:bCs/>
        </w:rPr>
        <w:tag w:val="goog_rdk_66"/>
        <w:id w:val="-1953246012"/>
      </w:sdtPr>
      <w:sdtContent>
        <w:p w14:paraId="08D0A5A2" w14:textId="0190AB0C" w:rsidR="00A64C56"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rPr>
            <w:t xml:space="preserve">Outwardly, the </w:t>
          </w:r>
          <w:r w:rsidRPr="007F1CAA">
            <w:rPr>
              <w:bCs/>
              <w:color w:val="000000"/>
            </w:rPr>
            <w:t xml:space="preserve">PSI 07/2011 appears to have provided transgender prisoners with a plethora of assurances that their gender identity would be effectively safeguarded. However, the wording of the policy was inclusive only of those who proposed to live </w:t>
          </w:r>
          <w:r w:rsidRPr="007F1CAA">
            <w:rPr>
              <w:bCs/>
            </w:rPr>
            <w:t>“</w:t>
          </w:r>
          <w:r w:rsidRPr="007F1CAA">
            <w:rPr>
              <w:bCs/>
              <w:color w:val="000000"/>
            </w:rPr>
            <w:t>permanently [in] the gender opposite to the one assigned at birth</w:t>
          </w:r>
          <w:r w:rsidR="00A64C56" w:rsidRPr="007F1CAA">
            <w:rPr>
              <w:bCs/>
              <w:color w:val="000000"/>
            </w:rPr>
            <w:t>.</w:t>
          </w:r>
          <w:r w:rsidRPr="007F1CAA">
            <w:rPr>
              <w:bCs/>
            </w:rPr>
            <w:t>”</w:t>
          </w:r>
          <w:r w:rsidRPr="007F1CAA">
            <w:rPr>
              <w:bCs/>
              <w:color w:val="000000"/>
              <w:vertAlign w:val="superscript"/>
            </w:rPr>
            <w:footnoteReference w:id="83"/>
          </w:r>
          <w:r w:rsidRPr="007F1CAA">
            <w:rPr>
              <w:bCs/>
              <w:color w:val="000000"/>
            </w:rPr>
            <w:t xml:space="preserve"> </w:t>
          </w:r>
          <w:r w:rsidRPr="007F1CAA">
            <w:rPr>
              <w:bCs/>
            </w:rPr>
            <w:t>As a result</w:t>
          </w:r>
          <w:r w:rsidR="00A64C56" w:rsidRPr="007F1CAA">
            <w:rPr>
              <w:bCs/>
            </w:rPr>
            <w:t xml:space="preserve">, </w:t>
          </w:r>
          <w:r w:rsidRPr="007F1CAA">
            <w:rPr>
              <w:bCs/>
              <w:color w:val="000000"/>
            </w:rPr>
            <w:t xml:space="preserve">the policy excluded a multiplicity of individuals whose gender </w:t>
          </w:r>
          <w:r w:rsidRPr="007F1CAA">
            <w:rPr>
              <w:bCs/>
            </w:rPr>
            <w:t>expressions deviate from the gender in the heteronormative sense.</w:t>
          </w:r>
          <w:r w:rsidRPr="007F1CAA">
            <w:rPr>
              <w:bCs/>
              <w:color w:val="000000"/>
            </w:rPr>
            <w:t xml:space="preserve"> Thus, the policy compelled individuals t</w:t>
          </w:r>
          <w:r w:rsidRPr="007F1CAA">
            <w:rPr>
              <w:bCs/>
            </w:rPr>
            <w:t>o either</w:t>
          </w:r>
          <w:r w:rsidRPr="007F1CAA">
            <w:rPr>
              <w:bCs/>
              <w:color w:val="000000"/>
            </w:rPr>
            <w:t xml:space="preserve"> </w:t>
          </w:r>
          <w:r w:rsidRPr="007F1CAA">
            <w:rPr>
              <w:bCs/>
            </w:rPr>
            <w:t>convey their gender in</w:t>
          </w:r>
          <w:r w:rsidR="00A64C56" w:rsidRPr="007F1CAA">
            <w:rPr>
              <w:bCs/>
            </w:rPr>
            <w:t xml:space="preserve"> a</w:t>
          </w:r>
          <w:r w:rsidRPr="007F1CAA">
            <w:rPr>
              <w:bCs/>
              <w:color w:val="000000"/>
            </w:rPr>
            <w:t xml:space="preserve"> </w:t>
          </w:r>
          <w:r w:rsidRPr="007F1CAA">
            <w:rPr>
              <w:bCs/>
            </w:rPr>
            <w:t xml:space="preserve">rigid manner reflecting the policy </w:t>
          </w:r>
          <w:r w:rsidRPr="007F1CAA">
            <w:rPr>
              <w:bCs/>
              <w:color w:val="000000"/>
            </w:rPr>
            <w:t>in order to have their needs met, or to risk having their needs overlooked by authentically portr</w:t>
          </w:r>
          <w:r w:rsidRPr="007F1CAA">
            <w:rPr>
              <w:bCs/>
            </w:rPr>
            <w:t>aying their gender identity</w:t>
          </w:r>
          <w:r w:rsidRPr="007F1CAA">
            <w:rPr>
              <w:bCs/>
              <w:color w:val="000000"/>
            </w:rPr>
            <w:t xml:space="preserve">.  </w:t>
          </w:r>
        </w:p>
        <w:p w14:paraId="00000033" w14:textId="04E60EC1" w:rsidR="00985107" w:rsidRPr="007F1CAA" w:rsidRDefault="00A1537F" w:rsidP="00080569">
          <w:pPr>
            <w:pBdr>
              <w:top w:val="nil"/>
              <w:left w:val="nil"/>
              <w:bottom w:val="nil"/>
              <w:right w:val="nil"/>
              <w:between w:val="nil"/>
            </w:pBdr>
            <w:spacing w:after="0" w:line="480" w:lineRule="auto"/>
            <w:ind w:firstLine="720"/>
            <w:jc w:val="both"/>
            <w:rPr>
              <w:bCs/>
              <w:color w:val="000000"/>
            </w:rPr>
          </w:pPr>
        </w:p>
      </w:sdtContent>
    </w:sdt>
    <w:sdt>
      <w:sdtPr>
        <w:rPr>
          <w:bCs/>
        </w:rPr>
        <w:tag w:val="goog_rdk_67"/>
        <w:id w:val="798338941"/>
      </w:sdtPr>
      <w:sdtContent>
        <w:p w14:paraId="00000034" w14:textId="7E6DB88B" w:rsidR="00985107"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 xml:space="preserve">The policy also extended a high degree of discretion to prison </w:t>
          </w:r>
          <w:r w:rsidRPr="007F1CAA">
            <w:rPr>
              <w:bCs/>
            </w:rPr>
            <w:t>professionals</w:t>
          </w:r>
          <w:r w:rsidRPr="007F1CAA">
            <w:rPr>
              <w:bCs/>
              <w:color w:val="000000"/>
            </w:rPr>
            <w:t xml:space="preserve"> </w:t>
          </w:r>
          <w:r w:rsidRPr="007F1CAA">
            <w:rPr>
              <w:bCs/>
            </w:rPr>
            <w:t>to make</w:t>
          </w:r>
          <w:r w:rsidRPr="007F1CAA">
            <w:rPr>
              <w:bCs/>
              <w:color w:val="000000"/>
            </w:rPr>
            <w:t xml:space="preserve"> important decisions about the lives of transgender inmates. Prison officers who possess limited knowledge and training opportunities to address sensitive matters like gender identity were given</w:t>
          </w:r>
          <w:r w:rsidRPr="007F1CAA">
            <w:rPr>
              <w:bCs/>
            </w:rPr>
            <w:t xml:space="preserve"> c</w:t>
          </w:r>
          <w:r w:rsidRPr="007F1CAA">
            <w:rPr>
              <w:bCs/>
              <w:color w:val="000000"/>
            </w:rPr>
            <w:t>onsiderable discretion in implementing this policy.</w:t>
          </w:r>
          <w:r w:rsidRPr="007F1CAA">
            <w:rPr>
              <w:bCs/>
              <w:color w:val="000000"/>
              <w:vertAlign w:val="superscript"/>
            </w:rPr>
            <w:footnoteReference w:id="84"/>
          </w:r>
          <w:r w:rsidRPr="007F1CAA">
            <w:rPr>
              <w:bCs/>
              <w:color w:val="000000"/>
            </w:rPr>
            <w:t xml:space="preserve"> </w:t>
          </w:r>
          <w:r w:rsidRPr="007F1CAA">
            <w:rPr>
              <w:bCs/>
            </w:rPr>
            <w:t>Similarly</w:t>
          </w:r>
          <w:r w:rsidRPr="007F1CAA">
            <w:rPr>
              <w:bCs/>
              <w:color w:val="000000"/>
            </w:rPr>
            <w:t>, they were extended considerable discretion in crucial decisions including in the placement of transgender inmates within the prison most suitably aligning with the prisoner’s gender identity.</w:t>
          </w:r>
          <w:r w:rsidRPr="007F1CAA">
            <w:rPr>
              <w:bCs/>
              <w:color w:val="000000"/>
              <w:vertAlign w:val="superscript"/>
            </w:rPr>
            <w:footnoteReference w:id="85"/>
          </w:r>
          <w:r w:rsidRPr="007F1CAA">
            <w:rPr>
              <w:bCs/>
              <w:color w:val="000000"/>
            </w:rPr>
            <w:t xml:space="preserve"> Given the combined lack of expertise and considerable scope in which to implement the policy, Sarah Lamble highlights that the policy provided a platform to foster archaic attitudes towards gender identity. Similarly, Mia Harris and Robyn Emerton </w:t>
          </w:r>
          <w:r w:rsidR="00B641B7" w:rsidRPr="007F1CAA">
            <w:rPr>
              <w:bCs/>
              <w:color w:val="000000"/>
            </w:rPr>
            <w:t>argue</w:t>
          </w:r>
          <w:r w:rsidRPr="007F1CAA">
            <w:rPr>
              <w:bCs/>
              <w:color w:val="000000"/>
            </w:rPr>
            <w:t xml:space="preserve"> that the policy limited and denied transgender prisoners of their basic needs to express and have their gender identity recognised.</w:t>
          </w:r>
          <w:r w:rsidRPr="007F1CAA">
            <w:rPr>
              <w:bCs/>
              <w:color w:val="000000"/>
              <w:vertAlign w:val="superscript"/>
            </w:rPr>
            <w:footnoteReference w:id="86"/>
          </w:r>
          <w:r w:rsidRPr="007F1CAA">
            <w:rPr>
              <w:bCs/>
              <w:color w:val="000000"/>
            </w:rPr>
            <w:t xml:space="preserve"> In sum, although the former policy appears progressive in recognizing the specific needs and rights of some transgender prisoners, the policy also limited its protection to those performing gender in the binary sense. </w:t>
          </w:r>
        </w:p>
      </w:sdtContent>
    </w:sdt>
    <w:sdt>
      <w:sdtPr>
        <w:rPr>
          <w:bCs/>
        </w:rPr>
        <w:tag w:val="goog_rdk_68"/>
        <w:id w:val="1884830805"/>
      </w:sdtPr>
      <w:sdtContent>
        <w:p w14:paraId="3A652376" w14:textId="550E3D75" w:rsidR="001C2101" w:rsidRPr="007F1CAA" w:rsidRDefault="00411C03" w:rsidP="001C2101">
          <w:pPr>
            <w:pBdr>
              <w:top w:val="nil"/>
              <w:left w:val="nil"/>
              <w:bottom w:val="nil"/>
              <w:right w:val="nil"/>
              <w:between w:val="nil"/>
            </w:pBdr>
            <w:spacing w:after="0" w:line="480" w:lineRule="auto"/>
            <w:ind w:firstLine="720"/>
            <w:jc w:val="both"/>
            <w:rPr>
              <w:bCs/>
              <w:color w:val="000000"/>
            </w:rPr>
          </w:pPr>
          <w:r w:rsidRPr="007F1CAA">
            <w:rPr>
              <w:bCs/>
              <w:color w:val="000000"/>
            </w:rPr>
            <w:t xml:space="preserve">The alienation of individuals who are perceived as </w:t>
          </w:r>
          <w:r w:rsidRPr="007F1CAA">
            <w:rPr>
              <w:bCs/>
            </w:rPr>
            <w:t>falling</w:t>
          </w:r>
          <w:r w:rsidRPr="007F1CAA">
            <w:rPr>
              <w:bCs/>
              <w:color w:val="000000"/>
            </w:rPr>
            <w:t xml:space="preserve"> outside the remit of the former </w:t>
          </w:r>
          <w:r w:rsidRPr="007F1CAA">
            <w:rPr>
              <w:bCs/>
            </w:rPr>
            <w:t xml:space="preserve">policy </w:t>
          </w:r>
          <w:r w:rsidRPr="007F1CAA">
            <w:rPr>
              <w:bCs/>
              <w:color w:val="000000"/>
            </w:rPr>
            <w:t xml:space="preserve">is evident in </w:t>
          </w:r>
          <w:r w:rsidRPr="007F1CAA">
            <w:rPr>
              <w:bCs/>
              <w:i/>
              <w:iCs/>
              <w:color w:val="000000"/>
            </w:rPr>
            <w:t>R (on the application of Green) v Secretary of State for Justice</w:t>
          </w:r>
          <w:r w:rsidRPr="007F1CAA">
            <w:rPr>
              <w:bCs/>
              <w:color w:val="000000"/>
            </w:rPr>
            <w:t>.</w:t>
          </w:r>
          <w:r w:rsidRPr="007F1CAA">
            <w:rPr>
              <w:bCs/>
              <w:color w:val="000000"/>
              <w:vertAlign w:val="superscript"/>
            </w:rPr>
            <w:footnoteReference w:id="87"/>
          </w:r>
          <w:r w:rsidRPr="007F1CAA">
            <w:rPr>
              <w:bCs/>
              <w:color w:val="000000"/>
            </w:rPr>
            <w:t xml:space="preserve"> The case </w:t>
          </w:r>
          <w:r w:rsidRPr="007F1CAA">
            <w:rPr>
              <w:bCs/>
            </w:rPr>
            <w:t>challenged</w:t>
          </w:r>
          <w:r w:rsidRPr="007F1CAA">
            <w:rPr>
              <w:bCs/>
              <w:color w:val="000000"/>
            </w:rPr>
            <w:t xml:space="preserve"> the decision made by the </w:t>
          </w:r>
          <w:r w:rsidRPr="007F1CAA">
            <w:rPr>
              <w:bCs/>
            </w:rPr>
            <w:t xml:space="preserve">prison governor to prohibit </w:t>
          </w:r>
          <w:r w:rsidRPr="007F1CAA">
            <w:rPr>
              <w:bCs/>
              <w:color w:val="000000"/>
            </w:rPr>
            <w:t>items on security grounds, including a wig and tights</w:t>
          </w:r>
          <w:r w:rsidRPr="007F1CAA">
            <w:rPr>
              <w:bCs/>
            </w:rPr>
            <w:t xml:space="preserve"> to a transgender prisoner</w:t>
          </w:r>
          <w:r w:rsidRPr="007F1CAA">
            <w:rPr>
              <w:bCs/>
              <w:color w:val="000000"/>
            </w:rPr>
            <w:t>.</w:t>
          </w:r>
          <w:r w:rsidRPr="007F1CAA">
            <w:rPr>
              <w:bCs/>
              <w:color w:val="000000"/>
              <w:vertAlign w:val="superscript"/>
            </w:rPr>
            <w:footnoteReference w:id="88"/>
          </w:r>
          <w:r w:rsidRPr="007F1CAA">
            <w:rPr>
              <w:bCs/>
              <w:color w:val="000000"/>
            </w:rPr>
            <w:t xml:space="preserve"> </w:t>
          </w:r>
          <w:r w:rsidRPr="007F1CAA">
            <w:rPr>
              <w:bCs/>
            </w:rPr>
            <w:t xml:space="preserve">Green </w:t>
          </w:r>
          <w:r w:rsidRPr="007F1CAA">
            <w:rPr>
              <w:bCs/>
              <w:color w:val="000000"/>
            </w:rPr>
            <w:t>argued that the decision contravened PSI 07/2011</w:t>
          </w:r>
          <w:r w:rsidR="001C2101" w:rsidRPr="007F1CAA">
            <w:rPr>
              <w:bCs/>
              <w:color w:val="000000"/>
            </w:rPr>
            <w:t>,</w:t>
          </w:r>
          <w:r w:rsidRPr="007F1CAA">
            <w:rPr>
              <w:bCs/>
              <w:color w:val="000000"/>
            </w:rPr>
            <w:t xml:space="preserve"> as well as violating her rights enshrined under the Equality Act 2010.</w:t>
          </w:r>
          <w:r w:rsidRPr="007F1CAA">
            <w:rPr>
              <w:bCs/>
              <w:color w:val="000000"/>
              <w:vertAlign w:val="superscript"/>
            </w:rPr>
            <w:footnoteReference w:id="89"/>
          </w:r>
        </w:p>
        <w:p w14:paraId="00000035" w14:textId="52BD11EA" w:rsidR="00985107" w:rsidRPr="007F1CAA" w:rsidRDefault="00A1537F" w:rsidP="001C2101">
          <w:pPr>
            <w:pBdr>
              <w:top w:val="nil"/>
              <w:left w:val="nil"/>
              <w:bottom w:val="nil"/>
              <w:right w:val="nil"/>
              <w:between w:val="nil"/>
            </w:pBdr>
            <w:spacing w:after="0" w:line="480" w:lineRule="auto"/>
            <w:ind w:firstLine="720"/>
            <w:jc w:val="both"/>
            <w:rPr>
              <w:bCs/>
              <w:color w:val="000000"/>
            </w:rPr>
          </w:pPr>
        </w:p>
      </w:sdtContent>
    </w:sdt>
    <w:sdt>
      <w:sdtPr>
        <w:rPr>
          <w:bCs/>
        </w:rPr>
        <w:tag w:val="goog_rdk_69"/>
        <w:id w:val="1691883905"/>
      </w:sdtPr>
      <w:sdtContent>
        <w:p w14:paraId="00000036" w14:textId="40F4A0AC" w:rsidR="00985107"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Initially, the judge acknowledged the complexity of the prison environment for transgender people and for those with more fluid gender identities.</w:t>
          </w:r>
          <w:r w:rsidRPr="007F1CAA">
            <w:rPr>
              <w:bCs/>
              <w:color w:val="000000"/>
              <w:vertAlign w:val="superscript"/>
            </w:rPr>
            <w:t xml:space="preserve"> </w:t>
          </w:r>
          <w:r w:rsidRPr="007F1CAA">
            <w:rPr>
              <w:bCs/>
              <w:color w:val="000000"/>
              <w:vertAlign w:val="superscript"/>
            </w:rPr>
            <w:footnoteReference w:id="90"/>
          </w:r>
          <w:r w:rsidRPr="007F1CAA">
            <w:rPr>
              <w:bCs/>
              <w:color w:val="000000"/>
            </w:rPr>
            <w:t xml:space="preserve"> Similarly, he recognized that the hostility and ignorance towards </w:t>
          </w:r>
          <w:r w:rsidRPr="007F1CAA">
            <w:rPr>
              <w:bCs/>
            </w:rPr>
            <w:t xml:space="preserve">transgender people </w:t>
          </w:r>
          <w:r w:rsidRPr="007F1CAA">
            <w:rPr>
              <w:bCs/>
              <w:color w:val="000000"/>
            </w:rPr>
            <w:t>within the prison environment increased the exposure of transgender prisoners to instances of sexual and physical violence.</w:t>
          </w:r>
          <w:r w:rsidRPr="007F1CAA">
            <w:rPr>
              <w:bCs/>
              <w:color w:val="000000"/>
              <w:vertAlign w:val="superscript"/>
            </w:rPr>
            <w:footnoteReference w:id="91"/>
          </w:r>
          <w:r w:rsidRPr="007F1CAA">
            <w:rPr>
              <w:bCs/>
              <w:color w:val="000000"/>
            </w:rPr>
            <w:t xml:space="preserve"> Encouragingly, he accorded weight to the </w:t>
          </w:r>
          <w:r w:rsidR="001C2101" w:rsidRPr="007F1CAA">
            <w:rPr>
              <w:bCs/>
              <w:color w:val="000000"/>
            </w:rPr>
            <w:t>“</w:t>
          </w:r>
          <w:r w:rsidRPr="007F1CAA">
            <w:rPr>
              <w:bCs/>
              <w:color w:val="000000"/>
            </w:rPr>
            <w:t>profound</w:t>
          </w:r>
          <w:r w:rsidR="001C2101" w:rsidRPr="007F1CAA">
            <w:rPr>
              <w:bCs/>
              <w:color w:val="000000"/>
            </w:rPr>
            <w:t>”</w:t>
          </w:r>
          <w:r w:rsidRPr="007F1CAA">
            <w:rPr>
              <w:bCs/>
              <w:color w:val="000000"/>
            </w:rPr>
            <w:t xml:space="preserve"> importance of recognising an individual’s gender identity and gender transition.</w:t>
          </w:r>
          <w:r w:rsidRPr="007F1CAA">
            <w:rPr>
              <w:bCs/>
              <w:color w:val="000000"/>
              <w:vertAlign w:val="superscript"/>
            </w:rPr>
            <w:footnoteReference w:id="92"/>
          </w:r>
          <w:r w:rsidRPr="007F1CAA">
            <w:rPr>
              <w:bCs/>
              <w:color w:val="000000"/>
            </w:rPr>
            <w:t xml:space="preserve"> However, the judge ruled that the prohibition of the items represented a legitimate and necessary security and discipline measure.</w:t>
          </w:r>
          <w:r w:rsidRPr="007F1CAA">
            <w:rPr>
              <w:bCs/>
              <w:color w:val="000000"/>
              <w:vertAlign w:val="superscript"/>
            </w:rPr>
            <w:footnoteReference w:id="93"/>
          </w:r>
          <w:r w:rsidRPr="007F1CAA">
            <w:rPr>
              <w:bCs/>
              <w:color w:val="000000"/>
            </w:rPr>
            <w:t xml:space="preserve"> Rather than addressing the culture of transphobia within the prison environment, the judge problemati</w:t>
          </w:r>
          <w:r w:rsidRPr="007F1CAA">
            <w:rPr>
              <w:bCs/>
            </w:rPr>
            <w:t>z</w:t>
          </w:r>
          <w:r w:rsidRPr="007F1CAA">
            <w:rPr>
              <w:bCs/>
              <w:color w:val="000000"/>
            </w:rPr>
            <w:t xml:space="preserve">ed </w:t>
          </w:r>
          <w:r w:rsidRPr="007F1CAA">
            <w:rPr>
              <w:bCs/>
            </w:rPr>
            <w:t xml:space="preserve">Green’s </w:t>
          </w:r>
          <w:r w:rsidRPr="007F1CAA">
            <w:rPr>
              <w:bCs/>
              <w:color w:val="000000"/>
            </w:rPr>
            <w:t xml:space="preserve">gender identity as an issue that is </w:t>
          </w:r>
          <w:r w:rsidRPr="007F1CAA">
            <w:rPr>
              <w:bCs/>
            </w:rPr>
            <w:t>“</w:t>
          </w:r>
          <w:r w:rsidRPr="007F1CAA">
            <w:rPr>
              <w:bCs/>
              <w:color w:val="000000"/>
            </w:rPr>
            <w:t>likely to materially affect the good order of the other wings</w:t>
          </w:r>
          <w:r w:rsidR="001C2101" w:rsidRPr="007F1CAA">
            <w:rPr>
              <w:bCs/>
              <w:color w:val="000000"/>
            </w:rPr>
            <w:t>.</w:t>
          </w:r>
          <w:r w:rsidRPr="007F1CAA">
            <w:rPr>
              <w:bCs/>
            </w:rPr>
            <w:t>”</w:t>
          </w:r>
          <w:r w:rsidRPr="007F1CAA">
            <w:rPr>
              <w:bCs/>
              <w:color w:val="000000"/>
              <w:vertAlign w:val="superscript"/>
            </w:rPr>
            <w:footnoteReference w:id="94"/>
          </w:r>
          <w:r w:rsidRPr="007F1CAA">
            <w:rPr>
              <w:bCs/>
              <w:color w:val="000000"/>
            </w:rPr>
            <w:t xml:space="preserve"> </w:t>
          </w:r>
          <w:r w:rsidRPr="007F1CAA">
            <w:rPr>
              <w:bCs/>
            </w:rPr>
            <w:t xml:space="preserve">This mirrors more historic jurisprudence established by </w:t>
          </w:r>
          <w:r w:rsidRPr="007F1CAA">
            <w:rPr>
              <w:bCs/>
              <w:i/>
              <w:iCs/>
            </w:rPr>
            <w:t>Harris</w:t>
          </w:r>
          <w:r w:rsidRPr="007F1CAA">
            <w:rPr>
              <w:bCs/>
            </w:rPr>
            <w:t xml:space="preserve">, as once again </w:t>
          </w:r>
          <w:r w:rsidRPr="007F1CAA">
            <w:rPr>
              <w:bCs/>
              <w:color w:val="000000"/>
            </w:rPr>
            <w:t xml:space="preserve">the judge missed the opportunity to </w:t>
          </w:r>
          <w:r w:rsidRPr="007F1CAA">
            <w:rPr>
              <w:bCs/>
            </w:rPr>
            <w:t xml:space="preserve">address </w:t>
          </w:r>
          <w:r w:rsidRPr="007F1CAA">
            <w:rPr>
              <w:bCs/>
              <w:color w:val="000000"/>
            </w:rPr>
            <w:t>the culture of transphobia within the prison. In failing to trouble these embedded attitudes within the prison estate, the court perpetuates the very discrimination that the law purports to protect society against.</w:t>
          </w:r>
          <w:r w:rsidRPr="007F1CAA">
            <w:rPr>
              <w:bCs/>
              <w:color w:val="000000"/>
              <w:vertAlign w:val="superscript"/>
            </w:rPr>
            <w:footnoteReference w:id="95"/>
          </w:r>
          <w:r w:rsidRPr="007F1CAA">
            <w:rPr>
              <w:bCs/>
              <w:color w:val="000000"/>
            </w:rPr>
            <w:t xml:space="preserve"> </w:t>
          </w:r>
        </w:p>
      </w:sdtContent>
    </w:sdt>
    <w:sdt>
      <w:sdtPr>
        <w:rPr>
          <w:bCs/>
        </w:rPr>
        <w:tag w:val="goog_rdk_70"/>
        <w:id w:val="510648354"/>
      </w:sdtPr>
      <w:sdtContent>
        <w:p w14:paraId="6B8F38C0" w14:textId="77777777" w:rsidR="001C2101"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Perhaps, more concerning is the judge’s refusal to recognize and accommodate the identity of the transgender claimant properly within the judgment. Towards the end of the judgment</w:t>
          </w:r>
          <w:r w:rsidR="001C2101" w:rsidRPr="007F1CAA">
            <w:rPr>
              <w:bCs/>
              <w:color w:val="000000"/>
            </w:rPr>
            <w:t>,</w:t>
          </w:r>
          <w:r w:rsidRPr="007F1CAA">
            <w:rPr>
              <w:bCs/>
              <w:color w:val="000000"/>
            </w:rPr>
            <w:t xml:space="preserve"> he makes repeated inference to the claimant’s biological and anatomical makeup and physical appearance in a manner which casts doubt on the authenticity of </w:t>
          </w:r>
          <w:r w:rsidRPr="007F1CAA">
            <w:rPr>
              <w:bCs/>
            </w:rPr>
            <w:t>her</w:t>
          </w:r>
          <w:r w:rsidRPr="007F1CAA">
            <w:rPr>
              <w:bCs/>
              <w:color w:val="000000"/>
            </w:rPr>
            <w:t xml:space="preserve"> gender status.</w:t>
          </w:r>
          <w:r w:rsidRPr="007F1CAA">
            <w:rPr>
              <w:bCs/>
              <w:color w:val="000000"/>
              <w:vertAlign w:val="superscript"/>
            </w:rPr>
            <w:footnoteReference w:id="96"/>
          </w:r>
          <w:r w:rsidRPr="007F1CAA">
            <w:rPr>
              <w:bCs/>
              <w:color w:val="000000"/>
            </w:rPr>
            <w:t xml:space="preserve"> The judge states:</w:t>
          </w:r>
        </w:p>
        <w:p w14:paraId="00000037" w14:textId="5FD78ED4" w:rsidR="00985107" w:rsidRPr="007F1CAA" w:rsidRDefault="00A1537F" w:rsidP="00080569">
          <w:pPr>
            <w:pBdr>
              <w:top w:val="nil"/>
              <w:left w:val="nil"/>
              <w:bottom w:val="nil"/>
              <w:right w:val="nil"/>
              <w:between w:val="nil"/>
            </w:pBdr>
            <w:spacing w:after="0" w:line="480" w:lineRule="auto"/>
            <w:ind w:firstLine="720"/>
            <w:jc w:val="both"/>
            <w:rPr>
              <w:bCs/>
              <w:color w:val="000000"/>
            </w:rPr>
          </w:pPr>
        </w:p>
      </w:sdtContent>
    </w:sdt>
    <w:sdt>
      <w:sdtPr>
        <w:rPr>
          <w:bCs/>
        </w:rPr>
        <w:tag w:val="goog_rdk_71"/>
        <w:id w:val="695279471"/>
      </w:sdtPr>
      <w:sdtContent>
        <w:p w14:paraId="00000038" w14:textId="77777777" w:rsidR="00985107" w:rsidRPr="007F1CAA" w:rsidRDefault="00411C03" w:rsidP="001C2101">
          <w:pPr>
            <w:pBdr>
              <w:top w:val="nil"/>
              <w:left w:val="nil"/>
              <w:bottom w:val="nil"/>
              <w:right w:val="nil"/>
              <w:between w:val="nil"/>
            </w:pBdr>
            <w:spacing w:after="0" w:line="480" w:lineRule="auto"/>
            <w:ind w:left="567" w:right="567"/>
            <w:jc w:val="both"/>
            <w:rPr>
              <w:bCs/>
            </w:rPr>
          </w:pPr>
          <w:r w:rsidRPr="007F1CAA">
            <w:rPr>
              <w:bCs/>
            </w:rPr>
            <w:t>“</w:t>
          </w:r>
          <w:r w:rsidRPr="007F1CAA">
            <w:rPr>
              <w:bCs/>
              <w:color w:val="000000"/>
            </w:rPr>
            <w:t>The claimant is a man seeking to become a woman – but he is still of the male gender and a male prisoner. He is in a male prison and until there is a Gender Recognition Certificate, he remains male. A woman prisoner cannot conceivably be the comparator as the woman prisoner has (either by birth or election) achieved what the claimant wishes. Male to female transsexuals are not automatically entitled to the same treatment as women – until they become women.</w:t>
          </w:r>
          <w:r w:rsidRPr="007F1CAA">
            <w:rPr>
              <w:bCs/>
            </w:rPr>
            <w:t>”</w:t>
          </w:r>
          <w:r w:rsidRPr="007F1CAA">
            <w:rPr>
              <w:bCs/>
              <w:color w:val="000000"/>
              <w:vertAlign w:val="superscript"/>
            </w:rPr>
            <w:footnoteReference w:id="97"/>
          </w:r>
          <w:r w:rsidRPr="007F1CAA">
            <w:rPr>
              <w:bCs/>
              <w:color w:val="000000"/>
            </w:rPr>
            <w:br/>
          </w:r>
          <w:r w:rsidRPr="007F1CAA">
            <w:rPr>
              <w:bCs/>
            </w:rPr>
            <w:tab/>
          </w:r>
        </w:p>
      </w:sdtContent>
    </w:sdt>
    <w:sdt>
      <w:sdtPr>
        <w:rPr>
          <w:bCs/>
        </w:rPr>
        <w:tag w:val="goog_rdk_73"/>
        <w:id w:val="1051191761"/>
      </w:sdtPr>
      <w:sdtContent>
        <w:p w14:paraId="5181927A" w14:textId="77777777" w:rsidR="00DC5E2C" w:rsidRPr="007F1CAA" w:rsidRDefault="00411C03" w:rsidP="001C2101">
          <w:pPr>
            <w:pBdr>
              <w:top w:val="nil"/>
              <w:left w:val="nil"/>
              <w:bottom w:val="nil"/>
              <w:right w:val="nil"/>
              <w:between w:val="nil"/>
            </w:pBdr>
            <w:spacing w:after="0" w:line="480" w:lineRule="auto"/>
            <w:jc w:val="both"/>
            <w:rPr>
              <w:bCs/>
              <w:color w:val="000000"/>
            </w:rPr>
          </w:pPr>
          <w:r w:rsidRPr="007F1CAA">
            <w:rPr>
              <w:bCs/>
            </w:rPr>
            <w:t xml:space="preserve">In narrowly conceptualising the claimant’s gender identity in essentialist terms, </w:t>
          </w:r>
          <w:r w:rsidRPr="007F1CAA">
            <w:rPr>
              <w:bCs/>
              <w:color w:val="000000"/>
            </w:rPr>
            <w:t>the judge merely reifies archaic jurisprudence.</w:t>
          </w:r>
          <w:r w:rsidRPr="007F1CAA">
            <w:rPr>
              <w:bCs/>
              <w:color w:val="000000"/>
              <w:vertAlign w:val="superscript"/>
            </w:rPr>
            <w:footnoteReference w:id="98"/>
          </w:r>
          <w:r w:rsidRPr="007F1CAA">
            <w:rPr>
              <w:bCs/>
              <w:color w:val="000000"/>
            </w:rPr>
            <w:t xml:space="preserve"> Further, the judge perpetuates the false premise that transgender people must undergo a physical gender re</w:t>
          </w:r>
          <w:r w:rsidRPr="007F1CAA">
            <w:rPr>
              <w:bCs/>
            </w:rPr>
            <w:t>a</w:t>
          </w:r>
          <w:r w:rsidRPr="007F1CAA">
            <w:rPr>
              <w:bCs/>
              <w:color w:val="000000"/>
            </w:rPr>
            <w:t xml:space="preserve">ssignment in order to be perceived as living authentically in their true gender. Thus, he can also be said to contravene the Equality Act 2010, as he fails to accord the same respect to transgender prisoners like Green who are </w:t>
          </w:r>
          <w:r w:rsidRPr="007F1CAA">
            <w:rPr>
              <w:bCs/>
            </w:rPr>
            <w:t>“</w:t>
          </w:r>
          <w:r w:rsidRPr="007F1CAA">
            <w:rPr>
              <w:bCs/>
              <w:color w:val="000000"/>
            </w:rPr>
            <w:t>proposing to undergo</w:t>
          </w:r>
          <w:r w:rsidRPr="007F1CAA">
            <w:rPr>
              <w:bCs/>
            </w:rPr>
            <w:t>”</w:t>
          </w:r>
          <w:r w:rsidRPr="007F1CAA">
            <w:rPr>
              <w:bCs/>
              <w:color w:val="000000"/>
            </w:rPr>
            <w:t xml:space="preserve"> or who are </w:t>
          </w:r>
          <w:r w:rsidRPr="007F1CAA">
            <w:rPr>
              <w:bCs/>
            </w:rPr>
            <w:t>“</w:t>
          </w:r>
          <w:r w:rsidRPr="007F1CAA">
            <w:rPr>
              <w:bCs/>
              <w:color w:val="000000"/>
            </w:rPr>
            <w:t>undergoing</w:t>
          </w:r>
          <w:r w:rsidRPr="007F1CAA">
            <w:rPr>
              <w:bCs/>
            </w:rPr>
            <w:t>”</w:t>
          </w:r>
          <w:r w:rsidRPr="007F1CAA">
            <w:rPr>
              <w:bCs/>
              <w:color w:val="000000"/>
            </w:rPr>
            <w:t xml:space="preserve"> a process of gender reassignment.</w:t>
          </w:r>
          <w:r w:rsidRPr="007F1CAA">
            <w:rPr>
              <w:bCs/>
              <w:color w:val="000000"/>
              <w:vertAlign w:val="superscript"/>
            </w:rPr>
            <w:footnoteReference w:id="99"/>
          </w:r>
          <w:r w:rsidRPr="007F1CAA">
            <w:rPr>
              <w:bCs/>
            </w:rPr>
            <w:t xml:space="preserve"> </w:t>
          </w:r>
          <w:sdt>
            <w:sdtPr>
              <w:rPr>
                <w:bCs/>
              </w:rPr>
              <w:tag w:val="goog_rdk_72"/>
              <w:id w:val="-583840055"/>
            </w:sdtPr>
            <w:sdtContent/>
          </w:sdt>
          <w:r w:rsidRPr="007F1CAA">
            <w:rPr>
              <w:bCs/>
              <w:color w:val="000000"/>
            </w:rPr>
            <w:t xml:space="preserve">Ultimately, it is clear that the essentialist legacy of </w:t>
          </w:r>
          <w:r w:rsidR="00DC5E2C" w:rsidRPr="007F1CAA">
            <w:rPr>
              <w:bCs/>
              <w:i/>
              <w:iCs/>
              <w:color w:val="000000"/>
            </w:rPr>
            <w:t xml:space="preserve">Corbett v Corbett (Otherwise Ashley) (No 1) </w:t>
          </w:r>
          <w:r w:rsidRPr="007F1CAA">
            <w:rPr>
              <w:bCs/>
              <w:color w:val="000000"/>
            </w:rPr>
            <w:t>remains despite the enactment of the Equality Act 2010</w:t>
          </w:r>
          <w:r w:rsidR="00DC5E2C" w:rsidRPr="007F1CAA">
            <w:rPr>
              <w:bCs/>
              <w:color w:val="000000"/>
            </w:rPr>
            <w:t>,</w:t>
          </w:r>
          <w:r w:rsidRPr="007F1CAA">
            <w:rPr>
              <w:bCs/>
              <w:color w:val="000000"/>
            </w:rPr>
            <w:t xml:space="preserve"> which was heralded as a </w:t>
          </w:r>
          <w:r w:rsidRPr="007F1CAA">
            <w:rPr>
              <w:bCs/>
            </w:rPr>
            <w:t>“</w:t>
          </w:r>
          <w:r w:rsidRPr="007F1CAA">
            <w:rPr>
              <w:bCs/>
              <w:color w:val="000000"/>
            </w:rPr>
            <w:t>new beginning</w:t>
          </w:r>
          <w:r w:rsidRPr="007F1CAA">
            <w:rPr>
              <w:bCs/>
            </w:rPr>
            <w:t>”</w:t>
          </w:r>
          <w:r w:rsidRPr="007F1CAA">
            <w:rPr>
              <w:bCs/>
              <w:color w:val="000000"/>
            </w:rPr>
            <w:t xml:space="preserve"> in terms of equality for some of the most vulnerable members of our society.</w:t>
          </w:r>
          <w:r w:rsidRPr="007F1CAA">
            <w:rPr>
              <w:bCs/>
              <w:color w:val="000000"/>
              <w:vertAlign w:val="superscript"/>
            </w:rPr>
            <w:footnoteReference w:id="100"/>
          </w:r>
        </w:p>
        <w:p w14:paraId="00000039" w14:textId="7CBF49DD" w:rsidR="00985107" w:rsidRPr="007F1CAA" w:rsidRDefault="00A1537F" w:rsidP="001C2101">
          <w:pPr>
            <w:pBdr>
              <w:top w:val="nil"/>
              <w:left w:val="nil"/>
              <w:bottom w:val="nil"/>
              <w:right w:val="nil"/>
              <w:between w:val="nil"/>
            </w:pBdr>
            <w:spacing w:after="0" w:line="480" w:lineRule="auto"/>
            <w:jc w:val="both"/>
            <w:rPr>
              <w:bCs/>
              <w:color w:val="000000"/>
            </w:rPr>
          </w:pPr>
        </w:p>
      </w:sdtContent>
    </w:sdt>
    <w:sdt>
      <w:sdtPr>
        <w:rPr>
          <w:bCs/>
        </w:rPr>
        <w:tag w:val="goog_rdk_74"/>
        <w:id w:val="2124425456"/>
      </w:sdtPr>
      <w:sdtContent>
        <w:p w14:paraId="6574CCCB" w14:textId="4E68244D" w:rsidR="00CA5978"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Following the self-inflicted deaths of transgender women prisoners</w:t>
          </w:r>
          <w:r w:rsidR="00CA5978" w:rsidRPr="007F1CAA">
            <w:rPr>
              <w:bCs/>
              <w:color w:val="000000"/>
            </w:rPr>
            <w:t xml:space="preserve"> – </w:t>
          </w:r>
          <w:r w:rsidRPr="007F1CAA">
            <w:rPr>
              <w:bCs/>
              <w:color w:val="000000"/>
            </w:rPr>
            <w:t xml:space="preserve">Vikki Thompson, Joanne Latham and Jenny Swift </w:t>
          </w:r>
          <w:r w:rsidR="00CA5978" w:rsidRPr="007F1CAA">
            <w:rPr>
              <w:bCs/>
              <w:color w:val="000000"/>
            </w:rPr>
            <w:t xml:space="preserve">– after </w:t>
          </w:r>
          <w:r w:rsidRPr="007F1CAA">
            <w:rPr>
              <w:bCs/>
              <w:color w:val="000000"/>
            </w:rPr>
            <w:t xml:space="preserve">they were incorrectly placed in the men’s prison estate, the </w:t>
          </w:r>
          <w:r w:rsidR="00CA5978" w:rsidRPr="007F1CAA">
            <w:rPr>
              <w:bCs/>
              <w:color w:val="000000"/>
            </w:rPr>
            <w:t>G</w:t>
          </w:r>
          <w:r w:rsidRPr="007F1CAA">
            <w:rPr>
              <w:bCs/>
              <w:color w:val="000000"/>
            </w:rPr>
            <w:t xml:space="preserve">overnment </w:t>
          </w:r>
          <w:r w:rsidR="00CA5978" w:rsidRPr="007F1CAA">
            <w:rPr>
              <w:bCs/>
              <w:color w:val="000000"/>
            </w:rPr>
            <w:t xml:space="preserve">was </w:t>
          </w:r>
          <w:r w:rsidRPr="007F1CAA">
            <w:rPr>
              <w:bCs/>
              <w:color w:val="000000"/>
            </w:rPr>
            <w:t>forced to revise the former rigid and essentialist PSI-2011.</w:t>
          </w:r>
          <w:r w:rsidRPr="007F1CAA">
            <w:rPr>
              <w:bCs/>
              <w:color w:val="000000"/>
              <w:vertAlign w:val="superscript"/>
            </w:rPr>
            <w:footnoteReference w:id="101"/>
          </w:r>
          <w:r w:rsidRPr="007F1CAA">
            <w:rPr>
              <w:bCs/>
              <w:color w:val="000000"/>
            </w:rPr>
            <w:t xml:space="preserve"> The new policy PSI-17/2016 came into effect in January 2017 with the promise of extending a </w:t>
          </w:r>
          <w:r w:rsidRPr="007F1CAA">
            <w:rPr>
              <w:bCs/>
            </w:rPr>
            <w:t>“</w:t>
          </w:r>
          <w:r w:rsidRPr="007F1CAA">
            <w:rPr>
              <w:bCs/>
              <w:color w:val="000000"/>
            </w:rPr>
            <w:t>more flexible approach to location</w:t>
          </w:r>
          <w:r w:rsidRPr="007F1CAA">
            <w:rPr>
              <w:bCs/>
            </w:rPr>
            <w:t>”</w:t>
          </w:r>
          <w:r w:rsidRPr="007F1CAA">
            <w:rPr>
              <w:bCs/>
              <w:color w:val="000000"/>
            </w:rPr>
            <w:t xml:space="preserve"> and protection of those transgender prisoners who express their gender in binary terms, but also to those with more fluid gender identities and non-binary prisoners.</w:t>
          </w:r>
          <w:r w:rsidRPr="007F1CAA">
            <w:rPr>
              <w:bCs/>
              <w:color w:val="000000"/>
              <w:vertAlign w:val="superscript"/>
            </w:rPr>
            <w:footnoteReference w:id="102"/>
          </w:r>
          <w:r w:rsidRPr="007F1CAA">
            <w:rPr>
              <w:bCs/>
              <w:color w:val="000000"/>
            </w:rPr>
            <w:t xml:space="preserve"> </w:t>
          </w:r>
          <w:r w:rsidRPr="007F1CAA">
            <w:rPr>
              <w:bCs/>
            </w:rPr>
            <w:t xml:space="preserve">Harris and Emerton </w:t>
          </w:r>
          <w:r w:rsidRPr="007F1CAA">
            <w:rPr>
              <w:bCs/>
              <w:color w:val="000000"/>
            </w:rPr>
            <w:t xml:space="preserve">commend the largely progressive stance provided by the revised PSI embracing the swifter and more transparent process of location supported by the convening of </w:t>
          </w:r>
          <w:r w:rsidRPr="007F1CAA">
            <w:rPr>
              <w:bCs/>
            </w:rPr>
            <w:t>“</w:t>
          </w:r>
          <w:r w:rsidRPr="007F1CAA">
            <w:rPr>
              <w:bCs/>
              <w:color w:val="000000"/>
            </w:rPr>
            <w:t>Transgender Case Boards</w:t>
          </w:r>
          <w:r w:rsidRPr="007F1CAA">
            <w:rPr>
              <w:bCs/>
            </w:rPr>
            <w:t>”</w:t>
          </w:r>
          <w:r w:rsidRPr="007F1CAA">
            <w:rPr>
              <w:bCs/>
              <w:color w:val="000000"/>
            </w:rPr>
            <w:t>.</w:t>
          </w:r>
          <w:r w:rsidRPr="007F1CAA">
            <w:rPr>
              <w:bCs/>
              <w:color w:val="000000"/>
              <w:vertAlign w:val="superscript"/>
            </w:rPr>
            <w:footnoteReference w:id="103"/>
          </w:r>
          <w:r w:rsidR="00CA5978" w:rsidRPr="007F1CAA">
            <w:rPr>
              <w:bCs/>
              <w:color w:val="000000"/>
            </w:rPr>
            <w:t xml:space="preserve"> At the time of writing, the Government is once again seeking to implement a new policy framework for the care and management of individuals who are transgender.</w:t>
          </w:r>
          <w:r w:rsidR="00CA5978" w:rsidRPr="007F1CAA">
            <w:rPr>
              <w:rStyle w:val="FootnoteReference"/>
              <w:bCs/>
              <w:color w:val="000000"/>
            </w:rPr>
            <w:footnoteReference w:id="104"/>
          </w:r>
          <w:r w:rsidR="00CA5978" w:rsidRPr="007F1CAA">
            <w:rPr>
              <w:bCs/>
              <w:color w:val="000000"/>
            </w:rPr>
            <w:t xml:space="preserve"> While our discussion here will focus on the 2017 policy, it is important to acknowledge how recent government interventions may once again shift the treatment, rights and lived-experience of transgender and gender non-conforming persons. </w:t>
          </w:r>
        </w:p>
        <w:p w14:paraId="0000003A" w14:textId="28E24DCB" w:rsidR="00985107"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rPr>
            <w:br/>
          </w:r>
          <w:r w:rsidRPr="007F1CAA">
            <w:rPr>
              <w:bCs/>
            </w:rPr>
            <w:tab/>
          </w:r>
          <w:r w:rsidRPr="007F1CAA">
            <w:rPr>
              <w:bCs/>
              <w:color w:val="000000"/>
            </w:rPr>
            <w:t xml:space="preserve">Despite the progressive stance of PSI-17/2016, Robyn Emerton highlights </w:t>
          </w:r>
          <w:r w:rsidRPr="007F1CAA">
            <w:rPr>
              <w:bCs/>
            </w:rPr>
            <w:t xml:space="preserve">that media </w:t>
          </w:r>
          <w:r w:rsidRPr="007F1CAA">
            <w:rPr>
              <w:bCs/>
            </w:rPr>
            <w:lastRenderedPageBreak/>
            <w:t>outlets consistently problematize the inclusion of transgender people within the prison environment</w:t>
          </w:r>
          <w:r w:rsidRPr="007F1CAA">
            <w:rPr>
              <w:bCs/>
              <w:color w:val="000000"/>
            </w:rPr>
            <w:t>.</w:t>
          </w:r>
          <w:r w:rsidRPr="007F1CAA">
            <w:rPr>
              <w:bCs/>
              <w:color w:val="000000"/>
              <w:vertAlign w:val="superscript"/>
            </w:rPr>
            <w:footnoteReference w:id="105"/>
          </w:r>
          <w:r w:rsidRPr="007F1CAA">
            <w:rPr>
              <w:bCs/>
              <w:color w:val="000000"/>
            </w:rPr>
            <w:t xml:space="preserve"> This concern has since been amplified </w:t>
          </w:r>
          <w:r w:rsidRPr="007F1CAA">
            <w:rPr>
              <w:bCs/>
            </w:rPr>
            <w:t xml:space="preserve">more recently </w:t>
          </w:r>
          <w:r w:rsidRPr="007F1CAA">
            <w:rPr>
              <w:bCs/>
              <w:color w:val="000000"/>
            </w:rPr>
            <w:t>by gender critical feminists following the transfer of Karen White to the women’s prison estate.</w:t>
          </w:r>
          <w:r w:rsidRPr="007F1CAA">
            <w:rPr>
              <w:bCs/>
              <w:color w:val="000000"/>
              <w:vertAlign w:val="superscript"/>
            </w:rPr>
            <w:footnoteReference w:id="106"/>
          </w:r>
          <w:r w:rsidRPr="007F1CAA">
            <w:rPr>
              <w:bCs/>
              <w:color w:val="000000"/>
            </w:rPr>
            <w:t xml:space="preserve"> </w:t>
          </w:r>
        </w:p>
      </w:sdtContent>
    </w:sdt>
    <w:sdt>
      <w:sdtPr>
        <w:rPr>
          <w:bCs/>
        </w:rPr>
        <w:tag w:val="goog_rdk_75"/>
        <w:id w:val="1827094015"/>
      </w:sdtPr>
      <w:sdtContent>
        <w:p w14:paraId="4F7EDCA0" w14:textId="77777777" w:rsidR="00CA5978" w:rsidRPr="007F1CAA" w:rsidRDefault="00CA5978" w:rsidP="00CA5978">
          <w:pPr>
            <w:pBdr>
              <w:top w:val="nil"/>
              <w:left w:val="nil"/>
              <w:bottom w:val="nil"/>
              <w:right w:val="nil"/>
              <w:between w:val="nil"/>
            </w:pBdr>
            <w:spacing w:after="0" w:line="480" w:lineRule="auto"/>
            <w:jc w:val="both"/>
            <w:rPr>
              <w:bCs/>
            </w:rPr>
          </w:pPr>
        </w:p>
        <w:p w14:paraId="29207E99" w14:textId="0410E8B3" w:rsidR="00850530" w:rsidRPr="007F1CAA" w:rsidRDefault="00411C03" w:rsidP="00CA5978">
          <w:pPr>
            <w:pBdr>
              <w:top w:val="nil"/>
              <w:left w:val="nil"/>
              <w:bottom w:val="nil"/>
              <w:right w:val="nil"/>
              <w:between w:val="nil"/>
            </w:pBdr>
            <w:spacing w:after="0" w:line="480" w:lineRule="auto"/>
            <w:ind w:firstLine="720"/>
            <w:jc w:val="both"/>
            <w:rPr>
              <w:bCs/>
            </w:rPr>
          </w:pPr>
          <w:r w:rsidRPr="007F1CAA">
            <w:rPr>
              <w:bCs/>
              <w:color w:val="000000"/>
            </w:rPr>
            <w:t>While PSI-17/2016 extends protection to a diverse range of genders, the policy reinforces</w:t>
          </w:r>
          <w:r w:rsidR="00850530" w:rsidRPr="007F1CAA">
            <w:rPr>
              <w:bCs/>
              <w:color w:val="000000"/>
            </w:rPr>
            <w:t xml:space="preserve"> the</w:t>
          </w:r>
          <w:r w:rsidRPr="007F1CAA">
            <w:rPr>
              <w:bCs/>
              <w:color w:val="000000"/>
            </w:rPr>
            <w:t xml:space="preserve"> need to demonstrate </w:t>
          </w:r>
          <w:r w:rsidRPr="007F1CAA">
            <w:rPr>
              <w:bCs/>
            </w:rPr>
            <w:t>“</w:t>
          </w:r>
          <w:r w:rsidRPr="007F1CAA">
            <w:rPr>
              <w:bCs/>
              <w:color w:val="000000"/>
            </w:rPr>
            <w:t>consistent evidence</w:t>
          </w:r>
          <w:r w:rsidRPr="007F1CAA">
            <w:rPr>
              <w:bCs/>
            </w:rPr>
            <w:t>”</w:t>
          </w:r>
          <w:r w:rsidRPr="007F1CAA">
            <w:rPr>
              <w:bCs/>
              <w:color w:val="000000"/>
            </w:rPr>
            <w:t xml:space="preserve"> of living in </w:t>
          </w:r>
          <w:r w:rsidR="00850530" w:rsidRPr="007F1CAA">
            <w:rPr>
              <w:bCs/>
              <w:color w:val="000000"/>
            </w:rPr>
            <w:t xml:space="preserve">an </w:t>
          </w:r>
          <w:r w:rsidRPr="007F1CAA">
            <w:rPr>
              <w:bCs/>
              <w:color w:val="000000"/>
            </w:rPr>
            <w:t>authentic gender.</w:t>
          </w:r>
          <w:r w:rsidRPr="007F1CAA">
            <w:rPr>
              <w:bCs/>
              <w:color w:val="000000"/>
              <w:vertAlign w:val="superscript"/>
            </w:rPr>
            <w:footnoteReference w:id="107"/>
          </w:r>
          <w:r w:rsidRPr="007F1CAA">
            <w:rPr>
              <w:bCs/>
              <w:color w:val="000000"/>
            </w:rPr>
            <w:t xml:space="preserve"> Thus, while the policy takes steps to include a range of transgender prisoners who experience their gender in binary terms, </w:t>
          </w:r>
          <w:r w:rsidRPr="007F1CAA">
            <w:rPr>
              <w:bCs/>
            </w:rPr>
            <w:t>Harris and Emerton</w:t>
          </w:r>
          <w:r w:rsidRPr="007F1CAA">
            <w:rPr>
              <w:bCs/>
              <w:color w:val="000000"/>
            </w:rPr>
            <w:t xml:space="preserve"> highlight that non-binary prisoners will continue to be placed within either the men’s or women’s prison estate depending on their legal gender.</w:t>
          </w:r>
          <w:r w:rsidRPr="007F1CAA">
            <w:rPr>
              <w:bCs/>
              <w:color w:val="000000"/>
              <w:vertAlign w:val="superscript"/>
            </w:rPr>
            <w:footnoteReference w:id="108"/>
          </w:r>
          <w:r w:rsidRPr="007F1CAA">
            <w:rPr>
              <w:bCs/>
              <w:color w:val="000000"/>
            </w:rPr>
            <w:t xml:space="preserve"> </w:t>
          </w:r>
          <w:r w:rsidRPr="007F1CAA">
            <w:rPr>
              <w:bCs/>
            </w:rPr>
            <w:t>Thus</w:t>
          </w:r>
          <w:r w:rsidR="00850530" w:rsidRPr="007F1CAA">
            <w:rPr>
              <w:bCs/>
            </w:rPr>
            <w:t>,</w:t>
          </w:r>
          <w:r w:rsidRPr="007F1CAA">
            <w:rPr>
              <w:bCs/>
            </w:rPr>
            <w:t xml:space="preserve"> arguably, PSI-17/2016 increases the vulnerability of some transgender prisoners by offering limited opportunities to lessen their visibility within the prison. This is the reverse for non-binary prisoners</w:t>
          </w:r>
          <w:r w:rsidR="00850530" w:rsidRPr="007F1CAA">
            <w:rPr>
              <w:bCs/>
            </w:rPr>
            <w:t>,</w:t>
          </w:r>
          <w:r w:rsidRPr="007F1CAA">
            <w:rPr>
              <w:bCs/>
            </w:rPr>
            <w:t xml:space="preserve"> who are left increasingly vulnerable within the prison because they are rendered invisible by inadequate institutional policies. Therefore, while some gender identities are granted substantive inclusion, others receive only formal protection</w:t>
          </w:r>
          <w:r w:rsidR="00850530" w:rsidRPr="007F1CAA">
            <w:rPr>
              <w:bCs/>
            </w:rPr>
            <w:t xml:space="preserve"> and thereby </w:t>
          </w:r>
          <w:r w:rsidRPr="007F1CAA">
            <w:rPr>
              <w:bCs/>
            </w:rPr>
            <w:t>remaining on the periphery of the legal conscience.</w:t>
          </w:r>
        </w:p>
        <w:p w14:paraId="0000003B" w14:textId="4487CF17" w:rsidR="00985107" w:rsidRPr="007F1CAA" w:rsidRDefault="00A1537F" w:rsidP="00CA5978">
          <w:pPr>
            <w:pBdr>
              <w:top w:val="nil"/>
              <w:left w:val="nil"/>
              <w:bottom w:val="nil"/>
              <w:right w:val="nil"/>
              <w:between w:val="nil"/>
            </w:pBdr>
            <w:spacing w:after="0" w:line="480" w:lineRule="auto"/>
            <w:ind w:firstLine="720"/>
            <w:jc w:val="both"/>
            <w:rPr>
              <w:bCs/>
              <w:color w:val="000000"/>
            </w:rPr>
          </w:pPr>
        </w:p>
      </w:sdtContent>
    </w:sdt>
    <w:bookmarkStart w:id="1" w:name="_heading=h.1fob9te" w:colFirst="0" w:colLast="0" w:displacedByCustomXml="next"/>
    <w:bookmarkEnd w:id="1" w:displacedByCustomXml="next"/>
    <w:sdt>
      <w:sdtPr>
        <w:rPr>
          <w:rFonts w:ascii="Times New Roman" w:hAnsi="Times New Roman" w:cs="Times New Roman"/>
          <w:b w:val="0"/>
          <w:bCs/>
          <w:sz w:val="24"/>
          <w:szCs w:val="24"/>
        </w:rPr>
        <w:tag w:val="goog_rdk_76"/>
        <w:id w:val="-1358731445"/>
      </w:sdtPr>
      <w:sdtContent>
        <w:p w14:paraId="0000003C" w14:textId="1F113ADE" w:rsidR="00985107" w:rsidRPr="007F1CAA" w:rsidRDefault="00850530" w:rsidP="00080569">
          <w:pPr>
            <w:pStyle w:val="Heading2"/>
            <w:spacing w:line="480" w:lineRule="auto"/>
            <w:jc w:val="both"/>
            <w:rPr>
              <w:rFonts w:ascii="Times New Roman" w:eastAsia="Times New Roman" w:hAnsi="Times New Roman" w:cs="Times New Roman"/>
              <w:b w:val="0"/>
              <w:bCs/>
              <w:sz w:val="24"/>
              <w:szCs w:val="24"/>
            </w:rPr>
          </w:pPr>
          <w:r w:rsidRPr="007F1CAA">
            <w:rPr>
              <w:rFonts w:ascii="Times New Roman" w:eastAsia="Times New Roman" w:hAnsi="Times New Roman" w:cs="Times New Roman"/>
              <w:b w:val="0"/>
              <w:bCs/>
              <w:sz w:val="24"/>
              <w:szCs w:val="24"/>
            </w:rPr>
            <w:t xml:space="preserve">B. </w:t>
          </w:r>
          <w:r w:rsidR="00411C03" w:rsidRPr="007F1CAA">
            <w:rPr>
              <w:rFonts w:ascii="Times New Roman" w:eastAsia="Times New Roman" w:hAnsi="Times New Roman" w:cs="Times New Roman"/>
              <w:b w:val="0"/>
              <w:bCs/>
              <w:sz w:val="24"/>
              <w:szCs w:val="24"/>
            </w:rPr>
            <w:t>Isolation of visible and vulnerable queer prisoners</w:t>
          </w:r>
        </w:p>
      </w:sdtContent>
    </w:sdt>
    <w:sdt>
      <w:sdtPr>
        <w:rPr>
          <w:bCs/>
        </w:rPr>
        <w:tag w:val="goog_rdk_77"/>
        <w:id w:val="-289211150"/>
      </w:sdtPr>
      <w:sdtContent>
        <w:p w14:paraId="30EA33EB" w14:textId="77777777" w:rsidR="00850530" w:rsidRPr="007F1CAA" w:rsidRDefault="00850530" w:rsidP="00080569">
          <w:pPr>
            <w:pBdr>
              <w:top w:val="nil"/>
              <w:left w:val="nil"/>
              <w:bottom w:val="nil"/>
              <w:right w:val="nil"/>
              <w:between w:val="nil"/>
            </w:pBdr>
            <w:tabs>
              <w:tab w:val="left" w:pos="1408"/>
            </w:tabs>
            <w:spacing w:after="0" w:line="480" w:lineRule="auto"/>
            <w:jc w:val="both"/>
            <w:rPr>
              <w:bCs/>
            </w:rPr>
          </w:pPr>
        </w:p>
        <w:p w14:paraId="0000003D" w14:textId="20FDB791" w:rsidR="00985107" w:rsidRPr="007F1CAA" w:rsidRDefault="00411C03" w:rsidP="00080569">
          <w:pPr>
            <w:pBdr>
              <w:top w:val="nil"/>
              <w:left w:val="nil"/>
              <w:bottom w:val="nil"/>
              <w:right w:val="nil"/>
              <w:between w:val="nil"/>
            </w:pBdr>
            <w:tabs>
              <w:tab w:val="left" w:pos="1408"/>
            </w:tabs>
            <w:spacing w:after="0" w:line="480" w:lineRule="auto"/>
            <w:jc w:val="both"/>
            <w:rPr>
              <w:bCs/>
              <w:color w:val="000000"/>
            </w:rPr>
          </w:pPr>
          <w:r w:rsidRPr="007F1CAA">
            <w:rPr>
              <w:bCs/>
              <w:color w:val="000000"/>
            </w:rPr>
            <w:t xml:space="preserve">Queer prisoners who become visible or trans prisoners who are </w:t>
          </w:r>
          <w:proofErr w:type="spellStart"/>
          <w:r w:rsidRPr="007F1CAA">
            <w:rPr>
              <w:bCs/>
              <w:color w:val="000000"/>
            </w:rPr>
            <w:t>hypervisible</w:t>
          </w:r>
          <w:proofErr w:type="spellEnd"/>
          <w:r w:rsidRPr="007F1CAA">
            <w:rPr>
              <w:bCs/>
              <w:color w:val="000000"/>
            </w:rPr>
            <w:t xml:space="preserve"> and who raise incidents of bullying, harassment or abuse and ask for protection are often isolated and placed in conditions amounting to </w:t>
          </w:r>
          <w:r w:rsidR="005A34C4" w:rsidRPr="007F1CAA">
            <w:rPr>
              <w:bCs/>
              <w:color w:val="000000"/>
            </w:rPr>
            <w:t>(</w:t>
          </w:r>
          <w:r w:rsidRPr="007F1CAA">
            <w:rPr>
              <w:bCs/>
              <w:color w:val="000000"/>
            </w:rPr>
            <w:t xml:space="preserve">or near </w:t>
          </w:r>
          <w:r w:rsidR="005A34C4" w:rsidRPr="007F1CAA">
            <w:rPr>
              <w:bCs/>
              <w:color w:val="000000"/>
            </w:rPr>
            <w:t xml:space="preserve">to) </w:t>
          </w:r>
          <w:r w:rsidRPr="007F1CAA">
            <w:rPr>
              <w:bCs/>
              <w:color w:val="000000"/>
            </w:rPr>
            <w:t>solitary confinement.</w:t>
          </w:r>
          <w:r w:rsidRPr="007F1CAA">
            <w:rPr>
              <w:bCs/>
              <w:color w:val="000000"/>
              <w:vertAlign w:val="superscript"/>
            </w:rPr>
            <w:footnoteReference w:id="109"/>
          </w:r>
          <w:r w:rsidRPr="007F1CAA">
            <w:rPr>
              <w:bCs/>
              <w:color w:val="000000"/>
            </w:rPr>
            <w:t xml:space="preserve"> In 2013</w:t>
          </w:r>
          <w:r w:rsidR="005A34C4" w:rsidRPr="007F1CAA">
            <w:rPr>
              <w:bCs/>
              <w:color w:val="000000"/>
            </w:rPr>
            <w:t>,</w:t>
          </w:r>
          <w:r w:rsidRPr="007F1CAA">
            <w:rPr>
              <w:bCs/>
              <w:color w:val="000000"/>
            </w:rPr>
            <w:t xml:space="preserve"> two judgments were </w:t>
          </w:r>
          <w:r w:rsidRPr="007F1CAA">
            <w:rPr>
              <w:bCs/>
              <w:color w:val="000000"/>
            </w:rPr>
            <w:lastRenderedPageBreak/>
            <w:t>delivered on the issue of gay men placed in solitary confinement after they asked for protection</w:t>
          </w:r>
          <w:r w:rsidR="005A34C4" w:rsidRPr="007F1CAA">
            <w:rPr>
              <w:bCs/>
              <w:color w:val="000000"/>
            </w:rPr>
            <w:t>: i</w:t>
          </w:r>
          <w:r w:rsidRPr="007F1CAA">
            <w:rPr>
              <w:bCs/>
              <w:color w:val="000000"/>
            </w:rPr>
            <w:t xml:space="preserve">n the first case, </w:t>
          </w:r>
          <w:r w:rsidRPr="007F1CAA">
            <w:rPr>
              <w:bCs/>
              <w:i/>
              <w:iCs/>
              <w:color w:val="000000"/>
            </w:rPr>
            <w:t>X v Turkey</w:t>
          </w:r>
          <w:r w:rsidR="005A34C4" w:rsidRPr="007F1CAA">
            <w:rPr>
              <w:bCs/>
              <w:color w:val="000000"/>
            </w:rPr>
            <w:t>,</w:t>
          </w:r>
          <w:r w:rsidRPr="007F1CAA">
            <w:rPr>
              <w:bCs/>
              <w:color w:val="000000"/>
            </w:rPr>
            <w:t xml:space="preserve">  the European Court of Human Rights (</w:t>
          </w:r>
          <w:r w:rsidR="005A34C4" w:rsidRPr="007F1CAA">
            <w:rPr>
              <w:bCs/>
              <w:color w:val="000000"/>
            </w:rPr>
            <w:t>ECtHR</w:t>
          </w:r>
          <w:r w:rsidRPr="007F1CAA">
            <w:rPr>
              <w:bCs/>
              <w:color w:val="000000"/>
            </w:rPr>
            <w:t>) questioned the protective nature of solitary confinement to protect prisoners from a homophobic environment and raised particular concerns about the conditions and the duration of the isolation.</w:t>
          </w:r>
          <w:r w:rsidRPr="007F1CAA">
            <w:rPr>
              <w:bCs/>
              <w:color w:val="000000"/>
              <w:vertAlign w:val="superscript"/>
            </w:rPr>
            <w:footnoteReference w:id="110"/>
          </w:r>
          <w:r w:rsidRPr="007F1CAA">
            <w:rPr>
              <w:bCs/>
              <w:color w:val="000000"/>
            </w:rPr>
            <w:t xml:space="preserve"> Similar questions were also raised in an Irish case, </w:t>
          </w:r>
          <w:r w:rsidRPr="007F1CAA">
            <w:rPr>
              <w:bCs/>
              <w:i/>
              <w:iCs/>
              <w:color w:val="000000"/>
            </w:rPr>
            <w:t>Connolly v Governor of Wheatfield Prison</w:t>
          </w:r>
          <w:r w:rsidRPr="007F1CAA">
            <w:rPr>
              <w:bCs/>
              <w:color w:val="000000"/>
            </w:rPr>
            <w:t>.</w:t>
          </w:r>
          <w:r w:rsidRPr="007F1CAA">
            <w:rPr>
              <w:bCs/>
              <w:color w:val="000000"/>
              <w:vertAlign w:val="superscript"/>
            </w:rPr>
            <w:footnoteReference w:id="111"/>
          </w:r>
        </w:p>
      </w:sdtContent>
    </w:sdt>
    <w:sdt>
      <w:sdtPr>
        <w:rPr>
          <w:bCs/>
        </w:rPr>
        <w:tag w:val="goog_rdk_78"/>
        <w:id w:val="1175078014"/>
      </w:sdtPr>
      <w:sdtContent>
        <w:p w14:paraId="55AAF2A5" w14:textId="77777777" w:rsidR="005A34C4" w:rsidRPr="007F1CAA" w:rsidRDefault="00411C03" w:rsidP="00080569">
          <w:pPr>
            <w:pBdr>
              <w:top w:val="nil"/>
              <w:left w:val="nil"/>
              <w:bottom w:val="nil"/>
              <w:right w:val="nil"/>
              <w:between w:val="nil"/>
            </w:pBdr>
            <w:tabs>
              <w:tab w:val="left" w:pos="1408"/>
            </w:tabs>
            <w:spacing w:after="0" w:line="480" w:lineRule="auto"/>
            <w:jc w:val="both"/>
            <w:rPr>
              <w:bCs/>
              <w:color w:val="000000"/>
            </w:rPr>
          </w:pPr>
          <w:r w:rsidRPr="007F1CAA">
            <w:rPr>
              <w:bCs/>
              <w:color w:val="000000"/>
            </w:rPr>
            <w:tab/>
          </w:r>
        </w:p>
        <w:p w14:paraId="0000003E" w14:textId="78FC467B" w:rsidR="00985107" w:rsidRPr="007F1CAA" w:rsidRDefault="005A34C4" w:rsidP="00080569">
          <w:pPr>
            <w:pBdr>
              <w:top w:val="nil"/>
              <w:left w:val="nil"/>
              <w:bottom w:val="nil"/>
              <w:right w:val="nil"/>
              <w:between w:val="nil"/>
            </w:pBdr>
            <w:tabs>
              <w:tab w:val="left" w:pos="1408"/>
            </w:tabs>
            <w:spacing w:after="0" w:line="480" w:lineRule="auto"/>
            <w:jc w:val="both"/>
            <w:rPr>
              <w:bCs/>
              <w:color w:val="000000"/>
            </w:rPr>
          </w:pPr>
          <w:r w:rsidRPr="007F1CAA">
            <w:rPr>
              <w:bCs/>
              <w:color w:val="000000"/>
            </w:rPr>
            <w:tab/>
          </w:r>
          <w:r w:rsidR="00411C03" w:rsidRPr="007F1CAA">
            <w:rPr>
              <w:bCs/>
              <w:color w:val="000000"/>
            </w:rPr>
            <w:t xml:space="preserve">In </w:t>
          </w:r>
          <w:r w:rsidR="00411C03" w:rsidRPr="007F1CAA">
            <w:rPr>
              <w:bCs/>
              <w:i/>
              <w:iCs/>
              <w:color w:val="000000"/>
            </w:rPr>
            <w:t>X v Turkey</w:t>
          </w:r>
          <w:r w:rsidRPr="007F1CAA">
            <w:rPr>
              <w:bCs/>
              <w:i/>
              <w:iCs/>
              <w:color w:val="000000"/>
            </w:rPr>
            <w:t>,</w:t>
          </w:r>
          <w:r w:rsidR="00411C03" w:rsidRPr="007F1CAA">
            <w:rPr>
              <w:bCs/>
              <w:color w:val="000000"/>
            </w:rPr>
            <w:t xml:space="preserve"> the European Court </w:t>
          </w:r>
          <w:r w:rsidRPr="007F1CAA">
            <w:rPr>
              <w:bCs/>
              <w:color w:val="000000"/>
            </w:rPr>
            <w:t xml:space="preserve">of Human Rights </w:t>
          </w:r>
          <w:r w:rsidR="00411C03" w:rsidRPr="007F1CAA">
            <w:rPr>
              <w:bCs/>
              <w:color w:val="000000"/>
            </w:rPr>
            <w:t xml:space="preserve">found both a violation of </w:t>
          </w:r>
          <w:r w:rsidRPr="007F1CAA">
            <w:rPr>
              <w:bCs/>
              <w:color w:val="000000"/>
            </w:rPr>
            <w:t xml:space="preserve">art. </w:t>
          </w:r>
          <w:r w:rsidR="00411C03" w:rsidRPr="007F1CAA">
            <w:rPr>
              <w:bCs/>
              <w:color w:val="000000"/>
            </w:rPr>
            <w:t xml:space="preserve">3 </w:t>
          </w:r>
          <w:r w:rsidRPr="007F1CAA">
            <w:rPr>
              <w:bCs/>
              <w:color w:val="000000"/>
            </w:rPr>
            <w:t xml:space="preserve">ECHR, </w:t>
          </w:r>
          <w:r w:rsidR="00411C03" w:rsidRPr="007F1CAA">
            <w:rPr>
              <w:bCs/>
              <w:color w:val="000000"/>
            </w:rPr>
            <w:t>relating to inhuman and degrading treatment</w:t>
          </w:r>
          <w:r w:rsidRPr="007F1CAA">
            <w:rPr>
              <w:bCs/>
              <w:color w:val="000000"/>
            </w:rPr>
            <w:t xml:space="preserve">, </w:t>
          </w:r>
          <w:r w:rsidR="00411C03" w:rsidRPr="007F1CAA">
            <w:rPr>
              <w:bCs/>
              <w:color w:val="000000"/>
            </w:rPr>
            <w:t xml:space="preserve">along with a violation of </w:t>
          </w:r>
          <w:r w:rsidRPr="007F1CAA">
            <w:rPr>
              <w:bCs/>
              <w:color w:val="000000"/>
            </w:rPr>
            <w:t xml:space="preserve">art. </w:t>
          </w:r>
          <w:r w:rsidR="00411C03" w:rsidRPr="007F1CAA">
            <w:rPr>
              <w:bCs/>
              <w:color w:val="000000"/>
            </w:rPr>
            <w:t>14</w:t>
          </w:r>
          <w:r w:rsidRPr="007F1CAA">
            <w:rPr>
              <w:bCs/>
              <w:color w:val="000000"/>
            </w:rPr>
            <w:t>,</w:t>
          </w:r>
          <w:r w:rsidR="00411C03" w:rsidRPr="007F1CAA">
            <w:rPr>
              <w:bCs/>
              <w:color w:val="000000"/>
            </w:rPr>
            <w:t xml:space="preserve"> which related to discrimination on grounds of sexual orientation. The claimant, a gay man was kept in solitary confinement for </w:t>
          </w:r>
          <w:r w:rsidRPr="007F1CAA">
            <w:rPr>
              <w:bCs/>
              <w:color w:val="000000"/>
            </w:rPr>
            <w:t>eight</w:t>
          </w:r>
          <w:r w:rsidR="00411C03" w:rsidRPr="007F1CAA">
            <w:rPr>
              <w:bCs/>
              <w:color w:val="000000"/>
            </w:rPr>
            <w:t xml:space="preserve"> months and 18 days with no contact to other prisoners and no exercise. In effect, he could only leave his cell when he received visits. In addition</w:t>
          </w:r>
          <w:r w:rsidRPr="007F1CAA">
            <w:rPr>
              <w:bCs/>
              <w:color w:val="000000"/>
            </w:rPr>
            <w:t>,</w:t>
          </w:r>
          <w:r w:rsidR="00411C03" w:rsidRPr="007F1CAA">
            <w:rPr>
              <w:bCs/>
              <w:color w:val="000000"/>
            </w:rPr>
            <w:t xml:space="preserve"> his cell was badly lit, dirty and rat-infested. The authorities justified this form of isolation as protective custody.</w:t>
          </w:r>
        </w:p>
      </w:sdtContent>
    </w:sdt>
    <w:sdt>
      <w:sdtPr>
        <w:rPr>
          <w:bCs/>
        </w:rPr>
        <w:tag w:val="goog_rdk_81"/>
        <w:id w:val="-1815010432"/>
      </w:sdtPr>
      <w:sdtContent>
        <w:p w14:paraId="182D3C86" w14:textId="77777777" w:rsidR="005A34C4"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r>
        </w:p>
        <w:p w14:paraId="5A8C30C5" w14:textId="77777777" w:rsidR="005A34C4" w:rsidRPr="007F1CAA" w:rsidRDefault="00411C03" w:rsidP="005A34C4">
          <w:pPr>
            <w:pBdr>
              <w:top w:val="nil"/>
              <w:left w:val="nil"/>
              <w:bottom w:val="nil"/>
              <w:right w:val="nil"/>
              <w:between w:val="nil"/>
            </w:pBdr>
            <w:spacing w:after="0" w:line="480" w:lineRule="auto"/>
            <w:ind w:firstLine="720"/>
            <w:jc w:val="both"/>
            <w:rPr>
              <w:bCs/>
              <w:color w:val="000000"/>
            </w:rPr>
          </w:pPr>
          <w:r w:rsidRPr="007F1CAA">
            <w:rPr>
              <w:bCs/>
              <w:color w:val="000000"/>
            </w:rPr>
            <w:t>In European human rights jurisprudence</w:t>
          </w:r>
          <w:r w:rsidR="005A34C4" w:rsidRPr="007F1CAA">
            <w:rPr>
              <w:bCs/>
              <w:color w:val="000000"/>
            </w:rPr>
            <w:t>,</w:t>
          </w:r>
          <w:r w:rsidRPr="007F1CAA">
            <w:rPr>
              <w:bCs/>
              <w:color w:val="000000"/>
            </w:rPr>
            <w:t xml:space="preserve"> solitary confinement itself does not violate </w:t>
          </w:r>
          <w:r w:rsidR="005A34C4" w:rsidRPr="007F1CAA">
            <w:rPr>
              <w:bCs/>
              <w:color w:val="000000"/>
            </w:rPr>
            <w:t xml:space="preserve">art. </w:t>
          </w:r>
          <w:r w:rsidRPr="007F1CAA">
            <w:rPr>
              <w:bCs/>
              <w:color w:val="000000"/>
            </w:rPr>
            <w:t xml:space="preserve">3 ECHR. Over time the </w:t>
          </w:r>
          <w:r w:rsidR="005A34C4" w:rsidRPr="007F1CAA">
            <w:rPr>
              <w:bCs/>
              <w:color w:val="000000"/>
            </w:rPr>
            <w:t>c</w:t>
          </w:r>
          <w:r w:rsidRPr="007F1CAA">
            <w:rPr>
              <w:bCs/>
              <w:color w:val="000000"/>
            </w:rPr>
            <w:t>ourts have maintained that complete sensory and social isolation would invariably meet that threshold.</w:t>
          </w:r>
          <w:r w:rsidRPr="007F1CAA">
            <w:rPr>
              <w:bCs/>
              <w:color w:val="000000"/>
              <w:vertAlign w:val="superscript"/>
            </w:rPr>
            <w:footnoteReference w:id="112"/>
          </w:r>
          <w:r w:rsidRPr="007F1CAA">
            <w:rPr>
              <w:bCs/>
              <w:color w:val="000000"/>
            </w:rPr>
            <w:t xml:space="preserve"> Since then the test has been revised to include an assessment</w:t>
          </w:r>
          <w:r w:rsidR="005A34C4" w:rsidRPr="007F1CAA">
            <w:rPr>
              <w:bCs/>
              <w:color w:val="000000"/>
            </w:rPr>
            <w:t xml:space="preserve"> of: </w:t>
          </w:r>
        </w:p>
        <w:p w14:paraId="0000003F" w14:textId="661BBA0C" w:rsidR="00985107" w:rsidRPr="007F1CAA" w:rsidRDefault="00A1537F" w:rsidP="005A34C4">
          <w:pPr>
            <w:pBdr>
              <w:top w:val="nil"/>
              <w:left w:val="nil"/>
              <w:bottom w:val="nil"/>
              <w:right w:val="nil"/>
              <w:between w:val="nil"/>
            </w:pBdr>
            <w:spacing w:after="0" w:line="480" w:lineRule="auto"/>
            <w:ind w:firstLine="720"/>
            <w:jc w:val="both"/>
            <w:rPr>
              <w:bCs/>
              <w:color w:val="000000"/>
            </w:rPr>
          </w:pPr>
          <w:sdt>
            <w:sdtPr>
              <w:rPr>
                <w:bCs/>
              </w:rPr>
              <w:tag w:val="goog_rdk_79"/>
              <w:id w:val="-513991663"/>
              <w:showingPlcHdr/>
            </w:sdtPr>
            <w:sdtContent>
              <w:r w:rsidR="005A34C4" w:rsidRPr="007F1CAA">
                <w:rPr>
                  <w:bCs/>
                </w:rPr>
                <w:t xml:space="preserve">     </w:t>
              </w:r>
            </w:sdtContent>
          </w:sdt>
          <w:sdt>
            <w:sdtPr>
              <w:rPr>
                <w:bCs/>
              </w:rPr>
              <w:tag w:val="goog_rdk_80"/>
              <w:id w:val="201055400"/>
              <w:showingPlcHdr/>
            </w:sdtPr>
            <w:sdtContent>
              <w:r w:rsidR="005A34C4" w:rsidRPr="007F1CAA">
                <w:rPr>
                  <w:bCs/>
                </w:rPr>
                <w:t xml:space="preserve">     </w:t>
              </w:r>
            </w:sdtContent>
          </w:sdt>
        </w:p>
      </w:sdtContent>
    </w:sdt>
    <w:sdt>
      <w:sdtPr>
        <w:rPr>
          <w:bCs/>
        </w:rPr>
        <w:tag w:val="goog_rdk_82"/>
        <w:id w:val="-1539119312"/>
      </w:sdtPr>
      <w:sdtContent>
        <w:p w14:paraId="00000040" w14:textId="074B12C5" w:rsidR="00985107" w:rsidRPr="007F1CAA" w:rsidRDefault="00411C03" w:rsidP="005A34C4">
          <w:pPr>
            <w:pBdr>
              <w:top w:val="nil"/>
              <w:left w:val="nil"/>
              <w:bottom w:val="nil"/>
              <w:right w:val="nil"/>
              <w:between w:val="nil"/>
            </w:pBdr>
            <w:spacing w:after="0" w:line="480" w:lineRule="auto"/>
            <w:ind w:left="567" w:right="567"/>
            <w:jc w:val="both"/>
            <w:rPr>
              <w:bCs/>
              <w:color w:val="000000"/>
            </w:rPr>
          </w:pPr>
          <w:r w:rsidRPr="007F1CAA">
            <w:rPr>
              <w:bCs/>
              <w:color w:val="000000"/>
            </w:rPr>
            <w:t xml:space="preserve"> </w:t>
          </w:r>
          <w:r w:rsidR="005A34C4" w:rsidRPr="007F1CAA">
            <w:rPr>
              <w:bCs/>
              <w:color w:val="000000"/>
            </w:rPr>
            <w:t>“</w:t>
          </w:r>
          <w:r w:rsidRPr="007F1CAA">
            <w:rPr>
              <w:bCs/>
              <w:color w:val="000000"/>
            </w:rPr>
            <w:t xml:space="preserve">the particular conditions, the stringency of the measure, its duration, the objective pursued and its effects on the person concerned (see </w:t>
          </w:r>
          <w:r w:rsidRPr="007F1CAA">
            <w:rPr>
              <w:bCs/>
              <w:i/>
              <w:iCs/>
              <w:color w:val="000000"/>
            </w:rPr>
            <w:t>Rohde v. Denmark</w:t>
          </w:r>
          <w:r w:rsidRPr="007F1CAA">
            <w:rPr>
              <w:bCs/>
              <w:color w:val="000000"/>
            </w:rPr>
            <w:t>, no. 69332/01, § 93, 21 July 2005).</w:t>
          </w:r>
          <w:r w:rsidR="005A34C4" w:rsidRPr="007F1CAA">
            <w:rPr>
              <w:bCs/>
              <w:color w:val="000000"/>
            </w:rPr>
            <w:t>”</w:t>
          </w:r>
          <w:r w:rsidRPr="007F1CAA">
            <w:rPr>
              <w:bCs/>
              <w:color w:val="000000"/>
              <w:vertAlign w:val="superscript"/>
            </w:rPr>
            <w:footnoteReference w:id="113"/>
          </w:r>
          <w:r w:rsidRPr="007F1CAA">
            <w:rPr>
              <w:bCs/>
              <w:color w:val="000000"/>
            </w:rPr>
            <w:t xml:space="preserve"> </w:t>
          </w:r>
        </w:p>
      </w:sdtContent>
    </w:sdt>
    <w:sdt>
      <w:sdtPr>
        <w:rPr>
          <w:bCs/>
        </w:rPr>
        <w:tag w:val="goog_rdk_83"/>
        <w:id w:val="-1930192149"/>
        <w:showingPlcHdr/>
      </w:sdtPr>
      <w:sdtContent>
        <w:p w14:paraId="00000041" w14:textId="15AE15B4" w:rsidR="00985107" w:rsidRPr="007F1CAA" w:rsidRDefault="00A72E22" w:rsidP="00080569">
          <w:pPr>
            <w:pBdr>
              <w:top w:val="nil"/>
              <w:left w:val="nil"/>
              <w:bottom w:val="nil"/>
              <w:right w:val="nil"/>
              <w:between w:val="nil"/>
            </w:pBdr>
            <w:spacing w:after="0" w:line="480" w:lineRule="auto"/>
            <w:jc w:val="both"/>
            <w:rPr>
              <w:bCs/>
              <w:color w:val="000000"/>
            </w:rPr>
          </w:pPr>
          <w:r>
            <w:rPr>
              <w:bCs/>
            </w:rPr>
            <w:t xml:space="preserve">     </w:t>
          </w:r>
        </w:p>
      </w:sdtContent>
    </w:sdt>
    <w:sdt>
      <w:sdtPr>
        <w:rPr>
          <w:bCs/>
        </w:rPr>
        <w:tag w:val="goog_rdk_84"/>
        <w:id w:val="-555931051"/>
      </w:sdtPr>
      <w:sdtContent>
        <w:p w14:paraId="0BD32CA2" w14:textId="4059A3E6" w:rsidR="005A34C4"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The success in X's case is partly due to the extreme conditions to which he was subject. The European Court </w:t>
          </w:r>
          <w:r w:rsidR="005A34C4" w:rsidRPr="007F1CAA">
            <w:rPr>
              <w:bCs/>
              <w:color w:val="000000"/>
            </w:rPr>
            <w:t xml:space="preserve">of Human Rights </w:t>
          </w:r>
          <w:r w:rsidRPr="007F1CAA">
            <w:rPr>
              <w:bCs/>
              <w:color w:val="000000"/>
            </w:rPr>
            <w:t>noted that the claimant</w:t>
          </w:r>
          <w:r w:rsidR="005A34C4" w:rsidRPr="007F1CAA">
            <w:rPr>
              <w:bCs/>
              <w:color w:val="000000"/>
            </w:rPr>
            <w:t>’</w:t>
          </w:r>
          <w:r w:rsidRPr="007F1CAA">
            <w:rPr>
              <w:bCs/>
              <w:color w:val="000000"/>
            </w:rPr>
            <w:t>s conditions were worse than those of prisoners on whole-life sentences or those who posed a specific security risk, even though he was in protective custody.</w:t>
          </w:r>
          <w:r w:rsidRPr="007F1CAA">
            <w:rPr>
              <w:bCs/>
              <w:color w:val="000000"/>
              <w:vertAlign w:val="superscript"/>
            </w:rPr>
            <w:footnoteReference w:id="114"/>
          </w:r>
          <w:r w:rsidRPr="007F1CAA">
            <w:rPr>
              <w:bCs/>
              <w:color w:val="000000"/>
            </w:rPr>
            <w:t xml:space="preserve"> The complete social isolation</w:t>
          </w:r>
          <w:r w:rsidR="005A34C4" w:rsidRPr="007F1CAA">
            <w:rPr>
              <w:bCs/>
              <w:color w:val="000000"/>
            </w:rPr>
            <w:t>,</w:t>
          </w:r>
          <w:r w:rsidRPr="007F1CAA">
            <w:rPr>
              <w:bCs/>
              <w:color w:val="000000"/>
            </w:rPr>
            <w:t xml:space="preserve"> as well as the unsanitary conditions</w:t>
          </w:r>
          <w:r w:rsidR="005A34C4" w:rsidRPr="007F1CAA">
            <w:rPr>
              <w:bCs/>
              <w:color w:val="000000"/>
            </w:rPr>
            <w:t>,</w:t>
          </w:r>
          <w:r w:rsidRPr="007F1CAA">
            <w:rPr>
              <w:bCs/>
              <w:color w:val="000000"/>
            </w:rPr>
            <w:t xml:space="preserve"> combined with the supposedly protective purpose met the extremely high threshold under </w:t>
          </w:r>
          <w:r w:rsidR="005A34C4" w:rsidRPr="007F1CAA">
            <w:rPr>
              <w:bCs/>
              <w:color w:val="000000"/>
            </w:rPr>
            <w:t xml:space="preserve">art. </w:t>
          </w:r>
          <w:r w:rsidRPr="007F1CAA">
            <w:rPr>
              <w:bCs/>
              <w:color w:val="000000"/>
            </w:rPr>
            <w:t xml:space="preserve"> 3 </w:t>
          </w:r>
          <w:r w:rsidR="005A34C4" w:rsidRPr="007F1CAA">
            <w:rPr>
              <w:bCs/>
              <w:color w:val="000000"/>
            </w:rPr>
            <w:t>ECHR. T</w:t>
          </w:r>
          <w:r w:rsidRPr="007F1CAA">
            <w:rPr>
              <w:bCs/>
              <w:color w:val="000000"/>
            </w:rPr>
            <w:t xml:space="preserve">hey found that </w:t>
          </w:r>
          <w:r w:rsidRPr="007F1CAA">
            <w:rPr>
              <w:bCs/>
            </w:rPr>
            <w:t>“</w:t>
          </w:r>
          <w:r w:rsidRPr="007F1CAA">
            <w:rPr>
              <w:bCs/>
              <w:color w:val="000000"/>
            </w:rPr>
            <w:t>the conditions of detention in solitary confinement were capable of causing him both mental and physical suffering and a feeling of profound violation of his human dignity</w:t>
          </w:r>
          <w:r w:rsidR="005A34C4" w:rsidRPr="007F1CAA">
            <w:rPr>
              <w:bCs/>
              <w:color w:val="000000"/>
            </w:rPr>
            <w:t>.</w:t>
          </w:r>
          <w:r w:rsidRPr="007F1CAA">
            <w:rPr>
              <w:bCs/>
            </w:rPr>
            <w:t>”</w:t>
          </w:r>
          <w:r w:rsidRPr="007F1CAA">
            <w:rPr>
              <w:bCs/>
              <w:color w:val="000000"/>
              <w:vertAlign w:val="superscript"/>
            </w:rPr>
            <w:footnoteReference w:id="115"/>
          </w:r>
          <w:r w:rsidRPr="007F1CAA">
            <w:rPr>
              <w:bCs/>
              <w:color w:val="000000"/>
            </w:rPr>
            <w:t xml:space="preserve"> Crucially, it seems that the judges clearly questioned the extent to which solitary confinement can have a protective function. </w:t>
          </w:r>
        </w:p>
        <w:p w14:paraId="00000042" w14:textId="50BD5E30"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87"/>
        <w:id w:val="-1718357903"/>
      </w:sdtPr>
      <w:sdtContent>
        <w:p w14:paraId="00000043" w14:textId="5C13D400"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S</w:t>
          </w:r>
          <w:sdt>
            <w:sdtPr>
              <w:rPr>
                <w:bCs/>
              </w:rPr>
              <w:tag w:val="goog_rdk_85"/>
              <w:id w:val="1259715564"/>
            </w:sdtPr>
            <w:sdtContent/>
          </w:sdt>
          <w:sdt>
            <w:sdtPr>
              <w:rPr>
                <w:bCs/>
              </w:rPr>
              <w:tag w:val="goog_rdk_86"/>
              <w:id w:val="-1101873130"/>
            </w:sdtPr>
            <w:sdtContent/>
          </w:sdt>
          <w:r w:rsidRPr="007F1CAA">
            <w:rPr>
              <w:bCs/>
              <w:color w:val="000000"/>
            </w:rPr>
            <w:t>ignificantly, the E</w:t>
          </w:r>
          <w:r w:rsidR="005A34C4" w:rsidRPr="007F1CAA">
            <w:rPr>
              <w:bCs/>
              <w:color w:val="000000"/>
            </w:rPr>
            <w:t xml:space="preserve">CtHR </w:t>
          </w:r>
          <w:r w:rsidRPr="007F1CAA">
            <w:rPr>
              <w:bCs/>
              <w:color w:val="000000"/>
            </w:rPr>
            <w:t>maintained that the isolation of queer prisoners on protective grounds needed to be justified with a clear</w:t>
          </w:r>
          <w:r w:rsidR="005A34C4" w:rsidRPr="007F1CAA">
            <w:rPr>
              <w:bCs/>
              <w:color w:val="000000"/>
            </w:rPr>
            <w:t>,</w:t>
          </w:r>
          <w:r w:rsidRPr="007F1CAA">
            <w:rPr>
              <w:bCs/>
              <w:color w:val="000000"/>
            </w:rPr>
            <w:t xml:space="preserve"> legitimate aim as well as a proportionate response. In this case</w:t>
          </w:r>
          <w:r w:rsidR="005A34C4" w:rsidRPr="007F1CAA">
            <w:rPr>
              <w:bCs/>
              <w:color w:val="000000"/>
            </w:rPr>
            <w:t>,</w:t>
          </w:r>
          <w:r w:rsidRPr="007F1CAA">
            <w:rPr>
              <w:bCs/>
              <w:color w:val="000000"/>
            </w:rPr>
            <w:t xml:space="preserve"> they found that the isolation was solely discriminatory, namely based on his sexual orientation and this amounted to a violation of </w:t>
          </w:r>
          <w:r w:rsidR="005A34C4" w:rsidRPr="007F1CAA">
            <w:rPr>
              <w:bCs/>
              <w:color w:val="000000"/>
            </w:rPr>
            <w:t xml:space="preserve">art. </w:t>
          </w:r>
          <w:r w:rsidRPr="007F1CAA">
            <w:rPr>
              <w:bCs/>
              <w:color w:val="000000"/>
            </w:rPr>
            <w:t>14 ECHR. It is important to note that X’s case was exceptional in terms of the deprivation he suffered and the overt discrimination. Although the ruling challenges arbitrary decision-making, it fails to challenge the use of so-called protective isolation for vulnerable, in this case queer</w:t>
          </w:r>
          <w:r w:rsidR="005A34C4" w:rsidRPr="007F1CAA">
            <w:rPr>
              <w:bCs/>
              <w:color w:val="000000"/>
            </w:rPr>
            <w:t>,</w:t>
          </w:r>
          <w:r w:rsidRPr="007F1CAA">
            <w:rPr>
              <w:bCs/>
              <w:color w:val="000000"/>
            </w:rPr>
            <w:t xml:space="preserve"> prisoners. This is a theme that runs through the limited jurisprudence on the issue. </w:t>
          </w:r>
        </w:p>
      </w:sdtContent>
    </w:sdt>
    <w:sdt>
      <w:sdtPr>
        <w:rPr>
          <w:bCs/>
        </w:rPr>
        <w:tag w:val="goog_rdk_88"/>
        <w:id w:val="2075543183"/>
        <w:showingPlcHdr/>
      </w:sdtPr>
      <w:sdtContent>
        <w:p w14:paraId="00000044" w14:textId="52834F97" w:rsidR="00985107" w:rsidRPr="007F1CAA" w:rsidRDefault="00A72E22" w:rsidP="00080569">
          <w:pPr>
            <w:pBdr>
              <w:top w:val="nil"/>
              <w:left w:val="nil"/>
              <w:bottom w:val="nil"/>
              <w:right w:val="nil"/>
              <w:between w:val="nil"/>
            </w:pBdr>
            <w:spacing w:after="0" w:line="480" w:lineRule="auto"/>
            <w:jc w:val="both"/>
            <w:rPr>
              <w:bCs/>
              <w:color w:val="000000"/>
            </w:rPr>
          </w:pPr>
          <w:r>
            <w:rPr>
              <w:bCs/>
            </w:rPr>
            <w:t xml:space="preserve">     </w:t>
          </w:r>
        </w:p>
      </w:sdtContent>
    </w:sdt>
    <w:sdt>
      <w:sdtPr>
        <w:rPr>
          <w:bCs/>
        </w:rPr>
        <w:tag w:val="goog_rdk_89"/>
        <w:id w:val="1830632464"/>
      </w:sdtPr>
      <w:sdtContent>
        <w:p w14:paraId="3C953A01" w14:textId="77777777" w:rsidR="005A34C4" w:rsidRPr="007F1CAA" w:rsidRDefault="00411C03" w:rsidP="005A34C4">
          <w:pPr>
            <w:pBdr>
              <w:top w:val="nil"/>
              <w:left w:val="nil"/>
              <w:bottom w:val="nil"/>
              <w:right w:val="nil"/>
              <w:between w:val="nil"/>
            </w:pBdr>
            <w:spacing w:after="0" w:line="480" w:lineRule="auto"/>
            <w:ind w:firstLine="720"/>
            <w:jc w:val="both"/>
            <w:rPr>
              <w:bCs/>
              <w:color w:val="000000"/>
            </w:rPr>
          </w:pPr>
          <w:r w:rsidRPr="007F1CAA">
            <w:rPr>
              <w:bCs/>
              <w:color w:val="000000"/>
            </w:rPr>
            <w:t>The Irish High Court</w:t>
          </w:r>
          <w:r w:rsidR="005A34C4" w:rsidRPr="007F1CAA">
            <w:rPr>
              <w:bCs/>
              <w:color w:val="000000"/>
            </w:rPr>
            <w:t>,</w:t>
          </w:r>
          <w:r w:rsidRPr="007F1CAA">
            <w:rPr>
              <w:bCs/>
              <w:color w:val="000000"/>
            </w:rPr>
            <w:t xml:space="preserve"> in </w:t>
          </w:r>
          <w:r w:rsidRPr="007F1CAA">
            <w:rPr>
              <w:bCs/>
              <w:i/>
              <w:iCs/>
              <w:color w:val="000000"/>
            </w:rPr>
            <w:t>Connolly v Governor of Wheatfield Prison</w:t>
          </w:r>
          <w:r w:rsidR="005A34C4" w:rsidRPr="007F1CAA">
            <w:rPr>
              <w:bCs/>
              <w:color w:val="000000"/>
            </w:rPr>
            <w:t>,</w:t>
          </w:r>
          <w:r w:rsidRPr="007F1CAA">
            <w:rPr>
              <w:bCs/>
              <w:color w:val="000000"/>
            </w:rPr>
            <w:t xml:space="preserve"> seems to have picked up the point that the isolation of queer prisoners for their protection needed to be based </w:t>
          </w:r>
          <w:r w:rsidRPr="007F1CAA">
            <w:rPr>
              <w:bCs/>
              <w:color w:val="000000"/>
            </w:rPr>
            <w:lastRenderedPageBreak/>
            <w:t>on a legitimate aim and needed to be a proportionate response in the circumstances.</w:t>
          </w:r>
          <w:r w:rsidRPr="007F1CAA">
            <w:rPr>
              <w:bCs/>
              <w:color w:val="000000"/>
              <w:vertAlign w:val="superscript"/>
            </w:rPr>
            <w:footnoteReference w:id="116"/>
          </w:r>
          <w:r w:rsidRPr="007F1CAA">
            <w:rPr>
              <w:bCs/>
              <w:color w:val="000000"/>
            </w:rPr>
            <w:t xml:space="preserve"> Here</w:t>
          </w:r>
          <w:r w:rsidR="005A34C4" w:rsidRPr="007F1CAA">
            <w:rPr>
              <w:bCs/>
              <w:color w:val="000000"/>
            </w:rPr>
            <w:t>,</w:t>
          </w:r>
          <w:r w:rsidRPr="007F1CAA">
            <w:rPr>
              <w:bCs/>
              <w:color w:val="000000"/>
            </w:rPr>
            <w:t xml:space="preserve"> the Court</w:t>
          </w:r>
          <w:r w:rsidR="005A34C4" w:rsidRPr="007F1CAA">
            <w:rPr>
              <w:bCs/>
              <w:color w:val="000000"/>
            </w:rPr>
            <w:t>’</w:t>
          </w:r>
          <w:r w:rsidRPr="007F1CAA">
            <w:rPr>
              <w:bCs/>
              <w:color w:val="000000"/>
            </w:rPr>
            <w:t xml:space="preserve">s focus was on the legality of the solitary confinement, in particular the review process, the duration and any enhancements of the regime. </w:t>
          </w:r>
        </w:p>
        <w:p w14:paraId="00000045" w14:textId="1FD8006E" w:rsidR="00985107" w:rsidRPr="007F1CAA" w:rsidRDefault="00A1537F" w:rsidP="005A34C4">
          <w:pPr>
            <w:pBdr>
              <w:top w:val="nil"/>
              <w:left w:val="nil"/>
              <w:bottom w:val="nil"/>
              <w:right w:val="nil"/>
              <w:between w:val="nil"/>
            </w:pBdr>
            <w:spacing w:after="0" w:line="480" w:lineRule="auto"/>
            <w:ind w:firstLine="720"/>
            <w:jc w:val="both"/>
            <w:rPr>
              <w:bCs/>
              <w:color w:val="000000"/>
            </w:rPr>
          </w:pPr>
        </w:p>
      </w:sdtContent>
    </w:sdt>
    <w:sdt>
      <w:sdtPr>
        <w:rPr>
          <w:bCs/>
        </w:rPr>
        <w:tag w:val="goog_rdk_92"/>
        <w:id w:val="1527754955"/>
      </w:sdtPr>
      <w:sdtContent>
        <w:p w14:paraId="5C54CE65" w14:textId="49473E36" w:rsidR="005A34C4"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Mr Connolly requested protection from the </w:t>
          </w:r>
          <w:sdt>
            <w:sdtPr>
              <w:rPr>
                <w:bCs/>
              </w:rPr>
              <w:tag w:val="goog_rdk_90"/>
              <w:id w:val="2052271780"/>
            </w:sdtPr>
            <w:sdtContent/>
          </w:sdt>
          <w:sdt>
            <w:sdtPr>
              <w:rPr>
                <w:bCs/>
              </w:rPr>
              <w:tag w:val="goog_rdk_91"/>
              <w:id w:val="-1726220914"/>
            </w:sdtPr>
            <w:sdtContent/>
          </w:sdt>
          <w:r w:rsidRPr="007F1CAA">
            <w:rPr>
              <w:bCs/>
              <w:color w:val="000000"/>
            </w:rPr>
            <w:t>mainstream regime for fear of further violent, homophobic attacks.</w:t>
          </w:r>
          <w:r w:rsidRPr="007F1CAA">
            <w:rPr>
              <w:bCs/>
              <w:color w:val="000000"/>
              <w:vertAlign w:val="superscript"/>
            </w:rPr>
            <w:footnoteReference w:id="117"/>
          </w:r>
          <w:r w:rsidRPr="007F1CAA">
            <w:rPr>
              <w:bCs/>
              <w:color w:val="000000"/>
            </w:rPr>
            <w:t xml:space="preserve"> Following a transfer to Wheatfield </w:t>
          </w:r>
          <w:r w:rsidR="00FF7B37" w:rsidRPr="007F1CAA">
            <w:rPr>
              <w:bCs/>
              <w:color w:val="000000"/>
            </w:rPr>
            <w:t>P</w:t>
          </w:r>
          <w:r w:rsidRPr="007F1CAA">
            <w:rPr>
              <w:bCs/>
              <w:color w:val="000000"/>
            </w:rPr>
            <w:t>rison in 2013</w:t>
          </w:r>
          <w:r w:rsidR="005A34C4" w:rsidRPr="007F1CAA">
            <w:rPr>
              <w:bCs/>
              <w:color w:val="000000"/>
            </w:rPr>
            <w:t>,</w:t>
          </w:r>
          <w:r w:rsidRPr="007F1CAA">
            <w:rPr>
              <w:bCs/>
              <w:color w:val="000000"/>
            </w:rPr>
            <w:t xml:space="preserve"> it was assessed that he was safe to be in the main regime. He objected and was then transferred to a segregation unit (</w:t>
          </w:r>
          <w:r w:rsidR="005A34C4" w:rsidRPr="007F1CAA">
            <w:rPr>
              <w:bCs/>
              <w:color w:val="000000"/>
            </w:rPr>
            <w:t>“</w:t>
          </w:r>
          <w:r w:rsidRPr="007F1CAA">
            <w:rPr>
              <w:bCs/>
              <w:color w:val="000000"/>
            </w:rPr>
            <w:t>restricted regime”), where he was subject to 23</w:t>
          </w:r>
          <w:r w:rsidR="005A34C4" w:rsidRPr="007F1CAA">
            <w:rPr>
              <w:bCs/>
              <w:color w:val="000000"/>
            </w:rPr>
            <w:t>-</w:t>
          </w:r>
          <w:r w:rsidRPr="007F1CAA">
            <w:rPr>
              <w:bCs/>
              <w:color w:val="000000"/>
            </w:rPr>
            <w:t>hour lock-up with one hour</w:t>
          </w:r>
          <w:r w:rsidR="005A34C4" w:rsidRPr="007F1CAA">
            <w:rPr>
              <w:bCs/>
              <w:color w:val="000000"/>
            </w:rPr>
            <w:t xml:space="preserve"> of</w:t>
          </w:r>
          <w:r w:rsidRPr="007F1CAA">
            <w:rPr>
              <w:bCs/>
              <w:color w:val="000000"/>
            </w:rPr>
            <w:t xml:space="preserve"> exercise in the yard with other prisoners. He had access to items such as</w:t>
          </w:r>
          <w:r w:rsidR="005A34C4" w:rsidRPr="007F1CAA">
            <w:rPr>
              <w:bCs/>
              <w:color w:val="000000"/>
            </w:rPr>
            <w:t xml:space="preserve"> a</w:t>
          </w:r>
          <w:r w:rsidRPr="007F1CAA">
            <w:rPr>
              <w:bCs/>
              <w:color w:val="000000"/>
            </w:rPr>
            <w:t xml:space="preserve"> television, books and magazines</w:t>
          </w:r>
          <w:r w:rsidR="005A34C4" w:rsidRPr="007F1CAA">
            <w:rPr>
              <w:bCs/>
              <w:color w:val="000000"/>
            </w:rPr>
            <w:t xml:space="preserve">. However, </w:t>
          </w:r>
          <w:r w:rsidRPr="007F1CAA">
            <w:rPr>
              <w:bCs/>
              <w:color w:val="000000"/>
            </w:rPr>
            <w:t>he was excluded from education and other social activities. This decision was reviewed on a monthly basis.</w:t>
          </w:r>
        </w:p>
        <w:p w14:paraId="00000046" w14:textId="43DEFB20"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93"/>
        <w:id w:val="425082781"/>
      </w:sdtPr>
      <w:sdtContent>
        <w:p w14:paraId="05CF3024" w14:textId="77777777" w:rsidR="005A34C4" w:rsidRPr="007F1CAA" w:rsidRDefault="00411C03" w:rsidP="005A34C4">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 xml:space="preserve">The central question before the </w:t>
          </w:r>
          <w:r w:rsidR="005A34C4" w:rsidRPr="007F1CAA">
            <w:rPr>
              <w:bCs/>
              <w:color w:val="000000"/>
            </w:rPr>
            <w:t xml:space="preserve">High Court </w:t>
          </w:r>
          <w:r w:rsidRPr="007F1CAA">
            <w:rPr>
              <w:bCs/>
              <w:color w:val="000000"/>
            </w:rPr>
            <w:t xml:space="preserve">was whether the solitary confinement of Connelly under the circumstances violated </w:t>
          </w:r>
          <w:r w:rsidR="005A34C4" w:rsidRPr="007F1CAA">
            <w:rPr>
              <w:bCs/>
              <w:color w:val="000000"/>
            </w:rPr>
            <w:t>a</w:t>
          </w:r>
          <w:r w:rsidRPr="007F1CAA">
            <w:rPr>
              <w:bCs/>
              <w:color w:val="000000"/>
            </w:rPr>
            <w:t xml:space="preserve"> provision in the </w:t>
          </w:r>
          <w:r w:rsidR="005A34C4" w:rsidRPr="007F1CAA">
            <w:rPr>
              <w:bCs/>
              <w:color w:val="000000"/>
            </w:rPr>
            <w:t xml:space="preserve">Irish </w:t>
          </w:r>
          <w:r w:rsidRPr="007F1CAA">
            <w:rPr>
              <w:bCs/>
              <w:color w:val="000000"/>
            </w:rPr>
            <w:t xml:space="preserve">Constitution </w:t>
          </w:r>
          <w:r w:rsidR="005A34C4" w:rsidRPr="007F1CAA">
            <w:rPr>
              <w:bCs/>
              <w:color w:val="000000"/>
            </w:rPr>
            <w:t>–</w:t>
          </w:r>
          <w:r w:rsidRPr="007F1CAA">
            <w:rPr>
              <w:bCs/>
              <w:color w:val="000000"/>
            </w:rPr>
            <w:t xml:space="preserve"> to protect individuals from </w:t>
          </w:r>
          <w:r w:rsidR="005A34C4" w:rsidRPr="007F1CAA">
            <w:rPr>
              <w:bCs/>
              <w:color w:val="000000"/>
            </w:rPr>
            <w:t>“</w:t>
          </w:r>
          <w:r w:rsidRPr="007F1CAA">
            <w:rPr>
              <w:bCs/>
              <w:color w:val="000000"/>
            </w:rPr>
            <w:t>unjust attack</w:t>
          </w:r>
          <w:r w:rsidR="005A34C4" w:rsidRPr="007F1CAA">
            <w:rPr>
              <w:bCs/>
              <w:color w:val="000000"/>
            </w:rPr>
            <w:t xml:space="preserve">” – and </w:t>
          </w:r>
          <w:r w:rsidRPr="007F1CAA">
            <w:rPr>
              <w:bCs/>
              <w:color w:val="000000"/>
            </w:rPr>
            <w:t xml:space="preserve">whether this would justify his release. </w:t>
          </w:r>
          <w:r w:rsidR="005A34C4" w:rsidRPr="007F1CAA">
            <w:rPr>
              <w:bCs/>
              <w:color w:val="000000"/>
            </w:rPr>
            <w:t xml:space="preserve">Mr </w:t>
          </w:r>
          <w:r w:rsidRPr="007F1CAA">
            <w:rPr>
              <w:bCs/>
              <w:color w:val="000000"/>
            </w:rPr>
            <w:t xml:space="preserve">Justice Hogan found that Mr Connolly's </w:t>
          </w:r>
          <w:r w:rsidR="005A34C4" w:rsidRPr="007F1CAA">
            <w:rPr>
              <w:bCs/>
              <w:color w:val="000000"/>
            </w:rPr>
            <w:t xml:space="preserve">three </w:t>
          </w:r>
          <w:r w:rsidRPr="007F1CAA">
            <w:rPr>
              <w:bCs/>
              <w:color w:val="000000"/>
            </w:rPr>
            <w:t xml:space="preserve">months in solitary confinement for his protection was lawful. He maintained that solitary confinement is to be understood as an exceptional measure. Although he acknowledged the severely restrictive regime, he emphasized that the </w:t>
          </w:r>
          <w:r w:rsidRPr="007F1CAA">
            <w:rPr>
              <w:bCs/>
            </w:rPr>
            <w:t>“</w:t>
          </w:r>
          <w:r w:rsidRPr="007F1CAA">
            <w:rPr>
              <w:bCs/>
              <w:color w:val="000000"/>
            </w:rPr>
            <w:t>voluntary</w:t>
          </w:r>
          <w:r w:rsidRPr="007F1CAA">
            <w:rPr>
              <w:bCs/>
            </w:rPr>
            <w:t>”</w:t>
          </w:r>
          <w:r w:rsidRPr="007F1CAA">
            <w:rPr>
              <w:bCs/>
              <w:color w:val="000000"/>
            </w:rPr>
            <w:t xml:space="preserve"> nature of the detention against the prison authorities</w:t>
          </w:r>
          <w:r w:rsidR="005A34C4" w:rsidRPr="007F1CAA">
            <w:rPr>
              <w:bCs/>
              <w:color w:val="000000"/>
            </w:rPr>
            <w:t>’</w:t>
          </w:r>
          <w:r w:rsidRPr="007F1CAA">
            <w:rPr>
              <w:bCs/>
              <w:color w:val="000000"/>
            </w:rPr>
            <w:t xml:space="preserve"> assessment</w:t>
          </w:r>
          <w:r w:rsidR="005A34C4" w:rsidRPr="007F1CAA">
            <w:rPr>
              <w:bCs/>
              <w:color w:val="000000"/>
            </w:rPr>
            <w:t>,</w:t>
          </w:r>
          <w:r w:rsidRPr="007F1CAA">
            <w:rPr>
              <w:bCs/>
              <w:color w:val="000000"/>
            </w:rPr>
            <w:t xml:space="preserve"> together with access to a television and reading material</w:t>
          </w:r>
          <w:r w:rsidR="005A34C4" w:rsidRPr="007F1CAA">
            <w:rPr>
              <w:bCs/>
              <w:color w:val="000000"/>
            </w:rPr>
            <w:t xml:space="preserve">, </w:t>
          </w:r>
          <w:r w:rsidRPr="007F1CAA">
            <w:rPr>
              <w:bCs/>
              <w:color w:val="000000"/>
            </w:rPr>
            <w:t>as well as the medical support</w:t>
          </w:r>
          <w:r w:rsidR="005A34C4" w:rsidRPr="007F1CAA">
            <w:rPr>
              <w:bCs/>
              <w:color w:val="000000"/>
            </w:rPr>
            <w:t xml:space="preserve">, </w:t>
          </w:r>
          <w:r w:rsidRPr="007F1CAA">
            <w:rPr>
              <w:bCs/>
              <w:color w:val="000000"/>
            </w:rPr>
            <w:t>went some way to mitigating the harm of solitary confinement. Moreover</w:t>
          </w:r>
          <w:r w:rsidR="005A34C4" w:rsidRPr="007F1CAA">
            <w:rPr>
              <w:bCs/>
              <w:color w:val="000000"/>
            </w:rPr>
            <w:t xml:space="preserve">, </w:t>
          </w:r>
          <w:r w:rsidRPr="007F1CAA">
            <w:rPr>
              <w:bCs/>
              <w:color w:val="000000"/>
            </w:rPr>
            <w:t>the periodic review of the detention provided a mechanism to monitor Mr Connolly</w:t>
          </w:r>
          <w:r w:rsidR="005A34C4" w:rsidRPr="007F1CAA">
            <w:rPr>
              <w:bCs/>
              <w:color w:val="000000"/>
            </w:rPr>
            <w:t>’</w:t>
          </w:r>
          <w:r w:rsidRPr="007F1CAA">
            <w:rPr>
              <w:bCs/>
              <w:color w:val="000000"/>
            </w:rPr>
            <w:t xml:space="preserve">s welfare. However, he added that the prison authorities were under a duty to monitor for signs of psychological distress. If the detention should be </w:t>
          </w:r>
          <w:r w:rsidRPr="007F1CAA">
            <w:rPr>
              <w:bCs/>
              <w:color w:val="000000"/>
            </w:rPr>
            <w:lastRenderedPageBreak/>
            <w:t xml:space="preserve">extended </w:t>
          </w:r>
          <w:r w:rsidR="005A34C4" w:rsidRPr="007F1CAA">
            <w:rPr>
              <w:bCs/>
              <w:color w:val="000000"/>
            </w:rPr>
            <w:t>“</w:t>
          </w:r>
          <w:r w:rsidRPr="007F1CAA">
            <w:rPr>
              <w:bCs/>
              <w:color w:val="000000"/>
            </w:rPr>
            <w:t>indefinitely or for an extended period of months with no sign of variation</w:t>
          </w:r>
          <w:r w:rsidR="005A34C4" w:rsidRPr="007F1CAA">
            <w:rPr>
              <w:bCs/>
              <w:color w:val="000000"/>
            </w:rPr>
            <w:t>”</w:t>
          </w:r>
          <w:r w:rsidRPr="007F1CAA">
            <w:rPr>
              <w:bCs/>
              <w:color w:val="000000"/>
            </w:rPr>
            <w:t xml:space="preserve"> it may be considered unlawful.</w:t>
          </w:r>
          <w:r w:rsidRPr="007F1CAA">
            <w:rPr>
              <w:bCs/>
              <w:color w:val="000000"/>
              <w:vertAlign w:val="superscript"/>
            </w:rPr>
            <w:footnoteReference w:id="118"/>
          </w:r>
          <w:r w:rsidRPr="007F1CAA">
            <w:rPr>
              <w:bCs/>
              <w:color w:val="000000"/>
            </w:rPr>
            <w:t xml:space="preserve"> He distinguished Mr Connolly</w:t>
          </w:r>
          <w:r w:rsidR="005A34C4" w:rsidRPr="007F1CAA">
            <w:rPr>
              <w:bCs/>
              <w:color w:val="000000"/>
            </w:rPr>
            <w:t>’</w:t>
          </w:r>
          <w:r w:rsidRPr="007F1CAA">
            <w:rPr>
              <w:bCs/>
              <w:color w:val="000000"/>
            </w:rPr>
            <w:t>s case from an earlier judgment where the applicant had been subjected to complete sensory deprivation.</w:t>
          </w:r>
          <w:r w:rsidRPr="007F1CAA">
            <w:rPr>
              <w:bCs/>
              <w:color w:val="000000"/>
              <w:vertAlign w:val="superscript"/>
            </w:rPr>
            <w:footnoteReference w:id="119"/>
          </w:r>
        </w:p>
        <w:p w14:paraId="00000047" w14:textId="37F32495" w:rsidR="00985107" w:rsidRPr="007F1CAA" w:rsidRDefault="00411C03" w:rsidP="005A34C4">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 xml:space="preserve"> </w:t>
          </w:r>
        </w:p>
      </w:sdtContent>
    </w:sdt>
    <w:sdt>
      <w:sdtPr>
        <w:rPr>
          <w:bCs/>
        </w:rPr>
        <w:tag w:val="goog_rdk_96"/>
        <w:id w:val="978879080"/>
      </w:sdtPr>
      <w:sdtContent>
        <w:p w14:paraId="00000048" w14:textId="14EDF7CA" w:rsidR="00985107" w:rsidRPr="007F1CAA" w:rsidRDefault="00411C03" w:rsidP="005A34C4">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 xml:space="preserve">Although </w:t>
          </w:r>
          <w:r w:rsidR="005A34C4" w:rsidRPr="007F1CAA">
            <w:rPr>
              <w:bCs/>
              <w:color w:val="000000"/>
            </w:rPr>
            <w:t xml:space="preserve">Mr </w:t>
          </w:r>
          <w:r w:rsidRPr="007F1CAA">
            <w:rPr>
              <w:bCs/>
              <w:color w:val="000000"/>
            </w:rPr>
            <w:t xml:space="preserve">Justice Hogan stressed the importance of duration, his ruling is clearly deferential. </w:t>
          </w:r>
          <w:sdt>
            <w:sdtPr>
              <w:rPr>
                <w:bCs/>
              </w:rPr>
              <w:tag w:val="goog_rdk_94"/>
              <w:id w:val="-1102561390"/>
            </w:sdtPr>
            <w:sdtContent/>
          </w:sdt>
          <w:sdt>
            <w:sdtPr>
              <w:rPr>
                <w:bCs/>
              </w:rPr>
              <w:tag w:val="goog_rdk_95"/>
              <w:id w:val="314391460"/>
            </w:sdtPr>
            <w:sdtContent/>
          </w:sdt>
          <w:r w:rsidRPr="007F1CAA">
            <w:rPr>
              <w:bCs/>
              <w:color w:val="000000"/>
            </w:rPr>
            <w:t>He maintained that the supervisory function of the court does not extend to setting prescriptive standards in relation to solitary confinement.</w:t>
          </w:r>
          <w:r w:rsidRPr="007F1CAA">
            <w:rPr>
              <w:bCs/>
              <w:color w:val="000000"/>
              <w:vertAlign w:val="superscript"/>
            </w:rPr>
            <w:footnoteReference w:id="120"/>
          </w:r>
          <w:r w:rsidRPr="007F1CAA">
            <w:rPr>
              <w:bCs/>
              <w:color w:val="000000"/>
            </w:rPr>
            <w:t xml:space="preserve"> In this particular case, he repeatedly emphasized that Connolly was not being punished and that his conditions were ameliorated by some access to the social world. His refusal to leave segregation for fear of homophobic attacks seems to have added legitimacy to the situation. </w:t>
          </w:r>
        </w:p>
      </w:sdtContent>
    </w:sdt>
    <w:sdt>
      <w:sdtPr>
        <w:rPr>
          <w:bCs/>
        </w:rPr>
        <w:tag w:val="goog_rdk_97"/>
        <w:id w:val="1017421916"/>
      </w:sdtPr>
      <w:sdtContent>
        <w:p w14:paraId="00000049" w14:textId="77777777" w:rsidR="00985107" w:rsidRPr="007F1CAA" w:rsidRDefault="00A1537F" w:rsidP="00080569">
          <w:pPr>
            <w:pBdr>
              <w:top w:val="nil"/>
              <w:left w:val="nil"/>
              <w:bottom w:val="nil"/>
              <w:right w:val="nil"/>
              <w:between w:val="nil"/>
            </w:pBdr>
            <w:tabs>
              <w:tab w:val="left" w:pos="1408"/>
            </w:tabs>
            <w:spacing w:after="0" w:line="480" w:lineRule="auto"/>
            <w:jc w:val="both"/>
            <w:rPr>
              <w:bCs/>
              <w:color w:val="000000"/>
            </w:rPr>
          </w:pPr>
        </w:p>
      </w:sdtContent>
    </w:sdt>
    <w:sdt>
      <w:sdtPr>
        <w:rPr>
          <w:bCs/>
        </w:rPr>
        <w:tag w:val="goog_rdk_98"/>
        <w:id w:val="1041172895"/>
      </w:sdtPr>
      <w:sdtContent>
        <w:p w14:paraId="0000004A" w14:textId="08049631" w:rsidR="00985107" w:rsidRPr="007F1CAA" w:rsidRDefault="00411C03" w:rsidP="007F1CAA">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 xml:space="preserve">Judges are deferential in the prison context, in particular where there are security considerations. This also accounts for the high threshold under </w:t>
          </w:r>
          <w:r w:rsidR="007F1CAA">
            <w:rPr>
              <w:bCs/>
              <w:color w:val="000000"/>
            </w:rPr>
            <w:t xml:space="preserve">art. </w:t>
          </w:r>
          <w:r w:rsidRPr="007F1CAA">
            <w:rPr>
              <w:bCs/>
              <w:color w:val="000000"/>
            </w:rPr>
            <w:t>3 ECHR, where segregation of prisoners needs to come close to complete sensory and social isolation.</w:t>
          </w:r>
          <w:r w:rsidRPr="007F1CAA">
            <w:rPr>
              <w:bCs/>
              <w:color w:val="000000"/>
              <w:vertAlign w:val="superscript"/>
            </w:rPr>
            <w:footnoteReference w:id="121"/>
          </w:r>
          <w:r w:rsidRPr="007F1CAA">
            <w:rPr>
              <w:bCs/>
              <w:color w:val="000000"/>
            </w:rPr>
            <w:t xml:space="preserve"> The underlying assumption is that prisoners’ rights are limited by the purposes of imprisonment. This was emphasized in the U</w:t>
          </w:r>
          <w:r w:rsidR="007F1CAA">
            <w:rPr>
              <w:bCs/>
              <w:color w:val="000000"/>
            </w:rPr>
            <w:t xml:space="preserve">nited Kingdom </w:t>
          </w:r>
          <w:r w:rsidRPr="007F1CAA">
            <w:rPr>
              <w:bCs/>
              <w:color w:val="000000"/>
            </w:rPr>
            <w:t xml:space="preserve">Supreme Court decision in </w:t>
          </w:r>
          <w:proofErr w:type="spellStart"/>
          <w:r w:rsidRPr="007F1CAA">
            <w:rPr>
              <w:bCs/>
              <w:i/>
              <w:iCs/>
              <w:color w:val="000000"/>
            </w:rPr>
            <w:t>Bourgass</w:t>
          </w:r>
          <w:proofErr w:type="spellEnd"/>
          <w:r w:rsidRPr="007F1CAA">
            <w:rPr>
              <w:bCs/>
              <w:color w:val="000000"/>
            </w:rPr>
            <w:t>.</w:t>
          </w:r>
          <w:r w:rsidRPr="007F1CAA">
            <w:rPr>
              <w:bCs/>
              <w:color w:val="000000"/>
              <w:vertAlign w:val="superscript"/>
            </w:rPr>
            <w:footnoteReference w:id="122"/>
          </w:r>
          <w:r w:rsidRPr="007F1CAA">
            <w:rPr>
              <w:bCs/>
              <w:color w:val="000000"/>
            </w:rPr>
            <w:t xml:space="preserve"> Lord Reed</w:t>
          </w:r>
          <w:r w:rsidR="007F1CAA">
            <w:rPr>
              <w:bCs/>
              <w:color w:val="000000"/>
            </w:rPr>
            <w:t xml:space="preserve">, </w:t>
          </w:r>
          <w:r w:rsidRPr="007F1CAA">
            <w:rPr>
              <w:bCs/>
              <w:color w:val="000000"/>
            </w:rPr>
            <w:t>in an unanimous judgment</w:t>
          </w:r>
          <w:r w:rsidR="007F1CAA">
            <w:rPr>
              <w:bCs/>
              <w:color w:val="000000"/>
            </w:rPr>
            <w:t>,</w:t>
          </w:r>
          <w:r w:rsidRPr="007F1CAA">
            <w:rPr>
              <w:bCs/>
              <w:color w:val="000000"/>
            </w:rPr>
            <w:t xml:space="preserve"> maintained that prisoners had a right to </w:t>
          </w:r>
          <w:r w:rsidRPr="007F1CAA">
            <w:rPr>
              <w:bCs/>
            </w:rPr>
            <w:t>“</w:t>
          </w:r>
          <w:r w:rsidRPr="007F1CAA">
            <w:rPr>
              <w:bCs/>
              <w:color w:val="000000"/>
            </w:rPr>
            <w:t>some degree of association</w:t>
          </w:r>
          <w:r w:rsidRPr="007F1CAA">
            <w:rPr>
              <w:bCs/>
            </w:rPr>
            <w:t>”</w:t>
          </w:r>
          <w:r w:rsidR="007F1CAA">
            <w:rPr>
              <w:bCs/>
              <w:color w:val="000000"/>
            </w:rPr>
            <w:t>;</w:t>
          </w:r>
          <w:r w:rsidRPr="007F1CAA">
            <w:rPr>
              <w:bCs/>
              <w:color w:val="000000"/>
            </w:rPr>
            <w:t xml:space="preserve"> however, the prison authorities have a wide discretion due to the complexities of managing that particular environment.</w:t>
          </w:r>
          <w:r w:rsidRPr="007F1CAA">
            <w:rPr>
              <w:bCs/>
              <w:color w:val="000000"/>
              <w:vertAlign w:val="superscript"/>
            </w:rPr>
            <w:footnoteReference w:id="123"/>
          </w:r>
          <w:r w:rsidRPr="007F1CAA">
            <w:rPr>
              <w:bCs/>
              <w:color w:val="000000"/>
            </w:rPr>
            <w:t xml:space="preserve"> Prisoners had no </w:t>
          </w:r>
          <w:r w:rsidRPr="007F1CAA">
            <w:rPr>
              <w:bCs/>
            </w:rPr>
            <w:t>“</w:t>
          </w:r>
          <w:r w:rsidRPr="007F1CAA">
            <w:rPr>
              <w:bCs/>
              <w:color w:val="000000"/>
            </w:rPr>
            <w:t>precisely defined entitlement to association as a matter of public law. The amount of time</w:t>
          </w:r>
          <w:r w:rsidR="007F1CAA">
            <w:rPr>
              <w:bCs/>
              <w:color w:val="000000"/>
            </w:rPr>
            <w:t>,</w:t>
          </w:r>
          <w:r w:rsidRPr="007F1CAA">
            <w:rPr>
              <w:bCs/>
              <w:color w:val="000000"/>
            </w:rPr>
            <w:t xml:space="preserve"> which he is permitted to spend outside his cell, and the degree of association which he is in consequence permitted to have with other prisoners </w:t>
          </w:r>
          <w:r w:rsidRPr="007F1CAA">
            <w:rPr>
              <w:bCs/>
              <w:color w:val="000000"/>
            </w:rPr>
            <w:lastRenderedPageBreak/>
            <w:t>…</w:t>
          </w:r>
          <w:r w:rsidRPr="007F1CAA">
            <w:rPr>
              <w:bCs/>
            </w:rPr>
            <w:t>”</w:t>
          </w:r>
          <w:r w:rsidRPr="007F1CAA">
            <w:rPr>
              <w:bCs/>
              <w:color w:val="000000"/>
            </w:rPr>
            <w:t xml:space="preserve"> was dependent on a number of factors.</w:t>
          </w:r>
          <w:r w:rsidRPr="007F1CAA">
            <w:rPr>
              <w:bCs/>
              <w:color w:val="000000"/>
              <w:vertAlign w:val="superscript"/>
            </w:rPr>
            <w:footnoteReference w:id="124"/>
          </w:r>
          <w:r w:rsidRPr="007F1CAA">
            <w:rPr>
              <w:bCs/>
              <w:color w:val="000000"/>
            </w:rPr>
            <w:t xml:space="preserve"> This particular case concerned prisoners detained for violent and terrorist offences who were segregated for good order and discipline following various allegations of assault. Here</w:t>
          </w:r>
          <w:r w:rsidR="007F1CAA">
            <w:rPr>
              <w:bCs/>
              <w:color w:val="000000"/>
            </w:rPr>
            <w:t>,</w:t>
          </w:r>
          <w:r w:rsidRPr="007F1CAA">
            <w:rPr>
              <w:bCs/>
              <w:color w:val="000000"/>
            </w:rPr>
            <w:t xml:space="preserve"> Lord Reed did not consider the implication for prisoners who are segregated for their own protection. </w:t>
          </w:r>
        </w:p>
      </w:sdtContent>
    </w:sdt>
    <w:sdt>
      <w:sdtPr>
        <w:rPr>
          <w:bCs/>
        </w:rPr>
        <w:tag w:val="goog_rdk_99"/>
        <w:id w:val="1672522226"/>
      </w:sdtPr>
      <w:sdtContent>
        <w:p w14:paraId="0000004B" w14:textId="77777777"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00"/>
        <w:id w:val="-838766670"/>
      </w:sdtPr>
      <w:sdtContent>
        <w:p w14:paraId="0000004C" w14:textId="7CA48658"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In the first instance</w:t>
          </w:r>
          <w:r w:rsidR="007F1CAA">
            <w:rPr>
              <w:bCs/>
              <w:color w:val="000000"/>
            </w:rPr>
            <w:t>,</w:t>
          </w:r>
          <w:r w:rsidRPr="007F1CAA">
            <w:rPr>
              <w:bCs/>
              <w:color w:val="000000"/>
            </w:rPr>
            <w:t xml:space="preserve"> these spaces are designed and organised with security and surveillance in mind. Yet, segregation also doubles as a framework for protecting prisoners who are at risk in the main prison.</w:t>
          </w:r>
          <w:r w:rsidRPr="007F1CAA">
            <w:rPr>
              <w:bCs/>
              <w:color w:val="000000"/>
              <w:vertAlign w:val="superscript"/>
            </w:rPr>
            <w:footnoteReference w:id="125"/>
          </w:r>
          <w:r w:rsidRPr="007F1CAA">
            <w:rPr>
              <w:bCs/>
              <w:color w:val="000000"/>
            </w:rPr>
            <w:t xml:space="preserve"> This means that prisoners are physically removed from the mainstream regime to either dedicated high security units designed to detain prisoners in solitary confinement or dedicated prison wings for vulnerable prisoners. As a consequence, they are not able to participate in the general activities (such as gym, library, education, work) at all (in the case of solitary confinement) or they may have reduced access (vulnerable prisoners). In England and Wales</w:t>
          </w:r>
          <w:r w:rsidR="007F1CAA">
            <w:rPr>
              <w:bCs/>
              <w:color w:val="000000"/>
            </w:rPr>
            <w:t>,</w:t>
          </w:r>
          <w:r w:rsidRPr="007F1CAA">
            <w:rPr>
              <w:bCs/>
              <w:color w:val="000000"/>
            </w:rPr>
            <w:t xml:space="preserve"> there are different ways that prisoners can be segregated for protection: moved to designated segregation units, segregation in own cell or moved to a designated wing, so-called Vulnerable Prisoner Unit (VPUs). Prisoners who request protection may be moved to the prison</w:t>
          </w:r>
          <w:r w:rsidR="007F1CAA">
            <w:rPr>
              <w:bCs/>
              <w:color w:val="000000"/>
            </w:rPr>
            <w:t>’</w:t>
          </w:r>
          <w:r w:rsidRPr="007F1CAA">
            <w:rPr>
              <w:bCs/>
              <w:color w:val="000000"/>
            </w:rPr>
            <w:t xml:space="preserve">s segregation unit, now Care and Separation Unit (CSU), temporarily until a space in a VPU becomes available. </w:t>
          </w:r>
        </w:p>
      </w:sdtContent>
    </w:sdt>
    <w:sdt>
      <w:sdtPr>
        <w:rPr>
          <w:bCs/>
        </w:rPr>
        <w:tag w:val="goog_rdk_101"/>
        <w:id w:val="1344128880"/>
      </w:sdtPr>
      <w:sdtContent>
        <w:p w14:paraId="0000004D" w14:textId="77777777"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02"/>
        <w:id w:val="-1198693247"/>
      </w:sdtPr>
      <w:sdtContent>
        <w:p w14:paraId="3318D9A0" w14:textId="77777777" w:rsidR="007F1CAA" w:rsidRDefault="00411C03" w:rsidP="007F1CAA">
          <w:pPr>
            <w:pBdr>
              <w:top w:val="nil"/>
              <w:left w:val="nil"/>
              <w:bottom w:val="nil"/>
              <w:right w:val="nil"/>
              <w:between w:val="nil"/>
            </w:pBdr>
            <w:spacing w:after="0" w:line="480" w:lineRule="auto"/>
            <w:jc w:val="both"/>
            <w:rPr>
              <w:bCs/>
              <w:color w:val="000000"/>
            </w:rPr>
          </w:pPr>
          <w:r w:rsidRPr="007F1CAA">
            <w:rPr>
              <w:bCs/>
              <w:color w:val="000000"/>
            </w:rPr>
            <w:t xml:space="preserve">In a comprehensive review of segregation units in England and Wales in 2015, </w:t>
          </w:r>
          <w:r w:rsidR="007F1CAA">
            <w:rPr>
              <w:bCs/>
              <w:color w:val="000000"/>
            </w:rPr>
            <w:t>“</w:t>
          </w:r>
          <w:r w:rsidRPr="007F1CAA">
            <w:rPr>
              <w:bCs/>
              <w:color w:val="000000"/>
            </w:rPr>
            <w:t>Deep Custody</w:t>
          </w:r>
          <w:r w:rsidR="007F1CAA">
            <w:rPr>
              <w:bCs/>
              <w:color w:val="000000"/>
            </w:rPr>
            <w:t>”</w:t>
          </w:r>
          <w:r w:rsidRPr="007F1CAA">
            <w:rPr>
              <w:bCs/>
              <w:color w:val="000000"/>
            </w:rPr>
            <w:t xml:space="preserve">, Shalev and </w:t>
          </w:r>
          <w:proofErr w:type="spellStart"/>
          <w:r w:rsidRPr="007F1CAA">
            <w:rPr>
              <w:bCs/>
              <w:color w:val="000000"/>
            </w:rPr>
            <w:t>Kimmet</w:t>
          </w:r>
          <w:proofErr w:type="spellEnd"/>
          <w:r w:rsidRPr="007F1CAA">
            <w:rPr>
              <w:bCs/>
              <w:color w:val="000000"/>
            </w:rPr>
            <w:t xml:space="preserve"> found that </w:t>
          </w:r>
          <w:r w:rsidR="007F1CAA">
            <w:rPr>
              <w:bCs/>
              <w:color w:val="000000"/>
            </w:rPr>
            <w:t>six per cent o</w:t>
          </w:r>
          <w:r w:rsidRPr="007F1CAA">
            <w:rPr>
              <w:bCs/>
              <w:color w:val="000000"/>
            </w:rPr>
            <w:t>f prisoners were segregated for their own protection.</w:t>
          </w:r>
          <w:r w:rsidRPr="007F1CAA">
            <w:rPr>
              <w:bCs/>
              <w:color w:val="000000"/>
              <w:vertAlign w:val="superscript"/>
            </w:rPr>
            <w:footnoteReference w:id="126"/>
          </w:r>
          <w:r w:rsidRPr="007F1CAA">
            <w:rPr>
              <w:bCs/>
              <w:color w:val="000000"/>
            </w:rPr>
            <w:t xml:space="preserve"> This can include those who are at risk of self-harm</w:t>
          </w:r>
          <w:r w:rsidR="007F1CAA">
            <w:rPr>
              <w:bCs/>
              <w:color w:val="000000"/>
            </w:rPr>
            <w:t>,</w:t>
          </w:r>
          <w:r w:rsidRPr="007F1CAA">
            <w:rPr>
              <w:bCs/>
              <w:color w:val="000000"/>
            </w:rPr>
            <w:t xml:space="preserve"> as well as prisoners who are at risk </w:t>
          </w:r>
          <w:r w:rsidR="007F1CAA">
            <w:rPr>
              <w:bCs/>
              <w:color w:val="000000"/>
            </w:rPr>
            <w:t xml:space="preserve">of harm </w:t>
          </w:r>
          <w:r w:rsidRPr="007F1CAA">
            <w:rPr>
              <w:bCs/>
              <w:color w:val="000000"/>
            </w:rPr>
            <w:t>from other prisoners</w:t>
          </w:r>
          <w:r w:rsidR="007F1CAA">
            <w:rPr>
              <w:bCs/>
              <w:color w:val="000000"/>
            </w:rPr>
            <w:t xml:space="preserve">. </w:t>
          </w:r>
        </w:p>
        <w:sdt>
          <w:sdtPr>
            <w:rPr>
              <w:bCs/>
            </w:rPr>
            <w:tag w:val="goog_rdk_103"/>
            <w:id w:val="-58795168"/>
          </w:sdtPr>
          <w:sdtContent>
            <w:p w14:paraId="0000004F" w14:textId="67917418" w:rsidR="00985107" w:rsidRPr="007F1CAA" w:rsidRDefault="007F1CAA" w:rsidP="007F1CAA">
              <w:pPr>
                <w:pBdr>
                  <w:top w:val="nil"/>
                  <w:left w:val="nil"/>
                  <w:bottom w:val="nil"/>
                  <w:right w:val="nil"/>
                  <w:between w:val="nil"/>
                </w:pBdr>
                <w:spacing w:after="0" w:line="480" w:lineRule="auto"/>
                <w:jc w:val="both"/>
                <w:rPr>
                  <w:bCs/>
                </w:rPr>
              </w:pPr>
              <w:r w:rsidRPr="007F1CAA">
                <w:rPr>
                  <w:bCs/>
                  <w:color w:val="000000"/>
                </w:rPr>
                <w:t xml:space="preserve">This </w:t>
              </w:r>
              <w:r>
                <w:rPr>
                  <w:bCs/>
                  <w:color w:val="000000"/>
                </w:rPr>
                <w:t>“</w:t>
              </w:r>
              <w:r w:rsidRPr="007F1CAA">
                <w:rPr>
                  <w:bCs/>
                  <w:color w:val="000000"/>
                </w:rPr>
                <w:t>catch all</w:t>
              </w:r>
              <w:r>
                <w:rPr>
                  <w:bCs/>
                  <w:color w:val="000000"/>
                </w:rPr>
                <w:t>”</w:t>
              </w:r>
              <w:r w:rsidRPr="007F1CAA">
                <w:rPr>
                  <w:bCs/>
                  <w:color w:val="000000"/>
                </w:rPr>
                <w:t xml:space="preserve"> function is captured by a prison officer interviewed for the </w:t>
              </w:r>
              <w:r>
                <w:rPr>
                  <w:bCs/>
                  <w:color w:val="000000"/>
                </w:rPr>
                <w:t>“</w:t>
              </w:r>
              <w:r w:rsidRPr="007F1CAA">
                <w:rPr>
                  <w:bCs/>
                  <w:color w:val="000000"/>
                </w:rPr>
                <w:t>Deep Custody</w:t>
              </w:r>
              <w:r>
                <w:rPr>
                  <w:bCs/>
                  <w:color w:val="000000"/>
                </w:rPr>
                <w:t>”</w:t>
              </w:r>
              <w:r w:rsidRPr="007F1CAA">
                <w:rPr>
                  <w:bCs/>
                  <w:color w:val="000000"/>
                </w:rPr>
                <w:t xml:space="preserve"> study. Segregation </w:t>
              </w:r>
              <w:sdt>
                <w:sdtPr>
                  <w:rPr>
                    <w:bCs/>
                  </w:rPr>
                  <w:tag w:val="goog_rdk_104"/>
                  <w:id w:val="1563676083"/>
                </w:sdtPr>
                <w:sdtContent>
                  <w:r w:rsidRPr="007F1CAA">
                    <w:rPr>
                      <w:bCs/>
                      <w:color w:val="000000"/>
                    </w:rPr>
                    <w:t>“</w:t>
                  </w:r>
                  <w:r>
                    <w:rPr>
                      <w:bCs/>
                      <w:color w:val="000000"/>
                    </w:rPr>
                    <w:t>c</w:t>
                  </w:r>
                  <w:r w:rsidRPr="007F1CAA">
                    <w:rPr>
                      <w:bCs/>
                      <w:color w:val="000000"/>
                    </w:rPr>
                    <w:t>an be for prisoners where basically there’s nowhere else to place them. It’s a case of needs must- there’s nowhere else. It’s protection for them and us (Officer)</w:t>
                  </w:r>
                  <w:r>
                    <w:rPr>
                      <w:bCs/>
                      <w:color w:val="000000"/>
                    </w:rPr>
                    <w:t>.”</w:t>
                  </w:r>
                  <w:r w:rsidRPr="007F1CAA">
                    <w:rPr>
                      <w:bCs/>
                      <w:color w:val="000000"/>
                      <w:vertAlign w:val="superscript"/>
                    </w:rPr>
                    <w:footnoteReference w:id="127"/>
                  </w:r>
                </w:sdtContent>
              </w:sdt>
            </w:p>
          </w:sdtContent>
        </w:sdt>
      </w:sdtContent>
    </w:sdt>
    <w:sdt>
      <w:sdtPr>
        <w:rPr>
          <w:bCs/>
        </w:rPr>
        <w:tag w:val="goog_rdk_105"/>
        <w:id w:val="-954095397"/>
        <w:showingPlcHdr/>
      </w:sdtPr>
      <w:sdtContent>
        <w:p w14:paraId="00000051" w14:textId="3A0EC7CA" w:rsidR="00985107" w:rsidRPr="007F1CAA" w:rsidRDefault="007F1CAA" w:rsidP="00080569">
          <w:pPr>
            <w:pBdr>
              <w:top w:val="nil"/>
              <w:left w:val="nil"/>
              <w:bottom w:val="nil"/>
              <w:right w:val="nil"/>
              <w:between w:val="nil"/>
            </w:pBdr>
            <w:spacing w:after="0" w:line="480" w:lineRule="auto"/>
            <w:jc w:val="both"/>
            <w:rPr>
              <w:bCs/>
              <w:color w:val="000000"/>
            </w:rPr>
          </w:pPr>
          <w:r>
            <w:rPr>
              <w:bCs/>
            </w:rPr>
            <w:t xml:space="preserve">     </w:t>
          </w:r>
        </w:p>
      </w:sdtContent>
    </w:sdt>
    <w:sdt>
      <w:sdtPr>
        <w:rPr>
          <w:bCs/>
        </w:rPr>
        <w:tag w:val="goog_rdk_106"/>
        <w:id w:val="-2007119846"/>
      </w:sdtPr>
      <w:sdtContent>
        <w:p w14:paraId="00000052" w14:textId="0EC0F87F" w:rsidR="00985107" w:rsidRPr="007F1CAA" w:rsidRDefault="00411C03" w:rsidP="007F1CAA">
          <w:pPr>
            <w:pBdr>
              <w:top w:val="nil"/>
              <w:left w:val="nil"/>
              <w:bottom w:val="nil"/>
              <w:right w:val="nil"/>
              <w:between w:val="nil"/>
            </w:pBdr>
            <w:tabs>
              <w:tab w:val="left" w:pos="1408"/>
            </w:tabs>
            <w:spacing w:after="0" w:line="480" w:lineRule="auto"/>
            <w:ind w:firstLine="720"/>
            <w:jc w:val="both"/>
            <w:rPr>
              <w:bCs/>
              <w:color w:val="000000"/>
            </w:rPr>
          </w:pPr>
          <w:r w:rsidRPr="007F1CAA">
            <w:rPr>
              <w:bCs/>
              <w:color w:val="000000"/>
            </w:rPr>
            <w:t>For prisoners who are segregated this means solitary confinement with little time spent outside their cell, mainly to have a shower or exercise in the yard. They are unlikely to have their personal belongings with them nor are they likely to have access to a television.</w:t>
          </w:r>
          <w:r w:rsidRPr="007F1CAA">
            <w:rPr>
              <w:bCs/>
              <w:color w:val="000000"/>
              <w:vertAlign w:val="superscript"/>
            </w:rPr>
            <w:footnoteReference w:id="128"/>
          </w:r>
          <w:r w:rsidRPr="007F1CAA">
            <w:rPr>
              <w:bCs/>
              <w:color w:val="000000"/>
            </w:rPr>
            <w:t xml:space="preserve"> In </w:t>
          </w:r>
          <w:r w:rsidR="00EF7EB8">
            <w:rPr>
              <w:bCs/>
              <w:color w:val="000000"/>
            </w:rPr>
            <w:t>“</w:t>
          </w:r>
          <w:r w:rsidRPr="007F1CAA">
            <w:rPr>
              <w:bCs/>
              <w:color w:val="000000"/>
            </w:rPr>
            <w:t>Deep Custody</w:t>
          </w:r>
          <w:r w:rsidR="00EF7EB8">
            <w:rPr>
              <w:bCs/>
              <w:color w:val="000000"/>
            </w:rPr>
            <w:t>”,</w:t>
          </w:r>
          <w:r w:rsidRPr="007F1CAA">
            <w:rPr>
              <w:bCs/>
              <w:color w:val="000000"/>
            </w:rPr>
            <w:t xml:space="preserve"> they found that the conditions of confinement in segregation units or CSUs were not only restrictive but extremely deprived.</w:t>
          </w:r>
        </w:p>
      </w:sdtContent>
    </w:sdt>
    <w:sdt>
      <w:sdtPr>
        <w:rPr>
          <w:bCs/>
        </w:rPr>
        <w:tag w:val="goog_rdk_107"/>
        <w:id w:val="-1094777986"/>
      </w:sdtPr>
      <w:sdtContent>
        <w:p w14:paraId="79A71764" w14:textId="77777777" w:rsidR="007F1CAA" w:rsidRDefault="007F1CAA" w:rsidP="00080569">
          <w:pPr>
            <w:pBdr>
              <w:top w:val="nil"/>
              <w:left w:val="nil"/>
              <w:bottom w:val="nil"/>
              <w:right w:val="nil"/>
              <w:between w:val="nil"/>
            </w:pBdr>
            <w:spacing w:after="0" w:line="480" w:lineRule="auto"/>
            <w:jc w:val="both"/>
            <w:rPr>
              <w:bCs/>
            </w:rPr>
          </w:pPr>
        </w:p>
        <w:p w14:paraId="00000053" w14:textId="60471D42" w:rsidR="00985107" w:rsidRPr="007F1CAA" w:rsidRDefault="00EF7EB8" w:rsidP="00EF7EB8">
          <w:pPr>
            <w:pBdr>
              <w:top w:val="nil"/>
              <w:left w:val="nil"/>
              <w:bottom w:val="nil"/>
              <w:right w:val="nil"/>
              <w:between w:val="nil"/>
            </w:pBdr>
            <w:spacing w:after="0" w:line="480" w:lineRule="auto"/>
            <w:ind w:left="567" w:right="567"/>
            <w:jc w:val="both"/>
            <w:rPr>
              <w:bCs/>
              <w:color w:val="000000"/>
            </w:rPr>
          </w:pPr>
          <w:r>
            <w:rPr>
              <w:bCs/>
              <w:color w:val="000000"/>
            </w:rPr>
            <w:t>“</w:t>
          </w:r>
          <w:r w:rsidR="00411C03" w:rsidRPr="007F1CAA">
            <w:rPr>
              <w:bCs/>
              <w:color w:val="000000"/>
            </w:rPr>
            <w:t xml:space="preserve">Regimes … were impoverished, comprising little more than a short period of exercise, a shower, a phone call, and meals. In some </w:t>
          </w:r>
          <w:proofErr w:type="gramStart"/>
          <w:r w:rsidR="00411C03" w:rsidRPr="007F1CAA">
            <w:rPr>
              <w:bCs/>
              <w:color w:val="000000"/>
            </w:rPr>
            <w:t>units</w:t>
          </w:r>
          <w:proofErr w:type="gramEnd"/>
          <w:r w:rsidR="00411C03" w:rsidRPr="007F1CAA">
            <w:rPr>
              <w:bCs/>
              <w:color w:val="000000"/>
            </w:rPr>
            <w:t xml:space="preserve"> prisoners had to choose between having a shower and taking exercise or making a phone call in any one day. Most of the prisons we visited did not meet international standards in the provision of exercise</w:t>
          </w:r>
          <w:r>
            <w:rPr>
              <w:bCs/>
              <w:color w:val="000000"/>
            </w:rPr>
            <w:t>.</w:t>
          </w:r>
          <w:r w:rsidR="00411C03" w:rsidRPr="007F1CAA">
            <w:rPr>
              <w:bCs/>
            </w:rPr>
            <w:t>”</w:t>
          </w:r>
          <w:r w:rsidR="00411C03" w:rsidRPr="007F1CAA">
            <w:rPr>
              <w:bCs/>
              <w:color w:val="000000"/>
              <w:vertAlign w:val="superscript"/>
            </w:rPr>
            <w:footnoteReference w:id="129"/>
          </w:r>
        </w:p>
      </w:sdtContent>
    </w:sdt>
    <w:sdt>
      <w:sdtPr>
        <w:rPr>
          <w:bCs/>
        </w:rPr>
        <w:tag w:val="goog_rdk_108"/>
        <w:id w:val="1384912363"/>
      </w:sdtPr>
      <w:sdtContent>
        <w:p w14:paraId="00000054" w14:textId="77777777"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11"/>
        <w:id w:val="-1911695204"/>
      </w:sdtPr>
      <w:sdtContent>
        <w:p w14:paraId="5E329F05" w14:textId="77777777" w:rsidR="00E21AE4" w:rsidRDefault="00411C03" w:rsidP="00080569">
          <w:pPr>
            <w:pBdr>
              <w:top w:val="nil"/>
              <w:left w:val="nil"/>
              <w:bottom w:val="nil"/>
              <w:right w:val="nil"/>
              <w:between w:val="nil"/>
            </w:pBdr>
            <w:tabs>
              <w:tab w:val="left" w:pos="1408"/>
            </w:tabs>
            <w:spacing w:after="0" w:line="480" w:lineRule="auto"/>
            <w:jc w:val="both"/>
            <w:rPr>
              <w:bCs/>
              <w:color w:val="000000"/>
            </w:rPr>
          </w:pPr>
          <w:r w:rsidRPr="00E21AE4">
            <w:rPr>
              <w:bCs/>
              <w:color w:val="000000" w:themeColor="text1"/>
            </w:rPr>
            <w:t>The severely harmful effects of solitary confinement to prisoners</w:t>
          </w:r>
          <w:r w:rsidR="00E21AE4">
            <w:rPr>
              <w:bCs/>
              <w:color w:val="000000" w:themeColor="text1"/>
            </w:rPr>
            <w:t xml:space="preserve">’ </w:t>
          </w:r>
          <w:r w:rsidRPr="00E21AE4">
            <w:rPr>
              <w:bCs/>
              <w:color w:val="000000" w:themeColor="text1"/>
            </w:rPr>
            <w:t xml:space="preserve">mental </w:t>
          </w:r>
          <w:r w:rsidRPr="007F1CAA">
            <w:rPr>
              <w:bCs/>
              <w:color w:val="000000"/>
            </w:rPr>
            <w:t>and physical health are well-established.</w:t>
          </w:r>
          <w:r w:rsidRPr="007F1CAA">
            <w:rPr>
              <w:bCs/>
              <w:color w:val="000000"/>
              <w:vertAlign w:val="superscript"/>
            </w:rPr>
            <w:footnoteReference w:id="130"/>
          </w:r>
          <w:r w:rsidRPr="007F1CAA">
            <w:rPr>
              <w:bCs/>
              <w:color w:val="000000"/>
            </w:rPr>
            <w:t xml:space="preserve"> They have been raised by international human rights bodies.</w:t>
          </w:r>
          <w:r w:rsidRPr="007F1CAA">
            <w:rPr>
              <w:bCs/>
              <w:color w:val="000000"/>
              <w:vertAlign w:val="superscript"/>
            </w:rPr>
            <w:footnoteReference w:id="131"/>
          </w:r>
          <w:r w:rsidRPr="007F1CAA">
            <w:rPr>
              <w:bCs/>
              <w:color w:val="000000"/>
            </w:rPr>
            <w:t xml:space="preserve"> In the </w:t>
          </w:r>
          <w:proofErr w:type="spellStart"/>
          <w:r w:rsidRPr="00E21AE4">
            <w:rPr>
              <w:bCs/>
              <w:i/>
              <w:iCs/>
              <w:color w:val="000000"/>
            </w:rPr>
            <w:t>Bourgass</w:t>
          </w:r>
          <w:proofErr w:type="spellEnd"/>
          <w:r w:rsidRPr="007F1CAA">
            <w:rPr>
              <w:bCs/>
              <w:color w:val="000000"/>
            </w:rPr>
            <w:t xml:space="preserve"> case</w:t>
          </w:r>
          <w:r w:rsidR="00E21AE4">
            <w:rPr>
              <w:bCs/>
              <w:color w:val="000000"/>
            </w:rPr>
            <w:t>,</w:t>
          </w:r>
          <w:r w:rsidRPr="007F1CAA">
            <w:rPr>
              <w:bCs/>
              <w:color w:val="000000"/>
            </w:rPr>
            <w:t xml:space="preserve"> the </w:t>
          </w:r>
          <w:r w:rsidR="00E21AE4">
            <w:rPr>
              <w:bCs/>
              <w:color w:val="000000"/>
            </w:rPr>
            <w:t>M</w:t>
          </w:r>
          <w:r w:rsidRPr="007F1CAA">
            <w:rPr>
              <w:bCs/>
              <w:color w:val="000000"/>
            </w:rPr>
            <w:t xml:space="preserve">inister and the prison authorities accepted that solitary confinement posed risks to prisoners’ health and wellbeing. They emphasized that its use was restricted to a </w:t>
          </w:r>
          <w:r w:rsidRPr="007F1CAA">
            <w:rPr>
              <w:bCs/>
              <w:color w:val="000000"/>
            </w:rPr>
            <w:lastRenderedPageBreak/>
            <w:t xml:space="preserve">measure of </w:t>
          </w:r>
          <w:r w:rsidR="00E21AE4">
            <w:rPr>
              <w:bCs/>
              <w:color w:val="000000"/>
            </w:rPr>
            <w:t>“</w:t>
          </w:r>
          <w:r w:rsidRPr="007F1CAA">
            <w:rPr>
              <w:bCs/>
              <w:color w:val="000000"/>
            </w:rPr>
            <w:t>last resort where other means of addressing risk are considered insufficient</w:t>
          </w:r>
          <w:r w:rsidR="00E21AE4">
            <w:rPr>
              <w:bCs/>
              <w:color w:val="000000"/>
            </w:rPr>
            <w:t>.”</w:t>
          </w:r>
          <w:r w:rsidRPr="007F1CAA">
            <w:rPr>
              <w:bCs/>
              <w:color w:val="000000"/>
              <w:vertAlign w:val="superscript"/>
            </w:rPr>
            <w:footnoteReference w:id="132"/>
          </w:r>
          <w:r w:rsidRPr="007F1CAA">
            <w:rPr>
              <w:bCs/>
              <w:color w:val="000000"/>
            </w:rPr>
            <w:t xml:space="preserve"> </w:t>
          </w:r>
          <w:sdt>
            <w:sdtPr>
              <w:rPr>
                <w:bCs/>
              </w:rPr>
              <w:tag w:val="goog_rdk_109"/>
              <w:id w:val="1091051413"/>
              <w:showingPlcHdr/>
            </w:sdtPr>
            <w:sdtContent>
              <w:r w:rsidR="00E21AE4">
                <w:rPr>
                  <w:bCs/>
                </w:rPr>
                <w:t xml:space="preserve">     </w:t>
              </w:r>
            </w:sdtContent>
          </w:sdt>
          <w:sdt>
            <w:sdtPr>
              <w:rPr>
                <w:bCs/>
              </w:rPr>
              <w:tag w:val="goog_rdk_110"/>
              <w:id w:val="-340395908"/>
              <w:showingPlcHdr/>
            </w:sdtPr>
            <w:sdtContent>
              <w:r w:rsidR="00E21AE4">
                <w:rPr>
                  <w:bCs/>
                </w:rPr>
                <w:t xml:space="preserve">     </w:t>
              </w:r>
            </w:sdtContent>
          </w:sdt>
          <w:r w:rsidRPr="007F1CAA">
            <w:rPr>
              <w:bCs/>
              <w:color w:val="000000"/>
            </w:rPr>
            <w:t>Yet, there is still a significant lack of recognition from the prison authorities that solitary confinement or isolation are an inappropriate way to detain vulnerable prisoners.</w:t>
          </w:r>
          <w:r w:rsidRPr="007F1CAA">
            <w:rPr>
              <w:bCs/>
              <w:color w:val="000000"/>
              <w:vertAlign w:val="superscript"/>
            </w:rPr>
            <w:footnoteReference w:id="133"/>
          </w:r>
          <w:r w:rsidRPr="007F1CAA">
            <w:rPr>
              <w:bCs/>
              <w:color w:val="000000"/>
            </w:rPr>
            <w:t xml:space="preserve"> </w:t>
          </w:r>
        </w:p>
        <w:p w14:paraId="00000055" w14:textId="47BDFA28" w:rsidR="00985107" w:rsidRPr="007F1CAA" w:rsidRDefault="00A1537F" w:rsidP="00080569">
          <w:pPr>
            <w:pBdr>
              <w:top w:val="nil"/>
              <w:left w:val="nil"/>
              <w:bottom w:val="nil"/>
              <w:right w:val="nil"/>
              <w:between w:val="nil"/>
            </w:pBdr>
            <w:tabs>
              <w:tab w:val="left" w:pos="1408"/>
            </w:tabs>
            <w:spacing w:after="0" w:line="480" w:lineRule="auto"/>
            <w:jc w:val="both"/>
            <w:rPr>
              <w:bCs/>
              <w:color w:val="000000"/>
            </w:rPr>
          </w:pPr>
        </w:p>
      </w:sdtContent>
    </w:sdt>
    <w:sdt>
      <w:sdtPr>
        <w:rPr>
          <w:bCs/>
        </w:rPr>
        <w:tag w:val="goog_rdk_112"/>
        <w:id w:val="-877238185"/>
      </w:sdtPr>
      <w:sdtContent>
        <w:p w14:paraId="00000056" w14:textId="0405A65A"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Vulnerable prisoner units (VPUs) are dedicated spaces for prisoners in need of protection. While they resemble an ordinary wing, prisoners still face considerable restrictions. For instance</w:t>
          </w:r>
          <w:r w:rsidR="00E21AE4">
            <w:rPr>
              <w:bCs/>
              <w:color w:val="000000"/>
            </w:rPr>
            <w:t>,</w:t>
          </w:r>
          <w:r w:rsidRPr="007F1CAA">
            <w:rPr>
              <w:bCs/>
              <w:color w:val="000000"/>
            </w:rPr>
            <w:t xml:space="preserve"> in a letter to </w:t>
          </w:r>
          <w:r w:rsidR="00E21AE4">
            <w:rPr>
              <w:bCs/>
              <w:color w:val="000000"/>
            </w:rPr>
            <w:t>“</w:t>
          </w:r>
          <w:r w:rsidRPr="007F1CAA">
            <w:rPr>
              <w:bCs/>
              <w:color w:val="000000"/>
            </w:rPr>
            <w:t>Inside Times</w:t>
          </w:r>
          <w:r w:rsidR="00E21AE4">
            <w:rPr>
              <w:bCs/>
              <w:color w:val="000000"/>
            </w:rPr>
            <w:t>”</w:t>
          </w:r>
          <w:r w:rsidRPr="007F1CAA">
            <w:rPr>
              <w:bCs/>
              <w:color w:val="000000"/>
            </w:rPr>
            <w:t xml:space="preserve"> in 2012</w:t>
          </w:r>
          <w:r w:rsidR="00E21AE4">
            <w:rPr>
              <w:bCs/>
              <w:color w:val="000000"/>
            </w:rPr>
            <w:t>,</w:t>
          </w:r>
          <w:r w:rsidRPr="007F1CAA">
            <w:rPr>
              <w:bCs/>
              <w:color w:val="000000"/>
            </w:rPr>
            <w:t xml:space="preserve"> a gay man wrote how following abuse from other prisoners he was classified as a vulnerable prisoner and moved to the vulnerable prisoner unit.</w:t>
          </w:r>
          <w:r w:rsidRPr="007F1CAA">
            <w:rPr>
              <w:bCs/>
              <w:color w:val="000000"/>
              <w:vertAlign w:val="superscript"/>
            </w:rPr>
            <w:footnoteReference w:id="134"/>
          </w:r>
          <w:r w:rsidRPr="007F1CAA">
            <w:rPr>
              <w:bCs/>
              <w:color w:val="000000"/>
            </w:rPr>
            <w:t xml:space="preserve"> His conditions of confinement changed considerably. He was mainly confined to his cell apart from one early session of basic education. In addition to this</w:t>
          </w:r>
          <w:r w:rsidR="00E21AE4">
            <w:rPr>
              <w:bCs/>
              <w:color w:val="000000"/>
            </w:rPr>
            <w:t>,</w:t>
          </w:r>
          <w:r w:rsidRPr="007F1CAA">
            <w:rPr>
              <w:bCs/>
              <w:color w:val="000000"/>
            </w:rPr>
            <w:t xml:space="preserve"> he lost his job in the prison education block. He felt that t</w:t>
          </w:r>
          <w:r w:rsidRPr="007F1CAA">
            <w:rPr>
              <w:bCs/>
            </w:rPr>
            <w:t>his was unjustified and that he</w:t>
          </w:r>
          <w:r w:rsidRPr="007F1CAA">
            <w:rPr>
              <w:bCs/>
              <w:color w:val="000000"/>
            </w:rPr>
            <w:t xml:space="preserve"> was treated unfairly as a gay </w:t>
          </w:r>
          <w:r w:rsidRPr="007F1CAA">
            <w:rPr>
              <w:bCs/>
            </w:rPr>
            <w:t>man</w:t>
          </w:r>
          <w:r w:rsidRPr="007F1CAA">
            <w:rPr>
              <w:bCs/>
              <w:color w:val="000000"/>
            </w:rPr>
            <w:t>. Prisoners in varying degrees of social isolation are denied access to prison resources including education, recreation and work</w:t>
          </w:r>
          <w:r w:rsidRPr="007F1CAA">
            <w:rPr>
              <w:bCs/>
            </w:rPr>
            <w:t xml:space="preserve">. </w:t>
          </w:r>
          <w:r w:rsidRPr="007F1CAA">
            <w:rPr>
              <w:bCs/>
              <w:color w:val="000000"/>
            </w:rPr>
            <w:t>Due to the homophobic and transphobic environment in the main prison regime, they may feel that it is risky for them to return.</w:t>
          </w:r>
        </w:p>
      </w:sdtContent>
    </w:sdt>
    <w:sdt>
      <w:sdtPr>
        <w:rPr>
          <w:bCs/>
        </w:rPr>
        <w:tag w:val="goog_rdk_113"/>
        <w:id w:val="447434241"/>
      </w:sdtPr>
      <w:sdtContent>
        <w:p w14:paraId="00000057" w14:textId="77777777"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r>
        </w:p>
      </w:sdtContent>
    </w:sdt>
    <w:sdt>
      <w:sdtPr>
        <w:rPr>
          <w:bCs/>
        </w:rPr>
        <w:tag w:val="goog_rdk_116"/>
        <w:id w:val="1173140182"/>
      </w:sdtPr>
      <w:sdtContent>
        <w:p w14:paraId="00000058" w14:textId="77777777" w:rsidR="00985107" w:rsidRPr="007F1CAA" w:rsidRDefault="00411C03" w:rsidP="00E21AE4">
          <w:pPr>
            <w:pBdr>
              <w:top w:val="nil"/>
              <w:left w:val="nil"/>
              <w:bottom w:val="nil"/>
              <w:right w:val="nil"/>
              <w:between w:val="nil"/>
            </w:pBdr>
            <w:spacing w:after="0" w:line="480" w:lineRule="auto"/>
            <w:ind w:firstLine="720"/>
            <w:jc w:val="both"/>
            <w:rPr>
              <w:bCs/>
              <w:color w:val="000000"/>
            </w:rPr>
          </w:pPr>
          <w:r w:rsidRPr="007F1CAA">
            <w:rPr>
              <w:bCs/>
              <w:color w:val="000000"/>
            </w:rPr>
            <w:t xml:space="preserve">Solitary confinement and other forms of segregation represent the essence of the prison’s punitive capacity when all normalization and rehabilitation measures are stripped away. </w:t>
          </w:r>
          <w:r w:rsidRPr="007F1CAA">
            <w:rPr>
              <w:bCs/>
            </w:rPr>
            <w:t>It is widely recognised that prolonged social isolation is harmful. T</w:t>
          </w:r>
          <w:r w:rsidRPr="007F1CAA">
            <w:rPr>
              <w:bCs/>
              <w:color w:val="000000"/>
            </w:rPr>
            <w:t>hese isolation measures</w:t>
          </w:r>
          <w:sdt>
            <w:sdtPr>
              <w:rPr>
                <w:bCs/>
              </w:rPr>
              <w:tag w:val="goog_rdk_114"/>
              <w:id w:val="-667401097"/>
            </w:sdtPr>
            <w:sdtContent/>
          </w:sdt>
          <w:sdt>
            <w:sdtPr>
              <w:rPr>
                <w:bCs/>
              </w:rPr>
              <w:tag w:val="goog_rdk_115"/>
              <w:id w:val="-614828701"/>
            </w:sdtPr>
            <w:sdtContent/>
          </w:sdt>
          <w:r w:rsidRPr="007F1CAA">
            <w:rPr>
              <w:bCs/>
              <w:color w:val="000000"/>
            </w:rPr>
            <w:t xml:space="preserve"> seem wholly unsuited as a means of protecting prisoners from systemic homophobia </w:t>
          </w:r>
          <w:r w:rsidRPr="007F1CAA">
            <w:rPr>
              <w:bCs/>
              <w:color w:val="000000"/>
            </w:rPr>
            <w:lastRenderedPageBreak/>
            <w:t xml:space="preserve">and transphobia. Not only are these spaces ill-suited for a protective function, the prison environment itself is incompatible for such a task. The </w:t>
          </w:r>
          <w:r w:rsidRPr="007F1CAA">
            <w:rPr>
              <w:bCs/>
            </w:rPr>
            <w:t>“</w:t>
          </w:r>
          <w:proofErr w:type="spellStart"/>
          <w:r w:rsidRPr="007F1CAA">
            <w:rPr>
              <w:bCs/>
              <w:color w:val="000000"/>
            </w:rPr>
            <w:t>unempowerable</w:t>
          </w:r>
          <w:proofErr w:type="spellEnd"/>
          <w:r w:rsidRPr="007F1CAA">
            <w:rPr>
              <w:bCs/>
            </w:rPr>
            <w:t>”</w:t>
          </w:r>
          <w:r w:rsidRPr="007F1CAA">
            <w:rPr>
              <w:bCs/>
              <w:color w:val="000000"/>
            </w:rPr>
            <w:t xml:space="preserve"> prisoners, which includes those who are deemed in need of protection from the main regime, are essentially treated in the same way as the dangerous, risky and violent.</w:t>
          </w:r>
        </w:p>
      </w:sdtContent>
    </w:sdt>
    <w:sdt>
      <w:sdtPr>
        <w:rPr>
          <w:rFonts w:ascii="Times New Roman" w:hAnsi="Times New Roman" w:cs="Times New Roman"/>
          <w:bCs/>
          <w:sz w:val="24"/>
          <w:szCs w:val="24"/>
        </w:rPr>
        <w:tag w:val="goog_rdk_117"/>
        <w:id w:val="454213001"/>
      </w:sdtPr>
      <w:sdtContent>
        <w:p w14:paraId="00000059" w14:textId="77777777" w:rsidR="00985107" w:rsidRPr="007F1CAA" w:rsidRDefault="00A1537F" w:rsidP="00080569">
          <w:pPr>
            <w:pStyle w:val="Heading3"/>
            <w:pBdr>
              <w:top w:val="nil"/>
            </w:pBdr>
            <w:spacing w:before="0" w:after="0" w:line="480" w:lineRule="auto"/>
            <w:jc w:val="both"/>
            <w:rPr>
              <w:rFonts w:ascii="Times New Roman" w:eastAsia="Times New Roman" w:hAnsi="Times New Roman" w:cs="Times New Roman"/>
              <w:bCs/>
              <w:sz w:val="24"/>
              <w:szCs w:val="24"/>
            </w:rPr>
          </w:pPr>
        </w:p>
      </w:sdtContent>
    </w:sdt>
    <w:bookmarkStart w:id="2" w:name="_heading=h.3znysh7" w:colFirst="0" w:colLast="0" w:displacedByCustomXml="next"/>
    <w:bookmarkEnd w:id="2" w:displacedByCustomXml="next"/>
    <w:sdt>
      <w:sdtPr>
        <w:rPr>
          <w:rFonts w:ascii="Times New Roman" w:hAnsi="Times New Roman" w:cs="Times New Roman"/>
          <w:b w:val="0"/>
          <w:bCs/>
          <w:sz w:val="24"/>
          <w:szCs w:val="24"/>
        </w:rPr>
        <w:tag w:val="goog_rdk_118"/>
        <w:id w:val="-2050376827"/>
      </w:sdtPr>
      <w:sdtEndPr>
        <w:rPr>
          <w:i/>
          <w:iCs/>
        </w:rPr>
      </w:sdtEndPr>
      <w:sdtContent>
        <w:p w14:paraId="0000005A" w14:textId="0EE4F46C" w:rsidR="00985107" w:rsidRPr="00E21AE4" w:rsidRDefault="00E21AE4" w:rsidP="00080569">
          <w:pPr>
            <w:pStyle w:val="Heading2"/>
            <w:spacing w:line="480" w:lineRule="auto"/>
            <w:jc w:val="both"/>
            <w:rPr>
              <w:rFonts w:ascii="Times New Roman" w:eastAsia="Times New Roman" w:hAnsi="Times New Roman" w:cs="Times New Roman"/>
              <w:b w:val="0"/>
              <w:bCs/>
              <w:i/>
              <w:iCs/>
              <w:sz w:val="24"/>
              <w:szCs w:val="24"/>
            </w:rPr>
          </w:pPr>
          <w:r w:rsidRPr="00E21AE4">
            <w:rPr>
              <w:rFonts w:ascii="Times New Roman" w:hAnsi="Times New Roman" w:cs="Times New Roman"/>
              <w:b w:val="0"/>
              <w:bCs/>
              <w:i/>
              <w:iCs/>
              <w:sz w:val="24"/>
              <w:szCs w:val="24"/>
            </w:rPr>
            <w:t xml:space="preserve">(ii) </w:t>
          </w:r>
          <w:r w:rsidR="00411C03" w:rsidRPr="00E21AE4">
            <w:rPr>
              <w:rFonts w:ascii="Times New Roman" w:eastAsia="Times New Roman" w:hAnsi="Times New Roman" w:cs="Times New Roman"/>
              <w:b w:val="0"/>
              <w:bCs/>
              <w:i/>
              <w:iCs/>
              <w:sz w:val="24"/>
              <w:szCs w:val="24"/>
            </w:rPr>
            <w:t>Separation and Relationship recognition</w:t>
          </w:r>
        </w:p>
      </w:sdtContent>
    </w:sdt>
    <w:sdt>
      <w:sdtPr>
        <w:rPr>
          <w:bCs/>
        </w:rPr>
        <w:tag w:val="goog_rdk_120"/>
        <w:id w:val="2068141465"/>
      </w:sdtPr>
      <w:sdtContent>
        <w:p w14:paraId="557DF4F7" w14:textId="77777777" w:rsidR="00E21AE4" w:rsidRDefault="00E21AE4" w:rsidP="00080569">
          <w:pPr>
            <w:pBdr>
              <w:top w:val="nil"/>
              <w:left w:val="nil"/>
              <w:bottom w:val="nil"/>
              <w:right w:val="nil"/>
              <w:between w:val="nil"/>
            </w:pBdr>
            <w:spacing w:after="0" w:line="480" w:lineRule="auto"/>
            <w:jc w:val="both"/>
            <w:rPr>
              <w:bCs/>
            </w:rPr>
          </w:pPr>
        </w:p>
        <w:p w14:paraId="0000005B" w14:textId="7F2AB172" w:rsidR="00985107" w:rsidRPr="007F1CAA" w:rsidRDefault="00411C03" w:rsidP="00080569">
          <w:pPr>
            <w:pBdr>
              <w:top w:val="nil"/>
              <w:left w:val="nil"/>
              <w:bottom w:val="nil"/>
              <w:right w:val="nil"/>
              <w:between w:val="nil"/>
            </w:pBdr>
            <w:spacing w:after="0" w:line="480" w:lineRule="auto"/>
            <w:jc w:val="both"/>
            <w:rPr>
              <w:bCs/>
            </w:rPr>
          </w:pPr>
          <w:r w:rsidRPr="007F1CAA">
            <w:rPr>
              <w:bCs/>
              <w:color w:val="000000"/>
            </w:rPr>
            <w:t>In this final section</w:t>
          </w:r>
          <w:r w:rsidR="00E21AE4">
            <w:rPr>
              <w:bCs/>
              <w:color w:val="000000"/>
            </w:rPr>
            <w:t>,</w:t>
          </w:r>
          <w:r w:rsidRPr="007F1CAA">
            <w:rPr>
              <w:bCs/>
              <w:color w:val="000000"/>
            </w:rPr>
            <w:t xml:space="preserve"> we critically engage with some more recent judgments on the way formalized relationships in prison challenge the heteronormative assumptions on prisoners</w:t>
          </w:r>
          <w:r w:rsidR="00E21AE4">
            <w:rPr>
              <w:bCs/>
              <w:color w:val="000000"/>
            </w:rPr>
            <w:t>’</w:t>
          </w:r>
          <w:r w:rsidRPr="007F1CAA">
            <w:rPr>
              <w:bCs/>
              <w:color w:val="000000"/>
            </w:rPr>
            <w:t xml:space="preserve"> right to family life under </w:t>
          </w:r>
          <w:r w:rsidR="00E21AE4">
            <w:rPr>
              <w:bCs/>
              <w:color w:val="000000"/>
            </w:rPr>
            <w:t xml:space="preserve">art. </w:t>
          </w:r>
          <w:r w:rsidRPr="007F1CAA">
            <w:rPr>
              <w:bCs/>
              <w:color w:val="000000"/>
            </w:rPr>
            <w:t>8 ECHR.</w:t>
          </w:r>
          <w:r w:rsidRPr="007F1CAA">
            <w:rPr>
              <w:bCs/>
              <w:color w:val="000000"/>
              <w:vertAlign w:val="superscript"/>
            </w:rPr>
            <w:footnoteReference w:id="135"/>
          </w:r>
          <w:r w:rsidRPr="007F1CAA">
            <w:rPr>
              <w:bCs/>
              <w:color w:val="000000"/>
            </w:rPr>
            <w:t xml:space="preserve"> These are premised on the assumption that incarceration entails the separation of people in spousal relationships. Consequently, there is a recognition of the importance of relationships based on kinship to prisoners and</w:t>
          </w:r>
          <w:r w:rsidR="00E21AE4">
            <w:rPr>
              <w:bCs/>
              <w:color w:val="000000"/>
            </w:rPr>
            <w:t xml:space="preserve">, </w:t>
          </w:r>
          <w:r w:rsidRPr="007F1CAA">
            <w:rPr>
              <w:bCs/>
              <w:color w:val="000000"/>
            </w:rPr>
            <w:t>ultimately</w:t>
          </w:r>
          <w:r w:rsidR="00E21AE4">
            <w:rPr>
              <w:bCs/>
              <w:color w:val="000000"/>
            </w:rPr>
            <w:t>,</w:t>
          </w:r>
          <w:r w:rsidRPr="007F1CAA">
            <w:rPr>
              <w:bCs/>
              <w:color w:val="000000"/>
            </w:rPr>
            <w:t xml:space="preserve"> their reintegration to society. The support of prisoners’ family relationships is framed through the spatial and temporal separation with an emphasis on the facilitation of visits, correspondence and communication via technology.  In this section</w:t>
          </w:r>
          <w:r w:rsidR="00E21AE4">
            <w:rPr>
              <w:bCs/>
              <w:color w:val="000000"/>
            </w:rPr>
            <w:t xml:space="preserve">, </w:t>
          </w:r>
          <w:r w:rsidRPr="007F1CAA">
            <w:rPr>
              <w:bCs/>
              <w:color w:val="000000"/>
            </w:rPr>
            <w:t>we explore how the courts have engaged with queer relationships in prison. The first issue has been the extension of inter-prison visits to queer couples. The second has been the separation of prisoners once relationships have been formalized.</w:t>
          </w:r>
        </w:p>
      </w:sdtContent>
    </w:sdt>
    <w:sdt>
      <w:sdtPr>
        <w:rPr>
          <w:bCs/>
        </w:rPr>
        <w:tag w:val="goog_rdk_121"/>
        <w:id w:val="717781908"/>
        <w:showingPlcHdr/>
      </w:sdtPr>
      <w:sdtContent>
        <w:p w14:paraId="0000005C" w14:textId="725C749B" w:rsidR="00985107" w:rsidRPr="007F1CAA" w:rsidRDefault="00E21AE4" w:rsidP="00080569">
          <w:pPr>
            <w:pBdr>
              <w:top w:val="nil"/>
              <w:left w:val="nil"/>
              <w:bottom w:val="nil"/>
              <w:right w:val="nil"/>
              <w:between w:val="nil"/>
            </w:pBdr>
            <w:spacing w:after="0" w:line="480" w:lineRule="auto"/>
            <w:jc w:val="both"/>
            <w:rPr>
              <w:bCs/>
            </w:rPr>
          </w:pPr>
          <w:r>
            <w:rPr>
              <w:bCs/>
            </w:rPr>
            <w:t xml:space="preserve">     </w:t>
          </w:r>
        </w:p>
      </w:sdtContent>
    </w:sdt>
    <w:sdt>
      <w:sdtPr>
        <w:rPr>
          <w:bCs/>
        </w:rPr>
        <w:tag w:val="goog_rdk_122"/>
        <w:id w:val="1189564545"/>
      </w:sdtPr>
      <w:sdtContent>
        <w:p w14:paraId="68260CB4" w14:textId="77777777" w:rsidR="00E21AE4" w:rsidRDefault="00E21AE4" w:rsidP="00080569">
          <w:pPr>
            <w:pBdr>
              <w:top w:val="nil"/>
              <w:left w:val="nil"/>
              <w:bottom w:val="nil"/>
              <w:right w:val="nil"/>
              <w:between w:val="nil"/>
            </w:pBdr>
            <w:spacing w:after="0" w:line="480" w:lineRule="auto"/>
            <w:jc w:val="both"/>
            <w:rPr>
              <w:bCs/>
              <w:color w:val="000000"/>
            </w:rPr>
          </w:pPr>
          <w:r>
            <w:rPr>
              <w:bCs/>
            </w:rPr>
            <w:t xml:space="preserve">(a) </w:t>
          </w:r>
          <w:r w:rsidR="00411C03" w:rsidRPr="007F1CAA">
            <w:rPr>
              <w:bCs/>
              <w:color w:val="000000"/>
            </w:rPr>
            <w:t xml:space="preserve">Inter-prison visits and the quality of family life </w:t>
          </w:r>
        </w:p>
        <w:p w14:paraId="0000005D" w14:textId="52247F7F"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23"/>
        <w:id w:val="302204584"/>
      </w:sdtPr>
      <w:sdtContent>
        <w:p w14:paraId="2351FC7B" w14:textId="77777777" w:rsidR="00137F4E" w:rsidRDefault="00411C03" w:rsidP="00137F4E">
          <w:pPr>
            <w:pBdr>
              <w:top w:val="nil"/>
              <w:left w:val="nil"/>
              <w:bottom w:val="nil"/>
              <w:right w:val="nil"/>
              <w:between w:val="nil"/>
            </w:pBdr>
            <w:spacing w:after="0" w:line="480" w:lineRule="auto"/>
            <w:jc w:val="both"/>
            <w:rPr>
              <w:bCs/>
              <w:color w:val="000000"/>
            </w:rPr>
          </w:pPr>
          <w:r w:rsidRPr="007F1CAA">
            <w:rPr>
              <w:bCs/>
              <w:color w:val="000000"/>
            </w:rPr>
            <w:t xml:space="preserve">In two consecutive applications, Charles O’Neill and William </w:t>
          </w:r>
          <w:proofErr w:type="spellStart"/>
          <w:r w:rsidRPr="007F1CAA">
            <w:rPr>
              <w:bCs/>
              <w:color w:val="000000"/>
            </w:rPr>
            <w:t>Lauchlan</w:t>
          </w:r>
          <w:proofErr w:type="spellEnd"/>
          <w:r w:rsidR="00137F4E">
            <w:rPr>
              <w:bCs/>
              <w:color w:val="000000"/>
            </w:rPr>
            <w:t xml:space="preserve"> (</w:t>
          </w:r>
          <w:r w:rsidRPr="007F1CAA">
            <w:rPr>
              <w:bCs/>
              <w:color w:val="000000"/>
            </w:rPr>
            <w:t xml:space="preserve">O’Neill and </w:t>
          </w:r>
          <w:proofErr w:type="spellStart"/>
          <w:r w:rsidRPr="007F1CAA">
            <w:rPr>
              <w:bCs/>
              <w:color w:val="000000"/>
            </w:rPr>
            <w:t>Lauchlan</w:t>
          </w:r>
          <w:proofErr w:type="spellEnd"/>
          <w:r w:rsidR="00137F4E">
            <w:rPr>
              <w:bCs/>
              <w:color w:val="000000"/>
            </w:rPr>
            <w:t>)</w:t>
          </w:r>
          <w:r w:rsidRPr="007F1CAA">
            <w:rPr>
              <w:bCs/>
              <w:color w:val="000000"/>
            </w:rPr>
            <w:t xml:space="preserve">, both serving life sentences with long tariffs, challenged the Scottish Prison </w:t>
          </w:r>
          <w:r w:rsidRPr="007F1CAA">
            <w:rPr>
              <w:bCs/>
              <w:color w:val="000000"/>
            </w:rPr>
            <w:lastRenderedPageBreak/>
            <w:t>Service</w:t>
          </w:r>
          <w:r w:rsidRPr="007F1CAA">
            <w:rPr>
              <w:bCs/>
            </w:rPr>
            <w:t>’</w:t>
          </w:r>
          <w:r w:rsidRPr="007F1CAA">
            <w:rPr>
              <w:bCs/>
              <w:color w:val="000000"/>
            </w:rPr>
            <w:t>s (SPS) decision to refuse inter-prison visits.</w:t>
          </w:r>
          <w:r w:rsidRPr="007F1CAA">
            <w:rPr>
              <w:bCs/>
              <w:color w:val="000000"/>
              <w:vertAlign w:val="superscript"/>
            </w:rPr>
            <w:footnoteReference w:id="136"/>
          </w:r>
          <w:r w:rsidRPr="007F1CAA">
            <w:rPr>
              <w:bCs/>
              <w:color w:val="000000"/>
            </w:rPr>
            <w:t xml:space="preserve"> They claimed that</w:t>
          </w:r>
          <w:r w:rsidR="00137F4E">
            <w:rPr>
              <w:bCs/>
              <w:color w:val="000000"/>
            </w:rPr>
            <w:t xml:space="preserve">, </w:t>
          </w:r>
          <w:r w:rsidRPr="007F1CAA">
            <w:rPr>
              <w:bCs/>
              <w:color w:val="000000"/>
            </w:rPr>
            <w:t>as a gay couple</w:t>
          </w:r>
          <w:r w:rsidR="00137F4E">
            <w:rPr>
              <w:bCs/>
              <w:color w:val="000000"/>
            </w:rPr>
            <w:t>,</w:t>
          </w:r>
          <w:r w:rsidRPr="007F1CAA">
            <w:rPr>
              <w:bCs/>
              <w:color w:val="000000"/>
            </w:rPr>
            <w:t xml:space="preserve"> the refusal amounted to a breach of their right to family life, </w:t>
          </w:r>
          <w:r w:rsidR="00137F4E">
            <w:rPr>
              <w:bCs/>
              <w:color w:val="000000"/>
            </w:rPr>
            <w:t xml:space="preserve">art. </w:t>
          </w:r>
          <w:r w:rsidRPr="007F1CAA">
            <w:rPr>
              <w:bCs/>
              <w:color w:val="000000"/>
            </w:rPr>
            <w:t>8 ECHR, and discriminat</w:t>
          </w:r>
          <w:r w:rsidR="00137F4E">
            <w:rPr>
              <w:bCs/>
              <w:color w:val="000000"/>
            </w:rPr>
            <w:t xml:space="preserve">ion </w:t>
          </w:r>
          <w:r w:rsidRPr="007F1CAA">
            <w:rPr>
              <w:bCs/>
              <w:color w:val="000000"/>
            </w:rPr>
            <w:t xml:space="preserve">in breach of </w:t>
          </w:r>
          <w:r w:rsidR="00137F4E">
            <w:rPr>
              <w:bCs/>
              <w:color w:val="000000"/>
            </w:rPr>
            <w:t xml:space="preserve">art. </w:t>
          </w:r>
          <w:r w:rsidRPr="007F1CAA">
            <w:rPr>
              <w:bCs/>
              <w:color w:val="000000"/>
            </w:rPr>
            <w:t>14 ECHR.</w:t>
          </w:r>
          <w:r w:rsidRPr="007F1CAA">
            <w:rPr>
              <w:bCs/>
              <w:color w:val="000000"/>
              <w:vertAlign w:val="superscript"/>
            </w:rPr>
            <w:footnoteReference w:id="137"/>
          </w:r>
          <w:r w:rsidRPr="007F1CAA">
            <w:rPr>
              <w:bCs/>
              <w:color w:val="000000"/>
            </w:rPr>
            <w:t xml:space="preserve"> In its second ruling</w:t>
          </w:r>
          <w:r w:rsidR="00137F4E">
            <w:rPr>
              <w:bCs/>
              <w:color w:val="000000"/>
            </w:rPr>
            <w:t>,</w:t>
          </w:r>
          <w:r w:rsidRPr="007F1CAA">
            <w:rPr>
              <w:bCs/>
              <w:color w:val="000000"/>
            </w:rPr>
            <w:t xml:space="preserve"> the Scottish Court considered two issues, first the legal validity of the Scottish inter-prison visit scheme and</w:t>
          </w:r>
          <w:r w:rsidR="00137F4E">
            <w:rPr>
              <w:bCs/>
              <w:color w:val="000000"/>
            </w:rPr>
            <w:t>,</w:t>
          </w:r>
          <w:r w:rsidRPr="007F1CAA">
            <w:rPr>
              <w:bCs/>
              <w:color w:val="000000"/>
            </w:rPr>
            <w:t xml:space="preserve"> secondly, whether the inter-prison visits extended to civil partnerships more broadly and to O'Neill and </w:t>
          </w:r>
          <w:proofErr w:type="spellStart"/>
          <w:r w:rsidRPr="007F1CAA">
            <w:rPr>
              <w:bCs/>
              <w:color w:val="000000"/>
            </w:rPr>
            <w:t>Lauchlan</w:t>
          </w:r>
          <w:proofErr w:type="spellEnd"/>
          <w:r w:rsidRPr="007F1CAA">
            <w:rPr>
              <w:bCs/>
              <w:color w:val="000000"/>
            </w:rPr>
            <w:t xml:space="preserve"> more specifically. The focus here will be on the latter.</w:t>
          </w:r>
        </w:p>
        <w:p w14:paraId="0000005F" w14:textId="1A03EAC3" w:rsidR="00985107" w:rsidRPr="00137F4E" w:rsidRDefault="00A1537F" w:rsidP="00137F4E">
          <w:pPr>
            <w:pBdr>
              <w:top w:val="nil"/>
              <w:left w:val="nil"/>
              <w:bottom w:val="nil"/>
              <w:right w:val="nil"/>
              <w:between w:val="nil"/>
            </w:pBdr>
            <w:spacing w:after="0" w:line="480" w:lineRule="auto"/>
            <w:jc w:val="both"/>
            <w:rPr>
              <w:bCs/>
              <w:color w:val="000000"/>
            </w:rPr>
          </w:pPr>
        </w:p>
      </w:sdtContent>
    </w:sdt>
    <w:sdt>
      <w:sdtPr>
        <w:rPr>
          <w:bCs/>
        </w:rPr>
        <w:tag w:val="goog_rdk_125"/>
        <w:id w:val="1100911728"/>
      </w:sdtPr>
      <w:sdtContent>
        <w:p w14:paraId="3AC67750" w14:textId="77777777" w:rsidR="00137F4E" w:rsidRDefault="00A1537F" w:rsidP="00137F4E">
          <w:pPr>
            <w:pBdr>
              <w:top w:val="nil"/>
              <w:left w:val="nil"/>
              <w:bottom w:val="nil"/>
              <w:right w:val="nil"/>
              <w:between w:val="nil"/>
            </w:pBdr>
            <w:spacing w:line="480" w:lineRule="auto"/>
            <w:ind w:firstLine="720"/>
            <w:jc w:val="both"/>
            <w:rPr>
              <w:bCs/>
              <w:color w:val="000000"/>
            </w:rPr>
          </w:pPr>
          <w:sdt>
            <w:sdtPr>
              <w:rPr>
                <w:bCs/>
              </w:rPr>
              <w:tag w:val="goog_rdk_124"/>
              <w:id w:val="1646087644"/>
            </w:sdtPr>
            <w:sdtContent>
              <w:r w:rsidR="00137F4E" w:rsidRPr="007F1CAA">
                <w:rPr>
                  <w:bCs/>
                  <w:color w:val="000000"/>
                </w:rPr>
                <w:t>In relation to the general question</w:t>
              </w:r>
              <w:r w:rsidR="00137F4E">
                <w:rPr>
                  <w:bCs/>
                  <w:color w:val="000000"/>
                </w:rPr>
                <w:t xml:space="preserve">, </w:t>
              </w:r>
              <w:r w:rsidR="00137F4E" w:rsidRPr="007F1CAA">
                <w:rPr>
                  <w:bCs/>
                  <w:color w:val="000000"/>
                </w:rPr>
                <w:t>the Court held that gay and lesbian couples were entitled to inter-prison visits</w:t>
              </w:r>
              <w:r w:rsidR="00137F4E" w:rsidRPr="007F1CAA">
                <w:rPr>
                  <w:bCs/>
                  <w:color w:val="141413"/>
                </w:rPr>
                <w:t>.</w:t>
              </w:r>
              <w:r w:rsidR="00137F4E" w:rsidRPr="007F1CAA">
                <w:rPr>
                  <w:bCs/>
                  <w:color w:val="141413"/>
                  <w:vertAlign w:val="superscript"/>
                </w:rPr>
                <w:footnoteReference w:id="138"/>
              </w:r>
              <w:r w:rsidR="00137F4E" w:rsidRPr="007F1CAA">
                <w:rPr>
                  <w:bCs/>
                  <w:color w:val="141413"/>
                </w:rPr>
                <w:t xml:space="preserve"> </w:t>
              </w:r>
            </w:sdtContent>
          </w:sdt>
          <w:r w:rsidR="00411C03" w:rsidRPr="007F1CAA">
            <w:rPr>
              <w:bCs/>
              <w:color w:val="000000"/>
            </w:rPr>
            <w:t>In the particular circumstance of the case, Lord Stewart assessed the nature of the claimants' relationship. He held that the SPS did not fail to respect the</w:t>
          </w:r>
          <w:r w:rsidR="00411C03" w:rsidRPr="007F1CAA">
            <w:rPr>
              <w:bCs/>
            </w:rPr>
            <w:t>ir</w:t>
          </w:r>
          <w:r w:rsidR="00411C03" w:rsidRPr="007F1CAA">
            <w:rPr>
              <w:bCs/>
              <w:color w:val="000000"/>
            </w:rPr>
            <w:t xml:space="preserve"> right to family life nor did they discriminate against them. The question was whether the particular relationship amounted to “family life”. According to Lord Stewart, family life: </w:t>
          </w:r>
        </w:p>
        <w:p w14:paraId="00000060" w14:textId="5C797691" w:rsidR="00985107" w:rsidRPr="00137F4E" w:rsidRDefault="00A1537F" w:rsidP="00137F4E">
          <w:pPr>
            <w:pBdr>
              <w:top w:val="nil"/>
              <w:left w:val="nil"/>
              <w:bottom w:val="nil"/>
              <w:right w:val="nil"/>
              <w:between w:val="nil"/>
            </w:pBdr>
            <w:spacing w:line="480" w:lineRule="auto"/>
            <w:ind w:firstLine="720"/>
            <w:jc w:val="both"/>
            <w:rPr>
              <w:bCs/>
            </w:rPr>
          </w:pPr>
        </w:p>
      </w:sdtContent>
    </w:sdt>
    <w:sdt>
      <w:sdtPr>
        <w:rPr>
          <w:bCs/>
        </w:rPr>
        <w:tag w:val="goog_rdk_126"/>
        <w:id w:val="495838755"/>
      </w:sdtPr>
      <w:sdtContent>
        <w:p w14:paraId="00000061" w14:textId="77777777" w:rsidR="00985107" w:rsidRPr="007F1CAA" w:rsidRDefault="00411C03" w:rsidP="00137F4E">
          <w:pPr>
            <w:pBdr>
              <w:top w:val="nil"/>
              <w:left w:val="nil"/>
              <w:bottom w:val="nil"/>
              <w:right w:val="nil"/>
              <w:between w:val="nil"/>
            </w:pBdr>
            <w:spacing w:after="0" w:line="480" w:lineRule="auto"/>
            <w:ind w:left="567" w:right="567"/>
            <w:jc w:val="both"/>
            <w:rPr>
              <w:bCs/>
            </w:rPr>
          </w:pPr>
          <w:r w:rsidRPr="007F1CAA">
            <w:rPr>
              <w:bCs/>
              <w:color w:val="000000"/>
            </w:rPr>
            <w:t xml:space="preserve">“can refer to two different but overlapping things: it can refer to the type of relationship and it can refer to the quality of the relations between or among those concerned. There is no exhaustive definition of the relationships which attract the protection and support of </w:t>
          </w:r>
          <w:r w:rsidRPr="007F1CAA">
            <w:rPr>
              <w:bCs/>
            </w:rPr>
            <w:t>A</w:t>
          </w:r>
          <w:r w:rsidRPr="007F1CAA">
            <w:rPr>
              <w:bCs/>
              <w:color w:val="000000"/>
            </w:rPr>
            <w:t xml:space="preserve">rticle 8 ECHR: … Article 8 ECHR does not, for </w:t>
          </w:r>
          <w:r w:rsidRPr="007F1CAA">
            <w:rPr>
              <w:bCs/>
              <w:color w:val="000000"/>
            </w:rPr>
            <w:lastRenderedPageBreak/>
            <w:t>example, oblige the state to respect abusive, coercive and exploitative relationships …”.</w:t>
          </w:r>
          <w:r w:rsidRPr="007F1CAA">
            <w:rPr>
              <w:bCs/>
              <w:color w:val="000000"/>
              <w:vertAlign w:val="superscript"/>
            </w:rPr>
            <w:footnoteReference w:id="139"/>
          </w:r>
          <w:r w:rsidRPr="007F1CAA">
            <w:rPr>
              <w:bCs/>
              <w:color w:val="000000"/>
            </w:rPr>
            <w:t xml:space="preserve"> </w:t>
          </w:r>
        </w:p>
      </w:sdtContent>
    </w:sdt>
    <w:sdt>
      <w:sdtPr>
        <w:rPr>
          <w:bCs/>
        </w:rPr>
        <w:tag w:val="goog_rdk_127"/>
        <w:id w:val="641776633"/>
      </w:sdtPr>
      <w:sdtContent>
        <w:p w14:paraId="00000062" w14:textId="77777777"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131"/>
        <w:id w:val="-1871441781"/>
      </w:sdtPr>
      <w:sdtContent>
        <w:p w14:paraId="00000063" w14:textId="776FA939"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The time and purpose of their togetherness was deemed central to establishing the quality of their relationship. </w:t>
          </w:r>
          <w:sdt>
            <w:sdtPr>
              <w:rPr>
                <w:bCs/>
              </w:rPr>
              <w:tag w:val="goog_rdk_128"/>
              <w:id w:val="-1676185726"/>
            </w:sdtPr>
            <w:sdtContent/>
          </w:sdt>
          <w:sdt>
            <w:sdtPr>
              <w:rPr>
                <w:bCs/>
              </w:rPr>
              <w:tag w:val="goog_rdk_129"/>
              <w:id w:val="742522754"/>
            </w:sdtPr>
            <w:sdtContent/>
          </w:sdt>
          <w:r w:rsidRPr="007F1CAA">
            <w:rPr>
              <w:bCs/>
              <w:color w:val="000000"/>
            </w:rPr>
            <w:t>In this case</w:t>
          </w:r>
          <w:r w:rsidR="00137F4E">
            <w:rPr>
              <w:bCs/>
              <w:color w:val="000000"/>
            </w:rPr>
            <w:t>,</w:t>
          </w:r>
          <w:r w:rsidRPr="007F1CAA">
            <w:rPr>
              <w:bCs/>
              <w:color w:val="000000"/>
            </w:rPr>
            <w:t xml:space="preserve"> the comparatively short periods together outside prison were dominated by their joint sexual violence towards young boys.</w:t>
          </w:r>
          <w:r w:rsidRPr="007F1CAA">
            <w:rPr>
              <w:bCs/>
              <w:color w:val="000000"/>
              <w:vertAlign w:val="superscript"/>
            </w:rPr>
            <w:footnoteReference w:id="140"/>
          </w:r>
          <w:sdt>
            <w:sdtPr>
              <w:rPr>
                <w:bCs/>
              </w:rPr>
              <w:tag w:val="goog_rdk_130"/>
              <w:id w:val="546115053"/>
            </w:sdtPr>
            <w:sdtContent>
              <w:r w:rsidR="00137F4E">
                <w:rPr>
                  <w:bCs/>
                </w:rPr>
                <w:t xml:space="preserve"> </w:t>
              </w:r>
            </w:sdtContent>
          </w:sdt>
          <w:r w:rsidRPr="007F1CAA">
            <w:rPr>
              <w:bCs/>
              <w:color w:val="000000"/>
            </w:rPr>
            <w:t xml:space="preserve">Therefore, the judge found that the nature of </w:t>
          </w:r>
          <w:r w:rsidRPr="007F1CAA">
            <w:rPr>
              <w:bCs/>
            </w:rPr>
            <w:t>their</w:t>
          </w:r>
          <w:r w:rsidRPr="007F1CAA">
            <w:rPr>
              <w:bCs/>
              <w:color w:val="000000"/>
            </w:rPr>
            <w:t xml:space="preserve"> relationship did not come within the remit of </w:t>
          </w:r>
          <w:r w:rsidR="00137F4E">
            <w:rPr>
              <w:bCs/>
              <w:color w:val="000000"/>
            </w:rPr>
            <w:t xml:space="preserve">art. </w:t>
          </w:r>
          <w:r w:rsidRPr="007F1CAA">
            <w:rPr>
              <w:bCs/>
              <w:color w:val="000000"/>
            </w:rPr>
            <w:t>8 ECHR.</w:t>
          </w:r>
        </w:p>
      </w:sdtContent>
    </w:sdt>
    <w:sdt>
      <w:sdtPr>
        <w:rPr>
          <w:bCs/>
        </w:rPr>
        <w:tag w:val="goog_rdk_133"/>
        <w:id w:val="-1118603012"/>
      </w:sdtPr>
      <w:sdtContent>
        <w:p w14:paraId="1D4FD13A" w14:textId="77777777" w:rsidR="00137F4E" w:rsidRDefault="00411C03" w:rsidP="00080569">
          <w:pPr>
            <w:pBdr>
              <w:top w:val="nil"/>
              <w:left w:val="nil"/>
              <w:bottom w:val="nil"/>
              <w:right w:val="nil"/>
              <w:between w:val="nil"/>
            </w:pBdr>
            <w:spacing w:after="0" w:line="480" w:lineRule="auto"/>
            <w:jc w:val="both"/>
            <w:rPr>
              <w:bCs/>
            </w:rPr>
          </w:pPr>
          <w:r w:rsidRPr="007F1CAA">
            <w:rPr>
              <w:bCs/>
              <w:color w:val="000000"/>
            </w:rPr>
            <w:tab/>
          </w:r>
        </w:p>
        <w:p w14:paraId="773BF9AC" w14:textId="77777777" w:rsidR="00137F4E" w:rsidRDefault="00411C03" w:rsidP="00137F4E">
          <w:pPr>
            <w:pBdr>
              <w:top w:val="nil"/>
              <w:left w:val="nil"/>
              <w:bottom w:val="nil"/>
              <w:right w:val="nil"/>
              <w:between w:val="nil"/>
            </w:pBdr>
            <w:spacing w:after="0" w:line="480" w:lineRule="auto"/>
            <w:ind w:firstLine="720"/>
            <w:jc w:val="both"/>
            <w:rPr>
              <w:bCs/>
              <w:color w:val="000000"/>
            </w:rPr>
          </w:pPr>
          <w:r w:rsidRPr="007F1CAA">
            <w:rPr>
              <w:bCs/>
              <w:color w:val="000000"/>
            </w:rPr>
            <w:t>While the test of family life was applied restrictively in this case, there may be scope within this definition to broaden family life beyond heteronormative conceptions</w:t>
          </w:r>
          <w:r w:rsidRPr="007F1CAA">
            <w:rPr>
              <w:bCs/>
            </w:rPr>
            <w:t>. F</w:t>
          </w:r>
          <w:r w:rsidRPr="007F1CAA">
            <w:rPr>
              <w:bCs/>
              <w:color w:val="000000"/>
            </w:rPr>
            <w:t>eminist critique centre</w:t>
          </w:r>
          <w:r w:rsidRPr="007F1CAA">
            <w:rPr>
              <w:bCs/>
            </w:rPr>
            <w:t>s</w:t>
          </w:r>
          <w:r w:rsidRPr="007F1CAA">
            <w:rPr>
              <w:bCs/>
              <w:color w:val="000000"/>
            </w:rPr>
            <w:t xml:space="preserve"> on the privileging of heterosexual spousal relationships and correspondingly the </w:t>
          </w:r>
          <w:r w:rsidR="00137F4E">
            <w:rPr>
              <w:bCs/>
              <w:color w:val="000000"/>
            </w:rPr>
            <w:t>“</w:t>
          </w:r>
          <w:r w:rsidRPr="007F1CAA">
            <w:rPr>
              <w:bCs/>
              <w:color w:val="000000"/>
            </w:rPr>
            <w:t>under-valuing of relationships of care, love and support</w:t>
          </w:r>
          <w:r w:rsidR="00137F4E">
            <w:rPr>
              <w:bCs/>
              <w:color w:val="000000"/>
            </w:rPr>
            <w:t>.”</w:t>
          </w:r>
          <w:r w:rsidRPr="007F1CAA">
            <w:rPr>
              <w:bCs/>
              <w:color w:val="000000"/>
              <w:vertAlign w:val="superscript"/>
            </w:rPr>
            <w:footnoteReference w:id="141"/>
          </w:r>
          <w:r w:rsidRPr="007F1CAA">
            <w:rPr>
              <w:bCs/>
              <w:color w:val="000000"/>
            </w:rPr>
            <w:t xml:space="preserve"> Lord Stewart placed emphasis on</w:t>
          </w:r>
          <w:r w:rsidR="00137F4E">
            <w:rPr>
              <w:bCs/>
              <w:color w:val="000000"/>
            </w:rPr>
            <w:t xml:space="preserve"> “</w:t>
          </w:r>
          <w:r w:rsidRPr="007F1CAA">
            <w:rPr>
              <w:bCs/>
              <w:color w:val="000000"/>
            </w:rPr>
            <w:t>affection, confidence and dependence, that is financial, social and emotional dependence</w:t>
          </w:r>
          <w:r w:rsidR="00137F4E">
            <w:rPr>
              <w:bCs/>
              <w:color w:val="000000"/>
            </w:rPr>
            <w:t>.</w:t>
          </w:r>
          <w:r w:rsidRPr="007F1CAA">
            <w:rPr>
              <w:bCs/>
              <w:color w:val="000000"/>
            </w:rPr>
            <w:t>”</w:t>
          </w:r>
          <w:r w:rsidRPr="007F1CAA">
            <w:rPr>
              <w:bCs/>
              <w:color w:val="000000"/>
              <w:vertAlign w:val="superscript"/>
            </w:rPr>
            <w:footnoteReference w:id="142"/>
          </w:r>
          <w:r w:rsidRPr="007F1CAA">
            <w:rPr>
              <w:bCs/>
              <w:color w:val="000000"/>
            </w:rPr>
            <w:t xml:space="preserve"> This could be interpreted as the extension of family life beyond the conjugal to other dependency models. Sue Westwood in her detailed analysis of the role of friendship relations to older</w:t>
          </w:r>
          <w:r w:rsidR="00137F4E">
            <w:rPr>
              <w:bCs/>
              <w:color w:val="000000"/>
            </w:rPr>
            <w:t>,</w:t>
          </w:r>
          <w:r w:rsidRPr="007F1CAA">
            <w:rPr>
              <w:bCs/>
              <w:color w:val="000000"/>
            </w:rPr>
            <w:t xml:space="preserve"> especially lesbian and gay</w:t>
          </w:r>
          <w:r w:rsidR="00137F4E">
            <w:rPr>
              <w:bCs/>
              <w:color w:val="000000"/>
            </w:rPr>
            <w:t>,</w:t>
          </w:r>
          <w:r w:rsidRPr="007F1CAA">
            <w:rPr>
              <w:bCs/>
              <w:color w:val="000000"/>
            </w:rPr>
            <w:t xml:space="preserve"> people and the ways in which law and social policy is adapting to the changing nature of relationships, summarizes different models.</w:t>
          </w:r>
          <w:r w:rsidRPr="007F1CAA">
            <w:rPr>
              <w:bCs/>
              <w:color w:val="000000"/>
              <w:vertAlign w:val="superscript"/>
            </w:rPr>
            <w:footnoteReference w:id="143"/>
          </w:r>
          <w:r w:rsidRPr="007F1CAA">
            <w:rPr>
              <w:bCs/>
              <w:color w:val="000000"/>
            </w:rPr>
            <w:t xml:space="preserve"> These include a reorientation away from spousal relationships to the centring of carer-dependent dyad;</w:t>
          </w:r>
          <w:r w:rsidRPr="007F1CAA">
            <w:rPr>
              <w:bCs/>
              <w:color w:val="000000"/>
              <w:vertAlign w:val="superscript"/>
            </w:rPr>
            <w:footnoteReference w:id="144"/>
          </w:r>
          <w:r w:rsidRPr="007F1CAA">
            <w:rPr>
              <w:bCs/>
              <w:color w:val="000000"/>
            </w:rPr>
            <w:t xml:space="preserve"> an openness to valuing non-typical family configurations;</w:t>
          </w:r>
          <w:r w:rsidRPr="007F1CAA">
            <w:rPr>
              <w:bCs/>
              <w:color w:val="000000"/>
              <w:vertAlign w:val="superscript"/>
            </w:rPr>
            <w:footnoteReference w:id="145"/>
          </w:r>
          <w:r w:rsidRPr="007F1CAA">
            <w:rPr>
              <w:bCs/>
              <w:color w:val="000000"/>
            </w:rPr>
            <w:t xml:space="preserve"> broadening next of kin and financial rights to alternative relationships;</w:t>
          </w:r>
          <w:r w:rsidRPr="007F1CAA">
            <w:rPr>
              <w:bCs/>
              <w:color w:val="000000"/>
              <w:vertAlign w:val="superscript"/>
            </w:rPr>
            <w:footnoteReference w:id="146"/>
          </w:r>
          <w:r w:rsidRPr="007F1CAA">
            <w:rPr>
              <w:bCs/>
              <w:color w:val="000000"/>
            </w:rPr>
            <w:t xml:space="preserve"> application of contracts to </w:t>
          </w:r>
          <w:r w:rsidRPr="007F1CAA">
            <w:rPr>
              <w:bCs/>
              <w:color w:val="000000"/>
            </w:rPr>
            <w:lastRenderedPageBreak/>
            <w:t>formalize varied relationships;</w:t>
          </w:r>
          <w:r w:rsidRPr="007F1CAA">
            <w:rPr>
              <w:bCs/>
              <w:color w:val="000000"/>
              <w:vertAlign w:val="superscript"/>
            </w:rPr>
            <w:footnoteReference w:id="147"/>
          </w:r>
          <w:r w:rsidRPr="007F1CAA">
            <w:rPr>
              <w:bCs/>
              <w:color w:val="000000"/>
            </w:rPr>
            <w:t xml:space="preserve"> as well as different registration schemes that could be opened up to non-spousal relationsh</w:t>
          </w:r>
          <w:r w:rsidRPr="007F1CAA">
            <w:rPr>
              <w:bCs/>
            </w:rPr>
            <w:t>ips</w:t>
          </w:r>
          <w:r w:rsidRPr="007F1CAA">
            <w:rPr>
              <w:bCs/>
              <w:color w:val="000000"/>
            </w:rPr>
            <w:t>.</w:t>
          </w:r>
          <w:r w:rsidRPr="007F1CAA">
            <w:rPr>
              <w:bCs/>
              <w:color w:val="000000"/>
              <w:vertAlign w:val="superscript"/>
            </w:rPr>
            <w:footnoteReference w:id="148"/>
          </w:r>
          <w:r w:rsidRPr="007F1CAA">
            <w:rPr>
              <w:bCs/>
              <w:color w:val="000000"/>
            </w:rPr>
            <w:t>In the conclusion</w:t>
          </w:r>
          <w:r w:rsidR="00137F4E">
            <w:rPr>
              <w:bCs/>
              <w:color w:val="000000"/>
            </w:rPr>
            <w:t>,</w:t>
          </w:r>
          <w:r w:rsidRPr="007F1CAA">
            <w:rPr>
              <w:bCs/>
              <w:color w:val="000000"/>
            </w:rPr>
            <w:t xml:space="preserve"> Westwood questions to what extent such alternative care and dependency relationships</w:t>
          </w:r>
          <w:r w:rsidR="00137F4E">
            <w:rPr>
              <w:bCs/>
              <w:color w:val="000000"/>
            </w:rPr>
            <w:t>,</w:t>
          </w:r>
          <w:r w:rsidRPr="007F1CAA">
            <w:rPr>
              <w:bCs/>
              <w:color w:val="000000"/>
            </w:rPr>
            <w:t xml:space="preserve"> including friendship</w:t>
          </w:r>
          <w:r w:rsidR="00137F4E">
            <w:rPr>
              <w:bCs/>
              <w:color w:val="000000"/>
            </w:rPr>
            <w:t>,</w:t>
          </w:r>
          <w:r w:rsidRPr="007F1CAA">
            <w:rPr>
              <w:bCs/>
              <w:color w:val="000000"/>
            </w:rPr>
            <w:t xml:space="preserve"> need to be or indeed should be formalized in law. </w:t>
          </w:r>
        </w:p>
        <w:p w14:paraId="00000064" w14:textId="4338DB25" w:rsidR="00985107" w:rsidRPr="007F1CAA" w:rsidRDefault="00A1537F" w:rsidP="00137F4E">
          <w:pPr>
            <w:pBdr>
              <w:top w:val="nil"/>
              <w:left w:val="nil"/>
              <w:bottom w:val="nil"/>
              <w:right w:val="nil"/>
              <w:between w:val="nil"/>
            </w:pBdr>
            <w:spacing w:after="0" w:line="480" w:lineRule="auto"/>
            <w:ind w:firstLine="720"/>
            <w:jc w:val="both"/>
            <w:rPr>
              <w:bCs/>
              <w:color w:val="000000"/>
            </w:rPr>
          </w:pPr>
        </w:p>
      </w:sdtContent>
    </w:sdt>
    <w:sdt>
      <w:sdtPr>
        <w:rPr>
          <w:bCs/>
        </w:rPr>
        <w:tag w:val="goog_rdk_136"/>
        <w:id w:val="305823610"/>
      </w:sdtPr>
      <w:sdtContent>
        <w:p w14:paraId="00000065" w14:textId="77777777"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The formalization of conjugal relationships in prison through civil partnerships or marriage challenges the heteronormative focus of the right to family life. </w:t>
          </w:r>
          <w:sdt>
            <w:sdtPr>
              <w:rPr>
                <w:bCs/>
              </w:rPr>
              <w:tag w:val="goog_rdk_134"/>
              <w:id w:val="-1314245242"/>
            </w:sdtPr>
            <w:sdtContent/>
          </w:sdt>
          <w:sdt>
            <w:sdtPr>
              <w:rPr>
                <w:bCs/>
              </w:rPr>
              <w:tag w:val="goog_rdk_135"/>
              <w:id w:val="-1197698537"/>
            </w:sdtPr>
            <w:sdtContent/>
          </w:sdt>
          <w:r w:rsidRPr="007F1CAA">
            <w:rPr>
              <w:bCs/>
              <w:color w:val="000000"/>
            </w:rPr>
            <w:t>Partners who live in the same space, be it the same prison wing or sharing a cell, openly subvert the forced separation of spouses inherent in incarceration. Arguably, they openly challenge the prison to its core. This is explored in the following section, which unpacks two recent judgments on whether the separation of prisoners from their partners should be considered a violation of the right to family life.</w:t>
          </w:r>
        </w:p>
      </w:sdtContent>
    </w:sdt>
    <w:sdt>
      <w:sdtPr>
        <w:rPr>
          <w:bCs/>
        </w:rPr>
        <w:tag w:val="goog_rdk_137"/>
        <w:id w:val="-677120611"/>
      </w:sdtPr>
      <w:sdtContent>
        <w:p w14:paraId="00000066" w14:textId="77777777" w:rsidR="00985107" w:rsidRPr="007F1CAA" w:rsidRDefault="00A1537F" w:rsidP="00080569">
          <w:pPr>
            <w:pBdr>
              <w:top w:val="nil"/>
              <w:left w:val="nil"/>
              <w:bottom w:val="nil"/>
              <w:right w:val="nil"/>
              <w:between w:val="nil"/>
            </w:pBdr>
            <w:spacing w:after="0" w:line="480" w:lineRule="auto"/>
            <w:jc w:val="both"/>
            <w:rPr>
              <w:bCs/>
            </w:rPr>
          </w:pPr>
        </w:p>
      </w:sdtContent>
    </w:sdt>
    <w:sdt>
      <w:sdtPr>
        <w:rPr>
          <w:bCs/>
        </w:rPr>
        <w:tag w:val="goog_rdk_138"/>
        <w:id w:val="-365747761"/>
      </w:sdtPr>
      <w:sdtContent>
        <w:p w14:paraId="2CE93F6E" w14:textId="77777777" w:rsidR="00850464" w:rsidRDefault="00850464" w:rsidP="00080569">
          <w:pPr>
            <w:spacing w:after="0" w:line="480" w:lineRule="auto"/>
            <w:jc w:val="both"/>
            <w:rPr>
              <w:bCs/>
            </w:rPr>
          </w:pPr>
          <w:r>
            <w:rPr>
              <w:bCs/>
            </w:rPr>
            <w:t xml:space="preserve">(b) </w:t>
          </w:r>
          <w:r w:rsidR="00411C03" w:rsidRPr="007F1CAA">
            <w:rPr>
              <w:bCs/>
            </w:rPr>
            <w:t>Separating prisoners from their partners</w:t>
          </w:r>
        </w:p>
        <w:p w14:paraId="00000068" w14:textId="333B89E5" w:rsidR="00985107" w:rsidRPr="00850464" w:rsidRDefault="00A1537F" w:rsidP="00850464">
          <w:pPr>
            <w:spacing w:after="0" w:line="480" w:lineRule="auto"/>
            <w:jc w:val="both"/>
            <w:rPr>
              <w:bCs/>
            </w:rPr>
          </w:pPr>
        </w:p>
      </w:sdtContent>
    </w:sdt>
    <w:sdt>
      <w:sdtPr>
        <w:rPr>
          <w:bCs/>
        </w:rPr>
        <w:tag w:val="goog_rdk_140"/>
        <w:id w:val="-546920871"/>
      </w:sdtPr>
      <w:sdtContent>
        <w:p w14:paraId="4C350713" w14:textId="77777777" w:rsidR="00850464" w:rsidRDefault="00A1537F" w:rsidP="00850464">
          <w:pPr>
            <w:pBdr>
              <w:top w:val="nil"/>
              <w:left w:val="nil"/>
              <w:bottom w:val="nil"/>
              <w:right w:val="nil"/>
              <w:between w:val="nil"/>
            </w:pBdr>
            <w:spacing w:after="0" w:line="480" w:lineRule="auto"/>
            <w:jc w:val="both"/>
            <w:rPr>
              <w:bCs/>
              <w:color w:val="000000"/>
            </w:rPr>
          </w:pPr>
          <w:sdt>
            <w:sdtPr>
              <w:rPr>
                <w:bCs/>
              </w:rPr>
              <w:tag w:val="goog_rdk_139"/>
              <w:id w:val="-244956375"/>
            </w:sdtPr>
            <w:sdtContent>
              <w:r w:rsidR="00850464" w:rsidRPr="007F1CAA">
                <w:rPr>
                  <w:bCs/>
                  <w:color w:val="000000"/>
                </w:rPr>
                <w:t>Two judgments have explored the legality of separating prisoners from their partners</w:t>
              </w:r>
              <w:r w:rsidR="00850464">
                <w:rPr>
                  <w:bCs/>
                  <w:color w:val="000000"/>
                </w:rPr>
                <w:t>:</w:t>
              </w:r>
              <w:r w:rsidR="00850464" w:rsidRPr="007F1CAA">
                <w:rPr>
                  <w:bCs/>
                  <w:color w:val="000000"/>
                </w:rPr>
                <w:t xml:space="preserve"> </w:t>
              </w:r>
              <w:r w:rsidR="00850464" w:rsidRPr="00850464">
                <w:rPr>
                  <w:bCs/>
                  <w:i/>
                  <w:iCs/>
                  <w:color w:val="000000"/>
                </w:rPr>
                <w:t>Bright</w:t>
              </w:r>
              <w:r w:rsidR="00850464" w:rsidRPr="007F1CAA">
                <w:rPr>
                  <w:bCs/>
                  <w:color w:val="000000"/>
                </w:rPr>
                <w:t xml:space="preserve"> </w:t>
              </w:r>
              <w:r w:rsidR="00850464" w:rsidRPr="00850464">
                <w:rPr>
                  <w:bCs/>
                  <w:i/>
                  <w:iCs/>
                  <w:color w:val="000000"/>
                </w:rPr>
                <w:t>and Keeley</w:t>
              </w:r>
              <w:r w:rsidR="00850464" w:rsidRPr="007F1CAA">
                <w:rPr>
                  <w:bCs/>
                  <w:color w:val="000000"/>
                </w:rPr>
                <w:t xml:space="preserve"> and </w:t>
              </w:r>
              <w:r w:rsidR="00850464" w:rsidRPr="00850464">
                <w:rPr>
                  <w:bCs/>
                  <w:i/>
                  <w:iCs/>
                  <w:color w:val="000000"/>
                </w:rPr>
                <w:t>Hopkins</w:t>
              </w:r>
              <w:r w:rsidR="00850464" w:rsidRPr="007F1CAA">
                <w:rPr>
                  <w:bCs/>
                  <w:color w:val="000000"/>
                </w:rPr>
                <w:t>.</w:t>
              </w:r>
              <w:r w:rsidR="00850464" w:rsidRPr="007F1CAA">
                <w:rPr>
                  <w:bCs/>
                  <w:color w:val="000000"/>
                  <w:vertAlign w:val="superscript"/>
                </w:rPr>
                <w:footnoteReference w:id="149"/>
              </w:r>
              <w:r w:rsidR="00850464" w:rsidRPr="007F1CAA">
                <w:rPr>
                  <w:bCs/>
                  <w:color w:val="000000"/>
                </w:rPr>
                <w:t xml:space="preserve"> </w:t>
              </w:r>
            </w:sdtContent>
          </w:sdt>
          <w:r w:rsidR="00411C03" w:rsidRPr="00850464">
            <w:rPr>
              <w:bCs/>
              <w:i/>
              <w:iCs/>
              <w:color w:val="000000"/>
            </w:rPr>
            <w:t>Bright and Keeley</w:t>
          </w:r>
          <w:r w:rsidR="00411C03" w:rsidRPr="007F1CAA">
            <w:rPr>
              <w:bCs/>
              <w:color w:val="000000"/>
            </w:rPr>
            <w:t xml:space="preserve"> [2014] involved combined applications: David Bright challenged the refusal to transfer his partner Beau Beale back onto the wing following allegations he had made against another prisoner, and to restrict further contact. Bright and Beale were planning to enter into </w:t>
          </w:r>
          <w:r w:rsidR="00850464">
            <w:rPr>
              <w:bCs/>
              <w:color w:val="000000"/>
            </w:rPr>
            <w:t xml:space="preserve">a </w:t>
          </w:r>
          <w:r w:rsidR="00411C03" w:rsidRPr="007F1CAA">
            <w:rPr>
              <w:bCs/>
              <w:color w:val="000000"/>
            </w:rPr>
            <w:t>civil partnership. Andrew Keeley challenged the transfer of his partner John Doughty to another wing after the prison authorities had noticed them having sex. After the transfer</w:t>
          </w:r>
          <w:r w:rsidR="00850464">
            <w:rPr>
              <w:bCs/>
              <w:color w:val="000000"/>
            </w:rPr>
            <w:t>,</w:t>
          </w:r>
          <w:r w:rsidR="00411C03" w:rsidRPr="007F1CAA">
            <w:rPr>
              <w:bCs/>
              <w:color w:val="000000"/>
            </w:rPr>
            <w:t xml:space="preserve"> they entered into a civil partnership. Following further </w:t>
          </w:r>
          <w:r w:rsidR="00411C03" w:rsidRPr="007F1CAA">
            <w:rPr>
              <w:bCs/>
              <w:color w:val="000000"/>
            </w:rPr>
            <w:lastRenderedPageBreak/>
            <w:t>allegations of misconduct</w:t>
          </w:r>
          <w:r w:rsidR="00850464">
            <w:rPr>
              <w:bCs/>
              <w:color w:val="000000"/>
            </w:rPr>
            <w:t>,</w:t>
          </w:r>
          <w:r w:rsidR="00411C03" w:rsidRPr="007F1CAA">
            <w:rPr>
              <w:bCs/>
              <w:color w:val="000000"/>
            </w:rPr>
            <w:t xml:space="preserve"> they were also separated at work. Both Bright and Keeley argued that the decisions to separate them from their partners violated </w:t>
          </w:r>
          <w:r w:rsidR="00850464">
            <w:rPr>
              <w:bCs/>
              <w:color w:val="000000"/>
            </w:rPr>
            <w:t xml:space="preserve">art. </w:t>
          </w:r>
          <w:r w:rsidR="00411C03" w:rsidRPr="007F1CAA">
            <w:rPr>
              <w:bCs/>
              <w:color w:val="000000"/>
            </w:rPr>
            <w:t>8 of the ECHR.</w:t>
          </w:r>
        </w:p>
        <w:p w14:paraId="00000069" w14:textId="4A44CB38" w:rsidR="00985107" w:rsidRPr="00850464" w:rsidRDefault="00A1537F" w:rsidP="00850464">
          <w:pPr>
            <w:pBdr>
              <w:top w:val="nil"/>
              <w:left w:val="nil"/>
              <w:bottom w:val="nil"/>
              <w:right w:val="nil"/>
              <w:between w:val="nil"/>
            </w:pBdr>
            <w:spacing w:after="0" w:line="480" w:lineRule="auto"/>
            <w:jc w:val="both"/>
            <w:rPr>
              <w:bCs/>
            </w:rPr>
          </w:pPr>
        </w:p>
      </w:sdtContent>
    </w:sdt>
    <w:sdt>
      <w:sdtPr>
        <w:rPr>
          <w:bCs/>
        </w:rPr>
        <w:tag w:val="goog_rdk_141"/>
        <w:id w:val="-1669314143"/>
      </w:sdtPr>
      <w:sdtContent>
        <w:p w14:paraId="0B9FF4B3" w14:textId="77777777" w:rsidR="00850464"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The Court of Appeal granted permission to proceed and heard the case. Its decision was centred on three points</w:t>
          </w:r>
          <w:r w:rsidR="00850464">
            <w:rPr>
              <w:bCs/>
              <w:color w:val="000000"/>
            </w:rPr>
            <w:t>:</w:t>
          </w:r>
          <w:r w:rsidRPr="007F1CAA">
            <w:rPr>
              <w:bCs/>
              <w:color w:val="000000"/>
            </w:rPr>
            <w:t xml:space="preserve"> first</w:t>
          </w:r>
          <w:r w:rsidR="00850464">
            <w:rPr>
              <w:bCs/>
              <w:color w:val="000000"/>
            </w:rPr>
            <w:t xml:space="preserve">, </w:t>
          </w:r>
          <w:r w:rsidRPr="007F1CAA">
            <w:rPr>
              <w:bCs/>
              <w:color w:val="000000"/>
            </w:rPr>
            <w:t>whether</w:t>
          </w:r>
          <w:r w:rsidR="00850464">
            <w:rPr>
              <w:bCs/>
              <w:color w:val="000000"/>
            </w:rPr>
            <w:t>, under art. 8(2) ECHR, “</w:t>
          </w:r>
          <w:r w:rsidRPr="007F1CAA">
            <w:rPr>
              <w:bCs/>
              <w:color w:val="000000"/>
            </w:rPr>
            <w:t>in accordance with the law</w:t>
          </w:r>
          <w:r w:rsidR="00850464">
            <w:rPr>
              <w:bCs/>
              <w:color w:val="000000"/>
            </w:rPr>
            <w:t>”</w:t>
          </w:r>
          <w:r w:rsidRPr="007F1CAA">
            <w:rPr>
              <w:bCs/>
              <w:color w:val="000000"/>
            </w:rPr>
            <w:t xml:space="preserve"> requires a dedicated policy providing guidance for prisoners in long</w:t>
          </w:r>
          <w:r w:rsidRPr="007F1CAA">
            <w:rPr>
              <w:bCs/>
            </w:rPr>
            <w:t xml:space="preserve"> </w:t>
          </w:r>
          <w:r w:rsidRPr="007F1CAA">
            <w:rPr>
              <w:bCs/>
              <w:color w:val="000000"/>
            </w:rPr>
            <w:t>term relationships to avoid separation; second whether the separation is proportionate; and third</w:t>
          </w:r>
          <w:r w:rsidR="00850464">
            <w:rPr>
              <w:bCs/>
              <w:color w:val="000000"/>
            </w:rPr>
            <w:t>,</w:t>
          </w:r>
          <w:r w:rsidRPr="007F1CAA">
            <w:rPr>
              <w:bCs/>
              <w:color w:val="000000"/>
            </w:rPr>
            <w:t xml:space="preserve"> whether prisoners are entitled to make representations before the decision is made.</w:t>
          </w:r>
          <w:r w:rsidRPr="007F1CAA">
            <w:rPr>
              <w:bCs/>
              <w:color w:val="000000"/>
              <w:vertAlign w:val="superscript"/>
            </w:rPr>
            <w:footnoteReference w:id="150"/>
          </w:r>
          <w:r w:rsidRPr="007F1CAA">
            <w:rPr>
              <w:bCs/>
              <w:color w:val="000000"/>
            </w:rPr>
            <w:t xml:space="preserve"> </w:t>
          </w:r>
        </w:p>
        <w:p w14:paraId="0000006A" w14:textId="04A36680"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 </w:t>
          </w:r>
        </w:p>
      </w:sdtContent>
    </w:sdt>
    <w:sdt>
      <w:sdtPr>
        <w:rPr>
          <w:bCs/>
        </w:rPr>
        <w:tag w:val="goog_rdk_142"/>
        <w:id w:val="-1210727955"/>
      </w:sdtPr>
      <w:sdtContent>
        <w:p w14:paraId="71F8895C" w14:textId="77777777" w:rsidR="00850464"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Lord Dyson agreed with the Secretary of State that it would be impracticable to devise a specific policy on allocation and separation of prisoners, due to the complex considerations beyond their sexuality and</w:t>
          </w:r>
          <w:r w:rsidR="00850464">
            <w:rPr>
              <w:bCs/>
              <w:color w:val="000000"/>
            </w:rPr>
            <w:t>,</w:t>
          </w:r>
          <w:r w:rsidRPr="007F1CAA">
            <w:rPr>
              <w:bCs/>
              <w:color w:val="000000"/>
            </w:rPr>
            <w:t xml:space="preserve"> in particular</w:t>
          </w:r>
          <w:r w:rsidR="00850464">
            <w:rPr>
              <w:bCs/>
              <w:color w:val="000000"/>
            </w:rPr>
            <w:t>,</w:t>
          </w:r>
          <w:r w:rsidRPr="007F1CAA">
            <w:rPr>
              <w:bCs/>
              <w:color w:val="000000"/>
            </w:rPr>
            <w:t xml:space="preserve"> security considerations. More specifically, he agreed that it would be unworkable to devise a policy on managing long-term relationships in prison. He maintained that</w:t>
          </w:r>
          <w:r w:rsidR="00850464">
            <w:rPr>
              <w:bCs/>
              <w:color w:val="000000"/>
            </w:rPr>
            <w:t xml:space="preserve">, </w:t>
          </w:r>
          <w:r w:rsidRPr="007F1CAA">
            <w:rPr>
              <w:bCs/>
              <w:color w:val="000000"/>
            </w:rPr>
            <w:t>due to these complexities</w:t>
          </w:r>
          <w:r w:rsidR="00850464">
            <w:rPr>
              <w:bCs/>
              <w:color w:val="000000"/>
            </w:rPr>
            <w:t xml:space="preserve">, art. 8(2) </w:t>
          </w:r>
          <w:r w:rsidRPr="007F1CAA">
            <w:rPr>
              <w:bCs/>
              <w:color w:val="000000"/>
            </w:rPr>
            <w:t>ECHR did allow for discretion. To avoid arbitrary decision-making, the discretion needed to be exercised for a proper purpose</w:t>
          </w:r>
          <w:r w:rsidR="00850464">
            <w:rPr>
              <w:bCs/>
              <w:color w:val="000000"/>
            </w:rPr>
            <w:t xml:space="preserve">. The </w:t>
          </w:r>
          <w:r w:rsidRPr="007F1CAA">
            <w:rPr>
              <w:bCs/>
              <w:color w:val="000000"/>
            </w:rPr>
            <w:t xml:space="preserve">decision-maker should not discriminate against prisoners and </w:t>
          </w:r>
          <w:r w:rsidR="00850464">
            <w:rPr>
              <w:bCs/>
              <w:color w:val="000000"/>
            </w:rPr>
            <w:t xml:space="preserve">was </w:t>
          </w:r>
          <w:r w:rsidRPr="007F1CAA">
            <w:rPr>
              <w:bCs/>
              <w:color w:val="000000"/>
            </w:rPr>
            <w:t>governed by the duty to act reasonably.</w:t>
          </w:r>
          <w:r w:rsidRPr="007F1CAA">
            <w:rPr>
              <w:bCs/>
              <w:color w:val="000000"/>
              <w:vertAlign w:val="superscript"/>
            </w:rPr>
            <w:footnoteReference w:id="151"/>
          </w:r>
          <w:r w:rsidRPr="007F1CAA">
            <w:rPr>
              <w:bCs/>
              <w:color w:val="000000"/>
            </w:rPr>
            <w:t xml:space="preserve"> He summed up that the absence of such a poli</w:t>
          </w:r>
          <w:r w:rsidRPr="007F1CAA">
            <w:rPr>
              <w:bCs/>
            </w:rPr>
            <w:t>cy</w:t>
          </w:r>
          <w:r w:rsidRPr="007F1CAA">
            <w:rPr>
              <w:bCs/>
              <w:color w:val="000000"/>
            </w:rPr>
            <w:t xml:space="preserve"> did not fall foul of </w:t>
          </w:r>
          <w:r w:rsidR="00850464">
            <w:rPr>
              <w:bCs/>
              <w:color w:val="000000"/>
            </w:rPr>
            <w:t xml:space="preserve">the art. 8(2) ECHR </w:t>
          </w:r>
          <w:r w:rsidRPr="007F1CAA">
            <w:rPr>
              <w:bCs/>
              <w:color w:val="000000"/>
            </w:rPr>
            <w:t>requirement that a restriction needed to be “in accordance with the law</w:t>
          </w:r>
          <w:r w:rsidR="00850464">
            <w:rPr>
              <w:bCs/>
              <w:color w:val="000000"/>
            </w:rPr>
            <w:t>.</w:t>
          </w:r>
          <w:r w:rsidRPr="007F1CAA">
            <w:rPr>
              <w:bCs/>
              <w:color w:val="000000"/>
            </w:rPr>
            <w:t>”</w:t>
          </w:r>
          <w:r w:rsidRPr="007F1CAA">
            <w:rPr>
              <w:bCs/>
              <w:color w:val="000000"/>
              <w:vertAlign w:val="superscript"/>
            </w:rPr>
            <w:footnoteReference w:id="152"/>
          </w:r>
          <w:r w:rsidRPr="007F1CAA">
            <w:rPr>
              <w:bCs/>
              <w:color w:val="000000"/>
            </w:rPr>
            <w:t xml:space="preserve"> He also found that</w:t>
          </w:r>
          <w:r w:rsidR="00850464">
            <w:rPr>
              <w:bCs/>
              <w:color w:val="000000"/>
            </w:rPr>
            <w:t>,</w:t>
          </w:r>
          <w:r w:rsidRPr="007F1CAA">
            <w:rPr>
              <w:bCs/>
              <w:color w:val="000000"/>
            </w:rPr>
            <w:t xml:space="preserve"> in both cases</w:t>
          </w:r>
          <w:r w:rsidR="00850464">
            <w:rPr>
              <w:bCs/>
              <w:color w:val="000000"/>
            </w:rPr>
            <w:t>,</w:t>
          </w:r>
          <w:r w:rsidRPr="007F1CAA">
            <w:rPr>
              <w:bCs/>
              <w:color w:val="000000"/>
            </w:rPr>
            <w:t xml:space="preserve"> the decisions to separate the prisoners had been proportionate and </w:t>
          </w:r>
          <w:r w:rsidR="00850464">
            <w:rPr>
              <w:bCs/>
              <w:color w:val="000000"/>
            </w:rPr>
            <w:t xml:space="preserve">that </w:t>
          </w:r>
          <w:r w:rsidRPr="007F1CAA">
            <w:rPr>
              <w:bCs/>
              <w:color w:val="000000"/>
            </w:rPr>
            <w:t>the prisoners had been able to participate in the decision</w:t>
          </w:r>
          <w:r w:rsidR="00850464">
            <w:rPr>
              <w:bCs/>
              <w:color w:val="000000"/>
            </w:rPr>
            <w:t xml:space="preserve"> </w:t>
          </w:r>
          <w:r w:rsidRPr="007F1CAA">
            <w:rPr>
              <w:bCs/>
              <w:color w:val="000000"/>
            </w:rPr>
            <w:t>making process</w:t>
          </w:r>
          <w:r w:rsidR="00850464">
            <w:rPr>
              <w:bCs/>
              <w:color w:val="000000"/>
            </w:rPr>
            <w:t>,</w:t>
          </w:r>
          <w:r w:rsidRPr="007F1CAA">
            <w:rPr>
              <w:bCs/>
              <w:color w:val="000000"/>
            </w:rPr>
            <w:t xml:space="preserve"> if the complaint and appeal procedures are also taken into account. He did not agree that the procedural </w:t>
          </w:r>
          <w:r w:rsidRPr="007F1CAA">
            <w:rPr>
              <w:bCs/>
              <w:color w:val="000000"/>
            </w:rPr>
            <w:lastRenderedPageBreak/>
            <w:t xml:space="preserve">requirements under </w:t>
          </w:r>
          <w:r w:rsidR="00850464">
            <w:rPr>
              <w:bCs/>
              <w:color w:val="000000"/>
            </w:rPr>
            <w:t xml:space="preserve">art. </w:t>
          </w:r>
          <w:r w:rsidRPr="007F1CAA">
            <w:rPr>
              <w:bCs/>
              <w:color w:val="000000"/>
            </w:rPr>
            <w:t xml:space="preserve">8 ECHR placed a duty on the prison authorities to hear representations prior to separation. </w:t>
          </w:r>
        </w:p>
        <w:p w14:paraId="0000006B" w14:textId="0FC0C955"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48"/>
        <w:id w:val="247550353"/>
      </w:sdtPr>
      <w:sdtContent>
        <w:p w14:paraId="19E25135" w14:textId="0DFCAEBF" w:rsidR="00850464" w:rsidRDefault="00411C03" w:rsidP="00080569">
          <w:pPr>
            <w:spacing w:after="0" w:line="480" w:lineRule="auto"/>
            <w:jc w:val="both"/>
            <w:rPr>
              <w:bCs/>
              <w:color w:val="000000"/>
            </w:rPr>
          </w:pPr>
          <w:r w:rsidRPr="007F1CAA">
            <w:rPr>
              <w:bCs/>
              <w:color w:val="000000"/>
            </w:rPr>
            <w:tab/>
          </w:r>
          <w:r w:rsidRPr="007F1CAA">
            <w:rPr>
              <w:bCs/>
            </w:rPr>
            <w:t xml:space="preserve">The central problem with this judgment is the acceptance that a policy providing guidance on long term relationships is unworkable. </w:t>
          </w:r>
          <w:sdt>
            <w:sdtPr>
              <w:rPr>
                <w:bCs/>
              </w:rPr>
              <w:tag w:val="goog_rdk_143"/>
              <w:id w:val="150422084"/>
            </w:sdtPr>
            <w:sdtContent/>
          </w:sdt>
          <w:sdt>
            <w:sdtPr>
              <w:rPr>
                <w:bCs/>
              </w:rPr>
              <w:tag w:val="goog_rdk_144"/>
              <w:id w:val="-1971889686"/>
            </w:sdtPr>
            <w:sdtContent/>
          </w:sdt>
          <w:r w:rsidRPr="007F1CAA">
            <w:rPr>
              <w:bCs/>
              <w:color w:val="000000"/>
            </w:rPr>
            <w:t>The applicants made a strong argument that there was a lack of certainty due to a failure to provide consistent guidance on whether long</w:t>
          </w:r>
          <w:r w:rsidRPr="007F1CAA">
            <w:rPr>
              <w:bCs/>
            </w:rPr>
            <w:t xml:space="preserve"> t</w:t>
          </w:r>
          <w:r w:rsidRPr="007F1CAA">
            <w:rPr>
              <w:bCs/>
              <w:color w:val="000000"/>
            </w:rPr>
            <w:t>erm relationships should be supported, and whether public expressions of affection, tenderness as well as intimacy were deemed unacceptable in prison.</w:t>
          </w:r>
          <w:r w:rsidRPr="007F1CAA">
            <w:rPr>
              <w:bCs/>
              <w:color w:val="000000"/>
              <w:vertAlign w:val="superscript"/>
            </w:rPr>
            <w:footnoteReference w:id="153"/>
          </w:r>
          <w:r w:rsidRPr="007F1CAA">
            <w:rPr>
              <w:bCs/>
              <w:color w:val="000000"/>
            </w:rPr>
            <w:t xml:space="preserve"> In fact</w:t>
          </w:r>
          <w:r w:rsidR="00850464">
            <w:rPr>
              <w:bCs/>
              <w:color w:val="000000"/>
            </w:rPr>
            <w:t>,</w:t>
          </w:r>
          <w:r w:rsidRPr="007F1CAA">
            <w:rPr>
              <w:bCs/>
              <w:color w:val="000000"/>
            </w:rPr>
            <w:t xml:space="preserve"> the decisions to separate were framed in internal policies that centred on the ban on sexual relations, indecency and insulting behaviour coupled with the “behavioural expectations” under the Incentives and </w:t>
          </w:r>
          <w:sdt>
            <w:sdtPr>
              <w:rPr>
                <w:bCs/>
              </w:rPr>
              <w:tag w:val="goog_rdk_145"/>
              <w:id w:val="-1693916268"/>
            </w:sdtPr>
            <w:sdtContent/>
          </w:sdt>
          <w:sdt>
            <w:sdtPr>
              <w:rPr>
                <w:bCs/>
              </w:rPr>
              <w:tag w:val="goog_rdk_146"/>
              <w:id w:val="546654810"/>
            </w:sdtPr>
            <w:sdtContent/>
          </w:sdt>
          <w:r w:rsidRPr="007F1CAA">
            <w:rPr>
              <w:bCs/>
              <w:color w:val="000000"/>
            </w:rPr>
            <w:t>Earned Privileges Scheme (IEP).</w:t>
          </w:r>
          <w:r w:rsidRPr="007F1CAA">
            <w:rPr>
              <w:bCs/>
              <w:color w:val="000000"/>
              <w:vertAlign w:val="superscript"/>
            </w:rPr>
            <w:footnoteReference w:id="154"/>
          </w:r>
          <w:r w:rsidRPr="007F1CAA">
            <w:rPr>
              <w:bCs/>
              <w:color w:val="000000"/>
            </w:rPr>
            <w:t xml:space="preserve"> In evidence</w:t>
          </w:r>
          <w:r w:rsidR="00850464">
            <w:rPr>
              <w:bCs/>
              <w:color w:val="000000"/>
            </w:rPr>
            <w:t>,</w:t>
          </w:r>
          <w:r w:rsidRPr="007F1CAA">
            <w:rPr>
              <w:bCs/>
              <w:color w:val="000000"/>
            </w:rPr>
            <w:t xml:space="preserve"> a member of the National Offender Management Service (NOMS) explained that prisoners</w:t>
          </w:r>
          <w:r w:rsidR="00850464">
            <w:rPr>
              <w:bCs/>
              <w:color w:val="000000"/>
            </w:rPr>
            <w:t>,</w:t>
          </w:r>
          <w:r w:rsidRPr="007F1CAA">
            <w:rPr>
              <w:bCs/>
              <w:color w:val="000000"/>
            </w:rPr>
            <w:t xml:space="preserve"> who</w:t>
          </w:r>
          <w:sdt>
            <w:sdtPr>
              <w:rPr>
                <w:bCs/>
              </w:rPr>
              <w:tag w:val="goog_rdk_147"/>
              <w:id w:val="1887915743"/>
            </w:sdtPr>
            <w:sdtContent>
              <w:r w:rsidRPr="007F1CAA">
                <w:rPr>
                  <w:bCs/>
                  <w:color w:val="000000"/>
                </w:rPr>
                <w:t xml:space="preserve"> were</w:t>
              </w:r>
            </w:sdtContent>
          </w:sdt>
          <w:r w:rsidRPr="007F1CAA">
            <w:rPr>
              <w:bCs/>
              <w:color w:val="000000"/>
            </w:rPr>
            <w:t xml:space="preserve"> found to have engaged in sexual relations</w:t>
          </w:r>
          <w:r w:rsidR="00850464">
            <w:rPr>
              <w:bCs/>
              <w:color w:val="000000"/>
            </w:rPr>
            <w:t>,</w:t>
          </w:r>
          <w:r w:rsidRPr="007F1CAA">
            <w:rPr>
              <w:bCs/>
              <w:color w:val="000000"/>
            </w:rPr>
            <w:t xml:space="preserve"> would no longer be able to share a cell. Whereas sexual behaviour in semi-public spaces would be considered indecent and insulting.</w:t>
          </w:r>
        </w:p>
        <w:p w14:paraId="0000006C" w14:textId="66BA7333" w:rsidR="00985107" w:rsidRPr="007F1CAA" w:rsidRDefault="00A1537F" w:rsidP="00080569">
          <w:pPr>
            <w:spacing w:after="0" w:line="480" w:lineRule="auto"/>
            <w:jc w:val="both"/>
            <w:rPr>
              <w:bCs/>
              <w:color w:val="000000"/>
            </w:rPr>
          </w:pPr>
        </w:p>
      </w:sdtContent>
    </w:sdt>
    <w:sdt>
      <w:sdtPr>
        <w:rPr>
          <w:bCs/>
        </w:rPr>
        <w:tag w:val="goog_rdk_152"/>
        <w:id w:val="95216222"/>
      </w:sdtPr>
      <w:sdtContent>
        <w:p w14:paraId="29225F9A" w14:textId="605D9A7C" w:rsidR="00BD758C"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In a study on </w:t>
          </w:r>
          <w:r w:rsidR="00BD758C">
            <w:rPr>
              <w:bCs/>
              <w:color w:val="000000"/>
            </w:rPr>
            <w:t>“</w:t>
          </w:r>
          <w:r w:rsidRPr="007F1CAA">
            <w:rPr>
              <w:bCs/>
              <w:color w:val="000000"/>
            </w:rPr>
            <w:t>Sex in Prison</w:t>
          </w:r>
          <w:r w:rsidR="00BD758C">
            <w:rPr>
              <w:bCs/>
              <w:color w:val="000000"/>
            </w:rPr>
            <w:t>”</w:t>
          </w:r>
          <w:r w:rsidRPr="007F1CAA">
            <w:rPr>
              <w:bCs/>
              <w:color w:val="000000"/>
            </w:rPr>
            <w:t xml:space="preserve">, published in the year after the judgment, the Howard League found that there seemed to be a lack of consistency of approach towards sex in prison, insufficient promotion of sexual health through access to condoms, and </w:t>
          </w:r>
          <w:r w:rsidR="00BD758C">
            <w:rPr>
              <w:bCs/>
              <w:color w:val="000000"/>
            </w:rPr>
            <w:t xml:space="preserve">that </w:t>
          </w:r>
          <w:r w:rsidRPr="007F1CAA">
            <w:rPr>
              <w:bCs/>
              <w:color w:val="000000"/>
            </w:rPr>
            <w:t>staff were unsure how to react.</w:t>
          </w:r>
          <w:r w:rsidRPr="007F1CAA">
            <w:rPr>
              <w:bCs/>
              <w:color w:val="000000"/>
              <w:vertAlign w:val="superscript"/>
            </w:rPr>
            <w:footnoteReference w:id="155"/>
          </w:r>
          <w:r w:rsidRPr="007F1CAA">
            <w:rPr>
              <w:bCs/>
              <w:color w:val="000000"/>
            </w:rPr>
            <w:t xml:space="preserve"> </w:t>
          </w:r>
          <w:sdt>
            <w:sdtPr>
              <w:rPr>
                <w:bCs/>
              </w:rPr>
              <w:tag w:val="goog_rdk_149"/>
              <w:id w:val="-1285263174"/>
            </w:sdtPr>
            <w:sdtContent/>
          </w:sdt>
          <w:sdt>
            <w:sdtPr>
              <w:rPr>
                <w:bCs/>
              </w:rPr>
              <w:tag w:val="goog_rdk_150"/>
              <w:id w:val="-353106317"/>
            </w:sdtPr>
            <w:sdtContent/>
          </w:sdt>
          <w:sdt>
            <w:sdtPr>
              <w:rPr>
                <w:bCs/>
              </w:rPr>
              <w:tag w:val="goog_rdk_151"/>
              <w:id w:val="-1580359931"/>
            </w:sdtPr>
            <w:sdtContent/>
          </w:sdt>
          <w:r w:rsidRPr="007F1CAA">
            <w:rPr>
              <w:bCs/>
              <w:color w:val="000000"/>
            </w:rPr>
            <w:t>In general</w:t>
          </w:r>
          <w:r w:rsidR="00BD758C">
            <w:rPr>
              <w:bCs/>
              <w:color w:val="000000"/>
            </w:rPr>
            <w:t>,</w:t>
          </w:r>
          <w:r w:rsidRPr="007F1CAA">
            <w:rPr>
              <w:bCs/>
              <w:color w:val="000000"/>
            </w:rPr>
            <w:t xml:space="preserve"> consensual, hidden sex in prison was tolerated, as it is understood as a way to assert a sense of self. There seemed to be an assumption that prisoners showing signs of affection and tenderness were engaged in intimate relations. This could result in </w:t>
          </w:r>
          <w:r w:rsidRPr="007F1CAA">
            <w:rPr>
              <w:bCs/>
              <w:color w:val="000000"/>
            </w:rPr>
            <w:lastRenderedPageBreak/>
            <w:t>separation.</w:t>
          </w:r>
          <w:r w:rsidRPr="007F1CAA">
            <w:rPr>
              <w:bCs/>
              <w:color w:val="000000"/>
              <w:vertAlign w:val="superscript"/>
            </w:rPr>
            <w:footnoteReference w:id="156"/>
          </w:r>
          <w:r w:rsidRPr="007F1CAA">
            <w:rPr>
              <w:bCs/>
              <w:color w:val="000000"/>
            </w:rPr>
            <w:t xml:space="preserve"> By accepting this framing</w:t>
          </w:r>
          <w:r w:rsidR="00BD758C">
            <w:rPr>
              <w:bCs/>
              <w:color w:val="000000"/>
            </w:rPr>
            <w:t>,</w:t>
          </w:r>
          <w:r w:rsidRPr="007F1CAA">
            <w:rPr>
              <w:bCs/>
              <w:color w:val="000000"/>
            </w:rPr>
            <w:t xml:space="preserve"> Lord Dyson reduced the issue of long-term relationships to sexual relationships. Moreover, he affirmed the prison authorities’ views that questioned prisoners’ capacity to enter into consensual sexual relationships, as well as the resource implications for establishing “true” consensual relationships.</w:t>
          </w:r>
          <w:r w:rsidRPr="007F1CAA">
            <w:rPr>
              <w:bCs/>
              <w:color w:val="000000"/>
              <w:vertAlign w:val="superscript"/>
            </w:rPr>
            <w:footnoteReference w:id="157"/>
          </w:r>
          <w:r w:rsidRPr="007F1CAA">
            <w:rPr>
              <w:bCs/>
              <w:color w:val="000000"/>
            </w:rPr>
            <w:t xml:space="preserve"> Unsurprisingly</w:t>
          </w:r>
          <w:r w:rsidR="00BD758C">
            <w:rPr>
              <w:bCs/>
              <w:color w:val="000000"/>
            </w:rPr>
            <w:t xml:space="preserve">, </w:t>
          </w:r>
          <w:r w:rsidRPr="007F1CAA">
            <w:rPr>
              <w:bCs/>
              <w:color w:val="000000"/>
            </w:rPr>
            <w:t>this is reflective of how queer sex/intimacy beyond the prison exists i</w:t>
          </w:r>
          <w:r w:rsidR="00BD758C">
            <w:rPr>
              <w:bCs/>
              <w:color w:val="000000"/>
            </w:rPr>
            <w:t>n</w:t>
          </w:r>
          <w:r w:rsidRPr="007F1CAA">
            <w:rPr>
              <w:bCs/>
              <w:color w:val="000000"/>
            </w:rPr>
            <w:t xml:space="preserve"> the shadow of law and regulation.</w:t>
          </w:r>
          <w:r w:rsidRPr="007F1CAA">
            <w:rPr>
              <w:bCs/>
              <w:color w:val="000000"/>
              <w:vertAlign w:val="superscript"/>
            </w:rPr>
            <w:footnoteReference w:id="158"/>
          </w:r>
          <w:r w:rsidRPr="007F1CAA">
            <w:rPr>
              <w:bCs/>
              <w:color w:val="000000"/>
            </w:rPr>
            <w:t xml:space="preserve"> </w:t>
          </w:r>
        </w:p>
        <w:p w14:paraId="0000006D" w14:textId="14D777FA"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55"/>
        <w:id w:val="772057537"/>
      </w:sdtPr>
      <w:sdtContent>
        <w:p w14:paraId="0000006E" w14:textId="433580AD" w:rsidR="00985107" w:rsidRPr="007F1CAA" w:rsidRDefault="00411C03" w:rsidP="00080569">
          <w:pPr>
            <w:pBdr>
              <w:top w:val="nil"/>
              <w:left w:val="nil"/>
              <w:bottom w:val="nil"/>
              <w:right w:val="nil"/>
              <w:between w:val="nil"/>
            </w:pBdr>
            <w:spacing w:after="0" w:line="480" w:lineRule="auto"/>
            <w:ind w:firstLine="720"/>
            <w:jc w:val="both"/>
            <w:rPr>
              <w:bCs/>
              <w:color w:val="000000"/>
            </w:rPr>
          </w:pPr>
          <w:r w:rsidRPr="007F1CAA">
            <w:rPr>
              <w:bCs/>
              <w:color w:val="000000"/>
            </w:rPr>
            <w:t>In turn, it is the mere possibility of sexual relations that are implicit in long term relationships</w:t>
          </w:r>
          <w:r w:rsidR="00BD758C">
            <w:rPr>
              <w:bCs/>
              <w:color w:val="000000"/>
            </w:rPr>
            <w:t xml:space="preserve"> </w:t>
          </w:r>
          <w:r w:rsidRPr="007F1CAA">
            <w:rPr>
              <w:bCs/>
              <w:color w:val="000000"/>
            </w:rPr>
            <w:t xml:space="preserve">together with their visibility or formalization that seem to be the deciding factors. Formally, </w:t>
          </w:r>
          <w:sdt>
            <w:sdtPr>
              <w:rPr>
                <w:bCs/>
              </w:rPr>
              <w:tag w:val="goog_rdk_153"/>
              <w:id w:val="-1870593419"/>
            </w:sdtPr>
            <w:sdtContent/>
          </w:sdt>
          <w:sdt>
            <w:sdtPr>
              <w:rPr>
                <w:bCs/>
              </w:rPr>
              <w:tag w:val="goog_rdk_154"/>
              <w:id w:val="-1764520361"/>
            </w:sdtPr>
            <w:sdtContent/>
          </w:sdt>
          <w:r w:rsidRPr="007F1CAA">
            <w:rPr>
              <w:bCs/>
              <w:color w:val="000000"/>
            </w:rPr>
            <w:t>pre-established long</w:t>
          </w:r>
          <w:r w:rsidR="00BD758C">
            <w:rPr>
              <w:bCs/>
              <w:color w:val="000000"/>
            </w:rPr>
            <w:t>-</w:t>
          </w:r>
          <w:r w:rsidRPr="007F1CAA">
            <w:rPr>
              <w:bCs/>
              <w:color w:val="000000"/>
            </w:rPr>
            <w:t>term relationships give queer prisoners equal access to visits</w:t>
          </w:r>
          <w:r w:rsidR="00BD758C">
            <w:rPr>
              <w:bCs/>
              <w:color w:val="000000"/>
            </w:rPr>
            <w:t>,</w:t>
          </w:r>
          <w:r w:rsidRPr="007F1CAA">
            <w:rPr>
              <w:bCs/>
              <w:color w:val="000000"/>
            </w:rPr>
            <w:t xml:space="preserve"> as well as inter-prison visits. This is because these relationships seem to conform or are made to conform to gender normative conceptions that enforce the separation of spousal relationships in prison. Their hypervisibility leads to a presumption towards separation.  </w:t>
          </w:r>
        </w:p>
      </w:sdtContent>
    </w:sdt>
    <w:p w14:paraId="00000070" w14:textId="00B20221" w:rsidR="00985107" w:rsidRPr="007F1CAA" w:rsidRDefault="00985107" w:rsidP="00080569">
      <w:pPr>
        <w:pBdr>
          <w:top w:val="nil"/>
          <w:left w:val="nil"/>
          <w:bottom w:val="nil"/>
          <w:right w:val="nil"/>
          <w:between w:val="nil"/>
        </w:pBdr>
        <w:spacing w:after="0" w:line="480" w:lineRule="auto"/>
        <w:jc w:val="both"/>
        <w:rPr>
          <w:bCs/>
          <w:color w:val="000000"/>
        </w:rPr>
      </w:pPr>
    </w:p>
    <w:sdt>
      <w:sdtPr>
        <w:rPr>
          <w:bCs/>
        </w:rPr>
        <w:tag w:val="goog_rdk_158"/>
        <w:id w:val="44344265"/>
      </w:sdtPr>
      <w:sdtContent>
        <w:p w14:paraId="4AF075FF" w14:textId="77777777" w:rsidR="00BD758C" w:rsidRDefault="00411C03" w:rsidP="00BD758C">
          <w:pPr>
            <w:pBdr>
              <w:top w:val="nil"/>
              <w:left w:val="nil"/>
              <w:bottom w:val="nil"/>
              <w:right w:val="nil"/>
              <w:between w:val="nil"/>
            </w:pBdr>
            <w:spacing w:after="0" w:line="480" w:lineRule="auto"/>
            <w:ind w:firstLine="720"/>
            <w:jc w:val="both"/>
            <w:rPr>
              <w:bCs/>
              <w:color w:val="000000"/>
            </w:rPr>
          </w:pPr>
          <w:r w:rsidRPr="007F1CAA">
            <w:rPr>
              <w:bCs/>
              <w:color w:val="000000"/>
            </w:rPr>
            <w:t xml:space="preserve">This was the case in the second judgment, </w:t>
          </w:r>
          <w:r w:rsidRPr="00BD758C">
            <w:rPr>
              <w:bCs/>
              <w:i/>
              <w:iCs/>
              <w:color w:val="000000"/>
            </w:rPr>
            <w:t>Hopkins</w:t>
          </w:r>
          <w:r w:rsidRPr="007F1CAA">
            <w:rPr>
              <w:bCs/>
              <w:color w:val="000000"/>
            </w:rPr>
            <w:t xml:space="preserve">, in which Michelle Hopkins challenged the decision to move her civil partner out of their shared cell into an adjacent cell after an initial </w:t>
          </w:r>
          <w:r w:rsidR="00BD758C">
            <w:rPr>
              <w:bCs/>
              <w:color w:val="000000"/>
            </w:rPr>
            <w:t>three</w:t>
          </w:r>
          <w:r w:rsidRPr="007F1CAA">
            <w:rPr>
              <w:bCs/>
              <w:color w:val="000000"/>
            </w:rPr>
            <w:t xml:space="preserve"> months in prison.</w:t>
          </w:r>
          <w:r w:rsidRPr="007F1CAA">
            <w:rPr>
              <w:bCs/>
              <w:color w:val="000000"/>
              <w:vertAlign w:val="superscript"/>
            </w:rPr>
            <w:footnoteReference w:id="159"/>
          </w:r>
          <w:r w:rsidRPr="007F1CAA">
            <w:rPr>
              <w:bCs/>
              <w:color w:val="000000"/>
            </w:rPr>
            <w:t xml:space="preserve"> The decision was based on the “intimate relationship restriction”, which banned women who were in a relationship from sharing a cell. </w:t>
          </w:r>
        </w:p>
        <w:p w14:paraId="00000071" w14:textId="0DDBF91D" w:rsidR="00985107" w:rsidRPr="007F1CAA" w:rsidRDefault="00A1537F" w:rsidP="00BD758C">
          <w:pPr>
            <w:pBdr>
              <w:top w:val="nil"/>
              <w:left w:val="nil"/>
              <w:bottom w:val="nil"/>
              <w:right w:val="nil"/>
              <w:between w:val="nil"/>
            </w:pBdr>
            <w:spacing w:after="0" w:line="480" w:lineRule="auto"/>
            <w:ind w:firstLine="720"/>
            <w:jc w:val="both"/>
            <w:rPr>
              <w:bCs/>
              <w:color w:val="000000"/>
            </w:rPr>
          </w:pPr>
        </w:p>
      </w:sdtContent>
    </w:sdt>
    <w:sdt>
      <w:sdtPr>
        <w:rPr>
          <w:bCs/>
        </w:rPr>
        <w:tag w:val="goog_rdk_159"/>
        <w:id w:val="1396938637"/>
      </w:sdtPr>
      <w:sdtContent>
        <w:p w14:paraId="00000072" w14:textId="660FC101" w:rsidR="00985107" w:rsidRDefault="00411C03" w:rsidP="00080569">
          <w:pPr>
            <w:pBdr>
              <w:top w:val="nil"/>
              <w:left w:val="nil"/>
              <w:bottom w:val="nil"/>
              <w:right w:val="nil"/>
              <w:between w:val="nil"/>
            </w:pBdr>
            <w:spacing w:after="0" w:line="480" w:lineRule="auto"/>
            <w:jc w:val="both"/>
            <w:rPr>
              <w:bCs/>
            </w:rPr>
          </w:pPr>
          <w:r w:rsidRPr="007F1CAA">
            <w:rPr>
              <w:bCs/>
              <w:color w:val="000000"/>
            </w:rPr>
            <w:tab/>
            <w:t>Among other issues</w:t>
          </w:r>
          <w:r w:rsidR="00BD758C">
            <w:rPr>
              <w:bCs/>
              <w:color w:val="000000"/>
            </w:rPr>
            <w:t>,</w:t>
          </w:r>
          <w:r w:rsidRPr="007F1CAA">
            <w:rPr>
              <w:bCs/>
              <w:color w:val="000000"/>
            </w:rPr>
            <w:t xml:space="preserve"> Justice Silber ruled on whether the separation violated </w:t>
          </w:r>
          <w:r w:rsidR="00BD758C">
            <w:rPr>
              <w:bCs/>
              <w:color w:val="000000"/>
            </w:rPr>
            <w:t xml:space="preserve">arts. </w:t>
          </w:r>
          <w:r w:rsidRPr="007F1CAA">
            <w:rPr>
              <w:bCs/>
              <w:color w:val="000000"/>
            </w:rPr>
            <w:t>3 and 8 ECHR. The applicant argued in both instances that</w:t>
          </w:r>
          <w:r w:rsidR="00BD758C">
            <w:rPr>
              <w:bCs/>
              <w:color w:val="000000"/>
            </w:rPr>
            <w:t>,</w:t>
          </w:r>
          <w:r w:rsidRPr="007F1CAA">
            <w:rPr>
              <w:bCs/>
              <w:color w:val="000000"/>
            </w:rPr>
            <w:t xml:space="preserve"> due to her disability</w:t>
          </w:r>
          <w:r w:rsidR="00BD758C">
            <w:rPr>
              <w:bCs/>
              <w:color w:val="000000"/>
            </w:rPr>
            <w:t xml:space="preserve">, </w:t>
          </w:r>
          <w:r w:rsidRPr="007F1CAA">
            <w:rPr>
              <w:bCs/>
              <w:color w:val="000000"/>
            </w:rPr>
            <w:t xml:space="preserve">she needed </w:t>
          </w:r>
          <w:r w:rsidR="00BD758C">
            <w:rPr>
              <w:bCs/>
              <w:color w:val="000000"/>
            </w:rPr>
            <w:t xml:space="preserve">the </w:t>
          </w:r>
          <w:r w:rsidRPr="007F1CAA">
            <w:rPr>
              <w:bCs/>
              <w:color w:val="000000"/>
            </w:rPr>
            <w:t xml:space="preserve">care and support </w:t>
          </w:r>
          <w:r w:rsidR="00BD758C">
            <w:rPr>
              <w:bCs/>
              <w:color w:val="000000"/>
            </w:rPr>
            <w:t>of h</w:t>
          </w:r>
          <w:r w:rsidRPr="007F1CAA">
            <w:rPr>
              <w:bCs/>
              <w:color w:val="000000"/>
            </w:rPr>
            <w:t xml:space="preserve">er civil partner. First, the separation from her civil partner had resulted in </w:t>
          </w:r>
          <w:r w:rsidRPr="007F1CAA">
            <w:rPr>
              <w:bCs/>
              <w:color w:val="000000"/>
            </w:rPr>
            <w:lastRenderedPageBreak/>
            <w:t xml:space="preserve">degrading treatment in accordance with </w:t>
          </w:r>
          <w:r w:rsidR="00BD758C">
            <w:rPr>
              <w:bCs/>
              <w:color w:val="000000"/>
            </w:rPr>
            <w:t>art.</w:t>
          </w:r>
          <w:r w:rsidRPr="007F1CAA">
            <w:rPr>
              <w:bCs/>
              <w:color w:val="000000"/>
            </w:rPr>
            <w:t xml:space="preserve"> 3 ECHR. Second, distinguishing her case from </w:t>
          </w:r>
          <w:r w:rsidRPr="00BD758C">
            <w:rPr>
              <w:bCs/>
              <w:i/>
              <w:iCs/>
              <w:color w:val="000000"/>
            </w:rPr>
            <w:t>Bright and Keeley</w:t>
          </w:r>
          <w:r w:rsidRPr="007F1CAA">
            <w:rPr>
              <w:bCs/>
              <w:color w:val="000000"/>
            </w:rPr>
            <w:t xml:space="preserve">, she was entitled to receive the care and support </w:t>
          </w:r>
          <w:r w:rsidR="00BD758C">
            <w:rPr>
              <w:bCs/>
              <w:color w:val="000000"/>
            </w:rPr>
            <w:t xml:space="preserve">that </w:t>
          </w:r>
          <w:r w:rsidRPr="007F1CAA">
            <w:rPr>
              <w:bCs/>
              <w:color w:val="000000"/>
            </w:rPr>
            <w:t xml:space="preserve">she needed from her civil partner. Justice Silber found </w:t>
          </w:r>
          <w:r w:rsidR="00BD758C">
            <w:rPr>
              <w:bCs/>
              <w:color w:val="000000"/>
            </w:rPr>
            <w:t xml:space="preserve">that </w:t>
          </w:r>
          <w:r w:rsidRPr="007F1CAA">
            <w:rPr>
              <w:bCs/>
              <w:color w:val="000000"/>
            </w:rPr>
            <w:t>she had not suffered degradation to meet the threshold</w:t>
          </w:r>
          <w:r w:rsidR="00BD758C">
            <w:rPr>
              <w:bCs/>
              <w:color w:val="000000"/>
            </w:rPr>
            <w:t xml:space="preserve"> of art. </w:t>
          </w:r>
          <w:r w:rsidRPr="007F1CAA">
            <w:rPr>
              <w:bCs/>
              <w:color w:val="000000"/>
            </w:rPr>
            <w:t>3 ECHR. And significantly</w:t>
          </w:r>
          <w:r w:rsidR="00BD758C">
            <w:rPr>
              <w:bCs/>
              <w:color w:val="000000"/>
            </w:rPr>
            <w:t xml:space="preserve">, </w:t>
          </w:r>
          <w:r w:rsidRPr="007F1CAA">
            <w:rPr>
              <w:bCs/>
              <w:color w:val="000000"/>
            </w:rPr>
            <w:t>he concluded that both women were first and foremost prisoners and</w:t>
          </w:r>
          <w:r w:rsidR="00BD758C">
            <w:rPr>
              <w:bCs/>
              <w:color w:val="000000"/>
            </w:rPr>
            <w:t xml:space="preserve">, </w:t>
          </w:r>
          <w:r w:rsidRPr="007F1CAA">
            <w:rPr>
              <w:bCs/>
              <w:color w:val="000000"/>
            </w:rPr>
            <w:t>therefore</w:t>
          </w:r>
          <w:r w:rsidR="00BD758C">
            <w:rPr>
              <w:bCs/>
              <w:color w:val="000000"/>
            </w:rPr>
            <w:t>, that they</w:t>
          </w:r>
          <w:r w:rsidRPr="007F1CAA">
            <w:rPr>
              <w:bCs/>
              <w:color w:val="000000"/>
            </w:rPr>
            <w:t xml:space="preserve"> had lost the right to choose </w:t>
          </w:r>
          <w:r w:rsidR="00BD758C">
            <w:rPr>
              <w:bCs/>
              <w:color w:val="000000"/>
            </w:rPr>
            <w:t>“</w:t>
          </w:r>
          <w:r w:rsidRPr="007F1CAA">
            <w:rPr>
              <w:bCs/>
              <w:color w:val="000000"/>
            </w:rPr>
            <w:t>in whose company they can sleep because any custodial order inevitably curtails the right to enjoy many features of life outside prison.</w:t>
          </w:r>
          <w:r w:rsidR="00BD758C">
            <w:rPr>
              <w:bCs/>
              <w:color w:val="000000"/>
            </w:rPr>
            <w:t>”</w:t>
          </w:r>
          <w:r w:rsidRPr="007F1CAA">
            <w:rPr>
              <w:bCs/>
              <w:color w:val="000000"/>
              <w:vertAlign w:val="superscript"/>
            </w:rPr>
            <w:footnoteReference w:id="160"/>
          </w:r>
        </w:p>
      </w:sdtContent>
    </w:sdt>
    <w:p w14:paraId="056C24D9" w14:textId="77777777" w:rsidR="00BD758C" w:rsidRPr="007F1CAA" w:rsidRDefault="00BD758C" w:rsidP="00080569">
      <w:pPr>
        <w:pBdr>
          <w:top w:val="nil"/>
          <w:left w:val="nil"/>
          <w:bottom w:val="nil"/>
          <w:right w:val="nil"/>
          <w:between w:val="nil"/>
        </w:pBdr>
        <w:spacing w:after="0" w:line="480" w:lineRule="auto"/>
        <w:jc w:val="both"/>
        <w:rPr>
          <w:bCs/>
          <w:color w:val="000000"/>
        </w:rPr>
      </w:pPr>
    </w:p>
    <w:sdt>
      <w:sdtPr>
        <w:rPr>
          <w:bCs/>
        </w:rPr>
        <w:tag w:val="goog_rdk_164"/>
        <w:id w:val="1080404762"/>
      </w:sdtPr>
      <w:sdtContent>
        <w:p w14:paraId="333A0A78" w14:textId="77777777" w:rsidR="00BD758C"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This starting point also influenced Justice Silber’s approach to </w:t>
          </w:r>
          <w:r w:rsidR="00BD758C">
            <w:rPr>
              <w:bCs/>
              <w:color w:val="000000"/>
            </w:rPr>
            <w:t xml:space="preserve">art. </w:t>
          </w:r>
          <w:r w:rsidRPr="007F1CAA">
            <w:rPr>
              <w:bCs/>
              <w:color w:val="000000"/>
            </w:rPr>
            <w:t xml:space="preserve">8 ECHR. He held that </w:t>
          </w:r>
          <w:r w:rsidR="00BD758C">
            <w:rPr>
              <w:bCs/>
              <w:color w:val="000000"/>
            </w:rPr>
            <w:t xml:space="preserve">art. </w:t>
          </w:r>
          <w:r w:rsidRPr="007F1CAA">
            <w:rPr>
              <w:bCs/>
              <w:color w:val="000000"/>
            </w:rPr>
            <w:t xml:space="preserve">8 ECHR was not engaged, for their pre-existing relationship and rights to family life were framed by their incarceration like any other prisoner. </w:t>
          </w:r>
          <w:sdt>
            <w:sdtPr>
              <w:rPr>
                <w:bCs/>
              </w:rPr>
              <w:tag w:val="goog_rdk_160"/>
              <w:id w:val="1251017664"/>
            </w:sdtPr>
            <w:sdtContent/>
          </w:sdt>
          <w:sdt>
            <w:sdtPr>
              <w:rPr>
                <w:bCs/>
              </w:rPr>
              <w:tag w:val="goog_rdk_161"/>
              <w:id w:val="474265886"/>
            </w:sdtPr>
            <w:sdtContent/>
          </w:sdt>
          <w:r w:rsidRPr="007F1CAA">
            <w:rPr>
              <w:bCs/>
              <w:color w:val="000000"/>
            </w:rPr>
            <w:t xml:space="preserve">The separation from your partner did not automatically engage </w:t>
          </w:r>
          <w:r w:rsidR="00BD758C">
            <w:rPr>
              <w:bCs/>
              <w:color w:val="000000"/>
            </w:rPr>
            <w:t xml:space="preserve">art. </w:t>
          </w:r>
          <w:r w:rsidRPr="007F1CAA">
            <w:rPr>
              <w:bCs/>
              <w:color w:val="000000"/>
            </w:rPr>
            <w:t>8 ECHR because this was a central aspect of imprisonment.</w:t>
          </w:r>
          <w:r w:rsidRPr="007F1CAA">
            <w:rPr>
              <w:bCs/>
              <w:color w:val="000000"/>
              <w:vertAlign w:val="superscript"/>
            </w:rPr>
            <w:footnoteReference w:id="161"/>
          </w:r>
          <w:r w:rsidRPr="007F1CAA">
            <w:rPr>
              <w:bCs/>
              <w:color w:val="000000"/>
            </w:rPr>
            <w:t xml:space="preserve"> He added that</w:t>
          </w:r>
          <w:r w:rsidR="00BD758C">
            <w:rPr>
              <w:bCs/>
              <w:color w:val="000000"/>
            </w:rPr>
            <w:t>,</w:t>
          </w:r>
          <w:r w:rsidRPr="007F1CAA">
            <w:rPr>
              <w:bCs/>
              <w:color w:val="000000"/>
            </w:rPr>
            <w:t xml:space="preserve"> in case it was engaged, </w:t>
          </w:r>
          <w:r w:rsidR="00BD758C">
            <w:rPr>
              <w:bCs/>
              <w:color w:val="000000"/>
            </w:rPr>
            <w:t xml:space="preserve">art. </w:t>
          </w:r>
          <w:r w:rsidRPr="007F1CAA">
            <w:rPr>
              <w:bCs/>
              <w:color w:val="000000"/>
            </w:rPr>
            <w:t>8</w:t>
          </w:r>
          <w:r w:rsidR="00BD758C">
            <w:rPr>
              <w:bCs/>
              <w:color w:val="000000"/>
            </w:rPr>
            <w:t xml:space="preserve">(2) </w:t>
          </w:r>
          <w:r w:rsidRPr="007F1CAA">
            <w:rPr>
              <w:bCs/>
              <w:color w:val="000000"/>
            </w:rPr>
            <w:t xml:space="preserve">ECHR would justify the authority’s decision to prevent the women from sharing a cell, because the policy with its “intimate relationship restriction” was in accordance with the law and it promoted good order and discipline. Moreover, the decision was deemed </w:t>
          </w:r>
          <w:sdt>
            <w:sdtPr>
              <w:rPr>
                <w:bCs/>
              </w:rPr>
              <w:tag w:val="goog_rdk_162"/>
              <w:id w:val="383680895"/>
            </w:sdtPr>
            <w:sdtContent/>
          </w:sdt>
          <w:sdt>
            <w:sdtPr>
              <w:rPr>
                <w:bCs/>
              </w:rPr>
              <w:tag w:val="goog_rdk_163"/>
              <w:id w:val="895007763"/>
            </w:sdtPr>
            <w:sdtContent/>
          </w:sdt>
          <w:r w:rsidRPr="007F1CAA">
            <w:rPr>
              <w:bCs/>
              <w:color w:val="000000"/>
            </w:rPr>
            <w:t>proportionate because the women could apply to be located in the same wing.</w:t>
          </w:r>
          <w:r w:rsidRPr="007F1CAA">
            <w:rPr>
              <w:bCs/>
              <w:color w:val="000000"/>
              <w:vertAlign w:val="superscript"/>
            </w:rPr>
            <w:footnoteReference w:id="162"/>
          </w:r>
          <w:r w:rsidRPr="007F1CAA">
            <w:rPr>
              <w:bCs/>
              <w:color w:val="000000"/>
            </w:rPr>
            <w:t xml:space="preserve"> </w:t>
          </w:r>
        </w:p>
        <w:p w14:paraId="00000073" w14:textId="38B92E82"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65"/>
        <w:id w:val="1754547249"/>
      </w:sdtPr>
      <w:sdtContent>
        <w:p w14:paraId="7384A405" w14:textId="77777777" w:rsidR="00BD758C" w:rsidRDefault="00411C03" w:rsidP="00080569">
          <w:pPr>
            <w:pBdr>
              <w:top w:val="nil"/>
              <w:left w:val="nil"/>
              <w:bottom w:val="nil"/>
              <w:right w:val="nil"/>
              <w:between w:val="nil"/>
            </w:pBdr>
            <w:spacing w:after="0" w:line="480" w:lineRule="auto"/>
            <w:jc w:val="both"/>
            <w:rPr>
              <w:bCs/>
              <w:color w:val="000000"/>
            </w:rPr>
          </w:pPr>
          <w:r w:rsidRPr="007F1CAA">
            <w:rPr>
              <w:bCs/>
              <w:color w:val="000000"/>
            </w:rPr>
            <w:tab/>
            <w:t xml:space="preserve">Justice Silber reproduces the key heteronormative assumptions that came out of the </w:t>
          </w:r>
          <w:r w:rsidRPr="00BD758C">
            <w:rPr>
              <w:bCs/>
              <w:i/>
              <w:iCs/>
              <w:color w:val="000000"/>
            </w:rPr>
            <w:t xml:space="preserve">Bright </w:t>
          </w:r>
          <w:r w:rsidRPr="00BD758C">
            <w:rPr>
              <w:bCs/>
              <w:i/>
              <w:iCs/>
            </w:rPr>
            <w:t>and</w:t>
          </w:r>
          <w:r w:rsidRPr="00BD758C">
            <w:rPr>
              <w:bCs/>
              <w:i/>
              <w:iCs/>
              <w:color w:val="000000"/>
            </w:rPr>
            <w:t xml:space="preserve"> Keeley</w:t>
          </w:r>
          <w:r w:rsidRPr="007F1CAA">
            <w:rPr>
              <w:bCs/>
              <w:color w:val="000000"/>
            </w:rPr>
            <w:t xml:space="preserve"> judgment: first</w:t>
          </w:r>
          <w:r w:rsidR="00BD758C">
            <w:rPr>
              <w:bCs/>
              <w:color w:val="000000"/>
            </w:rPr>
            <w:t>, that</w:t>
          </w:r>
          <w:r w:rsidRPr="007F1CAA">
            <w:rPr>
              <w:bCs/>
              <w:color w:val="000000"/>
            </w:rPr>
            <w:t xml:space="preserve"> the prison involves separation from your family. This draws on the prisoners’ rights jurisprudence around </w:t>
          </w:r>
          <w:r w:rsidR="00BD758C">
            <w:rPr>
              <w:bCs/>
              <w:color w:val="000000"/>
            </w:rPr>
            <w:t xml:space="preserve">art. </w:t>
          </w:r>
          <w:r w:rsidRPr="007F1CAA">
            <w:rPr>
              <w:bCs/>
              <w:color w:val="000000"/>
            </w:rPr>
            <w:t>8 ECHR that is deeply heteronormative and gender</w:t>
          </w:r>
          <w:r w:rsidR="00BD758C">
            <w:rPr>
              <w:bCs/>
              <w:color w:val="000000"/>
            </w:rPr>
            <w:t xml:space="preserve"> </w:t>
          </w:r>
          <w:r w:rsidRPr="007F1CAA">
            <w:rPr>
              <w:bCs/>
              <w:color w:val="000000"/>
            </w:rPr>
            <w:t xml:space="preserve">normative. At the centre is the assumption that prisoners, mostly men, are separated from their close family members </w:t>
          </w:r>
          <w:r w:rsidR="00BD758C">
            <w:rPr>
              <w:bCs/>
              <w:color w:val="000000"/>
            </w:rPr>
            <w:t>–</w:t>
          </w:r>
          <w:r w:rsidRPr="007F1CAA">
            <w:rPr>
              <w:bCs/>
              <w:color w:val="000000"/>
            </w:rPr>
            <w:t xml:space="preserve"> spouses, children, parents and siblings </w:t>
          </w:r>
          <w:r w:rsidR="00BD758C">
            <w:rPr>
              <w:bCs/>
              <w:color w:val="000000"/>
            </w:rPr>
            <w:t>–</w:t>
          </w:r>
          <w:r w:rsidRPr="007F1CAA">
            <w:rPr>
              <w:bCs/>
              <w:color w:val="000000"/>
            </w:rPr>
            <w:t xml:space="preserve"> b</w:t>
          </w:r>
          <w:r w:rsidR="00BD758C">
            <w:rPr>
              <w:bCs/>
              <w:color w:val="000000"/>
            </w:rPr>
            <w:t>y</w:t>
          </w:r>
          <w:r w:rsidRPr="007F1CAA">
            <w:rPr>
              <w:bCs/>
              <w:color w:val="000000"/>
            </w:rPr>
            <w:t xml:space="preserve"> the prison walls. </w:t>
          </w:r>
          <w:r w:rsidRPr="007F1CAA">
            <w:rPr>
              <w:bCs/>
              <w:color w:val="000000"/>
            </w:rPr>
            <w:lastRenderedPageBreak/>
            <w:t xml:space="preserve">Prisons, then, have a positive duty to ensure prisoners maintain </w:t>
          </w:r>
          <w:r w:rsidRPr="007F1CAA">
            <w:rPr>
              <w:bCs/>
            </w:rPr>
            <w:t>“</w:t>
          </w:r>
          <w:r w:rsidRPr="007F1CAA">
            <w:rPr>
              <w:bCs/>
              <w:color w:val="000000"/>
            </w:rPr>
            <w:t>effective contact</w:t>
          </w:r>
          <w:r w:rsidRPr="007F1CAA">
            <w:rPr>
              <w:bCs/>
            </w:rPr>
            <w:t>”</w:t>
          </w:r>
          <w:r w:rsidRPr="007F1CAA">
            <w:rPr>
              <w:bCs/>
              <w:color w:val="000000"/>
            </w:rPr>
            <w:t xml:space="preserve"> with family members, that is to facilitate visits, correspondence and communication.</w:t>
          </w:r>
          <w:r w:rsidRPr="007F1CAA">
            <w:rPr>
              <w:bCs/>
              <w:color w:val="000000"/>
              <w:vertAlign w:val="superscript"/>
            </w:rPr>
            <w:footnoteReference w:id="163"/>
          </w:r>
          <w:r w:rsidRPr="007F1CAA">
            <w:rPr>
              <w:bCs/>
              <w:color w:val="000000"/>
            </w:rPr>
            <w:t xml:space="preserve"> For spouses or other family members who are both in prison</w:t>
          </w:r>
          <w:r w:rsidR="00BD758C">
            <w:rPr>
              <w:bCs/>
              <w:color w:val="000000"/>
            </w:rPr>
            <w:t>,</w:t>
          </w:r>
          <w:r w:rsidRPr="007F1CAA">
            <w:rPr>
              <w:bCs/>
              <w:color w:val="000000"/>
            </w:rPr>
            <w:t xml:space="preserve"> “maintaining effective contact” means that inter-prison visits can be facilitated on a three-monthly basis in addition to communication and correspondence.</w:t>
          </w:r>
          <w:r w:rsidRPr="007F1CAA">
            <w:rPr>
              <w:bCs/>
              <w:color w:val="000000"/>
              <w:vertAlign w:val="superscript"/>
            </w:rPr>
            <w:footnoteReference w:id="164"/>
          </w:r>
        </w:p>
        <w:p w14:paraId="00000074" w14:textId="42954AE1"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166"/>
        <w:id w:val="1172372625"/>
      </w:sdtPr>
      <w:sdtContent>
        <w:p w14:paraId="00000075" w14:textId="24C2F8DA" w:rsidR="00985107" w:rsidRPr="007F1CAA" w:rsidRDefault="00411C03" w:rsidP="00080569">
          <w:pPr>
            <w:pBdr>
              <w:top w:val="nil"/>
              <w:left w:val="nil"/>
              <w:bottom w:val="nil"/>
              <w:right w:val="nil"/>
              <w:between w:val="nil"/>
            </w:pBdr>
            <w:spacing w:after="0" w:line="480" w:lineRule="auto"/>
            <w:jc w:val="both"/>
            <w:rPr>
              <w:bCs/>
            </w:rPr>
          </w:pPr>
          <w:r w:rsidRPr="007F1CAA">
            <w:rPr>
              <w:bCs/>
              <w:color w:val="000000"/>
            </w:rPr>
            <w:tab/>
            <w:t xml:space="preserve">The second assumption is that queer relationships are deemed to threaten the fabric of the prison. The biggest threat to the prison’s punitive capacity seems to be </w:t>
          </w:r>
          <w:r w:rsidRPr="007F1CAA">
            <w:rPr>
              <w:bCs/>
            </w:rPr>
            <w:t>the perception</w:t>
          </w:r>
          <w:r w:rsidRPr="007F1CAA">
            <w:rPr>
              <w:bCs/>
              <w:color w:val="000000"/>
            </w:rPr>
            <w:t xml:space="preserve"> that prison authorities were condoning sex in prison, which would invoke an exception to the blanket ban on sex in prison for long term relationships.</w:t>
          </w:r>
          <w:r w:rsidRPr="007F1CAA">
            <w:rPr>
              <w:bCs/>
              <w:color w:val="000000"/>
              <w:vertAlign w:val="superscript"/>
            </w:rPr>
            <w:footnoteReference w:id="165"/>
          </w:r>
          <w:r w:rsidRPr="007F1CAA">
            <w:rPr>
              <w:bCs/>
              <w:color w:val="000000"/>
            </w:rPr>
            <w:t xml:space="preserve"> Moreover, the ability to live in loving and caring relationships in prison is perceived as a threat to the fragile heteronormative institutional </w:t>
          </w:r>
          <w:r w:rsidRPr="007F1CAA">
            <w:rPr>
              <w:bCs/>
            </w:rPr>
            <w:t>“</w:t>
          </w:r>
          <w:r w:rsidRPr="007F1CAA">
            <w:rPr>
              <w:bCs/>
              <w:color w:val="000000"/>
            </w:rPr>
            <w:t>equilibrium</w:t>
          </w:r>
          <w:r w:rsidRPr="007F1CAA">
            <w:rPr>
              <w:bCs/>
            </w:rPr>
            <w:t>”</w:t>
          </w:r>
          <w:r w:rsidRPr="007F1CAA">
            <w:rPr>
              <w:bCs/>
              <w:color w:val="000000"/>
            </w:rPr>
            <w:t>. For the supposedly more favourable treatment of queer couples would lead to “the likely unfavourable reaction of other prisoners who are not able to maintain their sexual relations</w:t>
          </w:r>
          <w:r w:rsidR="00BD758C">
            <w:rPr>
              <w:bCs/>
              <w:color w:val="000000"/>
            </w:rPr>
            <w:t>.</w:t>
          </w:r>
          <w:r w:rsidRPr="007F1CAA">
            <w:rPr>
              <w:bCs/>
              <w:color w:val="000000"/>
            </w:rPr>
            <w:t>”</w:t>
          </w:r>
          <w:r w:rsidRPr="007F1CAA">
            <w:rPr>
              <w:bCs/>
              <w:color w:val="000000"/>
              <w:vertAlign w:val="superscript"/>
            </w:rPr>
            <w:footnoteReference w:id="166"/>
          </w:r>
          <w:r w:rsidRPr="007F1CAA">
            <w:rPr>
              <w:bCs/>
              <w:color w:val="000000"/>
            </w:rPr>
            <w:t xml:space="preserve"> This seems to be an inversion of formal equality where a supposed situational advantage for queer prisoners produced through the prison’s gender binary needs to be rectified through the increased governance and closer surveillance of queer prisoners in open relationships.  It is important to note how queer care emerges in response to a system that seeks </w:t>
          </w:r>
          <w:r w:rsidRPr="007F1CAA">
            <w:rPr>
              <w:bCs/>
              <w:color w:val="000000"/>
            </w:rPr>
            <w:lastRenderedPageBreak/>
            <w:t>to deny and punish (queer) intimacy. This moves the ‘queer outside’ into the space of law (or prisons) and disrupts the (hetero)normativity it attempts to sustain.</w:t>
          </w:r>
          <w:r w:rsidRPr="007F1CAA">
            <w:rPr>
              <w:bCs/>
              <w:color w:val="000000"/>
              <w:vertAlign w:val="superscript"/>
            </w:rPr>
            <w:footnoteReference w:id="167"/>
          </w:r>
        </w:p>
      </w:sdtContent>
    </w:sdt>
    <w:p w14:paraId="00000077" w14:textId="6A39F459" w:rsidR="00985107" w:rsidRPr="007F1CAA" w:rsidRDefault="00985107" w:rsidP="00080569">
      <w:pPr>
        <w:pBdr>
          <w:top w:val="nil"/>
          <w:left w:val="nil"/>
          <w:bottom w:val="nil"/>
          <w:right w:val="nil"/>
          <w:between w:val="nil"/>
        </w:pBdr>
        <w:spacing w:after="0" w:line="480" w:lineRule="auto"/>
        <w:jc w:val="both"/>
        <w:rPr>
          <w:bCs/>
        </w:rPr>
      </w:pPr>
    </w:p>
    <w:bookmarkStart w:id="3" w:name="_heading=h.2et92p0" w:colFirst="0" w:colLast="0" w:displacedByCustomXml="next"/>
    <w:bookmarkEnd w:id="3" w:displacedByCustomXml="next"/>
    <w:sdt>
      <w:sdtPr>
        <w:rPr>
          <w:rFonts w:ascii="Times New Roman" w:hAnsi="Times New Roman" w:cs="Times New Roman"/>
          <w:b w:val="0"/>
          <w:bCs/>
          <w:sz w:val="24"/>
          <w:szCs w:val="24"/>
        </w:rPr>
        <w:tag w:val="goog_rdk_169"/>
        <w:id w:val="1704129744"/>
      </w:sdtPr>
      <w:sdtEndPr>
        <w:rPr>
          <w:b/>
          <w:bCs w:val="0"/>
        </w:rPr>
      </w:sdtEndPr>
      <w:sdtContent>
        <w:p w14:paraId="00000078" w14:textId="1FFA2AC8" w:rsidR="00985107" w:rsidRPr="00BD758C" w:rsidRDefault="00BD758C" w:rsidP="00BD758C">
          <w:pPr>
            <w:pStyle w:val="Heading2"/>
            <w:spacing w:line="480" w:lineRule="auto"/>
            <w:jc w:val="center"/>
            <w:rPr>
              <w:rFonts w:ascii="Times New Roman" w:eastAsia="Times New Roman" w:hAnsi="Times New Roman" w:cs="Times New Roman"/>
              <w:sz w:val="24"/>
              <w:szCs w:val="24"/>
            </w:rPr>
          </w:pPr>
          <w:r w:rsidRPr="00BD758C">
            <w:rPr>
              <w:rFonts w:ascii="Times New Roman" w:hAnsi="Times New Roman" w:cs="Times New Roman"/>
              <w:sz w:val="24"/>
              <w:szCs w:val="24"/>
            </w:rPr>
            <w:t xml:space="preserve">Conclusion and </w:t>
          </w:r>
          <w:r w:rsidR="00411C03" w:rsidRPr="00BD758C">
            <w:rPr>
              <w:rFonts w:ascii="Times New Roman" w:eastAsia="Times New Roman" w:hAnsi="Times New Roman" w:cs="Times New Roman"/>
              <w:sz w:val="24"/>
              <w:szCs w:val="24"/>
            </w:rPr>
            <w:t>Outlook</w:t>
          </w:r>
        </w:p>
      </w:sdtContent>
    </w:sdt>
    <w:sdt>
      <w:sdtPr>
        <w:rPr>
          <w:bCs/>
        </w:rPr>
        <w:tag w:val="goog_rdk_170"/>
        <w:id w:val="-1098014768"/>
      </w:sdtPr>
      <w:sdtContent>
        <w:p w14:paraId="197FC6EB" w14:textId="77777777" w:rsidR="00BD758C" w:rsidRDefault="00BD758C" w:rsidP="00080569">
          <w:pPr>
            <w:spacing w:after="0" w:line="480" w:lineRule="auto"/>
            <w:jc w:val="both"/>
            <w:rPr>
              <w:bCs/>
            </w:rPr>
          </w:pPr>
        </w:p>
        <w:p w14:paraId="7378A9A6" w14:textId="2E8315FD" w:rsidR="00BD758C" w:rsidRDefault="00411C03" w:rsidP="00080569">
          <w:pPr>
            <w:spacing w:after="0" w:line="480" w:lineRule="auto"/>
            <w:jc w:val="both"/>
            <w:rPr>
              <w:bCs/>
            </w:rPr>
          </w:pPr>
          <w:r w:rsidRPr="007F1CAA">
            <w:rPr>
              <w:bCs/>
            </w:rPr>
            <w:t xml:space="preserve">While there are increasing efforts to make prisons more hospitable and responsive to the unique experiences of queer prisoners, we argue that the inability to secure the universal and authentic inclusion of all sexualities and gender identities renders these attempts insufficient </w:t>
          </w:r>
          <w:r w:rsidR="006F1271">
            <w:rPr>
              <w:bCs/>
            </w:rPr>
            <w:t>“</w:t>
          </w:r>
          <w:r w:rsidRPr="007F1CAA">
            <w:rPr>
              <w:bCs/>
            </w:rPr>
            <w:t>reformist reforms</w:t>
          </w:r>
          <w:r w:rsidR="006F1271">
            <w:rPr>
              <w:bCs/>
            </w:rPr>
            <w:t>”</w:t>
          </w:r>
          <w:r w:rsidRPr="007F1CAA">
            <w:rPr>
              <w:bCs/>
            </w:rPr>
            <w:t>.</w:t>
          </w:r>
          <w:r w:rsidRPr="007F1CAA">
            <w:rPr>
              <w:bCs/>
              <w:vertAlign w:val="superscript"/>
            </w:rPr>
            <w:footnoteReference w:id="168"/>
          </w:r>
          <w:r w:rsidRPr="007F1CAA">
            <w:rPr>
              <w:bCs/>
            </w:rPr>
            <w:t xml:space="preserve"> Ultimately, many of these legal decisions and reforms are pursued with the intention of continuing the undisturbed production of capital by the prison under the pretence of instilling progressive and enlightened approaches towards criminal justice.  </w:t>
          </w:r>
        </w:p>
        <w:p w14:paraId="00000079" w14:textId="5B47FB18" w:rsidR="00985107" w:rsidRPr="007F1CAA" w:rsidRDefault="00A1537F" w:rsidP="00080569">
          <w:pPr>
            <w:spacing w:after="0" w:line="480" w:lineRule="auto"/>
            <w:jc w:val="both"/>
            <w:rPr>
              <w:bCs/>
            </w:rPr>
          </w:pPr>
        </w:p>
      </w:sdtContent>
    </w:sdt>
    <w:sdt>
      <w:sdtPr>
        <w:rPr>
          <w:bCs/>
        </w:rPr>
        <w:tag w:val="goog_rdk_171"/>
        <w:id w:val="458068884"/>
      </w:sdtPr>
      <w:sdtContent>
        <w:p w14:paraId="3B45AC3F" w14:textId="77777777" w:rsidR="006F1271" w:rsidRDefault="00411C03" w:rsidP="00080569">
          <w:pPr>
            <w:spacing w:after="0" w:line="480" w:lineRule="auto"/>
            <w:ind w:firstLine="720"/>
            <w:jc w:val="both"/>
            <w:rPr>
              <w:bCs/>
            </w:rPr>
          </w:pPr>
          <w:r w:rsidRPr="007F1CAA">
            <w:rPr>
              <w:bCs/>
            </w:rPr>
            <w:t xml:space="preserve">Our analysis of the jurisprudence reinforces the historical exposure of many queer prisoners to increased levels of violence and vulnerability through the reliance on the prison as a method of punishment. Some reconfigurations have been made recently to include some marginalised groups to an extent </w:t>
          </w:r>
          <w:r w:rsidR="006F1271">
            <w:rPr>
              <w:bCs/>
            </w:rPr>
            <w:t>(</w:t>
          </w:r>
          <w:r w:rsidRPr="007F1CAA">
            <w:rPr>
              <w:bCs/>
            </w:rPr>
            <w:t>e.g. non-binary people</w:t>
          </w:r>
          <w:r w:rsidR="006F1271">
            <w:rPr>
              <w:bCs/>
            </w:rPr>
            <w:t>)</w:t>
          </w:r>
          <w:r w:rsidRPr="007F1CAA">
            <w:rPr>
              <w:bCs/>
            </w:rPr>
            <w:t>. However, these reforms overlook the reality that these marginalised groups are eternally excluded by the prison regardless of reform because they are in conflict with the underlying structure of the prison. Current protective regimes for queer prisoners that centre on isolation and exclusion seem wholly unsuited to challenging the systemic homophobia and transphobia within the prison system.</w:t>
          </w:r>
          <w:r w:rsidRPr="007F1CAA">
            <w:rPr>
              <w:bCs/>
              <w:vertAlign w:val="superscript"/>
            </w:rPr>
            <w:footnoteReference w:id="169"/>
          </w:r>
          <w:r w:rsidRPr="007F1CAA">
            <w:rPr>
              <w:bCs/>
            </w:rPr>
            <w:t xml:space="preserve"> Within this environment</w:t>
          </w:r>
          <w:r w:rsidR="006F1271">
            <w:rPr>
              <w:bCs/>
            </w:rPr>
            <w:t>,</w:t>
          </w:r>
          <w:r w:rsidRPr="007F1CAA">
            <w:rPr>
              <w:bCs/>
            </w:rPr>
            <w:t xml:space="preserve"> queer caring relationships are seen as a threat to the heteronormative </w:t>
          </w:r>
          <w:r w:rsidRPr="007F1CAA">
            <w:rPr>
              <w:bCs/>
            </w:rPr>
            <w:lastRenderedPageBreak/>
            <w:t>order. The separation of queer couples in prison paradoxically is perceived as a way to achieve equality for the supposedly disadvantage</w:t>
          </w:r>
          <w:r w:rsidR="006F1271">
            <w:rPr>
              <w:bCs/>
            </w:rPr>
            <w:t>d</w:t>
          </w:r>
          <w:r w:rsidRPr="007F1CAA">
            <w:rPr>
              <w:bCs/>
            </w:rPr>
            <w:t xml:space="preserve"> majority. However, the heightened surveillance that queer prisoners face, is neglected. </w:t>
          </w:r>
        </w:p>
        <w:p w14:paraId="0000007A" w14:textId="69108EDD" w:rsidR="00985107" w:rsidRPr="007F1CAA" w:rsidRDefault="00A1537F" w:rsidP="00080569">
          <w:pPr>
            <w:spacing w:after="0" w:line="480" w:lineRule="auto"/>
            <w:ind w:firstLine="720"/>
            <w:jc w:val="both"/>
            <w:rPr>
              <w:bCs/>
            </w:rPr>
          </w:pPr>
        </w:p>
      </w:sdtContent>
    </w:sdt>
    <w:sdt>
      <w:sdtPr>
        <w:rPr>
          <w:bCs/>
        </w:rPr>
        <w:tag w:val="goog_rdk_172"/>
        <w:id w:val="-16699537"/>
      </w:sdtPr>
      <w:sdtContent>
        <w:p w14:paraId="0000007B" w14:textId="374C226F" w:rsidR="00985107" w:rsidRPr="007F1CAA" w:rsidRDefault="00411C03" w:rsidP="006F1271">
          <w:pPr>
            <w:spacing w:after="0" w:line="480" w:lineRule="auto"/>
            <w:jc w:val="both"/>
            <w:rPr>
              <w:bCs/>
            </w:rPr>
          </w:pPr>
          <w:r w:rsidRPr="007F1CAA">
            <w:rPr>
              <w:bCs/>
            </w:rPr>
            <w:t xml:space="preserve"> </w:t>
          </w:r>
          <w:r w:rsidRPr="007F1CAA">
            <w:rPr>
              <w:bCs/>
            </w:rPr>
            <w:tab/>
            <w:t>Following our examination of the jurisprudence, we refer back to Dean Spade’s suggestion that the innate anti-queer, homophobic, and transphobic nature of prison</w:t>
          </w:r>
          <w:r w:rsidR="006F1271">
            <w:rPr>
              <w:bCs/>
            </w:rPr>
            <w:t>s</w:t>
          </w:r>
          <w:r w:rsidRPr="007F1CAA">
            <w:rPr>
              <w:bCs/>
            </w:rPr>
            <w:t xml:space="preserve"> mean</w:t>
          </w:r>
          <w:r w:rsidR="006F1271">
            <w:rPr>
              <w:bCs/>
            </w:rPr>
            <w:t>s</w:t>
          </w:r>
          <w:r w:rsidRPr="007F1CAA">
            <w:rPr>
              <w:bCs/>
            </w:rPr>
            <w:t xml:space="preserve"> that the exclusion of queer prisoners will always remain an irreconcilable issue. Thus, rather than our collective efforts in the superficial </w:t>
          </w:r>
          <w:r w:rsidR="006F1271">
            <w:rPr>
              <w:bCs/>
            </w:rPr>
            <w:t>“</w:t>
          </w:r>
          <w:r w:rsidRPr="007F1CAA">
            <w:rPr>
              <w:bCs/>
            </w:rPr>
            <w:t>reformist reforms</w:t>
          </w:r>
          <w:r w:rsidR="006F1271">
            <w:rPr>
              <w:bCs/>
            </w:rPr>
            <w:t xml:space="preserve">”, </w:t>
          </w:r>
          <w:r w:rsidRPr="007F1CAA">
            <w:rPr>
              <w:bCs/>
            </w:rPr>
            <w:t xml:space="preserve">which work within the confines of the existing exclusionary system, we align ourselves with fellow queer abolitionist efforts to advocate for the abolition of the </w:t>
          </w:r>
          <w:r w:rsidR="006F1271">
            <w:rPr>
              <w:bCs/>
            </w:rPr>
            <w:t>Prison Industrial Complex.</w:t>
          </w:r>
          <w:r w:rsidRPr="007F1CAA">
            <w:rPr>
              <w:bCs/>
              <w:vertAlign w:val="superscript"/>
            </w:rPr>
            <w:footnoteReference w:id="170"/>
          </w:r>
          <w:r w:rsidRPr="007F1CAA">
            <w:rPr>
              <w:bCs/>
            </w:rPr>
            <w:t xml:space="preserve"> In this context, abolition of the prison system requires a commitment to</w:t>
          </w:r>
          <w:r w:rsidR="006F1271">
            <w:rPr>
              <w:bCs/>
            </w:rPr>
            <w:t xml:space="preserve"> “</w:t>
          </w:r>
          <w:r w:rsidR="006F1271" w:rsidRPr="007F1CAA">
            <w:rPr>
              <w:bCs/>
            </w:rPr>
            <w:t>addressing homophobia and transphobia in criminal punishment</w:t>
          </w:r>
          <w:r w:rsidR="006F1271">
            <w:rPr>
              <w:bCs/>
            </w:rPr>
            <w:t xml:space="preserve"> </w:t>
          </w:r>
          <w:sdt>
            <w:sdtPr>
              <w:rPr>
                <w:bCs/>
              </w:rPr>
              <w:tag w:val="goog_rdk_174"/>
              <w:id w:val="-43071872"/>
            </w:sdtPr>
            <w:sdtContent>
              <w:r w:rsidR="006F1271" w:rsidRPr="007F1CAA">
                <w:rPr>
                  <w:bCs/>
                </w:rPr>
                <w:t xml:space="preserve">systems [and] rejects the quest for inclusion and recognition in violent legal and </w:t>
              </w:r>
              <w:sdt>
                <w:sdtPr>
                  <w:rPr>
                    <w:bCs/>
                  </w:rPr>
                  <w:tag w:val="goog_rdk_175"/>
                  <w:id w:val="-2051757296"/>
                </w:sdtPr>
                <w:sdtContent>
                  <w:r w:rsidR="006F1271" w:rsidRPr="007F1CAA">
                    <w:rPr>
                      <w:bCs/>
                    </w:rPr>
                    <w:t xml:space="preserve">administrative apparatuses…and instead seeks the abolition of criminal </w:t>
                  </w:r>
                </w:sdtContent>
              </w:sdt>
              <w:r w:rsidR="006F1271">
                <w:rPr>
                  <w:bCs/>
                </w:rPr>
                <w:t xml:space="preserve"> </w:t>
              </w:r>
              <w:sdt>
                <w:sdtPr>
                  <w:rPr>
                    <w:bCs/>
                  </w:rPr>
                  <w:tag w:val="goog_rdk_176"/>
                  <w:id w:val="-618687054"/>
                </w:sdtPr>
                <w:sdtContent>
                  <w:r w:rsidR="006F1271" w:rsidRPr="007F1CAA">
                    <w:rPr>
                      <w:bCs/>
                    </w:rPr>
                    <w:t>punishment... It properly identifies the fruitlessness of seeking safety at</w:t>
                  </w:r>
                </w:sdtContent>
              </w:sdt>
              <w:r w:rsidR="006F1271">
                <w:rPr>
                  <w:bCs/>
                </w:rPr>
                <w:t xml:space="preserve"> </w:t>
              </w:r>
              <w:sdt>
                <w:sdtPr>
                  <w:rPr>
                    <w:bCs/>
                  </w:rPr>
                  <w:tag w:val="goog_rdk_177"/>
                  <w:id w:val="671155761"/>
                </w:sdtPr>
                <w:sdtContent>
                  <w:r w:rsidR="006F1271" w:rsidRPr="007F1CAA">
                    <w:rPr>
                      <w:bCs/>
                    </w:rPr>
                    <w:t xml:space="preserve">the </w:t>
                  </w:r>
                </w:sdtContent>
              </w:sdt>
              <w:r w:rsidR="006F1271">
                <w:rPr>
                  <w:bCs/>
                </w:rPr>
                <w:t xml:space="preserve"> </w:t>
              </w:r>
              <w:sdt>
                <w:sdtPr>
                  <w:rPr>
                    <w:bCs/>
                  </w:rPr>
                  <w:tag w:val="goog_rdk_178"/>
                  <w:id w:val="-724368547"/>
                </w:sdtPr>
                <w:sdtContent>
                  <w:r w:rsidR="006F1271" w:rsidRPr="007F1CAA">
                    <w:rPr>
                      <w:bCs/>
                    </w:rPr>
                    <w:t>hands of the most significant perpetrators of racialized gendered</w:t>
                  </w:r>
                </w:sdtContent>
              </w:sdt>
              <w:r w:rsidR="006F1271">
                <w:rPr>
                  <w:bCs/>
                </w:rPr>
                <w:t xml:space="preserve"> </w:t>
              </w:r>
              <w:sdt>
                <w:sdtPr>
                  <w:rPr>
                    <w:bCs/>
                  </w:rPr>
                  <w:tag w:val="goog_rdk_179"/>
                  <w:id w:val="-1386865646"/>
                </w:sdtPr>
                <w:sdtContent>
                  <w:r w:rsidR="006F1271" w:rsidRPr="007F1CAA">
                    <w:rPr>
                      <w:bCs/>
                    </w:rPr>
                    <w:t>violence</w:t>
                  </w:r>
                  <w:r w:rsidR="006F1271">
                    <w:rPr>
                      <w:bCs/>
                    </w:rPr>
                    <w:t>.</w:t>
                  </w:r>
                  <w:r w:rsidR="006F1271" w:rsidRPr="007F1CAA">
                    <w:rPr>
                      <w:bCs/>
                    </w:rPr>
                    <w:t>”</w:t>
                  </w:r>
                  <w:r w:rsidR="006F1271" w:rsidRPr="007F1CAA">
                    <w:rPr>
                      <w:bCs/>
                      <w:vertAlign w:val="superscript"/>
                    </w:rPr>
                    <w:footnoteReference w:id="171"/>
                  </w:r>
                </w:sdtContent>
              </w:sdt>
              <w:r w:rsidR="006F1271">
                <w:rPr>
                  <w:bCs/>
                </w:rPr>
                <w:t xml:space="preserve"> </w:t>
              </w:r>
            </w:sdtContent>
          </w:sdt>
        </w:p>
      </w:sdtContent>
    </w:sdt>
    <w:p w14:paraId="00000083" w14:textId="3B654671" w:rsidR="00985107" w:rsidRPr="007F1CAA" w:rsidRDefault="00A1537F" w:rsidP="00080569">
      <w:pPr>
        <w:spacing w:after="0" w:line="480" w:lineRule="auto"/>
        <w:jc w:val="both"/>
        <w:rPr>
          <w:bCs/>
        </w:rPr>
      </w:pPr>
      <w:sdt>
        <w:sdtPr>
          <w:rPr>
            <w:bCs/>
          </w:rPr>
          <w:tag w:val="goog_rdk_173"/>
          <w:id w:val="353542608"/>
          <w:showingPlcHdr/>
        </w:sdtPr>
        <w:sdtContent>
          <w:r w:rsidR="006F1271">
            <w:rPr>
              <w:bCs/>
            </w:rPr>
            <w:t xml:space="preserve">     </w:t>
          </w:r>
        </w:sdtContent>
      </w:sdt>
      <w:sdt>
        <w:sdtPr>
          <w:rPr>
            <w:bCs/>
          </w:rPr>
          <w:tag w:val="goog_rdk_180"/>
          <w:id w:val="451834772"/>
          <w:showingPlcHdr/>
        </w:sdtPr>
        <w:sdtContent>
          <w:r w:rsidR="006F1271">
            <w:rPr>
              <w:bCs/>
            </w:rPr>
            <w:t xml:space="preserve">     </w:t>
          </w:r>
        </w:sdtContent>
      </w:sdt>
    </w:p>
    <w:sdt>
      <w:sdtPr>
        <w:rPr>
          <w:bCs/>
        </w:rPr>
        <w:tag w:val="goog_rdk_181"/>
        <w:id w:val="1451437725"/>
      </w:sdtPr>
      <w:sdtContent>
        <w:p w14:paraId="00000084" w14:textId="19D059DB" w:rsidR="00985107" w:rsidRPr="007F1CAA" w:rsidRDefault="00411C03" w:rsidP="006F1271">
          <w:pPr>
            <w:spacing w:after="0" w:line="480" w:lineRule="auto"/>
            <w:ind w:firstLine="720"/>
            <w:jc w:val="both"/>
            <w:rPr>
              <w:bCs/>
            </w:rPr>
          </w:pPr>
          <w:r w:rsidRPr="007F1CAA">
            <w:rPr>
              <w:bCs/>
            </w:rPr>
            <w:t>While it is important to engage in efforts to mitigate harm for queer prisoners who are already trapped in the PIC, fundamentally Spade reinforces</w:t>
          </w:r>
          <w:r w:rsidR="00035928" w:rsidRPr="007F1CAA">
            <w:rPr>
              <w:bCs/>
            </w:rPr>
            <w:t>:</w:t>
          </w:r>
        </w:p>
      </w:sdtContent>
    </w:sdt>
    <w:sdt>
      <w:sdtPr>
        <w:rPr>
          <w:bCs/>
        </w:rPr>
        <w:tag w:val="goog_rdk_182"/>
        <w:id w:val="-1180898664"/>
      </w:sdtPr>
      <w:sdtContent>
        <w:p w14:paraId="54370DBD" w14:textId="77777777" w:rsidR="006F1271" w:rsidRDefault="006F1271" w:rsidP="00080569">
          <w:pPr>
            <w:spacing w:after="0" w:line="480" w:lineRule="auto"/>
            <w:jc w:val="both"/>
            <w:rPr>
              <w:bCs/>
            </w:rPr>
          </w:pPr>
        </w:p>
        <w:p w14:paraId="00000085" w14:textId="7570E305" w:rsidR="00985107" w:rsidRPr="007F1CAA" w:rsidRDefault="00411C03" w:rsidP="006F1271">
          <w:pPr>
            <w:spacing w:after="0" w:line="480" w:lineRule="auto"/>
            <w:ind w:left="567" w:right="567"/>
            <w:jc w:val="both"/>
            <w:rPr>
              <w:bCs/>
            </w:rPr>
          </w:pPr>
          <w:r w:rsidRPr="007F1CAA">
            <w:rPr>
              <w:bCs/>
            </w:rPr>
            <w:t xml:space="preserve">“We can’t stop there </w:t>
          </w:r>
          <w:r w:rsidR="006F1271">
            <w:rPr>
              <w:bCs/>
            </w:rPr>
            <w:t>–</w:t>
          </w:r>
          <w:r w:rsidRPr="007F1CAA">
            <w:rPr>
              <w:bCs/>
            </w:rPr>
            <w:t xml:space="preserve"> </w:t>
          </w:r>
          <w:r w:rsidR="006F1271">
            <w:rPr>
              <w:bCs/>
            </w:rPr>
            <w:t>q</w:t>
          </w:r>
          <w:r w:rsidRPr="007F1CAA">
            <w:rPr>
              <w:bCs/>
            </w:rPr>
            <w:t xml:space="preserve">ueer liberation and sexual and gender self-determination require that we reach toward abolition, not just of prisons, and for some of us, </w:t>
          </w:r>
          <w:r w:rsidRPr="007F1CAA">
            <w:rPr>
              <w:bCs/>
            </w:rPr>
            <w:lastRenderedPageBreak/>
            <w:t>police, but of the systems that produce them, and which replicate systems of policing and punishment beyond prison walls”.</w:t>
          </w:r>
          <w:r w:rsidRPr="007F1CAA">
            <w:rPr>
              <w:bCs/>
              <w:vertAlign w:val="superscript"/>
            </w:rPr>
            <w:footnoteReference w:id="172"/>
          </w:r>
          <w:r w:rsidRPr="007F1CAA">
            <w:rPr>
              <w:bCs/>
            </w:rPr>
            <w:t xml:space="preserve"> </w:t>
          </w:r>
        </w:p>
      </w:sdtContent>
    </w:sdt>
    <w:sdt>
      <w:sdtPr>
        <w:rPr>
          <w:rFonts w:ascii="Times New Roman" w:hAnsi="Times New Roman" w:cs="Times New Roman"/>
          <w:bCs/>
          <w:sz w:val="24"/>
          <w:szCs w:val="24"/>
        </w:rPr>
        <w:tag w:val="goog_rdk_183"/>
        <w:id w:val="1100528766"/>
      </w:sdtPr>
      <w:sdtContent>
        <w:p w14:paraId="00000086" w14:textId="77777777" w:rsidR="00985107" w:rsidRPr="007F1CAA" w:rsidRDefault="00411C03" w:rsidP="00080569">
          <w:pPr>
            <w:pStyle w:val="Heading3"/>
            <w:pBdr>
              <w:top w:val="none" w:sz="0" w:space="0" w:color="000000"/>
            </w:pBdr>
            <w:spacing w:before="0" w:after="0" w:line="480" w:lineRule="auto"/>
            <w:jc w:val="both"/>
            <w:rPr>
              <w:rFonts w:ascii="Times New Roman" w:hAnsi="Times New Roman" w:cs="Times New Roman"/>
              <w:bCs/>
              <w:sz w:val="24"/>
              <w:szCs w:val="24"/>
            </w:rPr>
          </w:pPr>
          <w:r w:rsidRPr="007F1CAA">
            <w:rPr>
              <w:rFonts w:ascii="Times New Roman" w:eastAsia="Times New Roman" w:hAnsi="Times New Roman" w:cs="Times New Roman"/>
              <w:bCs/>
              <w:sz w:val="24"/>
              <w:szCs w:val="24"/>
            </w:rPr>
            <w:t xml:space="preserve"> </w:t>
          </w:r>
        </w:p>
      </w:sdtContent>
    </w:sdt>
    <w:sdt>
      <w:sdtPr>
        <w:rPr>
          <w:rFonts w:ascii="Times New Roman" w:hAnsi="Times New Roman" w:cs="Times New Roman"/>
          <w:bCs/>
          <w:sz w:val="24"/>
          <w:szCs w:val="24"/>
        </w:rPr>
        <w:tag w:val="goog_rdk_184"/>
        <w:id w:val="-1684671347"/>
      </w:sdtPr>
      <w:sdtContent>
        <w:p w14:paraId="00000087" w14:textId="77777777" w:rsidR="00985107" w:rsidRPr="007F1CAA" w:rsidRDefault="00411C03" w:rsidP="00080569">
          <w:pPr>
            <w:pStyle w:val="Heading3"/>
            <w:pBdr>
              <w:top w:val="none" w:sz="0" w:space="0" w:color="000000"/>
            </w:pBdr>
            <w:spacing w:before="0" w:after="0" w:line="480" w:lineRule="auto"/>
            <w:ind w:firstLine="720"/>
            <w:jc w:val="both"/>
            <w:rPr>
              <w:rFonts w:ascii="Times New Roman" w:eastAsia="Times New Roman" w:hAnsi="Times New Roman" w:cs="Times New Roman"/>
              <w:bCs/>
              <w:sz w:val="24"/>
              <w:szCs w:val="24"/>
            </w:rPr>
          </w:pPr>
          <w:r w:rsidRPr="007F1CAA">
            <w:rPr>
              <w:rFonts w:ascii="Times New Roman" w:eastAsia="Times New Roman" w:hAnsi="Times New Roman" w:cs="Times New Roman"/>
              <w:bCs/>
              <w:sz w:val="24"/>
              <w:szCs w:val="24"/>
            </w:rPr>
            <w:t xml:space="preserve"> </w:t>
          </w:r>
        </w:p>
      </w:sdtContent>
    </w:sdt>
    <w:sdt>
      <w:sdtPr>
        <w:rPr>
          <w:bCs/>
        </w:rPr>
        <w:tag w:val="goog_rdk_211"/>
        <w:id w:val="-1092556166"/>
      </w:sdtPr>
      <w:sdtContent>
        <w:p w14:paraId="000000A2" w14:textId="61B4A45B" w:rsidR="00985107" w:rsidRPr="007F1CAA" w:rsidRDefault="00A1537F" w:rsidP="00080569">
          <w:pPr>
            <w:pBdr>
              <w:top w:val="nil"/>
              <w:left w:val="nil"/>
              <w:bottom w:val="nil"/>
              <w:right w:val="nil"/>
              <w:between w:val="nil"/>
            </w:pBdr>
            <w:spacing w:after="0" w:line="480" w:lineRule="auto"/>
            <w:ind w:hanging="339"/>
            <w:jc w:val="both"/>
            <w:rPr>
              <w:bCs/>
            </w:rPr>
          </w:pPr>
          <w:hyperlink r:id="rId9">
            <w:r w:rsidR="00411C03" w:rsidRPr="007F1CAA">
              <w:rPr>
                <w:bCs/>
                <w:color w:val="1155CC"/>
              </w:rPr>
              <w:t xml:space="preserve"> </w:t>
            </w:r>
          </w:hyperlink>
        </w:p>
      </w:sdtContent>
    </w:sdt>
    <w:sdt>
      <w:sdtPr>
        <w:rPr>
          <w:rFonts w:ascii="Times New Roman" w:hAnsi="Times New Roman" w:cs="Times New Roman"/>
          <w:bCs/>
          <w:sz w:val="24"/>
          <w:szCs w:val="24"/>
        </w:rPr>
        <w:tag w:val="goog_rdk_212"/>
        <w:id w:val="-1146438545"/>
      </w:sdtPr>
      <w:sdtEndPr>
        <w:rPr>
          <w:b/>
          <w:bCs w:val="0"/>
        </w:rPr>
      </w:sdtEndPr>
      <w:sdtContent>
        <w:p w14:paraId="7F9E3B9E" w14:textId="358A96B3" w:rsidR="006F1271" w:rsidRDefault="004E1F66" w:rsidP="004E1F66">
          <w:pPr>
            <w:pStyle w:val="Heading3"/>
            <w:pBdr>
              <w:top w:val="nil"/>
            </w:pBdr>
            <w:tabs>
              <w:tab w:val="left" w:pos="5117"/>
            </w:tabs>
            <w:spacing w:before="0"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20C42FE4" w14:textId="77777777" w:rsidR="004E1F66" w:rsidRPr="004E1F66" w:rsidRDefault="004E1F66" w:rsidP="004E1F66"/>
        <w:p w14:paraId="6EF7F712"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BDF8B9A"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0F01BBC1"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ACB6E17"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44F583D5"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40A79DD2"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4566D1A"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23E23D6"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028A1BBD"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A5524B7"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67E48D7A"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171808BD"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69E26C85"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713E2D6"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15F64B2"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2CE9BE6"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01B722DA"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19BEE9C"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680171B0"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569F6D3C"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C670F13"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75C2D8A9"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0203AF8"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2F584CC1"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38C47096" w14:textId="77777777" w:rsidR="004E1F66" w:rsidRDefault="004E1F66" w:rsidP="004E1F66">
          <w:pPr>
            <w:pStyle w:val="Heading3"/>
            <w:pBdr>
              <w:top w:val="nil"/>
            </w:pBdr>
            <w:spacing w:before="0" w:after="0" w:line="480" w:lineRule="auto"/>
            <w:rPr>
              <w:rFonts w:ascii="Times New Roman" w:eastAsia="Times New Roman" w:hAnsi="Times New Roman" w:cs="Times New Roman"/>
              <w:b/>
              <w:sz w:val="24"/>
              <w:szCs w:val="24"/>
            </w:rPr>
          </w:pPr>
        </w:p>
        <w:p w14:paraId="000000A3" w14:textId="69854567" w:rsidR="00985107" w:rsidRPr="006F1271" w:rsidRDefault="00411C03" w:rsidP="004E1F66">
          <w:pPr>
            <w:pStyle w:val="Heading3"/>
            <w:pBdr>
              <w:top w:val="nil"/>
            </w:pBdr>
            <w:spacing w:before="0" w:after="0" w:line="480" w:lineRule="auto"/>
            <w:jc w:val="center"/>
            <w:rPr>
              <w:rFonts w:ascii="Times New Roman" w:eastAsia="Times New Roman" w:hAnsi="Times New Roman" w:cs="Times New Roman"/>
              <w:b/>
              <w:sz w:val="24"/>
              <w:szCs w:val="24"/>
            </w:rPr>
          </w:pPr>
          <w:r w:rsidRPr="006F1271">
            <w:rPr>
              <w:rFonts w:ascii="Times New Roman" w:eastAsia="Times New Roman" w:hAnsi="Times New Roman" w:cs="Times New Roman"/>
              <w:b/>
              <w:sz w:val="24"/>
              <w:szCs w:val="24"/>
            </w:rPr>
            <w:lastRenderedPageBreak/>
            <w:t>Bibliography</w:t>
          </w:r>
        </w:p>
      </w:sdtContent>
    </w:sdt>
    <w:sdt>
      <w:sdtPr>
        <w:rPr>
          <w:bCs/>
        </w:rPr>
        <w:tag w:val="goog_rdk_213"/>
        <w:id w:val="1705983632"/>
      </w:sdtPr>
      <w:sdtContent>
        <w:p w14:paraId="4DB6CA97" w14:textId="77777777" w:rsidR="006F1271" w:rsidRDefault="006F1271" w:rsidP="00080569">
          <w:pPr>
            <w:spacing w:after="0" w:line="480" w:lineRule="auto"/>
            <w:jc w:val="both"/>
            <w:rPr>
              <w:bCs/>
            </w:rPr>
          </w:pPr>
        </w:p>
        <w:p w14:paraId="000000A4" w14:textId="5C550045" w:rsidR="00985107" w:rsidRPr="007F1CAA" w:rsidRDefault="00411C03" w:rsidP="00080569">
          <w:pPr>
            <w:spacing w:after="0" w:line="480" w:lineRule="auto"/>
            <w:jc w:val="both"/>
            <w:rPr>
              <w:bCs/>
            </w:rPr>
          </w:pPr>
          <w:r w:rsidRPr="007F1CAA">
            <w:rPr>
              <w:bCs/>
            </w:rPr>
            <w:t xml:space="preserve">“Transgender prison deaths: Watchdog calls for action” </w:t>
          </w:r>
          <w:r w:rsidRPr="00A1537F">
            <w:rPr>
              <w:bCs/>
              <w:i/>
              <w:iCs/>
            </w:rPr>
            <w:t>BBC News</w:t>
          </w:r>
          <w:r w:rsidRPr="007F1CAA">
            <w:rPr>
              <w:bCs/>
            </w:rPr>
            <w:t>, January</w:t>
          </w:r>
          <w:r w:rsidR="004E1F66">
            <w:rPr>
              <w:bCs/>
            </w:rPr>
            <w:t xml:space="preserve"> 10,</w:t>
          </w:r>
          <w:r w:rsidRPr="007F1CAA">
            <w:rPr>
              <w:bCs/>
            </w:rPr>
            <w:t xml:space="preserve"> 2017</w:t>
          </w:r>
          <w:r w:rsidR="006D712A">
            <w:rPr>
              <w:bCs/>
            </w:rPr>
            <w:t>.</w:t>
          </w:r>
          <w:r w:rsidRPr="007F1CAA">
            <w:rPr>
              <w:bCs/>
            </w:rPr>
            <w:t xml:space="preserve"> </w:t>
          </w:r>
          <w:r w:rsidR="004E1F66">
            <w:rPr>
              <w:bCs/>
            </w:rPr>
            <w:t xml:space="preserve"> </w:t>
          </w:r>
          <w:r w:rsidR="006D712A">
            <w:rPr>
              <w:bCs/>
            </w:rPr>
            <w:t>A</w:t>
          </w:r>
          <w:r w:rsidR="004E1F66">
            <w:rPr>
              <w:bCs/>
            </w:rPr>
            <w:t xml:space="preserve">ccessed March 27, 2020, </w:t>
          </w:r>
          <w:hyperlink r:id="rId10" w:history="1">
            <w:r w:rsidR="004E1F66" w:rsidRPr="00523610">
              <w:rPr>
                <w:rStyle w:val="Hyperlink"/>
                <w:bCs/>
              </w:rPr>
              <w:t>https://www.bbc.co.uk/news/uk-38562714</w:t>
            </w:r>
          </w:hyperlink>
          <w:r w:rsidRPr="007F1CAA">
            <w:rPr>
              <w:bCs/>
            </w:rPr>
            <w:t>.</w:t>
          </w:r>
        </w:p>
      </w:sdtContent>
    </w:sdt>
    <w:sdt>
      <w:sdtPr>
        <w:rPr>
          <w:bCs/>
        </w:rPr>
        <w:tag w:val="goog_rdk_214"/>
        <w:id w:val="1769579450"/>
      </w:sdtPr>
      <w:sdtContent>
        <w:p w14:paraId="5EC0BE45" w14:textId="77777777" w:rsidR="00A1537F" w:rsidRDefault="00A1537F" w:rsidP="00080569">
          <w:pPr>
            <w:spacing w:after="0" w:line="480" w:lineRule="auto"/>
            <w:jc w:val="both"/>
            <w:rPr>
              <w:bCs/>
            </w:rPr>
          </w:pPr>
        </w:p>
        <w:p w14:paraId="000000A5" w14:textId="3CA345FD" w:rsidR="00985107" w:rsidRPr="007F1CAA" w:rsidRDefault="00411C03" w:rsidP="00080569">
          <w:pPr>
            <w:spacing w:after="0" w:line="480" w:lineRule="auto"/>
            <w:jc w:val="both"/>
            <w:rPr>
              <w:bCs/>
            </w:rPr>
          </w:pPr>
          <w:r w:rsidRPr="007F1CAA">
            <w:rPr>
              <w:bCs/>
            </w:rPr>
            <w:t>“First UK transgender prison unit to open</w:t>
          </w:r>
          <w:r w:rsidRPr="00A1537F">
            <w:rPr>
              <w:bCs/>
              <w:i/>
              <w:iCs/>
            </w:rPr>
            <w:t>,” BBC News</w:t>
          </w:r>
          <w:r w:rsidRPr="007F1CAA">
            <w:rPr>
              <w:bCs/>
            </w:rPr>
            <w:t>, last modified March 3, 2019</w:t>
          </w:r>
          <w:r w:rsidR="006D712A">
            <w:rPr>
              <w:bCs/>
            </w:rPr>
            <w:t>.</w:t>
          </w:r>
          <w:r w:rsidR="004E1F66">
            <w:rPr>
              <w:bCs/>
            </w:rPr>
            <w:t xml:space="preserve"> </w:t>
          </w:r>
          <w:r w:rsidR="006D712A">
            <w:rPr>
              <w:bCs/>
            </w:rPr>
            <w:t>A</w:t>
          </w:r>
          <w:r w:rsidR="004E1F66">
            <w:rPr>
              <w:bCs/>
            </w:rPr>
            <w:t>ccessed March 27, 2020,</w:t>
          </w:r>
          <w:hyperlink r:id="rId11" w:history="1">
            <w:r w:rsidR="004E1F66" w:rsidRPr="00523610">
              <w:rPr>
                <w:rStyle w:val="Hyperlink"/>
                <w:bCs/>
              </w:rPr>
              <w:t xml:space="preserve"> </w:t>
            </w:r>
          </w:hyperlink>
          <w:hyperlink r:id="rId12">
            <w:r w:rsidRPr="007F1CAA">
              <w:rPr>
                <w:bCs/>
                <w:color w:val="1155CC"/>
              </w:rPr>
              <w:t>https://www.bbc.co.uk/news/uk-47434730</w:t>
            </w:r>
          </w:hyperlink>
          <w:r w:rsidRPr="007F1CAA">
            <w:rPr>
              <w:bCs/>
            </w:rPr>
            <w:t xml:space="preserve">. </w:t>
          </w:r>
        </w:p>
      </w:sdtContent>
    </w:sdt>
    <w:sdt>
      <w:sdtPr>
        <w:rPr>
          <w:bCs/>
        </w:rPr>
        <w:tag w:val="goog_rdk_215"/>
        <w:id w:val="1914500434"/>
      </w:sdtPr>
      <w:sdtContent>
        <w:p w14:paraId="63D7FCCF" w14:textId="42221C89" w:rsidR="006F1271" w:rsidRDefault="006F1271" w:rsidP="00080569">
          <w:pPr>
            <w:spacing w:after="0" w:line="480" w:lineRule="auto"/>
            <w:jc w:val="both"/>
            <w:rPr>
              <w:bCs/>
            </w:rPr>
          </w:pPr>
        </w:p>
        <w:p w14:paraId="000000A6" w14:textId="64F2A0A8" w:rsidR="00985107" w:rsidRPr="007F1CAA" w:rsidRDefault="00411C03" w:rsidP="00080569">
          <w:pPr>
            <w:spacing w:after="0" w:line="480" w:lineRule="auto"/>
            <w:jc w:val="both"/>
            <w:rPr>
              <w:bCs/>
            </w:rPr>
          </w:pPr>
          <w:r w:rsidRPr="007F1CAA">
            <w:rPr>
              <w:bCs/>
            </w:rPr>
            <w:t xml:space="preserve">“New Non-Binary Prison in Scotland?,” </w:t>
          </w:r>
          <w:r w:rsidRPr="00A1537F">
            <w:rPr>
              <w:bCs/>
              <w:i/>
              <w:iCs/>
            </w:rPr>
            <w:t>Corporate Watch</w:t>
          </w:r>
          <w:r w:rsidRPr="007F1CAA">
            <w:rPr>
              <w:bCs/>
            </w:rPr>
            <w:t>, last modified Jan</w:t>
          </w:r>
          <w:r w:rsidR="004E1F66">
            <w:rPr>
              <w:bCs/>
            </w:rPr>
            <w:t>uary</w:t>
          </w:r>
          <w:r w:rsidRPr="007F1CAA">
            <w:rPr>
              <w:bCs/>
            </w:rPr>
            <w:t xml:space="preserve"> 17, 2018</w:t>
          </w:r>
          <w:r w:rsidR="006D712A">
            <w:rPr>
              <w:bCs/>
            </w:rPr>
            <w:t xml:space="preserve">. Accessed </w:t>
          </w:r>
          <w:r w:rsidR="004E1F66">
            <w:rPr>
              <w:bCs/>
            </w:rPr>
            <w:t>March 27, 2020,</w:t>
          </w:r>
          <w:r w:rsidRPr="007F1CAA">
            <w:rPr>
              <w:bCs/>
            </w:rPr>
            <w:t xml:space="preserve"> https://corporatewatch.org/new-non-binary-prison-in-scotland/. </w:t>
          </w:r>
        </w:p>
      </w:sdtContent>
    </w:sdt>
    <w:sdt>
      <w:sdtPr>
        <w:rPr>
          <w:bCs/>
        </w:rPr>
        <w:tag w:val="goog_rdk_216"/>
        <w:id w:val="-1514907723"/>
      </w:sdtPr>
      <w:sdtContent>
        <w:p w14:paraId="5ABEF00B" w14:textId="77777777" w:rsidR="006F1271" w:rsidRDefault="006F1271" w:rsidP="00080569">
          <w:pPr>
            <w:spacing w:after="0" w:line="480" w:lineRule="auto"/>
            <w:jc w:val="both"/>
            <w:rPr>
              <w:bCs/>
            </w:rPr>
          </w:pPr>
        </w:p>
        <w:p w14:paraId="000000A7" w14:textId="700A6B2F" w:rsidR="00985107" w:rsidRPr="007F1CAA" w:rsidRDefault="00411C03" w:rsidP="00080569">
          <w:pPr>
            <w:spacing w:after="0" w:line="480" w:lineRule="auto"/>
            <w:jc w:val="both"/>
            <w:rPr>
              <w:bCs/>
            </w:rPr>
          </w:pPr>
          <w:r w:rsidRPr="007F1CAA">
            <w:rPr>
              <w:bCs/>
            </w:rPr>
            <w:t xml:space="preserve">Bent Bars Project. “Prison Abolition is a Queer Issue”. </w:t>
          </w:r>
          <w:r w:rsidRPr="00A1537F">
            <w:rPr>
              <w:bCs/>
              <w:i/>
              <w:iCs/>
            </w:rPr>
            <w:t>Bent Bars Project</w:t>
          </w:r>
          <w:r w:rsidRPr="007F1CAA">
            <w:rPr>
              <w:bCs/>
            </w:rPr>
            <w:t xml:space="preserve"> (2011). </w:t>
          </w:r>
        </w:p>
      </w:sdtContent>
    </w:sdt>
    <w:sdt>
      <w:sdtPr>
        <w:rPr>
          <w:bCs/>
        </w:rPr>
        <w:tag w:val="goog_rdk_217"/>
        <w:id w:val="203985584"/>
      </w:sdtPr>
      <w:sdtContent>
        <w:p w14:paraId="61D7C333" w14:textId="77777777" w:rsidR="006F1271" w:rsidRDefault="006F1271" w:rsidP="00080569">
          <w:pPr>
            <w:pBdr>
              <w:top w:val="nil"/>
              <w:left w:val="nil"/>
              <w:bottom w:val="nil"/>
              <w:right w:val="nil"/>
              <w:between w:val="nil"/>
            </w:pBdr>
            <w:spacing w:after="0" w:line="480" w:lineRule="auto"/>
            <w:jc w:val="both"/>
            <w:rPr>
              <w:bCs/>
            </w:rPr>
          </w:pPr>
        </w:p>
        <w:p w14:paraId="1934EB14" w14:textId="032E3795" w:rsidR="006F1271" w:rsidRDefault="00411C03" w:rsidP="00080569">
          <w:pPr>
            <w:pBdr>
              <w:top w:val="nil"/>
              <w:left w:val="nil"/>
              <w:bottom w:val="nil"/>
              <w:right w:val="nil"/>
              <w:between w:val="nil"/>
            </w:pBdr>
            <w:spacing w:after="0" w:line="480" w:lineRule="auto"/>
            <w:jc w:val="both"/>
            <w:rPr>
              <w:bCs/>
              <w:color w:val="000000"/>
            </w:rPr>
          </w:pPr>
          <w:r w:rsidRPr="007F1CAA">
            <w:rPr>
              <w:bCs/>
              <w:color w:val="000000"/>
            </w:rPr>
            <w:t>Bosworth, Ma</w:t>
          </w:r>
          <w:r w:rsidRPr="007F1CAA">
            <w:rPr>
              <w:bCs/>
            </w:rPr>
            <w:t>ry</w:t>
          </w:r>
          <w:r w:rsidRPr="007F1CAA">
            <w:rPr>
              <w:bCs/>
              <w:color w:val="000000"/>
            </w:rPr>
            <w:t xml:space="preserve">. </w:t>
          </w:r>
          <w:r w:rsidRPr="00A1537F">
            <w:rPr>
              <w:bCs/>
              <w:i/>
              <w:iCs/>
              <w:color w:val="000000"/>
            </w:rPr>
            <w:t>Engendering Resistance: Agency, and Power in Women's Prisons</w:t>
          </w:r>
          <w:r w:rsidR="00A1537F">
            <w:rPr>
              <w:bCs/>
              <w:color w:val="000000"/>
            </w:rPr>
            <w:t xml:space="preserve"> (</w:t>
          </w:r>
          <w:r w:rsidRPr="007F1CAA">
            <w:rPr>
              <w:bCs/>
              <w:color w:val="000000"/>
            </w:rPr>
            <w:t xml:space="preserve">Aldershot, </w:t>
          </w:r>
        </w:p>
        <w:p w14:paraId="000000A8" w14:textId="5A8ABBB8"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UK: Dartmouth Publishing Company</w:t>
          </w:r>
          <w:r w:rsidR="00A1537F">
            <w:rPr>
              <w:bCs/>
              <w:color w:val="000000"/>
            </w:rPr>
            <w:t xml:space="preserve">, </w:t>
          </w:r>
          <w:r w:rsidRPr="007F1CAA">
            <w:rPr>
              <w:bCs/>
              <w:color w:val="000000"/>
            </w:rPr>
            <w:t>1999</w:t>
          </w:r>
          <w:r w:rsidR="00A1537F">
            <w:rPr>
              <w:bCs/>
              <w:color w:val="000000"/>
            </w:rPr>
            <w:t>)</w:t>
          </w:r>
          <w:r w:rsidRPr="007F1CAA">
            <w:rPr>
              <w:bCs/>
              <w:color w:val="000000"/>
            </w:rPr>
            <w:t>.</w:t>
          </w:r>
        </w:p>
      </w:sdtContent>
    </w:sdt>
    <w:sdt>
      <w:sdtPr>
        <w:rPr>
          <w:bCs/>
        </w:rPr>
        <w:tag w:val="goog_rdk_218"/>
        <w:id w:val="-707724897"/>
      </w:sdtPr>
      <w:sdtContent>
        <w:p w14:paraId="76F26512" w14:textId="77777777" w:rsidR="006F1271" w:rsidRDefault="006F1271" w:rsidP="00080569">
          <w:pPr>
            <w:pBdr>
              <w:top w:val="nil"/>
              <w:left w:val="nil"/>
              <w:bottom w:val="nil"/>
              <w:right w:val="nil"/>
              <w:between w:val="nil"/>
            </w:pBdr>
            <w:spacing w:after="0" w:line="480" w:lineRule="auto"/>
            <w:jc w:val="both"/>
            <w:rPr>
              <w:bCs/>
            </w:rPr>
          </w:pPr>
        </w:p>
        <w:p w14:paraId="000000A9" w14:textId="1E2B1C89"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Bosworth, Mary and Eamonn </w:t>
          </w:r>
          <w:proofErr w:type="spellStart"/>
          <w:r w:rsidRPr="007F1CAA">
            <w:rPr>
              <w:bCs/>
              <w:color w:val="000000"/>
            </w:rPr>
            <w:t>Carrabine</w:t>
          </w:r>
          <w:proofErr w:type="spellEnd"/>
          <w:r w:rsidRPr="007F1CAA">
            <w:rPr>
              <w:bCs/>
              <w:color w:val="000000"/>
            </w:rPr>
            <w:t xml:space="preserve">. “Reassessing resistance: Race, gender and sexuality in prison”. </w:t>
          </w:r>
          <w:r w:rsidRPr="00A1537F">
            <w:rPr>
              <w:bCs/>
              <w:i/>
              <w:iCs/>
              <w:color w:val="000000"/>
            </w:rPr>
            <w:t>Punishment and Society</w:t>
          </w:r>
          <w:r w:rsidRPr="007F1CAA">
            <w:rPr>
              <w:bCs/>
              <w:color w:val="000000"/>
            </w:rPr>
            <w:t xml:space="preserve"> 3, no 4 (2001): 501-15.</w:t>
          </w:r>
        </w:p>
      </w:sdtContent>
    </w:sdt>
    <w:sdt>
      <w:sdtPr>
        <w:rPr>
          <w:bCs/>
        </w:rPr>
        <w:tag w:val="goog_rdk_219"/>
        <w:id w:val="-1232452817"/>
      </w:sdtPr>
      <w:sdtContent>
        <w:p w14:paraId="75682195" w14:textId="77777777" w:rsidR="006F1271" w:rsidRDefault="006F1271" w:rsidP="00080569">
          <w:pPr>
            <w:spacing w:after="0" w:line="480" w:lineRule="auto"/>
            <w:jc w:val="both"/>
            <w:rPr>
              <w:bCs/>
            </w:rPr>
          </w:pPr>
        </w:p>
        <w:p w14:paraId="000000AA" w14:textId="0FA8A96F" w:rsidR="00985107" w:rsidRPr="007F1CAA" w:rsidRDefault="00411C03" w:rsidP="00080569">
          <w:pPr>
            <w:spacing w:after="0" w:line="480" w:lineRule="auto"/>
            <w:jc w:val="both"/>
            <w:rPr>
              <w:bCs/>
            </w:rPr>
          </w:pPr>
          <w:r w:rsidRPr="007F1CAA">
            <w:rPr>
              <w:bCs/>
            </w:rPr>
            <w:t>Butler, Judith</w:t>
          </w:r>
          <w:r w:rsidR="00A1537F">
            <w:rPr>
              <w:bCs/>
            </w:rPr>
            <w:t xml:space="preserve">. </w:t>
          </w:r>
          <w:r w:rsidRPr="00A1537F">
            <w:rPr>
              <w:bCs/>
              <w:i/>
              <w:iCs/>
            </w:rPr>
            <w:t>Gender Trouble</w:t>
          </w:r>
          <w:r w:rsidR="00A1537F">
            <w:rPr>
              <w:bCs/>
            </w:rPr>
            <w:t xml:space="preserve"> (</w:t>
          </w:r>
          <w:r w:rsidRPr="007F1CAA">
            <w:rPr>
              <w:bCs/>
            </w:rPr>
            <w:t>New York</w:t>
          </w:r>
          <w:r w:rsidR="00A1537F">
            <w:rPr>
              <w:bCs/>
            </w:rPr>
            <w:t xml:space="preserve"> an</w:t>
          </w:r>
          <w:r w:rsidRPr="007F1CAA">
            <w:rPr>
              <w:bCs/>
            </w:rPr>
            <w:t xml:space="preserve">d Abingdon: Routledge, </w:t>
          </w:r>
          <w:r w:rsidR="00A1537F">
            <w:rPr>
              <w:bCs/>
            </w:rPr>
            <w:t>[</w:t>
          </w:r>
          <w:r w:rsidRPr="007F1CAA">
            <w:rPr>
              <w:bCs/>
            </w:rPr>
            <w:t>1990] 2007</w:t>
          </w:r>
          <w:r w:rsidR="00A1537F">
            <w:rPr>
              <w:bCs/>
            </w:rPr>
            <w:t>)</w:t>
          </w:r>
          <w:r w:rsidRPr="007F1CAA">
            <w:rPr>
              <w:bCs/>
            </w:rPr>
            <w:t>.</w:t>
          </w:r>
        </w:p>
      </w:sdtContent>
    </w:sdt>
    <w:sdt>
      <w:sdtPr>
        <w:rPr>
          <w:bCs/>
        </w:rPr>
        <w:tag w:val="goog_rdk_220"/>
        <w:id w:val="-1295913227"/>
      </w:sdtPr>
      <w:sdtContent>
        <w:p w14:paraId="6132F652" w14:textId="77777777" w:rsidR="006F1271" w:rsidRDefault="006F1271" w:rsidP="00080569">
          <w:pPr>
            <w:spacing w:after="0" w:line="480" w:lineRule="auto"/>
            <w:jc w:val="both"/>
            <w:rPr>
              <w:bCs/>
            </w:rPr>
          </w:pPr>
        </w:p>
        <w:p w14:paraId="000000AB" w14:textId="161A0983" w:rsidR="00985107" w:rsidRPr="007F1CAA" w:rsidRDefault="00411C03" w:rsidP="00080569">
          <w:pPr>
            <w:spacing w:after="0" w:line="480" w:lineRule="auto"/>
            <w:jc w:val="both"/>
            <w:rPr>
              <w:bCs/>
            </w:rPr>
          </w:pPr>
          <w:r w:rsidRPr="007F1CAA">
            <w:rPr>
              <w:bCs/>
            </w:rPr>
            <w:t xml:space="preserve">Carlen, Pat. </w:t>
          </w:r>
          <w:r w:rsidRPr="00A1537F">
            <w:rPr>
              <w:bCs/>
              <w:i/>
              <w:iCs/>
            </w:rPr>
            <w:t>Sledgehammer: Women's Imprisonment at the Millennium</w:t>
          </w:r>
          <w:r w:rsidR="00A1537F">
            <w:rPr>
              <w:bCs/>
            </w:rPr>
            <w:t xml:space="preserve"> (</w:t>
          </w:r>
          <w:r w:rsidRPr="007F1CAA">
            <w:rPr>
              <w:bCs/>
            </w:rPr>
            <w:t>London: Macmillan Press, 1998</w:t>
          </w:r>
          <w:r w:rsidR="00A1537F">
            <w:rPr>
              <w:bCs/>
            </w:rPr>
            <w:t>)</w:t>
          </w:r>
          <w:r w:rsidRPr="007F1CAA">
            <w:rPr>
              <w:bCs/>
            </w:rPr>
            <w:t>.</w:t>
          </w:r>
        </w:p>
      </w:sdtContent>
    </w:sdt>
    <w:sdt>
      <w:sdtPr>
        <w:rPr>
          <w:bCs/>
        </w:rPr>
        <w:tag w:val="goog_rdk_221"/>
        <w:id w:val="-1833912734"/>
      </w:sdtPr>
      <w:sdtContent>
        <w:p w14:paraId="000000AC" w14:textId="6557BE93" w:rsidR="00985107" w:rsidRPr="007F1CAA" w:rsidRDefault="00411C03" w:rsidP="00080569">
          <w:pPr>
            <w:spacing w:after="0" w:line="480" w:lineRule="auto"/>
            <w:jc w:val="both"/>
            <w:rPr>
              <w:bCs/>
            </w:rPr>
          </w:pPr>
          <w:r w:rsidRPr="007F1CAA">
            <w:rPr>
              <w:bCs/>
            </w:rPr>
            <w:t xml:space="preserve">Carlen, Pat and Chris Tchaikovsky. “Women in Prison”. In </w:t>
          </w:r>
          <w:r w:rsidRPr="00A1537F">
            <w:rPr>
              <w:bCs/>
              <w:i/>
              <w:iCs/>
            </w:rPr>
            <w:t>Criminal Women: Autobiographical Accounts</w:t>
          </w:r>
          <w:r w:rsidRPr="007F1CAA">
            <w:rPr>
              <w:bCs/>
            </w:rPr>
            <w:t xml:space="preserve"> edited by Pat Carlen</w:t>
          </w:r>
          <w:r w:rsidR="00A1537F">
            <w:rPr>
              <w:bCs/>
            </w:rPr>
            <w:t xml:space="preserve"> et al (</w:t>
          </w:r>
          <w:r w:rsidRPr="007F1CAA">
            <w:rPr>
              <w:bCs/>
            </w:rPr>
            <w:t>Cambridge</w:t>
          </w:r>
          <w:r w:rsidR="00A1537F">
            <w:rPr>
              <w:bCs/>
            </w:rPr>
            <w:t xml:space="preserve">: </w:t>
          </w:r>
          <w:r w:rsidRPr="007F1CAA">
            <w:rPr>
              <w:bCs/>
            </w:rPr>
            <w:t>Polity Press, 1985</w:t>
          </w:r>
          <w:r w:rsidR="00A1537F">
            <w:rPr>
              <w:bCs/>
            </w:rPr>
            <w:t>)</w:t>
          </w:r>
          <w:r w:rsidRPr="007F1CAA">
            <w:rPr>
              <w:bCs/>
            </w:rPr>
            <w:t>.</w:t>
          </w:r>
        </w:p>
      </w:sdtContent>
    </w:sdt>
    <w:sdt>
      <w:sdtPr>
        <w:rPr>
          <w:bCs/>
        </w:rPr>
        <w:tag w:val="goog_rdk_222"/>
        <w:id w:val="1105618642"/>
      </w:sdtPr>
      <w:sdtContent>
        <w:p w14:paraId="000000AD" w14:textId="6A8629BD" w:rsidR="00985107" w:rsidRPr="007F1CAA" w:rsidRDefault="00411C03" w:rsidP="00080569">
          <w:pPr>
            <w:pBdr>
              <w:top w:val="nil"/>
              <w:left w:val="nil"/>
              <w:bottom w:val="nil"/>
              <w:right w:val="nil"/>
              <w:between w:val="nil"/>
            </w:pBdr>
            <w:spacing w:after="0" w:line="480" w:lineRule="auto"/>
            <w:jc w:val="both"/>
            <w:rPr>
              <w:bCs/>
              <w:color w:val="000000"/>
            </w:rPr>
          </w:pPr>
          <w:proofErr w:type="spellStart"/>
          <w:r w:rsidRPr="007F1CAA">
            <w:rPr>
              <w:bCs/>
              <w:color w:val="000000"/>
            </w:rPr>
            <w:t>Carr</w:t>
          </w:r>
          <w:proofErr w:type="spellEnd"/>
          <w:r w:rsidRPr="007F1CAA">
            <w:rPr>
              <w:bCs/>
              <w:color w:val="000000"/>
            </w:rPr>
            <w:t xml:space="preserve">, Nicola and </w:t>
          </w:r>
          <w:proofErr w:type="spellStart"/>
          <w:r w:rsidRPr="007F1CAA">
            <w:rPr>
              <w:bCs/>
              <w:color w:val="000000"/>
            </w:rPr>
            <w:t>Siobhán</w:t>
          </w:r>
          <w:proofErr w:type="spellEnd"/>
          <w:r w:rsidRPr="007F1CAA">
            <w:rPr>
              <w:bCs/>
              <w:color w:val="000000"/>
            </w:rPr>
            <w:t xml:space="preserve"> McAlister and Tanya </w:t>
          </w:r>
          <w:proofErr w:type="spellStart"/>
          <w:r w:rsidRPr="007F1CAA">
            <w:rPr>
              <w:bCs/>
              <w:color w:val="000000"/>
            </w:rPr>
            <w:t>Serisier</w:t>
          </w:r>
          <w:proofErr w:type="spellEnd"/>
          <w:r w:rsidRPr="007F1CAA">
            <w:rPr>
              <w:bCs/>
              <w:color w:val="000000"/>
            </w:rPr>
            <w:t xml:space="preserve">. </w:t>
          </w:r>
          <w:r w:rsidRPr="00A1537F">
            <w:rPr>
              <w:bCs/>
              <w:i/>
              <w:iCs/>
              <w:color w:val="000000"/>
            </w:rPr>
            <w:t>Out on the Inside: The Rights, Needs, and Experiences of LGBT People on Prison</w:t>
          </w:r>
          <w:r w:rsidR="00A1537F">
            <w:rPr>
              <w:bCs/>
              <w:color w:val="000000"/>
            </w:rPr>
            <w:t xml:space="preserve"> (</w:t>
          </w:r>
          <w:r w:rsidRPr="007F1CAA">
            <w:rPr>
              <w:bCs/>
              <w:color w:val="000000"/>
            </w:rPr>
            <w:t>Irish Penal Reform Trust, 2016</w:t>
          </w:r>
          <w:r w:rsidR="00A1537F">
            <w:rPr>
              <w:bCs/>
              <w:color w:val="000000"/>
            </w:rPr>
            <w:t>)</w:t>
          </w:r>
          <w:r w:rsidRPr="007F1CAA">
            <w:rPr>
              <w:bCs/>
              <w:color w:val="000000"/>
            </w:rPr>
            <w:t>.</w:t>
          </w:r>
        </w:p>
      </w:sdtContent>
    </w:sdt>
    <w:sdt>
      <w:sdtPr>
        <w:rPr>
          <w:bCs/>
        </w:rPr>
        <w:tag w:val="goog_rdk_223"/>
        <w:id w:val="-547987816"/>
      </w:sdtPr>
      <w:sdtContent>
        <w:p w14:paraId="021372F0" w14:textId="77777777" w:rsidR="006F1271" w:rsidRDefault="006F1271" w:rsidP="00080569">
          <w:pPr>
            <w:spacing w:after="0" w:line="480" w:lineRule="auto"/>
            <w:jc w:val="both"/>
            <w:rPr>
              <w:bCs/>
            </w:rPr>
          </w:pPr>
        </w:p>
        <w:p w14:paraId="000000AE" w14:textId="28F787F8" w:rsidR="00985107" w:rsidRPr="007F1CAA" w:rsidRDefault="00411C03" w:rsidP="00080569">
          <w:pPr>
            <w:spacing w:after="0" w:line="480" w:lineRule="auto"/>
            <w:jc w:val="both"/>
            <w:rPr>
              <w:bCs/>
            </w:rPr>
          </w:pPr>
          <w:proofErr w:type="spellStart"/>
          <w:r w:rsidRPr="007F1CAA">
            <w:rPr>
              <w:bCs/>
            </w:rPr>
            <w:t>Carrabine</w:t>
          </w:r>
          <w:proofErr w:type="spellEnd"/>
          <w:r w:rsidRPr="007F1CAA">
            <w:rPr>
              <w:bCs/>
            </w:rPr>
            <w:t xml:space="preserve">, Eamonn. </w:t>
          </w:r>
          <w:r w:rsidRPr="00A1537F">
            <w:rPr>
              <w:bCs/>
              <w:i/>
              <w:iCs/>
            </w:rPr>
            <w:t>Power, Discourse and Resistance: A Genealogy of the Strangeways Prison Riot</w:t>
          </w:r>
          <w:r w:rsidR="00A1537F">
            <w:rPr>
              <w:bCs/>
            </w:rPr>
            <w:t xml:space="preserve"> (D</w:t>
          </w:r>
          <w:r w:rsidRPr="007F1CAA">
            <w:rPr>
              <w:bCs/>
            </w:rPr>
            <w:t>artmouth: Ashgate, 2004</w:t>
          </w:r>
          <w:r w:rsidR="00A1537F">
            <w:rPr>
              <w:bCs/>
            </w:rPr>
            <w:t>)</w:t>
          </w:r>
          <w:r w:rsidRPr="007F1CAA">
            <w:rPr>
              <w:bCs/>
            </w:rPr>
            <w:t>.</w:t>
          </w:r>
        </w:p>
      </w:sdtContent>
    </w:sdt>
    <w:sdt>
      <w:sdtPr>
        <w:rPr>
          <w:bCs/>
        </w:rPr>
        <w:tag w:val="goog_rdk_224"/>
        <w:id w:val="1391158698"/>
      </w:sdtPr>
      <w:sdtContent>
        <w:p w14:paraId="3F509180" w14:textId="77777777" w:rsidR="006F1271" w:rsidRDefault="006F1271" w:rsidP="00080569">
          <w:pPr>
            <w:spacing w:after="0" w:line="480" w:lineRule="auto"/>
            <w:jc w:val="both"/>
            <w:rPr>
              <w:bCs/>
            </w:rPr>
          </w:pPr>
        </w:p>
        <w:p w14:paraId="000000AF" w14:textId="3B280BF0" w:rsidR="00985107" w:rsidRPr="007F1CAA" w:rsidRDefault="00411C03" w:rsidP="00080569">
          <w:pPr>
            <w:spacing w:after="0" w:line="480" w:lineRule="auto"/>
            <w:jc w:val="both"/>
            <w:rPr>
              <w:bCs/>
            </w:rPr>
          </w:pPr>
          <w:proofErr w:type="spellStart"/>
          <w:r w:rsidRPr="007F1CAA">
            <w:rPr>
              <w:bCs/>
            </w:rPr>
            <w:t>Carrabine</w:t>
          </w:r>
          <w:proofErr w:type="spellEnd"/>
          <w:r w:rsidRPr="007F1CAA">
            <w:rPr>
              <w:bCs/>
            </w:rPr>
            <w:t xml:space="preserve">, Eamonn and Brian Longhurst. “Gender and Prison Organisation: Some Comments on Masculinities and Prison Management” </w:t>
          </w:r>
          <w:r w:rsidRPr="00A1537F">
            <w:rPr>
              <w:bCs/>
              <w:i/>
              <w:iCs/>
            </w:rPr>
            <w:t>The Howard Journal</w:t>
          </w:r>
          <w:r w:rsidRPr="007F1CAA">
            <w:rPr>
              <w:bCs/>
            </w:rPr>
            <w:t xml:space="preserve"> 37, no 2 (1998): 161-76.</w:t>
          </w:r>
        </w:p>
      </w:sdtContent>
    </w:sdt>
    <w:sdt>
      <w:sdtPr>
        <w:rPr>
          <w:bCs/>
        </w:rPr>
        <w:tag w:val="goog_rdk_225"/>
        <w:id w:val="-2094232352"/>
      </w:sdtPr>
      <w:sdtContent>
        <w:p w14:paraId="18FEE7FA" w14:textId="77777777" w:rsidR="006F1271" w:rsidRDefault="006F1271" w:rsidP="00080569">
          <w:pPr>
            <w:spacing w:after="0" w:line="480" w:lineRule="auto"/>
            <w:jc w:val="both"/>
            <w:rPr>
              <w:bCs/>
            </w:rPr>
          </w:pPr>
        </w:p>
        <w:p w14:paraId="000000B0" w14:textId="79CBA767" w:rsidR="00985107" w:rsidRPr="007F1CAA" w:rsidRDefault="00411C03" w:rsidP="00080569">
          <w:pPr>
            <w:spacing w:after="0" w:line="480" w:lineRule="auto"/>
            <w:jc w:val="both"/>
            <w:rPr>
              <w:bCs/>
            </w:rPr>
          </w:pPr>
          <w:r w:rsidRPr="007F1CAA">
            <w:rPr>
              <w:bCs/>
            </w:rPr>
            <w:t xml:space="preserve">Christie, Nils. “Prisons in Society, or Society as Prison - A Conceptual Analysis” In </w:t>
          </w:r>
          <w:r w:rsidRPr="00A1537F">
            <w:rPr>
              <w:bCs/>
              <w:i/>
              <w:iCs/>
            </w:rPr>
            <w:t>Prisons Past and Future</w:t>
          </w:r>
          <w:r w:rsidRPr="007F1CAA">
            <w:rPr>
              <w:bCs/>
            </w:rPr>
            <w:t xml:space="preserve"> edited by J.C. Freeman, 179-188</w:t>
          </w:r>
          <w:r w:rsidR="00A1537F">
            <w:rPr>
              <w:bCs/>
            </w:rPr>
            <w:t xml:space="preserve"> (</w:t>
          </w:r>
          <w:r w:rsidRPr="007F1CAA">
            <w:rPr>
              <w:bCs/>
            </w:rPr>
            <w:t>London: Heinemann, 1978</w:t>
          </w:r>
          <w:r w:rsidR="00A1537F">
            <w:rPr>
              <w:bCs/>
            </w:rPr>
            <w:t>)</w:t>
          </w:r>
          <w:r w:rsidRPr="007F1CAA">
            <w:rPr>
              <w:bCs/>
            </w:rPr>
            <w:t>.</w:t>
          </w:r>
        </w:p>
      </w:sdtContent>
    </w:sdt>
    <w:sdt>
      <w:sdtPr>
        <w:rPr>
          <w:bCs/>
        </w:rPr>
        <w:tag w:val="goog_rdk_226"/>
        <w:id w:val="-1042200330"/>
      </w:sdtPr>
      <w:sdtContent>
        <w:p w14:paraId="18F0EE23" w14:textId="77777777" w:rsidR="006F1271" w:rsidRDefault="006F1271" w:rsidP="00080569">
          <w:pPr>
            <w:spacing w:after="0" w:line="480" w:lineRule="auto"/>
            <w:jc w:val="both"/>
            <w:rPr>
              <w:bCs/>
            </w:rPr>
          </w:pPr>
        </w:p>
        <w:p w14:paraId="000000B1" w14:textId="1E011435" w:rsidR="00985107" w:rsidRPr="007F1CAA" w:rsidRDefault="00411C03" w:rsidP="00080569">
          <w:pPr>
            <w:spacing w:after="0" w:line="480" w:lineRule="auto"/>
            <w:jc w:val="both"/>
            <w:rPr>
              <w:bCs/>
            </w:rPr>
          </w:pPr>
          <w:r w:rsidRPr="007F1CAA">
            <w:rPr>
              <w:bCs/>
            </w:rPr>
            <w:t xml:space="preserve">Codd, Helen. </w:t>
          </w:r>
          <w:r w:rsidRPr="00A1537F">
            <w:rPr>
              <w:bCs/>
              <w:i/>
              <w:iCs/>
            </w:rPr>
            <w:t>In the Shadow of Prison: Families, Imprisonment and Criminal Justice</w:t>
          </w:r>
          <w:r w:rsidR="00A1537F">
            <w:rPr>
              <w:bCs/>
            </w:rPr>
            <w:t xml:space="preserve"> (</w:t>
          </w:r>
          <w:r w:rsidRPr="007F1CAA">
            <w:rPr>
              <w:bCs/>
            </w:rPr>
            <w:t>Routledge, 2008</w:t>
          </w:r>
          <w:r w:rsidR="00A1537F">
            <w:rPr>
              <w:bCs/>
            </w:rPr>
            <w:t>)</w:t>
          </w:r>
          <w:r w:rsidRPr="007F1CAA">
            <w:rPr>
              <w:bCs/>
            </w:rPr>
            <w:t>.</w:t>
          </w:r>
        </w:p>
      </w:sdtContent>
    </w:sdt>
    <w:sdt>
      <w:sdtPr>
        <w:rPr>
          <w:bCs/>
        </w:rPr>
        <w:tag w:val="goog_rdk_227"/>
        <w:id w:val="1647240195"/>
      </w:sdtPr>
      <w:sdtContent>
        <w:p w14:paraId="22AAC2DC" w14:textId="77777777" w:rsidR="006F1271" w:rsidRDefault="006F1271" w:rsidP="00080569">
          <w:pPr>
            <w:spacing w:after="0" w:line="480" w:lineRule="auto"/>
            <w:jc w:val="both"/>
            <w:rPr>
              <w:bCs/>
            </w:rPr>
          </w:pPr>
        </w:p>
        <w:p w14:paraId="000000B2" w14:textId="776DFE08" w:rsidR="00985107" w:rsidRPr="007F1CAA" w:rsidRDefault="00411C03" w:rsidP="00080569">
          <w:pPr>
            <w:spacing w:after="0" w:line="480" w:lineRule="auto"/>
            <w:jc w:val="both"/>
            <w:rPr>
              <w:bCs/>
            </w:rPr>
          </w:pPr>
          <w:r w:rsidRPr="007F1CAA">
            <w:rPr>
              <w:bCs/>
            </w:rPr>
            <w:t xml:space="preserve">Corcoran, Mary. </w:t>
          </w:r>
          <w:r w:rsidRPr="00A1537F">
            <w:rPr>
              <w:bCs/>
              <w:i/>
              <w:iCs/>
            </w:rPr>
            <w:t>Out of Order: The political imprisonment of women in Northern Ireland 1972-1998</w:t>
          </w:r>
          <w:r w:rsidR="00A1537F">
            <w:rPr>
              <w:bCs/>
            </w:rPr>
            <w:t xml:space="preserve"> (</w:t>
          </w:r>
          <w:r w:rsidRPr="007F1CAA">
            <w:rPr>
              <w:bCs/>
            </w:rPr>
            <w:t>Cullompton, UK: Willan Publishing, 2006</w:t>
          </w:r>
          <w:r w:rsidR="00A1537F">
            <w:rPr>
              <w:bCs/>
            </w:rPr>
            <w:t>)</w:t>
          </w:r>
          <w:r w:rsidRPr="007F1CAA">
            <w:rPr>
              <w:bCs/>
            </w:rPr>
            <w:t>.</w:t>
          </w:r>
        </w:p>
      </w:sdtContent>
    </w:sdt>
    <w:sdt>
      <w:sdtPr>
        <w:rPr>
          <w:bCs/>
        </w:rPr>
        <w:tag w:val="goog_rdk_228"/>
        <w:id w:val="-1558394816"/>
      </w:sdtPr>
      <w:sdtContent>
        <w:p w14:paraId="4E46D357" w14:textId="77777777" w:rsidR="006F1271" w:rsidRDefault="006F1271" w:rsidP="00080569">
          <w:pPr>
            <w:spacing w:after="0" w:line="480" w:lineRule="auto"/>
            <w:jc w:val="both"/>
            <w:rPr>
              <w:bCs/>
            </w:rPr>
          </w:pPr>
        </w:p>
        <w:p w14:paraId="287BB7A9" w14:textId="51B76CBF" w:rsidR="004E1F66" w:rsidRDefault="00411C03" w:rsidP="00080569">
          <w:pPr>
            <w:spacing w:after="0" w:line="480" w:lineRule="auto"/>
            <w:jc w:val="both"/>
            <w:rPr>
              <w:bCs/>
            </w:rPr>
          </w:pPr>
          <w:r w:rsidRPr="007F1CAA">
            <w:rPr>
              <w:bCs/>
            </w:rPr>
            <w:t xml:space="preserve">Dagan, </w:t>
          </w:r>
          <w:proofErr w:type="spellStart"/>
          <w:r w:rsidRPr="007F1CAA">
            <w:rPr>
              <w:bCs/>
            </w:rPr>
            <w:t>Hanoch</w:t>
          </w:r>
          <w:proofErr w:type="spellEnd"/>
          <w:r w:rsidRPr="007F1CAA">
            <w:rPr>
              <w:bCs/>
            </w:rPr>
            <w:t xml:space="preserve">. “The Realist Conception of Law”, </w:t>
          </w:r>
          <w:r w:rsidRPr="00A1537F">
            <w:rPr>
              <w:bCs/>
              <w:i/>
              <w:iCs/>
            </w:rPr>
            <w:t>The University of Toronto Law Journal</w:t>
          </w:r>
          <w:r w:rsidRPr="007F1CAA">
            <w:rPr>
              <w:bCs/>
            </w:rPr>
            <w:t xml:space="preserve"> (2007): 607-660.</w:t>
          </w:r>
        </w:p>
        <w:p w14:paraId="04D3AE56" w14:textId="77777777" w:rsidR="00A1537F" w:rsidRDefault="00A1537F" w:rsidP="00080569">
          <w:pPr>
            <w:spacing w:after="0" w:line="480" w:lineRule="auto"/>
            <w:jc w:val="both"/>
            <w:rPr>
              <w:bCs/>
            </w:rPr>
          </w:pPr>
        </w:p>
        <w:p w14:paraId="04CFADDB" w14:textId="5E19D0AD" w:rsidR="006F1271" w:rsidRDefault="00411C03" w:rsidP="00080569">
          <w:pPr>
            <w:spacing w:after="0" w:line="480" w:lineRule="auto"/>
            <w:jc w:val="both"/>
            <w:rPr>
              <w:bCs/>
            </w:rPr>
          </w:pPr>
          <w:r w:rsidRPr="007F1CAA">
            <w:rPr>
              <w:bCs/>
            </w:rPr>
            <w:t xml:space="preserve">Dean, Mitchell. </w:t>
          </w:r>
          <w:r w:rsidRPr="00A1537F">
            <w:rPr>
              <w:bCs/>
              <w:i/>
              <w:iCs/>
            </w:rPr>
            <w:t>Governmentality: Power and Rule in Modern Society</w:t>
          </w:r>
          <w:r w:rsidRPr="007F1CAA">
            <w:rPr>
              <w:bCs/>
            </w:rPr>
            <w:t>.</w:t>
          </w:r>
          <w:r w:rsidR="00A1537F">
            <w:rPr>
              <w:bCs/>
            </w:rPr>
            <w:t xml:space="preserve"> </w:t>
          </w:r>
          <w:r w:rsidRPr="007F1CAA">
            <w:rPr>
              <w:bCs/>
            </w:rPr>
            <w:t>2</w:t>
          </w:r>
          <w:r w:rsidRPr="00A1537F">
            <w:rPr>
              <w:bCs/>
              <w:vertAlign w:val="superscript"/>
            </w:rPr>
            <w:t>nd</w:t>
          </w:r>
          <w:r w:rsidR="00A1537F">
            <w:rPr>
              <w:bCs/>
            </w:rPr>
            <w:t xml:space="preserve"> Edition (</w:t>
          </w:r>
          <w:r w:rsidRPr="007F1CAA">
            <w:rPr>
              <w:bCs/>
            </w:rPr>
            <w:t>Los Angeles: Sage, 2010</w:t>
          </w:r>
          <w:r w:rsidR="00A1537F">
            <w:rPr>
              <w:bCs/>
            </w:rPr>
            <w:t>)</w:t>
          </w:r>
          <w:r w:rsidRPr="007F1CAA">
            <w:rPr>
              <w:bCs/>
            </w:rPr>
            <w:t>.</w:t>
          </w:r>
        </w:p>
        <w:p w14:paraId="000000B3" w14:textId="787A3EFF" w:rsidR="00985107" w:rsidRPr="007F1CAA" w:rsidRDefault="00A1537F" w:rsidP="00080569">
          <w:pPr>
            <w:spacing w:after="0" w:line="480" w:lineRule="auto"/>
            <w:jc w:val="both"/>
            <w:rPr>
              <w:bCs/>
            </w:rPr>
          </w:pPr>
        </w:p>
      </w:sdtContent>
    </w:sdt>
    <w:sdt>
      <w:sdtPr>
        <w:rPr>
          <w:bCs/>
        </w:rPr>
        <w:tag w:val="goog_rdk_229"/>
        <w:id w:val="-1588532254"/>
      </w:sdtPr>
      <w:sdtContent>
        <w:p w14:paraId="000000B4" w14:textId="1075614F"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Dunn, Peter. “Slipping off the Equalities Agenda: Work with LGBT Prisoners”</w:t>
          </w:r>
          <w:r w:rsidR="00A1537F">
            <w:rPr>
              <w:bCs/>
              <w:color w:val="000000"/>
            </w:rPr>
            <w:t xml:space="preserve">, </w:t>
          </w:r>
          <w:r w:rsidRPr="00A1537F">
            <w:rPr>
              <w:bCs/>
              <w:i/>
              <w:iCs/>
              <w:color w:val="000000"/>
            </w:rPr>
            <w:t>Prison Service Journal</w:t>
          </w:r>
          <w:r w:rsidRPr="007F1CAA">
            <w:rPr>
              <w:bCs/>
              <w:color w:val="000000"/>
            </w:rPr>
            <w:t xml:space="preserve"> 206, (2013): 3-10.</w:t>
          </w:r>
        </w:p>
      </w:sdtContent>
    </w:sdt>
    <w:sdt>
      <w:sdtPr>
        <w:rPr>
          <w:bCs/>
        </w:rPr>
        <w:tag w:val="goog_rdk_230"/>
        <w:id w:val="-1437051087"/>
      </w:sdtPr>
      <w:sdtContent>
        <w:p w14:paraId="6BC3B26B" w14:textId="77777777" w:rsidR="006F1271" w:rsidRDefault="006F1271" w:rsidP="00080569">
          <w:pPr>
            <w:spacing w:after="0" w:line="480" w:lineRule="auto"/>
            <w:jc w:val="both"/>
            <w:rPr>
              <w:bCs/>
            </w:rPr>
          </w:pPr>
        </w:p>
        <w:p w14:paraId="000000B5" w14:textId="66E9D4FA" w:rsidR="00985107" w:rsidRPr="007F1CAA" w:rsidRDefault="00411C03" w:rsidP="00080569">
          <w:pPr>
            <w:spacing w:after="0" w:line="480" w:lineRule="auto"/>
            <w:jc w:val="both"/>
            <w:rPr>
              <w:bCs/>
            </w:rPr>
          </w:pPr>
          <w:r w:rsidRPr="007F1CAA">
            <w:rPr>
              <w:bCs/>
            </w:rPr>
            <w:t>Emerton, Robyn, “Transgender prisoners: law, prison administration, and the emerging tension between human rights and risk”</w:t>
          </w:r>
          <w:r w:rsidR="00A1537F">
            <w:rPr>
              <w:bCs/>
            </w:rPr>
            <w:t xml:space="preserve"> (</w:t>
          </w:r>
          <w:r w:rsidRPr="007F1CAA">
            <w:rPr>
              <w:bCs/>
            </w:rPr>
            <w:t>PhD diss., Keele University, 2018</w:t>
          </w:r>
          <w:r w:rsidR="00A1537F">
            <w:rPr>
              <w:bCs/>
            </w:rPr>
            <w:t>)</w:t>
          </w:r>
          <w:r w:rsidRPr="007F1CAA">
            <w:rPr>
              <w:bCs/>
            </w:rPr>
            <w:t>.</w:t>
          </w:r>
        </w:p>
      </w:sdtContent>
    </w:sdt>
    <w:sdt>
      <w:sdtPr>
        <w:rPr>
          <w:bCs/>
        </w:rPr>
        <w:tag w:val="goog_rdk_231"/>
        <w:id w:val="1140461678"/>
      </w:sdtPr>
      <w:sdtContent>
        <w:p w14:paraId="26EC09B5" w14:textId="77777777" w:rsidR="006F1271" w:rsidRDefault="006F1271" w:rsidP="00080569">
          <w:pPr>
            <w:spacing w:after="0" w:line="480" w:lineRule="auto"/>
            <w:jc w:val="both"/>
            <w:rPr>
              <w:bCs/>
            </w:rPr>
          </w:pPr>
        </w:p>
        <w:p w14:paraId="000000B6" w14:textId="09DD918D" w:rsidR="00985107" w:rsidRPr="007F1CAA" w:rsidRDefault="00411C03" w:rsidP="00080569">
          <w:pPr>
            <w:spacing w:after="0" w:line="480" w:lineRule="auto"/>
            <w:jc w:val="both"/>
            <w:rPr>
              <w:bCs/>
            </w:rPr>
          </w:pPr>
          <w:r w:rsidRPr="007F1CAA">
            <w:rPr>
              <w:bCs/>
            </w:rPr>
            <w:t xml:space="preserve">Foucault, Michel. </w:t>
          </w:r>
          <w:r w:rsidRPr="00A1537F">
            <w:rPr>
              <w:bCs/>
              <w:i/>
              <w:iCs/>
            </w:rPr>
            <w:t>Discipline and Punish</w:t>
          </w:r>
          <w:r w:rsidR="00A1537F">
            <w:rPr>
              <w:bCs/>
            </w:rPr>
            <w:t xml:space="preserve"> (</w:t>
          </w:r>
          <w:r w:rsidRPr="007F1CAA">
            <w:rPr>
              <w:bCs/>
            </w:rPr>
            <w:t>London: Penguin Books, [1977] 1991</w:t>
          </w:r>
          <w:r w:rsidR="00A1537F">
            <w:rPr>
              <w:bCs/>
            </w:rPr>
            <w:t>)</w:t>
          </w:r>
          <w:r w:rsidRPr="007F1CAA">
            <w:rPr>
              <w:bCs/>
            </w:rPr>
            <w:t>.</w:t>
          </w:r>
        </w:p>
      </w:sdtContent>
    </w:sdt>
    <w:sdt>
      <w:sdtPr>
        <w:rPr>
          <w:bCs/>
        </w:rPr>
        <w:tag w:val="goog_rdk_232"/>
        <w:id w:val="-1443989700"/>
      </w:sdtPr>
      <w:sdtContent>
        <w:p w14:paraId="6BB4B725" w14:textId="77777777" w:rsidR="006F1271" w:rsidRDefault="006F1271" w:rsidP="00080569">
          <w:pPr>
            <w:spacing w:after="0" w:line="480" w:lineRule="auto"/>
            <w:jc w:val="both"/>
            <w:rPr>
              <w:bCs/>
            </w:rPr>
          </w:pPr>
        </w:p>
        <w:p w14:paraId="34E1EC84" w14:textId="1425794F" w:rsidR="006F1271" w:rsidRDefault="00411C03" w:rsidP="00080569">
          <w:pPr>
            <w:spacing w:after="0" w:line="480" w:lineRule="auto"/>
            <w:jc w:val="both"/>
            <w:rPr>
              <w:bCs/>
            </w:rPr>
          </w:pPr>
          <w:r w:rsidRPr="007F1CAA">
            <w:rPr>
              <w:bCs/>
            </w:rPr>
            <w:t xml:space="preserve">Foucault, Michel. “Governmentality” In </w:t>
          </w:r>
          <w:proofErr w:type="gramStart"/>
          <w:r w:rsidRPr="00A1537F">
            <w:rPr>
              <w:bCs/>
              <w:i/>
              <w:iCs/>
            </w:rPr>
            <w:t>The</w:t>
          </w:r>
          <w:proofErr w:type="gramEnd"/>
          <w:r w:rsidRPr="00A1537F">
            <w:rPr>
              <w:bCs/>
              <w:i/>
              <w:iCs/>
            </w:rPr>
            <w:t xml:space="preserve"> Foucault Effect: Studies in Governmentality: with two Lectures by and an Interview with Michel Foucault</w:t>
          </w:r>
          <w:r w:rsidRPr="007F1CAA">
            <w:rPr>
              <w:bCs/>
            </w:rPr>
            <w:t xml:space="preserve"> edited by Graham Burchell, Colin </w:t>
          </w:r>
        </w:p>
        <w:p w14:paraId="000000B7" w14:textId="6B87A016" w:rsidR="00985107" w:rsidRPr="007F1CAA" w:rsidRDefault="00411C03" w:rsidP="00080569">
          <w:pPr>
            <w:spacing w:after="0" w:line="480" w:lineRule="auto"/>
            <w:jc w:val="both"/>
            <w:rPr>
              <w:bCs/>
            </w:rPr>
          </w:pPr>
          <w:r w:rsidRPr="007F1CAA">
            <w:rPr>
              <w:bCs/>
            </w:rPr>
            <w:t>Gordon and Peter Miller 87-104</w:t>
          </w:r>
          <w:r w:rsidR="00A1537F">
            <w:rPr>
              <w:bCs/>
            </w:rPr>
            <w:t xml:space="preserve"> (</w:t>
          </w:r>
          <w:r w:rsidRPr="007F1CAA">
            <w:rPr>
              <w:bCs/>
            </w:rPr>
            <w:t>Chicago: University of Chicago Press, 1991</w:t>
          </w:r>
          <w:r w:rsidR="00A1537F">
            <w:rPr>
              <w:bCs/>
            </w:rPr>
            <w:t>)</w:t>
          </w:r>
          <w:r w:rsidRPr="007F1CAA">
            <w:rPr>
              <w:bCs/>
            </w:rPr>
            <w:t>.</w:t>
          </w:r>
        </w:p>
      </w:sdtContent>
    </w:sdt>
    <w:sdt>
      <w:sdtPr>
        <w:rPr>
          <w:bCs/>
        </w:rPr>
        <w:tag w:val="goog_rdk_233"/>
        <w:id w:val="-1641106358"/>
      </w:sdtPr>
      <w:sdtContent>
        <w:p w14:paraId="321FAB34" w14:textId="77777777" w:rsidR="006F1271" w:rsidRDefault="006F1271" w:rsidP="00080569">
          <w:pPr>
            <w:spacing w:after="0" w:line="480" w:lineRule="auto"/>
            <w:jc w:val="both"/>
            <w:rPr>
              <w:bCs/>
            </w:rPr>
          </w:pPr>
        </w:p>
        <w:p w14:paraId="000000B8" w14:textId="5C9BC2E5" w:rsidR="00985107" w:rsidRPr="007F1CAA" w:rsidRDefault="00411C03" w:rsidP="00080569">
          <w:pPr>
            <w:spacing w:after="0" w:line="480" w:lineRule="auto"/>
            <w:jc w:val="both"/>
            <w:rPr>
              <w:bCs/>
            </w:rPr>
          </w:pPr>
          <w:r w:rsidRPr="007F1CAA">
            <w:rPr>
              <w:bCs/>
            </w:rPr>
            <w:t xml:space="preserve">Foucault, Michel. </w:t>
          </w:r>
          <w:r w:rsidRPr="00A1537F">
            <w:rPr>
              <w:bCs/>
              <w:i/>
              <w:iCs/>
            </w:rPr>
            <w:t>Society Must Be Defended</w:t>
          </w:r>
          <w:r w:rsidR="00A1537F">
            <w:rPr>
              <w:bCs/>
            </w:rPr>
            <w:t xml:space="preserve"> (</w:t>
          </w:r>
          <w:r w:rsidRPr="007F1CAA">
            <w:rPr>
              <w:bCs/>
            </w:rPr>
            <w:t>London: Penguin Books, 2004</w:t>
          </w:r>
          <w:r w:rsidR="00A1537F">
            <w:rPr>
              <w:bCs/>
            </w:rPr>
            <w:t>)</w:t>
          </w:r>
          <w:r w:rsidRPr="007F1CAA">
            <w:rPr>
              <w:bCs/>
            </w:rPr>
            <w:t>.</w:t>
          </w:r>
        </w:p>
      </w:sdtContent>
    </w:sdt>
    <w:sdt>
      <w:sdtPr>
        <w:rPr>
          <w:bCs/>
        </w:rPr>
        <w:tag w:val="goog_rdk_234"/>
        <w:id w:val="-867214383"/>
      </w:sdtPr>
      <w:sdtContent>
        <w:p w14:paraId="53653266" w14:textId="77777777" w:rsidR="006F1271" w:rsidRDefault="006F1271" w:rsidP="00080569">
          <w:pPr>
            <w:spacing w:after="0" w:line="480" w:lineRule="auto"/>
            <w:jc w:val="both"/>
            <w:rPr>
              <w:bCs/>
            </w:rPr>
          </w:pPr>
        </w:p>
        <w:p w14:paraId="000000B9" w14:textId="6A863552" w:rsidR="00985107" w:rsidRPr="007F1CAA" w:rsidRDefault="00411C03" w:rsidP="00080569">
          <w:pPr>
            <w:spacing w:after="0" w:line="480" w:lineRule="auto"/>
            <w:jc w:val="both"/>
            <w:rPr>
              <w:bCs/>
            </w:rPr>
          </w:pPr>
          <w:r w:rsidRPr="007F1CAA">
            <w:rPr>
              <w:bCs/>
            </w:rPr>
            <w:t xml:space="preserve">Foucault, Michel. </w:t>
          </w:r>
          <w:r w:rsidRPr="00A1537F">
            <w:rPr>
              <w:bCs/>
              <w:i/>
              <w:iCs/>
            </w:rPr>
            <w:t>The Birth of Biopolitics: Lectures at the Collège de France, 1978-1979</w:t>
          </w:r>
          <w:r w:rsidR="00A1537F">
            <w:rPr>
              <w:bCs/>
            </w:rPr>
            <w:t xml:space="preserve"> (</w:t>
          </w:r>
          <w:r w:rsidRPr="007F1CAA">
            <w:rPr>
              <w:bCs/>
            </w:rPr>
            <w:t>Basingstoke: Palgrave Macmillan, 2008</w:t>
          </w:r>
          <w:r w:rsidR="00A1537F">
            <w:rPr>
              <w:bCs/>
            </w:rPr>
            <w:t>)</w:t>
          </w:r>
          <w:r w:rsidRPr="007F1CAA">
            <w:rPr>
              <w:bCs/>
            </w:rPr>
            <w:t>.</w:t>
          </w:r>
        </w:p>
      </w:sdtContent>
    </w:sdt>
    <w:sdt>
      <w:sdtPr>
        <w:rPr>
          <w:bCs/>
        </w:rPr>
        <w:tag w:val="goog_rdk_235"/>
        <w:id w:val="-896743167"/>
      </w:sdtPr>
      <w:sdtContent>
        <w:p w14:paraId="21FC85E8" w14:textId="77777777" w:rsidR="006F1271" w:rsidRDefault="006F1271" w:rsidP="00080569">
          <w:pPr>
            <w:spacing w:after="0" w:line="480" w:lineRule="auto"/>
            <w:jc w:val="both"/>
            <w:rPr>
              <w:bCs/>
            </w:rPr>
          </w:pPr>
        </w:p>
        <w:p w14:paraId="000000BA" w14:textId="5F76BD7A" w:rsidR="00985107" w:rsidRPr="007F1CAA" w:rsidRDefault="00411C03" w:rsidP="00080569">
          <w:pPr>
            <w:spacing w:after="0" w:line="480" w:lineRule="auto"/>
            <w:jc w:val="both"/>
            <w:rPr>
              <w:bCs/>
            </w:rPr>
          </w:pPr>
          <w:r w:rsidRPr="007F1CAA">
            <w:rPr>
              <w:bCs/>
            </w:rPr>
            <w:t xml:space="preserve">Gilmore, Ruth Wilson. </w:t>
          </w:r>
          <w:r w:rsidRPr="00A1537F">
            <w:rPr>
              <w:bCs/>
              <w:i/>
              <w:iCs/>
            </w:rPr>
            <w:t>Golden Gulag: Prisons, Surplus, Crisis and Opposition in Globalising California</w:t>
          </w:r>
          <w:r w:rsidR="00A1537F">
            <w:rPr>
              <w:bCs/>
            </w:rPr>
            <w:t xml:space="preserve"> (</w:t>
          </w:r>
          <w:r w:rsidRPr="007F1CAA">
            <w:rPr>
              <w:bCs/>
            </w:rPr>
            <w:t>University of California Press, 2007</w:t>
          </w:r>
          <w:r w:rsidR="00A1537F">
            <w:rPr>
              <w:bCs/>
            </w:rPr>
            <w:t xml:space="preserve">). </w:t>
          </w:r>
        </w:p>
      </w:sdtContent>
    </w:sdt>
    <w:sdt>
      <w:sdtPr>
        <w:rPr>
          <w:bCs/>
        </w:rPr>
        <w:tag w:val="goog_rdk_236"/>
        <w:id w:val="-2085746624"/>
      </w:sdtPr>
      <w:sdtContent>
        <w:p w14:paraId="6102FB13" w14:textId="77777777" w:rsidR="006F1271" w:rsidRDefault="006F1271" w:rsidP="00080569">
          <w:pPr>
            <w:spacing w:after="0" w:line="480" w:lineRule="auto"/>
            <w:jc w:val="both"/>
            <w:rPr>
              <w:bCs/>
            </w:rPr>
          </w:pPr>
        </w:p>
        <w:p w14:paraId="6C9AD1E5" w14:textId="45B04B80" w:rsidR="006F1271" w:rsidRDefault="00411C03" w:rsidP="00080569">
          <w:pPr>
            <w:spacing w:after="0" w:line="480" w:lineRule="auto"/>
            <w:jc w:val="both"/>
            <w:rPr>
              <w:bCs/>
            </w:rPr>
          </w:pPr>
          <w:proofErr w:type="spellStart"/>
          <w:r w:rsidRPr="007F1CAA">
            <w:rPr>
              <w:bCs/>
            </w:rPr>
            <w:t>Girshick</w:t>
          </w:r>
          <w:proofErr w:type="spellEnd"/>
          <w:r w:rsidRPr="007F1CAA">
            <w:rPr>
              <w:bCs/>
            </w:rPr>
            <w:t xml:space="preserve">, Lori. </w:t>
          </w:r>
          <w:r w:rsidR="00A1537F">
            <w:rPr>
              <w:bCs/>
            </w:rPr>
            <w:t>“</w:t>
          </w:r>
          <w:r w:rsidRPr="007F1CAA">
            <w:rPr>
              <w:bCs/>
            </w:rPr>
            <w:t>Out of Compliance: Masculine-Identified People in Women’s Prisons</w:t>
          </w:r>
          <w:r w:rsidR="00A1537F">
            <w:rPr>
              <w:bCs/>
            </w:rPr>
            <w:t>”.</w:t>
          </w:r>
          <w:r w:rsidRPr="007F1CAA">
            <w:rPr>
              <w:bCs/>
            </w:rPr>
            <w:t xml:space="preserve"> In </w:t>
          </w:r>
          <w:r w:rsidRPr="00A1537F">
            <w:rPr>
              <w:bCs/>
              <w:i/>
              <w:iCs/>
            </w:rPr>
            <w:t>Captive Genders: Trans Embodiment and the Prison Industrial Complex</w:t>
          </w:r>
          <w:r w:rsidR="00A1537F">
            <w:rPr>
              <w:bCs/>
            </w:rPr>
            <w:t xml:space="preserve"> e</w:t>
          </w:r>
          <w:r w:rsidRPr="007F1CAA">
            <w:rPr>
              <w:bCs/>
            </w:rPr>
            <w:t xml:space="preserve">dited by Eric A </w:t>
          </w:r>
        </w:p>
        <w:p w14:paraId="000000BB" w14:textId="517C1056" w:rsidR="00985107" w:rsidRPr="007F1CAA" w:rsidRDefault="00411C03" w:rsidP="00080569">
          <w:pPr>
            <w:spacing w:after="0" w:line="480" w:lineRule="auto"/>
            <w:jc w:val="both"/>
            <w:rPr>
              <w:bCs/>
            </w:rPr>
          </w:pPr>
          <w:r w:rsidRPr="007F1CAA">
            <w:rPr>
              <w:bCs/>
            </w:rPr>
            <w:t>Stanley and Nat Smith 215-234</w:t>
          </w:r>
          <w:r w:rsidR="00A1537F">
            <w:rPr>
              <w:bCs/>
            </w:rPr>
            <w:t xml:space="preserve"> (</w:t>
          </w:r>
          <w:r w:rsidRPr="007F1CAA">
            <w:rPr>
              <w:bCs/>
            </w:rPr>
            <w:t>Edinburgh, UK, Oakland, CA: AK Press, 2011</w:t>
          </w:r>
          <w:r w:rsidR="00A1537F">
            <w:rPr>
              <w:bCs/>
            </w:rPr>
            <w:t>)</w:t>
          </w:r>
          <w:r w:rsidRPr="007F1CAA">
            <w:rPr>
              <w:bCs/>
            </w:rPr>
            <w:t>.</w:t>
          </w:r>
        </w:p>
      </w:sdtContent>
    </w:sdt>
    <w:sdt>
      <w:sdtPr>
        <w:rPr>
          <w:bCs/>
        </w:rPr>
        <w:tag w:val="goog_rdk_237"/>
        <w:id w:val="-1132780606"/>
      </w:sdtPr>
      <w:sdtContent>
        <w:p w14:paraId="7E2868BC" w14:textId="77777777" w:rsidR="006F1271" w:rsidRDefault="006F1271" w:rsidP="00080569">
          <w:pPr>
            <w:spacing w:after="0" w:line="480" w:lineRule="auto"/>
            <w:jc w:val="both"/>
            <w:rPr>
              <w:bCs/>
            </w:rPr>
          </w:pPr>
        </w:p>
        <w:p w14:paraId="000000BC" w14:textId="23E5DFE3" w:rsidR="00985107" w:rsidRPr="007F1CAA" w:rsidRDefault="00411C03" w:rsidP="00080569">
          <w:pPr>
            <w:spacing w:after="0" w:line="480" w:lineRule="auto"/>
            <w:jc w:val="both"/>
            <w:rPr>
              <w:bCs/>
            </w:rPr>
          </w:pPr>
          <w:proofErr w:type="spellStart"/>
          <w:r w:rsidRPr="007F1CAA">
            <w:rPr>
              <w:bCs/>
            </w:rPr>
            <w:lastRenderedPageBreak/>
            <w:t>Gorz</w:t>
          </w:r>
          <w:proofErr w:type="spellEnd"/>
          <w:r w:rsidRPr="007F1CAA">
            <w:rPr>
              <w:bCs/>
            </w:rPr>
            <w:t xml:space="preserve">, Andre. ‘Strategy for Labour’’ in </w:t>
          </w:r>
          <w:r w:rsidRPr="00A1537F">
            <w:rPr>
              <w:bCs/>
              <w:i/>
              <w:iCs/>
            </w:rPr>
            <w:t>Theories of the labour Movement</w:t>
          </w:r>
          <w:r w:rsidRPr="007F1CAA">
            <w:rPr>
              <w:bCs/>
            </w:rPr>
            <w:t>. Edited by John Dunlop, Simeon Larson and Bruce Nissen 100-117</w:t>
          </w:r>
          <w:r w:rsidR="00A1537F">
            <w:rPr>
              <w:bCs/>
            </w:rPr>
            <w:t xml:space="preserve"> (</w:t>
          </w:r>
          <w:r w:rsidRPr="007F1CAA">
            <w:rPr>
              <w:bCs/>
            </w:rPr>
            <w:t>Detroit, USA: Wayne State University Press, 1987</w:t>
          </w:r>
          <w:r w:rsidR="00A1537F">
            <w:rPr>
              <w:bCs/>
            </w:rPr>
            <w:t>)</w:t>
          </w:r>
          <w:r w:rsidRPr="007F1CAA">
            <w:rPr>
              <w:bCs/>
            </w:rPr>
            <w:t xml:space="preserve">. </w:t>
          </w:r>
        </w:p>
      </w:sdtContent>
    </w:sdt>
    <w:sdt>
      <w:sdtPr>
        <w:rPr>
          <w:bCs/>
        </w:rPr>
        <w:tag w:val="goog_rdk_238"/>
        <w:id w:val="148026614"/>
      </w:sdtPr>
      <w:sdtContent>
        <w:p w14:paraId="0DF99CE0" w14:textId="77777777" w:rsidR="006F1271" w:rsidRDefault="006F1271" w:rsidP="00080569">
          <w:pPr>
            <w:spacing w:after="0" w:line="480" w:lineRule="auto"/>
            <w:jc w:val="both"/>
            <w:rPr>
              <w:bCs/>
            </w:rPr>
          </w:pPr>
        </w:p>
        <w:p w14:paraId="000000BD" w14:textId="22EE6410" w:rsidR="00985107" w:rsidRPr="007F1CAA" w:rsidRDefault="00411C03" w:rsidP="00080569">
          <w:pPr>
            <w:spacing w:after="0" w:line="480" w:lineRule="auto"/>
            <w:jc w:val="both"/>
            <w:rPr>
              <w:bCs/>
            </w:rPr>
          </w:pPr>
          <w:r w:rsidRPr="007F1CAA">
            <w:rPr>
              <w:bCs/>
            </w:rPr>
            <w:t>Hannah-</w:t>
          </w:r>
          <w:proofErr w:type="spellStart"/>
          <w:r w:rsidRPr="007F1CAA">
            <w:rPr>
              <w:bCs/>
            </w:rPr>
            <w:t>Moffat</w:t>
          </w:r>
          <w:proofErr w:type="spellEnd"/>
          <w:r w:rsidRPr="007F1CAA">
            <w:rPr>
              <w:bCs/>
            </w:rPr>
            <w:t xml:space="preserve">, Kelly. </w:t>
          </w:r>
          <w:r w:rsidRPr="00A1537F">
            <w:rPr>
              <w:bCs/>
              <w:i/>
              <w:iCs/>
            </w:rPr>
            <w:t>Punishment in Disguise: Penal Governance and Federal Imprisonment of Women in Canada</w:t>
          </w:r>
          <w:r w:rsidR="00A1537F">
            <w:rPr>
              <w:bCs/>
            </w:rPr>
            <w:t xml:space="preserve"> (</w:t>
          </w:r>
          <w:r w:rsidRPr="007F1CAA">
            <w:rPr>
              <w:bCs/>
            </w:rPr>
            <w:t>Toronto, Canada: University of Toronto Press, 2001</w:t>
          </w:r>
          <w:r w:rsidR="00A1537F">
            <w:rPr>
              <w:bCs/>
            </w:rPr>
            <w:t>)</w:t>
          </w:r>
          <w:r w:rsidRPr="007F1CAA">
            <w:rPr>
              <w:bCs/>
            </w:rPr>
            <w:t xml:space="preserve">. </w:t>
          </w:r>
        </w:p>
      </w:sdtContent>
    </w:sdt>
    <w:sdt>
      <w:sdtPr>
        <w:rPr>
          <w:bCs/>
        </w:rPr>
        <w:tag w:val="goog_rdk_239"/>
        <w:id w:val="-1714413926"/>
      </w:sdtPr>
      <w:sdtContent>
        <w:p w14:paraId="01270B3F" w14:textId="77777777" w:rsidR="006F1271" w:rsidRDefault="006F1271" w:rsidP="00080569">
          <w:pPr>
            <w:pBdr>
              <w:top w:val="nil"/>
              <w:left w:val="nil"/>
              <w:bottom w:val="nil"/>
              <w:right w:val="nil"/>
              <w:between w:val="nil"/>
            </w:pBdr>
            <w:spacing w:after="0" w:line="480" w:lineRule="auto"/>
            <w:jc w:val="both"/>
            <w:rPr>
              <w:bCs/>
            </w:rPr>
          </w:pPr>
        </w:p>
        <w:p w14:paraId="2D5E99BC" w14:textId="77777777" w:rsidR="00A1537F" w:rsidRDefault="00411C03" w:rsidP="00080569">
          <w:pPr>
            <w:pBdr>
              <w:top w:val="nil"/>
              <w:left w:val="nil"/>
              <w:bottom w:val="nil"/>
              <w:right w:val="nil"/>
              <w:between w:val="nil"/>
            </w:pBdr>
            <w:spacing w:after="0" w:line="480" w:lineRule="auto"/>
            <w:jc w:val="both"/>
            <w:rPr>
              <w:bCs/>
              <w:color w:val="000000"/>
            </w:rPr>
          </w:pPr>
          <w:r w:rsidRPr="007F1CAA">
            <w:rPr>
              <w:bCs/>
              <w:color w:val="000000"/>
            </w:rPr>
            <w:t>Harris, Mia. “British prisons must now recognise gender fluid and non-binary inmates”</w:t>
          </w:r>
          <w:r w:rsidR="00A1537F">
            <w:rPr>
              <w:bCs/>
              <w:color w:val="000000"/>
            </w:rPr>
            <w:t xml:space="preserve">, </w:t>
          </w:r>
          <w:r w:rsidRPr="00A1537F">
            <w:rPr>
              <w:bCs/>
              <w:i/>
              <w:iCs/>
              <w:color w:val="000000"/>
            </w:rPr>
            <w:t>The Conversation</w:t>
          </w:r>
          <w:r w:rsidR="00A1537F">
            <w:rPr>
              <w:bCs/>
              <w:i/>
              <w:iCs/>
              <w:color w:val="000000"/>
            </w:rPr>
            <w:t>,</w:t>
          </w:r>
          <w:r w:rsidRPr="007F1CAA">
            <w:rPr>
              <w:bCs/>
              <w:color w:val="000000"/>
            </w:rPr>
            <w:t xml:space="preserve"> November </w:t>
          </w:r>
          <w:r w:rsidR="004E1F66">
            <w:rPr>
              <w:bCs/>
              <w:color w:val="000000"/>
            </w:rPr>
            <w:t xml:space="preserve">26, </w:t>
          </w:r>
          <w:r w:rsidRPr="007F1CAA">
            <w:rPr>
              <w:bCs/>
              <w:color w:val="000000"/>
            </w:rPr>
            <w:t>2016</w:t>
          </w:r>
          <w:r w:rsidR="006D712A">
            <w:rPr>
              <w:bCs/>
              <w:color w:val="000000"/>
            </w:rPr>
            <w:t>. Accessed M</w:t>
          </w:r>
          <w:r w:rsidR="004E1F66">
            <w:rPr>
              <w:bCs/>
              <w:color w:val="000000"/>
            </w:rPr>
            <w:t>arch 27, 2020,</w:t>
          </w:r>
        </w:p>
        <w:p w14:paraId="000000BE" w14:textId="4C522377" w:rsidR="00985107" w:rsidRPr="007F1CAA" w:rsidRDefault="00A1537F" w:rsidP="00080569">
          <w:pPr>
            <w:pBdr>
              <w:top w:val="nil"/>
              <w:left w:val="nil"/>
              <w:bottom w:val="nil"/>
              <w:right w:val="nil"/>
              <w:between w:val="nil"/>
            </w:pBdr>
            <w:spacing w:after="0" w:line="480" w:lineRule="auto"/>
            <w:jc w:val="both"/>
            <w:rPr>
              <w:bCs/>
              <w:color w:val="000000"/>
            </w:rPr>
          </w:pPr>
          <w:hyperlink r:id="rId13" w:history="1">
            <w:r w:rsidRPr="00523610">
              <w:rPr>
                <w:rStyle w:val="Hyperlink"/>
                <w:bCs/>
              </w:rPr>
              <w:t>https://theconversation.com/profiles/mia-harris-288195</w:t>
            </w:r>
          </w:hyperlink>
          <w:r w:rsidR="00411C03" w:rsidRPr="007F1CAA">
            <w:rPr>
              <w:bCs/>
              <w:color w:val="000000"/>
            </w:rPr>
            <w:t>.</w:t>
          </w:r>
        </w:p>
      </w:sdtContent>
    </w:sdt>
    <w:sdt>
      <w:sdtPr>
        <w:rPr>
          <w:bCs/>
        </w:rPr>
        <w:tag w:val="goog_rdk_240"/>
        <w:id w:val="1274669009"/>
      </w:sdtPr>
      <w:sdtContent>
        <w:p w14:paraId="2B9AB494" w14:textId="77777777" w:rsidR="006F1271" w:rsidRDefault="006F1271" w:rsidP="00080569">
          <w:pPr>
            <w:pBdr>
              <w:top w:val="nil"/>
              <w:left w:val="nil"/>
              <w:bottom w:val="nil"/>
              <w:right w:val="nil"/>
              <w:between w:val="nil"/>
            </w:pBdr>
            <w:spacing w:after="0" w:line="480" w:lineRule="auto"/>
            <w:jc w:val="both"/>
            <w:rPr>
              <w:bCs/>
            </w:rPr>
          </w:pPr>
        </w:p>
        <w:p w14:paraId="000000BF" w14:textId="4A76645C" w:rsidR="00985107" w:rsidRPr="007F1CAA" w:rsidRDefault="00411C03" w:rsidP="00080569">
          <w:pPr>
            <w:pBdr>
              <w:top w:val="nil"/>
              <w:left w:val="nil"/>
              <w:bottom w:val="nil"/>
              <w:right w:val="nil"/>
              <w:between w:val="nil"/>
            </w:pBdr>
            <w:spacing w:after="0" w:line="480" w:lineRule="auto"/>
            <w:jc w:val="both"/>
            <w:rPr>
              <w:bCs/>
            </w:rPr>
          </w:pPr>
          <w:r w:rsidRPr="007F1CAA">
            <w:rPr>
              <w:bCs/>
            </w:rPr>
            <w:t xml:space="preserve">Harris, Mia and Robyn Emerton. “New Policy on Transgender Prisoners: Progressive but can Prisons Keep Pace?” </w:t>
          </w:r>
          <w:r w:rsidRPr="00A1537F">
            <w:rPr>
              <w:bCs/>
              <w:i/>
              <w:iCs/>
            </w:rPr>
            <w:t>Inherently Human</w:t>
          </w:r>
          <w:r w:rsidRPr="007F1CAA">
            <w:rPr>
              <w:bCs/>
            </w:rPr>
            <w:t>, Nov</w:t>
          </w:r>
          <w:r w:rsidR="004E1F66">
            <w:rPr>
              <w:bCs/>
            </w:rPr>
            <w:t>ember 21, 2</w:t>
          </w:r>
          <w:r w:rsidRPr="007F1CAA">
            <w:rPr>
              <w:bCs/>
            </w:rPr>
            <w:t>016</w:t>
          </w:r>
          <w:r w:rsidR="006D712A">
            <w:rPr>
              <w:bCs/>
            </w:rPr>
            <w:t>. Accessed M</w:t>
          </w:r>
          <w:r w:rsidR="004E1F66">
            <w:rPr>
              <w:bCs/>
            </w:rPr>
            <w:t xml:space="preserve">arch 27, 2020, </w:t>
          </w:r>
          <w:hyperlink r:id="rId14" w:history="1">
            <w:r w:rsidR="004E1F66" w:rsidRPr="00523610">
              <w:rPr>
                <w:rStyle w:val="Hyperlink"/>
                <w:bCs/>
              </w:rPr>
              <w:t>https://inherentlyhuman.wordpress.com/2016/11/21/new-policy-on-transgender-prisoners-progressive-but-can-prisons-keep-pace/</w:t>
            </w:r>
          </w:hyperlink>
          <w:r w:rsidRPr="007F1CAA">
            <w:rPr>
              <w:bCs/>
            </w:rPr>
            <w:t>.</w:t>
          </w:r>
        </w:p>
      </w:sdtContent>
    </w:sdt>
    <w:sdt>
      <w:sdtPr>
        <w:rPr>
          <w:bCs/>
        </w:rPr>
        <w:tag w:val="goog_rdk_241"/>
        <w:id w:val="-1532486138"/>
      </w:sdtPr>
      <w:sdtContent>
        <w:p w14:paraId="69A1C6B6" w14:textId="77777777" w:rsidR="006F1271" w:rsidRDefault="006F1271" w:rsidP="00080569">
          <w:pPr>
            <w:spacing w:after="0" w:line="480" w:lineRule="auto"/>
            <w:jc w:val="both"/>
            <w:rPr>
              <w:bCs/>
            </w:rPr>
          </w:pPr>
        </w:p>
        <w:p w14:paraId="000000C0" w14:textId="690E6E13" w:rsidR="00985107" w:rsidRPr="007F1CAA" w:rsidRDefault="00411C03" w:rsidP="00080569">
          <w:pPr>
            <w:spacing w:after="0" w:line="480" w:lineRule="auto"/>
            <w:jc w:val="both"/>
            <w:rPr>
              <w:bCs/>
            </w:rPr>
          </w:pPr>
          <w:proofErr w:type="spellStart"/>
          <w:r w:rsidRPr="007F1CAA">
            <w:rPr>
              <w:bCs/>
            </w:rPr>
            <w:t>Hepple</w:t>
          </w:r>
          <w:proofErr w:type="spellEnd"/>
          <w:r w:rsidRPr="007F1CAA">
            <w:rPr>
              <w:bCs/>
            </w:rPr>
            <w:t xml:space="preserve">, Bob,  “The New Single Equality Act in Britain”. </w:t>
          </w:r>
          <w:r w:rsidRPr="00A1537F">
            <w:rPr>
              <w:bCs/>
              <w:i/>
              <w:iCs/>
            </w:rPr>
            <w:t>The Equality Rights Review</w:t>
          </w:r>
          <w:r w:rsidRPr="007F1CAA">
            <w:rPr>
              <w:bCs/>
            </w:rPr>
            <w:t xml:space="preserve"> (2010): 11-24.</w:t>
          </w:r>
        </w:p>
      </w:sdtContent>
    </w:sdt>
    <w:sdt>
      <w:sdtPr>
        <w:rPr>
          <w:bCs/>
        </w:rPr>
        <w:tag w:val="goog_rdk_242"/>
        <w:id w:val="653955227"/>
      </w:sdtPr>
      <w:sdtContent>
        <w:p w14:paraId="091DC453" w14:textId="77777777" w:rsidR="006F1271" w:rsidRDefault="006F1271" w:rsidP="00080569">
          <w:pPr>
            <w:pBdr>
              <w:top w:val="nil"/>
              <w:left w:val="nil"/>
              <w:bottom w:val="nil"/>
              <w:right w:val="nil"/>
              <w:between w:val="nil"/>
            </w:pBdr>
            <w:spacing w:after="0" w:line="480" w:lineRule="auto"/>
            <w:jc w:val="both"/>
            <w:rPr>
              <w:bCs/>
            </w:rPr>
          </w:pPr>
        </w:p>
        <w:p w14:paraId="000000C1" w14:textId="28CEFAE4"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James, Erwin. “Homophobia is still rife in UK prisons”. </w:t>
          </w:r>
          <w:r w:rsidRPr="004E1F66">
            <w:rPr>
              <w:bCs/>
              <w:i/>
              <w:iCs/>
              <w:color w:val="000000"/>
            </w:rPr>
            <w:t>The Guardian</w:t>
          </w:r>
          <w:r w:rsidR="004E1F66">
            <w:rPr>
              <w:bCs/>
              <w:color w:val="000000"/>
            </w:rPr>
            <w:t xml:space="preserve">, </w:t>
          </w:r>
          <w:r w:rsidRPr="007F1CAA">
            <w:rPr>
              <w:bCs/>
              <w:color w:val="000000"/>
            </w:rPr>
            <w:t>September</w:t>
          </w:r>
          <w:r w:rsidR="004E1F66">
            <w:rPr>
              <w:bCs/>
              <w:color w:val="000000"/>
            </w:rPr>
            <w:t xml:space="preserve"> 25,</w:t>
          </w:r>
          <w:r w:rsidRPr="007F1CAA">
            <w:rPr>
              <w:bCs/>
              <w:color w:val="000000"/>
            </w:rPr>
            <w:t xml:space="preserve"> 2012</w:t>
          </w:r>
          <w:r w:rsidR="006D712A">
            <w:rPr>
              <w:bCs/>
              <w:color w:val="000000"/>
            </w:rPr>
            <w:t xml:space="preserve">. Accessed </w:t>
          </w:r>
          <w:r w:rsidR="004E1F66">
            <w:rPr>
              <w:bCs/>
              <w:color w:val="000000"/>
            </w:rPr>
            <w:t xml:space="preserve">March 27, 2020, </w:t>
          </w:r>
          <w:hyperlink r:id="rId15">
            <w:r w:rsidRPr="007F1CAA">
              <w:rPr>
                <w:bCs/>
                <w:color w:val="0000FF"/>
              </w:rPr>
              <w:t>https://www.theguardian.com/society/2012/sep/25/homophobia-rife-uk-prisons</w:t>
            </w:r>
          </w:hyperlink>
          <w:r w:rsidRPr="007F1CAA">
            <w:rPr>
              <w:bCs/>
              <w:color w:val="000000"/>
            </w:rPr>
            <w:t xml:space="preserve">. </w:t>
          </w:r>
        </w:p>
      </w:sdtContent>
    </w:sdt>
    <w:sdt>
      <w:sdtPr>
        <w:rPr>
          <w:bCs/>
        </w:rPr>
        <w:tag w:val="goog_rdk_243"/>
        <w:id w:val="-101498627"/>
      </w:sdtPr>
      <w:sdtContent>
        <w:p w14:paraId="0A46E74A" w14:textId="77777777" w:rsidR="006F1271" w:rsidRDefault="006F1271" w:rsidP="00080569">
          <w:pPr>
            <w:spacing w:after="0" w:line="480" w:lineRule="auto"/>
            <w:jc w:val="both"/>
            <w:rPr>
              <w:bCs/>
            </w:rPr>
          </w:pPr>
        </w:p>
        <w:p w14:paraId="000000C2" w14:textId="5CDFA58E" w:rsidR="00985107" w:rsidRPr="007F1CAA" w:rsidRDefault="00411C03" w:rsidP="00080569">
          <w:pPr>
            <w:spacing w:after="0" w:line="480" w:lineRule="auto"/>
            <w:jc w:val="both"/>
            <w:rPr>
              <w:bCs/>
            </w:rPr>
          </w:pPr>
          <w:proofErr w:type="spellStart"/>
          <w:r w:rsidRPr="007F1CAA">
            <w:rPr>
              <w:bCs/>
            </w:rPr>
            <w:lastRenderedPageBreak/>
            <w:t>Jenness</w:t>
          </w:r>
          <w:proofErr w:type="spellEnd"/>
          <w:r w:rsidRPr="007F1CAA">
            <w:rPr>
              <w:bCs/>
            </w:rPr>
            <w:t xml:space="preserve">, Valerie and Sarah </w:t>
          </w:r>
          <w:proofErr w:type="spellStart"/>
          <w:r w:rsidRPr="007F1CAA">
            <w:rPr>
              <w:bCs/>
            </w:rPr>
            <w:t>Fernstermaker</w:t>
          </w:r>
          <w:proofErr w:type="spellEnd"/>
          <w:r w:rsidR="00A1537F">
            <w:rPr>
              <w:bCs/>
            </w:rPr>
            <w:t xml:space="preserve">. </w:t>
          </w:r>
          <w:proofErr w:type="spellStart"/>
          <w:r w:rsidRPr="007F1CAA">
            <w:rPr>
              <w:bCs/>
            </w:rPr>
            <w:t>“Agnes</w:t>
          </w:r>
          <w:proofErr w:type="spellEnd"/>
          <w:r w:rsidRPr="007F1CAA">
            <w:rPr>
              <w:bCs/>
            </w:rPr>
            <w:t xml:space="preserve"> Goes to Prison: Gender Authenticity, Transgender Inmates in Prisons for Men, and Pursuit of “The Real Deal””, </w:t>
          </w:r>
          <w:r w:rsidRPr="00A1537F">
            <w:rPr>
              <w:bCs/>
              <w:i/>
              <w:iCs/>
            </w:rPr>
            <w:t>Gender and Society</w:t>
          </w:r>
          <w:r w:rsidRPr="007F1CAA">
            <w:rPr>
              <w:bCs/>
            </w:rPr>
            <w:t xml:space="preserve"> (2013): 5-31. </w:t>
          </w:r>
        </w:p>
      </w:sdtContent>
    </w:sdt>
    <w:sdt>
      <w:sdtPr>
        <w:rPr>
          <w:bCs/>
        </w:rPr>
        <w:tag w:val="goog_rdk_244"/>
        <w:id w:val="-1974584639"/>
      </w:sdtPr>
      <w:sdtContent>
        <w:p w14:paraId="3C2570C9" w14:textId="77777777" w:rsidR="006F1271" w:rsidRDefault="006F1271" w:rsidP="00080569">
          <w:pPr>
            <w:spacing w:after="0" w:line="480" w:lineRule="auto"/>
            <w:jc w:val="both"/>
            <w:rPr>
              <w:bCs/>
            </w:rPr>
          </w:pPr>
        </w:p>
        <w:p w14:paraId="000000C3" w14:textId="38D58B3F" w:rsidR="00985107" w:rsidRPr="007F1CAA" w:rsidRDefault="00411C03" w:rsidP="00080569">
          <w:pPr>
            <w:spacing w:after="0" w:line="480" w:lineRule="auto"/>
            <w:jc w:val="both"/>
            <w:rPr>
              <w:bCs/>
            </w:rPr>
          </w:pPr>
          <w:r w:rsidRPr="007F1CAA">
            <w:rPr>
              <w:bCs/>
            </w:rPr>
            <w:t xml:space="preserve">Lamble, Sarah. “Rethinking gendered prison policies: Impacts on transgender prisoners” ECAN Bulletin </w:t>
          </w:r>
          <w:r w:rsidR="009E71ED">
            <w:rPr>
              <w:bCs/>
            </w:rPr>
            <w:t xml:space="preserve">(2012): </w:t>
          </w:r>
          <w:r w:rsidRPr="007F1CAA">
            <w:rPr>
              <w:bCs/>
            </w:rPr>
            <w:t>7-12.</w:t>
          </w:r>
        </w:p>
      </w:sdtContent>
    </w:sdt>
    <w:sdt>
      <w:sdtPr>
        <w:rPr>
          <w:bCs/>
        </w:rPr>
        <w:tag w:val="goog_rdk_245"/>
        <w:id w:val="1268974574"/>
      </w:sdtPr>
      <w:sdtContent>
        <w:p w14:paraId="48B185F4" w14:textId="77777777" w:rsidR="006F1271" w:rsidRDefault="006F1271" w:rsidP="00080569">
          <w:pPr>
            <w:spacing w:after="0" w:line="480" w:lineRule="auto"/>
            <w:jc w:val="both"/>
            <w:rPr>
              <w:bCs/>
            </w:rPr>
          </w:pPr>
        </w:p>
        <w:p w14:paraId="000000C4" w14:textId="35E0528D" w:rsidR="00985107" w:rsidRPr="007F1CAA" w:rsidRDefault="00411C03" w:rsidP="00080569">
          <w:pPr>
            <w:spacing w:after="0" w:line="480" w:lineRule="auto"/>
            <w:jc w:val="both"/>
            <w:rPr>
              <w:bCs/>
            </w:rPr>
          </w:pPr>
          <w:r w:rsidRPr="007F1CAA">
            <w:rPr>
              <w:bCs/>
            </w:rPr>
            <w:t xml:space="preserve">Lamble, Sarah. “Sexual citizenship, social movements and the expanding carceral state.” In </w:t>
          </w:r>
          <w:r w:rsidRPr="009E71ED">
            <w:rPr>
              <w:bCs/>
              <w:i/>
              <w:iCs/>
            </w:rPr>
            <w:t xml:space="preserve">Queer </w:t>
          </w:r>
          <w:proofErr w:type="spellStart"/>
          <w:r w:rsidRPr="009E71ED">
            <w:rPr>
              <w:bCs/>
              <w:i/>
              <w:iCs/>
            </w:rPr>
            <w:t>Necropolitics</w:t>
          </w:r>
          <w:proofErr w:type="spellEnd"/>
          <w:r w:rsidRPr="007F1CAA">
            <w:rPr>
              <w:bCs/>
            </w:rPr>
            <w:t xml:space="preserve"> edited by </w:t>
          </w:r>
          <w:proofErr w:type="spellStart"/>
          <w:r w:rsidRPr="007F1CAA">
            <w:rPr>
              <w:bCs/>
            </w:rPr>
            <w:t>Haritaworn</w:t>
          </w:r>
          <w:proofErr w:type="spellEnd"/>
          <w:r w:rsidRPr="007F1CAA">
            <w:rPr>
              <w:bCs/>
            </w:rPr>
            <w:t xml:space="preserve">, </w:t>
          </w:r>
          <w:proofErr w:type="spellStart"/>
          <w:r w:rsidRPr="007F1CAA">
            <w:rPr>
              <w:bCs/>
            </w:rPr>
            <w:t>Jin</w:t>
          </w:r>
          <w:proofErr w:type="spellEnd"/>
          <w:r w:rsidRPr="007F1CAA">
            <w:rPr>
              <w:bCs/>
            </w:rPr>
            <w:t xml:space="preserve">, </w:t>
          </w:r>
          <w:proofErr w:type="spellStart"/>
          <w:r w:rsidRPr="007F1CAA">
            <w:rPr>
              <w:bCs/>
            </w:rPr>
            <w:t>Kuntsman</w:t>
          </w:r>
          <w:proofErr w:type="spellEnd"/>
          <w:r w:rsidRPr="007F1CAA">
            <w:rPr>
              <w:bCs/>
            </w:rPr>
            <w:t xml:space="preserve">, Adin, </w:t>
          </w:r>
          <w:proofErr w:type="spellStart"/>
          <w:r w:rsidRPr="007F1CAA">
            <w:rPr>
              <w:bCs/>
            </w:rPr>
            <w:t>Posocco</w:t>
          </w:r>
          <w:proofErr w:type="spellEnd"/>
          <w:r w:rsidRPr="007F1CAA">
            <w:rPr>
              <w:bCs/>
            </w:rPr>
            <w:t>, Sylvia 151-171</w:t>
          </w:r>
          <w:r w:rsidR="009E71ED">
            <w:rPr>
              <w:bCs/>
            </w:rPr>
            <w:t xml:space="preserve"> (</w:t>
          </w:r>
          <w:r w:rsidRPr="007F1CAA">
            <w:rPr>
              <w:bCs/>
            </w:rPr>
            <w:t>Oxford: Routledge, 2014</w:t>
          </w:r>
          <w:r w:rsidR="009E71ED">
            <w:rPr>
              <w:bCs/>
            </w:rPr>
            <w:t>)</w:t>
          </w:r>
          <w:r w:rsidRPr="007F1CAA">
            <w:rPr>
              <w:bCs/>
            </w:rPr>
            <w:t xml:space="preserve">. </w:t>
          </w:r>
        </w:p>
      </w:sdtContent>
    </w:sdt>
    <w:sdt>
      <w:sdtPr>
        <w:rPr>
          <w:bCs/>
        </w:rPr>
        <w:tag w:val="goog_rdk_246"/>
        <w:id w:val="-47923441"/>
      </w:sdtPr>
      <w:sdtContent>
        <w:p w14:paraId="31389A26" w14:textId="77777777" w:rsidR="006F1271" w:rsidRDefault="006F1271" w:rsidP="00080569">
          <w:pPr>
            <w:pBdr>
              <w:top w:val="nil"/>
              <w:left w:val="nil"/>
              <w:bottom w:val="nil"/>
              <w:right w:val="nil"/>
              <w:between w:val="nil"/>
            </w:pBdr>
            <w:spacing w:after="0" w:line="480" w:lineRule="auto"/>
            <w:jc w:val="both"/>
            <w:rPr>
              <w:bCs/>
            </w:rPr>
          </w:pPr>
        </w:p>
        <w:p w14:paraId="000000C5" w14:textId="0D016552" w:rsidR="00985107" w:rsidRPr="007F1CAA" w:rsidRDefault="00411C03" w:rsidP="00080569">
          <w:pPr>
            <w:pBdr>
              <w:top w:val="nil"/>
              <w:left w:val="nil"/>
              <w:bottom w:val="nil"/>
              <w:right w:val="nil"/>
              <w:between w:val="nil"/>
            </w:pBdr>
            <w:spacing w:after="0" w:line="480" w:lineRule="auto"/>
            <w:jc w:val="both"/>
            <w:rPr>
              <w:bCs/>
            </w:rPr>
          </w:pPr>
          <w:r w:rsidRPr="007F1CAA">
            <w:rPr>
              <w:bCs/>
            </w:rPr>
            <w:t>Mann, Rebecca. “The Treatment of Transgender Prisoners, Not Just an American Problem – A Comparative Analysis of American, Australian, and Canadian Prison Policies Concerning the Treatment of Transgender Prisoners and a “Universal” Recommendation to Improve Treatment”</w:t>
          </w:r>
          <w:r w:rsidR="009E71ED">
            <w:rPr>
              <w:bCs/>
            </w:rPr>
            <w:t xml:space="preserve">, </w:t>
          </w:r>
          <w:r w:rsidRPr="009E71ED">
            <w:rPr>
              <w:bCs/>
              <w:i/>
              <w:iCs/>
            </w:rPr>
            <w:t>Law and Sexuality Review, Lesbian Gay Bisexual and Legal Issues</w:t>
          </w:r>
          <w:r w:rsidRPr="007F1CAA">
            <w:rPr>
              <w:bCs/>
            </w:rPr>
            <w:t xml:space="preserve"> 15 (2006): 91-134.</w:t>
          </w:r>
        </w:p>
      </w:sdtContent>
    </w:sdt>
    <w:sdt>
      <w:sdtPr>
        <w:rPr>
          <w:bCs/>
        </w:rPr>
        <w:tag w:val="goog_rdk_247"/>
        <w:id w:val="-111369071"/>
      </w:sdtPr>
      <w:sdtContent>
        <w:p w14:paraId="03095E43" w14:textId="77777777" w:rsidR="006F1271" w:rsidRDefault="006F1271" w:rsidP="00080569">
          <w:pPr>
            <w:pBdr>
              <w:top w:val="nil"/>
              <w:left w:val="nil"/>
              <w:bottom w:val="nil"/>
              <w:right w:val="nil"/>
              <w:between w:val="nil"/>
            </w:pBdr>
            <w:spacing w:after="0" w:line="480" w:lineRule="auto"/>
            <w:jc w:val="both"/>
            <w:rPr>
              <w:bCs/>
            </w:rPr>
          </w:pPr>
        </w:p>
        <w:p w14:paraId="2F71E1FF" w14:textId="1986FCEC" w:rsidR="004E1F66"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Mason, Gail. </w:t>
          </w:r>
          <w:r w:rsidRPr="009E71ED">
            <w:rPr>
              <w:bCs/>
              <w:i/>
              <w:iCs/>
              <w:color w:val="000000"/>
            </w:rPr>
            <w:t>The Spectacle of Violence: Homophobia, gender and knowledge</w:t>
          </w:r>
          <w:r w:rsidR="009E71ED">
            <w:rPr>
              <w:bCs/>
              <w:color w:val="000000"/>
            </w:rPr>
            <w:t xml:space="preserve"> (</w:t>
          </w:r>
          <w:r w:rsidRPr="007F1CAA">
            <w:rPr>
              <w:bCs/>
              <w:color w:val="000000"/>
            </w:rPr>
            <w:t>London and New York: Routledge, 2002</w:t>
          </w:r>
          <w:r w:rsidR="009E71ED">
            <w:rPr>
              <w:bCs/>
              <w:color w:val="000000"/>
            </w:rPr>
            <w:t>)</w:t>
          </w:r>
          <w:r w:rsidRPr="007F1CAA">
            <w:rPr>
              <w:bCs/>
              <w:color w:val="000000"/>
            </w:rPr>
            <w:t>.</w:t>
          </w:r>
        </w:p>
        <w:p w14:paraId="000000C6" w14:textId="071E460C"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248"/>
        <w:id w:val="-1469125109"/>
      </w:sdtPr>
      <w:sdtContent>
        <w:p w14:paraId="6D0AA225" w14:textId="595A6146" w:rsidR="004E1F66" w:rsidRDefault="00411C03" w:rsidP="00080569">
          <w:pPr>
            <w:spacing w:after="0" w:line="480" w:lineRule="auto"/>
            <w:jc w:val="both"/>
            <w:rPr>
              <w:bCs/>
            </w:rPr>
          </w:pPr>
          <w:r w:rsidRPr="007F1CAA">
            <w:rPr>
              <w:bCs/>
            </w:rPr>
            <w:t>Ministry of Justice</w:t>
          </w:r>
          <w:r w:rsidR="009E71ED">
            <w:rPr>
              <w:bCs/>
            </w:rPr>
            <w:t>.</w:t>
          </w:r>
          <w:r w:rsidRPr="007F1CAA">
            <w:rPr>
              <w:bCs/>
            </w:rPr>
            <w:t xml:space="preserve"> </w:t>
          </w:r>
          <w:r w:rsidRPr="009E71ED">
            <w:rPr>
              <w:bCs/>
              <w:i/>
              <w:iCs/>
            </w:rPr>
            <w:t>NOMS Annual Offender Equalities Report 2016/17, Ministry of Justice Statistics Bulletin</w:t>
          </w:r>
          <w:r w:rsidRPr="007F1CAA">
            <w:rPr>
              <w:bCs/>
            </w:rPr>
            <w:t>, November</w:t>
          </w:r>
          <w:r w:rsidR="004E1F66">
            <w:rPr>
              <w:bCs/>
            </w:rPr>
            <w:t xml:space="preserve"> 29, 2018</w:t>
          </w:r>
          <w:r w:rsidR="006D712A">
            <w:rPr>
              <w:bCs/>
            </w:rPr>
            <w:t xml:space="preserve">. Accessed </w:t>
          </w:r>
          <w:r w:rsidR="004E1F66">
            <w:rPr>
              <w:bCs/>
            </w:rPr>
            <w:t>March 27, 2020,</w:t>
          </w:r>
        </w:p>
        <w:p w14:paraId="000000C7" w14:textId="34BF80F0" w:rsidR="00985107" w:rsidRPr="007F1CAA" w:rsidRDefault="00A1537F" w:rsidP="00080569">
          <w:pPr>
            <w:spacing w:after="0" w:line="480" w:lineRule="auto"/>
            <w:jc w:val="both"/>
            <w:rPr>
              <w:bCs/>
            </w:rPr>
          </w:pPr>
          <w:hyperlink r:id="rId16" w:history="1">
            <w:r w:rsidR="004E1F66" w:rsidRPr="00523610">
              <w:rPr>
                <w:rStyle w:val="Hyperlink"/>
                <w:bCs/>
              </w:rPr>
              <w:t>https://assets.publishing.service.gov.uk/government/uploads/system/uploads/attachment_data/file/760093/hmpps-offender-equalities-2017-18.pdf</w:t>
            </w:r>
          </w:hyperlink>
          <w:r w:rsidR="00411C03" w:rsidRPr="007F1CAA">
            <w:rPr>
              <w:bCs/>
            </w:rPr>
            <w:t>.</w:t>
          </w:r>
        </w:p>
      </w:sdtContent>
    </w:sdt>
    <w:sdt>
      <w:sdtPr>
        <w:rPr>
          <w:bCs/>
        </w:rPr>
        <w:tag w:val="goog_rdk_249"/>
        <w:id w:val="-1805692805"/>
      </w:sdtPr>
      <w:sdtContent>
        <w:p w14:paraId="3ED0B689" w14:textId="77777777" w:rsidR="006F1271" w:rsidRDefault="006F1271" w:rsidP="00080569">
          <w:pPr>
            <w:pBdr>
              <w:top w:val="nil"/>
              <w:left w:val="nil"/>
              <w:bottom w:val="nil"/>
              <w:right w:val="nil"/>
              <w:between w:val="nil"/>
            </w:pBdr>
            <w:spacing w:after="0" w:line="480" w:lineRule="auto"/>
            <w:jc w:val="both"/>
            <w:rPr>
              <w:bCs/>
            </w:rPr>
          </w:pPr>
        </w:p>
        <w:p w14:paraId="24434022" w14:textId="77777777" w:rsidR="009E71ED" w:rsidRDefault="00411C03" w:rsidP="00080569">
          <w:pPr>
            <w:pBdr>
              <w:top w:val="nil"/>
              <w:left w:val="nil"/>
              <w:bottom w:val="nil"/>
              <w:right w:val="nil"/>
              <w:between w:val="nil"/>
            </w:pBdr>
            <w:spacing w:after="0" w:line="480" w:lineRule="auto"/>
            <w:jc w:val="both"/>
            <w:rPr>
              <w:bCs/>
              <w:color w:val="000000"/>
            </w:rPr>
          </w:pPr>
          <w:r w:rsidRPr="007F1CAA">
            <w:rPr>
              <w:bCs/>
              <w:color w:val="000000"/>
            </w:rPr>
            <w:lastRenderedPageBreak/>
            <w:t xml:space="preserve">Moran, Leslie J. </w:t>
          </w:r>
          <w:r w:rsidRPr="009E71ED">
            <w:rPr>
              <w:bCs/>
              <w:i/>
              <w:iCs/>
              <w:color w:val="000000"/>
            </w:rPr>
            <w:t>The Homosexual(</w:t>
          </w:r>
          <w:proofErr w:type="spellStart"/>
          <w:r w:rsidRPr="009E71ED">
            <w:rPr>
              <w:bCs/>
              <w:i/>
              <w:iCs/>
              <w:color w:val="000000"/>
            </w:rPr>
            <w:t>ity</w:t>
          </w:r>
          <w:proofErr w:type="spellEnd"/>
          <w:r w:rsidRPr="009E71ED">
            <w:rPr>
              <w:bCs/>
              <w:i/>
              <w:iCs/>
              <w:color w:val="000000"/>
            </w:rPr>
            <w:t>) of Law</w:t>
          </w:r>
          <w:r w:rsidR="009E71ED">
            <w:rPr>
              <w:bCs/>
              <w:color w:val="000000"/>
            </w:rPr>
            <w:t xml:space="preserve"> (</w:t>
          </w:r>
          <w:r w:rsidRPr="007F1CAA">
            <w:rPr>
              <w:bCs/>
              <w:color w:val="000000"/>
            </w:rPr>
            <w:t>London and New York: Routledge, 1996</w:t>
          </w:r>
          <w:r w:rsidR="009E71ED">
            <w:rPr>
              <w:bCs/>
              <w:color w:val="000000"/>
            </w:rPr>
            <w:t>)</w:t>
          </w:r>
          <w:r w:rsidRPr="007F1CAA">
            <w:rPr>
              <w:bCs/>
              <w:color w:val="000000"/>
            </w:rPr>
            <w:t>.</w:t>
          </w:r>
        </w:p>
        <w:p w14:paraId="000000C8" w14:textId="5D370EE5"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250"/>
        <w:id w:val="-1052147239"/>
      </w:sdtPr>
      <w:sdtContent>
        <w:p w14:paraId="000000C9" w14:textId="5FDC85CD" w:rsidR="00985107" w:rsidRPr="007F1CAA" w:rsidRDefault="00411C03" w:rsidP="00080569">
          <w:pPr>
            <w:spacing w:after="0" w:line="480" w:lineRule="auto"/>
            <w:jc w:val="both"/>
            <w:rPr>
              <w:bCs/>
            </w:rPr>
          </w:pPr>
          <w:proofErr w:type="spellStart"/>
          <w:r w:rsidRPr="007F1CAA">
            <w:rPr>
              <w:bCs/>
            </w:rPr>
            <w:t>Oparah</w:t>
          </w:r>
          <w:proofErr w:type="spellEnd"/>
          <w:r w:rsidRPr="007F1CAA">
            <w:rPr>
              <w:bCs/>
            </w:rPr>
            <w:t>, Julia. “Gender Nonconforming Prisoners”</w:t>
          </w:r>
          <w:r w:rsidR="009E71ED">
            <w:rPr>
              <w:bCs/>
            </w:rPr>
            <w:t xml:space="preserve">, </w:t>
          </w:r>
          <w:r w:rsidRPr="009E71ED">
            <w:rPr>
              <w:bCs/>
              <w:i/>
              <w:iCs/>
            </w:rPr>
            <w:t>UCLA Women’s Law Journal</w:t>
          </w:r>
          <w:r w:rsidRPr="007F1CAA">
            <w:rPr>
              <w:bCs/>
            </w:rPr>
            <w:t xml:space="preserve"> 18, (2012): 239-271.</w:t>
          </w:r>
        </w:p>
      </w:sdtContent>
    </w:sdt>
    <w:sdt>
      <w:sdtPr>
        <w:rPr>
          <w:bCs/>
        </w:rPr>
        <w:tag w:val="goog_rdk_251"/>
        <w:id w:val="-1108190949"/>
      </w:sdtPr>
      <w:sdtContent>
        <w:p w14:paraId="1BB3C32F" w14:textId="77777777" w:rsidR="006F1271" w:rsidRDefault="006F1271" w:rsidP="00080569">
          <w:pPr>
            <w:pBdr>
              <w:top w:val="nil"/>
              <w:left w:val="nil"/>
              <w:bottom w:val="nil"/>
              <w:right w:val="nil"/>
              <w:between w:val="nil"/>
            </w:pBdr>
            <w:spacing w:after="0" w:line="480" w:lineRule="auto"/>
            <w:jc w:val="both"/>
            <w:rPr>
              <w:bCs/>
            </w:rPr>
          </w:pPr>
        </w:p>
        <w:p w14:paraId="114B630C" w14:textId="77777777" w:rsidR="009E71ED" w:rsidRDefault="00411C03" w:rsidP="00080569">
          <w:pPr>
            <w:pBdr>
              <w:top w:val="nil"/>
              <w:left w:val="nil"/>
              <w:bottom w:val="nil"/>
              <w:right w:val="nil"/>
              <w:between w:val="nil"/>
            </w:pBdr>
            <w:spacing w:after="0" w:line="480" w:lineRule="auto"/>
            <w:jc w:val="both"/>
            <w:rPr>
              <w:bCs/>
              <w:color w:val="000000"/>
            </w:rPr>
          </w:pPr>
          <w:r w:rsidRPr="007F1CAA">
            <w:rPr>
              <w:bCs/>
              <w:color w:val="000000"/>
            </w:rPr>
            <w:t>Penal Reform International and APT</w:t>
          </w:r>
          <w:r w:rsidR="009E71ED">
            <w:rPr>
              <w:bCs/>
              <w:color w:val="000000"/>
            </w:rPr>
            <w:t>.</w:t>
          </w:r>
          <w:r w:rsidR="004E1F66">
            <w:rPr>
              <w:bCs/>
              <w:color w:val="000000"/>
            </w:rPr>
            <w:t xml:space="preserve"> </w:t>
          </w:r>
          <w:r w:rsidRPr="004E1F66">
            <w:rPr>
              <w:bCs/>
              <w:i/>
              <w:iCs/>
              <w:color w:val="000000"/>
            </w:rPr>
            <w:t>LGBTI persons deprived of their liberty: a framework for preventive monitoring</w:t>
          </w:r>
          <w:r w:rsidR="009E71ED">
            <w:rPr>
              <w:bCs/>
              <w:i/>
              <w:iCs/>
              <w:color w:val="000000"/>
            </w:rPr>
            <w:t>,</w:t>
          </w:r>
          <w:r w:rsidR="004E1F66">
            <w:rPr>
              <w:bCs/>
              <w:i/>
              <w:iCs/>
              <w:color w:val="000000"/>
            </w:rPr>
            <w:t xml:space="preserve"> </w:t>
          </w:r>
          <w:r w:rsidRPr="007F1CAA">
            <w:rPr>
              <w:bCs/>
              <w:color w:val="000000"/>
            </w:rPr>
            <w:t xml:space="preserve">2nd ed. </w:t>
          </w:r>
          <w:r w:rsidR="004E1F66">
            <w:rPr>
              <w:bCs/>
              <w:color w:val="000000"/>
            </w:rPr>
            <w:t>(</w:t>
          </w:r>
          <w:r w:rsidRPr="007F1CAA">
            <w:rPr>
              <w:bCs/>
              <w:color w:val="000000"/>
            </w:rPr>
            <w:t>2015</w:t>
          </w:r>
          <w:r w:rsidR="004E1F66">
            <w:rPr>
              <w:bCs/>
              <w:color w:val="000000"/>
            </w:rPr>
            <w:t>)</w:t>
          </w:r>
          <w:r w:rsidR="006D712A">
            <w:rPr>
              <w:bCs/>
              <w:color w:val="000000"/>
            </w:rPr>
            <w:t xml:space="preserve">. Accessed </w:t>
          </w:r>
          <w:r w:rsidR="004E1F66">
            <w:rPr>
              <w:bCs/>
              <w:color w:val="000000"/>
            </w:rPr>
            <w:t>March 27, 2020,</w:t>
          </w:r>
        </w:p>
        <w:p w14:paraId="000000CA" w14:textId="6CE66AE4" w:rsidR="00985107" w:rsidRPr="007F1CAA" w:rsidRDefault="009E71ED" w:rsidP="00080569">
          <w:pPr>
            <w:pBdr>
              <w:top w:val="nil"/>
              <w:left w:val="nil"/>
              <w:bottom w:val="nil"/>
              <w:right w:val="nil"/>
              <w:between w:val="nil"/>
            </w:pBdr>
            <w:spacing w:after="0" w:line="480" w:lineRule="auto"/>
            <w:jc w:val="both"/>
            <w:rPr>
              <w:bCs/>
              <w:color w:val="000000"/>
            </w:rPr>
          </w:pPr>
          <w:hyperlink r:id="rId17" w:history="1">
            <w:r w:rsidRPr="00523610">
              <w:rPr>
                <w:rStyle w:val="Hyperlink"/>
                <w:bCs/>
              </w:rPr>
              <w:t>https://cdn.penalreform.org/wp-content/uploads/2016/01/lgbti-framework-2nd-ed-v7-web.pdf</w:t>
            </w:r>
          </w:hyperlink>
          <w:r w:rsidR="00411C03" w:rsidRPr="007F1CAA">
            <w:rPr>
              <w:bCs/>
              <w:color w:val="000000"/>
            </w:rPr>
            <w:t>.</w:t>
          </w:r>
        </w:p>
      </w:sdtContent>
    </w:sdt>
    <w:sdt>
      <w:sdtPr>
        <w:rPr>
          <w:bCs/>
        </w:rPr>
        <w:tag w:val="goog_rdk_252"/>
        <w:id w:val="-1517455685"/>
      </w:sdtPr>
      <w:sdtContent>
        <w:p w14:paraId="566313F3" w14:textId="77777777" w:rsidR="006F1271" w:rsidRDefault="006F1271" w:rsidP="00080569">
          <w:pPr>
            <w:spacing w:after="0" w:line="480" w:lineRule="auto"/>
            <w:jc w:val="both"/>
            <w:rPr>
              <w:bCs/>
            </w:rPr>
          </w:pPr>
        </w:p>
        <w:p w14:paraId="000000CB" w14:textId="5A53A80E" w:rsidR="00985107" w:rsidRPr="007F1CAA" w:rsidRDefault="00411C03" w:rsidP="00080569">
          <w:pPr>
            <w:spacing w:after="0" w:line="480" w:lineRule="auto"/>
            <w:jc w:val="both"/>
            <w:rPr>
              <w:bCs/>
            </w:rPr>
          </w:pPr>
          <w:r w:rsidRPr="007F1CAA">
            <w:rPr>
              <w:bCs/>
            </w:rPr>
            <w:t xml:space="preserve">Pound, Roscoe. “Mechanical Jurisprudence”, Columbia Law Review (1908). </w:t>
          </w:r>
        </w:p>
      </w:sdtContent>
    </w:sdt>
    <w:sdt>
      <w:sdtPr>
        <w:rPr>
          <w:bCs/>
        </w:rPr>
        <w:tag w:val="goog_rdk_253"/>
        <w:id w:val="988596528"/>
      </w:sdtPr>
      <w:sdtContent>
        <w:p w14:paraId="747DB16F" w14:textId="77777777" w:rsidR="006F1271" w:rsidRDefault="006F1271" w:rsidP="00080569">
          <w:pPr>
            <w:pBdr>
              <w:top w:val="nil"/>
              <w:left w:val="nil"/>
              <w:bottom w:val="nil"/>
              <w:right w:val="nil"/>
              <w:between w:val="nil"/>
            </w:pBdr>
            <w:spacing w:after="0" w:line="480" w:lineRule="auto"/>
            <w:jc w:val="both"/>
            <w:rPr>
              <w:bCs/>
            </w:rPr>
          </w:pPr>
        </w:p>
        <w:p w14:paraId="510920D6" w14:textId="2F9CD01D" w:rsidR="004E1F66"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Prisons and Probation Ombudsman for England and Wales. </w:t>
          </w:r>
          <w:r w:rsidRPr="004E1F66">
            <w:rPr>
              <w:bCs/>
              <w:i/>
              <w:iCs/>
              <w:color w:val="000000"/>
            </w:rPr>
            <w:t>Learning Lessons Bulletin: Fatal Incident Investigations: Segregation</w:t>
          </w:r>
          <w:r w:rsidR="004E1F66">
            <w:rPr>
              <w:bCs/>
              <w:color w:val="000000"/>
            </w:rPr>
            <w:t xml:space="preserve"> (</w:t>
          </w:r>
          <w:r w:rsidRPr="007F1CAA">
            <w:rPr>
              <w:bCs/>
              <w:color w:val="000000"/>
            </w:rPr>
            <w:t>June 2015)</w:t>
          </w:r>
          <w:r w:rsidR="006D712A">
            <w:rPr>
              <w:bCs/>
              <w:color w:val="000000"/>
            </w:rPr>
            <w:t xml:space="preserve">. Accessed </w:t>
          </w:r>
          <w:r w:rsidR="004E1F66">
            <w:rPr>
              <w:bCs/>
              <w:color w:val="000000"/>
            </w:rPr>
            <w:t xml:space="preserve">March 27, 2020, </w:t>
          </w:r>
        </w:p>
        <w:p w14:paraId="000000CC" w14:textId="28857D3A" w:rsidR="00985107" w:rsidRPr="007F1CAA" w:rsidRDefault="00A1537F" w:rsidP="00080569">
          <w:pPr>
            <w:pBdr>
              <w:top w:val="nil"/>
              <w:left w:val="nil"/>
              <w:bottom w:val="nil"/>
              <w:right w:val="nil"/>
              <w:between w:val="nil"/>
            </w:pBdr>
            <w:spacing w:after="0" w:line="480" w:lineRule="auto"/>
            <w:jc w:val="both"/>
            <w:rPr>
              <w:bCs/>
              <w:color w:val="000000"/>
            </w:rPr>
          </w:pPr>
          <w:hyperlink r:id="rId18" w:history="1">
            <w:r w:rsidR="006112AF" w:rsidRPr="00523610">
              <w:rPr>
                <w:rStyle w:val="Hyperlink"/>
                <w:bCs/>
              </w:rPr>
              <w:t>http://www.ppo.gov.uk/app/uploads/2015/06/Learning-Lessons-Bulletin-Segregation-final.pdf</w:t>
            </w:r>
          </w:hyperlink>
          <w:r w:rsidR="00411C03" w:rsidRPr="007F1CAA">
            <w:rPr>
              <w:bCs/>
              <w:color w:val="000000"/>
            </w:rPr>
            <w:t>.</w:t>
          </w:r>
        </w:p>
      </w:sdtContent>
    </w:sdt>
    <w:sdt>
      <w:sdtPr>
        <w:rPr>
          <w:bCs/>
          <w:i/>
          <w:iCs/>
        </w:rPr>
        <w:tag w:val="goog_rdk_254"/>
        <w:id w:val="-1360274355"/>
      </w:sdtPr>
      <w:sdtEndPr>
        <w:rPr>
          <w:i w:val="0"/>
          <w:iCs w:val="0"/>
        </w:rPr>
      </w:sdtEndPr>
      <w:sdtContent>
        <w:p w14:paraId="2C118295" w14:textId="77777777" w:rsidR="006F1271" w:rsidRPr="009E71ED" w:rsidRDefault="006F1271" w:rsidP="00080569">
          <w:pPr>
            <w:spacing w:after="0" w:line="480" w:lineRule="auto"/>
            <w:jc w:val="both"/>
            <w:rPr>
              <w:bCs/>
              <w:i/>
              <w:iCs/>
            </w:rPr>
          </w:pPr>
        </w:p>
        <w:p w14:paraId="000000CD" w14:textId="188D3B42" w:rsidR="00985107" w:rsidRPr="007F1CAA" w:rsidRDefault="00411C03" w:rsidP="00080569">
          <w:pPr>
            <w:spacing w:after="0" w:line="480" w:lineRule="auto"/>
            <w:jc w:val="both"/>
            <w:rPr>
              <w:bCs/>
            </w:rPr>
          </w:pPr>
          <w:r w:rsidRPr="009E71ED">
            <w:rPr>
              <w:bCs/>
              <w:i/>
              <w:iCs/>
            </w:rPr>
            <w:t>Reiman Jeffrey and Paul Leighton. The Rich Get Richer and the Poor Get Prison: A Reader</w:t>
          </w:r>
          <w:r w:rsidR="009E71ED">
            <w:rPr>
              <w:bCs/>
            </w:rPr>
            <w:t xml:space="preserve"> (</w:t>
          </w:r>
          <w:r w:rsidRPr="007F1CAA">
            <w:rPr>
              <w:bCs/>
            </w:rPr>
            <w:t xml:space="preserve">Boston, MA: </w:t>
          </w:r>
          <w:proofErr w:type="spellStart"/>
          <w:r w:rsidRPr="007F1CAA">
            <w:rPr>
              <w:bCs/>
            </w:rPr>
            <w:t>Allyn</w:t>
          </w:r>
          <w:proofErr w:type="spellEnd"/>
          <w:r w:rsidRPr="007F1CAA">
            <w:rPr>
              <w:bCs/>
            </w:rPr>
            <w:t xml:space="preserve"> and Bacon, 2010</w:t>
          </w:r>
          <w:r w:rsidR="009E71ED">
            <w:rPr>
              <w:bCs/>
            </w:rPr>
            <w:t>)</w:t>
          </w:r>
          <w:r w:rsidR="00D239FF">
            <w:rPr>
              <w:bCs/>
            </w:rPr>
            <w:t xml:space="preserve">. </w:t>
          </w:r>
        </w:p>
      </w:sdtContent>
    </w:sdt>
    <w:sdt>
      <w:sdtPr>
        <w:rPr>
          <w:bCs/>
        </w:rPr>
        <w:tag w:val="goog_rdk_256"/>
        <w:id w:val="-1549981048"/>
      </w:sdtPr>
      <w:sdtContent>
        <w:p w14:paraId="321EA0C3" w14:textId="77777777" w:rsidR="006F1271" w:rsidRDefault="006F1271" w:rsidP="00080569">
          <w:pPr>
            <w:pBdr>
              <w:top w:val="nil"/>
              <w:left w:val="nil"/>
              <w:bottom w:val="nil"/>
              <w:right w:val="nil"/>
              <w:between w:val="nil"/>
            </w:pBdr>
            <w:spacing w:after="0" w:line="480" w:lineRule="auto"/>
            <w:jc w:val="both"/>
            <w:rPr>
              <w:bCs/>
            </w:rPr>
          </w:pPr>
        </w:p>
        <w:p w14:paraId="000000CF" w14:textId="6B6BE98A"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Scharff Smith, Peter. “The Effects of Solitary Confinement on Prison Inmates: A Brief History and Review of the Literature”</w:t>
          </w:r>
          <w:r w:rsidR="009E71ED">
            <w:rPr>
              <w:bCs/>
              <w:color w:val="000000"/>
            </w:rPr>
            <w:t xml:space="preserve">, </w:t>
          </w:r>
          <w:r w:rsidRPr="009E71ED">
            <w:rPr>
              <w:bCs/>
              <w:i/>
              <w:iCs/>
              <w:color w:val="000000"/>
            </w:rPr>
            <w:t>Crime and Justice</w:t>
          </w:r>
          <w:r w:rsidRPr="007F1CAA">
            <w:rPr>
              <w:bCs/>
              <w:color w:val="000000"/>
            </w:rPr>
            <w:t xml:space="preserve"> 34, no 1 (2006): 441-528.</w:t>
          </w:r>
        </w:p>
      </w:sdtContent>
    </w:sdt>
    <w:sdt>
      <w:sdtPr>
        <w:rPr>
          <w:bCs/>
        </w:rPr>
        <w:tag w:val="goog_rdk_257"/>
        <w:id w:val="-496029853"/>
      </w:sdtPr>
      <w:sdtContent>
        <w:p w14:paraId="0BDD0AB1" w14:textId="1DE6014F" w:rsidR="006F1271" w:rsidRDefault="006F1271" w:rsidP="00080569">
          <w:pPr>
            <w:pBdr>
              <w:top w:val="nil"/>
              <w:left w:val="nil"/>
              <w:bottom w:val="nil"/>
              <w:right w:val="nil"/>
              <w:between w:val="nil"/>
            </w:pBdr>
            <w:spacing w:after="0" w:line="480" w:lineRule="auto"/>
            <w:jc w:val="both"/>
            <w:rPr>
              <w:bCs/>
            </w:rPr>
          </w:pPr>
        </w:p>
        <w:p w14:paraId="1BCCFA22" w14:textId="2E7924FF" w:rsidR="00D239FF" w:rsidRDefault="00D239FF" w:rsidP="00080569">
          <w:pPr>
            <w:pBdr>
              <w:top w:val="nil"/>
              <w:left w:val="nil"/>
              <w:bottom w:val="nil"/>
              <w:right w:val="nil"/>
              <w:between w:val="nil"/>
            </w:pBdr>
            <w:spacing w:after="0" w:line="480" w:lineRule="auto"/>
            <w:jc w:val="both"/>
            <w:rPr>
              <w:bCs/>
            </w:rPr>
          </w:pPr>
        </w:p>
        <w:p w14:paraId="788D12B7" w14:textId="3058E1CD" w:rsidR="00D239FF" w:rsidRDefault="00D239FF" w:rsidP="00080569">
          <w:pPr>
            <w:pBdr>
              <w:top w:val="nil"/>
              <w:left w:val="nil"/>
              <w:bottom w:val="nil"/>
              <w:right w:val="nil"/>
              <w:between w:val="nil"/>
            </w:pBdr>
            <w:spacing w:after="0" w:line="480" w:lineRule="auto"/>
            <w:jc w:val="both"/>
            <w:rPr>
              <w:bCs/>
            </w:rPr>
          </w:pPr>
        </w:p>
        <w:p w14:paraId="5CDB33BD" w14:textId="77777777" w:rsidR="00D239FF" w:rsidRDefault="00D239FF" w:rsidP="00080569">
          <w:pPr>
            <w:pBdr>
              <w:top w:val="nil"/>
              <w:left w:val="nil"/>
              <w:bottom w:val="nil"/>
              <w:right w:val="nil"/>
              <w:between w:val="nil"/>
            </w:pBdr>
            <w:spacing w:after="0" w:line="480" w:lineRule="auto"/>
            <w:jc w:val="both"/>
            <w:rPr>
              <w:bCs/>
            </w:rPr>
          </w:pPr>
        </w:p>
        <w:p w14:paraId="3586CBFC" w14:textId="566477AF" w:rsidR="00D239FF"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Silvestri, Ariana. </w:t>
          </w:r>
          <w:r w:rsidRPr="009E71ED">
            <w:rPr>
              <w:bCs/>
              <w:i/>
              <w:iCs/>
              <w:color w:val="000000"/>
            </w:rPr>
            <w:t>Prison Conditions in the United Kingdom</w:t>
          </w:r>
          <w:r w:rsidR="009E71ED">
            <w:rPr>
              <w:bCs/>
              <w:color w:val="000000"/>
            </w:rPr>
            <w:t xml:space="preserve"> (</w:t>
          </w:r>
          <w:r w:rsidRPr="007F1CAA">
            <w:rPr>
              <w:bCs/>
              <w:color w:val="000000"/>
            </w:rPr>
            <w:t>European Prison Observatory</w:t>
          </w:r>
          <w:r w:rsidR="009E71ED">
            <w:rPr>
              <w:bCs/>
              <w:color w:val="000000"/>
            </w:rPr>
            <w:t xml:space="preserve">, </w:t>
          </w:r>
          <w:r w:rsidRPr="007F1CAA">
            <w:rPr>
              <w:bCs/>
              <w:color w:val="000000"/>
            </w:rPr>
            <w:t>2013</w:t>
          </w:r>
          <w:r w:rsidR="009E71ED">
            <w:rPr>
              <w:bCs/>
              <w:color w:val="000000"/>
            </w:rPr>
            <w:t>).</w:t>
          </w:r>
          <w:r w:rsidR="006D712A">
            <w:rPr>
              <w:bCs/>
              <w:color w:val="000000"/>
            </w:rPr>
            <w:t xml:space="preserve"> Accessed </w:t>
          </w:r>
          <w:r w:rsidR="00D239FF">
            <w:rPr>
              <w:bCs/>
              <w:color w:val="000000"/>
            </w:rPr>
            <w:t>March 27, 2020,</w:t>
          </w:r>
        </w:p>
        <w:p w14:paraId="000000D0" w14:textId="11880F68" w:rsidR="00985107" w:rsidRPr="007F1CAA" w:rsidRDefault="00A1537F" w:rsidP="00080569">
          <w:pPr>
            <w:pBdr>
              <w:top w:val="nil"/>
              <w:left w:val="nil"/>
              <w:bottom w:val="nil"/>
              <w:right w:val="nil"/>
              <w:between w:val="nil"/>
            </w:pBdr>
            <w:spacing w:after="0" w:line="480" w:lineRule="auto"/>
            <w:jc w:val="both"/>
            <w:rPr>
              <w:bCs/>
              <w:color w:val="000000"/>
            </w:rPr>
          </w:pPr>
          <w:hyperlink r:id="rId19" w:history="1">
            <w:r w:rsidR="00D239FF" w:rsidRPr="00523610">
              <w:rPr>
                <w:rStyle w:val="Hyperlink"/>
                <w:bCs/>
              </w:rPr>
              <w:t>https://www.crimeandjustice.org.uk/sites/crimeandjustice.org.uk/files/Prison%20conditions%20in%20the%20UK.pdf</w:t>
            </w:r>
          </w:hyperlink>
          <w:r w:rsidR="00411C03" w:rsidRPr="007F1CAA">
            <w:rPr>
              <w:bCs/>
              <w:color w:val="000000"/>
            </w:rPr>
            <w:t>.</w:t>
          </w:r>
        </w:p>
      </w:sdtContent>
    </w:sdt>
    <w:sdt>
      <w:sdtPr>
        <w:rPr>
          <w:bCs/>
        </w:rPr>
        <w:tag w:val="goog_rdk_258"/>
        <w:id w:val="1218630617"/>
      </w:sdtPr>
      <w:sdtContent>
        <w:p w14:paraId="424ACD67" w14:textId="77777777" w:rsidR="006F1271" w:rsidRDefault="006F1271" w:rsidP="00080569">
          <w:pPr>
            <w:pBdr>
              <w:top w:val="nil"/>
              <w:left w:val="nil"/>
              <w:bottom w:val="nil"/>
              <w:right w:val="nil"/>
              <w:between w:val="nil"/>
            </w:pBdr>
            <w:spacing w:after="0" w:line="480" w:lineRule="auto"/>
            <w:jc w:val="both"/>
            <w:rPr>
              <w:bCs/>
            </w:rPr>
          </w:pPr>
        </w:p>
        <w:p w14:paraId="000000D1" w14:textId="6206671F"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Shalev, Sharon and </w:t>
          </w:r>
          <w:r w:rsidRPr="009E71ED">
            <w:rPr>
              <w:bCs/>
              <w:i/>
              <w:iCs/>
              <w:color w:val="000000"/>
            </w:rPr>
            <w:t xml:space="preserve">Edgar </w:t>
          </w:r>
          <w:proofErr w:type="spellStart"/>
          <w:r w:rsidRPr="009E71ED">
            <w:rPr>
              <w:bCs/>
              <w:i/>
              <w:iCs/>
              <w:color w:val="000000"/>
            </w:rPr>
            <w:t>Kimmet</w:t>
          </w:r>
          <w:proofErr w:type="spellEnd"/>
          <w:r w:rsidRPr="009E71ED">
            <w:rPr>
              <w:bCs/>
              <w:i/>
              <w:iCs/>
              <w:color w:val="000000"/>
            </w:rPr>
            <w:t>. Deep Custody: Segregation Units and Close Supervision Centres in England and Wales</w:t>
          </w:r>
          <w:r w:rsidR="009E71ED">
            <w:rPr>
              <w:bCs/>
              <w:i/>
              <w:iCs/>
              <w:color w:val="000000"/>
            </w:rPr>
            <w:t xml:space="preserve"> </w:t>
          </w:r>
          <w:r w:rsidR="009E71ED" w:rsidRPr="009E71ED">
            <w:rPr>
              <w:bCs/>
              <w:color w:val="000000"/>
            </w:rPr>
            <w:t>(</w:t>
          </w:r>
          <w:r w:rsidRPr="009E71ED">
            <w:rPr>
              <w:bCs/>
              <w:color w:val="000000"/>
            </w:rPr>
            <w:t>Prison</w:t>
          </w:r>
          <w:r w:rsidRPr="007F1CAA">
            <w:rPr>
              <w:bCs/>
              <w:color w:val="000000"/>
            </w:rPr>
            <w:t xml:space="preserve"> Reform Trust</w:t>
          </w:r>
          <w:r w:rsidR="009E71ED">
            <w:rPr>
              <w:bCs/>
              <w:color w:val="000000"/>
            </w:rPr>
            <w:t xml:space="preserve">, </w:t>
          </w:r>
          <w:r w:rsidRPr="007F1CAA">
            <w:rPr>
              <w:bCs/>
              <w:color w:val="000000"/>
            </w:rPr>
            <w:t>2015</w:t>
          </w:r>
          <w:r w:rsidR="009E71ED">
            <w:rPr>
              <w:bCs/>
              <w:color w:val="000000"/>
            </w:rPr>
            <w:t>)</w:t>
          </w:r>
          <w:r w:rsidRPr="007F1CAA">
            <w:rPr>
              <w:bCs/>
              <w:color w:val="000000"/>
            </w:rPr>
            <w:t>.</w:t>
          </w:r>
        </w:p>
      </w:sdtContent>
    </w:sdt>
    <w:sdt>
      <w:sdtPr>
        <w:rPr>
          <w:bCs/>
        </w:rPr>
        <w:tag w:val="goog_rdk_259"/>
        <w:id w:val="-1493719458"/>
      </w:sdtPr>
      <w:sdtContent>
        <w:p w14:paraId="62667734" w14:textId="77777777" w:rsidR="006F1271" w:rsidRDefault="006F1271" w:rsidP="00080569">
          <w:pPr>
            <w:pBdr>
              <w:top w:val="nil"/>
              <w:left w:val="nil"/>
              <w:bottom w:val="nil"/>
              <w:right w:val="nil"/>
              <w:between w:val="nil"/>
            </w:pBdr>
            <w:spacing w:after="0" w:line="480" w:lineRule="auto"/>
            <w:jc w:val="both"/>
            <w:rPr>
              <w:bCs/>
            </w:rPr>
          </w:pPr>
        </w:p>
        <w:p w14:paraId="000000D2" w14:textId="4AB6D06B" w:rsidR="00985107" w:rsidRPr="007F1CAA" w:rsidRDefault="00411C03" w:rsidP="00080569">
          <w:pPr>
            <w:pBdr>
              <w:top w:val="nil"/>
              <w:left w:val="nil"/>
              <w:bottom w:val="nil"/>
              <w:right w:val="nil"/>
              <w:between w:val="nil"/>
            </w:pBdr>
            <w:spacing w:after="0" w:line="480" w:lineRule="auto"/>
            <w:jc w:val="both"/>
            <w:rPr>
              <w:bCs/>
            </w:rPr>
          </w:pPr>
          <w:r w:rsidRPr="007F1CAA">
            <w:rPr>
              <w:bCs/>
            </w:rPr>
            <w:t xml:space="preserve">Sharpe, Alex. “Queering Judgment: The Case of Gender Identity Fraud” </w:t>
          </w:r>
          <w:r w:rsidRPr="009E71ED">
            <w:rPr>
              <w:bCs/>
              <w:i/>
              <w:iCs/>
            </w:rPr>
            <w:t>Journal of Criminal Law</w:t>
          </w:r>
          <w:r w:rsidRPr="007F1CAA">
            <w:rPr>
              <w:bCs/>
            </w:rPr>
            <w:t xml:space="preserve"> (2017): 417-435.</w:t>
          </w:r>
        </w:p>
      </w:sdtContent>
    </w:sdt>
    <w:sdt>
      <w:sdtPr>
        <w:rPr>
          <w:bCs/>
        </w:rPr>
        <w:tag w:val="goog_rdk_260"/>
        <w:id w:val="-701476209"/>
      </w:sdtPr>
      <w:sdtContent>
        <w:p w14:paraId="373FCD37" w14:textId="77777777" w:rsidR="006F1271" w:rsidRDefault="006F1271" w:rsidP="00080569">
          <w:pPr>
            <w:spacing w:after="0" w:line="480" w:lineRule="auto"/>
            <w:jc w:val="both"/>
            <w:rPr>
              <w:bCs/>
            </w:rPr>
          </w:pPr>
        </w:p>
        <w:p w14:paraId="000000D3" w14:textId="7820D8B2" w:rsidR="00985107" w:rsidRPr="007F1CAA" w:rsidRDefault="00411C03" w:rsidP="00080569">
          <w:pPr>
            <w:spacing w:after="0" w:line="480" w:lineRule="auto"/>
            <w:jc w:val="both"/>
            <w:rPr>
              <w:bCs/>
            </w:rPr>
          </w:pPr>
          <w:r w:rsidRPr="007F1CAA">
            <w:rPr>
              <w:bCs/>
            </w:rPr>
            <w:t xml:space="preserve">Sharpe, Alex. </w:t>
          </w:r>
          <w:r w:rsidRPr="009E71ED">
            <w:rPr>
              <w:bCs/>
              <w:i/>
              <w:iCs/>
            </w:rPr>
            <w:t>Sexual Intimacy and Gender Identity ‘Fraud’: Reframing the Legal and Ethical Debate</w:t>
          </w:r>
          <w:r w:rsidR="009E71ED">
            <w:rPr>
              <w:bCs/>
            </w:rPr>
            <w:t xml:space="preserve"> (</w:t>
          </w:r>
          <w:r w:rsidRPr="007F1CAA">
            <w:rPr>
              <w:bCs/>
            </w:rPr>
            <w:t>Abingdon: Routledge, 2018</w:t>
          </w:r>
          <w:r w:rsidR="009E71ED">
            <w:rPr>
              <w:bCs/>
            </w:rPr>
            <w:t>)</w:t>
          </w:r>
          <w:r w:rsidRPr="007F1CAA">
            <w:rPr>
              <w:bCs/>
            </w:rPr>
            <w:t>.</w:t>
          </w:r>
        </w:p>
      </w:sdtContent>
    </w:sdt>
    <w:sdt>
      <w:sdtPr>
        <w:rPr>
          <w:bCs/>
        </w:rPr>
        <w:tag w:val="goog_rdk_261"/>
        <w:id w:val="-2108794673"/>
      </w:sdtPr>
      <w:sdtContent>
        <w:p w14:paraId="7D91A96C" w14:textId="77777777" w:rsidR="006F1271" w:rsidRDefault="006F1271" w:rsidP="00080569">
          <w:pPr>
            <w:spacing w:after="0" w:line="480" w:lineRule="auto"/>
            <w:jc w:val="both"/>
            <w:rPr>
              <w:bCs/>
            </w:rPr>
          </w:pPr>
        </w:p>
        <w:p w14:paraId="6955EB5F" w14:textId="2ACBC0A9" w:rsidR="00D239FF" w:rsidRDefault="00411C03" w:rsidP="00080569">
          <w:pPr>
            <w:spacing w:after="0" w:line="480" w:lineRule="auto"/>
            <w:jc w:val="both"/>
            <w:rPr>
              <w:bCs/>
            </w:rPr>
          </w:pPr>
          <w:r w:rsidRPr="007F1CAA">
            <w:rPr>
              <w:bCs/>
            </w:rPr>
            <w:t>Sharpe, Alex. “Foxes in the Henhouse: Putting the Trans Women Prison Debate in Perspective”</w:t>
          </w:r>
          <w:r w:rsidR="00D239FF">
            <w:rPr>
              <w:bCs/>
            </w:rPr>
            <w:t xml:space="preserve">, </w:t>
          </w:r>
          <w:r w:rsidRPr="00D239FF">
            <w:rPr>
              <w:bCs/>
              <w:i/>
              <w:iCs/>
            </w:rPr>
            <w:t>Inherently Human</w:t>
          </w:r>
          <w:r w:rsidR="00D239FF">
            <w:rPr>
              <w:bCs/>
            </w:rPr>
            <w:t>, September 11, 2018</w:t>
          </w:r>
          <w:r w:rsidR="006D712A">
            <w:rPr>
              <w:bCs/>
            </w:rPr>
            <w:t xml:space="preserve">. Accessed </w:t>
          </w:r>
          <w:r w:rsidR="00D239FF">
            <w:rPr>
              <w:bCs/>
            </w:rPr>
            <w:t>March 27, 2020,</w:t>
          </w:r>
        </w:p>
        <w:p w14:paraId="000000D4" w14:textId="1DAADFD1" w:rsidR="00985107" w:rsidRPr="007F1CAA" w:rsidRDefault="00A1537F" w:rsidP="00080569">
          <w:pPr>
            <w:spacing w:after="0" w:line="480" w:lineRule="auto"/>
            <w:jc w:val="both"/>
            <w:rPr>
              <w:bCs/>
            </w:rPr>
          </w:pPr>
          <w:hyperlink r:id="rId20" w:history="1">
            <w:r w:rsidR="00D239FF" w:rsidRPr="00523610">
              <w:rPr>
                <w:rStyle w:val="Hyperlink"/>
                <w:bCs/>
              </w:rPr>
              <w:t>https://inherentlyhuman.wordpress.com/2018/09/11/foxes-in-the-henhouse-putting-the-trans-women-prison-debate-in-perspective/</w:t>
            </w:r>
          </w:hyperlink>
          <w:r w:rsidR="00411C03" w:rsidRPr="007F1CAA">
            <w:rPr>
              <w:bCs/>
            </w:rPr>
            <w:t>.</w:t>
          </w:r>
        </w:p>
      </w:sdtContent>
    </w:sdt>
    <w:sdt>
      <w:sdtPr>
        <w:rPr>
          <w:bCs/>
        </w:rPr>
        <w:tag w:val="goog_rdk_262"/>
        <w:id w:val="1120573838"/>
      </w:sdtPr>
      <w:sdtContent>
        <w:p w14:paraId="7E73256F" w14:textId="77777777" w:rsidR="006F1271" w:rsidRDefault="006F1271" w:rsidP="00080569">
          <w:pPr>
            <w:spacing w:after="0" w:line="480" w:lineRule="auto"/>
            <w:jc w:val="both"/>
            <w:rPr>
              <w:bCs/>
            </w:rPr>
          </w:pPr>
        </w:p>
        <w:p w14:paraId="000000D5" w14:textId="275F8503" w:rsidR="00985107" w:rsidRPr="007F1CAA" w:rsidRDefault="00411C03" w:rsidP="00080569">
          <w:pPr>
            <w:spacing w:after="0" w:line="480" w:lineRule="auto"/>
            <w:jc w:val="both"/>
            <w:rPr>
              <w:bCs/>
            </w:rPr>
          </w:pPr>
          <w:r w:rsidRPr="007F1CAA">
            <w:rPr>
              <w:bCs/>
            </w:rPr>
            <w:t xml:space="preserve">Sim, Joe. “Tougher than the rest? Men in prison”, In </w:t>
          </w:r>
          <w:r w:rsidRPr="009E71ED">
            <w:rPr>
              <w:bCs/>
              <w:i/>
              <w:iCs/>
            </w:rPr>
            <w:t>Just Boys Doing Business? Men, Masculinities and Crime</w:t>
          </w:r>
          <w:r w:rsidRPr="007F1CAA">
            <w:rPr>
              <w:bCs/>
            </w:rPr>
            <w:t xml:space="preserve"> edited by Tim Newburn and Elizabeth A. Stanko 100-117</w:t>
          </w:r>
          <w:r w:rsidR="009E71ED">
            <w:rPr>
              <w:bCs/>
            </w:rPr>
            <w:t xml:space="preserve"> (</w:t>
          </w:r>
          <w:r w:rsidRPr="007F1CAA">
            <w:rPr>
              <w:bCs/>
            </w:rPr>
            <w:t>London: Routledge, 1994</w:t>
          </w:r>
          <w:r w:rsidR="009E71ED">
            <w:rPr>
              <w:bCs/>
            </w:rPr>
            <w:t>)</w:t>
          </w:r>
          <w:r w:rsidRPr="007F1CAA">
            <w:rPr>
              <w:bCs/>
            </w:rPr>
            <w:t>.</w:t>
          </w:r>
        </w:p>
      </w:sdtContent>
    </w:sdt>
    <w:sdt>
      <w:sdtPr>
        <w:rPr>
          <w:bCs/>
        </w:rPr>
        <w:tag w:val="goog_rdk_263"/>
        <w:id w:val="1299103216"/>
      </w:sdtPr>
      <w:sdtContent>
        <w:p w14:paraId="3EDB28B0" w14:textId="77777777" w:rsidR="006F1271" w:rsidRDefault="006F1271" w:rsidP="00080569">
          <w:pPr>
            <w:spacing w:after="0" w:line="480" w:lineRule="auto"/>
            <w:jc w:val="both"/>
            <w:rPr>
              <w:bCs/>
            </w:rPr>
          </w:pPr>
        </w:p>
        <w:p w14:paraId="56C39C28" w14:textId="77777777" w:rsidR="00D239FF" w:rsidRDefault="00411C03" w:rsidP="00080569">
          <w:pPr>
            <w:spacing w:after="0" w:line="480" w:lineRule="auto"/>
            <w:jc w:val="both"/>
            <w:rPr>
              <w:bCs/>
            </w:rPr>
          </w:pPr>
          <w:r w:rsidRPr="007F1CAA">
            <w:rPr>
              <w:bCs/>
            </w:rPr>
            <w:lastRenderedPageBreak/>
            <w:t xml:space="preserve">Spade, Dean. “The Only Way to End Racialized Gender Violence in Prisons is to End Prisons: A Response to Russell Robinson’s “Masculinity as Prison””. </w:t>
          </w:r>
          <w:r w:rsidRPr="009E71ED">
            <w:rPr>
              <w:bCs/>
              <w:i/>
              <w:iCs/>
            </w:rPr>
            <w:t>The Circuit</w:t>
          </w:r>
          <w:r w:rsidRPr="007F1CAA">
            <w:rPr>
              <w:bCs/>
            </w:rPr>
            <w:t>. Paper 4, (2012): 184-195.</w:t>
          </w:r>
        </w:p>
        <w:p w14:paraId="000000D6" w14:textId="3F590FE5" w:rsidR="00985107" w:rsidRPr="007F1CAA" w:rsidRDefault="00A1537F" w:rsidP="00080569">
          <w:pPr>
            <w:spacing w:after="0" w:line="480" w:lineRule="auto"/>
            <w:jc w:val="both"/>
            <w:rPr>
              <w:bCs/>
            </w:rPr>
          </w:pPr>
        </w:p>
      </w:sdtContent>
    </w:sdt>
    <w:sdt>
      <w:sdtPr>
        <w:rPr>
          <w:bCs/>
        </w:rPr>
        <w:tag w:val="goog_rdk_264"/>
        <w:id w:val="-147057499"/>
      </w:sdtPr>
      <w:sdtContent>
        <w:p w14:paraId="000000D7" w14:textId="7EBEDF59" w:rsidR="00985107" w:rsidRPr="007F1CAA" w:rsidRDefault="00411C03" w:rsidP="00080569">
          <w:pPr>
            <w:pBdr>
              <w:top w:val="nil"/>
              <w:left w:val="nil"/>
              <w:bottom w:val="nil"/>
              <w:right w:val="nil"/>
              <w:between w:val="nil"/>
            </w:pBdr>
            <w:spacing w:after="0" w:line="480" w:lineRule="auto"/>
            <w:jc w:val="both"/>
            <w:rPr>
              <w:bCs/>
            </w:rPr>
          </w:pPr>
          <w:r w:rsidRPr="007F1CAA">
            <w:rPr>
              <w:bCs/>
              <w:color w:val="000000"/>
            </w:rPr>
            <w:t xml:space="preserve">Stanley, Eric. “Introduction: Fugitive Flesh: Gender Self-determination, Queer Abolition and Trans Resistance”. In </w:t>
          </w:r>
          <w:r w:rsidRPr="009E71ED">
            <w:rPr>
              <w:bCs/>
              <w:i/>
              <w:iCs/>
              <w:color w:val="000000"/>
            </w:rPr>
            <w:t>Captive Genders: Trans Embodiment and the Prison Industrial Complex</w:t>
          </w:r>
          <w:r w:rsidRPr="007F1CAA">
            <w:rPr>
              <w:bCs/>
              <w:color w:val="000000"/>
            </w:rPr>
            <w:t xml:space="preserve"> edited by Eric Stanley and Nat Smith, 7-20</w:t>
          </w:r>
          <w:r w:rsidR="009E71ED">
            <w:rPr>
              <w:bCs/>
              <w:color w:val="000000"/>
            </w:rPr>
            <w:t xml:space="preserve"> (</w:t>
          </w:r>
          <w:r w:rsidRPr="007F1CAA">
            <w:rPr>
              <w:bCs/>
              <w:color w:val="000000"/>
            </w:rPr>
            <w:t>Edinburgh, Oakland, Baltimore: AK Press, 2011</w:t>
          </w:r>
          <w:r w:rsidR="009E71ED">
            <w:rPr>
              <w:bCs/>
              <w:color w:val="000000"/>
            </w:rPr>
            <w:t>)</w:t>
          </w:r>
          <w:r w:rsidRPr="007F1CAA">
            <w:rPr>
              <w:bCs/>
              <w:color w:val="000000"/>
            </w:rPr>
            <w:t>.</w:t>
          </w:r>
        </w:p>
      </w:sdtContent>
    </w:sdt>
    <w:sdt>
      <w:sdtPr>
        <w:rPr>
          <w:bCs/>
        </w:rPr>
        <w:tag w:val="goog_rdk_265"/>
        <w:id w:val="1505710165"/>
      </w:sdtPr>
      <w:sdtContent>
        <w:p w14:paraId="4772785F" w14:textId="77777777" w:rsidR="006F1271" w:rsidRDefault="006F1271" w:rsidP="00080569">
          <w:pPr>
            <w:spacing w:after="0" w:line="480" w:lineRule="auto"/>
            <w:jc w:val="both"/>
            <w:rPr>
              <w:bCs/>
            </w:rPr>
          </w:pPr>
        </w:p>
        <w:p w14:paraId="000000D8" w14:textId="78B4B436" w:rsidR="00985107" w:rsidRPr="007F1CAA" w:rsidRDefault="00411C03" w:rsidP="00080569">
          <w:pPr>
            <w:spacing w:after="0" w:line="480" w:lineRule="auto"/>
            <w:jc w:val="both"/>
            <w:rPr>
              <w:bCs/>
            </w:rPr>
          </w:pPr>
          <w:r w:rsidRPr="007F1CAA">
            <w:rPr>
              <w:bCs/>
            </w:rPr>
            <w:t xml:space="preserve">Stanley, Eric A and Dean Spade “Queer (In)Justice, ‘Queering Prison Abolition, Now?” </w:t>
          </w:r>
          <w:r w:rsidRPr="009E71ED">
            <w:rPr>
              <w:bCs/>
              <w:i/>
              <w:iCs/>
            </w:rPr>
            <w:t>American Quarterly</w:t>
          </w:r>
          <w:r w:rsidRPr="007F1CAA">
            <w:rPr>
              <w:bCs/>
            </w:rPr>
            <w:t xml:space="preserve"> (2012): 115-127.</w:t>
          </w:r>
        </w:p>
      </w:sdtContent>
    </w:sdt>
    <w:sdt>
      <w:sdtPr>
        <w:rPr>
          <w:bCs/>
        </w:rPr>
        <w:tag w:val="goog_rdk_266"/>
        <w:id w:val="832728521"/>
      </w:sdtPr>
      <w:sdtContent>
        <w:p w14:paraId="1F2BA7A9" w14:textId="77777777" w:rsidR="006F1271" w:rsidRDefault="006F1271" w:rsidP="00080569">
          <w:pPr>
            <w:pBdr>
              <w:top w:val="nil"/>
              <w:left w:val="nil"/>
              <w:bottom w:val="nil"/>
              <w:right w:val="nil"/>
              <w:between w:val="nil"/>
            </w:pBdr>
            <w:spacing w:after="0" w:line="480" w:lineRule="auto"/>
            <w:jc w:val="both"/>
            <w:rPr>
              <w:bCs/>
            </w:rPr>
          </w:pPr>
        </w:p>
        <w:p w14:paraId="000000D9" w14:textId="6A659162" w:rsidR="00985107" w:rsidRPr="007F1CAA" w:rsidRDefault="00411C03" w:rsidP="00080569">
          <w:pPr>
            <w:pBdr>
              <w:top w:val="nil"/>
              <w:left w:val="nil"/>
              <w:bottom w:val="nil"/>
              <w:right w:val="nil"/>
              <w:between w:val="nil"/>
            </w:pBdr>
            <w:spacing w:after="0" w:line="480" w:lineRule="auto"/>
            <w:jc w:val="both"/>
            <w:rPr>
              <w:bCs/>
              <w:color w:val="000000"/>
            </w:rPr>
          </w:pPr>
          <w:r w:rsidRPr="007F1CAA">
            <w:rPr>
              <w:bCs/>
              <w:color w:val="000000"/>
            </w:rPr>
            <w:t>Stevens, Alisa</w:t>
          </w:r>
          <w:r w:rsidR="009E71ED">
            <w:rPr>
              <w:bCs/>
              <w:color w:val="000000"/>
            </w:rPr>
            <w:t>.</w:t>
          </w:r>
          <w:r w:rsidRPr="007F1CAA">
            <w:rPr>
              <w:bCs/>
              <w:color w:val="000000"/>
            </w:rPr>
            <w:t xml:space="preserve"> </w:t>
          </w:r>
          <w:r w:rsidRPr="009E71ED">
            <w:rPr>
              <w:bCs/>
              <w:i/>
              <w:iCs/>
              <w:color w:val="000000"/>
            </w:rPr>
            <w:t>Sex in prison: Experiences of former prisoners. A Report for the Howard League’s Commission on Sex in Prison</w:t>
          </w:r>
          <w:r w:rsidR="009E71ED">
            <w:rPr>
              <w:bCs/>
              <w:color w:val="000000"/>
            </w:rPr>
            <w:t xml:space="preserve"> (T</w:t>
          </w:r>
          <w:r w:rsidRPr="007F1CAA">
            <w:rPr>
              <w:bCs/>
              <w:color w:val="000000"/>
            </w:rPr>
            <w:t>he Howard League for Penal Reform, 2015</w:t>
          </w:r>
          <w:r w:rsidR="009E71ED">
            <w:rPr>
              <w:bCs/>
              <w:color w:val="000000"/>
            </w:rPr>
            <w:t>)</w:t>
          </w:r>
          <w:r w:rsidR="006D712A">
            <w:rPr>
              <w:bCs/>
              <w:color w:val="000000"/>
            </w:rPr>
            <w:t xml:space="preserve">. Accessed </w:t>
          </w:r>
          <w:r w:rsidR="00D239FF">
            <w:rPr>
              <w:bCs/>
              <w:color w:val="000000"/>
            </w:rPr>
            <w:t xml:space="preserve">May 25, </w:t>
          </w:r>
          <w:r w:rsidRPr="007F1CAA">
            <w:rPr>
              <w:bCs/>
              <w:color w:val="000000"/>
            </w:rPr>
            <w:t xml:space="preserve">2019, </w:t>
          </w:r>
          <w:hyperlink r:id="rId21">
            <w:r w:rsidRPr="007F1CAA">
              <w:rPr>
                <w:bCs/>
                <w:color w:val="0000FF"/>
              </w:rPr>
              <w:t>https://howardleague.org/publications/sex-in-prison-experiences-of-former-prisoners/</w:t>
            </w:r>
          </w:hyperlink>
          <w:r w:rsidRPr="007F1CAA">
            <w:rPr>
              <w:bCs/>
              <w:color w:val="000000"/>
            </w:rPr>
            <w:t>.</w:t>
          </w:r>
        </w:p>
      </w:sdtContent>
    </w:sdt>
    <w:sdt>
      <w:sdtPr>
        <w:rPr>
          <w:bCs/>
        </w:rPr>
        <w:tag w:val="goog_rdk_267"/>
        <w:id w:val="54985441"/>
      </w:sdtPr>
      <w:sdtContent>
        <w:p w14:paraId="6A42805F" w14:textId="77777777" w:rsidR="006F1271" w:rsidRDefault="006F1271" w:rsidP="00080569">
          <w:pPr>
            <w:spacing w:after="0" w:line="480" w:lineRule="auto"/>
            <w:jc w:val="both"/>
            <w:rPr>
              <w:bCs/>
            </w:rPr>
          </w:pPr>
        </w:p>
        <w:p w14:paraId="43AC360D" w14:textId="6CE6AF98" w:rsidR="00D239FF" w:rsidRDefault="00411C03" w:rsidP="00080569">
          <w:pPr>
            <w:spacing w:after="0" w:line="480" w:lineRule="auto"/>
            <w:jc w:val="both"/>
            <w:rPr>
              <w:bCs/>
            </w:rPr>
          </w:pPr>
          <w:r w:rsidRPr="007F1CAA">
            <w:rPr>
              <w:bCs/>
            </w:rPr>
            <w:t xml:space="preserve">Taylor, Diane. “Officials altered records in bisexual prison officer case, judge says”. </w:t>
          </w:r>
          <w:r w:rsidRPr="009E71ED">
            <w:rPr>
              <w:bCs/>
              <w:i/>
              <w:iCs/>
            </w:rPr>
            <w:t>The Guardian</w:t>
          </w:r>
          <w:r w:rsidR="006D712A">
            <w:rPr>
              <w:bCs/>
            </w:rPr>
            <w:t xml:space="preserve">. Accessed </w:t>
          </w:r>
          <w:r w:rsidR="00D239FF">
            <w:rPr>
              <w:bCs/>
            </w:rPr>
            <w:t>May 28, 2019,</w:t>
          </w:r>
        </w:p>
        <w:p w14:paraId="000000DA" w14:textId="48F88D53" w:rsidR="00985107" w:rsidRPr="007F1CAA" w:rsidRDefault="00A1537F" w:rsidP="00080569">
          <w:pPr>
            <w:spacing w:after="0" w:line="480" w:lineRule="auto"/>
            <w:jc w:val="both"/>
            <w:rPr>
              <w:bCs/>
            </w:rPr>
          </w:pPr>
          <w:hyperlink r:id="rId22" w:history="1">
            <w:r w:rsidR="00D239FF" w:rsidRPr="00523610">
              <w:rPr>
                <w:rStyle w:val="Hyperlink"/>
                <w:bCs/>
              </w:rPr>
              <w:t>https://www.theguardian.com/world/2019/may/28/officials-altered-records-in-bisexual-prison-officer-case-judge-says</w:t>
            </w:r>
          </w:hyperlink>
          <w:r w:rsidR="00411C03" w:rsidRPr="007F1CAA">
            <w:rPr>
              <w:bCs/>
            </w:rPr>
            <w:t>.</w:t>
          </w:r>
        </w:p>
      </w:sdtContent>
    </w:sdt>
    <w:sdt>
      <w:sdtPr>
        <w:rPr>
          <w:bCs/>
        </w:rPr>
        <w:tag w:val="goog_rdk_268"/>
        <w:id w:val="-1204945738"/>
      </w:sdtPr>
      <w:sdtContent>
        <w:p w14:paraId="01617B8F" w14:textId="77777777" w:rsidR="006F1271" w:rsidRDefault="006F1271" w:rsidP="00080569">
          <w:pPr>
            <w:spacing w:after="0" w:line="480" w:lineRule="auto"/>
            <w:jc w:val="both"/>
            <w:rPr>
              <w:bCs/>
            </w:rPr>
          </w:pPr>
        </w:p>
        <w:p w14:paraId="7E275F53" w14:textId="77777777" w:rsidR="009E71ED" w:rsidRDefault="00411C03" w:rsidP="00080569">
          <w:pPr>
            <w:spacing w:after="0" w:line="480" w:lineRule="auto"/>
            <w:jc w:val="both"/>
            <w:rPr>
              <w:bCs/>
            </w:rPr>
          </w:pPr>
          <w:proofErr w:type="spellStart"/>
          <w:r w:rsidRPr="007F1CAA">
            <w:rPr>
              <w:bCs/>
            </w:rPr>
            <w:t>Ugelvik</w:t>
          </w:r>
          <w:proofErr w:type="spellEnd"/>
          <w:r w:rsidRPr="007F1CAA">
            <w:rPr>
              <w:bCs/>
            </w:rPr>
            <w:t>, Thomas</w:t>
          </w:r>
          <w:r w:rsidR="009E71ED">
            <w:rPr>
              <w:bCs/>
            </w:rPr>
            <w:t>.</w:t>
          </w:r>
          <w:r w:rsidRPr="007F1CAA">
            <w:rPr>
              <w:bCs/>
            </w:rPr>
            <w:t xml:space="preserve"> </w:t>
          </w:r>
          <w:r w:rsidRPr="009E71ED">
            <w:rPr>
              <w:bCs/>
              <w:i/>
              <w:iCs/>
            </w:rPr>
            <w:t>Power and Resistance in Prison: Doing Time, Doing Freedom</w:t>
          </w:r>
          <w:r w:rsidR="009E71ED">
            <w:rPr>
              <w:bCs/>
            </w:rPr>
            <w:t xml:space="preserve"> </w:t>
          </w:r>
          <w:r w:rsidRPr="009E71ED">
            <w:rPr>
              <w:bCs/>
              <w:i/>
              <w:iCs/>
            </w:rPr>
            <w:t>Palgrave Studies in Prisons and Penology</w:t>
          </w:r>
          <w:r w:rsidR="009E71ED">
            <w:rPr>
              <w:bCs/>
            </w:rPr>
            <w:t xml:space="preserve"> (</w:t>
          </w:r>
          <w:r w:rsidRPr="007F1CAA">
            <w:rPr>
              <w:bCs/>
            </w:rPr>
            <w:t>Basingstoke, UK: Palgrave Macmillan, 2014</w:t>
          </w:r>
          <w:r w:rsidR="009E71ED">
            <w:rPr>
              <w:bCs/>
            </w:rPr>
            <w:t>)</w:t>
          </w:r>
          <w:r w:rsidRPr="007F1CAA">
            <w:rPr>
              <w:bCs/>
            </w:rPr>
            <w:t>.</w:t>
          </w:r>
        </w:p>
        <w:p w14:paraId="000000DB" w14:textId="34C4D4E0" w:rsidR="00985107" w:rsidRPr="007F1CAA" w:rsidRDefault="00A1537F" w:rsidP="00080569">
          <w:pPr>
            <w:spacing w:after="0" w:line="480" w:lineRule="auto"/>
            <w:jc w:val="both"/>
            <w:rPr>
              <w:bCs/>
            </w:rPr>
          </w:pPr>
        </w:p>
      </w:sdtContent>
    </w:sdt>
    <w:sdt>
      <w:sdtPr>
        <w:rPr>
          <w:bCs/>
        </w:rPr>
        <w:tag w:val="goog_rdk_269"/>
        <w:id w:val="1123658488"/>
      </w:sdtPr>
      <w:sdtContent>
        <w:p w14:paraId="30CF9809" w14:textId="77777777" w:rsidR="009E71ED" w:rsidRDefault="00411C03" w:rsidP="00080569">
          <w:pPr>
            <w:pBdr>
              <w:top w:val="nil"/>
              <w:left w:val="nil"/>
              <w:bottom w:val="nil"/>
              <w:right w:val="nil"/>
              <w:between w:val="nil"/>
            </w:pBdr>
            <w:spacing w:after="0" w:line="480" w:lineRule="auto"/>
            <w:jc w:val="both"/>
            <w:rPr>
              <w:bCs/>
              <w:color w:val="000000"/>
            </w:rPr>
          </w:pPr>
          <w:r w:rsidRPr="007F1CAA">
            <w:rPr>
              <w:bCs/>
              <w:color w:val="000000"/>
            </w:rPr>
            <w:t xml:space="preserve">van Zyl Smit, Dirk and Sonja </w:t>
          </w:r>
          <w:proofErr w:type="spellStart"/>
          <w:r w:rsidRPr="007F1CAA">
            <w:rPr>
              <w:bCs/>
              <w:color w:val="000000"/>
            </w:rPr>
            <w:t>Snacken</w:t>
          </w:r>
          <w:proofErr w:type="spellEnd"/>
          <w:r w:rsidRPr="007F1CAA">
            <w:rPr>
              <w:bCs/>
              <w:color w:val="000000"/>
            </w:rPr>
            <w:t xml:space="preserve">. </w:t>
          </w:r>
          <w:r w:rsidRPr="009E71ED">
            <w:rPr>
              <w:bCs/>
              <w:i/>
              <w:iCs/>
              <w:color w:val="000000"/>
            </w:rPr>
            <w:t>Principles of European Prison Law and Policy: Penology and Human Rights</w:t>
          </w:r>
          <w:r w:rsidR="009E71ED">
            <w:rPr>
              <w:bCs/>
              <w:color w:val="000000"/>
            </w:rPr>
            <w:t xml:space="preserve"> (</w:t>
          </w:r>
          <w:r w:rsidRPr="007F1CAA">
            <w:rPr>
              <w:bCs/>
              <w:color w:val="000000"/>
            </w:rPr>
            <w:t>Oxford: Oxford University Press. 2009</w:t>
          </w:r>
          <w:r w:rsidR="009E71ED">
            <w:rPr>
              <w:bCs/>
              <w:color w:val="000000"/>
            </w:rPr>
            <w:t>)</w:t>
          </w:r>
          <w:r w:rsidRPr="007F1CAA">
            <w:rPr>
              <w:bCs/>
              <w:color w:val="000000"/>
            </w:rPr>
            <w:t>.</w:t>
          </w:r>
        </w:p>
        <w:p w14:paraId="000000DC" w14:textId="43AF229C"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270"/>
        <w:id w:val="1456680609"/>
      </w:sdtPr>
      <w:sdtContent>
        <w:p w14:paraId="2142A2FC" w14:textId="3DA1404C" w:rsidR="00D239FF" w:rsidRDefault="00411C03" w:rsidP="00080569">
          <w:pPr>
            <w:pBdr>
              <w:top w:val="nil"/>
              <w:left w:val="nil"/>
              <w:bottom w:val="nil"/>
              <w:right w:val="nil"/>
              <w:between w:val="nil"/>
            </w:pBdr>
            <w:spacing w:after="0" w:line="480" w:lineRule="auto"/>
            <w:jc w:val="both"/>
            <w:rPr>
              <w:bCs/>
            </w:rPr>
          </w:pPr>
          <w:r w:rsidRPr="007F1CAA">
            <w:rPr>
              <w:bCs/>
              <w:color w:val="000000"/>
            </w:rPr>
            <w:t>Westwood, Sue</w:t>
          </w:r>
          <w:r w:rsidR="009E71ED">
            <w:rPr>
              <w:bCs/>
              <w:color w:val="000000"/>
            </w:rPr>
            <w:t>.</w:t>
          </w:r>
          <w:r w:rsidRPr="007F1CAA">
            <w:rPr>
              <w:bCs/>
              <w:color w:val="000000"/>
            </w:rPr>
            <w:t xml:space="preserve"> “‘My Friends are my Family’: an argument about the limitations of contemporary law's recognition of relationships in later life”</w:t>
          </w:r>
          <w:r w:rsidR="009E71ED">
            <w:rPr>
              <w:bCs/>
              <w:color w:val="000000"/>
            </w:rPr>
            <w:t xml:space="preserve">, </w:t>
          </w:r>
          <w:r w:rsidRPr="009E71ED">
            <w:rPr>
              <w:bCs/>
              <w:i/>
              <w:iCs/>
              <w:color w:val="000000"/>
            </w:rPr>
            <w:t>Journal of Social Welfare and Family Law</w:t>
          </w:r>
          <w:r w:rsidRPr="007F1CAA">
            <w:rPr>
              <w:bCs/>
              <w:color w:val="000000"/>
            </w:rPr>
            <w:t>, 35, no 3 (2013): 347-363</w:t>
          </w:r>
          <w:r w:rsidRPr="007F1CAA">
            <w:rPr>
              <w:bCs/>
            </w:rPr>
            <w:t>.</w:t>
          </w:r>
        </w:p>
        <w:p w14:paraId="000000DD" w14:textId="3338B348" w:rsidR="00985107" w:rsidRPr="007F1CAA" w:rsidRDefault="00A1537F" w:rsidP="00080569">
          <w:pPr>
            <w:pBdr>
              <w:top w:val="nil"/>
              <w:left w:val="nil"/>
              <w:bottom w:val="nil"/>
              <w:right w:val="nil"/>
              <w:between w:val="nil"/>
            </w:pBdr>
            <w:spacing w:after="0" w:line="480" w:lineRule="auto"/>
            <w:jc w:val="both"/>
            <w:rPr>
              <w:bCs/>
              <w:color w:val="000000"/>
            </w:rPr>
          </w:pPr>
        </w:p>
      </w:sdtContent>
    </w:sdt>
    <w:sdt>
      <w:sdtPr>
        <w:rPr>
          <w:bCs/>
        </w:rPr>
        <w:tag w:val="goog_rdk_271"/>
        <w:id w:val="781849332"/>
      </w:sdtPr>
      <w:sdtContent>
        <w:p w14:paraId="000000DE" w14:textId="1A1B5DF2" w:rsidR="00985107" w:rsidRPr="007F1CAA" w:rsidRDefault="00411C03" w:rsidP="00080569">
          <w:pPr>
            <w:spacing w:after="0" w:line="480" w:lineRule="auto"/>
            <w:jc w:val="both"/>
            <w:rPr>
              <w:bCs/>
            </w:rPr>
          </w:pPr>
          <w:r w:rsidRPr="007F1CAA">
            <w:rPr>
              <w:bCs/>
            </w:rPr>
            <w:t>Whittle, Steven, Turner, Lewis and Maryam Al-</w:t>
          </w:r>
          <w:proofErr w:type="spellStart"/>
          <w:r w:rsidRPr="007F1CAA">
            <w:rPr>
              <w:bCs/>
            </w:rPr>
            <w:t>Alami</w:t>
          </w:r>
          <w:proofErr w:type="spellEnd"/>
          <w:r w:rsidRPr="007F1CAA">
            <w:rPr>
              <w:bCs/>
            </w:rPr>
            <w:t xml:space="preserve">, </w:t>
          </w:r>
          <w:r w:rsidRPr="009E71ED">
            <w:rPr>
              <w:bCs/>
              <w:i/>
              <w:iCs/>
            </w:rPr>
            <w:t>Engendered Penalties: Transgender and Transsexual People’s Experiences of Inequality and Discrimination</w:t>
          </w:r>
          <w:r w:rsidR="009E71ED">
            <w:rPr>
              <w:bCs/>
            </w:rPr>
            <w:t xml:space="preserve"> (L</w:t>
          </w:r>
          <w:r w:rsidRPr="007F1CAA">
            <w:rPr>
              <w:bCs/>
            </w:rPr>
            <w:t>ondon and Manchester: Press for Change / Manchester Metropolitan University, 2007</w:t>
          </w:r>
          <w:r w:rsidR="009E71ED">
            <w:rPr>
              <w:bCs/>
            </w:rPr>
            <w:t>)</w:t>
          </w:r>
          <w:r w:rsidRPr="007F1CAA">
            <w:rPr>
              <w:bCs/>
            </w:rPr>
            <w:t>.</w:t>
          </w:r>
        </w:p>
      </w:sdtContent>
    </w:sdt>
    <w:sdt>
      <w:sdtPr>
        <w:rPr>
          <w:bCs/>
        </w:rPr>
        <w:tag w:val="goog_rdk_272"/>
        <w:id w:val="1923447786"/>
        <w:showingPlcHdr/>
      </w:sdtPr>
      <w:sdtContent>
        <w:p w14:paraId="000000DF" w14:textId="78F63FFC" w:rsidR="00985107" w:rsidRPr="007F1CAA" w:rsidRDefault="001B053C" w:rsidP="00080569">
          <w:pPr>
            <w:pBdr>
              <w:top w:val="nil"/>
              <w:left w:val="nil"/>
              <w:bottom w:val="nil"/>
              <w:right w:val="nil"/>
              <w:between w:val="nil"/>
            </w:pBdr>
            <w:spacing w:after="0" w:line="480" w:lineRule="auto"/>
            <w:jc w:val="both"/>
            <w:rPr>
              <w:bCs/>
            </w:rPr>
          </w:pPr>
          <w:r>
            <w:rPr>
              <w:bCs/>
            </w:rPr>
            <w:t xml:space="preserve">     </w:t>
          </w:r>
        </w:p>
      </w:sdtContent>
    </w:sdt>
    <w:sectPr w:rsidR="00985107" w:rsidRPr="007F1CAA" w:rsidSect="00080569">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09"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B901" w14:textId="77777777" w:rsidR="00A1537F" w:rsidRDefault="00A1537F">
      <w:pPr>
        <w:spacing w:after="0" w:line="240" w:lineRule="auto"/>
      </w:pPr>
      <w:r>
        <w:separator/>
      </w:r>
    </w:p>
  </w:endnote>
  <w:endnote w:type="continuationSeparator" w:id="0">
    <w:p w14:paraId="2FD519CC" w14:textId="77777777" w:rsidR="00A1537F" w:rsidRDefault="00A1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856A" w14:textId="77777777" w:rsidR="00A1537F" w:rsidRDefault="00A1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7"/>
      <w:id w:val="-1075199049"/>
    </w:sdtPr>
    <w:sdtContent>
      <w:p w14:paraId="0000018D" w14:textId="77777777" w:rsidR="00A1537F" w:rsidRDefault="00A1537F">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3D7E" w14:textId="77777777" w:rsidR="00A1537F" w:rsidRDefault="00A1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9167" w14:textId="77777777" w:rsidR="00A1537F" w:rsidRDefault="00A1537F">
      <w:pPr>
        <w:spacing w:after="0" w:line="240" w:lineRule="auto"/>
      </w:pPr>
      <w:r>
        <w:separator/>
      </w:r>
    </w:p>
  </w:footnote>
  <w:footnote w:type="continuationSeparator" w:id="0">
    <w:p w14:paraId="55C47C33" w14:textId="77777777" w:rsidR="00A1537F" w:rsidRDefault="00A1537F">
      <w:pPr>
        <w:spacing w:after="0" w:line="240" w:lineRule="auto"/>
      </w:pPr>
      <w:r>
        <w:continuationSeparator/>
      </w:r>
    </w:p>
  </w:footnote>
  <w:footnote w:id="1">
    <w:sdt>
      <w:sdtPr>
        <w:rPr>
          <w:color w:val="000000" w:themeColor="text1"/>
          <w:sz w:val="20"/>
          <w:szCs w:val="20"/>
        </w:rPr>
        <w:tag w:val="goog_rdk_273"/>
        <w:id w:val="-1929490134"/>
      </w:sdtPr>
      <w:sdtContent>
        <w:p w14:paraId="195BB678" w14:textId="6C2FF5F7" w:rsidR="00A1537F" w:rsidRPr="00A72E22" w:rsidRDefault="00A1537F" w:rsidP="009C7CF7">
          <w:pPr>
            <w:pBdr>
              <w:top w:val="nil"/>
              <w:left w:val="nil"/>
              <w:bottom w:val="nil"/>
              <w:right w:val="nil"/>
              <w:between w:val="nil"/>
            </w:pBdr>
            <w:spacing w:after="0" w:line="240" w:lineRule="auto"/>
            <w:jc w:val="both"/>
            <w:rPr>
              <w:color w:val="000000" w:themeColor="text1"/>
              <w:sz w:val="20"/>
              <w:szCs w:val="20"/>
              <w:vertAlign w:val="superscript"/>
            </w:rPr>
          </w:pPr>
          <w:r w:rsidRPr="00A72E22">
            <w:rPr>
              <w:color w:val="000000" w:themeColor="text1"/>
              <w:sz w:val="20"/>
              <w:szCs w:val="20"/>
            </w:rPr>
            <w:t xml:space="preserve">* </w:t>
          </w:r>
          <w:sdt>
            <w:sdtPr>
              <w:rPr>
                <w:color w:val="000000" w:themeColor="text1"/>
                <w:sz w:val="20"/>
                <w:szCs w:val="20"/>
              </w:rPr>
              <w:tag w:val="goog_rdk_9"/>
              <w:id w:val="1933234478"/>
            </w:sdtPr>
            <w:sdtContent>
              <w:r w:rsidRPr="00A72E22">
                <w:rPr>
                  <w:color w:val="000000" w:themeColor="text1"/>
                  <w:sz w:val="20"/>
                  <w:szCs w:val="20"/>
                </w:rPr>
                <w:t xml:space="preserve">We would like to thank Stella Coyle for research assistance and our friends and colleagues at Keele who provide such a collegiate research environment. We would also like to thank Peter Dunne and Sen Raj for their supportive and constructive comments. Felicity is grateful to Keele University School of Law for her doctoral scholarship. All errors remain our own. </w:t>
              </w:r>
            </w:sdtContent>
          </w:sdt>
        </w:p>
        <w:p w14:paraId="000000E0" w14:textId="6FC72633"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Nils Christie, “Prisons in Society, or Society as Prison - A Conceptual Analysis”, in </w:t>
          </w:r>
          <w:r w:rsidRPr="00A72E22">
            <w:rPr>
              <w:i/>
              <w:color w:val="000000" w:themeColor="text1"/>
              <w:sz w:val="20"/>
              <w:szCs w:val="20"/>
            </w:rPr>
            <w:t>Prisons Past and Future</w:t>
          </w:r>
          <w:r w:rsidRPr="00A72E22">
            <w:rPr>
              <w:color w:val="000000" w:themeColor="text1"/>
              <w:sz w:val="20"/>
              <w:szCs w:val="20"/>
            </w:rPr>
            <w:t>, ed.  J.C. Freeman (London: Heinemann, 1978) 179-188.</w:t>
          </w:r>
        </w:p>
      </w:sdtContent>
    </w:sdt>
  </w:footnote>
  <w:footnote w:id="2">
    <w:sdt>
      <w:sdtPr>
        <w:rPr>
          <w:color w:val="000000" w:themeColor="text1"/>
          <w:sz w:val="20"/>
          <w:szCs w:val="20"/>
        </w:rPr>
        <w:tag w:val="goog_rdk_274"/>
        <w:id w:val="251553621"/>
      </w:sdtPr>
      <w:sdtContent>
        <w:p w14:paraId="000000E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Jeffrey Reiman and Paul Leighton, </w:t>
          </w:r>
          <w:r w:rsidRPr="00A72E22">
            <w:rPr>
              <w:i/>
              <w:color w:val="000000" w:themeColor="text1"/>
              <w:sz w:val="20"/>
              <w:szCs w:val="20"/>
            </w:rPr>
            <w:t>The Rich Get Richer and the Poor Get Prison: A Reader</w:t>
          </w:r>
          <w:r w:rsidRPr="00A72E22">
            <w:rPr>
              <w:color w:val="000000" w:themeColor="text1"/>
              <w:sz w:val="20"/>
              <w:szCs w:val="20"/>
            </w:rPr>
            <w:t xml:space="preserve"> (Boston, MA: </w:t>
          </w:r>
          <w:proofErr w:type="spellStart"/>
          <w:r w:rsidRPr="00A72E22">
            <w:rPr>
              <w:color w:val="000000" w:themeColor="text1"/>
              <w:sz w:val="20"/>
              <w:szCs w:val="20"/>
            </w:rPr>
            <w:t>Allyn</w:t>
          </w:r>
          <w:proofErr w:type="spellEnd"/>
          <w:r w:rsidRPr="00A72E22">
            <w:rPr>
              <w:color w:val="000000" w:themeColor="text1"/>
              <w:sz w:val="20"/>
              <w:szCs w:val="20"/>
            </w:rPr>
            <w:t xml:space="preserve"> and Bacon, 2010).</w:t>
          </w:r>
        </w:p>
      </w:sdtContent>
    </w:sdt>
  </w:footnote>
  <w:footnote w:id="3">
    <w:sdt>
      <w:sdtPr>
        <w:rPr>
          <w:color w:val="000000" w:themeColor="text1"/>
          <w:sz w:val="20"/>
          <w:szCs w:val="20"/>
        </w:rPr>
        <w:tag w:val="goog_rdk_275"/>
        <w:id w:val="1910031532"/>
      </w:sdtPr>
      <w:sdtContent>
        <w:p w14:paraId="000000E2" w14:textId="039E523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Sarah Lamble, “Sexual citizenship, social movements and the expanding carceral state”, in </w:t>
          </w:r>
          <w:r w:rsidRPr="00A72E22">
            <w:rPr>
              <w:i/>
              <w:color w:val="000000" w:themeColor="text1"/>
              <w:sz w:val="20"/>
              <w:szCs w:val="20"/>
            </w:rPr>
            <w:t xml:space="preserve">Queer </w:t>
          </w:r>
          <w:proofErr w:type="spellStart"/>
          <w:r w:rsidRPr="00A72E22">
            <w:rPr>
              <w:i/>
              <w:color w:val="000000" w:themeColor="text1"/>
              <w:sz w:val="20"/>
              <w:szCs w:val="20"/>
            </w:rPr>
            <w:t>Necropolitics</w:t>
          </w:r>
          <w:proofErr w:type="spellEnd"/>
          <w:r w:rsidRPr="00A72E22">
            <w:rPr>
              <w:color w:val="000000" w:themeColor="text1"/>
              <w:sz w:val="20"/>
              <w:szCs w:val="20"/>
            </w:rPr>
            <w:t xml:space="preserve">, ed. </w:t>
          </w:r>
          <w:proofErr w:type="spellStart"/>
          <w:r w:rsidRPr="00A72E22">
            <w:rPr>
              <w:color w:val="000000" w:themeColor="text1"/>
              <w:sz w:val="20"/>
              <w:szCs w:val="20"/>
            </w:rPr>
            <w:t>Jin</w:t>
          </w:r>
          <w:proofErr w:type="spellEnd"/>
          <w:r w:rsidRPr="00A72E22">
            <w:rPr>
              <w:color w:val="000000" w:themeColor="text1"/>
              <w:sz w:val="20"/>
              <w:szCs w:val="20"/>
            </w:rPr>
            <w:t xml:space="preserve">  </w:t>
          </w:r>
          <w:proofErr w:type="spellStart"/>
          <w:r w:rsidRPr="00A72E22">
            <w:rPr>
              <w:color w:val="000000" w:themeColor="text1"/>
              <w:sz w:val="20"/>
              <w:szCs w:val="20"/>
              <w:highlight w:val="white"/>
            </w:rPr>
            <w:t>Haritaworn</w:t>
          </w:r>
          <w:proofErr w:type="spellEnd"/>
          <w:r w:rsidRPr="00A72E22">
            <w:rPr>
              <w:color w:val="000000" w:themeColor="text1"/>
              <w:sz w:val="20"/>
              <w:szCs w:val="20"/>
              <w:highlight w:val="white"/>
            </w:rPr>
            <w:t xml:space="preserve">, Adin </w:t>
          </w:r>
          <w:proofErr w:type="spellStart"/>
          <w:r w:rsidRPr="00A72E22">
            <w:rPr>
              <w:color w:val="000000" w:themeColor="text1"/>
              <w:sz w:val="20"/>
              <w:szCs w:val="20"/>
              <w:highlight w:val="white"/>
            </w:rPr>
            <w:t>Kuntsman</w:t>
          </w:r>
          <w:proofErr w:type="spellEnd"/>
          <w:r w:rsidRPr="00A72E22">
            <w:rPr>
              <w:color w:val="000000" w:themeColor="text1"/>
              <w:sz w:val="20"/>
              <w:szCs w:val="20"/>
              <w:highlight w:val="white"/>
            </w:rPr>
            <w:t xml:space="preserve">, and Sylvia </w:t>
          </w:r>
          <w:proofErr w:type="spellStart"/>
          <w:r w:rsidRPr="00A72E22">
            <w:rPr>
              <w:color w:val="000000" w:themeColor="text1"/>
              <w:sz w:val="20"/>
              <w:szCs w:val="20"/>
              <w:highlight w:val="white"/>
            </w:rPr>
            <w:t>Posocco</w:t>
          </w:r>
          <w:proofErr w:type="spellEnd"/>
          <w:r w:rsidRPr="00A72E22">
            <w:rPr>
              <w:color w:val="000000" w:themeColor="text1"/>
              <w:sz w:val="20"/>
              <w:szCs w:val="20"/>
              <w:highlight w:val="white"/>
            </w:rPr>
            <w:t xml:space="preserve"> (Oxford: Routledge, 2014) 151-171, 152. </w:t>
          </w:r>
          <w:r w:rsidRPr="00A72E22">
            <w:rPr>
              <w:color w:val="000000" w:themeColor="text1"/>
              <w:sz w:val="20"/>
              <w:szCs w:val="20"/>
            </w:rPr>
            <w:t xml:space="preserve">Through their privatization, predominantly in the UK and US, prisons have also become key sites that drive neoliberal economies as part of the prison industrial complex. The development of the prison industrial complex is facilitated through the creation of labour, the function of which is driven by socio-economically disadvantaged groups; see e.g. Ruth Wilson Gilmore, </w:t>
          </w:r>
          <w:r w:rsidRPr="00A72E22">
            <w:rPr>
              <w:i/>
              <w:color w:val="000000" w:themeColor="text1"/>
              <w:sz w:val="20"/>
              <w:szCs w:val="20"/>
            </w:rPr>
            <w:t>Golden Gulag: Prisons, Surplus, Crisis and Opposition in Globalising California</w:t>
          </w:r>
          <w:r w:rsidRPr="00A72E22">
            <w:rPr>
              <w:color w:val="000000" w:themeColor="text1"/>
              <w:sz w:val="20"/>
              <w:szCs w:val="20"/>
            </w:rPr>
            <w:t xml:space="preserve"> (University of California Press, 2007).</w:t>
          </w:r>
        </w:p>
      </w:sdtContent>
    </w:sdt>
  </w:footnote>
  <w:footnote w:id="4">
    <w:sdt>
      <w:sdtPr>
        <w:rPr>
          <w:color w:val="000000" w:themeColor="text1"/>
          <w:sz w:val="20"/>
          <w:szCs w:val="20"/>
        </w:rPr>
        <w:tag w:val="goog_rdk_276"/>
        <w:id w:val="1593976364"/>
      </w:sdtPr>
      <w:sdtContent>
        <w:p w14:paraId="000000E3"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Eamonn </w:t>
          </w:r>
          <w:proofErr w:type="spellStart"/>
          <w:r w:rsidRPr="00A72E22">
            <w:rPr>
              <w:color w:val="000000" w:themeColor="text1"/>
              <w:sz w:val="20"/>
              <w:szCs w:val="20"/>
            </w:rPr>
            <w:t>Carrabine</w:t>
          </w:r>
          <w:proofErr w:type="spellEnd"/>
          <w:r w:rsidRPr="00A72E22">
            <w:rPr>
              <w:color w:val="000000" w:themeColor="text1"/>
              <w:sz w:val="20"/>
              <w:szCs w:val="20"/>
            </w:rPr>
            <w:t xml:space="preserve"> and Brian Longhurst, “Gender and Prison Organisation: Some Comments on Masculinities and Prison Management”, </w:t>
          </w:r>
          <w:r w:rsidRPr="00A72E22">
            <w:rPr>
              <w:i/>
              <w:color w:val="000000" w:themeColor="text1"/>
              <w:sz w:val="20"/>
              <w:szCs w:val="20"/>
            </w:rPr>
            <w:t xml:space="preserve">The Howard Journal </w:t>
          </w:r>
          <w:r w:rsidRPr="00A72E22">
            <w:rPr>
              <w:color w:val="000000" w:themeColor="text1"/>
              <w:sz w:val="20"/>
              <w:szCs w:val="20"/>
            </w:rPr>
            <w:t xml:space="preserve">37, no 2 (1998): 161-76. Judith Butler, </w:t>
          </w:r>
          <w:r w:rsidRPr="00A72E22">
            <w:rPr>
              <w:i/>
              <w:color w:val="000000" w:themeColor="text1"/>
              <w:sz w:val="20"/>
              <w:szCs w:val="20"/>
            </w:rPr>
            <w:t>Gender Trouble</w:t>
          </w:r>
          <w:r w:rsidRPr="00A72E22">
            <w:rPr>
              <w:color w:val="000000" w:themeColor="text1"/>
              <w:sz w:val="20"/>
              <w:szCs w:val="20"/>
            </w:rPr>
            <w:t xml:space="preserve"> (New York, NY and Abingdon, UK: Routledge, [1990] 2007).</w:t>
          </w:r>
        </w:p>
      </w:sdtContent>
    </w:sdt>
  </w:footnote>
  <w:footnote w:id="5">
    <w:sdt>
      <w:sdtPr>
        <w:rPr>
          <w:color w:val="000000" w:themeColor="text1"/>
          <w:sz w:val="20"/>
          <w:szCs w:val="20"/>
        </w:rPr>
        <w:tag w:val="goog_rdk_277"/>
        <w:id w:val="-1166540355"/>
      </w:sdtPr>
      <w:sdtContent>
        <w:p w14:paraId="000000E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Bent Bars Project, “Prison Abolition is a Queer Issue”, </w:t>
          </w:r>
          <w:r w:rsidRPr="00A72E22">
            <w:rPr>
              <w:i/>
              <w:color w:val="000000" w:themeColor="text1"/>
              <w:sz w:val="20"/>
              <w:szCs w:val="20"/>
            </w:rPr>
            <w:t>Bent Bars Project</w:t>
          </w:r>
          <w:r w:rsidRPr="00A72E22">
            <w:rPr>
              <w:color w:val="000000" w:themeColor="text1"/>
              <w:sz w:val="20"/>
              <w:szCs w:val="20"/>
            </w:rPr>
            <w:t xml:space="preserve"> (2011), 1322. </w:t>
          </w:r>
        </w:p>
      </w:sdtContent>
    </w:sdt>
  </w:footnote>
  <w:footnote w:id="6">
    <w:sdt>
      <w:sdtPr>
        <w:rPr>
          <w:color w:val="000000" w:themeColor="text1"/>
          <w:sz w:val="20"/>
          <w:szCs w:val="20"/>
        </w:rPr>
        <w:tag w:val="goog_rdk_278"/>
        <w:id w:val="134378125"/>
      </w:sdtPr>
      <w:sdtContent>
        <w:p w14:paraId="000000E5" w14:textId="7AA6AD8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the case of Tara Hudson, who was incorrectly housed within a designated unit for individuals with significant mental health and physical needs in the men’s prison estate because of her gender identity. See: Anon, “First UK transgender prison unit to open,” </w:t>
          </w:r>
          <w:r w:rsidRPr="00A72E22">
            <w:rPr>
              <w:i/>
              <w:color w:val="000000" w:themeColor="text1"/>
              <w:sz w:val="20"/>
              <w:szCs w:val="20"/>
            </w:rPr>
            <w:t>BBC News</w:t>
          </w:r>
          <w:r w:rsidRPr="00A72E22">
            <w:rPr>
              <w:color w:val="000000" w:themeColor="text1"/>
              <w:sz w:val="20"/>
              <w:szCs w:val="20"/>
            </w:rPr>
            <w:t>, last modified March 3, 2019</w:t>
          </w:r>
          <w:r>
            <w:rPr>
              <w:color w:val="000000" w:themeColor="text1"/>
              <w:sz w:val="20"/>
              <w:szCs w:val="20"/>
            </w:rPr>
            <w:t xml:space="preserve">, accessed </w:t>
          </w:r>
          <w:r w:rsidRPr="00A72E22">
            <w:rPr>
              <w:color w:val="000000" w:themeColor="text1"/>
              <w:sz w:val="20"/>
              <w:szCs w:val="20"/>
            </w:rPr>
            <w:t xml:space="preserve">20 March 2020, url: </w:t>
          </w:r>
          <w:hyperlink r:id="rId1" w:history="1">
            <w:r w:rsidRPr="00523610">
              <w:rPr>
                <w:rStyle w:val="Hyperlink"/>
                <w:sz w:val="20"/>
                <w:szCs w:val="20"/>
              </w:rPr>
              <w:t>https://www.bbc.co.uk/news/uk-47434730</w:t>
            </w:r>
          </w:hyperlink>
          <w:r w:rsidRPr="00A72E22">
            <w:rPr>
              <w:color w:val="000000" w:themeColor="text1"/>
              <w:sz w:val="20"/>
              <w:szCs w:val="20"/>
            </w:rPr>
            <w:t xml:space="preserve">; Anon, “New Non-Binary Prison in Scotland?,” </w:t>
          </w:r>
          <w:r w:rsidRPr="00A72E22">
            <w:rPr>
              <w:i/>
              <w:color w:val="000000" w:themeColor="text1"/>
              <w:sz w:val="20"/>
              <w:szCs w:val="20"/>
            </w:rPr>
            <w:t>Corporate Watch</w:t>
          </w:r>
          <w:r w:rsidRPr="00A72E22">
            <w:rPr>
              <w:color w:val="000000" w:themeColor="text1"/>
              <w:sz w:val="20"/>
              <w:szCs w:val="20"/>
            </w:rPr>
            <w:t>, last modified Jan 17, 2018</w:t>
          </w:r>
          <w:r>
            <w:rPr>
              <w:color w:val="000000" w:themeColor="text1"/>
              <w:sz w:val="20"/>
              <w:szCs w:val="20"/>
            </w:rPr>
            <w:t xml:space="preserve">, accessed </w:t>
          </w:r>
          <w:r w:rsidRPr="00A72E22">
            <w:rPr>
              <w:color w:val="000000" w:themeColor="text1"/>
              <w:sz w:val="20"/>
              <w:szCs w:val="20"/>
            </w:rPr>
            <w:t xml:space="preserve">March </w:t>
          </w:r>
          <w:r>
            <w:rPr>
              <w:color w:val="000000" w:themeColor="text1"/>
              <w:sz w:val="20"/>
              <w:szCs w:val="20"/>
            </w:rPr>
            <w:t xml:space="preserve">27, </w:t>
          </w:r>
          <w:r w:rsidRPr="00A72E22">
            <w:rPr>
              <w:color w:val="000000" w:themeColor="text1"/>
              <w:sz w:val="20"/>
              <w:szCs w:val="20"/>
            </w:rPr>
            <w:t xml:space="preserve">2020, </w:t>
          </w:r>
          <w:hyperlink r:id="rId2" w:history="1">
            <w:r w:rsidRPr="00A72E22">
              <w:rPr>
                <w:rStyle w:val="Hyperlink"/>
                <w:color w:val="000000" w:themeColor="text1"/>
                <w:sz w:val="20"/>
                <w:szCs w:val="20"/>
              </w:rPr>
              <w:t>https://corporatewatch.org/new-non-binary-prison-in-scotland/</w:t>
            </w:r>
          </w:hyperlink>
          <w:r w:rsidRPr="00A72E22">
            <w:rPr>
              <w:color w:val="000000" w:themeColor="text1"/>
              <w:sz w:val="20"/>
              <w:szCs w:val="20"/>
            </w:rPr>
            <w:t xml:space="preserve">.  </w:t>
          </w:r>
        </w:p>
      </w:sdtContent>
    </w:sdt>
  </w:footnote>
  <w:footnote w:id="7">
    <w:sdt>
      <w:sdtPr>
        <w:rPr>
          <w:color w:val="000000" w:themeColor="text1"/>
          <w:sz w:val="20"/>
          <w:szCs w:val="20"/>
        </w:rPr>
        <w:tag w:val="goog_rdk_279"/>
        <w:id w:val="-519157408"/>
      </w:sdtPr>
      <w:sdtContent>
        <w:p w14:paraId="000000E6" w14:textId="5124149B"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PSI 07/2011, “The Care and Management of Transsexual Prisoners, HM Prison and Probation Service”, 3. </w:t>
          </w:r>
        </w:p>
      </w:sdtContent>
    </w:sdt>
  </w:footnote>
  <w:footnote w:id="8">
    <w:sdt>
      <w:sdtPr>
        <w:rPr>
          <w:color w:val="000000" w:themeColor="text1"/>
          <w:sz w:val="20"/>
          <w:szCs w:val="20"/>
        </w:rPr>
        <w:tag w:val="goog_rdk_280"/>
        <w:id w:val="971871416"/>
      </w:sdtPr>
      <w:sdtContent>
        <w:p w14:paraId="000000E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Dean Spade, “The Only Way to End Racialized Gender Violence in Prisons is to End Prisons: A Response to Russell Robinson’s “Masculinity as Prison””, </w:t>
          </w:r>
          <w:r w:rsidRPr="00A72E22">
            <w:rPr>
              <w:i/>
              <w:color w:val="000000" w:themeColor="text1"/>
              <w:sz w:val="20"/>
              <w:szCs w:val="20"/>
            </w:rPr>
            <w:t>The Circuit</w:t>
          </w:r>
          <w:r w:rsidRPr="00A72E22">
            <w:rPr>
              <w:color w:val="000000" w:themeColor="text1"/>
              <w:sz w:val="20"/>
              <w:szCs w:val="20"/>
            </w:rPr>
            <w:t>, Paper 4, (2012) 184-195, 191.</w:t>
          </w:r>
        </w:p>
      </w:sdtContent>
    </w:sdt>
  </w:footnote>
  <w:footnote w:id="9">
    <w:sdt>
      <w:sdtPr>
        <w:rPr>
          <w:color w:val="000000" w:themeColor="text1"/>
          <w:sz w:val="20"/>
          <w:szCs w:val="20"/>
        </w:rPr>
        <w:tag w:val="goog_rdk_281"/>
        <w:id w:val="-1260287195"/>
      </w:sdtPr>
      <w:sdtContent>
        <w:p w14:paraId="000000E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Julia C </w:t>
          </w:r>
          <w:proofErr w:type="spellStart"/>
          <w:r w:rsidRPr="00A72E22">
            <w:rPr>
              <w:color w:val="000000" w:themeColor="text1"/>
              <w:sz w:val="20"/>
              <w:szCs w:val="20"/>
            </w:rPr>
            <w:t>Oparah</w:t>
          </w:r>
          <w:proofErr w:type="spellEnd"/>
          <w:r w:rsidRPr="00A72E22">
            <w:rPr>
              <w:color w:val="000000" w:themeColor="text1"/>
              <w:sz w:val="20"/>
              <w:szCs w:val="20"/>
            </w:rPr>
            <w:t xml:space="preserve">, “Feminism and the (Trans)gender Entrapment of Gender Nonconforming Prisoners”, </w:t>
          </w:r>
          <w:r w:rsidRPr="00A72E22">
            <w:rPr>
              <w:i/>
              <w:color w:val="000000" w:themeColor="text1"/>
              <w:sz w:val="20"/>
              <w:szCs w:val="20"/>
            </w:rPr>
            <w:t>UCLA Women’s L.J.</w:t>
          </w:r>
          <w:r w:rsidRPr="00A72E22">
            <w:rPr>
              <w:color w:val="000000" w:themeColor="text1"/>
              <w:sz w:val="20"/>
              <w:szCs w:val="20"/>
            </w:rPr>
            <w:t xml:space="preserve"> 18, (2012): 239-271, 241.</w:t>
          </w:r>
        </w:p>
      </w:sdtContent>
    </w:sdt>
  </w:footnote>
  <w:footnote w:id="10">
    <w:sdt>
      <w:sdtPr>
        <w:rPr>
          <w:color w:val="000000" w:themeColor="text1"/>
          <w:sz w:val="20"/>
          <w:szCs w:val="20"/>
        </w:rPr>
        <w:tag w:val="goog_rdk_282"/>
        <w:id w:val="1917748629"/>
      </w:sdtPr>
      <w:sdtContent>
        <w:p w14:paraId="000000E9"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Eric A Stanley and Dean Spade “Queer (In)Justice, ‘Queering Prison Abolition, Now?” </w:t>
          </w:r>
          <w:r w:rsidRPr="00A72E22">
            <w:rPr>
              <w:i/>
              <w:color w:val="000000" w:themeColor="text1"/>
              <w:sz w:val="20"/>
              <w:szCs w:val="20"/>
            </w:rPr>
            <w:t>American Quarterly</w:t>
          </w:r>
          <w:r w:rsidRPr="00A72E22">
            <w:rPr>
              <w:color w:val="000000" w:themeColor="text1"/>
              <w:sz w:val="20"/>
              <w:szCs w:val="20"/>
            </w:rPr>
            <w:t xml:space="preserve"> (2012) 115-127, 122.</w:t>
          </w:r>
        </w:p>
      </w:sdtContent>
    </w:sdt>
  </w:footnote>
  <w:footnote w:id="11">
    <w:sdt>
      <w:sdtPr>
        <w:rPr>
          <w:color w:val="000000" w:themeColor="text1"/>
          <w:sz w:val="20"/>
          <w:szCs w:val="20"/>
        </w:rPr>
        <w:tag w:val="goog_rdk_283"/>
        <w:id w:val="271443973"/>
      </w:sdtPr>
      <w:sdtContent>
        <w:p w14:paraId="000000E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Robyn Emerton, “Transgender prisoners: law, prison administration, and the emerging tension between human rights and risk” (PhD diss., Keele University, 2018).</w:t>
          </w:r>
        </w:p>
      </w:sdtContent>
    </w:sdt>
  </w:footnote>
  <w:footnote w:id="12">
    <w:sdt>
      <w:sdtPr>
        <w:rPr>
          <w:color w:val="000000" w:themeColor="text1"/>
          <w:sz w:val="20"/>
          <w:szCs w:val="20"/>
        </w:rPr>
        <w:tag w:val="goog_rdk_284"/>
        <w:id w:val="1672603565"/>
      </w:sdtPr>
      <w:sdtContent>
        <w:p w14:paraId="000000EB"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Mary Corcoran, </w:t>
          </w:r>
          <w:r w:rsidRPr="00A72E22">
            <w:rPr>
              <w:i/>
              <w:color w:val="000000" w:themeColor="text1"/>
              <w:sz w:val="20"/>
              <w:szCs w:val="20"/>
            </w:rPr>
            <w:t>Out of Order: The political imprisonment of women in Northern Ireland 1972-1998</w:t>
          </w:r>
          <w:r w:rsidRPr="00A72E22">
            <w:rPr>
              <w:color w:val="000000" w:themeColor="text1"/>
              <w:sz w:val="20"/>
              <w:szCs w:val="20"/>
            </w:rPr>
            <w:t xml:space="preserve"> (Cullompton, UK: Willan Publishing, 2006).</w:t>
          </w:r>
        </w:p>
      </w:sdtContent>
    </w:sdt>
  </w:footnote>
  <w:footnote w:id="13">
    <w:sdt>
      <w:sdtPr>
        <w:rPr>
          <w:color w:val="000000" w:themeColor="text1"/>
          <w:sz w:val="20"/>
          <w:szCs w:val="20"/>
        </w:rPr>
        <w:tag w:val="goog_rdk_285"/>
        <w:id w:val="1199200139"/>
      </w:sdtPr>
      <w:sdtContent>
        <w:p w14:paraId="000000EC"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Michel Foucault, </w:t>
          </w:r>
          <w:r w:rsidRPr="00A72E22">
            <w:rPr>
              <w:i/>
              <w:color w:val="000000" w:themeColor="text1"/>
              <w:sz w:val="20"/>
              <w:szCs w:val="20"/>
            </w:rPr>
            <w:t>Discipline and Punish</w:t>
          </w:r>
          <w:r w:rsidRPr="00A72E22">
            <w:rPr>
              <w:color w:val="000000" w:themeColor="text1"/>
              <w:sz w:val="20"/>
              <w:szCs w:val="20"/>
            </w:rPr>
            <w:t xml:space="preserve"> (London: Penguin Books, [1977] 1991).</w:t>
          </w:r>
        </w:p>
      </w:sdtContent>
    </w:sdt>
  </w:footnote>
  <w:footnote w:id="14">
    <w:sdt>
      <w:sdtPr>
        <w:rPr>
          <w:color w:val="000000" w:themeColor="text1"/>
          <w:sz w:val="20"/>
          <w:szCs w:val="20"/>
        </w:rPr>
        <w:tag w:val="goog_rdk_286"/>
        <w:id w:val="-803314379"/>
      </w:sdtPr>
      <w:sdtContent>
        <w:p w14:paraId="000000ED"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Foucault, </w:t>
          </w:r>
          <w:r w:rsidRPr="00A72E22">
            <w:rPr>
              <w:i/>
              <w:color w:val="000000" w:themeColor="text1"/>
              <w:sz w:val="20"/>
              <w:szCs w:val="20"/>
            </w:rPr>
            <w:t>Discipline and Punish</w:t>
          </w:r>
          <w:r w:rsidRPr="00A72E22">
            <w:rPr>
              <w:color w:val="000000" w:themeColor="text1"/>
              <w:sz w:val="20"/>
              <w:szCs w:val="20"/>
            </w:rPr>
            <w:t>.</w:t>
          </w:r>
        </w:p>
      </w:sdtContent>
    </w:sdt>
  </w:footnote>
  <w:footnote w:id="15">
    <w:sdt>
      <w:sdtPr>
        <w:rPr>
          <w:color w:val="000000" w:themeColor="text1"/>
          <w:sz w:val="20"/>
          <w:szCs w:val="20"/>
        </w:rPr>
        <w:tag w:val="goog_rdk_287"/>
        <w:id w:val="-299843284"/>
      </w:sdtPr>
      <w:sdtContent>
        <w:p w14:paraId="000000EE"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Mitchell Dean, </w:t>
          </w:r>
          <w:r w:rsidRPr="00A72E22">
            <w:rPr>
              <w:i/>
              <w:color w:val="000000" w:themeColor="text1"/>
              <w:sz w:val="20"/>
              <w:szCs w:val="20"/>
            </w:rPr>
            <w:t>Governmentality: Power and Rule in Modern Society,</w:t>
          </w:r>
          <w:r w:rsidRPr="00A72E22">
            <w:rPr>
              <w:color w:val="000000" w:themeColor="text1"/>
              <w:sz w:val="20"/>
              <w:szCs w:val="20"/>
            </w:rPr>
            <w:t xml:space="preserve"> 2nd </w:t>
          </w:r>
          <w:proofErr w:type="spellStart"/>
          <w:r w:rsidRPr="00A72E22">
            <w:rPr>
              <w:color w:val="000000" w:themeColor="text1"/>
              <w:sz w:val="20"/>
              <w:szCs w:val="20"/>
            </w:rPr>
            <w:t>edn</w:t>
          </w:r>
          <w:proofErr w:type="spellEnd"/>
          <w:r w:rsidRPr="00A72E22">
            <w:rPr>
              <w:color w:val="000000" w:themeColor="text1"/>
              <w:sz w:val="20"/>
              <w:szCs w:val="20"/>
            </w:rPr>
            <w:t xml:space="preserve"> (Los Angeles: Sage, 2010) 18. See also Michel Foucault, </w:t>
          </w:r>
          <w:r w:rsidRPr="00A72E22">
            <w:rPr>
              <w:i/>
              <w:color w:val="000000" w:themeColor="text1"/>
              <w:sz w:val="20"/>
              <w:szCs w:val="20"/>
            </w:rPr>
            <w:t xml:space="preserve">The Birth of Biopolitics: Lectures at the Collège de France, 1978-1979 </w:t>
          </w:r>
          <w:r w:rsidRPr="00A72E22">
            <w:rPr>
              <w:color w:val="000000" w:themeColor="text1"/>
              <w:sz w:val="20"/>
              <w:szCs w:val="20"/>
            </w:rPr>
            <w:t>(Basingstoke: Palgrave Macmillan, 2008).</w:t>
          </w:r>
        </w:p>
      </w:sdtContent>
    </w:sdt>
  </w:footnote>
  <w:footnote w:id="16">
    <w:sdt>
      <w:sdtPr>
        <w:rPr>
          <w:color w:val="000000" w:themeColor="text1"/>
          <w:sz w:val="20"/>
          <w:szCs w:val="20"/>
        </w:rPr>
        <w:tag w:val="goog_rdk_288"/>
        <w:id w:val="742765695"/>
      </w:sdtPr>
      <w:sdtContent>
        <w:p w14:paraId="000000EF"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Dean, </w:t>
          </w:r>
          <w:r w:rsidRPr="00A72E22">
            <w:rPr>
              <w:i/>
              <w:color w:val="000000" w:themeColor="text1"/>
              <w:sz w:val="20"/>
              <w:szCs w:val="20"/>
            </w:rPr>
            <w:t>Governmentality</w:t>
          </w:r>
          <w:r w:rsidRPr="00A72E22">
            <w:rPr>
              <w:color w:val="000000" w:themeColor="text1"/>
              <w:sz w:val="20"/>
              <w:szCs w:val="20"/>
            </w:rPr>
            <w:t xml:space="preserve">, 18; Rose and Miller </w:t>
          </w:r>
          <w:proofErr w:type="spellStart"/>
          <w:r w:rsidRPr="00A72E22">
            <w:rPr>
              <w:color w:val="000000" w:themeColor="text1"/>
              <w:sz w:val="20"/>
              <w:szCs w:val="20"/>
            </w:rPr>
            <w:t>cit</w:t>
          </w:r>
          <w:proofErr w:type="spellEnd"/>
          <w:r w:rsidRPr="00A72E22">
            <w:rPr>
              <w:color w:val="000000" w:themeColor="text1"/>
              <w:sz w:val="20"/>
              <w:szCs w:val="20"/>
            </w:rPr>
            <w:t xml:space="preserve"> in Eamonn </w:t>
          </w:r>
          <w:proofErr w:type="spellStart"/>
          <w:r w:rsidRPr="00A72E22">
            <w:rPr>
              <w:color w:val="000000" w:themeColor="text1"/>
              <w:sz w:val="20"/>
              <w:szCs w:val="20"/>
            </w:rPr>
            <w:t>Carrabine</w:t>
          </w:r>
          <w:proofErr w:type="spellEnd"/>
          <w:r w:rsidRPr="00A72E22">
            <w:rPr>
              <w:color w:val="000000" w:themeColor="text1"/>
              <w:sz w:val="20"/>
              <w:szCs w:val="20"/>
            </w:rPr>
            <w:t xml:space="preserve">, </w:t>
          </w:r>
          <w:r w:rsidRPr="00A72E22">
            <w:rPr>
              <w:i/>
              <w:color w:val="000000" w:themeColor="text1"/>
              <w:sz w:val="20"/>
              <w:szCs w:val="20"/>
            </w:rPr>
            <w:t>Power, Discourse and Resistance: A Genealogy of the Strangeways Prison Riot</w:t>
          </w:r>
          <w:r w:rsidRPr="00A72E22">
            <w:rPr>
              <w:color w:val="000000" w:themeColor="text1"/>
              <w:sz w:val="20"/>
              <w:szCs w:val="20"/>
            </w:rPr>
            <w:t xml:space="preserve"> (Dartmouth: Ashgate, 2004)</w:t>
          </w:r>
        </w:p>
      </w:sdtContent>
    </w:sdt>
  </w:footnote>
  <w:footnote w:id="17">
    <w:sdt>
      <w:sdtPr>
        <w:rPr>
          <w:color w:val="000000" w:themeColor="text1"/>
          <w:sz w:val="20"/>
          <w:szCs w:val="20"/>
        </w:rPr>
        <w:tag w:val="goog_rdk_289"/>
        <w:id w:val="-548230972"/>
      </w:sdtPr>
      <w:sdtContent>
        <w:p w14:paraId="000000F0"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Dean, </w:t>
          </w:r>
          <w:r w:rsidRPr="00A72E22">
            <w:rPr>
              <w:i/>
              <w:color w:val="000000" w:themeColor="text1"/>
              <w:sz w:val="20"/>
              <w:szCs w:val="20"/>
            </w:rPr>
            <w:t>Governmentality</w:t>
          </w:r>
          <w:r w:rsidRPr="00A72E22">
            <w:rPr>
              <w:color w:val="000000" w:themeColor="text1"/>
              <w:sz w:val="20"/>
              <w:szCs w:val="20"/>
            </w:rPr>
            <w:t>, 30.</w:t>
          </w:r>
        </w:p>
      </w:sdtContent>
    </w:sdt>
  </w:footnote>
  <w:footnote w:id="18">
    <w:sdt>
      <w:sdtPr>
        <w:rPr>
          <w:color w:val="000000" w:themeColor="text1"/>
          <w:sz w:val="20"/>
          <w:szCs w:val="20"/>
        </w:rPr>
        <w:tag w:val="goog_rdk_290"/>
        <w:id w:val="-604971242"/>
      </w:sdtPr>
      <w:sdtContent>
        <w:p w14:paraId="000000F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Michel Foucault, “Governmentality”, in </w:t>
          </w:r>
          <w:r w:rsidRPr="00A72E22">
            <w:rPr>
              <w:i/>
              <w:color w:val="000000" w:themeColor="text1"/>
              <w:sz w:val="20"/>
              <w:szCs w:val="20"/>
            </w:rPr>
            <w:t>The Foucault Effect: Studies in Governmentality: with two Lectures by and an Interview with Michel Foucault</w:t>
          </w:r>
          <w:r w:rsidRPr="00A72E22">
            <w:rPr>
              <w:color w:val="000000" w:themeColor="text1"/>
              <w:sz w:val="20"/>
              <w:szCs w:val="20"/>
            </w:rPr>
            <w:t>, ed. Graham Burchell, Colin Gordon and Peter Miller (Chicago: University of Chicago Press, 1991) 87-104.</w:t>
          </w:r>
        </w:p>
      </w:sdtContent>
    </w:sdt>
  </w:footnote>
  <w:footnote w:id="19">
    <w:sdt>
      <w:sdtPr>
        <w:rPr>
          <w:color w:val="000000" w:themeColor="text1"/>
          <w:sz w:val="20"/>
          <w:szCs w:val="20"/>
        </w:rPr>
        <w:tag w:val="goog_rdk_291"/>
        <w:id w:val="-1385551101"/>
      </w:sdtPr>
      <w:sdtContent>
        <w:p w14:paraId="000000F2"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Dean, </w:t>
          </w:r>
          <w:r w:rsidRPr="00A72E22">
            <w:rPr>
              <w:i/>
              <w:color w:val="000000" w:themeColor="text1"/>
              <w:sz w:val="20"/>
              <w:szCs w:val="20"/>
            </w:rPr>
            <w:t>Governmentality</w:t>
          </w:r>
          <w:r w:rsidRPr="00A72E22">
            <w:rPr>
              <w:color w:val="000000" w:themeColor="text1"/>
              <w:sz w:val="20"/>
              <w:szCs w:val="20"/>
            </w:rPr>
            <w:t>, 122.</w:t>
          </w:r>
        </w:p>
      </w:sdtContent>
    </w:sdt>
  </w:footnote>
  <w:footnote w:id="20">
    <w:sdt>
      <w:sdtPr>
        <w:rPr>
          <w:color w:val="000000" w:themeColor="text1"/>
          <w:sz w:val="20"/>
          <w:szCs w:val="20"/>
        </w:rPr>
        <w:tag w:val="goog_rdk_292"/>
        <w:id w:val="1803267940"/>
      </w:sdtPr>
      <w:sdtContent>
        <w:p w14:paraId="000000F3"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Michel Foucault, </w:t>
          </w:r>
          <w:r w:rsidRPr="00A72E22">
            <w:rPr>
              <w:i/>
              <w:color w:val="000000" w:themeColor="text1"/>
              <w:sz w:val="20"/>
              <w:szCs w:val="20"/>
            </w:rPr>
            <w:t xml:space="preserve">Society Must Be Defended </w:t>
          </w:r>
          <w:r w:rsidRPr="00A72E22">
            <w:rPr>
              <w:color w:val="000000" w:themeColor="text1"/>
              <w:sz w:val="20"/>
              <w:szCs w:val="20"/>
            </w:rPr>
            <w:t>(London: Penguin Books, 2004) 29.</w:t>
          </w:r>
        </w:p>
      </w:sdtContent>
    </w:sdt>
  </w:footnote>
  <w:footnote w:id="21">
    <w:sdt>
      <w:sdtPr>
        <w:rPr>
          <w:color w:val="000000" w:themeColor="text1"/>
          <w:sz w:val="20"/>
          <w:szCs w:val="20"/>
        </w:rPr>
        <w:tag w:val="goog_rdk_293"/>
        <w:id w:val="-421345776"/>
      </w:sdtPr>
      <w:sdtContent>
        <w:p w14:paraId="000000F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Dean, </w:t>
          </w:r>
          <w:r w:rsidRPr="00A72E22">
            <w:rPr>
              <w:i/>
              <w:color w:val="000000" w:themeColor="text1"/>
              <w:sz w:val="20"/>
              <w:szCs w:val="20"/>
            </w:rPr>
            <w:t>Governmentality,</w:t>
          </w:r>
          <w:r w:rsidRPr="00A72E22">
            <w:rPr>
              <w:color w:val="000000" w:themeColor="text1"/>
              <w:sz w:val="20"/>
              <w:szCs w:val="20"/>
            </w:rPr>
            <w:t xml:space="preserve"> 58.</w:t>
          </w:r>
        </w:p>
      </w:sdtContent>
    </w:sdt>
  </w:footnote>
  <w:footnote w:id="22">
    <w:sdt>
      <w:sdtPr>
        <w:rPr>
          <w:color w:val="000000" w:themeColor="text1"/>
          <w:sz w:val="20"/>
          <w:szCs w:val="20"/>
        </w:rPr>
        <w:tag w:val="goog_rdk_294"/>
        <w:id w:val="-1377231118"/>
      </w:sdtPr>
      <w:sdtContent>
        <w:p w14:paraId="000000F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Kelly Hannah-</w:t>
          </w:r>
          <w:proofErr w:type="spellStart"/>
          <w:r w:rsidRPr="00A72E22">
            <w:rPr>
              <w:color w:val="000000" w:themeColor="text1"/>
              <w:sz w:val="20"/>
              <w:szCs w:val="20"/>
            </w:rPr>
            <w:t>Moffat</w:t>
          </w:r>
          <w:proofErr w:type="spellEnd"/>
          <w:r w:rsidRPr="00A72E22">
            <w:rPr>
              <w:color w:val="000000" w:themeColor="text1"/>
              <w:sz w:val="20"/>
              <w:szCs w:val="20"/>
            </w:rPr>
            <w:t xml:space="preserve">, </w:t>
          </w:r>
          <w:r w:rsidRPr="00A72E22">
            <w:rPr>
              <w:i/>
              <w:color w:val="000000" w:themeColor="text1"/>
              <w:sz w:val="20"/>
              <w:szCs w:val="20"/>
            </w:rPr>
            <w:t>Punishment in Disguise: Penal Governance and Federal Imprisonment of Women in Canada</w:t>
          </w:r>
          <w:r w:rsidRPr="00A72E22">
            <w:rPr>
              <w:color w:val="000000" w:themeColor="text1"/>
              <w:sz w:val="20"/>
              <w:szCs w:val="20"/>
            </w:rPr>
            <w:t xml:space="preserve"> (Toronto, Canada: University of Toronto Press, 2001). </w:t>
          </w:r>
          <w:proofErr w:type="spellStart"/>
          <w:r w:rsidRPr="00A72E22">
            <w:rPr>
              <w:color w:val="000000" w:themeColor="text1"/>
              <w:sz w:val="20"/>
              <w:szCs w:val="20"/>
            </w:rPr>
            <w:t>Carrabine</w:t>
          </w:r>
          <w:proofErr w:type="spellEnd"/>
          <w:r w:rsidRPr="00A72E22">
            <w:rPr>
              <w:color w:val="000000" w:themeColor="text1"/>
              <w:sz w:val="20"/>
              <w:szCs w:val="20"/>
            </w:rPr>
            <w:t xml:space="preserve">, </w:t>
          </w:r>
          <w:r w:rsidRPr="00A72E22">
            <w:rPr>
              <w:i/>
              <w:color w:val="000000" w:themeColor="text1"/>
              <w:sz w:val="20"/>
              <w:szCs w:val="20"/>
            </w:rPr>
            <w:t>Power, Discourse and Resistance</w:t>
          </w:r>
          <w:r w:rsidRPr="00A72E22">
            <w:rPr>
              <w:color w:val="000000" w:themeColor="text1"/>
              <w:sz w:val="20"/>
              <w:szCs w:val="20"/>
            </w:rPr>
            <w:t xml:space="preserve">. </w:t>
          </w:r>
        </w:p>
      </w:sdtContent>
    </w:sdt>
  </w:footnote>
  <w:footnote w:id="23">
    <w:sdt>
      <w:sdtPr>
        <w:rPr>
          <w:color w:val="000000" w:themeColor="text1"/>
          <w:sz w:val="20"/>
          <w:szCs w:val="20"/>
        </w:rPr>
        <w:tag w:val="goog_rdk_295"/>
        <w:id w:val="1936016448"/>
      </w:sdtPr>
      <w:sdtContent>
        <w:p w14:paraId="000000F6"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Hannah-</w:t>
          </w:r>
          <w:proofErr w:type="spellStart"/>
          <w:r w:rsidRPr="00A72E22">
            <w:rPr>
              <w:color w:val="000000" w:themeColor="text1"/>
              <w:sz w:val="20"/>
              <w:szCs w:val="20"/>
            </w:rPr>
            <w:t>Moffat</w:t>
          </w:r>
          <w:proofErr w:type="spellEnd"/>
          <w:r w:rsidRPr="00A72E22">
            <w:rPr>
              <w:color w:val="000000" w:themeColor="text1"/>
              <w:sz w:val="20"/>
              <w:szCs w:val="20"/>
            </w:rPr>
            <w:t xml:space="preserve">, </w:t>
          </w:r>
          <w:r w:rsidRPr="00A72E22">
            <w:rPr>
              <w:i/>
              <w:color w:val="000000" w:themeColor="text1"/>
              <w:sz w:val="20"/>
              <w:szCs w:val="20"/>
            </w:rPr>
            <w:t>Punishment in Disguise</w:t>
          </w:r>
          <w:r w:rsidRPr="00A72E22">
            <w:rPr>
              <w:color w:val="000000" w:themeColor="text1"/>
              <w:sz w:val="20"/>
              <w:szCs w:val="20"/>
            </w:rPr>
            <w:t>.</w:t>
          </w:r>
        </w:p>
      </w:sdtContent>
    </w:sdt>
  </w:footnote>
  <w:footnote w:id="24">
    <w:sdt>
      <w:sdtPr>
        <w:rPr>
          <w:color w:val="000000" w:themeColor="text1"/>
          <w:sz w:val="20"/>
          <w:szCs w:val="20"/>
        </w:rPr>
        <w:tag w:val="goog_rdk_296"/>
        <w:id w:val="-1852788178"/>
      </w:sdtPr>
      <w:sdtContent>
        <w:p w14:paraId="000000F7"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Thomas </w:t>
          </w:r>
          <w:proofErr w:type="spellStart"/>
          <w:r w:rsidRPr="00A72E22">
            <w:rPr>
              <w:color w:val="000000" w:themeColor="text1"/>
              <w:sz w:val="20"/>
              <w:szCs w:val="20"/>
            </w:rPr>
            <w:t>Ugelvik</w:t>
          </w:r>
          <w:proofErr w:type="spellEnd"/>
          <w:r w:rsidRPr="00A72E22">
            <w:rPr>
              <w:color w:val="000000" w:themeColor="text1"/>
              <w:sz w:val="20"/>
              <w:szCs w:val="20"/>
            </w:rPr>
            <w:t xml:space="preserve">, </w:t>
          </w:r>
          <w:r w:rsidRPr="00A72E22">
            <w:rPr>
              <w:i/>
              <w:color w:val="000000" w:themeColor="text1"/>
              <w:sz w:val="20"/>
              <w:szCs w:val="20"/>
            </w:rPr>
            <w:t>Power and Resistance in Prison: Doing Time, Doing Freedom</w:t>
          </w:r>
          <w:r w:rsidRPr="00A72E22">
            <w:rPr>
              <w:color w:val="000000" w:themeColor="text1"/>
              <w:sz w:val="20"/>
              <w:szCs w:val="20"/>
            </w:rPr>
            <w:t>, Palgrave Studies in Prisons and Penology (Basingstoke, UK: Palgrave Macmillan, 2014).</w:t>
          </w:r>
        </w:p>
      </w:sdtContent>
    </w:sdt>
  </w:footnote>
  <w:footnote w:id="25">
    <w:sdt>
      <w:sdtPr>
        <w:rPr>
          <w:color w:val="000000" w:themeColor="text1"/>
          <w:sz w:val="20"/>
          <w:szCs w:val="20"/>
        </w:rPr>
        <w:tag w:val="goog_rdk_297"/>
        <w:id w:val="-541749695"/>
      </w:sdtPr>
      <w:sdtContent>
        <w:p w14:paraId="000000F8"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proofErr w:type="spellStart"/>
          <w:r w:rsidRPr="00A72E22">
            <w:rPr>
              <w:color w:val="000000" w:themeColor="text1"/>
              <w:sz w:val="20"/>
              <w:szCs w:val="20"/>
            </w:rPr>
            <w:t>Carrabine</w:t>
          </w:r>
          <w:proofErr w:type="spellEnd"/>
          <w:r w:rsidRPr="00A72E22">
            <w:rPr>
              <w:color w:val="000000" w:themeColor="text1"/>
              <w:sz w:val="20"/>
              <w:szCs w:val="20"/>
            </w:rPr>
            <w:t xml:space="preserve"> and Longhurst, </w:t>
          </w:r>
          <w:r w:rsidRPr="00A72E22">
            <w:rPr>
              <w:i/>
              <w:color w:val="000000" w:themeColor="text1"/>
              <w:sz w:val="20"/>
              <w:szCs w:val="20"/>
            </w:rPr>
            <w:t>Gender and Prison Organisation.</w:t>
          </w:r>
        </w:p>
      </w:sdtContent>
    </w:sdt>
  </w:footnote>
  <w:footnote w:id="26">
    <w:sdt>
      <w:sdtPr>
        <w:rPr>
          <w:color w:val="000000" w:themeColor="text1"/>
          <w:sz w:val="20"/>
          <w:szCs w:val="20"/>
        </w:rPr>
        <w:tag w:val="goog_rdk_298"/>
        <w:id w:val="-1440370672"/>
      </w:sdtPr>
      <w:sdtContent>
        <w:p w14:paraId="000000F9"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Judith Butler, </w:t>
          </w:r>
          <w:r w:rsidRPr="00A72E22">
            <w:rPr>
              <w:i/>
              <w:color w:val="000000" w:themeColor="text1"/>
              <w:sz w:val="20"/>
              <w:szCs w:val="20"/>
            </w:rPr>
            <w:t>Gender Trouble.</w:t>
          </w:r>
        </w:p>
      </w:sdtContent>
    </w:sdt>
  </w:footnote>
  <w:footnote w:id="27">
    <w:sdt>
      <w:sdtPr>
        <w:rPr>
          <w:color w:val="000000" w:themeColor="text1"/>
          <w:sz w:val="20"/>
          <w:szCs w:val="20"/>
        </w:rPr>
        <w:tag w:val="goog_rdk_299"/>
        <w:id w:val="-1297905321"/>
      </w:sdtPr>
      <w:sdtContent>
        <w:p w14:paraId="000000FA"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Judith Butler, </w:t>
          </w:r>
          <w:r w:rsidRPr="00A72E22">
            <w:rPr>
              <w:i/>
              <w:color w:val="000000" w:themeColor="text1"/>
              <w:sz w:val="20"/>
              <w:szCs w:val="20"/>
            </w:rPr>
            <w:t>Gender Trouble</w:t>
          </w:r>
          <w:r w:rsidRPr="00A72E22">
            <w:rPr>
              <w:color w:val="000000" w:themeColor="text1"/>
              <w:sz w:val="20"/>
              <w:szCs w:val="20"/>
            </w:rPr>
            <w:t>.</w:t>
          </w:r>
        </w:p>
      </w:sdtContent>
    </w:sdt>
  </w:footnote>
  <w:footnote w:id="28">
    <w:sdt>
      <w:sdtPr>
        <w:rPr>
          <w:color w:val="000000" w:themeColor="text1"/>
          <w:sz w:val="20"/>
          <w:szCs w:val="20"/>
        </w:rPr>
        <w:tag w:val="goog_rdk_300"/>
        <w:id w:val="872820331"/>
      </w:sdtPr>
      <w:sdtContent>
        <w:p w14:paraId="000000FB"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Lori </w:t>
          </w:r>
          <w:proofErr w:type="spellStart"/>
          <w:r w:rsidRPr="00A72E22">
            <w:rPr>
              <w:color w:val="000000" w:themeColor="text1"/>
              <w:sz w:val="20"/>
              <w:szCs w:val="20"/>
            </w:rPr>
            <w:t>Girshick</w:t>
          </w:r>
          <w:proofErr w:type="spellEnd"/>
          <w:r w:rsidRPr="00A72E22">
            <w:rPr>
              <w:color w:val="000000" w:themeColor="text1"/>
              <w:sz w:val="20"/>
              <w:szCs w:val="20"/>
            </w:rPr>
            <w:t xml:space="preserve"> ‘Out of Compliance: Masculine-Identified People in Women’s Prisons’, in </w:t>
          </w:r>
          <w:r w:rsidRPr="00A72E22">
            <w:rPr>
              <w:i/>
              <w:color w:val="000000" w:themeColor="text1"/>
              <w:sz w:val="20"/>
              <w:szCs w:val="20"/>
            </w:rPr>
            <w:t>Captive Genders: Trans Embodiment and the Prison Industrial Complex</w:t>
          </w:r>
          <w:r w:rsidRPr="00A72E22">
            <w:rPr>
              <w:color w:val="000000" w:themeColor="text1"/>
              <w:sz w:val="20"/>
              <w:szCs w:val="20"/>
            </w:rPr>
            <w:t>, ed. Eric A Stanley  and Nat Smith (Edinburgh, UK, Oakland, CA: AK Press, 2011) 215-234, 217.</w:t>
          </w:r>
        </w:p>
      </w:sdtContent>
    </w:sdt>
  </w:footnote>
  <w:footnote w:id="29">
    <w:sdt>
      <w:sdtPr>
        <w:rPr>
          <w:color w:val="000000" w:themeColor="text1"/>
          <w:sz w:val="20"/>
          <w:szCs w:val="20"/>
        </w:rPr>
        <w:tag w:val="goog_rdk_301"/>
        <w:id w:val="567084929"/>
      </w:sdtPr>
      <w:sdtContent>
        <w:p w14:paraId="000000FC"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Joe Sim, “Tougher than the rest? Men in prison”, in </w:t>
          </w:r>
          <w:r w:rsidRPr="00A72E22">
            <w:rPr>
              <w:i/>
              <w:color w:val="000000" w:themeColor="text1"/>
              <w:sz w:val="20"/>
              <w:szCs w:val="20"/>
            </w:rPr>
            <w:t>Just Boys Doing Business? Men, Masculinities and Crime</w:t>
          </w:r>
          <w:r w:rsidRPr="00A72E22">
            <w:rPr>
              <w:color w:val="000000" w:themeColor="text1"/>
              <w:sz w:val="20"/>
              <w:szCs w:val="20"/>
            </w:rPr>
            <w:t>, ed. Tim Newburn and Elizabeth A. Stanko (London: Routledge, 1994) 100-17.</w:t>
          </w:r>
        </w:p>
      </w:sdtContent>
    </w:sdt>
  </w:footnote>
  <w:footnote w:id="30">
    <w:sdt>
      <w:sdtPr>
        <w:rPr>
          <w:color w:val="000000" w:themeColor="text1"/>
          <w:sz w:val="20"/>
          <w:szCs w:val="20"/>
        </w:rPr>
        <w:tag w:val="goog_rdk_302"/>
        <w:id w:val="977881816"/>
      </w:sdtPr>
      <w:sdtContent>
        <w:p w14:paraId="000000FD"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Lori </w:t>
          </w:r>
          <w:proofErr w:type="spellStart"/>
          <w:r w:rsidRPr="00A72E22">
            <w:rPr>
              <w:color w:val="000000" w:themeColor="text1"/>
              <w:sz w:val="20"/>
              <w:szCs w:val="20"/>
            </w:rPr>
            <w:t>Girshick</w:t>
          </w:r>
          <w:proofErr w:type="spellEnd"/>
          <w:r w:rsidRPr="00A72E22">
            <w:rPr>
              <w:color w:val="000000" w:themeColor="text1"/>
              <w:sz w:val="20"/>
              <w:szCs w:val="20"/>
            </w:rPr>
            <w:t>, “Out of Compliance”, 217.</w:t>
          </w:r>
        </w:p>
      </w:sdtContent>
    </w:sdt>
  </w:footnote>
  <w:footnote w:id="31">
    <w:sdt>
      <w:sdtPr>
        <w:rPr>
          <w:color w:val="000000" w:themeColor="text1"/>
          <w:sz w:val="20"/>
          <w:szCs w:val="20"/>
        </w:rPr>
        <w:tag w:val="goog_rdk_303"/>
        <w:id w:val="-1596864775"/>
      </w:sdtPr>
      <w:sdtContent>
        <w:p w14:paraId="000000FE"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 Carlen, </w:t>
          </w:r>
          <w:r w:rsidRPr="00A72E22">
            <w:rPr>
              <w:i/>
              <w:color w:val="000000" w:themeColor="text1"/>
              <w:sz w:val="20"/>
              <w:szCs w:val="20"/>
            </w:rPr>
            <w:t xml:space="preserve">Sledgehammer: Women's Imprisonment at the </w:t>
          </w:r>
          <w:r w:rsidRPr="00A72E22">
            <w:rPr>
              <w:color w:val="000000" w:themeColor="text1"/>
              <w:sz w:val="20"/>
              <w:szCs w:val="20"/>
            </w:rPr>
            <w:t>Millennium (London: Macmillan Press, 1998) 67-8.</w:t>
          </w:r>
        </w:p>
      </w:sdtContent>
    </w:sdt>
  </w:footnote>
  <w:footnote w:id="32">
    <w:sdt>
      <w:sdtPr>
        <w:rPr>
          <w:color w:val="000000" w:themeColor="text1"/>
          <w:sz w:val="20"/>
          <w:szCs w:val="20"/>
        </w:rPr>
        <w:tag w:val="goog_rdk_304"/>
        <w:id w:val="-1249197889"/>
      </w:sdtPr>
      <w:sdtContent>
        <w:p w14:paraId="000000FF"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Lori </w:t>
          </w:r>
          <w:proofErr w:type="spellStart"/>
          <w:r w:rsidRPr="00A72E22">
            <w:rPr>
              <w:color w:val="000000" w:themeColor="text1"/>
              <w:sz w:val="20"/>
              <w:szCs w:val="20"/>
            </w:rPr>
            <w:t>Girshick</w:t>
          </w:r>
          <w:proofErr w:type="spellEnd"/>
          <w:r w:rsidRPr="00A72E22">
            <w:rPr>
              <w:color w:val="000000" w:themeColor="text1"/>
              <w:sz w:val="20"/>
              <w:szCs w:val="20"/>
            </w:rPr>
            <w:t>, “Out of Compliance”, 217.</w:t>
          </w:r>
          <w:r w:rsidRPr="00A72E22">
            <w:rPr>
              <w:rFonts w:eastAsia="Helvetica Neue"/>
              <w:color w:val="000000" w:themeColor="text1"/>
              <w:sz w:val="20"/>
              <w:szCs w:val="20"/>
            </w:rPr>
            <w:t xml:space="preserve"> </w:t>
          </w:r>
        </w:p>
      </w:sdtContent>
    </w:sdt>
  </w:footnote>
  <w:footnote w:id="33">
    <w:sdt>
      <w:sdtPr>
        <w:rPr>
          <w:color w:val="000000" w:themeColor="text1"/>
          <w:sz w:val="20"/>
          <w:szCs w:val="20"/>
        </w:rPr>
        <w:tag w:val="goog_rdk_305"/>
        <w:id w:val="-1107502341"/>
      </w:sdtPr>
      <w:sdtContent>
        <w:p w14:paraId="00000100"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Pat Carlen and Chris Tchaikovsky, “Women in Prison”, in </w:t>
          </w:r>
          <w:r w:rsidRPr="00A72E22">
            <w:rPr>
              <w:i/>
              <w:color w:val="000000" w:themeColor="text1"/>
              <w:sz w:val="20"/>
              <w:szCs w:val="20"/>
            </w:rPr>
            <w:t>Criminal Women: Autobiographical Accounts</w:t>
          </w:r>
          <w:r w:rsidRPr="00A72E22">
            <w:rPr>
              <w:color w:val="000000" w:themeColor="text1"/>
              <w:sz w:val="20"/>
              <w:szCs w:val="20"/>
            </w:rPr>
            <w:t xml:space="preserve">, ed. Pat Carlen, Jenny Hicks, Josie </w:t>
          </w:r>
          <w:proofErr w:type="spellStart"/>
          <w:r w:rsidRPr="00A72E22">
            <w:rPr>
              <w:color w:val="000000" w:themeColor="text1"/>
              <w:sz w:val="20"/>
              <w:szCs w:val="20"/>
            </w:rPr>
            <w:t>O’Dwyer</w:t>
          </w:r>
          <w:proofErr w:type="spellEnd"/>
          <w:r w:rsidRPr="00A72E22">
            <w:rPr>
              <w:color w:val="000000" w:themeColor="text1"/>
              <w:sz w:val="20"/>
              <w:szCs w:val="20"/>
            </w:rPr>
            <w:t>, Diana Christina and Chris Tchaikovsky</w:t>
          </w:r>
          <w:r w:rsidRPr="00A72E22">
            <w:rPr>
              <w:i/>
              <w:color w:val="000000" w:themeColor="text1"/>
              <w:sz w:val="20"/>
              <w:szCs w:val="20"/>
            </w:rPr>
            <w:t xml:space="preserve"> </w:t>
          </w:r>
          <w:r w:rsidRPr="00A72E22">
            <w:rPr>
              <w:color w:val="000000" w:themeColor="text1"/>
              <w:sz w:val="20"/>
              <w:szCs w:val="20"/>
            </w:rPr>
            <w:t>(Cambridge, Polity Press, 1985) 182-186, 182.</w:t>
          </w:r>
        </w:p>
      </w:sdtContent>
    </w:sdt>
  </w:footnote>
  <w:footnote w:id="34">
    <w:sdt>
      <w:sdtPr>
        <w:rPr>
          <w:color w:val="000000" w:themeColor="text1"/>
          <w:sz w:val="20"/>
          <w:szCs w:val="20"/>
        </w:rPr>
        <w:tag w:val="goog_rdk_306"/>
        <w:id w:val="1245680714"/>
      </w:sdtPr>
      <w:sdtContent>
        <w:p w14:paraId="0000010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This reflects the racialized dimension at the core of incarceration that has already been highlighted.</w:t>
          </w:r>
        </w:p>
      </w:sdtContent>
    </w:sdt>
  </w:footnote>
  <w:footnote w:id="35">
    <w:sdt>
      <w:sdtPr>
        <w:rPr>
          <w:color w:val="000000" w:themeColor="text1"/>
          <w:sz w:val="20"/>
          <w:szCs w:val="20"/>
        </w:rPr>
        <w:tag w:val="goog_rdk_307"/>
        <w:id w:val="926240882"/>
      </w:sdtPr>
      <w:sdtContent>
        <w:p w14:paraId="00000102"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Corcoran, </w:t>
          </w:r>
          <w:r w:rsidRPr="00A72E22">
            <w:rPr>
              <w:i/>
              <w:color w:val="000000" w:themeColor="text1"/>
              <w:sz w:val="20"/>
              <w:szCs w:val="20"/>
            </w:rPr>
            <w:t>Out of Order</w:t>
          </w:r>
          <w:r w:rsidRPr="00A72E22">
            <w:rPr>
              <w:color w:val="000000" w:themeColor="text1"/>
              <w:sz w:val="20"/>
              <w:szCs w:val="20"/>
            </w:rPr>
            <w:t xml:space="preserve">. </w:t>
          </w:r>
        </w:p>
      </w:sdtContent>
    </w:sdt>
  </w:footnote>
  <w:footnote w:id="36">
    <w:sdt>
      <w:sdtPr>
        <w:rPr>
          <w:color w:val="000000" w:themeColor="text1"/>
          <w:sz w:val="20"/>
          <w:szCs w:val="20"/>
        </w:rPr>
        <w:tag w:val="goog_rdk_308"/>
        <w:id w:val="1881585094"/>
      </w:sdtPr>
      <w:sdtContent>
        <w:p w14:paraId="00000103" w14:textId="7CEFEACE"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This is evidenced in ways in which official statistics are collected, namely the percentage of LGB or other prisoners and the number of trans prisoners in a year. For 2017/18, 2.7% of prisoners who declared were LGB or other and 139 trans prisoners out of 83,263 incarcerated people. A breakdown to age, gender and ethnicity is only produced for trans prisoners, e.g. 9% BAME (27% BAME in overall prison population).  Ministry of Justice, NOMS Annual Offender Equalities Report 2016/17, Ministry of Justice Statistics Bulletin, November</w:t>
          </w:r>
          <w:r>
            <w:rPr>
              <w:color w:val="000000" w:themeColor="text1"/>
              <w:sz w:val="20"/>
              <w:szCs w:val="20"/>
            </w:rPr>
            <w:t xml:space="preserve"> 30, </w:t>
          </w:r>
          <w:r w:rsidRPr="00A72E22">
            <w:rPr>
              <w:color w:val="000000" w:themeColor="text1"/>
              <w:sz w:val="20"/>
              <w:szCs w:val="20"/>
            </w:rPr>
            <w:t xml:space="preserve">2017 </w:t>
          </w:r>
          <w:hyperlink r:id="rId3">
            <w:r w:rsidRPr="00A72E22">
              <w:rPr>
                <w:color w:val="000000" w:themeColor="text1"/>
                <w:sz w:val="20"/>
                <w:szCs w:val="20"/>
                <w:u w:val="single"/>
              </w:rPr>
              <w:t>https://assets.publishing.service.gov.uk/government/uploads/system/uploads/attachment_data/file/760093/hmpps-offender-equalities-2017-18.pdf</w:t>
            </w:r>
          </w:hyperlink>
          <w:r w:rsidRPr="00A72E22">
            <w:rPr>
              <w:color w:val="000000" w:themeColor="text1"/>
              <w:sz w:val="20"/>
              <w:szCs w:val="20"/>
            </w:rPr>
            <w:t>. NOMS only really started collecting some data on LGB and trans people in prison from 2015/16 Offender Equalities Report. The first report was published in 2013.</w:t>
          </w:r>
        </w:p>
      </w:sdtContent>
    </w:sdt>
  </w:footnote>
  <w:footnote w:id="37">
    <w:sdt>
      <w:sdtPr>
        <w:rPr>
          <w:color w:val="000000" w:themeColor="text1"/>
          <w:sz w:val="20"/>
          <w:szCs w:val="20"/>
        </w:rPr>
        <w:tag w:val="goog_rdk_309"/>
        <w:id w:val="-964727734"/>
      </w:sdtPr>
      <w:sdtContent>
        <w:p w14:paraId="0000010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Eric Stanley, “Introduction: Fugitive Flesh: Gender Self-determination, Queer Abolition and Trans Resistance”, in </w:t>
          </w:r>
          <w:r w:rsidRPr="00A72E22">
            <w:rPr>
              <w:i/>
              <w:color w:val="000000" w:themeColor="text1"/>
              <w:sz w:val="20"/>
              <w:szCs w:val="20"/>
            </w:rPr>
            <w:t>Captive Genders: Trans Embodiment and the Prison Industrial Complex</w:t>
          </w:r>
          <w:r w:rsidRPr="00A72E22">
            <w:rPr>
              <w:color w:val="000000" w:themeColor="text1"/>
              <w:sz w:val="20"/>
              <w:szCs w:val="20"/>
            </w:rPr>
            <w:t xml:space="preserve"> ed. Eric Stanley and Nat Smith (Edinburgh, Oakland, Baltimore: AK Press, 2011) 7-20.</w:t>
          </w:r>
        </w:p>
      </w:sdtContent>
    </w:sdt>
  </w:footnote>
  <w:footnote w:id="38">
    <w:sdt>
      <w:sdtPr>
        <w:rPr>
          <w:color w:val="000000" w:themeColor="text1"/>
          <w:sz w:val="20"/>
          <w:szCs w:val="20"/>
        </w:rPr>
        <w:tag w:val="goog_rdk_310"/>
        <w:id w:val="-1171408155"/>
      </w:sdtPr>
      <w:sdtContent>
        <w:p w14:paraId="0000010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subsection Gender Recognition.</w:t>
          </w:r>
        </w:p>
      </w:sdtContent>
    </w:sdt>
  </w:footnote>
  <w:footnote w:id="39">
    <w:sdt>
      <w:sdtPr>
        <w:rPr>
          <w:color w:val="000000" w:themeColor="text1"/>
          <w:sz w:val="20"/>
          <w:szCs w:val="20"/>
        </w:rPr>
        <w:tag w:val="goog_rdk_311"/>
        <w:id w:val="1168988905"/>
      </w:sdtPr>
      <w:sdtContent>
        <w:p w14:paraId="00000106"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subsection Isolation.</w:t>
          </w:r>
        </w:p>
      </w:sdtContent>
    </w:sdt>
  </w:footnote>
  <w:footnote w:id="40">
    <w:sdt>
      <w:sdtPr>
        <w:rPr>
          <w:color w:val="000000" w:themeColor="text1"/>
          <w:sz w:val="20"/>
          <w:szCs w:val="20"/>
        </w:rPr>
        <w:tag w:val="goog_rdk_312"/>
        <w:id w:val="-138817515"/>
      </w:sdtPr>
      <w:sdtContent>
        <w:p w14:paraId="0000010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Julia C </w:t>
          </w:r>
          <w:proofErr w:type="spellStart"/>
          <w:r w:rsidRPr="00A72E22">
            <w:rPr>
              <w:color w:val="000000" w:themeColor="text1"/>
              <w:sz w:val="20"/>
              <w:szCs w:val="20"/>
            </w:rPr>
            <w:t>Oparah</w:t>
          </w:r>
          <w:proofErr w:type="spellEnd"/>
          <w:r w:rsidRPr="00A72E22">
            <w:rPr>
              <w:color w:val="000000" w:themeColor="text1"/>
              <w:sz w:val="20"/>
              <w:szCs w:val="20"/>
            </w:rPr>
            <w:t xml:space="preserve">, “Feminism and the (Trans)gender Entrapment of Gender Nonconforming Prisoners”, </w:t>
          </w:r>
          <w:r w:rsidRPr="00A72E22">
            <w:rPr>
              <w:i/>
              <w:color w:val="000000" w:themeColor="text1"/>
              <w:sz w:val="20"/>
              <w:szCs w:val="20"/>
            </w:rPr>
            <w:t>UCLA Women’s L.J.</w:t>
          </w:r>
          <w:r w:rsidRPr="00A72E22">
            <w:rPr>
              <w:color w:val="000000" w:themeColor="text1"/>
              <w:sz w:val="20"/>
              <w:szCs w:val="20"/>
            </w:rPr>
            <w:t xml:space="preserve"> 18, (2012): 239-271, 241.</w:t>
          </w:r>
        </w:p>
      </w:sdtContent>
    </w:sdt>
  </w:footnote>
  <w:footnote w:id="41">
    <w:sdt>
      <w:sdtPr>
        <w:rPr>
          <w:color w:val="000000" w:themeColor="text1"/>
          <w:sz w:val="20"/>
          <w:szCs w:val="20"/>
        </w:rPr>
        <w:tag w:val="goog_rdk_313"/>
        <w:id w:val="306509139"/>
      </w:sdtPr>
      <w:sdtContent>
        <w:p w14:paraId="0000010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Oparah</w:t>
          </w:r>
          <w:proofErr w:type="spellEnd"/>
          <w:r w:rsidRPr="00A72E22">
            <w:rPr>
              <w:color w:val="000000" w:themeColor="text1"/>
              <w:sz w:val="20"/>
              <w:szCs w:val="20"/>
            </w:rPr>
            <w:t>, “(Trans)gender Entrapment”, 270.</w:t>
          </w:r>
        </w:p>
      </w:sdtContent>
    </w:sdt>
  </w:footnote>
  <w:footnote w:id="42">
    <w:sdt>
      <w:sdtPr>
        <w:rPr>
          <w:color w:val="000000" w:themeColor="text1"/>
          <w:sz w:val="20"/>
          <w:szCs w:val="20"/>
        </w:rPr>
        <w:tag w:val="goog_rdk_314"/>
        <w:id w:val="-794830672"/>
      </w:sdtPr>
      <w:sdtContent>
        <w:p w14:paraId="00000109"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Gail Mason, </w:t>
          </w:r>
          <w:r w:rsidRPr="00A72E22">
            <w:rPr>
              <w:i/>
              <w:color w:val="000000" w:themeColor="text1"/>
              <w:sz w:val="20"/>
              <w:szCs w:val="20"/>
            </w:rPr>
            <w:t>The Spectacle of Violence: Homophobia, gender and knowledge</w:t>
          </w:r>
          <w:r w:rsidRPr="00A72E22">
            <w:rPr>
              <w:color w:val="000000" w:themeColor="text1"/>
              <w:sz w:val="20"/>
              <w:szCs w:val="20"/>
            </w:rPr>
            <w:t xml:space="preserve"> (London and New York: Routledge, 2002).</w:t>
          </w:r>
        </w:p>
      </w:sdtContent>
    </w:sdt>
  </w:footnote>
  <w:footnote w:id="43">
    <w:sdt>
      <w:sdtPr>
        <w:rPr>
          <w:color w:val="000000" w:themeColor="text1"/>
          <w:sz w:val="20"/>
          <w:szCs w:val="20"/>
        </w:rPr>
        <w:tag w:val="goog_rdk_315"/>
        <w:id w:val="1271207946"/>
      </w:sdtPr>
      <w:sdtContent>
        <w:p w14:paraId="0000010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Mason, </w:t>
          </w:r>
          <w:r w:rsidRPr="00A72E22">
            <w:rPr>
              <w:i/>
              <w:color w:val="000000" w:themeColor="text1"/>
              <w:sz w:val="20"/>
              <w:szCs w:val="20"/>
            </w:rPr>
            <w:t>Spectacle of Violence</w:t>
          </w:r>
          <w:r w:rsidRPr="00A72E22">
            <w:rPr>
              <w:color w:val="000000" w:themeColor="text1"/>
              <w:sz w:val="20"/>
              <w:szCs w:val="20"/>
            </w:rPr>
            <w:t>, 3.</w:t>
          </w:r>
        </w:p>
      </w:sdtContent>
    </w:sdt>
  </w:footnote>
  <w:footnote w:id="44">
    <w:sdt>
      <w:sdtPr>
        <w:rPr>
          <w:color w:val="000000" w:themeColor="text1"/>
          <w:sz w:val="20"/>
          <w:szCs w:val="20"/>
        </w:rPr>
        <w:tag w:val="goog_rdk_316"/>
        <w:id w:val="-1971116377"/>
      </w:sdtPr>
      <w:sdtContent>
        <w:p w14:paraId="0000010B"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Mason, </w:t>
          </w:r>
          <w:r w:rsidRPr="00A72E22">
            <w:rPr>
              <w:i/>
              <w:color w:val="000000" w:themeColor="text1"/>
              <w:sz w:val="20"/>
              <w:szCs w:val="20"/>
            </w:rPr>
            <w:t>Spectacle of Violence</w:t>
          </w:r>
          <w:r w:rsidRPr="00A72E22">
            <w:rPr>
              <w:color w:val="000000" w:themeColor="text1"/>
              <w:sz w:val="20"/>
              <w:szCs w:val="20"/>
            </w:rPr>
            <w:t>, 135.</w:t>
          </w:r>
        </w:p>
      </w:sdtContent>
    </w:sdt>
  </w:footnote>
  <w:footnote w:id="45">
    <w:sdt>
      <w:sdtPr>
        <w:rPr>
          <w:color w:val="000000" w:themeColor="text1"/>
          <w:sz w:val="20"/>
          <w:szCs w:val="20"/>
        </w:rPr>
        <w:tag w:val="goog_rdk_317"/>
        <w:id w:val="853458994"/>
      </w:sdtPr>
      <w:sdtContent>
        <w:p w14:paraId="0000010C"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Mary Bosworth, </w:t>
          </w:r>
          <w:r w:rsidRPr="00A72E22">
            <w:rPr>
              <w:i/>
              <w:color w:val="000000" w:themeColor="text1"/>
              <w:sz w:val="20"/>
              <w:szCs w:val="20"/>
            </w:rPr>
            <w:t>Engendering Resistance: Agency, and Power in Women's Prisons</w:t>
          </w:r>
          <w:r w:rsidRPr="00A72E22">
            <w:rPr>
              <w:color w:val="000000" w:themeColor="text1"/>
              <w:sz w:val="20"/>
              <w:szCs w:val="20"/>
            </w:rPr>
            <w:t>. (Aldershot, UK: Dartmouth Publishing Company,1999); Stanley, “Fugitive Flesh”.</w:t>
          </w:r>
        </w:p>
      </w:sdtContent>
    </w:sdt>
  </w:footnote>
  <w:footnote w:id="46">
    <w:sdt>
      <w:sdtPr>
        <w:rPr>
          <w:color w:val="000000" w:themeColor="text1"/>
          <w:sz w:val="20"/>
          <w:szCs w:val="20"/>
        </w:rPr>
        <w:tag w:val="goog_rdk_318"/>
        <w:id w:val="-1444068264"/>
      </w:sdtPr>
      <w:sdtContent>
        <w:p w14:paraId="0000010D"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Mary Bosworth and Eamonn </w:t>
          </w:r>
          <w:proofErr w:type="spellStart"/>
          <w:r w:rsidRPr="00A72E22">
            <w:rPr>
              <w:color w:val="000000" w:themeColor="text1"/>
              <w:sz w:val="20"/>
              <w:szCs w:val="20"/>
            </w:rPr>
            <w:t>Carrabine</w:t>
          </w:r>
          <w:proofErr w:type="spellEnd"/>
          <w:r w:rsidRPr="00A72E22">
            <w:rPr>
              <w:color w:val="000000" w:themeColor="text1"/>
              <w:sz w:val="20"/>
              <w:szCs w:val="20"/>
            </w:rPr>
            <w:t xml:space="preserve">, “Reassessing resistance: Race, gender and sexuality in prison”, </w:t>
          </w:r>
          <w:r w:rsidRPr="00A72E22">
            <w:rPr>
              <w:i/>
              <w:color w:val="000000" w:themeColor="text1"/>
              <w:sz w:val="20"/>
              <w:szCs w:val="20"/>
            </w:rPr>
            <w:t>Punishment and Society</w:t>
          </w:r>
          <w:r w:rsidRPr="00A72E22">
            <w:rPr>
              <w:color w:val="000000" w:themeColor="text1"/>
              <w:sz w:val="20"/>
              <w:szCs w:val="20"/>
            </w:rPr>
            <w:t xml:space="preserve"> 3, no 4 (2001): 501-15.</w:t>
          </w:r>
        </w:p>
      </w:sdtContent>
    </w:sdt>
  </w:footnote>
  <w:footnote w:id="47">
    <w:sdt>
      <w:sdtPr>
        <w:rPr>
          <w:color w:val="000000" w:themeColor="text1"/>
          <w:sz w:val="20"/>
          <w:szCs w:val="20"/>
        </w:rPr>
        <w:tag w:val="goog_rdk_319"/>
        <w:id w:val="956681032"/>
      </w:sdtPr>
      <w:sdtContent>
        <w:p w14:paraId="0000010E"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proofErr w:type="spellStart"/>
          <w:r w:rsidRPr="00A72E22">
            <w:rPr>
              <w:color w:val="000000" w:themeColor="text1"/>
              <w:sz w:val="20"/>
              <w:szCs w:val="20"/>
            </w:rPr>
            <w:t>Ugelvik</w:t>
          </w:r>
          <w:proofErr w:type="spellEnd"/>
          <w:r w:rsidRPr="00A72E22">
            <w:rPr>
              <w:color w:val="000000" w:themeColor="text1"/>
              <w:sz w:val="20"/>
              <w:szCs w:val="20"/>
            </w:rPr>
            <w:t xml:space="preserve">, </w:t>
          </w:r>
          <w:r w:rsidRPr="00A72E22">
            <w:rPr>
              <w:i/>
              <w:color w:val="000000" w:themeColor="text1"/>
              <w:sz w:val="20"/>
              <w:szCs w:val="20"/>
            </w:rPr>
            <w:t>Doing Time</w:t>
          </w:r>
          <w:r w:rsidRPr="00A72E22">
            <w:rPr>
              <w:color w:val="000000" w:themeColor="text1"/>
              <w:sz w:val="20"/>
              <w:szCs w:val="20"/>
            </w:rPr>
            <w:t>.</w:t>
          </w:r>
        </w:p>
      </w:sdtContent>
    </w:sdt>
  </w:footnote>
  <w:footnote w:id="48">
    <w:sdt>
      <w:sdtPr>
        <w:rPr>
          <w:color w:val="000000" w:themeColor="text1"/>
          <w:sz w:val="20"/>
          <w:szCs w:val="20"/>
        </w:rPr>
        <w:tag w:val="goog_rdk_320"/>
        <w:id w:val="-147511084"/>
      </w:sdtPr>
      <w:sdtContent>
        <w:p w14:paraId="0000010F" w14:textId="4B63C534"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Nicola </w:t>
          </w:r>
          <w:proofErr w:type="spellStart"/>
          <w:r w:rsidRPr="00A72E22">
            <w:rPr>
              <w:color w:val="000000" w:themeColor="text1"/>
              <w:sz w:val="20"/>
              <w:szCs w:val="20"/>
            </w:rPr>
            <w:t>Carr</w:t>
          </w:r>
          <w:proofErr w:type="spellEnd"/>
          <w:r w:rsidRPr="00A72E22">
            <w:rPr>
              <w:color w:val="000000" w:themeColor="text1"/>
              <w:sz w:val="20"/>
              <w:szCs w:val="20"/>
            </w:rPr>
            <w:t xml:space="preserve">, S </w:t>
          </w:r>
          <w:proofErr w:type="spellStart"/>
          <w:r w:rsidRPr="00A72E22">
            <w:rPr>
              <w:color w:val="000000" w:themeColor="text1"/>
              <w:sz w:val="20"/>
              <w:szCs w:val="20"/>
            </w:rPr>
            <w:t>Siobhán</w:t>
          </w:r>
          <w:proofErr w:type="spellEnd"/>
          <w:r w:rsidRPr="00A72E22">
            <w:rPr>
              <w:color w:val="000000" w:themeColor="text1"/>
              <w:sz w:val="20"/>
              <w:szCs w:val="20"/>
            </w:rPr>
            <w:t xml:space="preserve"> McAlister and Tanya </w:t>
          </w:r>
          <w:proofErr w:type="spellStart"/>
          <w:r w:rsidRPr="00A72E22">
            <w:rPr>
              <w:color w:val="000000" w:themeColor="text1"/>
              <w:sz w:val="20"/>
              <w:szCs w:val="20"/>
            </w:rPr>
            <w:t>Serisier</w:t>
          </w:r>
          <w:proofErr w:type="spellEnd"/>
          <w:r w:rsidRPr="00A72E22">
            <w:rPr>
              <w:color w:val="000000" w:themeColor="text1"/>
              <w:sz w:val="20"/>
              <w:szCs w:val="20"/>
            </w:rPr>
            <w:t xml:space="preserve">, Out on the Inside: The Rights, Needs, and Experiences of LGBT People on Prison, Irish Penal Reform Trust, 2016. Mia Harris, “British prisons must now recognise gender fluid and non-binary inmates”, </w:t>
          </w:r>
          <w:r w:rsidRPr="00A72E22">
            <w:rPr>
              <w:i/>
              <w:color w:val="000000" w:themeColor="text1"/>
              <w:sz w:val="20"/>
              <w:szCs w:val="20"/>
            </w:rPr>
            <w:t>The Conversation</w:t>
          </w:r>
          <w:r w:rsidRPr="00A72E22">
            <w:rPr>
              <w:color w:val="000000" w:themeColor="text1"/>
              <w:sz w:val="20"/>
              <w:szCs w:val="20"/>
            </w:rPr>
            <w:t xml:space="preserve">, November </w:t>
          </w:r>
          <w:r>
            <w:rPr>
              <w:color w:val="000000" w:themeColor="text1"/>
              <w:sz w:val="20"/>
              <w:szCs w:val="20"/>
            </w:rPr>
            <w:t xml:space="preserve">16, </w:t>
          </w:r>
          <w:r w:rsidRPr="00A72E22">
            <w:rPr>
              <w:color w:val="000000" w:themeColor="text1"/>
              <w:sz w:val="20"/>
              <w:szCs w:val="20"/>
            </w:rPr>
            <w:t>2016</w:t>
          </w:r>
          <w:r>
            <w:rPr>
              <w:color w:val="000000" w:themeColor="text1"/>
              <w:sz w:val="20"/>
              <w:szCs w:val="20"/>
            </w:rPr>
            <w:t xml:space="preserve">, accessed March 27, 2020 </w:t>
          </w:r>
          <w:hyperlink r:id="rId4" w:history="1">
            <w:r w:rsidRPr="00523610">
              <w:rPr>
                <w:rStyle w:val="Hyperlink"/>
                <w:sz w:val="20"/>
                <w:szCs w:val="20"/>
              </w:rPr>
              <w:t>https://theconversation.com/profiles/mia-harris-288195</w:t>
            </w:r>
          </w:hyperlink>
          <w:r w:rsidRPr="00A72E22">
            <w:rPr>
              <w:color w:val="000000" w:themeColor="text1"/>
              <w:sz w:val="20"/>
              <w:szCs w:val="20"/>
            </w:rPr>
            <w:t>.</w:t>
          </w:r>
          <w:r w:rsidRPr="00A72E22">
            <w:rPr>
              <w:rFonts w:eastAsia="Helvetica Neue"/>
              <w:color w:val="000000" w:themeColor="text1"/>
              <w:sz w:val="20"/>
              <w:szCs w:val="20"/>
            </w:rPr>
            <w:t xml:space="preserve"> </w:t>
          </w:r>
        </w:p>
      </w:sdtContent>
    </w:sdt>
  </w:footnote>
  <w:footnote w:id="49">
    <w:sdt>
      <w:sdtPr>
        <w:rPr>
          <w:color w:val="000000" w:themeColor="text1"/>
          <w:sz w:val="20"/>
          <w:szCs w:val="20"/>
        </w:rPr>
        <w:tag w:val="goog_rdk_321"/>
        <w:id w:val="-1532641543"/>
      </w:sdtPr>
      <w:sdtContent>
        <w:p w14:paraId="00000110"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Peter Dunn, “Slipping off the Equalities Agenda: Work with LGBT Prisoners”, </w:t>
          </w:r>
          <w:r w:rsidRPr="00A72E22">
            <w:rPr>
              <w:i/>
              <w:color w:val="000000" w:themeColor="text1"/>
              <w:sz w:val="20"/>
              <w:szCs w:val="20"/>
            </w:rPr>
            <w:t>Prison Service Journal</w:t>
          </w:r>
          <w:r w:rsidRPr="00A72E22">
            <w:rPr>
              <w:color w:val="000000" w:themeColor="text1"/>
              <w:sz w:val="20"/>
              <w:szCs w:val="20"/>
            </w:rPr>
            <w:t xml:space="preserve"> 206, (2013): 3-10, 6.</w:t>
          </w:r>
        </w:p>
      </w:sdtContent>
    </w:sdt>
  </w:footnote>
  <w:footnote w:id="50">
    <w:sdt>
      <w:sdtPr>
        <w:rPr>
          <w:color w:val="000000" w:themeColor="text1"/>
          <w:sz w:val="20"/>
          <w:szCs w:val="20"/>
        </w:rPr>
        <w:tag w:val="goog_rdk_322"/>
        <w:id w:val="-1385554679"/>
      </w:sdtPr>
      <w:sdtContent>
        <w:p w14:paraId="0000011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McNally</w:t>
          </w:r>
          <w:r w:rsidRPr="00A72E22">
            <w:rPr>
              <w:color w:val="000000" w:themeColor="text1"/>
              <w:sz w:val="20"/>
              <w:szCs w:val="20"/>
            </w:rPr>
            <w:t xml:space="preserve"> [2013], </w:t>
          </w:r>
          <w:r w:rsidRPr="00A72E22">
            <w:rPr>
              <w:i/>
              <w:color w:val="000000" w:themeColor="text1"/>
              <w:sz w:val="20"/>
              <w:szCs w:val="20"/>
            </w:rPr>
            <w:t>J v B and Others</w:t>
          </w:r>
          <w:r w:rsidRPr="00A72E22">
            <w:rPr>
              <w:color w:val="000000" w:themeColor="text1"/>
              <w:sz w:val="20"/>
              <w:szCs w:val="20"/>
            </w:rPr>
            <w:t xml:space="preserve"> [2017].</w:t>
          </w:r>
        </w:p>
      </w:sdtContent>
    </w:sdt>
  </w:footnote>
  <w:footnote w:id="51">
    <w:sdt>
      <w:sdtPr>
        <w:rPr>
          <w:color w:val="000000" w:themeColor="text1"/>
          <w:sz w:val="20"/>
          <w:szCs w:val="20"/>
        </w:rPr>
        <w:tag w:val="goog_rdk_323"/>
        <w:id w:val="1004398929"/>
      </w:sdtPr>
      <w:sdtContent>
        <w:p w14:paraId="00000112" w14:textId="77777777" w:rsidR="00A1537F" w:rsidRPr="00A72E22" w:rsidRDefault="00A1537F" w:rsidP="009C7CF7">
          <w:pPr>
            <w:pBdr>
              <w:top w:val="nil"/>
              <w:left w:val="nil"/>
              <w:bottom w:val="nil"/>
              <w:right w:val="nil"/>
              <w:between w:val="nil"/>
            </w:pBdr>
            <w:spacing w:after="0" w:line="240" w:lineRule="auto"/>
            <w:rPr>
              <w:i/>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Corbett v Corbett [1971], McNally [2013].</w:t>
          </w:r>
        </w:p>
      </w:sdtContent>
    </w:sdt>
  </w:footnote>
  <w:footnote w:id="52">
    <w:sdt>
      <w:sdtPr>
        <w:rPr>
          <w:color w:val="000000" w:themeColor="text1"/>
          <w:sz w:val="20"/>
          <w:szCs w:val="20"/>
        </w:rPr>
        <w:tag w:val="goog_rdk_324"/>
        <w:id w:val="1021518732"/>
      </w:sdtPr>
      <w:sdtContent>
        <w:p w14:paraId="00000113"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Stephen Whittle, Lewis Turner and Maryam Al-</w:t>
          </w:r>
          <w:proofErr w:type="spellStart"/>
          <w:r w:rsidRPr="00A72E22">
            <w:rPr>
              <w:color w:val="000000" w:themeColor="text1"/>
              <w:sz w:val="20"/>
              <w:szCs w:val="20"/>
            </w:rPr>
            <w:t>Alami</w:t>
          </w:r>
          <w:proofErr w:type="spellEnd"/>
          <w:r w:rsidRPr="00A72E22">
            <w:rPr>
              <w:color w:val="000000" w:themeColor="text1"/>
              <w:sz w:val="20"/>
              <w:szCs w:val="20"/>
            </w:rPr>
            <w:t xml:space="preserve">, </w:t>
          </w:r>
          <w:r w:rsidRPr="00A72E22">
            <w:rPr>
              <w:i/>
              <w:color w:val="000000" w:themeColor="text1"/>
              <w:sz w:val="20"/>
              <w:szCs w:val="20"/>
            </w:rPr>
            <w:t>Engendered Penalties: Transgender and Transsexual People’s Experiences of Inequality and Discrimination</w:t>
          </w:r>
          <w:r w:rsidRPr="00A72E22">
            <w:rPr>
              <w:color w:val="000000" w:themeColor="text1"/>
              <w:sz w:val="20"/>
              <w:szCs w:val="20"/>
            </w:rPr>
            <w:t xml:space="preserve"> (London and Manchester:  Press for Change / Manchester Metropolitan University, 2007) 21.</w:t>
          </w:r>
        </w:p>
      </w:sdtContent>
    </w:sdt>
  </w:footnote>
  <w:footnote w:id="53">
    <w:sdt>
      <w:sdtPr>
        <w:rPr>
          <w:color w:val="000000" w:themeColor="text1"/>
          <w:sz w:val="20"/>
          <w:szCs w:val="20"/>
        </w:rPr>
        <w:tag w:val="goog_rdk_325"/>
        <w:id w:val="326016335"/>
      </w:sdtPr>
      <w:sdtContent>
        <w:p w14:paraId="0000011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Valerie </w:t>
          </w:r>
          <w:proofErr w:type="spellStart"/>
          <w:r w:rsidRPr="00A72E22">
            <w:rPr>
              <w:color w:val="000000" w:themeColor="text1"/>
              <w:sz w:val="20"/>
              <w:szCs w:val="20"/>
            </w:rPr>
            <w:t>Jenness</w:t>
          </w:r>
          <w:proofErr w:type="spellEnd"/>
          <w:r w:rsidRPr="00A72E22">
            <w:rPr>
              <w:color w:val="000000" w:themeColor="text1"/>
              <w:sz w:val="20"/>
              <w:szCs w:val="20"/>
            </w:rPr>
            <w:t xml:space="preserve"> and Sarah </w:t>
          </w:r>
          <w:proofErr w:type="spellStart"/>
          <w:r w:rsidRPr="00A72E22">
            <w:rPr>
              <w:color w:val="000000" w:themeColor="text1"/>
              <w:sz w:val="20"/>
              <w:szCs w:val="20"/>
            </w:rPr>
            <w:t>Fernstermaker</w:t>
          </w:r>
          <w:proofErr w:type="spellEnd"/>
          <w:r w:rsidRPr="00A72E22">
            <w:rPr>
              <w:color w:val="000000" w:themeColor="text1"/>
              <w:sz w:val="20"/>
              <w:szCs w:val="20"/>
            </w:rPr>
            <w:t xml:space="preserve">, “Agnes Goes to Prison: Gender Authenticity, Transgender Inmates in Prisons for Men, and Pursuit of “The Real Deal””, </w:t>
          </w:r>
          <w:r w:rsidRPr="00A72E22">
            <w:rPr>
              <w:i/>
              <w:color w:val="000000" w:themeColor="text1"/>
              <w:sz w:val="20"/>
              <w:szCs w:val="20"/>
            </w:rPr>
            <w:t xml:space="preserve">Gender and Society </w:t>
          </w:r>
          <w:r w:rsidRPr="00A72E22">
            <w:rPr>
              <w:color w:val="000000" w:themeColor="text1"/>
              <w:sz w:val="20"/>
              <w:szCs w:val="20"/>
            </w:rPr>
            <w:t>(2013):  5-31, 12.</w:t>
          </w:r>
        </w:p>
      </w:sdtContent>
    </w:sdt>
  </w:footnote>
  <w:footnote w:id="54">
    <w:sdt>
      <w:sdtPr>
        <w:rPr>
          <w:color w:val="000000" w:themeColor="text1"/>
          <w:sz w:val="20"/>
          <w:szCs w:val="20"/>
        </w:rPr>
        <w:tag w:val="goog_rdk_326"/>
        <w:id w:val="1272361595"/>
      </w:sdtPr>
      <w:sdtContent>
        <w:p w14:paraId="0000011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w:t>
          </w:r>
        </w:p>
      </w:sdtContent>
    </w:sdt>
  </w:footnote>
  <w:footnote w:id="55">
    <w:sdt>
      <w:sdtPr>
        <w:rPr>
          <w:color w:val="000000" w:themeColor="text1"/>
          <w:sz w:val="20"/>
          <w:szCs w:val="20"/>
        </w:rPr>
        <w:tag w:val="goog_rdk_327"/>
        <w:id w:val="-2124215839"/>
      </w:sdtPr>
      <w:sdtContent>
        <w:p w14:paraId="00000117" w14:textId="5254BE4C"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b/>
              <w:color w:val="000000" w:themeColor="text1"/>
              <w:sz w:val="20"/>
              <w:szCs w:val="20"/>
            </w:rPr>
            <w:t>“</w:t>
          </w:r>
          <w:r w:rsidRPr="00A72E22">
            <w:rPr>
              <w:color w:val="000000" w:themeColor="text1"/>
              <w:sz w:val="20"/>
              <w:szCs w:val="20"/>
            </w:rPr>
            <w:t>The care and management of individuals who are transgender</w:t>
          </w:r>
          <w:r w:rsidRPr="00A72E22">
            <w:rPr>
              <w:b/>
              <w:color w:val="000000" w:themeColor="text1"/>
              <w:sz w:val="20"/>
              <w:szCs w:val="20"/>
            </w:rPr>
            <w:t>”</w:t>
          </w:r>
          <w:r w:rsidRPr="00A72E22">
            <w:rPr>
              <w:color w:val="000000" w:themeColor="text1"/>
              <w:sz w:val="20"/>
              <w:szCs w:val="20"/>
            </w:rPr>
            <w:t xml:space="preserve">, UK Government Website, 22 July 2019, 4, Policy to be implemented by 31 October 2019, </w:t>
          </w:r>
          <w:r w:rsidRPr="00A72E22">
            <w:rPr>
              <w:bCs/>
              <w:color w:val="000000" w:themeColor="text1"/>
              <w:sz w:val="20"/>
              <w:szCs w:val="20"/>
            </w:rPr>
            <w:t xml:space="preserve">Re-Issue Date: January </w:t>
          </w:r>
          <w:r>
            <w:rPr>
              <w:bCs/>
              <w:color w:val="000000" w:themeColor="text1"/>
              <w:sz w:val="20"/>
              <w:szCs w:val="20"/>
            </w:rPr>
            <w:t xml:space="preserve">27, </w:t>
          </w:r>
          <w:r w:rsidRPr="00A72E22">
            <w:rPr>
              <w:bCs/>
              <w:color w:val="000000" w:themeColor="text1"/>
              <w:sz w:val="20"/>
              <w:szCs w:val="20"/>
            </w:rPr>
            <w:t>2020</w:t>
          </w:r>
          <w:r>
            <w:rPr>
              <w:bCs/>
              <w:color w:val="000000" w:themeColor="text1"/>
              <w:sz w:val="20"/>
              <w:szCs w:val="20"/>
            </w:rPr>
            <w:t>, accessed M</w:t>
          </w:r>
          <w:r w:rsidRPr="00A72E22">
            <w:rPr>
              <w:color w:val="000000" w:themeColor="text1"/>
              <w:sz w:val="20"/>
              <w:szCs w:val="20"/>
            </w:rPr>
            <w:t xml:space="preserve">arch </w:t>
          </w:r>
          <w:r>
            <w:rPr>
              <w:color w:val="000000" w:themeColor="text1"/>
              <w:sz w:val="20"/>
              <w:szCs w:val="20"/>
            </w:rPr>
            <w:t xml:space="preserve">20, </w:t>
          </w:r>
          <w:r w:rsidRPr="00A72E22">
            <w:rPr>
              <w:color w:val="000000" w:themeColor="text1"/>
              <w:sz w:val="20"/>
              <w:szCs w:val="20"/>
            </w:rPr>
            <w:t xml:space="preserve">2020,  </w:t>
          </w:r>
          <w:hyperlink r:id="rId5" w:history="1">
            <w:r w:rsidRPr="00A72E22">
              <w:rPr>
                <w:rStyle w:val="Hyperlink"/>
                <w:color w:val="000000" w:themeColor="text1"/>
                <w:sz w:val="20"/>
                <w:szCs w:val="20"/>
              </w:rPr>
              <w:t>https://assets.publishing.service.gov.uk/government/uploads/system/uploads/attachment_data/file/863610/transgender-pf.pdf</w:t>
            </w:r>
          </w:hyperlink>
          <w:r w:rsidRPr="00A72E22">
            <w:rPr>
              <w:b/>
              <w:color w:val="000000" w:themeColor="text1"/>
              <w:sz w:val="20"/>
              <w:szCs w:val="20"/>
            </w:rPr>
            <w:t xml:space="preserve">; </w:t>
          </w:r>
          <w:r w:rsidRPr="00A72E22">
            <w:rPr>
              <w:bCs/>
              <w:color w:val="000000" w:themeColor="text1"/>
              <w:sz w:val="20"/>
              <w:szCs w:val="20"/>
            </w:rPr>
            <w:t>See:</w:t>
          </w:r>
          <w:r w:rsidRPr="00A72E22">
            <w:rPr>
              <w:b/>
              <w:color w:val="000000" w:themeColor="text1"/>
              <w:sz w:val="20"/>
              <w:szCs w:val="20"/>
            </w:rPr>
            <w:t xml:space="preserve"> </w:t>
          </w:r>
          <w:sdt>
            <w:sdtPr>
              <w:rPr>
                <w:color w:val="000000" w:themeColor="text1"/>
                <w:sz w:val="20"/>
                <w:szCs w:val="20"/>
              </w:rPr>
              <w:tag w:val="goog_rdk_328"/>
              <w:id w:val="1146545026"/>
            </w:sdtPr>
            <w:sdtContent>
              <w:r w:rsidRPr="00A72E22">
                <w:rPr>
                  <w:color w:val="000000" w:themeColor="text1"/>
                  <w:sz w:val="20"/>
                  <w:szCs w:val="20"/>
                </w:rPr>
                <w:t>Emerton, “Transgender prisoners: law, prison administration”,</w:t>
              </w:r>
              <w:r w:rsidRPr="00A72E22">
                <w:rPr>
                  <w:color w:val="000000" w:themeColor="text1"/>
                  <w:sz w:val="20"/>
                  <w:szCs w:val="20"/>
                  <w:highlight w:val="white"/>
                </w:rPr>
                <w:t xml:space="preserve"> </w:t>
              </w:r>
              <w:r w:rsidRPr="00A72E22">
                <w:rPr>
                  <w:color w:val="000000" w:themeColor="text1"/>
                  <w:sz w:val="20"/>
                  <w:szCs w:val="20"/>
                </w:rPr>
                <w:t>269</w:t>
              </w:r>
            </w:sdtContent>
          </w:sdt>
          <w:r w:rsidRPr="00A72E22">
            <w:rPr>
              <w:color w:val="000000" w:themeColor="text1"/>
              <w:sz w:val="20"/>
              <w:szCs w:val="20"/>
            </w:rPr>
            <w:t xml:space="preserve">. See also the previous policy: PSI 17/2016, Transsexual Prisoners. [4.2]. </w:t>
          </w:r>
        </w:p>
      </w:sdtContent>
    </w:sdt>
  </w:footnote>
  <w:footnote w:id="56">
    <w:sdt>
      <w:sdtPr>
        <w:rPr>
          <w:color w:val="000000" w:themeColor="text1"/>
          <w:sz w:val="20"/>
          <w:szCs w:val="20"/>
        </w:rPr>
        <w:tag w:val="goog_rdk_329"/>
        <w:id w:val="1478111597"/>
      </w:sdtPr>
      <w:sdtContent>
        <w:p w14:paraId="0000011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Jenness</w:t>
          </w:r>
          <w:proofErr w:type="spellEnd"/>
          <w:r w:rsidRPr="00A72E22">
            <w:rPr>
              <w:color w:val="000000" w:themeColor="text1"/>
              <w:sz w:val="20"/>
              <w:szCs w:val="20"/>
            </w:rPr>
            <w:t xml:space="preserve"> and </w:t>
          </w:r>
          <w:proofErr w:type="spellStart"/>
          <w:r w:rsidRPr="00A72E22">
            <w:rPr>
              <w:color w:val="000000" w:themeColor="text1"/>
              <w:sz w:val="20"/>
              <w:szCs w:val="20"/>
            </w:rPr>
            <w:t>Fernstermaker</w:t>
          </w:r>
          <w:proofErr w:type="spellEnd"/>
          <w:r w:rsidRPr="00A72E22">
            <w:rPr>
              <w:color w:val="000000" w:themeColor="text1"/>
              <w:sz w:val="20"/>
              <w:szCs w:val="20"/>
            </w:rPr>
            <w:t xml:space="preserve"> “Gender Authenticity”, 10</w:t>
          </w:r>
        </w:p>
      </w:sdtContent>
    </w:sdt>
  </w:footnote>
  <w:footnote w:id="57">
    <w:sdt>
      <w:sdtPr>
        <w:rPr>
          <w:color w:val="000000" w:themeColor="text1"/>
          <w:sz w:val="20"/>
          <w:szCs w:val="20"/>
        </w:rPr>
        <w:tag w:val="goog_rdk_450"/>
        <w:id w:val="-1016525670"/>
      </w:sdtPr>
      <w:sdtContent>
        <w:p w14:paraId="00000190" w14:textId="77777777" w:rsidR="00A1537F" w:rsidRPr="00A72E22" w:rsidRDefault="00A1537F" w:rsidP="009C7CF7">
          <w:pP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The Human Rights Act 1998 came into force in 2000.</w:t>
          </w:r>
        </w:p>
      </w:sdtContent>
    </w:sdt>
  </w:footnote>
  <w:footnote w:id="58">
    <w:sdt>
      <w:sdtPr>
        <w:rPr>
          <w:color w:val="000000" w:themeColor="text1"/>
          <w:sz w:val="20"/>
          <w:szCs w:val="20"/>
        </w:rPr>
        <w:tag w:val="goog_rdk_330"/>
        <w:id w:val="1623259051"/>
      </w:sdtPr>
      <w:sdtContent>
        <w:p w14:paraId="00000119"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Harris [2000] </w:t>
          </w:r>
        </w:p>
      </w:sdtContent>
    </w:sdt>
    <w:sdt>
      <w:sdtPr>
        <w:rPr>
          <w:color w:val="000000" w:themeColor="text1"/>
          <w:sz w:val="20"/>
          <w:szCs w:val="20"/>
        </w:rPr>
        <w:tag w:val="goog_rdk_331"/>
        <w:id w:val="-605040270"/>
      </w:sdtPr>
      <w:sdtContent>
        <w:p w14:paraId="0000011A" w14:textId="5FAA2813"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color w:val="000000" w:themeColor="text1"/>
              <w:sz w:val="20"/>
              <w:szCs w:val="20"/>
            </w:rPr>
            <w:t>The term ‘</w:t>
          </w:r>
          <w:proofErr w:type="spellStart"/>
          <w:r w:rsidRPr="00A72E22">
            <w:rPr>
              <w:color w:val="000000" w:themeColor="text1"/>
              <w:sz w:val="20"/>
              <w:szCs w:val="20"/>
            </w:rPr>
            <w:t>cisnormative</w:t>
          </w:r>
          <w:proofErr w:type="spellEnd"/>
          <w:r w:rsidRPr="00A72E22">
            <w:rPr>
              <w:color w:val="000000" w:themeColor="text1"/>
              <w:sz w:val="20"/>
              <w:szCs w:val="20"/>
            </w:rPr>
            <w:t>’ describes the approach that “</w:t>
          </w:r>
          <w:proofErr w:type="spellStart"/>
          <w:r w:rsidRPr="00A72E22">
            <w:rPr>
              <w:color w:val="000000" w:themeColor="text1"/>
              <w:sz w:val="20"/>
              <w:szCs w:val="20"/>
            </w:rPr>
            <w:t>assum</w:t>
          </w:r>
          <w:proofErr w:type="spellEnd"/>
          <w:r w:rsidRPr="00A72E22">
            <w:rPr>
              <w:color w:val="000000" w:themeColor="text1"/>
              <w:sz w:val="20"/>
              <w:szCs w:val="20"/>
            </w:rPr>
            <w:t xml:space="preserve">[es] people experience harmony between their gender identity and their </w:t>
          </w:r>
          <w:proofErr w:type="gramStart"/>
          <w:r w:rsidRPr="00A72E22">
            <w:rPr>
              <w:color w:val="000000" w:themeColor="text1"/>
              <w:sz w:val="20"/>
              <w:szCs w:val="20"/>
            </w:rPr>
            <w:t>anatomy, and</w:t>
          </w:r>
          <w:proofErr w:type="gramEnd"/>
          <w:r w:rsidRPr="00A72E22">
            <w:rPr>
              <w:color w:val="000000" w:themeColor="text1"/>
              <w:sz w:val="20"/>
              <w:szCs w:val="20"/>
            </w:rPr>
            <w:t xml:space="preserve"> privileging those who do:; Alex Sharpe. </w:t>
          </w:r>
          <w:r w:rsidRPr="00A72E22">
            <w:rPr>
              <w:i/>
              <w:iCs/>
              <w:color w:val="000000" w:themeColor="text1"/>
              <w:sz w:val="20"/>
              <w:szCs w:val="20"/>
            </w:rPr>
            <w:t>Sexual Intimacy and Gender Identity ‘Fraud’: Reframing the Legal and Ethical Debate</w:t>
          </w:r>
          <w:r w:rsidRPr="00A72E22">
            <w:rPr>
              <w:color w:val="000000" w:themeColor="text1"/>
              <w:sz w:val="20"/>
              <w:szCs w:val="20"/>
            </w:rPr>
            <w:t xml:space="preserve"> (Abingdon: Routledge, 2018).</w:t>
          </w:r>
        </w:p>
      </w:sdtContent>
    </w:sdt>
  </w:footnote>
  <w:footnote w:id="59">
    <w:sdt>
      <w:sdtPr>
        <w:rPr>
          <w:color w:val="000000" w:themeColor="text1"/>
          <w:sz w:val="20"/>
          <w:szCs w:val="20"/>
        </w:rPr>
        <w:tag w:val="goog_rdk_332"/>
        <w:id w:val="1534764759"/>
      </w:sdtPr>
      <w:sdtContent>
        <w:p w14:paraId="0000011B" w14:textId="7475E990"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Harris [2000], [2].</w:t>
          </w:r>
        </w:p>
      </w:sdtContent>
    </w:sdt>
  </w:footnote>
  <w:footnote w:id="60">
    <w:sdt>
      <w:sdtPr>
        <w:rPr>
          <w:color w:val="000000" w:themeColor="text1"/>
          <w:sz w:val="20"/>
          <w:szCs w:val="20"/>
        </w:rPr>
        <w:tag w:val="goog_rdk_333"/>
        <w:id w:val="-220984781"/>
      </w:sdtPr>
      <w:sdtContent>
        <w:p w14:paraId="0000011C" w14:textId="678BA98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Harris [2000] [9]-[10].</w:t>
          </w:r>
        </w:p>
      </w:sdtContent>
    </w:sdt>
  </w:footnote>
  <w:footnote w:id="61">
    <w:sdt>
      <w:sdtPr>
        <w:rPr>
          <w:color w:val="000000" w:themeColor="text1"/>
          <w:sz w:val="20"/>
          <w:szCs w:val="20"/>
        </w:rPr>
        <w:tag w:val="goog_rdk_334"/>
        <w:id w:val="-1904900487"/>
      </w:sdtPr>
      <w:sdtContent>
        <w:p w14:paraId="0000011D" w14:textId="3F7D59F5" w:rsidR="00A1537F" w:rsidRPr="00A72E22" w:rsidRDefault="00A1537F" w:rsidP="009C7CF7">
          <w:pPr>
            <w:pBdr>
              <w:top w:val="nil"/>
              <w:left w:val="nil"/>
              <w:bottom w:val="nil"/>
              <w:right w:val="nil"/>
              <w:between w:val="nil"/>
            </w:pBdr>
            <w:spacing w:after="0" w:line="240" w:lineRule="auto"/>
            <w:rPr>
              <w:color w:val="000000" w:themeColor="text1"/>
              <w:sz w:val="20"/>
              <w:szCs w:val="20"/>
              <w:highlight w:val="yellow"/>
            </w:rPr>
          </w:pPr>
          <w:r w:rsidRPr="00A72E22">
            <w:rPr>
              <w:rStyle w:val="FootnoteReference"/>
              <w:color w:val="000000" w:themeColor="text1"/>
              <w:sz w:val="20"/>
              <w:szCs w:val="20"/>
            </w:rPr>
            <w:footnoteRef/>
          </w:r>
          <w:r w:rsidRPr="00A72E22">
            <w:rPr>
              <w:color w:val="000000" w:themeColor="text1"/>
              <w:sz w:val="20"/>
              <w:szCs w:val="20"/>
            </w:rPr>
            <w:t xml:space="preserve"> Harris [2000] [11].</w:t>
          </w:r>
        </w:p>
      </w:sdtContent>
    </w:sdt>
  </w:footnote>
  <w:footnote w:id="62">
    <w:sdt>
      <w:sdtPr>
        <w:rPr>
          <w:color w:val="000000" w:themeColor="text1"/>
          <w:sz w:val="20"/>
          <w:szCs w:val="20"/>
        </w:rPr>
        <w:tag w:val="goog_rdk_335"/>
        <w:id w:val="448898802"/>
      </w:sdtPr>
      <w:sdtContent>
        <w:p w14:paraId="0000011E"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Stanley and Smith, </w:t>
          </w:r>
          <w:r w:rsidRPr="00A72E22">
            <w:rPr>
              <w:i/>
              <w:color w:val="000000" w:themeColor="text1"/>
              <w:sz w:val="20"/>
              <w:szCs w:val="20"/>
            </w:rPr>
            <w:t xml:space="preserve">Captive Genders, </w:t>
          </w:r>
          <w:r w:rsidRPr="00A72E22">
            <w:rPr>
              <w:color w:val="000000" w:themeColor="text1"/>
              <w:sz w:val="20"/>
              <w:szCs w:val="20"/>
            </w:rPr>
            <w:t xml:space="preserve">217. </w:t>
          </w:r>
        </w:p>
      </w:sdtContent>
    </w:sdt>
  </w:footnote>
  <w:footnote w:id="63">
    <w:sdt>
      <w:sdtPr>
        <w:rPr>
          <w:color w:val="000000" w:themeColor="text1"/>
          <w:sz w:val="20"/>
          <w:szCs w:val="20"/>
        </w:rPr>
        <w:tag w:val="goog_rdk_336"/>
        <w:id w:val="64608041"/>
      </w:sdtPr>
      <w:sdtContent>
        <w:p w14:paraId="0000011F"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Roscoe Pound, “Mechanical Jurisprudence”, </w:t>
          </w:r>
          <w:r w:rsidRPr="00A72E22">
            <w:rPr>
              <w:i/>
              <w:color w:val="000000" w:themeColor="text1"/>
              <w:sz w:val="20"/>
              <w:szCs w:val="20"/>
            </w:rPr>
            <w:t>Columbia Law Review</w:t>
          </w:r>
          <w:r w:rsidRPr="00A72E22">
            <w:rPr>
              <w:color w:val="000000" w:themeColor="text1"/>
              <w:sz w:val="20"/>
              <w:szCs w:val="20"/>
            </w:rPr>
            <w:t xml:space="preserve"> (1908). </w:t>
          </w:r>
        </w:p>
      </w:sdtContent>
    </w:sdt>
  </w:footnote>
  <w:footnote w:id="64">
    <w:sdt>
      <w:sdtPr>
        <w:rPr>
          <w:color w:val="000000" w:themeColor="text1"/>
          <w:sz w:val="20"/>
          <w:szCs w:val="20"/>
        </w:rPr>
        <w:tag w:val="goog_rdk_337"/>
        <w:id w:val="-1723121124"/>
      </w:sdtPr>
      <w:sdtContent>
        <w:p w14:paraId="00000120"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Stanley and Spade, “Queering Prison Abolition”, 120.</w:t>
          </w:r>
        </w:p>
      </w:sdtContent>
    </w:sdt>
  </w:footnote>
  <w:footnote w:id="65">
    <w:sdt>
      <w:sdtPr>
        <w:rPr>
          <w:color w:val="000000" w:themeColor="text1"/>
          <w:sz w:val="20"/>
          <w:szCs w:val="20"/>
        </w:rPr>
        <w:tag w:val="goog_rdk_338"/>
        <w:id w:val="-1865589048"/>
      </w:sdtPr>
      <w:sdtContent>
        <w:p w14:paraId="00000121" w14:textId="10432BB6"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Cs/>
              <w:color w:val="000000" w:themeColor="text1"/>
              <w:sz w:val="20"/>
              <w:szCs w:val="20"/>
            </w:rPr>
            <w:t xml:space="preserve">Harris </w:t>
          </w:r>
          <w:r w:rsidRPr="00A72E22">
            <w:rPr>
              <w:color w:val="000000" w:themeColor="text1"/>
              <w:sz w:val="20"/>
              <w:szCs w:val="20"/>
            </w:rPr>
            <w:t xml:space="preserve">[2000] [9]. </w:t>
          </w:r>
        </w:p>
      </w:sdtContent>
    </w:sdt>
  </w:footnote>
  <w:footnote w:id="66">
    <w:sdt>
      <w:sdtPr>
        <w:rPr>
          <w:color w:val="000000" w:themeColor="text1"/>
          <w:sz w:val="20"/>
          <w:szCs w:val="20"/>
        </w:rPr>
        <w:tag w:val="goog_rdk_339"/>
        <w:id w:val="1870251421"/>
      </w:sdtPr>
      <w:sdtContent>
        <w:p w14:paraId="00000122"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Rebecca Mann, “The Treatment of Transgender Prisoners, Not Just an American Problem – A Comparative Analysis of American, Australian, and Canadian Prison Policies Concerning the Treatment of Transgender Prisoners and a “Universal” Recommendation to Improve Treatment”. </w:t>
          </w:r>
          <w:r w:rsidRPr="00A72E22">
            <w:rPr>
              <w:i/>
              <w:color w:val="000000" w:themeColor="text1"/>
              <w:sz w:val="20"/>
              <w:szCs w:val="20"/>
            </w:rPr>
            <w:t>Law and Sexuality Review, Lesbian Gay Bisexual and Legal Issues</w:t>
          </w:r>
          <w:r w:rsidRPr="00A72E22">
            <w:rPr>
              <w:color w:val="000000" w:themeColor="text1"/>
              <w:sz w:val="20"/>
              <w:szCs w:val="20"/>
            </w:rPr>
            <w:t xml:space="preserve"> 15 (2006): 91-134, 6. </w:t>
          </w:r>
        </w:p>
      </w:sdtContent>
    </w:sdt>
    <w:sdt>
      <w:sdtPr>
        <w:rPr>
          <w:color w:val="000000" w:themeColor="text1"/>
          <w:sz w:val="20"/>
          <w:szCs w:val="20"/>
        </w:rPr>
        <w:tag w:val="goog_rdk_340"/>
        <w:id w:val="-1890648337"/>
      </w:sdtPr>
      <w:sdtContent>
        <w:p w14:paraId="00000123" w14:textId="206B0FA9"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iCs/>
              <w:color w:val="000000" w:themeColor="text1"/>
              <w:sz w:val="20"/>
              <w:szCs w:val="20"/>
            </w:rPr>
            <w:t>Harris</w:t>
          </w:r>
          <w:r w:rsidRPr="00A72E22">
            <w:rPr>
              <w:i/>
              <w:color w:val="000000" w:themeColor="text1"/>
              <w:sz w:val="20"/>
              <w:szCs w:val="20"/>
            </w:rPr>
            <w:t xml:space="preserve"> </w:t>
          </w:r>
          <w:r w:rsidRPr="00A72E22">
            <w:rPr>
              <w:color w:val="000000" w:themeColor="text1"/>
              <w:sz w:val="20"/>
              <w:szCs w:val="20"/>
            </w:rPr>
            <w:t>[2000] [9].</w:t>
          </w:r>
        </w:p>
      </w:sdtContent>
    </w:sdt>
  </w:footnote>
  <w:footnote w:id="67">
    <w:sdt>
      <w:sdtPr>
        <w:rPr>
          <w:color w:val="000000" w:themeColor="text1"/>
          <w:sz w:val="20"/>
          <w:szCs w:val="20"/>
        </w:rPr>
        <w:tag w:val="goog_rdk_341"/>
        <w:id w:val="1939864881"/>
      </w:sdtPr>
      <w:sdtContent>
        <w:p w14:paraId="00000124" w14:textId="2981E7CB"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Harris [2000] [11]. </w:t>
          </w:r>
        </w:p>
      </w:sdtContent>
    </w:sdt>
  </w:footnote>
  <w:footnote w:id="68">
    <w:sdt>
      <w:sdtPr>
        <w:rPr>
          <w:color w:val="000000" w:themeColor="text1"/>
          <w:sz w:val="20"/>
          <w:szCs w:val="20"/>
        </w:rPr>
        <w:tag w:val="goog_rdk_342"/>
        <w:id w:val="-1481757848"/>
      </w:sdtPr>
      <w:sdtContent>
        <w:p w14:paraId="0000012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Alex Sharpe, “Queering Judgment: The Case of Gender Identity Fraud”, </w:t>
          </w:r>
          <w:r w:rsidRPr="00A72E22">
            <w:rPr>
              <w:i/>
              <w:color w:val="000000" w:themeColor="text1"/>
              <w:sz w:val="20"/>
              <w:szCs w:val="20"/>
            </w:rPr>
            <w:t xml:space="preserve">Journal of Criminal Law, </w:t>
          </w:r>
          <w:r w:rsidRPr="00A72E22">
            <w:rPr>
              <w:color w:val="000000" w:themeColor="text1"/>
              <w:sz w:val="20"/>
              <w:szCs w:val="20"/>
            </w:rPr>
            <w:t>(2017): 417-435.</w:t>
          </w:r>
        </w:p>
      </w:sdtContent>
    </w:sdt>
  </w:footnote>
  <w:footnote w:id="69">
    <w:sdt>
      <w:sdtPr>
        <w:rPr>
          <w:color w:val="000000" w:themeColor="text1"/>
          <w:sz w:val="20"/>
          <w:szCs w:val="20"/>
        </w:rPr>
        <w:tag w:val="goog_rdk_343"/>
        <w:id w:val="-967813195"/>
      </w:sdtPr>
      <w:sdtContent>
        <w:p w14:paraId="00000126" w14:textId="755E100D"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Sharpe, “Queering Judgment”, 6. Sharpe highlights that in accessing judicial notice the information highlighted must be “so notorious, or clearly established, or susceptible to demonstration by reference to a readily obtainable and authoritative source, that evidence of their existence is unnecessary.” </w:t>
          </w:r>
        </w:p>
      </w:sdtContent>
    </w:sdt>
  </w:footnote>
  <w:footnote w:id="70">
    <w:sdt>
      <w:sdtPr>
        <w:rPr>
          <w:color w:val="000000" w:themeColor="text1"/>
          <w:sz w:val="20"/>
          <w:szCs w:val="20"/>
        </w:rPr>
        <w:tag w:val="goog_rdk_345"/>
        <w:id w:val="1421293841"/>
      </w:sdtPr>
      <w:sdtContent>
        <w:p w14:paraId="0000012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Hanoch</w:t>
          </w:r>
          <w:proofErr w:type="spellEnd"/>
          <w:r w:rsidRPr="00A72E22">
            <w:rPr>
              <w:color w:val="000000" w:themeColor="text1"/>
              <w:sz w:val="20"/>
              <w:szCs w:val="20"/>
            </w:rPr>
            <w:t xml:space="preserve"> Dagan, “The Realist Conception of Law”, </w:t>
          </w:r>
          <w:r w:rsidRPr="00A72E22">
            <w:rPr>
              <w:i/>
              <w:color w:val="000000" w:themeColor="text1"/>
              <w:sz w:val="20"/>
              <w:szCs w:val="20"/>
            </w:rPr>
            <w:t xml:space="preserve">The University of Toronto Law Journal </w:t>
          </w:r>
          <w:r w:rsidRPr="00A72E22">
            <w:rPr>
              <w:color w:val="000000" w:themeColor="text1"/>
              <w:sz w:val="20"/>
              <w:szCs w:val="20"/>
            </w:rPr>
            <w:t xml:space="preserve">(2007): 607-660, </w:t>
          </w:r>
          <w:sdt>
            <w:sdtPr>
              <w:rPr>
                <w:color w:val="000000" w:themeColor="text1"/>
                <w:sz w:val="20"/>
                <w:szCs w:val="20"/>
              </w:rPr>
              <w:tag w:val="goog_rdk_344"/>
              <w:id w:val="116032732"/>
            </w:sdtPr>
            <w:sdtContent/>
          </w:sdt>
          <w:r w:rsidRPr="00A72E22">
            <w:rPr>
              <w:color w:val="000000" w:themeColor="text1"/>
              <w:sz w:val="20"/>
              <w:szCs w:val="20"/>
            </w:rPr>
            <w:t>618.</w:t>
          </w:r>
        </w:p>
      </w:sdtContent>
    </w:sdt>
  </w:footnote>
  <w:footnote w:id="71">
    <w:sdt>
      <w:sdtPr>
        <w:rPr>
          <w:color w:val="000000" w:themeColor="text1"/>
          <w:sz w:val="20"/>
          <w:szCs w:val="20"/>
        </w:rPr>
        <w:tag w:val="goog_rdk_346"/>
        <w:id w:val="-1551917434"/>
      </w:sdtPr>
      <w:sdtContent>
        <w:p w14:paraId="6D680493" w14:textId="77777777" w:rsidR="00A1537F" w:rsidRPr="00A72E22" w:rsidRDefault="00A1537F" w:rsidP="0033717A">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Sharpe, “Queering Judgment” for an alternative approach to judgment writing as a means of reconfiguring historic juristic constructions of gender; whilst also remaining faithful to the constraints and conventions imposed by traditional judicial method. Exploring the potential of establishing gender-fluid approaches to judicial decision-making within a criminal law context would be a valuable avenue of further research.</w:t>
          </w:r>
        </w:p>
      </w:sdtContent>
    </w:sdt>
  </w:footnote>
  <w:footnote w:id="72">
    <w:sdt>
      <w:sdtPr>
        <w:rPr>
          <w:color w:val="000000" w:themeColor="text1"/>
          <w:sz w:val="20"/>
          <w:szCs w:val="20"/>
        </w:rPr>
        <w:tag w:val="goog_rdk_347"/>
        <w:id w:val="-298615443"/>
      </w:sdtPr>
      <w:sdtContent>
        <w:p w14:paraId="00000129" w14:textId="210A88CE"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R (on the application of B) v Secretary of State for Justice</w:t>
          </w:r>
          <w:r w:rsidRPr="00A72E22">
            <w:rPr>
              <w:color w:val="000000" w:themeColor="text1"/>
              <w:sz w:val="20"/>
              <w:szCs w:val="20"/>
            </w:rPr>
            <w:t xml:space="preserve"> [2009] EWHC 2220.</w:t>
          </w:r>
        </w:p>
      </w:sdtContent>
    </w:sdt>
  </w:footnote>
  <w:footnote w:id="73">
    <w:sdt>
      <w:sdtPr>
        <w:rPr>
          <w:color w:val="000000" w:themeColor="text1"/>
          <w:sz w:val="20"/>
          <w:szCs w:val="20"/>
        </w:rPr>
        <w:tag w:val="goog_rdk_348"/>
        <w:id w:val="702292288"/>
      </w:sdtPr>
      <w:sdtContent>
        <w:p w14:paraId="0000012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AB</w:t>
          </w:r>
          <w:r w:rsidRPr="00A72E22">
            <w:rPr>
              <w:color w:val="000000" w:themeColor="text1"/>
              <w:sz w:val="20"/>
              <w:szCs w:val="20"/>
            </w:rPr>
            <w:t xml:space="preserve"> [2009]. Under Section 9(1) of the GRA 2004, the individual in receipt of the certificate must be recognised within their acquired gender and sex upon its issue.</w:t>
          </w:r>
        </w:p>
      </w:sdtContent>
    </w:sdt>
  </w:footnote>
  <w:footnote w:id="74">
    <w:sdt>
      <w:sdtPr>
        <w:rPr>
          <w:color w:val="000000" w:themeColor="text1"/>
          <w:sz w:val="20"/>
          <w:szCs w:val="20"/>
        </w:rPr>
        <w:tag w:val="goog_rdk_349"/>
        <w:id w:val="-568421127"/>
      </w:sdtPr>
      <w:sdtContent>
        <w:p w14:paraId="0000012B" w14:textId="2B53502F"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AB</w:t>
          </w:r>
          <w:r w:rsidRPr="00A72E22">
            <w:rPr>
              <w:color w:val="000000" w:themeColor="text1"/>
              <w:sz w:val="20"/>
              <w:szCs w:val="20"/>
            </w:rPr>
            <w:t xml:space="preserve"> [2009] [7].</w:t>
          </w:r>
        </w:p>
      </w:sdtContent>
    </w:sdt>
  </w:footnote>
  <w:footnote w:id="75">
    <w:sdt>
      <w:sdtPr>
        <w:rPr>
          <w:color w:val="000000" w:themeColor="text1"/>
          <w:sz w:val="20"/>
          <w:szCs w:val="20"/>
        </w:rPr>
        <w:tag w:val="goog_rdk_350"/>
        <w:id w:val="-2026549467"/>
      </w:sdtPr>
      <w:sdtContent>
        <w:p w14:paraId="0000012C" w14:textId="4A3C6DB8"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AB</w:t>
          </w:r>
          <w:r w:rsidRPr="00A72E22">
            <w:rPr>
              <w:color w:val="000000" w:themeColor="text1"/>
              <w:sz w:val="20"/>
              <w:szCs w:val="20"/>
            </w:rPr>
            <w:t xml:space="preserve"> [2009] [4].</w:t>
          </w:r>
        </w:p>
      </w:sdtContent>
    </w:sdt>
  </w:footnote>
  <w:footnote w:id="76">
    <w:sdt>
      <w:sdtPr>
        <w:rPr>
          <w:color w:val="000000" w:themeColor="text1"/>
          <w:sz w:val="20"/>
          <w:szCs w:val="20"/>
        </w:rPr>
        <w:tag w:val="goog_rdk_351"/>
        <w:id w:val="-1614286940"/>
      </w:sdtPr>
      <w:sdtContent>
        <w:p w14:paraId="0000012D" w14:textId="736DA9A0"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AB</w:t>
          </w:r>
          <w:r w:rsidRPr="00A72E22">
            <w:rPr>
              <w:color w:val="000000" w:themeColor="text1"/>
              <w:sz w:val="20"/>
              <w:szCs w:val="20"/>
            </w:rPr>
            <w:t xml:space="preserve"> [2009] [7] and [49].</w:t>
          </w:r>
        </w:p>
      </w:sdtContent>
    </w:sdt>
  </w:footnote>
  <w:footnote w:id="77">
    <w:sdt>
      <w:sdtPr>
        <w:rPr>
          <w:color w:val="000000" w:themeColor="text1"/>
          <w:sz w:val="20"/>
          <w:szCs w:val="20"/>
        </w:rPr>
        <w:tag w:val="goog_rdk_352"/>
        <w:id w:val="-521629718"/>
      </w:sdtPr>
      <w:sdtContent>
        <w:p w14:paraId="0000012E" w14:textId="2ECF95C0"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AB </w:t>
          </w:r>
          <w:r w:rsidRPr="00A72E22">
            <w:rPr>
              <w:color w:val="000000" w:themeColor="text1"/>
              <w:sz w:val="20"/>
              <w:szCs w:val="20"/>
            </w:rPr>
            <w:t>[2009] [49].</w:t>
          </w:r>
        </w:p>
      </w:sdtContent>
    </w:sdt>
  </w:footnote>
  <w:footnote w:id="78">
    <w:sdt>
      <w:sdtPr>
        <w:rPr>
          <w:color w:val="000000" w:themeColor="text1"/>
          <w:sz w:val="20"/>
          <w:szCs w:val="20"/>
        </w:rPr>
        <w:tag w:val="goog_rdk_353"/>
        <w:id w:val="1350531961"/>
      </w:sdtPr>
      <w:sdtContent>
        <w:p w14:paraId="0000012F" w14:textId="5358962C"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AB </w:t>
          </w:r>
          <w:r w:rsidRPr="00A72E22">
            <w:rPr>
              <w:color w:val="000000" w:themeColor="text1"/>
              <w:sz w:val="20"/>
              <w:szCs w:val="20"/>
            </w:rPr>
            <w:t>[2009] [49].</w:t>
          </w:r>
        </w:p>
      </w:sdtContent>
    </w:sdt>
  </w:footnote>
  <w:footnote w:id="79">
    <w:sdt>
      <w:sdtPr>
        <w:rPr>
          <w:color w:val="000000" w:themeColor="text1"/>
          <w:sz w:val="20"/>
          <w:szCs w:val="20"/>
        </w:rPr>
        <w:tag w:val="goog_rdk_354"/>
        <w:id w:val="447589046"/>
      </w:sdtPr>
      <w:sdtContent>
        <w:p w14:paraId="00000130" w14:textId="2A5FD749"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AB</w:t>
          </w:r>
          <w:r w:rsidRPr="00A72E22">
            <w:rPr>
              <w:color w:val="000000" w:themeColor="text1"/>
              <w:sz w:val="20"/>
              <w:szCs w:val="20"/>
            </w:rPr>
            <w:t xml:space="preserve"> [2009] [77].</w:t>
          </w:r>
        </w:p>
      </w:sdtContent>
    </w:sdt>
  </w:footnote>
  <w:footnote w:id="80">
    <w:sdt>
      <w:sdtPr>
        <w:rPr>
          <w:color w:val="000000" w:themeColor="text1"/>
          <w:sz w:val="20"/>
          <w:szCs w:val="20"/>
        </w:rPr>
        <w:tag w:val="goog_rdk_355"/>
        <w:id w:val="1557509849"/>
      </w:sdtPr>
      <w:sdtContent>
        <w:p w14:paraId="0000013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i/>
              <w:color w:val="000000" w:themeColor="text1"/>
              <w:sz w:val="20"/>
              <w:szCs w:val="20"/>
            </w:rPr>
            <w:t xml:space="preserve"> Green </w:t>
          </w:r>
          <w:r w:rsidRPr="00A72E22">
            <w:rPr>
              <w:color w:val="000000" w:themeColor="text1"/>
              <w:sz w:val="20"/>
              <w:szCs w:val="20"/>
            </w:rPr>
            <w:t>[2013]</w:t>
          </w:r>
        </w:p>
      </w:sdtContent>
    </w:sdt>
  </w:footnote>
  <w:footnote w:id="81">
    <w:sdt>
      <w:sdtPr>
        <w:rPr>
          <w:color w:val="000000" w:themeColor="text1"/>
          <w:sz w:val="20"/>
          <w:szCs w:val="20"/>
        </w:rPr>
        <w:tag w:val="goog_rdk_356"/>
        <w:id w:val="-179736353"/>
      </w:sdtPr>
      <w:sdtContent>
        <w:p w14:paraId="00000132" w14:textId="76AE000D"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AB </w:t>
          </w:r>
          <w:r w:rsidRPr="00A72E22">
            <w:rPr>
              <w:color w:val="000000" w:themeColor="text1"/>
              <w:sz w:val="20"/>
              <w:szCs w:val="20"/>
            </w:rPr>
            <w:t>[2009] [18].</w:t>
          </w:r>
        </w:p>
      </w:sdtContent>
    </w:sdt>
  </w:footnote>
  <w:footnote w:id="82">
    <w:sdt>
      <w:sdtPr>
        <w:rPr>
          <w:color w:val="000000" w:themeColor="text1"/>
          <w:sz w:val="20"/>
          <w:szCs w:val="20"/>
        </w:rPr>
        <w:tag w:val="goog_rdk_357"/>
        <w:id w:val="2104840814"/>
      </w:sdtPr>
      <w:sdtContent>
        <w:p w14:paraId="00000133"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PSI 07/2011, Transsexual Prisoners. 1.5, 2.2, 3.3</w:t>
          </w:r>
        </w:p>
      </w:sdtContent>
    </w:sdt>
  </w:footnote>
  <w:footnote w:id="83">
    <w:sdt>
      <w:sdtPr>
        <w:rPr>
          <w:color w:val="000000" w:themeColor="text1"/>
          <w:sz w:val="20"/>
          <w:szCs w:val="20"/>
        </w:rPr>
        <w:tag w:val="goog_rdk_358"/>
        <w:id w:val="-1698612509"/>
      </w:sdtPr>
      <w:sdtContent>
        <w:p w14:paraId="0000013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PSI 07/2011, Transsexual Prisoners. 1.1, 3.2</w:t>
          </w:r>
        </w:p>
      </w:sdtContent>
    </w:sdt>
  </w:footnote>
  <w:footnote w:id="84">
    <w:sdt>
      <w:sdtPr>
        <w:rPr>
          <w:color w:val="000000" w:themeColor="text1"/>
          <w:sz w:val="20"/>
          <w:szCs w:val="20"/>
        </w:rPr>
        <w:tag w:val="goog_rdk_359"/>
        <w:id w:val="1825547324"/>
      </w:sdtPr>
      <w:sdtContent>
        <w:p w14:paraId="0000013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Sarah Lamble, “Rethinking gendered prison policies: Impacts on transgender prisoners” [2012] </w:t>
          </w:r>
          <w:r w:rsidRPr="00A72E22">
            <w:rPr>
              <w:i/>
              <w:color w:val="000000" w:themeColor="text1"/>
              <w:sz w:val="20"/>
              <w:szCs w:val="20"/>
            </w:rPr>
            <w:t>ECAN Bulletin</w:t>
          </w:r>
          <w:r w:rsidRPr="00A72E22">
            <w:rPr>
              <w:color w:val="000000" w:themeColor="text1"/>
              <w:sz w:val="20"/>
              <w:szCs w:val="20"/>
            </w:rPr>
            <w:t xml:space="preserve"> 10.</w:t>
          </w:r>
        </w:p>
      </w:sdtContent>
    </w:sdt>
  </w:footnote>
  <w:footnote w:id="85">
    <w:sdt>
      <w:sdtPr>
        <w:rPr>
          <w:color w:val="000000" w:themeColor="text1"/>
          <w:sz w:val="20"/>
          <w:szCs w:val="20"/>
        </w:rPr>
        <w:tag w:val="goog_rdk_360"/>
        <w:id w:val="-401517742"/>
      </w:sdtPr>
      <w:sdtContent>
        <w:p w14:paraId="00000136"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Lamble, Gendered prison policies.</w:t>
          </w:r>
        </w:p>
      </w:sdtContent>
    </w:sdt>
  </w:footnote>
  <w:footnote w:id="86">
    <w:sdt>
      <w:sdtPr>
        <w:rPr>
          <w:color w:val="000000" w:themeColor="text1"/>
          <w:sz w:val="20"/>
          <w:szCs w:val="20"/>
        </w:rPr>
        <w:tag w:val="goog_rdk_361"/>
        <w:id w:val="-936439030"/>
      </w:sdtPr>
      <w:sdtContent>
        <w:p w14:paraId="0000013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Lamble, Gendered prison policies.</w:t>
          </w:r>
        </w:p>
      </w:sdtContent>
    </w:sdt>
  </w:footnote>
  <w:footnote w:id="87">
    <w:sdt>
      <w:sdtPr>
        <w:rPr>
          <w:color w:val="000000" w:themeColor="text1"/>
          <w:sz w:val="20"/>
          <w:szCs w:val="20"/>
        </w:rPr>
        <w:tag w:val="goog_rdk_362"/>
        <w:id w:val="-1225070149"/>
      </w:sdtPr>
      <w:sdtContent>
        <w:p w14:paraId="0000013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Green </w:t>
          </w:r>
          <w:r w:rsidRPr="00A72E22">
            <w:rPr>
              <w:color w:val="000000" w:themeColor="text1"/>
              <w:sz w:val="20"/>
              <w:szCs w:val="20"/>
            </w:rPr>
            <w:t>[2013]</w:t>
          </w:r>
        </w:p>
      </w:sdtContent>
    </w:sdt>
  </w:footnote>
  <w:footnote w:id="88">
    <w:sdt>
      <w:sdtPr>
        <w:rPr>
          <w:color w:val="000000" w:themeColor="text1"/>
          <w:sz w:val="20"/>
          <w:szCs w:val="20"/>
        </w:rPr>
        <w:tag w:val="goog_rdk_363"/>
        <w:id w:val="190419218"/>
      </w:sdtPr>
      <w:sdtContent>
        <w:p w14:paraId="00000139"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A detailed list of the items requested can be found at paragraph 35 of the judgment.</w:t>
          </w:r>
        </w:p>
      </w:sdtContent>
    </w:sdt>
  </w:footnote>
  <w:footnote w:id="89">
    <w:sdt>
      <w:sdtPr>
        <w:rPr>
          <w:color w:val="000000" w:themeColor="text1"/>
          <w:sz w:val="20"/>
          <w:szCs w:val="20"/>
        </w:rPr>
        <w:tag w:val="goog_rdk_364"/>
        <w:id w:val="-1146361887"/>
      </w:sdtPr>
      <w:sdtContent>
        <w:p w14:paraId="0000013A" w14:textId="0B75B5B6"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Section 13 (1) </w:t>
          </w:r>
          <w:r w:rsidRPr="00A72E22">
            <w:rPr>
              <w:i/>
              <w:iCs/>
              <w:color w:val="000000" w:themeColor="text1"/>
              <w:sz w:val="20"/>
              <w:szCs w:val="20"/>
            </w:rPr>
            <w:t>Equality Act 2010</w:t>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[31]-[32], [34], and [65].</w:t>
          </w:r>
        </w:p>
      </w:sdtContent>
    </w:sdt>
  </w:footnote>
  <w:footnote w:id="90">
    <w:sdt>
      <w:sdtPr>
        <w:rPr>
          <w:color w:val="000000" w:themeColor="text1"/>
          <w:sz w:val="20"/>
          <w:szCs w:val="20"/>
        </w:rPr>
        <w:tag w:val="goog_rdk_365"/>
        <w:id w:val="213162335"/>
      </w:sdtPr>
      <w:sdtContent>
        <w:p w14:paraId="0000013B" w14:textId="0009A722"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[2], [28], and [46].</w:t>
          </w:r>
        </w:p>
      </w:sdtContent>
    </w:sdt>
  </w:footnote>
  <w:footnote w:id="91">
    <w:sdt>
      <w:sdtPr>
        <w:rPr>
          <w:color w:val="000000" w:themeColor="text1"/>
          <w:sz w:val="20"/>
          <w:szCs w:val="20"/>
        </w:rPr>
        <w:tag w:val="goog_rdk_366"/>
        <w:id w:val="971716018"/>
      </w:sdtPr>
      <w:sdtContent>
        <w:p w14:paraId="0000013C" w14:textId="1EE93A16"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[2], [28], and [46].</w:t>
          </w:r>
        </w:p>
      </w:sdtContent>
    </w:sdt>
  </w:footnote>
  <w:footnote w:id="92">
    <w:sdt>
      <w:sdtPr>
        <w:rPr>
          <w:color w:val="000000" w:themeColor="text1"/>
          <w:sz w:val="20"/>
          <w:szCs w:val="20"/>
        </w:rPr>
        <w:tag w:val="goog_rdk_367"/>
        <w:id w:val="756564485"/>
      </w:sdtPr>
      <w:sdtContent>
        <w:p w14:paraId="0000013D" w14:textId="457DD68D"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3491 [2].</w:t>
          </w:r>
        </w:p>
      </w:sdtContent>
    </w:sdt>
  </w:footnote>
  <w:footnote w:id="93">
    <w:sdt>
      <w:sdtPr>
        <w:rPr>
          <w:color w:val="000000" w:themeColor="text1"/>
          <w:sz w:val="20"/>
          <w:szCs w:val="20"/>
        </w:rPr>
        <w:tag w:val="goog_rdk_368"/>
        <w:id w:val="451063340"/>
      </w:sdtPr>
      <w:sdtContent>
        <w:p w14:paraId="0000013E" w14:textId="57D47D29"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[37] and [71]. </w:t>
          </w:r>
        </w:p>
      </w:sdtContent>
    </w:sdt>
  </w:footnote>
  <w:footnote w:id="94">
    <w:sdt>
      <w:sdtPr>
        <w:rPr>
          <w:color w:val="000000" w:themeColor="text1"/>
          <w:sz w:val="20"/>
          <w:szCs w:val="20"/>
        </w:rPr>
        <w:tag w:val="goog_rdk_369"/>
        <w:id w:val="1004869161"/>
      </w:sdtPr>
      <w:sdtContent>
        <w:p w14:paraId="0000013F" w14:textId="0CF852EC"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EWHC [46].</w:t>
          </w:r>
        </w:p>
      </w:sdtContent>
    </w:sdt>
  </w:footnote>
  <w:footnote w:id="95">
    <w:sdt>
      <w:sdtPr>
        <w:rPr>
          <w:color w:val="000000" w:themeColor="text1"/>
          <w:sz w:val="20"/>
          <w:szCs w:val="20"/>
        </w:rPr>
        <w:tag w:val="goog_rdk_370"/>
        <w:id w:val="1652019371"/>
      </w:sdtPr>
      <w:sdtContent>
        <w:p w14:paraId="00000140" w14:textId="2D91EE3E"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Dunn, ‘Slipping Off’, l4.</w:t>
          </w:r>
        </w:p>
      </w:sdtContent>
    </w:sdt>
  </w:footnote>
  <w:footnote w:id="96">
    <w:sdt>
      <w:sdtPr>
        <w:rPr>
          <w:color w:val="000000" w:themeColor="text1"/>
          <w:sz w:val="20"/>
          <w:szCs w:val="20"/>
        </w:rPr>
        <w:tag w:val="goog_rdk_371"/>
        <w:id w:val="-1477438264"/>
      </w:sdtPr>
      <w:sdtContent>
        <w:p w14:paraId="00000141" w14:textId="17F71D31"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[10]-[11].</w:t>
          </w:r>
        </w:p>
      </w:sdtContent>
    </w:sdt>
  </w:footnote>
  <w:footnote w:id="97">
    <w:sdt>
      <w:sdtPr>
        <w:rPr>
          <w:color w:val="000000" w:themeColor="text1"/>
          <w:sz w:val="20"/>
          <w:szCs w:val="20"/>
        </w:rPr>
        <w:tag w:val="goog_rdk_372"/>
        <w:id w:val="-1832362000"/>
      </w:sdtPr>
      <w:sdtContent>
        <w:p w14:paraId="00000142" w14:textId="4051AD0D"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Green</w:t>
          </w:r>
          <w:r w:rsidRPr="00A72E22">
            <w:rPr>
              <w:color w:val="000000" w:themeColor="text1"/>
              <w:sz w:val="20"/>
              <w:szCs w:val="20"/>
            </w:rPr>
            <w:t xml:space="preserve"> [2013] [68].</w:t>
          </w:r>
        </w:p>
      </w:sdtContent>
    </w:sdt>
  </w:footnote>
  <w:footnote w:id="98">
    <w:sdt>
      <w:sdtPr>
        <w:rPr>
          <w:color w:val="000000" w:themeColor="text1"/>
          <w:sz w:val="20"/>
          <w:szCs w:val="20"/>
        </w:rPr>
        <w:tag w:val="goog_rdk_373"/>
        <w:id w:val="-691613592"/>
      </w:sdtPr>
      <w:sdtContent>
        <w:p w14:paraId="00000143" w14:textId="73A2CBB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Corbett</w:t>
          </w:r>
          <w:r w:rsidRPr="00A72E22">
            <w:rPr>
              <w:color w:val="000000" w:themeColor="text1"/>
              <w:sz w:val="20"/>
              <w:szCs w:val="20"/>
            </w:rPr>
            <w:t xml:space="preserve"> (</w:t>
          </w:r>
          <w:hyperlink r:id="rId6" w:history="1">
            <w:r w:rsidRPr="00A72E22">
              <w:rPr>
                <w:rStyle w:val="Hyperlink"/>
                <w:color w:val="000000" w:themeColor="text1"/>
                <w:sz w:val="20"/>
                <w:szCs w:val="20"/>
                <w:u w:val="none"/>
                <w:shd w:val="clear" w:color="auto" w:fill="FFFFFF"/>
              </w:rPr>
              <w:t>[1971] 2 All ER 33</w:t>
            </w:r>
          </w:hyperlink>
          <w:r w:rsidRPr="00A72E22">
            <w:rPr>
              <w:rStyle w:val="Hyperlink"/>
              <w:color w:val="000000" w:themeColor="text1"/>
              <w:sz w:val="20"/>
              <w:szCs w:val="20"/>
              <w:u w:val="none"/>
              <w:shd w:val="clear" w:color="auto" w:fill="FFFFFF"/>
            </w:rPr>
            <w:t xml:space="preserve">) </w:t>
          </w:r>
          <w:r w:rsidRPr="00A72E22">
            <w:rPr>
              <w:color w:val="000000" w:themeColor="text1"/>
              <w:sz w:val="20"/>
              <w:szCs w:val="20"/>
            </w:rPr>
            <w:t xml:space="preserve">represented the authority on determining sex and gender until the enactment of the Gender Recognition Act 2004. The case concerned the applicant, Arthur Corbett, who issued legal proceedings to annul the marriage with his spouse, April Ashley on the grounds that she was male. Upon the construction of invasive and chromosomal, gonadal and genital tests to determine the sex of Ashley, Lord Justice Ormerod ruled that sex was fixed at birth and unalterable, meaning that Ashley would only be recognised as male for the purposes of marriage law in England and Wales. In permitting the annulment of the marriage between the couple on the basis of rigid and biological conceptions of sex, </w:t>
          </w:r>
          <w:proofErr w:type="spellStart"/>
          <w:r w:rsidRPr="00A72E22">
            <w:rPr>
              <w:color w:val="000000" w:themeColor="text1"/>
              <w:sz w:val="20"/>
              <w:szCs w:val="20"/>
            </w:rPr>
            <w:t>Omerod</w:t>
          </w:r>
          <w:proofErr w:type="spellEnd"/>
          <w:r w:rsidRPr="00A72E22">
            <w:rPr>
              <w:color w:val="000000" w:themeColor="text1"/>
              <w:sz w:val="20"/>
              <w:szCs w:val="20"/>
            </w:rPr>
            <w:t xml:space="preserve"> J refused to recognise Ashley’s gender identity as a woman. </w:t>
          </w:r>
        </w:p>
      </w:sdtContent>
    </w:sdt>
  </w:footnote>
  <w:footnote w:id="99">
    <w:sdt>
      <w:sdtPr>
        <w:rPr>
          <w:color w:val="000000" w:themeColor="text1"/>
          <w:sz w:val="20"/>
          <w:szCs w:val="20"/>
        </w:rPr>
        <w:tag w:val="goog_rdk_374"/>
        <w:id w:val="-1921089146"/>
      </w:sdtPr>
      <w:sdtContent>
        <w:p w14:paraId="00000144"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vertAlign w:val="superscript"/>
            </w:rPr>
            <w:t xml:space="preserve"> </w:t>
          </w:r>
          <w:r w:rsidRPr="00A72E22">
            <w:rPr>
              <w:color w:val="000000" w:themeColor="text1"/>
              <w:sz w:val="20"/>
              <w:szCs w:val="20"/>
            </w:rPr>
            <w:t xml:space="preserve">Section 7 (1) </w:t>
          </w:r>
          <w:r w:rsidRPr="00A72E22">
            <w:rPr>
              <w:i/>
              <w:iCs/>
              <w:color w:val="000000" w:themeColor="text1"/>
              <w:sz w:val="20"/>
              <w:szCs w:val="20"/>
            </w:rPr>
            <w:t>Equality Act 2010</w:t>
          </w:r>
          <w:r w:rsidRPr="00A72E22">
            <w:rPr>
              <w:color w:val="000000" w:themeColor="text1"/>
              <w:sz w:val="20"/>
              <w:szCs w:val="20"/>
            </w:rPr>
            <w:t>.</w:t>
          </w:r>
        </w:p>
      </w:sdtContent>
    </w:sdt>
  </w:footnote>
  <w:footnote w:id="100">
    <w:sdt>
      <w:sdtPr>
        <w:rPr>
          <w:color w:val="000000" w:themeColor="text1"/>
          <w:sz w:val="20"/>
          <w:szCs w:val="20"/>
        </w:rPr>
        <w:tag w:val="goog_rdk_375"/>
        <w:id w:val="1244371049"/>
      </w:sdtPr>
      <w:sdtContent>
        <w:p w14:paraId="0000014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vertAlign w:val="superscript"/>
            </w:rPr>
            <w:t xml:space="preserve"> </w:t>
          </w:r>
          <w:r w:rsidRPr="00A72E22">
            <w:rPr>
              <w:color w:val="000000" w:themeColor="text1"/>
              <w:sz w:val="20"/>
              <w:szCs w:val="20"/>
            </w:rPr>
            <w:t xml:space="preserve">Bob </w:t>
          </w:r>
          <w:proofErr w:type="spellStart"/>
          <w:r w:rsidRPr="00A72E22">
            <w:rPr>
              <w:color w:val="000000" w:themeColor="text1"/>
              <w:sz w:val="20"/>
              <w:szCs w:val="20"/>
            </w:rPr>
            <w:t>Hepple</w:t>
          </w:r>
          <w:proofErr w:type="spellEnd"/>
          <w:r w:rsidRPr="00A72E22">
            <w:rPr>
              <w:color w:val="000000" w:themeColor="text1"/>
              <w:sz w:val="20"/>
              <w:szCs w:val="20"/>
            </w:rPr>
            <w:t xml:space="preserve">, ‘The New Single Equality Act in Britain’, </w:t>
          </w:r>
          <w:r w:rsidRPr="00A72E22">
            <w:rPr>
              <w:i/>
              <w:color w:val="000000" w:themeColor="text1"/>
              <w:sz w:val="20"/>
              <w:szCs w:val="20"/>
            </w:rPr>
            <w:t>The Equality Rights Review</w:t>
          </w:r>
          <w:r w:rsidRPr="00A72E22">
            <w:rPr>
              <w:color w:val="000000" w:themeColor="text1"/>
              <w:sz w:val="20"/>
              <w:szCs w:val="20"/>
            </w:rPr>
            <w:t xml:space="preserve"> (2010): 11-24, 22.</w:t>
          </w:r>
        </w:p>
      </w:sdtContent>
    </w:sdt>
  </w:footnote>
  <w:footnote w:id="101">
    <w:sdt>
      <w:sdtPr>
        <w:rPr>
          <w:color w:val="000000" w:themeColor="text1"/>
          <w:sz w:val="20"/>
          <w:szCs w:val="20"/>
        </w:rPr>
        <w:tag w:val="goog_rdk_376"/>
        <w:id w:val="1434718312"/>
      </w:sdtPr>
      <w:sdtContent>
        <w:p w14:paraId="00000146" w14:textId="30B65988"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vertAlign w:val="superscript"/>
            </w:rPr>
            <w:t xml:space="preserve"> </w:t>
          </w:r>
          <w:r w:rsidRPr="00A72E22">
            <w:rPr>
              <w:color w:val="000000" w:themeColor="text1"/>
              <w:sz w:val="20"/>
              <w:szCs w:val="20"/>
            </w:rPr>
            <w:t xml:space="preserve">Anon, “Transgender prison deaths: Watchdog calls for action” </w:t>
          </w:r>
          <w:r w:rsidRPr="00A72E22">
            <w:rPr>
              <w:i/>
              <w:color w:val="000000" w:themeColor="text1"/>
              <w:sz w:val="20"/>
              <w:szCs w:val="20"/>
            </w:rPr>
            <w:t>BBC News</w:t>
          </w:r>
          <w:r w:rsidRPr="00A72E22">
            <w:rPr>
              <w:color w:val="000000" w:themeColor="text1"/>
              <w:sz w:val="20"/>
              <w:szCs w:val="20"/>
            </w:rPr>
            <w:t xml:space="preserve">, January </w:t>
          </w:r>
          <w:r>
            <w:rPr>
              <w:color w:val="000000" w:themeColor="text1"/>
              <w:sz w:val="20"/>
              <w:szCs w:val="20"/>
            </w:rPr>
            <w:t xml:space="preserve">10, </w:t>
          </w:r>
          <w:r w:rsidRPr="00A72E22">
            <w:rPr>
              <w:color w:val="000000" w:themeColor="text1"/>
              <w:sz w:val="20"/>
              <w:szCs w:val="20"/>
            </w:rPr>
            <w:t>2017</w:t>
          </w:r>
          <w:r>
            <w:rPr>
              <w:color w:val="000000" w:themeColor="text1"/>
              <w:sz w:val="20"/>
              <w:szCs w:val="20"/>
            </w:rPr>
            <w:t xml:space="preserve">, accessed March 27, 2020, </w:t>
          </w:r>
          <w:hyperlink r:id="rId7" w:history="1">
            <w:r w:rsidRPr="00523610">
              <w:rPr>
                <w:rStyle w:val="Hyperlink"/>
                <w:sz w:val="20"/>
                <w:szCs w:val="20"/>
              </w:rPr>
              <w:t>https://www.bbc.co.uk/news/uk-38562714</w:t>
            </w:r>
          </w:hyperlink>
          <w:r>
            <w:rPr>
              <w:color w:val="000000" w:themeColor="text1"/>
              <w:sz w:val="20"/>
              <w:szCs w:val="20"/>
            </w:rPr>
            <w:t xml:space="preserve">. </w:t>
          </w:r>
        </w:p>
      </w:sdtContent>
    </w:sdt>
  </w:footnote>
  <w:footnote w:id="102">
    <w:sdt>
      <w:sdtPr>
        <w:rPr>
          <w:color w:val="000000" w:themeColor="text1"/>
          <w:sz w:val="20"/>
          <w:szCs w:val="20"/>
        </w:rPr>
        <w:tag w:val="goog_rdk_377"/>
        <w:id w:val="-1579750772"/>
      </w:sdtPr>
      <w:sdtContent>
        <w:p w14:paraId="0000014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PSI 07/2016, Transgender Prisoners 1.3, 2.3,2.4, 2.5.</w:t>
          </w:r>
        </w:p>
      </w:sdtContent>
    </w:sdt>
  </w:footnote>
  <w:footnote w:id="103">
    <w:sdt>
      <w:sdtPr>
        <w:rPr>
          <w:color w:val="000000" w:themeColor="text1"/>
          <w:sz w:val="20"/>
          <w:szCs w:val="20"/>
        </w:rPr>
        <w:tag w:val="goog_rdk_378"/>
        <w:id w:val="1892692904"/>
      </w:sdtPr>
      <w:sdtContent>
        <w:p w14:paraId="0000014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Mia Harris and Robyn Emerton, “New Policy on Transgender Prisoners: Progressive but can Prisons Keep Pace?” </w:t>
          </w:r>
          <w:r w:rsidRPr="00A72E22">
            <w:rPr>
              <w:i/>
              <w:color w:val="000000" w:themeColor="text1"/>
              <w:sz w:val="20"/>
              <w:szCs w:val="20"/>
            </w:rPr>
            <w:t>Inherently Human</w:t>
          </w:r>
          <w:r w:rsidRPr="00A72E22">
            <w:rPr>
              <w:color w:val="000000" w:themeColor="text1"/>
              <w:sz w:val="20"/>
              <w:szCs w:val="20"/>
            </w:rPr>
            <w:t xml:space="preserve">, 21st Nov. 2016, https://inherentlyhuman.wordpress.com/2016/11/21/new-policy-on-transgender-prisoners-progressive-but-can-prisons-keep-pace/ </w:t>
          </w:r>
        </w:p>
      </w:sdtContent>
    </w:sdt>
  </w:footnote>
  <w:footnote w:id="104">
    <w:p w14:paraId="0C4585D4" w14:textId="545DC1C2" w:rsidR="00A1537F" w:rsidRPr="00A72E22" w:rsidRDefault="00A1537F">
      <w:pPr>
        <w:pStyle w:val="FootnoteText"/>
        <w:rPr>
          <w:color w:val="000000" w:themeColor="text1"/>
        </w:rPr>
      </w:pPr>
      <w:r w:rsidRPr="00A72E22">
        <w:rPr>
          <w:rStyle w:val="FootnoteReference"/>
          <w:color w:val="000000" w:themeColor="text1"/>
        </w:rPr>
        <w:footnoteRef/>
      </w:r>
      <w:r w:rsidRPr="00A72E22">
        <w:rPr>
          <w:color w:val="000000" w:themeColor="text1"/>
        </w:rPr>
        <w:t xml:space="preserve"> </w:t>
      </w:r>
      <w:r w:rsidRPr="00A72E22">
        <w:rPr>
          <w:bCs/>
          <w:color w:val="000000" w:themeColor="text1"/>
        </w:rPr>
        <w:t xml:space="preserve">“The care and management of individuals who are transgender”, UK Government Website, July </w:t>
      </w:r>
      <w:r>
        <w:rPr>
          <w:bCs/>
          <w:color w:val="000000" w:themeColor="text1"/>
        </w:rPr>
        <w:t xml:space="preserve">22, </w:t>
      </w:r>
      <w:r w:rsidRPr="00A72E22">
        <w:rPr>
          <w:bCs/>
          <w:color w:val="000000" w:themeColor="text1"/>
        </w:rPr>
        <w:t xml:space="preserve">2019, 4, Policy to be implemented by October </w:t>
      </w:r>
      <w:r>
        <w:rPr>
          <w:bCs/>
          <w:color w:val="000000" w:themeColor="text1"/>
        </w:rPr>
        <w:t xml:space="preserve">31, </w:t>
      </w:r>
      <w:r w:rsidRPr="00A72E22">
        <w:rPr>
          <w:bCs/>
          <w:color w:val="000000" w:themeColor="text1"/>
        </w:rPr>
        <w:t>2019, Re-Issue Date: 27 January 2020</w:t>
      </w:r>
      <w:r>
        <w:rPr>
          <w:bCs/>
          <w:color w:val="000000" w:themeColor="text1"/>
        </w:rPr>
        <w:t xml:space="preserve">, accessed </w:t>
      </w:r>
      <w:r w:rsidRPr="00A72E22">
        <w:rPr>
          <w:bCs/>
          <w:color w:val="000000" w:themeColor="text1"/>
        </w:rPr>
        <w:t xml:space="preserve">March </w:t>
      </w:r>
      <w:r>
        <w:rPr>
          <w:bCs/>
          <w:color w:val="000000" w:themeColor="text1"/>
        </w:rPr>
        <w:t xml:space="preserve">20, </w:t>
      </w:r>
      <w:r w:rsidRPr="00A72E22">
        <w:rPr>
          <w:bCs/>
          <w:color w:val="000000" w:themeColor="text1"/>
        </w:rPr>
        <w:t xml:space="preserve">2020,  </w:t>
      </w:r>
      <w:hyperlink r:id="rId8" w:history="1">
        <w:r w:rsidRPr="00A72E22">
          <w:rPr>
            <w:rStyle w:val="Hyperlink"/>
            <w:bCs/>
            <w:color w:val="000000" w:themeColor="text1"/>
          </w:rPr>
          <w:t>https://assets.publishing.service.gov.uk/government/uploads/system/uploads/attachment_data/file/863610/transgender-pf.pdf</w:t>
        </w:r>
      </w:hyperlink>
      <w:r w:rsidRPr="00A72E22">
        <w:rPr>
          <w:bCs/>
          <w:color w:val="000000" w:themeColor="text1"/>
        </w:rPr>
        <w:t>.</w:t>
      </w:r>
    </w:p>
  </w:footnote>
  <w:footnote w:id="105">
    <w:sdt>
      <w:sdtPr>
        <w:rPr>
          <w:color w:val="000000" w:themeColor="text1"/>
          <w:sz w:val="20"/>
          <w:szCs w:val="20"/>
        </w:rPr>
        <w:tag w:val="goog_rdk_379"/>
        <w:id w:val="-182063753"/>
      </w:sdtPr>
      <w:sdtContent>
        <w:p w14:paraId="00000149"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vertAlign w:val="superscript"/>
            </w:rPr>
            <w:t xml:space="preserve"> </w:t>
          </w:r>
          <w:r w:rsidRPr="00A72E22">
            <w:rPr>
              <w:color w:val="000000" w:themeColor="text1"/>
              <w:sz w:val="20"/>
              <w:szCs w:val="20"/>
            </w:rPr>
            <w:t xml:space="preserve">Emerton, Robyn, “Transgender prisoners” 4 </w:t>
          </w:r>
        </w:p>
      </w:sdtContent>
    </w:sdt>
  </w:footnote>
  <w:footnote w:id="106">
    <w:sdt>
      <w:sdtPr>
        <w:rPr>
          <w:color w:val="000000" w:themeColor="text1"/>
          <w:sz w:val="20"/>
          <w:szCs w:val="20"/>
        </w:rPr>
        <w:tag w:val="goog_rdk_380"/>
        <w:id w:val="1229808839"/>
      </w:sdtPr>
      <w:sdtContent>
        <w:p w14:paraId="0000014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vertAlign w:val="superscript"/>
            </w:rPr>
            <w:t xml:space="preserve"> </w:t>
          </w:r>
          <w:r w:rsidRPr="00A72E22">
            <w:rPr>
              <w:color w:val="000000" w:themeColor="text1"/>
              <w:sz w:val="20"/>
              <w:szCs w:val="20"/>
            </w:rPr>
            <w:t xml:space="preserve">For a nuanced analysis of the Karen White case </w:t>
          </w:r>
          <w:proofErr w:type="gramStart"/>
          <w:r w:rsidRPr="00A72E22">
            <w:rPr>
              <w:color w:val="000000" w:themeColor="text1"/>
              <w:sz w:val="20"/>
              <w:szCs w:val="20"/>
            </w:rPr>
            <w:t>see:</w:t>
          </w:r>
          <w:proofErr w:type="gramEnd"/>
          <w:r w:rsidRPr="00A72E22">
            <w:rPr>
              <w:color w:val="000000" w:themeColor="text1"/>
              <w:sz w:val="20"/>
              <w:szCs w:val="20"/>
            </w:rPr>
            <w:t xml:space="preserve"> Sharpe, “Foxes in the Henhouse”.</w:t>
          </w:r>
        </w:p>
      </w:sdtContent>
    </w:sdt>
  </w:footnote>
  <w:footnote w:id="107">
    <w:sdt>
      <w:sdtPr>
        <w:rPr>
          <w:color w:val="000000" w:themeColor="text1"/>
          <w:sz w:val="20"/>
          <w:szCs w:val="20"/>
        </w:rPr>
        <w:tag w:val="goog_rdk_381"/>
        <w:id w:val="1859230106"/>
      </w:sdtPr>
      <w:sdtContent>
        <w:p w14:paraId="0000014B"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PSI 17/2016, Transgender Prisoners. 2.4</w:t>
          </w:r>
        </w:p>
      </w:sdtContent>
    </w:sdt>
  </w:footnote>
  <w:footnote w:id="108">
    <w:sdt>
      <w:sdtPr>
        <w:rPr>
          <w:color w:val="000000" w:themeColor="text1"/>
          <w:sz w:val="20"/>
          <w:szCs w:val="20"/>
        </w:rPr>
        <w:tag w:val="goog_rdk_382"/>
        <w:id w:val="52829597"/>
      </w:sdtPr>
      <w:sdtContent>
        <w:p w14:paraId="0000014C"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Harris and Emerton, “New Policy”.</w:t>
          </w:r>
        </w:p>
      </w:sdtContent>
    </w:sdt>
  </w:footnote>
  <w:footnote w:id="109">
    <w:sdt>
      <w:sdtPr>
        <w:rPr>
          <w:color w:val="000000" w:themeColor="text1"/>
          <w:sz w:val="20"/>
          <w:szCs w:val="20"/>
        </w:rPr>
        <w:tag w:val="goog_rdk_383"/>
        <w:id w:val="1463385761"/>
      </w:sdtPr>
      <w:sdtContent>
        <w:p w14:paraId="0000014D"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Interim report of the Special Rapporteur on Torture to the UN General Assembly, 5 August 2011, A/66/268, p.19 cit. in Penal Reform International and APT, LGBTI persons deprived of their liberty: framework for preventive monitoring, 2nd ed. 2015, url: https://cdn.penalreform.org/wp-content/uploads/2016/01/lgbti-framework-2nd-ed-v7-web.pdf, p. 11.</w:t>
          </w:r>
        </w:p>
      </w:sdtContent>
    </w:sdt>
  </w:footnote>
  <w:footnote w:id="110">
    <w:sdt>
      <w:sdtPr>
        <w:rPr>
          <w:color w:val="000000" w:themeColor="text1"/>
          <w:sz w:val="20"/>
          <w:szCs w:val="20"/>
        </w:rPr>
        <w:tag w:val="goog_rdk_384"/>
        <w:id w:val="1120334706"/>
      </w:sdtPr>
      <w:sdtContent>
        <w:p w14:paraId="0000014E" w14:textId="064E242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X v Turkey</w:t>
          </w:r>
          <w:r w:rsidRPr="00A72E22">
            <w:rPr>
              <w:color w:val="000000" w:themeColor="text1"/>
              <w:sz w:val="20"/>
              <w:szCs w:val="20"/>
            </w:rPr>
            <w:t>, App. No. 24626/09 (ECtHR, 27 May 2013).</w:t>
          </w:r>
        </w:p>
      </w:sdtContent>
    </w:sdt>
  </w:footnote>
  <w:footnote w:id="111">
    <w:sdt>
      <w:sdtPr>
        <w:rPr>
          <w:color w:val="000000" w:themeColor="text1"/>
          <w:sz w:val="20"/>
          <w:szCs w:val="20"/>
        </w:rPr>
        <w:tag w:val="goog_rdk_385"/>
        <w:id w:val="-586617902"/>
      </w:sdtPr>
      <w:sdtContent>
        <w:p w14:paraId="0000014F" w14:textId="0986E80D"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Connolly v Governor of Wheatfield</w:t>
          </w:r>
          <w:r w:rsidRPr="00A72E22">
            <w:rPr>
              <w:color w:val="000000" w:themeColor="text1"/>
              <w:sz w:val="20"/>
              <w:szCs w:val="20"/>
            </w:rPr>
            <w:t xml:space="preserve"> Prison </w:t>
          </w:r>
          <w:r>
            <w:rPr>
              <w:color w:val="000000" w:themeColor="text1"/>
              <w:sz w:val="20"/>
              <w:szCs w:val="20"/>
            </w:rPr>
            <w:t>[</w:t>
          </w:r>
          <w:r w:rsidRPr="00A72E22">
            <w:rPr>
              <w:color w:val="000000" w:themeColor="text1"/>
              <w:sz w:val="20"/>
              <w:szCs w:val="20"/>
            </w:rPr>
            <w:t>2013</w:t>
          </w:r>
          <w:r>
            <w:rPr>
              <w:color w:val="000000" w:themeColor="text1"/>
              <w:sz w:val="20"/>
              <w:szCs w:val="20"/>
            </w:rPr>
            <w:t>]</w:t>
          </w:r>
          <w:r w:rsidRPr="00A72E22">
            <w:rPr>
              <w:color w:val="000000" w:themeColor="text1"/>
              <w:sz w:val="20"/>
              <w:szCs w:val="20"/>
            </w:rPr>
            <w:t xml:space="preserve"> IEHC 334.</w:t>
          </w:r>
        </w:p>
      </w:sdtContent>
    </w:sdt>
  </w:footnote>
  <w:footnote w:id="112">
    <w:sdt>
      <w:sdtPr>
        <w:rPr>
          <w:color w:val="000000" w:themeColor="text1"/>
          <w:sz w:val="20"/>
          <w:szCs w:val="20"/>
        </w:rPr>
        <w:tag w:val="goog_rdk_386"/>
        <w:id w:val="893015636"/>
      </w:sdtPr>
      <w:sdtContent>
        <w:p w14:paraId="00000150" w14:textId="59C953FE"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proofErr w:type="spellStart"/>
          <w:r w:rsidRPr="00A72E22">
            <w:rPr>
              <w:i/>
              <w:color w:val="000000" w:themeColor="text1"/>
              <w:sz w:val="20"/>
              <w:szCs w:val="20"/>
            </w:rPr>
            <w:t>Kröcher</w:t>
          </w:r>
          <w:proofErr w:type="spellEnd"/>
          <w:r w:rsidRPr="00A72E22">
            <w:rPr>
              <w:i/>
              <w:color w:val="000000" w:themeColor="text1"/>
              <w:sz w:val="20"/>
              <w:szCs w:val="20"/>
            </w:rPr>
            <w:t xml:space="preserve"> and </w:t>
          </w:r>
          <w:proofErr w:type="spellStart"/>
          <w:r w:rsidRPr="00A72E22">
            <w:rPr>
              <w:i/>
              <w:color w:val="000000" w:themeColor="text1"/>
              <w:sz w:val="20"/>
              <w:szCs w:val="20"/>
            </w:rPr>
            <w:t>Möller</w:t>
          </w:r>
          <w:proofErr w:type="spellEnd"/>
          <w:r w:rsidRPr="00A72E22">
            <w:rPr>
              <w:i/>
              <w:color w:val="000000" w:themeColor="text1"/>
              <w:sz w:val="20"/>
              <w:szCs w:val="20"/>
            </w:rPr>
            <w:t xml:space="preserve"> v Switzerland</w:t>
          </w:r>
          <w:r>
            <w:rPr>
              <w:i/>
              <w:color w:val="000000" w:themeColor="text1"/>
              <w:sz w:val="20"/>
              <w:szCs w:val="20"/>
            </w:rPr>
            <w:t xml:space="preserve">, </w:t>
          </w:r>
          <w:r w:rsidRPr="00A72E22">
            <w:rPr>
              <w:color w:val="000000" w:themeColor="text1"/>
              <w:sz w:val="20"/>
              <w:szCs w:val="20"/>
            </w:rPr>
            <w:t>App</w:t>
          </w:r>
          <w:r>
            <w:rPr>
              <w:color w:val="000000" w:themeColor="text1"/>
              <w:sz w:val="20"/>
              <w:szCs w:val="20"/>
            </w:rPr>
            <w:t xml:space="preserve">. No. </w:t>
          </w:r>
          <w:r w:rsidRPr="00A72E22">
            <w:rPr>
              <w:color w:val="000000" w:themeColor="text1"/>
              <w:sz w:val="20"/>
              <w:szCs w:val="20"/>
            </w:rPr>
            <w:t>8463/78</w:t>
          </w:r>
          <w:r>
            <w:rPr>
              <w:color w:val="000000" w:themeColor="text1"/>
              <w:sz w:val="20"/>
              <w:szCs w:val="20"/>
            </w:rPr>
            <w:t xml:space="preserve"> (</w:t>
          </w:r>
          <w:proofErr w:type="spellStart"/>
          <w:r>
            <w:rPr>
              <w:color w:val="000000" w:themeColor="text1"/>
              <w:sz w:val="20"/>
              <w:szCs w:val="20"/>
            </w:rPr>
            <w:t>ECmHR</w:t>
          </w:r>
          <w:proofErr w:type="spellEnd"/>
          <w:r>
            <w:rPr>
              <w:color w:val="000000" w:themeColor="text1"/>
              <w:sz w:val="20"/>
              <w:szCs w:val="20"/>
            </w:rPr>
            <w:t xml:space="preserve">, </w:t>
          </w:r>
          <w:r w:rsidRPr="00A72E22">
            <w:rPr>
              <w:color w:val="000000" w:themeColor="text1"/>
              <w:sz w:val="20"/>
              <w:szCs w:val="20"/>
            </w:rPr>
            <w:t>1978)</w:t>
          </w:r>
          <w:r>
            <w:rPr>
              <w:color w:val="000000" w:themeColor="text1"/>
              <w:sz w:val="20"/>
              <w:szCs w:val="20"/>
            </w:rPr>
            <w:t xml:space="preserve">. </w:t>
          </w:r>
        </w:p>
      </w:sdtContent>
    </w:sdt>
  </w:footnote>
  <w:footnote w:id="113">
    <w:sdt>
      <w:sdtPr>
        <w:rPr>
          <w:color w:val="000000" w:themeColor="text1"/>
          <w:sz w:val="20"/>
          <w:szCs w:val="20"/>
        </w:rPr>
        <w:tag w:val="goog_rdk_387"/>
        <w:id w:val="789167677"/>
      </w:sdtPr>
      <w:sdtContent>
        <w:p w14:paraId="00000151" w14:textId="28C7E4A0"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i/>
              <w:color w:val="000000" w:themeColor="text1"/>
              <w:sz w:val="20"/>
              <w:szCs w:val="20"/>
            </w:rPr>
            <w:t>X v Turkey</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2003</w:t>
          </w:r>
          <w:r>
            <w:rPr>
              <w:color w:val="000000" w:themeColor="text1"/>
              <w:sz w:val="20"/>
              <w:szCs w:val="20"/>
            </w:rPr>
            <w:t>]</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40</w:t>
          </w:r>
          <w:r>
            <w:rPr>
              <w:color w:val="000000" w:themeColor="text1"/>
              <w:sz w:val="20"/>
              <w:szCs w:val="20"/>
            </w:rPr>
            <w:t>]</w:t>
          </w:r>
          <w:r w:rsidRPr="00A72E22">
            <w:rPr>
              <w:color w:val="000000" w:themeColor="text1"/>
              <w:sz w:val="20"/>
              <w:szCs w:val="20"/>
            </w:rPr>
            <w:t>.</w:t>
          </w:r>
        </w:p>
      </w:sdtContent>
    </w:sdt>
  </w:footnote>
  <w:footnote w:id="114">
    <w:sdt>
      <w:sdtPr>
        <w:rPr>
          <w:color w:val="000000" w:themeColor="text1"/>
          <w:sz w:val="20"/>
          <w:szCs w:val="20"/>
        </w:rPr>
        <w:tag w:val="goog_rdk_388"/>
        <w:id w:val="-1864203670"/>
      </w:sdtPr>
      <w:sdtContent>
        <w:p w14:paraId="00000152" w14:textId="404CA785"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To put it in context, European human rights precedents that set out the test for the use of solitary confinement were cases in which prisoners were either in pre-trial detention for or convicted of very serious offences, such as drug trafficking/organized crime (</w:t>
          </w:r>
          <w:r w:rsidRPr="00A72E22">
            <w:rPr>
              <w:i/>
              <w:color w:val="000000" w:themeColor="text1"/>
              <w:sz w:val="20"/>
              <w:szCs w:val="20"/>
            </w:rPr>
            <w:t>Rohde v Denmark</w:t>
          </w:r>
          <w:r w:rsidRPr="00A72E22">
            <w:rPr>
              <w:color w:val="000000" w:themeColor="text1"/>
              <w:sz w:val="20"/>
              <w:szCs w:val="20"/>
            </w:rPr>
            <w:t xml:space="preserve">  (69332/01) July</w:t>
          </w:r>
          <w:r>
            <w:rPr>
              <w:color w:val="000000" w:themeColor="text1"/>
              <w:sz w:val="20"/>
              <w:szCs w:val="20"/>
            </w:rPr>
            <w:t xml:space="preserve"> 21, </w:t>
          </w:r>
          <w:r w:rsidRPr="00A72E22">
            <w:rPr>
              <w:color w:val="000000" w:themeColor="text1"/>
              <w:sz w:val="20"/>
              <w:szCs w:val="20"/>
            </w:rPr>
            <w:t>2005), and terrorism  (</w:t>
          </w:r>
          <w:r w:rsidRPr="00A72E22">
            <w:rPr>
              <w:i/>
              <w:color w:val="000000" w:themeColor="text1"/>
              <w:sz w:val="20"/>
              <w:szCs w:val="20"/>
            </w:rPr>
            <w:t>Ramirez Sanchez</w:t>
          </w:r>
          <w:r w:rsidRPr="00A72E22">
            <w:rPr>
              <w:color w:val="000000" w:themeColor="text1"/>
              <w:sz w:val="20"/>
              <w:szCs w:val="20"/>
            </w:rPr>
            <w:t xml:space="preserve"> (59450/00) July</w:t>
          </w:r>
          <w:r>
            <w:rPr>
              <w:color w:val="000000" w:themeColor="text1"/>
              <w:sz w:val="20"/>
              <w:szCs w:val="20"/>
            </w:rPr>
            <w:t xml:space="preserve"> 7,</w:t>
          </w:r>
          <w:r w:rsidRPr="00A72E22">
            <w:rPr>
              <w:color w:val="000000" w:themeColor="text1"/>
              <w:sz w:val="20"/>
              <w:szCs w:val="20"/>
            </w:rPr>
            <w:t xml:space="preserve"> 2006).</w:t>
          </w:r>
        </w:p>
      </w:sdtContent>
    </w:sdt>
  </w:footnote>
  <w:footnote w:id="115">
    <w:sdt>
      <w:sdtPr>
        <w:rPr>
          <w:color w:val="000000" w:themeColor="text1"/>
          <w:sz w:val="20"/>
          <w:szCs w:val="20"/>
        </w:rPr>
        <w:tag w:val="goog_rdk_448"/>
        <w:id w:val="-1319802743"/>
      </w:sdtPr>
      <w:sdtContent>
        <w:p w14:paraId="0000018E" w14:textId="0D918459" w:rsidR="00A1537F" w:rsidRPr="00A72E22" w:rsidRDefault="00A1537F" w:rsidP="009C7CF7">
          <w:pP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X v Turkey</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2003</w:t>
          </w:r>
          <w:r>
            <w:rPr>
              <w:color w:val="000000" w:themeColor="text1"/>
              <w:sz w:val="20"/>
              <w:szCs w:val="20"/>
            </w:rPr>
            <w:t>]</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45</w:t>
          </w:r>
          <w:r>
            <w:rPr>
              <w:color w:val="000000" w:themeColor="text1"/>
              <w:sz w:val="20"/>
              <w:szCs w:val="20"/>
            </w:rPr>
            <w:t>]</w:t>
          </w:r>
          <w:r w:rsidRPr="00A72E22">
            <w:rPr>
              <w:color w:val="000000" w:themeColor="text1"/>
              <w:sz w:val="20"/>
              <w:szCs w:val="20"/>
            </w:rPr>
            <w:t>.</w:t>
          </w:r>
        </w:p>
      </w:sdtContent>
    </w:sdt>
  </w:footnote>
  <w:footnote w:id="116">
    <w:sdt>
      <w:sdtPr>
        <w:rPr>
          <w:color w:val="000000" w:themeColor="text1"/>
          <w:sz w:val="20"/>
          <w:szCs w:val="20"/>
        </w:rPr>
        <w:tag w:val="goog_rdk_389"/>
        <w:id w:val="1806045754"/>
      </w:sdtPr>
      <w:sdtContent>
        <w:p w14:paraId="00000153"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i/>
              <w:color w:val="000000" w:themeColor="text1"/>
              <w:sz w:val="20"/>
              <w:szCs w:val="20"/>
            </w:rPr>
            <w:t>Connolly</w:t>
          </w:r>
          <w:r w:rsidRPr="00A72E22">
            <w:rPr>
              <w:color w:val="000000" w:themeColor="text1"/>
              <w:sz w:val="20"/>
              <w:szCs w:val="20"/>
            </w:rPr>
            <w:t xml:space="preserve"> [2013].</w:t>
          </w:r>
        </w:p>
      </w:sdtContent>
    </w:sdt>
  </w:footnote>
  <w:footnote w:id="117">
    <w:sdt>
      <w:sdtPr>
        <w:rPr>
          <w:color w:val="000000" w:themeColor="text1"/>
          <w:sz w:val="20"/>
          <w:szCs w:val="20"/>
        </w:rPr>
        <w:tag w:val="goog_rdk_390"/>
        <w:id w:val="-1721127311"/>
      </w:sdtPr>
      <w:sdtContent>
        <w:p w14:paraId="00000154"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Mainstream regime refers to prison wings that are not segregated spaces either for protection, punishment or containment.</w:t>
          </w:r>
          <w:r w:rsidRPr="00A72E22">
            <w:rPr>
              <w:rFonts w:eastAsia="Helvetica Neue"/>
              <w:color w:val="000000" w:themeColor="text1"/>
              <w:sz w:val="20"/>
              <w:szCs w:val="20"/>
            </w:rPr>
            <w:t xml:space="preserve"> </w:t>
          </w:r>
        </w:p>
      </w:sdtContent>
    </w:sdt>
  </w:footnote>
  <w:footnote w:id="118">
    <w:sdt>
      <w:sdtPr>
        <w:rPr>
          <w:color w:val="000000" w:themeColor="text1"/>
          <w:sz w:val="20"/>
          <w:szCs w:val="20"/>
        </w:rPr>
        <w:tag w:val="goog_rdk_391"/>
        <w:id w:val="-1971203656"/>
      </w:sdtPr>
      <w:sdtContent>
        <w:p w14:paraId="00000155" w14:textId="46596ECB"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Connolly</w:t>
          </w:r>
          <w:r w:rsidRPr="00A72E22">
            <w:rPr>
              <w:color w:val="000000" w:themeColor="text1"/>
              <w:sz w:val="20"/>
              <w:szCs w:val="20"/>
            </w:rPr>
            <w:t xml:space="preserve"> [2013] </w:t>
          </w:r>
          <w:r>
            <w:rPr>
              <w:color w:val="000000" w:themeColor="text1"/>
              <w:sz w:val="20"/>
              <w:szCs w:val="20"/>
            </w:rPr>
            <w:t>[</w:t>
          </w:r>
          <w:r w:rsidRPr="00A72E22">
            <w:rPr>
              <w:color w:val="000000" w:themeColor="text1"/>
              <w:sz w:val="20"/>
              <w:szCs w:val="20"/>
            </w:rPr>
            <w:t>27</w:t>
          </w:r>
          <w:r>
            <w:rPr>
              <w:color w:val="000000" w:themeColor="text1"/>
              <w:sz w:val="20"/>
              <w:szCs w:val="20"/>
            </w:rPr>
            <w:t>].</w:t>
          </w:r>
        </w:p>
      </w:sdtContent>
    </w:sdt>
  </w:footnote>
  <w:footnote w:id="119">
    <w:sdt>
      <w:sdtPr>
        <w:rPr>
          <w:color w:val="000000" w:themeColor="text1"/>
          <w:sz w:val="20"/>
          <w:szCs w:val="20"/>
        </w:rPr>
        <w:tag w:val="goog_rdk_392"/>
        <w:id w:val="-79680753"/>
      </w:sdtPr>
      <w:sdtContent>
        <w:p w14:paraId="00000156" w14:textId="1835C93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w:t>
          </w:r>
          <w:r w:rsidRPr="00A72E22">
            <w:rPr>
              <w:i/>
              <w:color w:val="000000" w:themeColor="text1"/>
              <w:sz w:val="20"/>
              <w:szCs w:val="20"/>
            </w:rPr>
            <w:t xml:space="preserve">Kinsella </w:t>
          </w:r>
          <w:r w:rsidRPr="00A72E22">
            <w:rPr>
              <w:color w:val="000000" w:themeColor="text1"/>
              <w:sz w:val="20"/>
              <w:szCs w:val="20"/>
            </w:rPr>
            <w:t>[2012] 1 I.R. 467. This mirrors the threshold set by the European Court of Human Rights mentioned above.</w:t>
          </w:r>
        </w:p>
      </w:sdtContent>
    </w:sdt>
  </w:footnote>
  <w:footnote w:id="120">
    <w:sdt>
      <w:sdtPr>
        <w:rPr>
          <w:color w:val="000000" w:themeColor="text1"/>
          <w:sz w:val="20"/>
          <w:szCs w:val="20"/>
        </w:rPr>
        <w:tag w:val="goog_rdk_393"/>
        <w:id w:val="837355470"/>
      </w:sdtPr>
      <w:sdtContent>
        <w:p w14:paraId="0000015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This seems to be a broader problem in administrative rulings on prison standards, also in England and Wales. This is particularly the case relating to issues of security and order. </w:t>
          </w:r>
        </w:p>
      </w:sdtContent>
    </w:sdt>
  </w:footnote>
  <w:footnote w:id="121">
    <w:sdt>
      <w:sdtPr>
        <w:rPr>
          <w:color w:val="000000" w:themeColor="text1"/>
          <w:sz w:val="20"/>
          <w:szCs w:val="20"/>
        </w:rPr>
        <w:tag w:val="goog_rdk_394"/>
        <w:id w:val="-985851743"/>
      </w:sdtPr>
      <w:sdtContent>
        <w:p w14:paraId="00000158" w14:textId="22AE72AA"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w:t>
          </w:r>
          <w:proofErr w:type="spellStart"/>
          <w:r w:rsidRPr="00A72E22">
            <w:rPr>
              <w:i/>
              <w:color w:val="000000" w:themeColor="text1"/>
              <w:sz w:val="20"/>
              <w:szCs w:val="20"/>
            </w:rPr>
            <w:t>Kröcher</w:t>
          </w:r>
          <w:proofErr w:type="spellEnd"/>
          <w:r w:rsidRPr="00A72E22">
            <w:rPr>
              <w:i/>
              <w:color w:val="000000" w:themeColor="text1"/>
              <w:sz w:val="20"/>
              <w:szCs w:val="20"/>
            </w:rPr>
            <w:t xml:space="preserve"> and </w:t>
          </w:r>
          <w:proofErr w:type="spellStart"/>
          <w:r w:rsidRPr="00A72E22">
            <w:rPr>
              <w:i/>
              <w:color w:val="000000" w:themeColor="text1"/>
              <w:sz w:val="20"/>
              <w:szCs w:val="20"/>
            </w:rPr>
            <w:t>Möller</w:t>
          </w:r>
          <w:proofErr w:type="spellEnd"/>
          <w:r w:rsidRPr="00A72E22">
            <w:rPr>
              <w:color w:val="000000" w:themeColor="text1"/>
              <w:sz w:val="20"/>
              <w:szCs w:val="20"/>
            </w:rPr>
            <w:t xml:space="preserve"> (1978).</w:t>
          </w:r>
        </w:p>
      </w:sdtContent>
    </w:sdt>
  </w:footnote>
  <w:footnote w:id="122">
    <w:sdt>
      <w:sdtPr>
        <w:rPr>
          <w:color w:val="000000" w:themeColor="text1"/>
          <w:sz w:val="20"/>
          <w:szCs w:val="20"/>
        </w:rPr>
        <w:tag w:val="goog_rdk_395"/>
        <w:id w:val="666523913"/>
      </w:sdtPr>
      <w:sdtContent>
        <w:p w14:paraId="00000159"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 xml:space="preserve">R (on the application of </w:t>
          </w:r>
          <w:proofErr w:type="spellStart"/>
          <w:r w:rsidRPr="00A72E22">
            <w:rPr>
              <w:i/>
              <w:color w:val="000000" w:themeColor="text1"/>
              <w:sz w:val="20"/>
              <w:szCs w:val="20"/>
            </w:rPr>
            <w:t>Bourgass</w:t>
          </w:r>
          <w:proofErr w:type="spellEnd"/>
          <w:r w:rsidRPr="00A72E22">
            <w:rPr>
              <w:i/>
              <w:color w:val="000000" w:themeColor="text1"/>
              <w:sz w:val="20"/>
              <w:szCs w:val="20"/>
            </w:rPr>
            <w:t xml:space="preserve"> and another) </w:t>
          </w:r>
          <w:r w:rsidRPr="00A72E22">
            <w:rPr>
              <w:color w:val="000000" w:themeColor="text1"/>
              <w:sz w:val="20"/>
              <w:szCs w:val="20"/>
            </w:rPr>
            <w:t>SC [2015] UKSC 54.</w:t>
          </w:r>
        </w:p>
      </w:sdtContent>
    </w:sdt>
  </w:footnote>
  <w:footnote w:id="123">
    <w:sdt>
      <w:sdtPr>
        <w:rPr>
          <w:color w:val="000000" w:themeColor="text1"/>
          <w:sz w:val="20"/>
          <w:szCs w:val="20"/>
        </w:rPr>
        <w:tag w:val="goog_rdk_396"/>
        <w:id w:val="83345435"/>
      </w:sdtPr>
      <w:sdtContent>
        <w:p w14:paraId="0000015A" w14:textId="6D8B464B"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R v Deputy Governor of Parkhurst Prison, Ex p Hague</w:t>
          </w:r>
          <w:r w:rsidRPr="00A72E22">
            <w:rPr>
              <w:color w:val="000000" w:themeColor="text1"/>
              <w:sz w:val="20"/>
              <w:szCs w:val="20"/>
            </w:rPr>
            <w:t xml:space="preserve"> [1992] 1 AC 58 cit. in </w:t>
          </w:r>
          <w:proofErr w:type="spellStart"/>
          <w:r w:rsidRPr="00A72E22">
            <w:rPr>
              <w:i/>
              <w:color w:val="000000" w:themeColor="text1"/>
              <w:sz w:val="20"/>
              <w:szCs w:val="20"/>
            </w:rPr>
            <w:t>Bourgass</w:t>
          </w:r>
          <w:proofErr w:type="spellEnd"/>
          <w:r w:rsidRPr="00A72E22">
            <w:rPr>
              <w:color w:val="000000" w:themeColor="text1"/>
              <w:sz w:val="20"/>
              <w:szCs w:val="20"/>
            </w:rPr>
            <w:t xml:space="preserve"> [2015] </w:t>
          </w:r>
          <w:r>
            <w:rPr>
              <w:color w:val="000000" w:themeColor="text1"/>
              <w:sz w:val="20"/>
              <w:szCs w:val="20"/>
            </w:rPr>
            <w:t>[</w:t>
          </w:r>
          <w:r w:rsidRPr="00A72E22">
            <w:rPr>
              <w:color w:val="000000" w:themeColor="text1"/>
              <w:sz w:val="20"/>
              <w:szCs w:val="20"/>
            </w:rPr>
            <w:t>122</w:t>
          </w:r>
          <w:r>
            <w:rPr>
              <w:color w:val="000000" w:themeColor="text1"/>
              <w:sz w:val="20"/>
              <w:szCs w:val="20"/>
            </w:rPr>
            <w:t>]</w:t>
          </w:r>
          <w:r w:rsidRPr="00A72E22">
            <w:rPr>
              <w:color w:val="000000" w:themeColor="text1"/>
              <w:sz w:val="20"/>
              <w:szCs w:val="20"/>
            </w:rPr>
            <w:t>.</w:t>
          </w:r>
        </w:p>
      </w:sdtContent>
    </w:sdt>
  </w:footnote>
  <w:footnote w:id="124">
    <w:sdt>
      <w:sdtPr>
        <w:rPr>
          <w:color w:val="000000" w:themeColor="text1"/>
          <w:sz w:val="20"/>
          <w:szCs w:val="20"/>
        </w:rPr>
        <w:tag w:val="goog_rdk_397"/>
        <w:id w:val="1125197376"/>
      </w:sdtPr>
      <w:sdtContent>
        <w:p w14:paraId="0000015B" w14:textId="63CD5C64"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Ex p Hague</w:t>
          </w:r>
          <w:r w:rsidRPr="00A72E22">
            <w:rPr>
              <w:color w:val="000000" w:themeColor="text1"/>
              <w:sz w:val="20"/>
              <w:szCs w:val="20"/>
            </w:rPr>
            <w:t xml:space="preserve"> [1992] cit. in</w:t>
          </w:r>
          <w:r w:rsidRPr="00A72E22">
            <w:rPr>
              <w:i/>
              <w:color w:val="000000" w:themeColor="text1"/>
              <w:sz w:val="20"/>
              <w:szCs w:val="20"/>
            </w:rPr>
            <w:t xml:space="preserve"> </w:t>
          </w:r>
          <w:proofErr w:type="spellStart"/>
          <w:r w:rsidRPr="00A72E22">
            <w:rPr>
              <w:i/>
              <w:color w:val="000000" w:themeColor="text1"/>
              <w:sz w:val="20"/>
              <w:szCs w:val="20"/>
            </w:rPr>
            <w:t>Bourgass</w:t>
          </w:r>
          <w:proofErr w:type="spellEnd"/>
          <w:r w:rsidRPr="00A72E22">
            <w:rPr>
              <w:color w:val="000000" w:themeColor="text1"/>
              <w:sz w:val="20"/>
              <w:szCs w:val="20"/>
            </w:rPr>
            <w:t xml:space="preserve"> [2015] </w:t>
          </w:r>
          <w:r>
            <w:rPr>
              <w:color w:val="000000" w:themeColor="text1"/>
              <w:sz w:val="20"/>
              <w:szCs w:val="20"/>
            </w:rPr>
            <w:t>[</w:t>
          </w:r>
          <w:r w:rsidRPr="00A72E22">
            <w:rPr>
              <w:color w:val="000000" w:themeColor="text1"/>
              <w:sz w:val="20"/>
              <w:szCs w:val="20"/>
            </w:rPr>
            <w:t>122</w:t>
          </w:r>
          <w:r>
            <w:rPr>
              <w:color w:val="000000" w:themeColor="text1"/>
              <w:sz w:val="20"/>
              <w:szCs w:val="20"/>
            </w:rPr>
            <w:t>]</w:t>
          </w:r>
          <w:r w:rsidRPr="00A72E22">
            <w:rPr>
              <w:color w:val="000000" w:themeColor="text1"/>
              <w:sz w:val="20"/>
              <w:szCs w:val="20"/>
            </w:rPr>
            <w:t xml:space="preserve">. </w:t>
          </w:r>
          <w:r w:rsidRPr="00A72E22">
            <w:rPr>
              <w:i/>
              <w:color w:val="000000" w:themeColor="text1"/>
              <w:sz w:val="20"/>
              <w:szCs w:val="20"/>
            </w:rPr>
            <w:t xml:space="preserve"> </w:t>
          </w:r>
        </w:p>
      </w:sdtContent>
    </w:sdt>
  </w:footnote>
  <w:footnote w:id="125">
    <w:sdt>
      <w:sdtPr>
        <w:rPr>
          <w:color w:val="000000" w:themeColor="text1"/>
          <w:sz w:val="20"/>
          <w:szCs w:val="20"/>
        </w:rPr>
        <w:tag w:val="goog_rdk_398"/>
        <w:id w:val="-1225294750"/>
      </w:sdtPr>
      <w:sdtContent>
        <w:p w14:paraId="0000015C" w14:textId="70E5F713"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Segregation of such prisoners is governed by Rule 45(1) of the Prison Rules 1999. Prisoners can be removed for the preservation of </w:t>
          </w:r>
          <w:r>
            <w:rPr>
              <w:color w:val="000000" w:themeColor="text1"/>
              <w:sz w:val="20"/>
              <w:szCs w:val="20"/>
            </w:rPr>
            <w:t>“</w:t>
          </w:r>
          <w:r w:rsidRPr="00A72E22">
            <w:rPr>
              <w:color w:val="000000" w:themeColor="text1"/>
              <w:sz w:val="20"/>
              <w:szCs w:val="20"/>
            </w:rPr>
            <w:t>good order or discipline</w:t>
          </w:r>
          <w:r>
            <w:rPr>
              <w:color w:val="000000" w:themeColor="text1"/>
              <w:sz w:val="20"/>
              <w:szCs w:val="20"/>
            </w:rPr>
            <w:t>”</w:t>
          </w:r>
          <w:r w:rsidRPr="00A72E22">
            <w:rPr>
              <w:color w:val="000000" w:themeColor="text1"/>
              <w:sz w:val="20"/>
              <w:szCs w:val="20"/>
            </w:rPr>
            <w:t xml:space="preserve"> as well as </w:t>
          </w:r>
          <w:r>
            <w:rPr>
              <w:color w:val="000000" w:themeColor="text1"/>
              <w:sz w:val="20"/>
              <w:szCs w:val="20"/>
            </w:rPr>
            <w:t>“</w:t>
          </w:r>
          <w:r w:rsidRPr="00A72E22">
            <w:rPr>
              <w:color w:val="000000" w:themeColor="text1"/>
              <w:sz w:val="20"/>
              <w:szCs w:val="20"/>
            </w:rPr>
            <w:t>in his own interests</w:t>
          </w:r>
          <w:r>
            <w:rPr>
              <w:color w:val="000000" w:themeColor="text1"/>
              <w:sz w:val="20"/>
              <w:szCs w:val="20"/>
            </w:rPr>
            <w:t>”</w:t>
          </w:r>
          <w:r w:rsidRPr="00A72E22">
            <w:rPr>
              <w:color w:val="000000" w:themeColor="text1"/>
              <w:sz w:val="20"/>
              <w:szCs w:val="20"/>
            </w:rPr>
            <w:t xml:space="preserve">. </w:t>
          </w:r>
        </w:p>
      </w:sdtContent>
    </w:sdt>
  </w:footnote>
  <w:footnote w:id="126">
    <w:sdt>
      <w:sdtPr>
        <w:rPr>
          <w:color w:val="000000" w:themeColor="text1"/>
          <w:sz w:val="20"/>
          <w:szCs w:val="20"/>
        </w:rPr>
        <w:tag w:val="goog_rdk_399"/>
        <w:id w:val="255946908"/>
      </w:sdtPr>
      <w:sdtContent>
        <w:p w14:paraId="0000015D"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Sharon Shalev and Edgar </w:t>
          </w:r>
          <w:proofErr w:type="spellStart"/>
          <w:r w:rsidRPr="00A72E22">
            <w:rPr>
              <w:color w:val="000000" w:themeColor="text1"/>
              <w:sz w:val="20"/>
              <w:szCs w:val="20"/>
            </w:rPr>
            <w:t>Kimmet</w:t>
          </w:r>
          <w:proofErr w:type="spellEnd"/>
          <w:r w:rsidRPr="00A72E22">
            <w:rPr>
              <w:color w:val="000000" w:themeColor="text1"/>
              <w:sz w:val="20"/>
              <w:szCs w:val="20"/>
            </w:rPr>
            <w:t xml:space="preserve">, </w:t>
          </w:r>
          <w:r w:rsidRPr="00A72E22">
            <w:rPr>
              <w:i/>
              <w:color w:val="000000" w:themeColor="text1"/>
              <w:sz w:val="20"/>
              <w:szCs w:val="20"/>
            </w:rPr>
            <w:t>Deep Custody: Segregation Units and Close Supervision Centres in England and Wales</w:t>
          </w:r>
          <w:r w:rsidRPr="00A72E22">
            <w:rPr>
              <w:color w:val="000000" w:themeColor="text1"/>
              <w:sz w:val="20"/>
              <w:szCs w:val="20"/>
            </w:rPr>
            <w:t>, Prison Reform Trust, 2015.</w:t>
          </w:r>
        </w:p>
      </w:sdtContent>
    </w:sdt>
  </w:footnote>
  <w:footnote w:id="127">
    <w:sdt>
      <w:sdtPr>
        <w:rPr>
          <w:color w:val="000000" w:themeColor="text1"/>
          <w:sz w:val="20"/>
          <w:szCs w:val="20"/>
        </w:rPr>
        <w:tag w:val="goog_rdk_400"/>
        <w:id w:val="2072848650"/>
      </w:sdtPr>
      <w:sdtContent>
        <w:p w14:paraId="0574A2DC" w14:textId="77777777" w:rsidR="00A1537F" w:rsidRPr="00A72E22" w:rsidRDefault="00A1537F" w:rsidP="007F1CAA">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Shalev and </w:t>
          </w:r>
          <w:proofErr w:type="spellStart"/>
          <w:r w:rsidRPr="00A72E22">
            <w:rPr>
              <w:color w:val="000000" w:themeColor="text1"/>
              <w:sz w:val="20"/>
              <w:szCs w:val="20"/>
            </w:rPr>
            <w:t>Kimmet</w:t>
          </w:r>
          <w:proofErr w:type="spellEnd"/>
          <w:r w:rsidRPr="00A72E22">
            <w:rPr>
              <w:color w:val="000000" w:themeColor="text1"/>
              <w:sz w:val="20"/>
              <w:szCs w:val="20"/>
            </w:rPr>
            <w:t xml:space="preserve">, </w:t>
          </w:r>
          <w:r w:rsidRPr="00A72E22">
            <w:rPr>
              <w:i/>
              <w:color w:val="000000" w:themeColor="text1"/>
              <w:sz w:val="20"/>
              <w:szCs w:val="20"/>
            </w:rPr>
            <w:t>Deep Custody</w:t>
          </w:r>
          <w:r w:rsidRPr="00A72E22">
            <w:rPr>
              <w:color w:val="000000" w:themeColor="text1"/>
              <w:sz w:val="20"/>
              <w:szCs w:val="20"/>
            </w:rPr>
            <w:t>, 5.</w:t>
          </w:r>
        </w:p>
      </w:sdtContent>
    </w:sdt>
  </w:footnote>
  <w:footnote w:id="128">
    <w:sdt>
      <w:sdtPr>
        <w:rPr>
          <w:color w:val="000000" w:themeColor="text1"/>
          <w:sz w:val="20"/>
          <w:szCs w:val="20"/>
        </w:rPr>
        <w:tag w:val="goog_rdk_401"/>
        <w:id w:val="-1061100071"/>
      </w:sdtPr>
      <w:sdtContent>
        <w:p w14:paraId="0000015F"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Prisons and Probation Ombudsman for England and Wales, </w:t>
          </w:r>
          <w:r w:rsidRPr="00A72E22">
            <w:rPr>
              <w:i/>
              <w:color w:val="000000" w:themeColor="text1"/>
              <w:sz w:val="20"/>
              <w:szCs w:val="20"/>
            </w:rPr>
            <w:t>Learning Lessons Bulletin: Fatal Incident Investigations: Segregation,</w:t>
          </w:r>
          <w:r w:rsidRPr="00A72E22">
            <w:rPr>
              <w:color w:val="000000" w:themeColor="text1"/>
              <w:sz w:val="20"/>
              <w:szCs w:val="20"/>
            </w:rPr>
            <w:t xml:space="preserve"> (June 2015) url: http://www.ppo.gov.uk/app/uploads/2015/06/Learning-Lessons-Bulletin-Segregation-final.pdf.</w:t>
          </w:r>
        </w:p>
      </w:sdtContent>
    </w:sdt>
  </w:footnote>
  <w:footnote w:id="129">
    <w:sdt>
      <w:sdtPr>
        <w:rPr>
          <w:color w:val="000000" w:themeColor="text1"/>
          <w:sz w:val="20"/>
          <w:szCs w:val="20"/>
        </w:rPr>
        <w:tag w:val="goog_rdk_402"/>
        <w:id w:val="757256777"/>
      </w:sdtPr>
      <w:sdtContent>
        <w:p w14:paraId="00000160"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Shalev and </w:t>
          </w:r>
          <w:proofErr w:type="spellStart"/>
          <w:r w:rsidRPr="00A72E22">
            <w:rPr>
              <w:color w:val="000000" w:themeColor="text1"/>
              <w:sz w:val="20"/>
              <w:szCs w:val="20"/>
            </w:rPr>
            <w:t>Kimmet</w:t>
          </w:r>
          <w:proofErr w:type="spellEnd"/>
          <w:r w:rsidRPr="00A72E22">
            <w:rPr>
              <w:color w:val="000000" w:themeColor="text1"/>
              <w:sz w:val="20"/>
              <w:szCs w:val="20"/>
            </w:rPr>
            <w:t xml:space="preserve">, </w:t>
          </w:r>
          <w:r w:rsidRPr="00A72E22">
            <w:rPr>
              <w:i/>
              <w:color w:val="000000" w:themeColor="text1"/>
              <w:sz w:val="20"/>
              <w:szCs w:val="20"/>
            </w:rPr>
            <w:t>Deep Custody</w:t>
          </w:r>
          <w:r w:rsidRPr="00A72E22">
            <w:rPr>
              <w:color w:val="000000" w:themeColor="text1"/>
              <w:sz w:val="20"/>
              <w:szCs w:val="20"/>
            </w:rPr>
            <w:t>, 132.</w:t>
          </w:r>
        </w:p>
      </w:sdtContent>
    </w:sdt>
  </w:footnote>
  <w:footnote w:id="130">
    <w:sdt>
      <w:sdtPr>
        <w:rPr>
          <w:color w:val="000000" w:themeColor="text1"/>
          <w:sz w:val="20"/>
          <w:szCs w:val="20"/>
        </w:rPr>
        <w:tag w:val="goog_rdk_403"/>
        <w:id w:val="-1786417969"/>
      </w:sdtPr>
      <w:sdtContent>
        <w:p w14:paraId="0000016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For a comprehensive review, see Peter Scharff Smith, “The Effects of Solitary Confinement on Prison Inmates: A Brief History and Review of the Literature”, </w:t>
          </w:r>
          <w:r w:rsidRPr="00A72E22">
            <w:rPr>
              <w:i/>
              <w:color w:val="000000" w:themeColor="text1"/>
              <w:sz w:val="20"/>
              <w:szCs w:val="20"/>
            </w:rPr>
            <w:t>Crime and Justice</w:t>
          </w:r>
          <w:r w:rsidRPr="00A72E22">
            <w:rPr>
              <w:color w:val="000000" w:themeColor="text1"/>
              <w:sz w:val="20"/>
              <w:szCs w:val="20"/>
            </w:rPr>
            <w:t xml:space="preserve"> 34, no 1 (2006): 441-528.</w:t>
          </w:r>
        </w:p>
      </w:sdtContent>
    </w:sdt>
  </w:footnote>
  <w:footnote w:id="131">
    <w:sdt>
      <w:sdtPr>
        <w:rPr>
          <w:color w:val="000000" w:themeColor="text1"/>
          <w:sz w:val="20"/>
          <w:szCs w:val="20"/>
        </w:rPr>
        <w:tag w:val="goog_rdk_404"/>
        <w:id w:val="-1680961557"/>
      </w:sdtPr>
      <w:sdtContent>
        <w:p w14:paraId="00000162" w14:textId="695EB581"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the UN Special Rapporteur of the Human Rights Council on Torture and Other Cruel, Inhuman and Degrading Treatment or Punishment 2008 Istanbul Statement on the Use and Effects of Solitary Confinement cited </w:t>
          </w:r>
          <w:proofErr w:type="spellStart"/>
          <w:r w:rsidRPr="00A72E22">
            <w:rPr>
              <w:i/>
              <w:color w:val="000000" w:themeColor="text1"/>
              <w:sz w:val="20"/>
              <w:szCs w:val="20"/>
            </w:rPr>
            <w:t>Bourgass</w:t>
          </w:r>
          <w:proofErr w:type="spellEnd"/>
          <w:r w:rsidRPr="00A72E22">
            <w:rPr>
              <w:i/>
              <w:color w:val="000000" w:themeColor="text1"/>
              <w:sz w:val="20"/>
              <w:szCs w:val="20"/>
            </w:rPr>
            <w:t xml:space="preserve"> </w:t>
          </w:r>
          <w:r w:rsidRPr="00A72E22">
            <w:rPr>
              <w:color w:val="000000" w:themeColor="text1"/>
              <w:sz w:val="20"/>
              <w:szCs w:val="20"/>
            </w:rPr>
            <w:t xml:space="preserve">[2015] </w:t>
          </w:r>
          <w:r>
            <w:rPr>
              <w:color w:val="000000" w:themeColor="text1"/>
              <w:sz w:val="20"/>
              <w:szCs w:val="20"/>
            </w:rPr>
            <w:t>[</w:t>
          </w:r>
          <w:r w:rsidRPr="00A72E22">
            <w:rPr>
              <w:color w:val="000000" w:themeColor="text1"/>
              <w:sz w:val="20"/>
              <w:szCs w:val="20"/>
            </w:rPr>
            <w:t>38</w:t>
          </w:r>
          <w:r>
            <w:rPr>
              <w:color w:val="000000" w:themeColor="text1"/>
              <w:sz w:val="20"/>
              <w:szCs w:val="20"/>
            </w:rPr>
            <w:t>]</w:t>
          </w:r>
          <w:r w:rsidRPr="00A72E22">
            <w:rPr>
              <w:color w:val="000000" w:themeColor="text1"/>
              <w:sz w:val="20"/>
              <w:szCs w:val="20"/>
            </w:rPr>
            <w:t xml:space="preserve">. </w:t>
          </w:r>
        </w:p>
      </w:sdtContent>
    </w:sdt>
  </w:footnote>
  <w:footnote w:id="132">
    <w:sdt>
      <w:sdtPr>
        <w:rPr>
          <w:color w:val="000000" w:themeColor="text1"/>
          <w:sz w:val="20"/>
          <w:szCs w:val="20"/>
        </w:rPr>
        <w:tag w:val="goog_rdk_405"/>
        <w:id w:val="1985819699"/>
      </w:sdtPr>
      <w:sdtContent>
        <w:p w14:paraId="00000163" w14:textId="41C14F3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i/>
              <w:color w:val="000000" w:themeColor="text1"/>
              <w:sz w:val="20"/>
              <w:szCs w:val="20"/>
            </w:rPr>
            <w:t xml:space="preserve"> </w:t>
          </w:r>
          <w:proofErr w:type="spellStart"/>
          <w:r w:rsidRPr="00A72E22">
            <w:rPr>
              <w:i/>
              <w:color w:val="000000" w:themeColor="text1"/>
              <w:sz w:val="20"/>
              <w:szCs w:val="20"/>
            </w:rPr>
            <w:t>Bourgass</w:t>
          </w:r>
          <w:proofErr w:type="spellEnd"/>
          <w:r w:rsidRPr="00A72E22">
            <w:rPr>
              <w:color w:val="000000" w:themeColor="text1"/>
              <w:sz w:val="20"/>
              <w:szCs w:val="20"/>
            </w:rPr>
            <w:t xml:space="preserve"> [2015] </w:t>
          </w:r>
          <w:r>
            <w:rPr>
              <w:color w:val="000000" w:themeColor="text1"/>
              <w:sz w:val="20"/>
              <w:szCs w:val="20"/>
            </w:rPr>
            <w:t>[</w:t>
          </w:r>
          <w:r w:rsidRPr="00A72E22">
            <w:rPr>
              <w:color w:val="000000" w:themeColor="text1"/>
              <w:sz w:val="20"/>
              <w:szCs w:val="20"/>
            </w:rPr>
            <w:t>40</w:t>
          </w:r>
          <w:r>
            <w:rPr>
              <w:color w:val="000000" w:themeColor="text1"/>
              <w:sz w:val="20"/>
              <w:szCs w:val="20"/>
            </w:rPr>
            <w:t>]</w:t>
          </w:r>
          <w:r w:rsidRPr="00A72E22">
            <w:rPr>
              <w:color w:val="000000" w:themeColor="text1"/>
              <w:sz w:val="20"/>
              <w:szCs w:val="20"/>
            </w:rPr>
            <w:t>.</w:t>
          </w:r>
        </w:p>
      </w:sdtContent>
    </w:sdt>
  </w:footnote>
  <w:footnote w:id="133">
    <w:sdt>
      <w:sdtPr>
        <w:rPr>
          <w:color w:val="000000" w:themeColor="text1"/>
          <w:sz w:val="20"/>
          <w:szCs w:val="20"/>
        </w:rPr>
        <w:tag w:val="goog_rdk_406"/>
        <w:id w:val="-566265151"/>
      </w:sdtPr>
      <w:sdtContent>
        <w:p w14:paraId="00000164" w14:textId="56894B72"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Ariana Silvestri, “Prison Conditions in the United Kingdom”, European Prison Observatory, 2013, https://www.crimeandjustice.org.uk/sites/crimeandjustice.org.uk/files/Prison%20conditions%20in%20the%20UK.pdf, p.22. It is difficult to identify how this disproportionately affects LGBTIQ+ people as NOMS data on segregation does not include sexual orientation and gender identity. The most recent demographic data of numbers of prisoners segregated is listed in </w:t>
          </w:r>
          <w:r>
            <w:rPr>
              <w:color w:val="000000" w:themeColor="text1"/>
              <w:sz w:val="20"/>
              <w:szCs w:val="20"/>
            </w:rPr>
            <w:t>“</w:t>
          </w:r>
          <w:r w:rsidRPr="00A72E22">
            <w:rPr>
              <w:color w:val="000000" w:themeColor="text1"/>
              <w:sz w:val="20"/>
              <w:szCs w:val="20"/>
            </w:rPr>
            <w:t>Deep Custody</w:t>
          </w:r>
          <w:r>
            <w:rPr>
              <w:color w:val="000000" w:themeColor="text1"/>
              <w:sz w:val="20"/>
              <w:szCs w:val="20"/>
            </w:rPr>
            <w:t>”</w:t>
          </w:r>
          <w:r w:rsidRPr="00A72E22">
            <w:rPr>
              <w:color w:val="000000" w:themeColor="text1"/>
              <w:sz w:val="20"/>
              <w:szCs w:val="20"/>
            </w:rPr>
            <w:t>, 148-149. They are split by ethnicity, age and gender. In the 2017/2018 Offender Equalities Annual Report</w:t>
          </w:r>
          <w:r>
            <w:rPr>
              <w:color w:val="000000" w:themeColor="text1"/>
              <w:sz w:val="20"/>
              <w:szCs w:val="20"/>
            </w:rPr>
            <w:t>,</w:t>
          </w:r>
          <w:r w:rsidRPr="00A72E22">
            <w:rPr>
              <w:color w:val="000000" w:themeColor="text1"/>
              <w:sz w:val="20"/>
              <w:szCs w:val="20"/>
            </w:rPr>
            <w:t xml:space="preserve"> it is stated that number of segregation days among other data have been excluded due to poor quality of the data (see Ministry of Justice 2017/2018 Offender Equalities, 3).</w:t>
          </w:r>
        </w:p>
      </w:sdtContent>
    </w:sdt>
  </w:footnote>
  <w:footnote w:id="134">
    <w:sdt>
      <w:sdtPr>
        <w:rPr>
          <w:color w:val="000000" w:themeColor="text1"/>
          <w:sz w:val="20"/>
          <w:szCs w:val="20"/>
        </w:rPr>
        <w:tag w:val="goog_rdk_407"/>
        <w:id w:val="-1887939528"/>
      </w:sdtPr>
      <w:sdtContent>
        <w:p w14:paraId="00000165" w14:textId="6BD74E3B"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Erwin James, “Homophobia is still rife in UK prisons”, </w:t>
          </w:r>
          <w:r w:rsidRPr="00A72E22">
            <w:rPr>
              <w:i/>
              <w:color w:val="000000" w:themeColor="text1"/>
              <w:sz w:val="20"/>
              <w:szCs w:val="20"/>
            </w:rPr>
            <w:t>The Guardian</w:t>
          </w:r>
          <w:r w:rsidRPr="00A72E22">
            <w:rPr>
              <w:color w:val="000000" w:themeColor="text1"/>
              <w:sz w:val="20"/>
              <w:szCs w:val="20"/>
            </w:rPr>
            <w:t xml:space="preserve">, September </w:t>
          </w:r>
          <w:r>
            <w:rPr>
              <w:color w:val="000000" w:themeColor="text1"/>
              <w:sz w:val="20"/>
              <w:szCs w:val="20"/>
            </w:rPr>
            <w:t xml:space="preserve">25, </w:t>
          </w:r>
          <w:r w:rsidRPr="00A72E22">
            <w:rPr>
              <w:color w:val="000000" w:themeColor="text1"/>
              <w:sz w:val="20"/>
              <w:szCs w:val="20"/>
            </w:rPr>
            <w:t>2012</w:t>
          </w:r>
          <w:r>
            <w:rPr>
              <w:color w:val="000000" w:themeColor="text1"/>
              <w:sz w:val="20"/>
              <w:szCs w:val="20"/>
            </w:rPr>
            <w:t xml:space="preserve">, accessed March 27, 2020, </w:t>
          </w:r>
          <w:hyperlink r:id="rId9" w:history="1">
            <w:r w:rsidRPr="00523610">
              <w:rPr>
                <w:rStyle w:val="Hyperlink"/>
                <w:sz w:val="20"/>
                <w:szCs w:val="20"/>
              </w:rPr>
              <w:t>https://www.theguardian.com/society/2012/sep/25/homophobia-rife-uk-prisons</w:t>
            </w:r>
          </w:hyperlink>
          <w:r w:rsidRPr="00A72E22">
            <w:rPr>
              <w:color w:val="000000" w:themeColor="text1"/>
              <w:sz w:val="20"/>
              <w:szCs w:val="20"/>
            </w:rPr>
            <w:t xml:space="preserve">. </w:t>
          </w:r>
        </w:p>
      </w:sdtContent>
    </w:sdt>
  </w:footnote>
  <w:footnote w:id="135">
    <w:sdt>
      <w:sdtPr>
        <w:rPr>
          <w:color w:val="000000" w:themeColor="text1"/>
          <w:sz w:val="20"/>
          <w:szCs w:val="20"/>
        </w:rPr>
        <w:tag w:val="goog_rdk_408"/>
        <w:id w:val="1037394347"/>
      </w:sdtPr>
      <w:sdtContent>
        <w:p w14:paraId="00000166" w14:textId="7BC3609F"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 xml:space="preserve">For a comprehensive overview of prisoners’ rights under </w:t>
          </w:r>
          <w:r>
            <w:rPr>
              <w:color w:val="000000" w:themeColor="text1"/>
              <w:sz w:val="20"/>
              <w:szCs w:val="20"/>
            </w:rPr>
            <w:t xml:space="preserve">art. </w:t>
          </w:r>
          <w:r w:rsidRPr="00A72E22">
            <w:rPr>
              <w:color w:val="000000" w:themeColor="text1"/>
              <w:sz w:val="20"/>
              <w:szCs w:val="20"/>
            </w:rPr>
            <w:t>8 ECHR</w:t>
          </w:r>
          <w:r>
            <w:rPr>
              <w:color w:val="000000" w:themeColor="text1"/>
              <w:sz w:val="20"/>
              <w:szCs w:val="20"/>
            </w:rPr>
            <w:t>,</w:t>
          </w:r>
          <w:r w:rsidRPr="00A72E22">
            <w:rPr>
              <w:color w:val="000000" w:themeColor="text1"/>
              <w:sz w:val="20"/>
              <w:szCs w:val="20"/>
            </w:rPr>
            <w:t xml:space="preserve"> see Dirk Van Zyl Smit and Sonja </w:t>
          </w:r>
          <w:proofErr w:type="spellStart"/>
          <w:r w:rsidRPr="00A72E22">
            <w:rPr>
              <w:color w:val="000000" w:themeColor="text1"/>
              <w:sz w:val="20"/>
              <w:szCs w:val="20"/>
            </w:rPr>
            <w:t>Snacken</w:t>
          </w:r>
          <w:proofErr w:type="spellEnd"/>
          <w:r w:rsidRPr="00A72E22">
            <w:rPr>
              <w:color w:val="000000" w:themeColor="text1"/>
              <w:sz w:val="20"/>
              <w:szCs w:val="20"/>
            </w:rPr>
            <w:t xml:space="preserve">, </w:t>
          </w:r>
          <w:r w:rsidRPr="00A72E22">
            <w:rPr>
              <w:i/>
              <w:color w:val="000000" w:themeColor="text1"/>
              <w:sz w:val="20"/>
              <w:szCs w:val="20"/>
            </w:rPr>
            <w:t>Principles of European Prison Law and Policy: Penology and Human Rights</w:t>
          </w:r>
          <w:r w:rsidRPr="00A72E22">
            <w:rPr>
              <w:color w:val="000000" w:themeColor="text1"/>
              <w:sz w:val="20"/>
              <w:szCs w:val="20"/>
            </w:rPr>
            <w:t xml:space="preserve"> (Oxford: Oxford University Press, 2009).</w:t>
          </w:r>
        </w:p>
      </w:sdtContent>
    </w:sdt>
  </w:footnote>
  <w:footnote w:id="136">
    <w:sdt>
      <w:sdtPr>
        <w:rPr>
          <w:color w:val="000000" w:themeColor="text1"/>
          <w:sz w:val="20"/>
          <w:szCs w:val="20"/>
        </w:rPr>
        <w:tag w:val="goog_rdk_409"/>
        <w:id w:val="1165596504"/>
      </w:sdtPr>
      <w:sdtContent>
        <w:p w14:paraId="00000167"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Charles O’Neill and William </w:t>
          </w:r>
          <w:proofErr w:type="spellStart"/>
          <w:r w:rsidRPr="00A72E22">
            <w:rPr>
              <w:i/>
              <w:color w:val="000000" w:themeColor="text1"/>
              <w:sz w:val="20"/>
              <w:szCs w:val="20"/>
            </w:rPr>
            <w:t>Lauchlan</w:t>
          </w:r>
          <w:proofErr w:type="spellEnd"/>
          <w:r w:rsidRPr="00A72E22">
            <w:rPr>
              <w:color w:val="000000" w:themeColor="text1"/>
              <w:sz w:val="20"/>
              <w:szCs w:val="20"/>
            </w:rPr>
            <w:t>, [2015] CSOH 93; [2015] CSOH 144 (</w:t>
          </w:r>
          <w:r w:rsidRPr="00A72E22">
            <w:rPr>
              <w:i/>
              <w:color w:val="000000" w:themeColor="text1"/>
              <w:sz w:val="20"/>
              <w:szCs w:val="20"/>
            </w:rPr>
            <w:t xml:space="preserve">O’Neill and </w:t>
          </w:r>
          <w:proofErr w:type="spellStart"/>
          <w:r w:rsidRPr="00A72E22">
            <w:rPr>
              <w:i/>
              <w:color w:val="000000" w:themeColor="text1"/>
              <w:sz w:val="20"/>
              <w:szCs w:val="20"/>
            </w:rPr>
            <w:t>Lauchlan</w:t>
          </w:r>
          <w:proofErr w:type="spellEnd"/>
          <w:r w:rsidRPr="00A72E22">
            <w:rPr>
              <w:color w:val="000000" w:themeColor="text1"/>
              <w:sz w:val="20"/>
              <w:szCs w:val="20"/>
            </w:rPr>
            <w:t xml:space="preserve"> (2015a) (2015b)) The Scottish Prison Service as well as its legal system are independent. </w:t>
          </w:r>
        </w:p>
      </w:sdtContent>
    </w:sdt>
  </w:footnote>
  <w:footnote w:id="137">
    <w:sdt>
      <w:sdtPr>
        <w:rPr>
          <w:color w:val="000000" w:themeColor="text1"/>
          <w:sz w:val="20"/>
          <w:szCs w:val="20"/>
        </w:rPr>
        <w:tag w:val="goog_rdk_410"/>
        <w:id w:val="1696345555"/>
      </w:sdtPr>
      <w:sdtContent>
        <w:p w14:paraId="00000168" w14:textId="342AED8F"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The factual context of the decision is a bit strange in the sense that it changed in between the dates for the first (20-21 November 2014) and second hearing (12 May 2015). Following the first hearing</w:t>
          </w:r>
          <w:r>
            <w:rPr>
              <w:color w:val="000000" w:themeColor="text1"/>
              <w:sz w:val="20"/>
              <w:szCs w:val="20"/>
            </w:rPr>
            <w:t>,</w:t>
          </w:r>
          <w:r w:rsidRPr="00A72E22">
            <w:rPr>
              <w:color w:val="000000" w:themeColor="text1"/>
              <w:sz w:val="20"/>
              <w:szCs w:val="20"/>
            </w:rPr>
            <w:t xml:space="preserve"> the Scottish Prison Service (SPS) changed its assessment of O’Neill and </w:t>
          </w:r>
          <w:proofErr w:type="spellStart"/>
          <w:r w:rsidRPr="00A72E22">
            <w:rPr>
              <w:color w:val="000000" w:themeColor="text1"/>
              <w:sz w:val="20"/>
              <w:szCs w:val="20"/>
            </w:rPr>
            <w:t>Lauchlan’s</w:t>
          </w:r>
          <w:proofErr w:type="spellEnd"/>
          <w:r w:rsidRPr="00A72E22">
            <w:rPr>
              <w:color w:val="000000" w:themeColor="text1"/>
              <w:sz w:val="20"/>
              <w:szCs w:val="20"/>
            </w:rPr>
            <w:t xml:space="preserve"> relationship; it acknowledged that they had been in a same sex relationship since before their detention in 2008. Furthermore</w:t>
          </w:r>
          <w:r>
            <w:rPr>
              <w:color w:val="000000" w:themeColor="text1"/>
              <w:sz w:val="20"/>
              <w:szCs w:val="20"/>
            </w:rPr>
            <w:t xml:space="preserve">, </w:t>
          </w:r>
          <w:r w:rsidRPr="00A72E22">
            <w:rPr>
              <w:color w:val="000000" w:themeColor="text1"/>
              <w:sz w:val="20"/>
              <w:szCs w:val="20"/>
            </w:rPr>
            <w:t>the SPS approved one inter-prison visit in that same period.</w:t>
          </w:r>
        </w:p>
      </w:sdtContent>
    </w:sdt>
  </w:footnote>
  <w:footnote w:id="138">
    <w:sdt>
      <w:sdtPr>
        <w:rPr>
          <w:color w:val="000000" w:themeColor="text1"/>
          <w:sz w:val="20"/>
          <w:szCs w:val="20"/>
        </w:rPr>
        <w:tag w:val="goog_rdk_411"/>
        <w:id w:val="1262038374"/>
      </w:sdtPr>
      <w:sdtContent>
        <w:p w14:paraId="78FC91CC" w14:textId="315CC136" w:rsidR="00A1537F" w:rsidRPr="00A72E22" w:rsidRDefault="00A1537F" w:rsidP="00137F4E">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O’Neill and </w:t>
          </w:r>
          <w:proofErr w:type="spellStart"/>
          <w:r w:rsidRPr="00A72E22">
            <w:rPr>
              <w:i/>
              <w:color w:val="000000" w:themeColor="text1"/>
              <w:sz w:val="20"/>
              <w:szCs w:val="20"/>
            </w:rPr>
            <w:t>Lauchlan</w:t>
          </w:r>
          <w:proofErr w:type="spellEnd"/>
          <w:r w:rsidRPr="00A72E22">
            <w:rPr>
              <w:color w:val="000000" w:themeColor="text1"/>
              <w:sz w:val="20"/>
              <w:szCs w:val="20"/>
            </w:rPr>
            <w:t xml:space="preserve"> (2015a) </w:t>
          </w:r>
          <w:r>
            <w:rPr>
              <w:color w:val="000000" w:themeColor="text1"/>
              <w:sz w:val="20"/>
              <w:szCs w:val="20"/>
            </w:rPr>
            <w:t>[</w:t>
          </w:r>
          <w:r w:rsidRPr="00A72E22">
            <w:rPr>
              <w:color w:val="000000" w:themeColor="text1"/>
              <w:sz w:val="20"/>
              <w:szCs w:val="20"/>
            </w:rPr>
            <w:t>10</w:t>
          </w:r>
          <w:r>
            <w:rPr>
              <w:color w:val="000000" w:themeColor="text1"/>
              <w:sz w:val="20"/>
              <w:szCs w:val="20"/>
            </w:rPr>
            <w:t>]</w:t>
          </w:r>
          <w:r w:rsidRPr="00A72E22">
            <w:rPr>
              <w:color w:val="000000" w:themeColor="text1"/>
              <w:sz w:val="20"/>
              <w:szCs w:val="20"/>
            </w:rPr>
            <w:t xml:space="preserve">. This is also the case in England and Wales, where inter-prison visits are governed by PSI 16/2011, Providing Visits and Services to Visitors, </w:t>
          </w:r>
          <w:r>
            <w:rPr>
              <w:color w:val="000000" w:themeColor="text1"/>
              <w:sz w:val="20"/>
              <w:szCs w:val="20"/>
            </w:rPr>
            <w:t>[</w:t>
          </w:r>
          <w:r w:rsidRPr="00A72E22">
            <w:rPr>
              <w:color w:val="000000" w:themeColor="text1"/>
              <w:sz w:val="20"/>
              <w:szCs w:val="20"/>
            </w:rPr>
            <w:t>5.15</w:t>
          </w:r>
          <w:r>
            <w:rPr>
              <w:color w:val="000000" w:themeColor="text1"/>
              <w:sz w:val="20"/>
              <w:szCs w:val="20"/>
            </w:rPr>
            <w:t>]</w:t>
          </w:r>
          <w:r w:rsidRPr="00A72E22">
            <w:rPr>
              <w:color w:val="000000" w:themeColor="text1"/>
              <w:sz w:val="20"/>
              <w:szCs w:val="20"/>
            </w:rPr>
            <w:t>.</w:t>
          </w:r>
          <w:r w:rsidRPr="00A72E22">
            <w:rPr>
              <w:rFonts w:eastAsia="Arial"/>
              <w:color w:val="000000" w:themeColor="text1"/>
              <w:sz w:val="20"/>
              <w:szCs w:val="20"/>
            </w:rPr>
            <w:t xml:space="preserve"> </w:t>
          </w:r>
          <w:r w:rsidRPr="00A72E22">
            <w:rPr>
              <w:color w:val="000000" w:themeColor="text1"/>
              <w:sz w:val="20"/>
              <w:szCs w:val="20"/>
            </w:rPr>
            <w:t xml:space="preserve">see also </w:t>
          </w:r>
          <w:r w:rsidRPr="00A72E22">
            <w:rPr>
              <w:i/>
              <w:color w:val="000000" w:themeColor="text1"/>
              <w:sz w:val="20"/>
              <w:szCs w:val="20"/>
            </w:rPr>
            <w:t xml:space="preserve">Regina (Bright) v Secretary of State for Justice, Regina (Keeley) v Secretary of State for Justice </w:t>
          </w:r>
          <w:r w:rsidRPr="00A72E22">
            <w:rPr>
              <w:color w:val="000000" w:themeColor="text1"/>
              <w:sz w:val="20"/>
              <w:szCs w:val="20"/>
            </w:rPr>
            <w:t xml:space="preserve">CA [2014] EWCA </w:t>
          </w:r>
          <w:proofErr w:type="spellStart"/>
          <w:r w:rsidRPr="00A72E22">
            <w:rPr>
              <w:color w:val="000000" w:themeColor="text1"/>
              <w:sz w:val="20"/>
              <w:szCs w:val="20"/>
            </w:rPr>
            <w:t>Civ</w:t>
          </w:r>
          <w:proofErr w:type="spellEnd"/>
          <w:r w:rsidRPr="00A72E22">
            <w:rPr>
              <w:color w:val="000000" w:themeColor="text1"/>
              <w:sz w:val="20"/>
              <w:szCs w:val="20"/>
            </w:rPr>
            <w:t xml:space="preserve"> 1628 [2015] 1 W.L.R. 723 para 14.</w:t>
          </w:r>
        </w:p>
      </w:sdtContent>
    </w:sdt>
  </w:footnote>
  <w:footnote w:id="139">
    <w:sdt>
      <w:sdtPr>
        <w:rPr>
          <w:color w:val="000000" w:themeColor="text1"/>
          <w:sz w:val="20"/>
          <w:szCs w:val="20"/>
        </w:rPr>
        <w:tag w:val="goog_rdk_449"/>
        <w:id w:val="-1569267272"/>
      </w:sdtPr>
      <w:sdtContent>
        <w:p w14:paraId="0000018F" w14:textId="5FED6F63" w:rsidR="00A1537F" w:rsidRPr="00A72E22" w:rsidRDefault="00A1537F" w:rsidP="009C7CF7">
          <w:pP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 xml:space="preserve">O’Neill and </w:t>
          </w:r>
          <w:proofErr w:type="spellStart"/>
          <w:r w:rsidRPr="00A72E22">
            <w:rPr>
              <w:i/>
              <w:color w:val="000000" w:themeColor="text1"/>
              <w:sz w:val="20"/>
              <w:szCs w:val="20"/>
            </w:rPr>
            <w:t>Lauchlan</w:t>
          </w:r>
          <w:proofErr w:type="spellEnd"/>
          <w:r w:rsidRPr="00A72E22">
            <w:rPr>
              <w:color w:val="000000" w:themeColor="text1"/>
              <w:sz w:val="20"/>
              <w:szCs w:val="20"/>
            </w:rPr>
            <w:t xml:space="preserve"> (2015a) </w:t>
          </w:r>
          <w:r>
            <w:rPr>
              <w:color w:val="000000" w:themeColor="text1"/>
              <w:sz w:val="20"/>
              <w:szCs w:val="20"/>
            </w:rPr>
            <w:t>[</w:t>
          </w:r>
          <w:r w:rsidRPr="00A72E22">
            <w:rPr>
              <w:color w:val="000000" w:themeColor="text1"/>
              <w:sz w:val="20"/>
              <w:szCs w:val="20"/>
            </w:rPr>
            <w:t>15</w:t>
          </w:r>
          <w:r>
            <w:rPr>
              <w:color w:val="000000" w:themeColor="text1"/>
              <w:sz w:val="20"/>
              <w:szCs w:val="20"/>
            </w:rPr>
            <w:t>]</w:t>
          </w:r>
          <w:r w:rsidRPr="00A72E22">
            <w:rPr>
              <w:color w:val="000000" w:themeColor="text1"/>
              <w:sz w:val="20"/>
              <w:szCs w:val="20"/>
            </w:rPr>
            <w:t>.</w:t>
          </w:r>
        </w:p>
      </w:sdtContent>
    </w:sdt>
  </w:footnote>
  <w:footnote w:id="140">
    <w:sdt>
      <w:sdtPr>
        <w:rPr>
          <w:color w:val="000000" w:themeColor="text1"/>
          <w:sz w:val="20"/>
          <w:szCs w:val="20"/>
        </w:rPr>
        <w:tag w:val="goog_rdk_412"/>
        <w:id w:val="-497346903"/>
      </w:sdtPr>
      <w:sdtContent>
        <w:p w14:paraId="0000016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This raises the question whether this family life test is equally applied to heterosexual couples in prison. </w:t>
          </w:r>
        </w:p>
      </w:sdtContent>
    </w:sdt>
  </w:footnote>
  <w:footnote w:id="141">
    <w:sdt>
      <w:sdtPr>
        <w:rPr>
          <w:color w:val="000000" w:themeColor="text1"/>
          <w:sz w:val="20"/>
          <w:szCs w:val="20"/>
        </w:rPr>
        <w:tag w:val="goog_rdk_413"/>
        <w:id w:val="-1664697595"/>
      </w:sdtPr>
      <w:sdtContent>
        <w:p w14:paraId="0000016B" w14:textId="0ACFC8E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 xml:space="preserve">Lynch </w:t>
          </w:r>
          <w:proofErr w:type="spellStart"/>
          <w:r w:rsidRPr="00A72E22">
            <w:rPr>
              <w:color w:val="000000" w:themeColor="text1"/>
              <w:sz w:val="20"/>
              <w:szCs w:val="20"/>
            </w:rPr>
            <w:t>cit</w:t>
          </w:r>
          <w:proofErr w:type="spellEnd"/>
          <w:r w:rsidRPr="00A72E22">
            <w:rPr>
              <w:color w:val="000000" w:themeColor="text1"/>
              <w:sz w:val="20"/>
              <w:szCs w:val="20"/>
            </w:rPr>
            <w:t xml:space="preserve"> in Sue Westwood, </w:t>
          </w:r>
          <w:r>
            <w:rPr>
              <w:color w:val="000000" w:themeColor="text1"/>
              <w:sz w:val="20"/>
              <w:szCs w:val="20"/>
            </w:rPr>
            <w:t>“‘</w:t>
          </w:r>
          <w:r w:rsidRPr="00A72E22">
            <w:rPr>
              <w:color w:val="000000" w:themeColor="text1"/>
              <w:sz w:val="20"/>
              <w:szCs w:val="20"/>
            </w:rPr>
            <w:t>My Friends are my Family</w:t>
          </w:r>
          <w:r>
            <w:rPr>
              <w:color w:val="000000" w:themeColor="text1"/>
              <w:sz w:val="20"/>
              <w:szCs w:val="20"/>
            </w:rPr>
            <w:t>’</w:t>
          </w:r>
          <w:r w:rsidRPr="00A72E22">
            <w:rPr>
              <w:color w:val="000000" w:themeColor="text1"/>
              <w:sz w:val="20"/>
              <w:szCs w:val="20"/>
            </w:rPr>
            <w:t>: an argument about the limitations of contemporary law</w:t>
          </w:r>
          <w:r>
            <w:rPr>
              <w:color w:val="000000" w:themeColor="text1"/>
              <w:sz w:val="20"/>
              <w:szCs w:val="20"/>
            </w:rPr>
            <w:t>’</w:t>
          </w:r>
          <w:r w:rsidRPr="00A72E22">
            <w:rPr>
              <w:color w:val="000000" w:themeColor="text1"/>
              <w:sz w:val="20"/>
              <w:szCs w:val="20"/>
            </w:rPr>
            <w:t>s recognition of relationships in later life</w:t>
          </w:r>
          <w:r>
            <w:rPr>
              <w:color w:val="000000" w:themeColor="text1"/>
              <w:sz w:val="20"/>
              <w:szCs w:val="20"/>
            </w:rPr>
            <w:t>”</w:t>
          </w:r>
          <w:r w:rsidRPr="00A72E22">
            <w:rPr>
              <w:color w:val="000000" w:themeColor="text1"/>
              <w:sz w:val="20"/>
              <w:szCs w:val="20"/>
            </w:rPr>
            <w:t xml:space="preserve">, </w:t>
          </w:r>
          <w:r w:rsidRPr="00961078">
            <w:rPr>
              <w:i/>
              <w:iCs/>
              <w:color w:val="000000" w:themeColor="text1"/>
              <w:sz w:val="20"/>
              <w:szCs w:val="20"/>
            </w:rPr>
            <w:t>Journal of Social Welfare and Family Law</w:t>
          </w:r>
          <w:r w:rsidRPr="00A72E22">
            <w:rPr>
              <w:color w:val="000000" w:themeColor="text1"/>
              <w:sz w:val="20"/>
              <w:szCs w:val="20"/>
            </w:rPr>
            <w:t>, 35, no 3 (2013): 347-363, 349.</w:t>
          </w:r>
        </w:p>
      </w:sdtContent>
    </w:sdt>
  </w:footnote>
  <w:footnote w:id="142">
    <w:sdt>
      <w:sdtPr>
        <w:rPr>
          <w:color w:val="000000" w:themeColor="text1"/>
          <w:sz w:val="20"/>
          <w:szCs w:val="20"/>
        </w:rPr>
        <w:tag w:val="goog_rdk_414"/>
        <w:id w:val="643005862"/>
      </w:sdtPr>
      <w:sdtContent>
        <w:p w14:paraId="0000016C" w14:textId="3C202128"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 xml:space="preserve">O’Neill and </w:t>
          </w:r>
          <w:proofErr w:type="spellStart"/>
          <w:r w:rsidRPr="00A72E22">
            <w:rPr>
              <w:i/>
              <w:color w:val="000000" w:themeColor="text1"/>
              <w:sz w:val="20"/>
              <w:szCs w:val="20"/>
            </w:rPr>
            <w:t>Lauchlan</w:t>
          </w:r>
          <w:proofErr w:type="spellEnd"/>
          <w:r w:rsidRPr="00A72E22">
            <w:rPr>
              <w:color w:val="000000" w:themeColor="text1"/>
              <w:sz w:val="20"/>
              <w:szCs w:val="20"/>
            </w:rPr>
            <w:t xml:space="preserve"> (2015a)</w:t>
          </w:r>
          <w:r>
            <w:rPr>
              <w:color w:val="000000" w:themeColor="text1"/>
              <w:sz w:val="20"/>
              <w:szCs w:val="20"/>
            </w:rPr>
            <w:t xml:space="preserve"> [</w:t>
          </w:r>
          <w:r w:rsidRPr="00A72E22">
            <w:rPr>
              <w:color w:val="000000" w:themeColor="text1"/>
              <w:sz w:val="20"/>
              <w:szCs w:val="20"/>
            </w:rPr>
            <w:t>15</w:t>
          </w:r>
          <w:r>
            <w:rPr>
              <w:color w:val="000000" w:themeColor="text1"/>
              <w:sz w:val="20"/>
              <w:szCs w:val="20"/>
            </w:rPr>
            <w:t>]</w:t>
          </w:r>
          <w:r w:rsidRPr="00A72E22">
            <w:rPr>
              <w:rFonts w:eastAsia="Arial"/>
              <w:color w:val="000000" w:themeColor="text1"/>
              <w:sz w:val="20"/>
              <w:szCs w:val="20"/>
            </w:rPr>
            <w:t>.</w:t>
          </w:r>
        </w:p>
      </w:sdtContent>
    </w:sdt>
  </w:footnote>
  <w:footnote w:id="143">
    <w:sdt>
      <w:sdtPr>
        <w:rPr>
          <w:color w:val="000000" w:themeColor="text1"/>
          <w:sz w:val="20"/>
          <w:szCs w:val="20"/>
        </w:rPr>
        <w:tag w:val="goog_rdk_415"/>
        <w:id w:val="-1361054049"/>
      </w:sdtPr>
      <w:sdtContent>
        <w:p w14:paraId="0000016D"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Westwood, “My Friends”, 349.</w:t>
          </w:r>
        </w:p>
      </w:sdtContent>
    </w:sdt>
  </w:footnote>
  <w:footnote w:id="144">
    <w:sdt>
      <w:sdtPr>
        <w:rPr>
          <w:color w:val="000000" w:themeColor="text1"/>
          <w:sz w:val="20"/>
          <w:szCs w:val="20"/>
        </w:rPr>
        <w:tag w:val="goog_rdk_416"/>
        <w:id w:val="-1755111669"/>
      </w:sdtPr>
      <w:sdtContent>
        <w:p w14:paraId="0000016E" w14:textId="77777777" w:rsidR="00A1537F" w:rsidRPr="00A72E22" w:rsidRDefault="00A1537F" w:rsidP="009C7CF7">
          <w:pPr>
            <w:pBdr>
              <w:top w:val="nil"/>
              <w:left w:val="nil"/>
              <w:bottom w:val="nil"/>
              <w:right w:val="nil"/>
              <w:between w:val="nil"/>
            </w:pBdr>
            <w:spacing w:after="0" w:line="240" w:lineRule="auto"/>
            <w:rPr>
              <w:rFonts w:eastAsia="Helvetica Neue"/>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Fineman cited in Westwood, “My Friends”, 349.</w:t>
          </w:r>
        </w:p>
      </w:sdtContent>
    </w:sdt>
  </w:footnote>
  <w:footnote w:id="145">
    <w:sdt>
      <w:sdtPr>
        <w:rPr>
          <w:color w:val="000000" w:themeColor="text1"/>
          <w:sz w:val="20"/>
          <w:szCs w:val="20"/>
        </w:rPr>
        <w:tag w:val="goog_rdk_417"/>
        <w:id w:val="1003634867"/>
      </w:sdtPr>
      <w:sdtContent>
        <w:p w14:paraId="0000016F" w14:textId="4D2F6EE1"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Polikoff</w:t>
          </w:r>
          <w:proofErr w:type="spellEnd"/>
          <w:r w:rsidRPr="00A72E22">
            <w:rPr>
              <w:color w:val="000000" w:themeColor="text1"/>
              <w:sz w:val="20"/>
              <w:szCs w:val="20"/>
            </w:rPr>
            <w:t xml:space="preserve"> cited in Westwood, “My Friends”, 349.</w:t>
          </w:r>
        </w:p>
      </w:sdtContent>
    </w:sdt>
  </w:footnote>
  <w:footnote w:id="146">
    <w:sdt>
      <w:sdtPr>
        <w:rPr>
          <w:color w:val="000000" w:themeColor="text1"/>
          <w:sz w:val="20"/>
          <w:szCs w:val="20"/>
        </w:rPr>
        <w:tag w:val="goog_rdk_418"/>
        <w:id w:val="1962840061"/>
      </w:sdtPr>
      <w:sdtContent>
        <w:p w14:paraId="00000170"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Roseneil</w:t>
          </w:r>
          <w:proofErr w:type="spellEnd"/>
          <w:r w:rsidRPr="00A72E22">
            <w:rPr>
              <w:color w:val="000000" w:themeColor="text1"/>
              <w:sz w:val="20"/>
              <w:szCs w:val="20"/>
            </w:rPr>
            <w:t xml:space="preserve"> cited in Westwood, “My Friends”, 349.</w:t>
          </w:r>
        </w:p>
      </w:sdtContent>
    </w:sdt>
  </w:footnote>
  <w:footnote w:id="147">
    <w:sdt>
      <w:sdtPr>
        <w:rPr>
          <w:color w:val="000000" w:themeColor="text1"/>
          <w:sz w:val="20"/>
          <w:szCs w:val="20"/>
        </w:rPr>
        <w:tag w:val="goog_rdk_419"/>
        <w:id w:val="693512451"/>
      </w:sdtPr>
      <w:sdtContent>
        <w:p w14:paraId="00000171"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proofErr w:type="spellStart"/>
          <w:r w:rsidRPr="00A72E22">
            <w:rPr>
              <w:color w:val="000000" w:themeColor="text1"/>
              <w:sz w:val="20"/>
              <w:szCs w:val="20"/>
            </w:rPr>
            <w:t>Stychin</w:t>
          </w:r>
          <w:proofErr w:type="spellEnd"/>
          <w:r w:rsidRPr="00A72E22">
            <w:rPr>
              <w:color w:val="000000" w:themeColor="text1"/>
              <w:sz w:val="20"/>
              <w:szCs w:val="20"/>
            </w:rPr>
            <w:t xml:space="preserve"> cited in Westwood, “My Friends”, 349.</w:t>
          </w:r>
        </w:p>
      </w:sdtContent>
    </w:sdt>
  </w:footnote>
  <w:footnote w:id="148">
    <w:sdt>
      <w:sdtPr>
        <w:rPr>
          <w:color w:val="000000" w:themeColor="text1"/>
          <w:sz w:val="20"/>
          <w:szCs w:val="20"/>
        </w:rPr>
        <w:tag w:val="goog_rdk_420"/>
        <w:id w:val="-1270535837"/>
      </w:sdtPr>
      <w:sdtContent>
        <w:p w14:paraId="00000172"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Barker cited in Westwood, “My Friends”, 349.</w:t>
          </w:r>
        </w:p>
      </w:sdtContent>
    </w:sdt>
  </w:footnote>
  <w:footnote w:id="149">
    <w:sdt>
      <w:sdtPr>
        <w:rPr>
          <w:color w:val="000000" w:themeColor="text1"/>
          <w:sz w:val="20"/>
          <w:szCs w:val="20"/>
        </w:rPr>
        <w:tag w:val="goog_rdk_421"/>
        <w:id w:val="357011669"/>
      </w:sdtPr>
      <w:sdtContent>
        <w:p w14:paraId="3207DBF3" w14:textId="77777777" w:rsidR="00A1537F" w:rsidRPr="00A72E22" w:rsidRDefault="00A1537F" w:rsidP="00850464">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i/>
              <w:color w:val="000000" w:themeColor="text1"/>
              <w:sz w:val="20"/>
              <w:szCs w:val="20"/>
            </w:rPr>
            <w:t xml:space="preserve"> </w:t>
          </w:r>
          <w:r w:rsidRPr="00A72E22">
            <w:rPr>
              <w:i/>
              <w:color w:val="000000" w:themeColor="text1"/>
              <w:sz w:val="20"/>
              <w:szCs w:val="20"/>
            </w:rPr>
            <w:t xml:space="preserve">R (on the application of Bright) v Secretary of State for Justice, Bright v Governor of </w:t>
          </w:r>
          <w:proofErr w:type="spellStart"/>
          <w:r w:rsidRPr="00A72E22">
            <w:rPr>
              <w:i/>
              <w:color w:val="000000" w:themeColor="text1"/>
              <w:sz w:val="20"/>
              <w:szCs w:val="20"/>
            </w:rPr>
            <w:t>Whitemoor</w:t>
          </w:r>
          <w:proofErr w:type="spellEnd"/>
          <w:r w:rsidRPr="00A72E22">
            <w:rPr>
              <w:i/>
              <w:color w:val="000000" w:themeColor="text1"/>
              <w:sz w:val="20"/>
              <w:szCs w:val="20"/>
            </w:rPr>
            <w:t xml:space="preserve"> Prison</w:t>
          </w:r>
          <w:r w:rsidRPr="00A72E22">
            <w:rPr>
              <w:color w:val="000000" w:themeColor="text1"/>
              <w:sz w:val="20"/>
              <w:szCs w:val="20"/>
            </w:rPr>
            <w:t xml:space="preserve"> CA (Civil Division) [2014] EWCA </w:t>
          </w:r>
          <w:proofErr w:type="spellStart"/>
          <w:r w:rsidRPr="00A72E22">
            <w:rPr>
              <w:color w:val="000000" w:themeColor="text1"/>
              <w:sz w:val="20"/>
              <w:szCs w:val="20"/>
            </w:rPr>
            <w:t>Civ</w:t>
          </w:r>
          <w:proofErr w:type="spellEnd"/>
          <w:r w:rsidRPr="00A72E22">
            <w:rPr>
              <w:color w:val="000000" w:themeColor="text1"/>
              <w:sz w:val="20"/>
              <w:szCs w:val="20"/>
            </w:rPr>
            <w:t xml:space="preserve"> 1628; [2015] 1 W.L.R. 723; [2014] 12 WLUK 564. </w:t>
          </w:r>
          <w:r w:rsidRPr="00A72E22">
            <w:rPr>
              <w:i/>
              <w:color w:val="000000" w:themeColor="text1"/>
              <w:sz w:val="20"/>
              <w:szCs w:val="20"/>
            </w:rPr>
            <w:t xml:space="preserve">R (on the application of Hopkins) v Sodexo / HMP </w:t>
          </w:r>
          <w:proofErr w:type="spellStart"/>
          <w:r w:rsidRPr="00A72E22">
            <w:rPr>
              <w:i/>
              <w:color w:val="000000" w:themeColor="text1"/>
              <w:sz w:val="20"/>
              <w:szCs w:val="20"/>
            </w:rPr>
            <w:t>Bronzefield</w:t>
          </w:r>
          <w:proofErr w:type="spellEnd"/>
          <w:r w:rsidRPr="00A72E22">
            <w:rPr>
              <w:i/>
              <w:color w:val="000000" w:themeColor="text1"/>
              <w:sz w:val="20"/>
              <w:szCs w:val="20"/>
            </w:rPr>
            <w:t xml:space="preserve"> QB (Administrative Court)</w:t>
          </w:r>
          <w:r w:rsidRPr="00A72E22">
            <w:rPr>
              <w:color w:val="000000" w:themeColor="text1"/>
              <w:sz w:val="20"/>
              <w:szCs w:val="20"/>
            </w:rPr>
            <w:t xml:space="preserve"> [2016] EWHC 606 (Admin), 2016 A.C.D. 61.</w:t>
          </w:r>
        </w:p>
      </w:sdtContent>
    </w:sdt>
  </w:footnote>
  <w:footnote w:id="150">
    <w:sdt>
      <w:sdtPr>
        <w:rPr>
          <w:color w:val="000000" w:themeColor="text1"/>
          <w:sz w:val="20"/>
          <w:szCs w:val="20"/>
        </w:rPr>
        <w:tag w:val="goog_rdk_422"/>
        <w:id w:val="-1739773559"/>
      </w:sdtPr>
      <w:sdtContent>
        <w:p w14:paraId="00000174" w14:textId="37A4DCB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The applicants had been refused permission to apply for judicial review in the Administrative Court. On appeal</w:t>
          </w:r>
          <w:r>
            <w:rPr>
              <w:color w:val="000000" w:themeColor="text1"/>
              <w:sz w:val="20"/>
              <w:szCs w:val="20"/>
            </w:rPr>
            <w:t>,</w:t>
          </w:r>
          <w:r w:rsidRPr="00A72E22">
            <w:rPr>
              <w:color w:val="000000" w:themeColor="text1"/>
              <w:sz w:val="20"/>
              <w:szCs w:val="20"/>
            </w:rPr>
            <w:t xml:space="preserve"> they received permission and the proceedings were retained in the Court of Appeal.</w:t>
          </w:r>
        </w:p>
      </w:sdtContent>
    </w:sdt>
  </w:footnote>
  <w:footnote w:id="151">
    <w:sdt>
      <w:sdtPr>
        <w:rPr>
          <w:color w:val="000000" w:themeColor="text1"/>
          <w:sz w:val="20"/>
          <w:szCs w:val="20"/>
        </w:rPr>
        <w:tag w:val="goog_rdk_423"/>
        <w:id w:val="-1363657255"/>
      </w:sdtPr>
      <w:sdtContent>
        <w:p w14:paraId="00000175"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Bright and Keeley</w:t>
          </w:r>
          <w:r w:rsidRPr="00A72E22">
            <w:rPr>
              <w:color w:val="000000" w:themeColor="text1"/>
              <w:sz w:val="20"/>
              <w:szCs w:val="20"/>
            </w:rPr>
            <w:t xml:space="preserve"> [2014] para 33. Lord Dyson is referring to Wednesbury reasonableness: </w:t>
          </w:r>
          <w:r w:rsidRPr="00A72E22">
            <w:rPr>
              <w:i/>
              <w:color w:val="000000" w:themeColor="text1"/>
              <w:sz w:val="20"/>
              <w:szCs w:val="20"/>
            </w:rPr>
            <w:t>Associated Provincial Picture Houses Ltd v Wednesbury Corporation</w:t>
          </w:r>
          <w:r w:rsidRPr="00A72E22">
            <w:rPr>
              <w:color w:val="000000" w:themeColor="text1"/>
              <w:sz w:val="20"/>
              <w:szCs w:val="20"/>
            </w:rPr>
            <w:t xml:space="preserve"> [1948] 1 KB 223.</w:t>
          </w:r>
        </w:p>
      </w:sdtContent>
    </w:sdt>
  </w:footnote>
  <w:footnote w:id="152">
    <w:sdt>
      <w:sdtPr>
        <w:rPr>
          <w:color w:val="000000" w:themeColor="text1"/>
          <w:sz w:val="20"/>
          <w:szCs w:val="20"/>
        </w:rPr>
        <w:tag w:val="goog_rdk_424"/>
        <w:id w:val="302590616"/>
      </w:sdtPr>
      <w:sdtContent>
        <w:p w14:paraId="00000176" w14:textId="7166D211"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Bright and Keeley</w:t>
          </w:r>
          <w:r w:rsidRPr="00A72E22">
            <w:rPr>
              <w:color w:val="000000" w:themeColor="text1"/>
              <w:sz w:val="20"/>
              <w:szCs w:val="20"/>
            </w:rPr>
            <w:t xml:space="preserve"> [2014] </w:t>
          </w:r>
          <w:r>
            <w:rPr>
              <w:color w:val="000000" w:themeColor="text1"/>
              <w:sz w:val="20"/>
              <w:szCs w:val="20"/>
            </w:rPr>
            <w:t>[</w:t>
          </w:r>
          <w:r w:rsidRPr="00A72E22">
            <w:rPr>
              <w:color w:val="000000" w:themeColor="text1"/>
              <w:sz w:val="20"/>
              <w:szCs w:val="20"/>
            </w:rPr>
            <w:t>35</w:t>
          </w:r>
          <w:r>
            <w:rPr>
              <w:color w:val="000000" w:themeColor="text1"/>
              <w:sz w:val="20"/>
              <w:szCs w:val="20"/>
            </w:rPr>
            <w:t>]</w:t>
          </w:r>
          <w:r w:rsidRPr="00A72E22">
            <w:rPr>
              <w:color w:val="000000" w:themeColor="text1"/>
              <w:sz w:val="20"/>
              <w:szCs w:val="20"/>
            </w:rPr>
            <w:t>.</w:t>
          </w:r>
        </w:p>
      </w:sdtContent>
    </w:sdt>
  </w:footnote>
  <w:footnote w:id="153">
    <w:sdt>
      <w:sdtPr>
        <w:rPr>
          <w:color w:val="000000" w:themeColor="text1"/>
          <w:sz w:val="20"/>
          <w:szCs w:val="20"/>
        </w:rPr>
        <w:tag w:val="goog_rdk_425"/>
        <w:id w:val="1386762568"/>
      </w:sdtPr>
      <w:sdtContent>
        <w:p w14:paraId="00000177" w14:textId="2DA7E4F0"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Bright and Keeley</w:t>
          </w:r>
          <w:r w:rsidRPr="00A72E22">
            <w:rPr>
              <w:color w:val="000000" w:themeColor="text1"/>
              <w:sz w:val="20"/>
              <w:szCs w:val="20"/>
            </w:rPr>
            <w:t xml:space="preserve"> [2014] </w:t>
          </w:r>
          <w:r>
            <w:rPr>
              <w:color w:val="000000" w:themeColor="text1"/>
              <w:sz w:val="20"/>
              <w:szCs w:val="20"/>
            </w:rPr>
            <w:t>[</w:t>
          </w:r>
          <w:r w:rsidRPr="00A72E22">
            <w:rPr>
              <w:color w:val="000000" w:themeColor="text1"/>
              <w:sz w:val="20"/>
              <w:szCs w:val="20"/>
            </w:rPr>
            <w:t>23</w:t>
          </w:r>
          <w:r>
            <w:rPr>
              <w:color w:val="000000" w:themeColor="text1"/>
              <w:sz w:val="20"/>
              <w:szCs w:val="20"/>
            </w:rPr>
            <w:t>]</w:t>
          </w:r>
          <w:r w:rsidRPr="00A72E22">
            <w:rPr>
              <w:rFonts w:eastAsia="Arial"/>
              <w:color w:val="000000" w:themeColor="text1"/>
              <w:sz w:val="20"/>
              <w:szCs w:val="20"/>
            </w:rPr>
            <w:t>.</w:t>
          </w:r>
        </w:p>
      </w:sdtContent>
    </w:sdt>
  </w:footnote>
  <w:footnote w:id="154">
    <w:sdt>
      <w:sdtPr>
        <w:rPr>
          <w:color w:val="000000" w:themeColor="text1"/>
          <w:sz w:val="20"/>
          <w:szCs w:val="20"/>
        </w:rPr>
        <w:tag w:val="goog_rdk_426"/>
        <w:id w:val="-2029095627"/>
      </w:sdtPr>
      <w:sdtContent>
        <w:p w14:paraId="00000178" w14:textId="4DC8AECC"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The IEP is a mechanism to promote compliance in prisoners through incentives and to punish prisoners with loss of </w:t>
          </w:r>
          <w:r>
            <w:rPr>
              <w:color w:val="000000" w:themeColor="text1"/>
              <w:sz w:val="20"/>
              <w:szCs w:val="20"/>
            </w:rPr>
            <w:t>“</w:t>
          </w:r>
          <w:r w:rsidRPr="00A72E22">
            <w:rPr>
              <w:color w:val="000000" w:themeColor="text1"/>
              <w:sz w:val="20"/>
              <w:szCs w:val="20"/>
            </w:rPr>
            <w:t>privileges</w:t>
          </w:r>
          <w:r>
            <w:rPr>
              <w:color w:val="000000" w:themeColor="text1"/>
              <w:sz w:val="20"/>
              <w:szCs w:val="20"/>
            </w:rPr>
            <w:t>”</w:t>
          </w:r>
          <w:r w:rsidRPr="00A72E22">
            <w:rPr>
              <w:color w:val="000000" w:themeColor="text1"/>
              <w:sz w:val="20"/>
              <w:szCs w:val="20"/>
            </w:rPr>
            <w:t xml:space="preserve"> if they do not comply. For more information, see House of Commons Library, Research Briefings </w:t>
          </w:r>
          <w:r>
            <w:rPr>
              <w:color w:val="000000" w:themeColor="text1"/>
              <w:sz w:val="20"/>
              <w:szCs w:val="20"/>
            </w:rPr>
            <w:t xml:space="preserve">July 31, 2014, accessed May 20, 2019, </w:t>
          </w:r>
          <w:hyperlink r:id="rId10">
            <w:r w:rsidRPr="00A72E22">
              <w:rPr>
                <w:color w:val="000000" w:themeColor="text1"/>
                <w:sz w:val="20"/>
                <w:szCs w:val="20"/>
              </w:rPr>
              <w:t>https://researchbriefings.parliament.uk/ResearchBriefing/Summary/SN06942</w:t>
            </w:r>
          </w:hyperlink>
          <w:r w:rsidRPr="00A72E22">
            <w:rPr>
              <w:color w:val="000000" w:themeColor="text1"/>
              <w:sz w:val="20"/>
              <w:szCs w:val="20"/>
            </w:rPr>
            <w:t xml:space="preserve">. </w:t>
          </w:r>
        </w:p>
      </w:sdtContent>
    </w:sdt>
  </w:footnote>
  <w:footnote w:id="155">
    <w:sdt>
      <w:sdtPr>
        <w:rPr>
          <w:color w:val="000000" w:themeColor="text1"/>
          <w:sz w:val="20"/>
          <w:szCs w:val="20"/>
        </w:rPr>
        <w:tag w:val="goog_rdk_427"/>
        <w:id w:val="-964029994"/>
      </w:sdtPr>
      <w:sdtContent>
        <w:p w14:paraId="00000179" w14:textId="07844ED3"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 xml:space="preserve">Alisa Stevens, </w:t>
          </w:r>
          <w:r w:rsidRPr="00A72E22">
            <w:rPr>
              <w:i/>
              <w:color w:val="000000" w:themeColor="text1"/>
              <w:sz w:val="20"/>
              <w:szCs w:val="20"/>
            </w:rPr>
            <w:t>Sex in prison: Experiences of former prisoners. A Report for the Howard League’s  Commission on Sex in Prison</w:t>
          </w:r>
          <w:r w:rsidRPr="00A72E22">
            <w:rPr>
              <w:color w:val="000000" w:themeColor="text1"/>
              <w:sz w:val="20"/>
              <w:szCs w:val="20"/>
            </w:rPr>
            <w:t>, The Howard League for Penal Reform, 2015</w:t>
          </w:r>
          <w:r>
            <w:rPr>
              <w:color w:val="000000" w:themeColor="text1"/>
              <w:sz w:val="20"/>
              <w:szCs w:val="20"/>
            </w:rPr>
            <w:t xml:space="preserve">, accessed May 25, 2019, </w:t>
          </w:r>
          <w:hyperlink r:id="rId11" w:history="1">
            <w:r w:rsidRPr="00523610">
              <w:rPr>
                <w:rStyle w:val="Hyperlink"/>
                <w:sz w:val="20"/>
                <w:szCs w:val="20"/>
              </w:rPr>
              <w:t>https://howardleague.org/publications/sex-in-prison-experiences-of-former-prisoners/</w:t>
            </w:r>
          </w:hyperlink>
          <w:r>
            <w:rPr>
              <w:color w:val="000000" w:themeColor="text1"/>
              <w:sz w:val="20"/>
              <w:szCs w:val="20"/>
            </w:rPr>
            <w:t>.</w:t>
          </w:r>
        </w:p>
      </w:sdtContent>
    </w:sdt>
  </w:footnote>
  <w:footnote w:id="156">
    <w:sdt>
      <w:sdtPr>
        <w:rPr>
          <w:color w:val="000000" w:themeColor="text1"/>
          <w:sz w:val="20"/>
          <w:szCs w:val="20"/>
        </w:rPr>
        <w:tag w:val="goog_rdk_428"/>
        <w:id w:val="-2110421373"/>
      </w:sdtPr>
      <w:sdtContent>
        <w:p w14:paraId="0000017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Helvetica Neue"/>
              <w:color w:val="000000" w:themeColor="text1"/>
              <w:sz w:val="20"/>
              <w:szCs w:val="20"/>
            </w:rPr>
            <w:t xml:space="preserve"> </w:t>
          </w:r>
          <w:r w:rsidRPr="00A72E22">
            <w:rPr>
              <w:color w:val="000000" w:themeColor="text1"/>
              <w:sz w:val="20"/>
              <w:szCs w:val="20"/>
            </w:rPr>
            <w:t>Stevens, Sex in prison.</w:t>
          </w:r>
        </w:p>
      </w:sdtContent>
    </w:sdt>
  </w:footnote>
  <w:footnote w:id="157">
    <w:sdt>
      <w:sdtPr>
        <w:rPr>
          <w:color w:val="000000" w:themeColor="text1"/>
          <w:sz w:val="20"/>
          <w:szCs w:val="20"/>
        </w:rPr>
        <w:tag w:val="goog_rdk_429"/>
        <w:id w:val="-1296449305"/>
      </w:sdtPr>
      <w:sdtContent>
        <w:p w14:paraId="0000017B" w14:textId="3AD5E5AA"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w:t>
          </w:r>
          <w:r w:rsidRPr="00A72E22">
            <w:rPr>
              <w:i/>
              <w:color w:val="000000" w:themeColor="text1"/>
              <w:sz w:val="20"/>
              <w:szCs w:val="20"/>
            </w:rPr>
            <w:t>Bright and Keeley</w:t>
          </w:r>
          <w:r w:rsidRPr="00A72E22">
            <w:rPr>
              <w:color w:val="000000" w:themeColor="text1"/>
              <w:sz w:val="20"/>
              <w:szCs w:val="20"/>
            </w:rPr>
            <w:t xml:space="preserve"> [2014] </w:t>
          </w:r>
          <w:r>
            <w:rPr>
              <w:color w:val="000000" w:themeColor="text1"/>
              <w:sz w:val="20"/>
              <w:szCs w:val="20"/>
            </w:rPr>
            <w:t>[</w:t>
          </w:r>
          <w:r w:rsidRPr="00A72E22">
            <w:rPr>
              <w:color w:val="000000" w:themeColor="text1"/>
              <w:sz w:val="20"/>
              <w:szCs w:val="20"/>
            </w:rPr>
            <w:t>27</w:t>
          </w:r>
          <w:r>
            <w:rPr>
              <w:color w:val="000000" w:themeColor="text1"/>
              <w:sz w:val="20"/>
              <w:szCs w:val="20"/>
            </w:rPr>
            <w:t>]</w:t>
          </w:r>
          <w:r w:rsidRPr="00A72E22">
            <w:rPr>
              <w:color w:val="000000" w:themeColor="text1"/>
              <w:sz w:val="20"/>
              <w:szCs w:val="20"/>
            </w:rPr>
            <w:t>.</w:t>
          </w:r>
        </w:p>
      </w:sdtContent>
    </w:sdt>
  </w:footnote>
  <w:footnote w:id="158">
    <w:sdt>
      <w:sdtPr>
        <w:rPr>
          <w:color w:val="000000" w:themeColor="text1"/>
          <w:sz w:val="20"/>
          <w:szCs w:val="20"/>
        </w:rPr>
        <w:tag w:val="goog_rdk_430"/>
        <w:id w:val="-1219354806"/>
      </w:sdtPr>
      <w:sdtContent>
        <w:p w14:paraId="0000017C"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See Leslie J. Moran, </w:t>
          </w:r>
          <w:r w:rsidRPr="00A72E22">
            <w:rPr>
              <w:i/>
              <w:color w:val="000000" w:themeColor="text1"/>
              <w:sz w:val="20"/>
              <w:szCs w:val="20"/>
            </w:rPr>
            <w:t>The Homosexual(</w:t>
          </w:r>
          <w:proofErr w:type="spellStart"/>
          <w:r w:rsidRPr="00A72E22">
            <w:rPr>
              <w:i/>
              <w:color w:val="000000" w:themeColor="text1"/>
              <w:sz w:val="20"/>
              <w:szCs w:val="20"/>
            </w:rPr>
            <w:t>ity</w:t>
          </w:r>
          <w:proofErr w:type="spellEnd"/>
          <w:r w:rsidRPr="00A72E22">
            <w:rPr>
              <w:i/>
              <w:color w:val="000000" w:themeColor="text1"/>
              <w:sz w:val="20"/>
              <w:szCs w:val="20"/>
            </w:rPr>
            <w:t>) of Law</w:t>
          </w:r>
          <w:r w:rsidRPr="00A72E22">
            <w:rPr>
              <w:color w:val="000000" w:themeColor="text1"/>
              <w:sz w:val="20"/>
              <w:szCs w:val="20"/>
            </w:rPr>
            <w:t xml:space="preserve"> (London and New York: Routledge, 1996).</w:t>
          </w:r>
        </w:p>
      </w:sdtContent>
    </w:sdt>
  </w:footnote>
  <w:footnote w:id="159">
    <w:sdt>
      <w:sdtPr>
        <w:rPr>
          <w:color w:val="000000" w:themeColor="text1"/>
          <w:sz w:val="20"/>
          <w:szCs w:val="20"/>
        </w:rPr>
        <w:tag w:val="goog_rdk_431"/>
        <w:id w:val="-1223906986"/>
      </w:sdtPr>
      <w:sdtContent>
        <w:p w14:paraId="0000017D"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lang w:val="pt-BR"/>
            </w:rPr>
          </w:pPr>
          <w:r w:rsidRPr="00A72E22">
            <w:rPr>
              <w:rStyle w:val="FootnoteReference"/>
              <w:color w:val="000000" w:themeColor="text1"/>
              <w:sz w:val="20"/>
              <w:szCs w:val="20"/>
            </w:rPr>
            <w:footnoteRef/>
          </w:r>
          <w:r w:rsidRPr="00A72E22">
            <w:rPr>
              <w:color w:val="000000" w:themeColor="text1"/>
              <w:sz w:val="20"/>
              <w:szCs w:val="20"/>
              <w:lang w:val="pt-BR"/>
            </w:rPr>
            <w:t xml:space="preserve"> </w:t>
          </w:r>
          <w:r w:rsidRPr="00A72E22">
            <w:rPr>
              <w:i/>
              <w:color w:val="000000" w:themeColor="text1"/>
              <w:sz w:val="20"/>
              <w:szCs w:val="20"/>
              <w:lang w:val="pt-BR"/>
            </w:rPr>
            <w:t>Hopkins</w:t>
          </w:r>
          <w:r w:rsidRPr="00A72E22">
            <w:rPr>
              <w:color w:val="000000" w:themeColor="text1"/>
              <w:sz w:val="20"/>
              <w:szCs w:val="20"/>
              <w:lang w:val="pt-BR"/>
            </w:rPr>
            <w:t xml:space="preserve"> [2016].</w:t>
          </w:r>
        </w:p>
      </w:sdtContent>
    </w:sdt>
  </w:footnote>
  <w:footnote w:id="160">
    <w:sdt>
      <w:sdtPr>
        <w:rPr>
          <w:color w:val="000000" w:themeColor="text1"/>
          <w:sz w:val="20"/>
          <w:szCs w:val="20"/>
        </w:rPr>
        <w:tag w:val="goog_rdk_432"/>
        <w:id w:val="-1500495825"/>
      </w:sdtPr>
      <w:sdtContent>
        <w:p w14:paraId="0000017E" w14:textId="7734A3FC" w:rsidR="00A1537F" w:rsidRPr="00A72E22" w:rsidRDefault="00A1537F" w:rsidP="009C7CF7">
          <w:pPr>
            <w:pBdr>
              <w:top w:val="nil"/>
              <w:left w:val="nil"/>
              <w:bottom w:val="nil"/>
              <w:right w:val="nil"/>
              <w:between w:val="nil"/>
            </w:pBdr>
            <w:spacing w:after="0" w:line="240" w:lineRule="auto"/>
            <w:rPr>
              <w:color w:val="000000" w:themeColor="text1"/>
              <w:sz w:val="20"/>
              <w:szCs w:val="20"/>
              <w:lang w:val="pt-BR"/>
            </w:rPr>
          </w:pPr>
          <w:r w:rsidRPr="00A72E22">
            <w:rPr>
              <w:rStyle w:val="FootnoteReference"/>
              <w:color w:val="000000" w:themeColor="text1"/>
              <w:sz w:val="20"/>
              <w:szCs w:val="20"/>
            </w:rPr>
            <w:footnoteRef/>
          </w:r>
          <w:r w:rsidRPr="00A72E22">
            <w:rPr>
              <w:color w:val="000000" w:themeColor="text1"/>
              <w:sz w:val="20"/>
              <w:szCs w:val="20"/>
              <w:vertAlign w:val="superscript"/>
              <w:lang w:val="pt-BR"/>
            </w:rPr>
            <w:t xml:space="preserve"> </w:t>
          </w:r>
          <w:r w:rsidRPr="00A72E22">
            <w:rPr>
              <w:i/>
              <w:color w:val="000000" w:themeColor="text1"/>
              <w:sz w:val="20"/>
              <w:szCs w:val="20"/>
              <w:lang w:val="pt-BR"/>
            </w:rPr>
            <w:t>Hopkins</w:t>
          </w:r>
          <w:r w:rsidRPr="00A72E22">
            <w:rPr>
              <w:color w:val="000000" w:themeColor="text1"/>
              <w:sz w:val="20"/>
              <w:szCs w:val="20"/>
              <w:lang w:val="pt-BR"/>
            </w:rPr>
            <w:t xml:space="preserve"> [2016] </w:t>
          </w:r>
          <w:r>
            <w:rPr>
              <w:color w:val="000000" w:themeColor="text1"/>
              <w:sz w:val="20"/>
              <w:szCs w:val="20"/>
              <w:lang w:val="pt-BR"/>
            </w:rPr>
            <w:t>[</w:t>
          </w:r>
          <w:r w:rsidRPr="00A72E22">
            <w:rPr>
              <w:color w:val="000000" w:themeColor="text1"/>
              <w:sz w:val="20"/>
              <w:szCs w:val="20"/>
              <w:lang w:val="pt-BR"/>
            </w:rPr>
            <w:t>59</w:t>
          </w:r>
          <w:r>
            <w:rPr>
              <w:color w:val="000000" w:themeColor="text1"/>
              <w:sz w:val="20"/>
              <w:szCs w:val="20"/>
              <w:lang w:val="pt-BR"/>
            </w:rPr>
            <w:t>]-[</w:t>
          </w:r>
          <w:r w:rsidRPr="00A72E22">
            <w:rPr>
              <w:color w:val="000000" w:themeColor="text1"/>
              <w:sz w:val="20"/>
              <w:szCs w:val="20"/>
              <w:lang w:val="pt-BR"/>
            </w:rPr>
            <w:t>60</w:t>
          </w:r>
          <w:r>
            <w:rPr>
              <w:color w:val="000000" w:themeColor="text1"/>
              <w:sz w:val="20"/>
              <w:szCs w:val="20"/>
              <w:lang w:val="pt-BR"/>
            </w:rPr>
            <w:t>]</w:t>
          </w:r>
          <w:r w:rsidRPr="00A72E22">
            <w:rPr>
              <w:color w:val="000000" w:themeColor="text1"/>
              <w:sz w:val="20"/>
              <w:szCs w:val="20"/>
              <w:lang w:val="pt-BR"/>
            </w:rPr>
            <w:t>.</w:t>
          </w:r>
        </w:p>
      </w:sdtContent>
    </w:sdt>
  </w:footnote>
  <w:footnote w:id="161">
    <w:sdt>
      <w:sdtPr>
        <w:rPr>
          <w:color w:val="000000" w:themeColor="text1"/>
          <w:sz w:val="20"/>
          <w:szCs w:val="20"/>
        </w:rPr>
        <w:tag w:val="goog_rdk_433"/>
        <w:id w:val="-1588066723"/>
      </w:sdtPr>
      <w:sdtContent>
        <w:p w14:paraId="0000017F" w14:textId="126FDB79" w:rsidR="00A1537F" w:rsidRPr="00A72E22" w:rsidRDefault="00A1537F" w:rsidP="009C7CF7">
          <w:pPr>
            <w:pBdr>
              <w:top w:val="nil"/>
              <w:left w:val="nil"/>
              <w:bottom w:val="nil"/>
              <w:right w:val="nil"/>
              <w:between w:val="nil"/>
            </w:pBdr>
            <w:spacing w:after="0" w:line="240" w:lineRule="auto"/>
            <w:rPr>
              <w:color w:val="000000" w:themeColor="text1"/>
              <w:sz w:val="20"/>
              <w:szCs w:val="20"/>
              <w:lang w:val="pt-BR"/>
            </w:rPr>
          </w:pPr>
          <w:r w:rsidRPr="00A72E22">
            <w:rPr>
              <w:rStyle w:val="FootnoteReference"/>
              <w:color w:val="000000" w:themeColor="text1"/>
              <w:sz w:val="20"/>
              <w:szCs w:val="20"/>
            </w:rPr>
            <w:footnoteRef/>
          </w:r>
          <w:r w:rsidRPr="00A72E22">
            <w:rPr>
              <w:color w:val="000000" w:themeColor="text1"/>
              <w:sz w:val="20"/>
              <w:szCs w:val="20"/>
              <w:lang w:val="pt-BR"/>
            </w:rPr>
            <w:t xml:space="preserve"> </w:t>
          </w:r>
          <w:r w:rsidRPr="00A72E22">
            <w:rPr>
              <w:i/>
              <w:color w:val="000000" w:themeColor="text1"/>
              <w:sz w:val="20"/>
              <w:szCs w:val="20"/>
              <w:lang w:val="pt-BR"/>
            </w:rPr>
            <w:t xml:space="preserve">Hopkins </w:t>
          </w:r>
          <w:r w:rsidRPr="00A72E22">
            <w:rPr>
              <w:color w:val="000000" w:themeColor="text1"/>
              <w:sz w:val="20"/>
              <w:szCs w:val="20"/>
              <w:lang w:val="pt-BR"/>
            </w:rPr>
            <w:t xml:space="preserve">[2016] </w:t>
          </w:r>
          <w:r>
            <w:rPr>
              <w:color w:val="000000" w:themeColor="text1"/>
              <w:sz w:val="20"/>
              <w:szCs w:val="20"/>
              <w:lang w:val="pt-BR"/>
            </w:rPr>
            <w:t>[</w:t>
          </w:r>
          <w:r w:rsidRPr="00A72E22">
            <w:rPr>
              <w:color w:val="000000" w:themeColor="text1"/>
              <w:sz w:val="20"/>
              <w:szCs w:val="20"/>
              <w:lang w:val="pt-BR"/>
            </w:rPr>
            <w:t>70</w:t>
          </w:r>
          <w:r>
            <w:rPr>
              <w:color w:val="000000" w:themeColor="text1"/>
              <w:sz w:val="20"/>
              <w:szCs w:val="20"/>
              <w:lang w:val="pt-BR"/>
            </w:rPr>
            <w:t>]</w:t>
          </w:r>
          <w:r w:rsidRPr="00A72E22">
            <w:rPr>
              <w:color w:val="000000" w:themeColor="text1"/>
              <w:sz w:val="20"/>
              <w:szCs w:val="20"/>
              <w:lang w:val="pt-BR"/>
            </w:rPr>
            <w:t>.</w:t>
          </w:r>
        </w:p>
      </w:sdtContent>
    </w:sdt>
  </w:footnote>
  <w:footnote w:id="162">
    <w:sdt>
      <w:sdtPr>
        <w:rPr>
          <w:color w:val="000000" w:themeColor="text1"/>
          <w:sz w:val="20"/>
          <w:szCs w:val="20"/>
        </w:rPr>
        <w:tag w:val="goog_rdk_434"/>
        <w:id w:val="1932777783"/>
      </w:sdtPr>
      <w:sdtContent>
        <w:p w14:paraId="00000180" w14:textId="6AA16DB9" w:rsidR="00A1537F" w:rsidRPr="00A72E22" w:rsidRDefault="00A1537F" w:rsidP="009C7CF7">
          <w:pPr>
            <w:pBdr>
              <w:top w:val="nil"/>
              <w:left w:val="nil"/>
              <w:bottom w:val="nil"/>
              <w:right w:val="nil"/>
              <w:between w:val="nil"/>
            </w:pBdr>
            <w:spacing w:after="0" w:line="240" w:lineRule="auto"/>
            <w:rPr>
              <w:color w:val="000000" w:themeColor="text1"/>
              <w:sz w:val="20"/>
              <w:szCs w:val="20"/>
              <w:lang w:val="pt-BR"/>
            </w:rPr>
          </w:pPr>
          <w:r w:rsidRPr="00A72E22">
            <w:rPr>
              <w:rStyle w:val="FootnoteReference"/>
              <w:color w:val="000000" w:themeColor="text1"/>
              <w:sz w:val="20"/>
              <w:szCs w:val="20"/>
            </w:rPr>
            <w:footnoteRef/>
          </w:r>
          <w:r w:rsidRPr="00A72E22">
            <w:rPr>
              <w:color w:val="000000" w:themeColor="text1"/>
              <w:sz w:val="20"/>
              <w:szCs w:val="20"/>
              <w:lang w:val="pt-BR"/>
            </w:rPr>
            <w:t xml:space="preserve"> </w:t>
          </w:r>
          <w:r w:rsidRPr="00A72E22">
            <w:rPr>
              <w:i/>
              <w:color w:val="000000" w:themeColor="text1"/>
              <w:sz w:val="20"/>
              <w:szCs w:val="20"/>
              <w:lang w:val="pt-BR"/>
            </w:rPr>
            <w:t>Hopkins</w:t>
          </w:r>
          <w:r w:rsidRPr="00A72E22">
            <w:rPr>
              <w:color w:val="000000" w:themeColor="text1"/>
              <w:sz w:val="20"/>
              <w:szCs w:val="20"/>
              <w:lang w:val="pt-BR"/>
            </w:rPr>
            <w:t xml:space="preserve"> [2016] </w:t>
          </w:r>
          <w:r>
            <w:rPr>
              <w:color w:val="000000" w:themeColor="text1"/>
              <w:sz w:val="20"/>
              <w:szCs w:val="20"/>
              <w:lang w:val="pt-BR"/>
            </w:rPr>
            <w:t>[</w:t>
          </w:r>
          <w:r w:rsidRPr="00A72E22">
            <w:rPr>
              <w:color w:val="000000" w:themeColor="text1"/>
              <w:sz w:val="20"/>
              <w:szCs w:val="20"/>
              <w:lang w:val="pt-BR"/>
            </w:rPr>
            <w:t>77</w:t>
          </w:r>
          <w:r>
            <w:rPr>
              <w:color w:val="000000" w:themeColor="text1"/>
              <w:sz w:val="20"/>
              <w:szCs w:val="20"/>
              <w:lang w:val="pt-BR"/>
            </w:rPr>
            <w:t>]</w:t>
          </w:r>
          <w:r w:rsidRPr="00A72E22">
            <w:rPr>
              <w:color w:val="000000" w:themeColor="text1"/>
              <w:sz w:val="20"/>
              <w:szCs w:val="20"/>
              <w:lang w:val="pt-BR"/>
            </w:rPr>
            <w:t>.</w:t>
          </w:r>
        </w:p>
      </w:sdtContent>
    </w:sdt>
  </w:footnote>
  <w:footnote w:id="163">
    <w:sdt>
      <w:sdtPr>
        <w:rPr>
          <w:color w:val="000000" w:themeColor="text1"/>
          <w:sz w:val="20"/>
          <w:szCs w:val="20"/>
        </w:rPr>
        <w:tag w:val="goog_rdk_435"/>
        <w:id w:val="2124794976"/>
      </w:sdtPr>
      <w:sdtContent>
        <w:p w14:paraId="00000181" w14:textId="69E36730"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color w:val="000000" w:themeColor="text1"/>
              <w:sz w:val="20"/>
              <w:szCs w:val="20"/>
            </w:rPr>
            <w:t>X v United Kingdom</w:t>
          </w:r>
          <w:r w:rsidRPr="00A72E22">
            <w:rPr>
              <w:color w:val="000000" w:themeColor="text1"/>
              <w:sz w:val="20"/>
              <w:szCs w:val="20"/>
            </w:rPr>
            <w:t xml:space="preserve"> </w:t>
          </w:r>
          <w:r>
            <w:rPr>
              <w:color w:val="000000" w:themeColor="text1"/>
              <w:sz w:val="20"/>
              <w:szCs w:val="20"/>
            </w:rPr>
            <w:t>(</w:t>
          </w:r>
          <w:proofErr w:type="spellStart"/>
          <w:r w:rsidRPr="00A72E22">
            <w:rPr>
              <w:color w:val="000000" w:themeColor="text1"/>
              <w:sz w:val="20"/>
              <w:szCs w:val="20"/>
            </w:rPr>
            <w:t>EComHR</w:t>
          </w:r>
          <w:proofErr w:type="spellEnd"/>
          <w:r>
            <w:rPr>
              <w:color w:val="000000" w:themeColor="text1"/>
              <w:sz w:val="20"/>
              <w:szCs w:val="20"/>
            </w:rPr>
            <w:t>,</w:t>
          </w:r>
          <w:r w:rsidRPr="00A72E22">
            <w:rPr>
              <w:color w:val="000000" w:themeColor="text1"/>
              <w:sz w:val="20"/>
              <w:szCs w:val="20"/>
            </w:rPr>
            <w:t xml:space="preserve"> 8 October 1982</w:t>
          </w:r>
          <w:r>
            <w:rPr>
              <w:color w:val="000000" w:themeColor="text1"/>
              <w:sz w:val="20"/>
              <w:szCs w:val="20"/>
            </w:rPr>
            <w:t>)</w:t>
          </w:r>
          <w:r w:rsidRPr="00A72E22">
            <w:rPr>
              <w:color w:val="000000" w:themeColor="text1"/>
              <w:sz w:val="20"/>
              <w:szCs w:val="20"/>
            </w:rPr>
            <w:t xml:space="preserve">; </w:t>
          </w:r>
          <w:r w:rsidRPr="00A72E22">
            <w:rPr>
              <w:i/>
              <w:color w:val="000000" w:themeColor="text1"/>
              <w:sz w:val="20"/>
              <w:szCs w:val="20"/>
            </w:rPr>
            <w:t>Messina v Italy (no 2)</w:t>
          </w:r>
          <w:r>
            <w:rPr>
              <w:color w:val="000000" w:themeColor="text1"/>
              <w:sz w:val="20"/>
              <w:szCs w:val="20"/>
            </w:rPr>
            <w:t xml:space="preserve">, App. No. </w:t>
          </w:r>
          <w:r w:rsidRPr="00A72E22">
            <w:rPr>
              <w:color w:val="000000" w:themeColor="text1"/>
              <w:sz w:val="20"/>
              <w:szCs w:val="20"/>
            </w:rPr>
            <w:t>25498/94</w:t>
          </w:r>
          <w:r>
            <w:rPr>
              <w:color w:val="000000" w:themeColor="text1"/>
              <w:sz w:val="20"/>
              <w:szCs w:val="20"/>
            </w:rPr>
            <w:t xml:space="preserve"> (ECtHR, </w:t>
          </w:r>
          <w:r w:rsidRPr="00A72E22">
            <w:rPr>
              <w:color w:val="000000" w:themeColor="text1"/>
              <w:sz w:val="20"/>
              <w:szCs w:val="20"/>
            </w:rPr>
            <w:t>28 September 2000</w:t>
          </w:r>
          <w:r>
            <w:rPr>
              <w:color w:val="000000" w:themeColor="text1"/>
              <w:sz w:val="20"/>
              <w:szCs w:val="20"/>
            </w:rPr>
            <w:t>)</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61</w:t>
          </w:r>
          <w:r>
            <w:rPr>
              <w:color w:val="000000" w:themeColor="text1"/>
              <w:sz w:val="20"/>
              <w:szCs w:val="20"/>
            </w:rPr>
            <w:t>]</w:t>
          </w:r>
          <w:r w:rsidRPr="00A72E22">
            <w:rPr>
              <w:color w:val="000000" w:themeColor="text1"/>
              <w:sz w:val="20"/>
              <w:szCs w:val="20"/>
            </w:rPr>
            <w:t xml:space="preserve">; </w:t>
          </w:r>
          <w:r w:rsidRPr="00A72E22">
            <w:rPr>
              <w:i/>
              <w:color w:val="000000" w:themeColor="text1"/>
              <w:sz w:val="20"/>
              <w:szCs w:val="20"/>
            </w:rPr>
            <w:t>McCotter v UK</w:t>
          </w:r>
          <w:r>
            <w:rPr>
              <w:color w:val="000000" w:themeColor="text1"/>
              <w:sz w:val="20"/>
              <w:szCs w:val="20"/>
            </w:rPr>
            <w:t xml:space="preserve">, App. No. </w:t>
          </w:r>
          <w:r w:rsidRPr="00A72E22">
            <w:rPr>
              <w:color w:val="000000" w:themeColor="text1"/>
              <w:sz w:val="20"/>
              <w:szCs w:val="20"/>
            </w:rPr>
            <w:t>20479/92</w:t>
          </w:r>
          <w:r>
            <w:rPr>
              <w:color w:val="000000" w:themeColor="text1"/>
              <w:sz w:val="20"/>
              <w:szCs w:val="20"/>
            </w:rPr>
            <w:t xml:space="preserve"> (</w:t>
          </w:r>
          <w:proofErr w:type="spellStart"/>
          <w:r w:rsidRPr="00A72E22">
            <w:rPr>
              <w:color w:val="000000" w:themeColor="text1"/>
              <w:sz w:val="20"/>
              <w:szCs w:val="20"/>
            </w:rPr>
            <w:t>EComHR</w:t>
          </w:r>
          <w:proofErr w:type="spellEnd"/>
          <w:r>
            <w:rPr>
              <w:color w:val="000000" w:themeColor="text1"/>
              <w:sz w:val="20"/>
              <w:szCs w:val="20"/>
            </w:rPr>
            <w:t>, 1992)</w:t>
          </w:r>
          <w:r w:rsidRPr="00A72E22">
            <w:rPr>
              <w:color w:val="000000" w:themeColor="text1"/>
              <w:sz w:val="20"/>
              <w:szCs w:val="20"/>
            </w:rPr>
            <w:t>. And</w:t>
          </w:r>
          <w:r>
            <w:rPr>
              <w:color w:val="000000" w:themeColor="text1"/>
              <w:sz w:val="20"/>
              <w:szCs w:val="20"/>
            </w:rPr>
            <w:t>,</w:t>
          </w:r>
          <w:r w:rsidRPr="00A72E22">
            <w:rPr>
              <w:color w:val="000000" w:themeColor="text1"/>
              <w:sz w:val="20"/>
              <w:szCs w:val="20"/>
            </w:rPr>
            <w:t xml:space="preserve"> correspondingly, family members of prisoners have a right to maintain relationships with their close relations in prison. For a comprehensive study</w:t>
          </w:r>
          <w:r>
            <w:rPr>
              <w:color w:val="000000" w:themeColor="text1"/>
              <w:sz w:val="20"/>
              <w:szCs w:val="20"/>
            </w:rPr>
            <w:t>:</w:t>
          </w:r>
          <w:r w:rsidRPr="00A72E22">
            <w:rPr>
              <w:color w:val="000000" w:themeColor="text1"/>
              <w:sz w:val="20"/>
              <w:szCs w:val="20"/>
            </w:rPr>
            <w:t xml:space="preserve"> see Helen Codd, </w:t>
          </w:r>
          <w:r w:rsidRPr="00A72E22">
            <w:rPr>
              <w:i/>
              <w:color w:val="000000" w:themeColor="text1"/>
              <w:sz w:val="20"/>
              <w:szCs w:val="20"/>
            </w:rPr>
            <w:t>In the Shadow of Prison: Families, Imprisonment and Criminal Justice</w:t>
          </w:r>
          <w:r w:rsidRPr="00A72E22">
            <w:rPr>
              <w:color w:val="000000" w:themeColor="text1"/>
              <w:sz w:val="20"/>
              <w:szCs w:val="20"/>
            </w:rPr>
            <w:t xml:space="preserve"> (Routledge 2008). </w:t>
          </w:r>
        </w:p>
      </w:sdtContent>
    </w:sdt>
  </w:footnote>
  <w:footnote w:id="164">
    <w:sdt>
      <w:sdtPr>
        <w:rPr>
          <w:color w:val="000000" w:themeColor="text1"/>
          <w:sz w:val="20"/>
          <w:szCs w:val="20"/>
        </w:rPr>
        <w:tag w:val="goog_rdk_436"/>
        <w:id w:val="-374624611"/>
      </w:sdtPr>
      <w:sdtContent>
        <w:p w14:paraId="00000182" w14:textId="2204EC72"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color w:val="000000" w:themeColor="text1"/>
              <w:sz w:val="20"/>
              <w:szCs w:val="20"/>
            </w:rPr>
            <w:t xml:space="preserve">Inter-prison visits are governed by PSI 16/2011, Providing Visits and Services to Visitors, HM Prison and Probation Service, https://www.justice.gov.uk/offenders/psis/prison-service-instructions-2011, </w:t>
          </w:r>
          <w:r>
            <w:rPr>
              <w:color w:val="000000" w:themeColor="text1"/>
              <w:sz w:val="20"/>
              <w:szCs w:val="20"/>
            </w:rPr>
            <w:t>[</w:t>
          </w:r>
          <w:r w:rsidRPr="00A72E22">
            <w:rPr>
              <w:color w:val="000000" w:themeColor="text1"/>
              <w:sz w:val="20"/>
              <w:szCs w:val="20"/>
            </w:rPr>
            <w:t>5.15</w:t>
          </w:r>
          <w:r>
            <w:rPr>
              <w:color w:val="000000" w:themeColor="text1"/>
              <w:sz w:val="20"/>
              <w:szCs w:val="20"/>
            </w:rPr>
            <w:t>]</w:t>
          </w:r>
          <w:r w:rsidRPr="00A72E22">
            <w:rPr>
              <w:color w:val="000000" w:themeColor="text1"/>
              <w:sz w:val="20"/>
              <w:szCs w:val="20"/>
            </w:rPr>
            <w:t>.</w:t>
          </w:r>
        </w:p>
      </w:sdtContent>
    </w:sdt>
  </w:footnote>
  <w:footnote w:id="165">
    <w:sdt>
      <w:sdtPr>
        <w:rPr>
          <w:color w:val="000000" w:themeColor="text1"/>
          <w:sz w:val="20"/>
          <w:szCs w:val="20"/>
        </w:rPr>
        <w:tag w:val="goog_rdk_437"/>
        <w:id w:val="564687096"/>
      </w:sdtPr>
      <w:sdtContent>
        <w:p w14:paraId="00000183"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rFonts w:eastAsia="Arial"/>
              <w:color w:val="000000" w:themeColor="text1"/>
              <w:sz w:val="20"/>
              <w:szCs w:val="20"/>
            </w:rPr>
            <w:t xml:space="preserve"> </w:t>
          </w:r>
          <w:r w:rsidRPr="00A72E22">
            <w:rPr>
              <w:i/>
              <w:iCs/>
              <w:color w:val="000000" w:themeColor="text1"/>
              <w:sz w:val="20"/>
              <w:szCs w:val="20"/>
            </w:rPr>
            <w:t xml:space="preserve">Hopkins </w:t>
          </w:r>
          <w:r w:rsidRPr="00A72E22">
            <w:rPr>
              <w:color w:val="000000" w:themeColor="text1"/>
              <w:sz w:val="20"/>
              <w:szCs w:val="20"/>
            </w:rPr>
            <w:t>[2016] para 46.</w:t>
          </w:r>
        </w:p>
      </w:sdtContent>
    </w:sdt>
  </w:footnote>
  <w:footnote w:id="166">
    <w:sdt>
      <w:sdtPr>
        <w:rPr>
          <w:color w:val="000000" w:themeColor="text1"/>
          <w:sz w:val="20"/>
          <w:szCs w:val="20"/>
        </w:rPr>
        <w:tag w:val="goog_rdk_438"/>
        <w:id w:val="973182701"/>
      </w:sdtPr>
      <w:sdtContent>
        <w:p w14:paraId="00000184" w14:textId="7B928F02"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Lord Dyson in </w:t>
          </w:r>
          <w:r w:rsidRPr="00A72E22">
            <w:rPr>
              <w:i/>
              <w:color w:val="000000" w:themeColor="text1"/>
              <w:sz w:val="20"/>
              <w:szCs w:val="20"/>
            </w:rPr>
            <w:t>Bright and Keeley</w:t>
          </w:r>
          <w:r w:rsidRPr="00A72E22">
            <w:rPr>
              <w:color w:val="000000" w:themeColor="text1"/>
              <w:sz w:val="20"/>
              <w:szCs w:val="20"/>
            </w:rPr>
            <w:t xml:space="preserve"> </w:t>
          </w:r>
          <w:r>
            <w:rPr>
              <w:color w:val="000000" w:themeColor="text1"/>
              <w:sz w:val="20"/>
              <w:szCs w:val="20"/>
            </w:rPr>
            <w:t>[</w:t>
          </w:r>
          <w:r w:rsidRPr="00A72E22">
            <w:rPr>
              <w:color w:val="000000" w:themeColor="text1"/>
              <w:sz w:val="20"/>
              <w:szCs w:val="20"/>
            </w:rPr>
            <w:t>27</w:t>
          </w:r>
          <w:r>
            <w:rPr>
              <w:color w:val="000000" w:themeColor="text1"/>
              <w:sz w:val="20"/>
              <w:szCs w:val="20"/>
            </w:rPr>
            <w:t>]</w:t>
          </w:r>
          <w:r w:rsidRPr="00A72E22">
            <w:rPr>
              <w:color w:val="000000" w:themeColor="text1"/>
              <w:sz w:val="20"/>
              <w:szCs w:val="20"/>
            </w:rPr>
            <w:t xml:space="preserve">. For the UK has a blanket ban on conjugal visits which has been upheld by the European Commission under the ECHR’s margin of appreciation, see </w:t>
          </w:r>
          <w:r w:rsidRPr="00A72E22">
            <w:rPr>
              <w:i/>
              <w:color w:val="000000" w:themeColor="text1"/>
              <w:sz w:val="20"/>
              <w:szCs w:val="20"/>
            </w:rPr>
            <w:t>ELH and PBH v UK</w:t>
          </w:r>
          <w:r w:rsidRPr="00A72E22">
            <w:rPr>
              <w:color w:val="000000" w:themeColor="text1"/>
              <w:sz w:val="20"/>
              <w:szCs w:val="20"/>
            </w:rPr>
            <w:t xml:space="preserve"> [1998] EHLR 231. Moreover, in an earlier judgment</w:t>
          </w:r>
          <w:r>
            <w:rPr>
              <w:color w:val="000000" w:themeColor="text1"/>
              <w:sz w:val="20"/>
              <w:szCs w:val="20"/>
            </w:rPr>
            <w:t>,</w:t>
          </w:r>
          <w:r w:rsidRPr="00A72E22">
            <w:rPr>
              <w:color w:val="000000" w:themeColor="text1"/>
              <w:sz w:val="20"/>
              <w:szCs w:val="20"/>
            </w:rPr>
            <w:t xml:space="preserve"> the European Commission upheld a blanket ban on sex between married couples in prison, see </w:t>
          </w:r>
          <w:r w:rsidRPr="00A72E22">
            <w:rPr>
              <w:i/>
              <w:color w:val="000000" w:themeColor="text1"/>
              <w:sz w:val="20"/>
              <w:szCs w:val="20"/>
            </w:rPr>
            <w:t>X and Y v Switzerland</w:t>
          </w:r>
          <w:r w:rsidRPr="00A72E22">
            <w:rPr>
              <w:color w:val="000000" w:themeColor="text1"/>
              <w:sz w:val="20"/>
              <w:szCs w:val="20"/>
            </w:rPr>
            <w:t xml:space="preserve"> (1978) 13 DR 241. In contrast, in 2011, the Supreme Court of Costa Rica ruled that conjugal visits needed to be extended to prisoners in same</w:t>
          </w:r>
          <w:r>
            <w:rPr>
              <w:color w:val="000000" w:themeColor="text1"/>
              <w:sz w:val="20"/>
              <w:szCs w:val="20"/>
            </w:rPr>
            <w:t>-</w:t>
          </w:r>
          <w:r w:rsidRPr="00A72E22">
            <w:rPr>
              <w:color w:val="000000" w:themeColor="text1"/>
              <w:sz w:val="20"/>
              <w:szCs w:val="20"/>
            </w:rPr>
            <w:t xml:space="preserve">sex relationships; see </w:t>
          </w:r>
          <w:proofErr w:type="spellStart"/>
          <w:r w:rsidRPr="00A72E22">
            <w:rPr>
              <w:color w:val="000000" w:themeColor="text1"/>
              <w:sz w:val="20"/>
              <w:szCs w:val="20"/>
            </w:rPr>
            <w:t>Acción</w:t>
          </w:r>
          <w:proofErr w:type="spellEnd"/>
          <w:r w:rsidRPr="00A72E22">
            <w:rPr>
              <w:color w:val="000000" w:themeColor="text1"/>
              <w:sz w:val="20"/>
              <w:szCs w:val="20"/>
            </w:rPr>
            <w:t xml:space="preserve"> de </w:t>
          </w:r>
          <w:proofErr w:type="spellStart"/>
          <w:r w:rsidRPr="00A72E22">
            <w:rPr>
              <w:color w:val="000000" w:themeColor="text1"/>
              <w:sz w:val="20"/>
              <w:szCs w:val="20"/>
            </w:rPr>
            <w:t>inconstitucionalidad</w:t>
          </w:r>
          <w:proofErr w:type="spellEnd"/>
          <w:r w:rsidRPr="00A72E22">
            <w:rPr>
              <w:color w:val="000000" w:themeColor="text1"/>
              <w:sz w:val="20"/>
              <w:szCs w:val="20"/>
            </w:rPr>
            <w:t xml:space="preserve"> contra el </w:t>
          </w:r>
          <w:proofErr w:type="spellStart"/>
          <w:r w:rsidRPr="00A72E22">
            <w:rPr>
              <w:color w:val="000000" w:themeColor="text1"/>
              <w:sz w:val="20"/>
              <w:szCs w:val="20"/>
            </w:rPr>
            <w:t>artículo</w:t>
          </w:r>
          <w:proofErr w:type="spellEnd"/>
          <w:r w:rsidRPr="00A72E22">
            <w:rPr>
              <w:color w:val="000000" w:themeColor="text1"/>
              <w:sz w:val="20"/>
              <w:szCs w:val="20"/>
            </w:rPr>
            <w:t xml:space="preserve"> 66 del </w:t>
          </w:r>
          <w:proofErr w:type="spellStart"/>
          <w:r w:rsidRPr="00A72E22">
            <w:rPr>
              <w:color w:val="000000" w:themeColor="text1"/>
              <w:sz w:val="20"/>
              <w:szCs w:val="20"/>
            </w:rPr>
            <w:t>Reglamento</w:t>
          </w:r>
          <w:proofErr w:type="spellEnd"/>
          <w:r w:rsidRPr="00A72E22">
            <w:rPr>
              <w:color w:val="000000" w:themeColor="text1"/>
              <w:sz w:val="20"/>
              <w:szCs w:val="20"/>
            </w:rPr>
            <w:t xml:space="preserve"> Técnico </w:t>
          </w:r>
          <w:proofErr w:type="spellStart"/>
          <w:r w:rsidRPr="00A72E22">
            <w:rPr>
              <w:color w:val="000000" w:themeColor="text1"/>
              <w:sz w:val="20"/>
              <w:szCs w:val="20"/>
            </w:rPr>
            <w:t>Penitenciario</w:t>
          </w:r>
          <w:proofErr w:type="spellEnd"/>
          <w:r w:rsidRPr="00A72E22">
            <w:rPr>
              <w:color w:val="000000" w:themeColor="text1"/>
              <w:sz w:val="20"/>
              <w:szCs w:val="20"/>
            </w:rPr>
            <w:t xml:space="preserve">, </w:t>
          </w:r>
          <w:proofErr w:type="spellStart"/>
          <w:r w:rsidRPr="00A72E22">
            <w:rPr>
              <w:color w:val="000000" w:themeColor="text1"/>
              <w:sz w:val="20"/>
              <w:szCs w:val="20"/>
            </w:rPr>
            <w:t>Decreto</w:t>
          </w:r>
          <w:proofErr w:type="spellEnd"/>
          <w:r w:rsidRPr="00A72E22">
            <w:rPr>
              <w:color w:val="000000" w:themeColor="text1"/>
              <w:sz w:val="20"/>
              <w:szCs w:val="20"/>
            </w:rPr>
            <w:t xml:space="preserve"> </w:t>
          </w:r>
          <w:proofErr w:type="spellStart"/>
          <w:r w:rsidRPr="00A72E22">
            <w:rPr>
              <w:color w:val="000000" w:themeColor="text1"/>
              <w:sz w:val="20"/>
              <w:szCs w:val="20"/>
            </w:rPr>
            <w:t>Ejecutivo</w:t>
          </w:r>
          <w:proofErr w:type="spellEnd"/>
          <w:r w:rsidRPr="00A72E22">
            <w:rPr>
              <w:color w:val="000000" w:themeColor="text1"/>
              <w:sz w:val="20"/>
              <w:szCs w:val="20"/>
            </w:rPr>
            <w:t xml:space="preserve"> </w:t>
          </w:r>
          <w:proofErr w:type="spellStart"/>
          <w:r w:rsidRPr="00A72E22">
            <w:rPr>
              <w:color w:val="000000" w:themeColor="text1"/>
              <w:sz w:val="20"/>
              <w:szCs w:val="20"/>
            </w:rPr>
            <w:t>Número</w:t>
          </w:r>
          <w:proofErr w:type="spellEnd"/>
          <w:r w:rsidRPr="00A72E22">
            <w:rPr>
              <w:color w:val="000000" w:themeColor="text1"/>
              <w:sz w:val="20"/>
              <w:szCs w:val="20"/>
            </w:rPr>
            <w:t xml:space="preserve"> 33876-J, Exp: 08-002849- 0007-CO, Res. No. 2011013800. cited in IPR and APR 2015.</w:t>
          </w:r>
        </w:p>
      </w:sdtContent>
    </w:sdt>
  </w:footnote>
  <w:footnote w:id="167">
    <w:sdt>
      <w:sdtPr>
        <w:rPr>
          <w:color w:val="000000" w:themeColor="text1"/>
          <w:sz w:val="20"/>
          <w:szCs w:val="20"/>
        </w:rPr>
        <w:tag w:val="goog_rdk_439"/>
        <w:id w:val="1636289324"/>
      </w:sdtPr>
      <w:sdtContent>
        <w:p w14:paraId="00000185" w14:textId="77777777" w:rsidR="00A1537F" w:rsidRPr="003C6201" w:rsidRDefault="00A1537F" w:rsidP="009C7CF7">
          <w:pPr>
            <w:pBdr>
              <w:top w:val="nil"/>
              <w:left w:val="nil"/>
              <w:bottom w:val="nil"/>
              <w:right w:val="nil"/>
              <w:between w:val="nil"/>
            </w:pBdr>
            <w:spacing w:after="0" w:line="240" w:lineRule="auto"/>
            <w:rPr>
              <w:color w:val="000000" w:themeColor="text1"/>
              <w:sz w:val="20"/>
              <w:szCs w:val="20"/>
            </w:rPr>
          </w:pPr>
          <w:r w:rsidRPr="003C6201">
            <w:rPr>
              <w:rStyle w:val="FootnoteReference"/>
              <w:color w:val="000000" w:themeColor="text1"/>
              <w:sz w:val="20"/>
              <w:szCs w:val="20"/>
            </w:rPr>
            <w:footnoteRef/>
          </w:r>
          <w:r w:rsidRPr="003C6201">
            <w:rPr>
              <w:color w:val="000000" w:themeColor="text1"/>
              <w:sz w:val="20"/>
              <w:szCs w:val="20"/>
            </w:rPr>
            <w:t xml:space="preserve"> Thank you to Peter Dunne and Sen Raj for pointing this out.</w:t>
          </w:r>
        </w:p>
      </w:sdtContent>
    </w:sdt>
  </w:footnote>
  <w:footnote w:id="168">
    <w:sdt>
      <w:sdtPr>
        <w:rPr>
          <w:color w:val="000000" w:themeColor="text1"/>
          <w:sz w:val="20"/>
          <w:szCs w:val="20"/>
        </w:rPr>
        <w:tag w:val="goog_rdk_440"/>
        <w:id w:val="-1033949672"/>
      </w:sdtPr>
      <w:sdtContent>
        <w:p w14:paraId="00000186" w14:textId="408546AC" w:rsidR="00A1537F" w:rsidRPr="003C6201" w:rsidRDefault="00A1537F" w:rsidP="009C7CF7">
          <w:pPr>
            <w:pBdr>
              <w:top w:val="nil"/>
              <w:left w:val="nil"/>
              <w:bottom w:val="nil"/>
              <w:right w:val="nil"/>
              <w:between w:val="nil"/>
            </w:pBdr>
            <w:spacing w:after="0" w:line="240" w:lineRule="auto"/>
            <w:rPr>
              <w:color w:val="000000" w:themeColor="text1"/>
              <w:sz w:val="20"/>
              <w:szCs w:val="20"/>
            </w:rPr>
          </w:pPr>
          <w:r w:rsidRPr="003C6201">
            <w:rPr>
              <w:rStyle w:val="FootnoteReference"/>
              <w:color w:val="000000" w:themeColor="text1"/>
              <w:sz w:val="20"/>
              <w:szCs w:val="20"/>
            </w:rPr>
            <w:footnoteRef/>
          </w:r>
          <w:r w:rsidRPr="003C6201">
            <w:rPr>
              <w:color w:val="000000" w:themeColor="text1"/>
              <w:sz w:val="20"/>
              <w:szCs w:val="20"/>
            </w:rPr>
            <w:t xml:space="preserve"> André </w:t>
          </w:r>
          <w:proofErr w:type="spellStart"/>
          <w:r w:rsidRPr="003C6201">
            <w:rPr>
              <w:color w:val="000000" w:themeColor="text1"/>
              <w:sz w:val="20"/>
              <w:szCs w:val="20"/>
            </w:rPr>
            <w:t>Gorz</w:t>
          </w:r>
          <w:proofErr w:type="spellEnd"/>
          <w:r w:rsidRPr="003C6201">
            <w:rPr>
              <w:color w:val="000000" w:themeColor="text1"/>
              <w:sz w:val="20"/>
              <w:szCs w:val="20"/>
            </w:rPr>
            <w:t xml:space="preserve">, “Strategy for </w:t>
          </w:r>
          <w:proofErr w:type="spellStart"/>
          <w:r w:rsidRPr="003C6201">
            <w:rPr>
              <w:color w:val="000000" w:themeColor="text1"/>
              <w:sz w:val="20"/>
              <w:szCs w:val="20"/>
            </w:rPr>
            <w:t>Labou</w:t>
          </w:r>
          <w:proofErr w:type="spellEnd"/>
          <w:r w:rsidRPr="003C6201">
            <w:rPr>
              <w:color w:val="000000" w:themeColor="text1"/>
              <w:sz w:val="20"/>
              <w:szCs w:val="20"/>
            </w:rPr>
            <w:t xml:space="preserve">”, in </w:t>
          </w:r>
          <w:r w:rsidRPr="003C6201">
            <w:rPr>
              <w:i/>
              <w:color w:val="000000" w:themeColor="text1"/>
              <w:sz w:val="20"/>
              <w:szCs w:val="20"/>
            </w:rPr>
            <w:t>Theories of Labour Movement</w:t>
          </w:r>
          <w:r w:rsidRPr="003C6201">
            <w:rPr>
              <w:color w:val="000000" w:themeColor="text1"/>
              <w:sz w:val="20"/>
              <w:szCs w:val="20"/>
            </w:rPr>
            <w:t xml:space="preserve">, ed. Jon Dunlop (Detroit: Wayne State University Press, 1987) 100-117;  </w:t>
          </w:r>
          <w:proofErr w:type="spellStart"/>
          <w:r w:rsidRPr="003C6201">
            <w:rPr>
              <w:color w:val="000000" w:themeColor="text1"/>
              <w:sz w:val="20"/>
              <w:szCs w:val="20"/>
            </w:rPr>
            <w:t>Girshick</w:t>
          </w:r>
          <w:proofErr w:type="spellEnd"/>
          <w:r w:rsidRPr="003C6201">
            <w:rPr>
              <w:color w:val="000000" w:themeColor="text1"/>
              <w:sz w:val="20"/>
              <w:szCs w:val="20"/>
            </w:rPr>
            <w:t>, “Out of Compliance” 191.</w:t>
          </w:r>
        </w:p>
      </w:sdtContent>
    </w:sdt>
  </w:footnote>
  <w:footnote w:id="169">
    <w:sdt>
      <w:sdtPr>
        <w:rPr>
          <w:color w:val="000000" w:themeColor="text1"/>
          <w:sz w:val="20"/>
          <w:szCs w:val="20"/>
        </w:rPr>
        <w:tag w:val="goog_rdk_441"/>
        <w:id w:val="-1437515988"/>
      </w:sdtPr>
      <w:sdtContent>
        <w:p w14:paraId="00000187" w14:textId="7B30C992"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3C6201">
            <w:rPr>
              <w:rStyle w:val="FootnoteReference"/>
              <w:color w:val="000000" w:themeColor="text1"/>
              <w:sz w:val="20"/>
              <w:szCs w:val="20"/>
            </w:rPr>
            <w:footnoteRef/>
          </w:r>
          <w:r w:rsidRPr="003C6201">
            <w:rPr>
              <w:color w:val="000000" w:themeColor="text1"/>
              <w:sz w:val="20"/>
              <w:szCs w:val="20"/>
            </w:rPr>
            <w:t xml:space="preserve"> See Diane Taylor, “Officials altered records in bisexual prison officer case, judge says” </w:t>
          </w:r>
          <w:r w:rsidRPr="003C6201">
            <w:rPr>
              <w:i/>
              <w:color w:val="000000" w:themeColor="text1"/>
              <w:sz w:val="20"/>
              <w:szCs w:val="20"/>
            </w:rPr>
            <w:t>The Guardian</w:t>
          </w:r>
          <w:r>
            <w:rPr>
              <w:color w:val="000000" w:themeColor="text1"/>
              <w:sz w:val="20"/>
              <w:szCs w:val="20"/>
            </w:rPr>
            <w:t xml:space="preserve">, May 28, 2019, accessed January 20, 2020, url: </w:t>
          </w:r>
          <w:hyperlink r:id="rId12">
            <w:r w:rsidRPr="003C6201">
              <w:rPr>
                <w:color w:val="000000" w:themeColor="text1"/>
                <w:sz w:val="20"/>
                <w:szCs w:val="20"/>
              </w:rPr>
              <w:t>https://www.theguardian.com/world/2019/may/28/officials-altered-records-in-bisexual-prison-officer-case-judge-says</w:t>
            </w:r>
          </w:hyperlink>
          <w:r>
            <w:rPr>
              <w:color w:val="000000" w:themeColor="text1"/>
              <w:sz w:val="20"/>
              <w:szCs w:val="20"/>
            </w:rPr>
            <w:t xml:space="preserve">. </w:t>
          </w:r>
        </w:p>
      </w:sdtContent>
    </w:sdt>
  </w:footnote>
  <w:footnote w:id="170">
    <w:sdt>
      <w:sdtPr>
        <w:rPr>
          <w:color w:val="000000" w:themeColor="text1"/>
          <w:sz w:val="20"/>
          <w:szCs w:val="20"/>
        </w:rPr>
        <w:tag w:val="goog_rdk_442"/>
        <w:id w:val="-1135407228"/>
      </w:sdtPr>
      <w:sdtContent>
        <w:p w14:paraId="00000188"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This is in no way intended to negate or to detract from the positive efforts many people make within the prison system and from the outside to challenge systemic harm and violence that differentiates on grounds of race, gender, sexuality and sexual identity.</w:t>
          </w:r>
        </w:p>
      </w:sdtContent>
    </w:sdt>
  </w:footnote>
  <w:footnote w:id="171">
    <w:sdt>
      <w:sdtPr>
        <w:rPr>
          <w:color w:val="000000" w:themeColor="text1"/>
          <w:sz w:val="20"/>
          <w:szCs w:val="20"/>
        </w:rPr>
        <w:tag w:val="goog_rdk_443"/>
        <w:id w:val="-1425031244"/>
      </w:sdtPr>
      <w:sdtContent>
        <w:p w14:paraId="21DD1496" w14:textId="77777777" w:rsidR="00A1537F" w:rsidRPr="00A72E22" w:rsidRDefault="00A1537F" w:rsidP="006F1271">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Spade, “Racialized Gender Violence”, 195.</w:t>
          </w:r>
        </w:p>
      </w:sdtContent>
    </w:sdt>
  </w:footnote>
  <w:footnote w:id="172">
    <w:sdt>
      <w:sdtPr>
        <w:rPr>
          <w:color w:val="000000" w:themeColor="text1"/>
          <w:sz w:val="20"/>
          <w:szCs w:val="20"/>
        </w:rPr>
        <w:tag w:val="goog_rdk_444"/>
        <w:id w:val="-829978491"/>
      </w:sdtPr>
      <w:sdtContent>
        <w:p w14:paraId="0000018A" w14:textId="77777777" w:rsidR="00A1537F" w:rsidRPr="00A72E22" w:rsidRDefault="00A1537F" w:rsidP="009C7CF7">
          <w:pPr>
            <w:pBdr>
              <w:top w:val="nil"/>
              <w:left w:val="nil"/>
              <w:bottom w:val="nil"/>
              <w:right w:val="nil"/>
              <w:between w:val="nil"/>
            </w:pBdr>
            <w:spacing w:after="0" w:line="240" w:lineRule="auto"/>
            <w:rPr>
              <w:color w:val="000000" w:themeColor="text1"/>
              <w:sz w:val="20"/>
              <w:szCs w:val="20"/>
            </w:rPr>
          </w:pPr>
          <w:r w:rsidRPr="00A72E22">
            <w:rPr>
              <w:rStyle w:val="FootnoteReference"/>
              <w:color w:val="000000" w:themeColor="text1"/>
              <w:sz w:val="20"/>
              <w:szCs w:val="20"/>
            </w:rPr>
            <w:footnoteRef/>
          </w:r>
          <w:r w:rsidRPr="00A72E22">
            <w:rPr>
              <w:color w:val="000000" w:themeColor="text1"/>
              <w:sz w:val="20"/>
              <w:szCs w:val="20"/>
            </w:rPr>
            <w:t xml:space="preserve"> Stanley and Spade, “Queering Prison Abolition”, 122.</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A572" w14:textId="77777777" w:rsidR="00A1537F" w:rsidRDefault="00A15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5"/>
      <w:id w:val="191032826"/>
      <w:showingPlcHdr/>
    </w:sdtPr>
    <w:sdtContent>
      <w:p w14:paraId="0000018B" w14:textId="6FE286CA" w:rsidR="00A1537F" w:rsidRDefault="00A1537F">
        <w:pPr>
          <w:tabs>
            <w:tab w:val="right" w:pos="9020"/>
          </w:tabs>
          <w:spacing w:before="140" w:after="120"/>
          <w:rPr>
            <w:rFonts w:ascii="Arial" w:eastAsia="Arial" w:hAnsi="Arial" w:cs="Arial"/>
          </w:rPr>
        </w:pPr>
        <w:r>
          <w:t xml:space="preserve">     </w:t>
        </w:r>
      </w:p>
    </w:sdtContent>
  </w:sdt>
  <w:sdt>
    <w:sdtPr>
      <w:tag w:val="goog_rdk_446"/>
      <w:id w:val="-19005422"/>
      <w:showingPlcHdr/>
    </w:sdtPr>
    <w:sdtContent>
      <w:p w14:paraId="0000018C" w14:textId="22AA517B" w:rsidR="00A1537F" w:rsidRDefault="00A1537F">
        <w:pPr>
          <w:pBdr>
            <w:top w:val="nil"/>
            <w:left w:val="nil"/>
            <w:bottom w:val="nil"/>
            <w:right w:val="nil"/>
            <w:between w:val="nil"/>
          </w:pBdr>
          <w:tabs>
            <w:tab w:val="right" w:pos="9020"/>
          </w:tabs>
          <w:spacing w:after="0" w:line="240" w:lineRule="auto"/>
          <w:jc w:val="right"/>
          <w:rPr>
            <w:color w:val="000000"/>
          </w:rP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BDD4" w14:textId="77777777" w:rsidR="00A1537F" w:rsidRDefault="00A1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D0F"/>
    <w:multiLevelType w:val="multilevel"/>
    <w:tmpl w:val="F3188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07"/>
    <w:rsid w:val="00035928"/>
    <w:rsid w:val="00080569"/>
    <w:rsid w:val="0008324B"/>
    <w:rsid w:val="000F4189"/>
    <w:rsid w:val="00137F4E"/>
    <w:rsid w:val="001B053C"/>
    <w:rsid w:val="001B5E26"/>
    <w:rsid w:val="001C2101"/>
    <w:rsid w:val="002B464B"/>
    <w:rsid w:val="002C6269"/>
    <w:rsid w:val="0033717A"/>
    <w:rsid w:val="00376898"/>
    <w:rsid w:val="003A06D0"/>
    <w:rsid w:val="003C6201"/>
    <w:rsid w:val="00411C03"/>
    <w:rsid w:val="00490AF1"/>
    <w:rsid w:val="004A549D"/>
    <w:rsid w:val="004C36D4"/>
    <w:rsid w:val="004E1F66"/>
    <w:rsid w:val="005774B6"/>
    <w:rsid w:val="005A34C4"/>
    <w:rsid w:val="005B50D5"/>
    <w:rsid w:val="006112AF"/>
    <w:rsid w:val="006576FB"/>
    <w:rsid w:val="006C304D"/>
    <w:rsid w:val="006D712A"/>
    <w:rsid w:val="006F1271"/>
    <w:rsid w:val="006F7CD5"/>
    <w:rsid w:val="00742748"/>
    <w:rsid w:val="007F1CAA"/>
    <w:rsid w:val="00850464"/>
    <w:rsid w:val="00850530"/>
    <w:rsid w:val="00881C79"/>
    <w:rsid w:val="0094480E"/>
    <w:rsid w:val="00961078"/>
    <w:rsid w:val="00980367"/>
    <w:rsid w:val="00985107"/>
    <w:rsid w:val="009A5188"/>
    <w:rsid w:val="009B52C0"/>
    <w:rsid w:val="009C7CF7"/>
    <w:rsid w:val="009E71ED"/>
    <w:rsid w:val="00A1537F"/>
    <w:rsid w:val="00A3662B"/>
    <w:rsid w:val="00A64C56"/>
    <w:rsid w:val="00A72E22"/>
    <w:rsid w:val="00AC061A"/>
    <w:rsid w:val="00AD510E"/>
    <w:rsid w:val="00AE7EB2"/>
    <w:rsid w:val="00B3424C"/>
    <w:rsid w:val="00B40108"/>
    <w:rsid w:val="00B55343"/>
    <w:rsid w:val="00B641B7"/>
    <w:rsid w:val="00BD758C"/>
    <w:rsid w:val="00C206BA"/>
    <w:rsid w:val="00C40EBC"/>
    <w:rsid w:val="00CA5978"/>
    <w:rsid w:val="00D239FF"/>
    <w:rsid w:val="00DC5E2C"/>
    <w:rsid w:val="00E21AE4"/>
    <w:rsid w:val="00E8720A"/>
    <w:rsid w:val="00ED1C3B"/>
    <w:rsid w:val="00EF5531"/>
    <w:rsid w:val="00EF7EB8"/>
    <w:rsid w:val="00F1413A"/>
    <w:rsid w:val="00F90735"/>
    <w:rsid w:val="00FC4C4A"/>
    <w:rsid w:val="00FF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47A7D"/>
  <w15:docId w15:val="{49760C8F-D33A-4324-B4CC-CE35FB4B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after="142"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pBdr>
        <w:top w:val="nil"/>
        <w:left w:val="nil"/>
        <w:bottom w:val="nil"/>
        <w:right w:val="nil"/>
        <w:between w:val="nil"/>
      </w:pBdr>
      <w:spacing w:after="0" w:line="240" w:lineRule="auto"/>
      <w:outlineLvl w:val="1"/>
    </w:pPr>
    <w:rPr>
      <w:rFonts w:ascii="Helvetica Neue" w:eastAsia="Helvetica Neue" w:hAnsi="Helvetica Neue" w:cs="Helvetica Neue"/>
      <w:b/>
      <w:color w:val="000000"/>
      <w:sz w:val="32"/>
      <w:szCs w:val="32"/>
    </w:rPr>
  </w:style>
  <w:style w:type="paragraph" w:styleId="Heading3">
    <w:name w:val="heading 3"/>
    <w:basedOn w:val="Normal"/>
    <w:next w:val="Normal"/>
    <w:uiPriority w:val="9"/>
    <w:unhideWhenUsed/>
    <w:qFormat/>
    <w:pPr>
      <w:keepNext/>
      <w:pBdr>
        <w:top w:val="single" w:sz="4" w:space="0" w:color="515151"/>
        <w:left w:val="nil"/>
        <w:bottom w:val="nil"/>
        <w:right w:val="nil"/>
        <w:between w:val="nil"/>
      </w:pBdr>
      <w:spacing w:before="360" w:after="40" w:line="288" w:lineRule="auto"/>
      <w:outlineLvl w:val="2"/>
    </w:pPr>
    <w:rPr>
      <w:rFonts w:ascii="Helvetica Neue" w:eastAsia="Helvetica Neue" w:hAnsi="Helvetica Neue" w:cs="Helvetica Neue"/>
      <w:color w:val="000000"/>
      <w:sz w:val="28"/>
      <w:szCs w:val="28"/>
    </w:rPr>
  </w:style>
  <w:style w:type="paragraph" w:styleId="Heading4">
    <w:name w:val="heading 4"/>
    <w:basedOn w:val="Normal"/>
    <w:next w:val="Normal"/>
    <w:uiPriority w:val="9"/>
    <w:unhideWhenUsed/>
    <w:qFormat/>
    <w:rsid w:val="000A3EAA"/>
    <w:pPr>
      <w:keepNext/>
      <w:keepLines/>
      <w:spacing w:before="240" w:after="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spacing w:after="0" w:line="240" w:lineRule="auto"/>
    </w:pPr>
    <w:rPr>
      <w:rFonts w:ascii="Helvetica Neue" w:eastAsia="Helvetica Neue" w:hAnsi="Helvetica Neue" w:cs="Helvetica Neue"/>
      <w:b/>
      <w:color w:val="000000"/>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7A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937A7"/>
    <w:rPr>
      <w:sz w:val="18"/>
      <w:szCs w:val="18"/>
    </w:rPr>
  </w:style>
  <w:style w:type="paragraph" w:customStyle="1" w:styleId="Footnote">
    <w:name w:val="Footnote"/>
    <w:basedOn w:val="FootnoteText"/>
    <w:qFormat/>
    <w:rsid w:val="00FC3F09"/>
  </w:style>
  <w:style w:type="paragraph" w:styleId="Revision">
    <w:name w:val="Revision"/>
    <w:hidden/>
    <w:uiPriority w:val="99"/>
    <w:semiHidden/>
    <w:rsid w:val="00165444"/>
    <w:pPr>
      <w:spacing w:after="0" w:line="240" w:lineRule="auto"/>
    </w:pPr>
  </w:style>
  <w:style w:type="paragraph" w:styleId="FootnoteText">
    <w:name w:val="footnote text"/>
    <w:basedOn w:val="Normal"/>
    <w:link w:val="FootnoteTextChar"/>
    <w:uiPriority w:val="99"/>
    <w:semiHidden/>
    <w:unhideWhenUsed/>
    <w:rsid w:val="00FC3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F09"/>
    <w:rPr>
      <w:sz w:val="20"/>
      <w:szCs w:val="20"/>
      <w:lang w:val="en-GB"/>
    </w:rPr>
  </w:style>
  <w:style w:type="paragraph" w:styleId="CommentSubject">
    <w:name w:val="annotation subject"/>
    <w:basedOn w:val="CommentText"/>
    <w:next w:val="CommentText"/>
    <w:link w:val="CommentSubjectChar"/>
    <w:uiPriority w:val="99"/>
    <w:semiHidden/>
    <w:unhideWhenUsed/>
    <w:rsid w:val="000A3EAA"/>
    <w:rPr>
      <w:b/>
      <w:bCs/>
    </w:rPr>
  </w:style>
  <w:style w:type="character" w:customStyle="1" w:styleId="CommentSubjectChar">
    <w:name w:val="Comment Subject Char"/>
    <w:basedOn w:val="CommentTextChar"/>
    <w:link w:val="CommentSubject"/>
    <w:uiPriority w:val="99"/>
    <w:semiHidden/>
    <w:rsid w:val="000A3EAA"/>
    <w:rPr>
      <w:b/>
      <w:bCs/>
      <w:sz w:val="20"/>
      <w:szCs w:val="20"/>
      <w:lang w:val="en-GB"/>
    </w:rPr>
  </w:style>
  <w:style w:type="paragraph" w:styleId="NoSpacing">
    <w:name w:val="No Spacing"/>
    <w:uiPriority w:val="1"/>
    <w:qFormat/>
    <w:rsid w:val="000A3EAA"/>
    <w:pPr>
      <w:spacing w:after="0" w:line="240" w:lineRule="auto"/>
    </w:pPr>
  </w:style>
  <w:style w:type="character" w:styleId="SubtleEmphasis">
    <w:name w:val="Subtle Emphasis"/>
    <w:basedOn w:val="DefaultParagraphFont"/>
    <w:uiPriority w:val="19"/>
    <w:qFormat/>
    <w:rsid w:val="000A3EAA"/>
    <w:rPr>
      <w:i/>
      <w:iCs/>
      <w:color w:val="404040" w:themeColor="text1" w:themeTint="BF"/>
    </w:rPr>
  </w:style>
  <w:style w:type="character" w:styleId="FootnoteReference">
    <w:name w:val="footnote reference"/>
    <w:basedOn w:val="DefaultParagraphFont"/>
    <w:uiPriority w:val="99"/>
    <w:semiHidden/>
    <w:unhideWhenUsed/>
    <w:rsid w:val="006E38A7"/>
    <w:rPr>
      <w:vertAlign w:val="superscript"/>
    </w:rPr>
  </w:style>
  <w:style w:type="paragraph" w:styleId="Header">
    <w:name w:val="header"/>
    <w:basedOn w:val="Normal"/>
    <w:link w:val="HeaderChar"/>
    <w:uiPriority w:val="99"/>
    <w:unhideWhenUsed/>
    <w:rsid w:val="00B40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08"/>
  </w:style>
  <w:style w:type="paragraph" w:styleId="Footer">
    <w:name w:val="footer"/>
    <w:basedOn w:val="Normal"/>
    <w:link w:val="FooterChar"/>
    <w:uiPriority w:val="99"/>
    <w:unhideWhenUsed/>
    <w:rsid w:val="00B40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08"/>
  </w:style>
  <w:style w:type="character" w:styleId="Hyperlink">
    <w:name w:val="Hyperlink"/>
    <w:basedOn w:val="DefaultParagraphFont"/>
    <w:uiPriority w:val="99"/>
    <w:unhideWhenUsed/>
    <w:rsid w:val="009C7CF7"/>
    <w:rPr>
      <w:color w:val="0000FF"/>
      <w:u w:val="single"/>
    </w:rPr>
  </w:style>
  <w:style w:type="paragraph" w:styleId="ListParagraph">
    <w:name w:val="List Paragraph"/>
    <w:basedOn w:val="Normal"/>
    <w:uiPriority w:val="34"/>
    <w:qFormat/>
    <w:rsid w:val="0033717A"/>
    <w:pPr>
      <w:ind w:left="720"/>
      <w:contextualSpacing/>
    </w:pPr>
  </w:style>
  <w:style w:type="character" w:styleId="UnresolvedMention">
    <w:name w:val="Unresolved Mention"/>
    <w:basedOn w:val="DefaultParagraphFont"/>
    <w:uiPriority w:val="99"/>
    <w:semiHidden/>
    <w:unhideWhenUsed/>
    <w:rsid w:val="00EF5531"/>
    <w:rPr>
      <w:color w:val="605E5C"/>
      <w:shd w:val="clear" w:color="auto" w:fill="E1DFDD"/>
    </w:rPr>
  </w:style>
  <w:style w:type="character" w:styleId="FollowedHyperlink">
    <w:name w:val="FollowedHyperlink"/>
    <w:basedOn w:val="DefaultParagraphFont"/>
    <w:uiPriority w:val="99"/>
    <w:semiHidden/>
    <w:unhideWhenUsed/>
    <w:rsid w:val="00EF5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21106">
      <w:bodyDiv w:val="1"/>
      <w:marLeft w:val="0"/>
      <w:marRight w:val="0"/>
      <w:marTop w:val="0"/>
      <w:marBottom w:val="0"/>
      <w:divBdr>
        <w:top w:val="none" w:sz="0" w:space="0" w:color="auto"/>
        <w:left w:val="none" w:sz="0" w:space="0" w:color="auto"/>
        <w:bottom w:val="none" w:sz="0" w:space="0" w:color="auto"/>
        <w:right w:val="none" w:sz="0" w:space="0" w:color="auto"/>
      </w:divBdr>
    </w:div>
    <w:div w:id="147371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econversation.com/profiles/mia-harris-288195" TargetMode="External"/><Relationship Id="rId18" Type="http://schemas.openxmlformats.org/officeDocument/2006/relationships/hyperlink" Target="http://www.ppo.gov.uk/app/uploads/2015/06/Learning-Lessons-Bulletin-Segregation-final.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howardleague.org/publications/sex-in-prison-experiences-of-former-prisoners/" TargetMode="External"/><Relationship Id="rId7" Type="http://schemas.openxmlformats.org/officeDocument/2006/relationships/footnotes" Target="footnotes.xml"/><Relationship Id="rId12" Type="http://schemas.openxmlformats.org/officeDocument/2006/relationships/hyperlink" Target="https://www.bbc.co.uk/news/uk-47434730" TargetMode="External"/><Relationship Id="rId17" Type="http://schemas.openxmlformats.org/officeDocument/2006/relationships/hyperlink" Target="https://cdn.penalreform.org/wp-content/uploads/2016/01/lgbti-framework-2nd-ed-v7-web.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60093/hmpps-offender-equalities-2017-18.pdf" TargetMode="External"/><Relationship Id="rId20" Type="http://schemas.openxmlformats.org/officeDocument/2006/relationships/hyperlink" Target="https://inherentlyhuman.wordpress.com/2018/09/11/foxes-in-the-henhouse-putting-the-trans-women-prison-debate-in-perspecti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theguardian.com/society/2012/sep/25/homophobia-rife-uk-prison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bc.co.uk/news/uk-38562714" TargetMode="External"/><Relationship Id="rId19" Type="http://schemas.openxmlformats.org/officeDocument/2006/relationships/hyperlink" Target="https://www.crimeandjustice.org.uk/sites/crimeandjustice.org.uk/files/Prison%20conditions%20in%20the%20UK.pdf" TargetMode="External"/><Relationship Id="rId4" Type="http://schemas.openxmlformats.org/officeDocument/2006/relationships/styles" Target="styles.xml"/><Relationship Id="rId9" Type="http://schemas.openxmlformats.org/officeDocument/2006/relationships/hyperlink" Target="https://www.justice.gov.uk/offenders/psis/prison-service-instructions-2016." TargetMode="External"/><Relationship Id="rId14" Type="http://schemas.openxmlformats.org/officeDocument/2006/relationships/hyperlink" Target="https://inherentlyhuman.wordpress.com/2016/11/21/new-policy-on-transgender-prisoners-progressive-but-can-prisons-keep-pace/" TargetMode="External"/><Relationship Id="rId22" Type="http://schemas.openxmlformats.org/officeDocument/2006/relationships/hyperlink" Target="https://www.theguardian.com/world/2019/may/28/officials-altered-records-in-bisexual-prison-officer-case-judge-says"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63610/transgender-pf.pdf" TargetMode="External"/><Relationship Id="rId3" Type="http://schemas.openxmlformats.org/officeDocument/2006/relationships/hyperlink" Target="https://assets.publishing.service.gov.uk/government/uploads/system/uploads/attachment_data/file/760093/hmpps-offender-equalities-2017-18.pdf" TargetMode="External"/><Relationship Id="rId7" Type="http://schemas.openxmlformats.org/officeDocument/2006/relationships/hyperlink" Target="https://www.bbc.co.uk/news/uk-38562714" TargetMode="External"/><Relationship Id="rId12" Type="http://schemas.openxmlformats.org/officeDocument/2006/relationships/hyperlink" Target="https://www.theguardian.com/world/2019/may/28/officials-altered-records-in-bisexual-prison-officer-case-judge-says" TargetMode="External"/><Relationship Id="rId2" Type="http://schemas.openxmlformats.org/officeDocument/2006/relationships/hyperlink" Target="https://corporatewatch.org/new-non-binary-prison-in-scotland/" TargetMode="External"/><Relationship Id="rId1" Type="http://schemas.openxmlformats.org/officeDocument/2006/relationships/hyperlink" Target="https://www.bbc.co.uk/news/uk-47434730" TargetMode="External"/><Relationship Id="rId6" Type="http://schemas.openxmlformats.org/officeDocument/2006/relationships/hyperlink" Target="http://www.pfc.org.uk/node/319" TargetMode="External"/><Relationship Id="rId11" Type="http://schemas.openxmlformats.org/officeDocument/2006/relationships/hyperlink" Target="https://howardleague.org/publications/sex-in-prison-experiences-of-former-prisoners/" TargetMode="External"/><Relationship Id="rId5" Type="http://schemas.openxmlformats.org/officeDocument/2006/relationships/hyperlink" Target="https://assets.publishing.service.gov.uk/government/uploads/system/uploads/attachment_data/file/863610/transgender-pf.pdf" TargetMode="External"/><Relationship Id="rId10" Type="http://schemas.openxmlformats.org/officeDocument/2006/relationships/hyperlink" Target="https://researchbriefings.parliament.uk/ResearchBriefing/Summary/SN06942" TargetMode="External"/><Relationship Id="rId4" Type="http://schemas.openxmlformats.org/officeDocument/2006/relationships/hyperlink" Target="https://theconversation.com/profiles/mia-harris-288195" TargetMode="External"/><Relationship Id="rId9" Type="http://schemas.openxmlformats.org/officeDocument/2006/relationships/hyperlink" Target="https://www.theguardian.com/society/2012/sep/25/homophobia-rife-uk-pr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o3eyvBggegc1PS8nMJohP3Jaw==">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439079-9A36-0945-94D6-131D646E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49</Pages>
  <Words>10072</Words>
  <Characters>60438</Characters>
  <Application>Microsoft Office Word</Application>
  <DocSecurity>0</DocSecurity>
  <Lines>902</Lines>
  <Paragraphs>121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Adams</dc:creator>
  <cp:lastModifiedBy>Peter Dunne</cp:lastModifiedBy>
  <cp:revision>10</cp:revision>
  <dcterms:created xsi:type="dcterms:W3CDTF">2020-03-21T01:31:00Z</dcterms:created>
  <dcterms:modified xsi:type="dcterms:W3CDTF">2020-03-28T21:06:00Z</dcterms:modified>
</cp:coreProperties>
</file>